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07016C" w14:textId="23A550AB" w:rsidR="00293E15" w:rsidRPr="0055435C" w:rsidRDefault="00D5163F" w:rsidP="00AB7918">
      <w:pPr>
        <w:spacing w:line="480" w:lineRule="auto"/>
        <w:rPr>
          <w:rFonts w:eastAsiaTheme="majorEastAsia" w:cs="Times New Roman"/>
          <w:b/>
          <w:bCs/>
          <w:sz w:val="28"/>
          <w:szCs w:val="28"/>
          <w:lang w:val="en-US"/>
        </w:rPr>
      </w:pPr>
      <w:bookmarkStart w:id="0" w:name="_GoBack"/>
      <w:bookmarkEnd w:id="0"/>
      <w:r w:rsidRPr="0055435C">
        <w:rPr>
          <w:rFonts w:eastAsiaTheme="majorEastAsia" w:cs="Times New Roman"/>
          <w:b/>
          <w:bCs/>
          <w:sz w:val="28"/>
          <w:szCs w:val="28"/>
          <w:lang w:val="en-US"/>
        </w:rPr>
        <w:t>C</w:t>
      </w:r>
      <w:r w:rsidR="008D5EC0" w:rsidRPr="0055435C">
        <w:rPr>
          <w:rFonts w:eastAsiaTheme="majorEastAsia" w:cs="Times New Roman"/>
          <w:b/>
          <w:bCs/>
          <w:sz w:val="28"/>
          <w:szCs w:val="28"/>
          <w:lang w:val="en-US"/>
        </w:rPr>
        <w:t xml:space="preserve">hildhood growth predicts higher bone mass </w:t>
      </w:r>
      <w:r w:rsidR="00AC5E45" w:rsidRPr="0055435C">
        <w:rPr>
          <w:rFonts w:eastAsiaTheme="majorEastAsia" w:cs="Times New Roman"/>
          <w:b/>
          <w:bCs/>
          <w:sz w:val="28"/>
          <w:szCs w:val="28"/>
          <w:lang w:val="en-US"/>
        </w:rPr>
        <w:t xml:space="preserve">and </w:t>
      </w:r>
      <w:r w:rsidR="001F7B32" w:rsidRPr="0055435C">
        <w:rPr>
          <w:rFonts w:eastAsiaTheme="majorEastAsia" w:cs="Times New Roman"/>
          <w:b/>
          <w:bCs/>
          <w:sz w:val="28"/>
          <w:szCs w:val="28"/>
          <w:lang w:val="en-US"/>
        </w:rPr>
        <w:t xml:space="preserve">greater </w:t>
      </w:r>
      <w:r w:rsidR="00AC5E45" w:rsidRPr="0055435C">
        <w:rPr>
          <w:rFonts w:eastAsiaTheme="majorEastAsia" w:cs="Times New Roman"/>
          <w:b/>
          <w:bCs/>
          <w:sz w:val="28"/>
          <w:szCs w:val="28"/>
          <w:lang w:val="en-US"/>
        </w:rPr>
        <w:t xml:space="preserve">bone area </w:t>
      </w:r>
      <w:r w:rsidR="008D5EC0" w:rsidRPr="0055435C">
        <w:rPr>
          <w:rFonts w:eastAsiaTheme="majorEastAsia" w:cs="Times New Roman"/>
          <w:b/>
          <w:bCs/>
          <w:sz w:val="28"/>
          <w:szCs w:val="28"/>
          <w:lang w:val="en-US"/>
        </w:rPr>
        <w:t xml:space="preserve">in </w:t>
      </w:r>
      <w:r w:rsidR="009E330D" w:rsidRPr="0055435C">
        <w:rPr>
          <w:rFonts w:eastAsiaTheme="majorEastAsia" w:cs="Times New Roman"/>
          <w:b/>
          <w:bCs/>
          <w:sz w:val="28"/>
          <w:szCs w:val="28"/>
          <w:lang w:val="en-US"/>
        </w:rPr>
        <w:t>early old age</w:t>
      </w:r>
      <w:r w:rsidR="008D5EC0" w:rsidRPr="0055435C">
        <w:rPr>
          <w:rFonts w:eastAsiaTheme="majorEastAsia" w:cs="Times New Roman"/>
          <w:b/>
          <w:bCs/>
          <w:sz w:val="28"/>
          <w:szCs w:val="28"/>
          <w:lang w:val="en-US"/>
        </w:rPr>
        <w:t xml:space="preserve">: findings among </w:t>
      </w:r>
      <w:r w:rsidR="00962FD0" w:rsidRPr="0055435C">
        <w:rPr>
          <w:rFonts w:eastAsiaTheme="majorEastAsia" w:cs="Times New Roman"/>
          <w:b/>
          <w:bCs/>
          <w:sz w:val="28"/>
          <w:szCs w:val="28"/>
          <w:lang w:val="en-US"/>
        </w:rPr>
        <w:t xml:space="preserve">a </w:t>
      </w:r>
      <w:r w:rsidR="00EE04A2" w:rsidRPr="0055435C">
        <w:rPr>
          <w:rFonts w:eastAsiaTheme="majorEastAsia" w:cs="Times New Roman"/>
          <w:b/>
          <w:bCs/>
          <w:sz w:val="28"/>
          <w:szCs w:val="28"/>
          <w:lang w:val="en-US"/>
        </w:rPr>
        <w:t>subgroup</w:t>
      </w:r>
      <w:r w:rsidR="00962FD0" w:rsidRPr="0055435C">
        <w:rPr>
          <w:rFonts w:eastAsiaTheme="majorEastAsia" w:cs="Times New Roman"/>
          <w:b/>
          <w:bCs/>
          <w:sz w:val="28"/>
          <w:szCs w:val="28"/>
          <w:lang w:val="en-US"/>
        </w:rPr>
        <w:t xml:space="preserve"> </w:t>
      </w:r>
      <w:r w:rsidR="002A129F" w:rsidRPr="0055435C">
        <w:rPr>
          <w:rFonts w:eastAsiaTheme="majorEastAsia" w:cs="Times New Roman"/>
          <w:b/>
          <w:bCs/>
          <w:sz w:val="28"/>
          <w:szCs w:val="28"/>
          <w:lang w:val="en-US"/>
        </w:rPr>
        <w:t xml:space="preserve">of </w:t>
      </w:r>
      <w:r w:rsidR="008D5EC0" w:rsidRPr="0055435C">
        <w:rPr>
          <w:rFonts w:eastAsiaTheme="majorEastAsia" w:cs="Times New Roman"/>
          <w:b/>
          <w:bCs/>
          <w:sz w:val="28"/>
          <w:szCs w:val="28"/>
          <w:lang w:val="en-US"/>
        </w:rPr>
        <w:t>women from the Helsinki Birth Cohort Study</w:t>
      </w:r>
    </w:p>
    <w:p w14:paraId="45CE5C7C" w14:textId="77777777" w:rsidR="002A35CF" w:rsidRPr="0055435C" w:rsidRDefault="002A35CF" w:rsidP="00AB7918">
      <w:pPr>
        <w:spacing w:line="480" w:lineRule="auto"/>
        <w:rPr>
          <w:lang w:val="en-US"/>
        </w:rPr>
      </w:pPr>
    </w:p>
    <w:p w14:paraId="18BEC921" w14:textId="77777777" w:rsidR="00293E15" w:rsidRPr="0055435C" w:rsidRDefault="00293E15" w:rsidP="00AB7918">
      <w:pPr>
        <w:spacing w:line="480" w:lineRule="auto"/>
        <w:rPr>
          <w:rFonts w:cs="Times New Roman"/>
          <w:vertAlign w:val="superscript"/>
          <w:lang w:val="en-US"/>
        </w:rPr>
      </w:pPr>
      <w:r w:rsidRPr="0055435C">
        <w:rPr>
          <w:rFonts w:cs="Times New Roman"/>
          <w:lang w:val="en-US"/>
        </w:rPr>
        <w:t>Tuija M. Mikkola, PhD,</w:t>
      </w:r>
      <w:r w:rsidRPr="0055435C">
        <w:rPr>
          <w:rFonts w:cs="Times New Roman"/>
          <w:vertAlign w:val="superscript"/>
          <w:lang w:val="en-US"/>
        </w:rPr>
        <w:t>1,2</w:t>
      </w:r>
      <w:r w:rsidRPr="0055435C">
        <w:rPr>
          <w:rFonts w:cs="Times New Roman"/>
          <w:lang w:val="en-US"/>
        </w:rPr>
        <w:t xml:space="preserve"> Mikaela B. von Bonsdorff, PhD,</w:t>
      </w:r>
      <w:r w:rsidRPr="0055435C">
        <w:rPr>
          <w:rFonts w:cs="Times New Roman"/>
          <w:vertAlign w:val="superscript"/>
          <w:lang w:val="en-US"/>
        </w:rPr>
        <w:t xml:space="preserve"> 1,2</w:t>
      </w:r>
      <w:r w:rsidRPr="0055435C">
        <w:rPr>
          <w:rFonts w:cs="Times New Roman"/>
          <w:lang w:val="en-US"/>
        </w:rPr>
        <w:t xml:space="preserve"> Clive Osmond PhD,</w:t>
      </w:r>
      <w:r w:rsidRPr="0055435C">
        <w:rPr>
          <w:rFonts w:cs="Times New Roman"/>
          <w:vertAlign w:val="superscript"/>
          <w:lang w:val="en-US"/>
        </w:rPr>
        <w:t>3</w:t>
      </w:r>
      <w:r w:rsidRPr="0055435C">
        <w:rPr>
          <w:rFonts w:cs="Times New Roman"/>
          <w:lang w:val="en-US"/>
        </w:rPr>
        <w:t xml:space="preserve"> Minna K. Salonen PhD,</w:t>
      </w:r>
      <w:r w:rsidRPr="0055435C">
        <w:rPr>
          <w:rFonts w:cs="Times New Roman"/>
          <w:vertAlign w:val="superscript"/>
          <w:lang w:val="en-US"/>
        </w:rPr>
        <w:t>1,4</w:t>
      </w:r>
      <w:r w:rsidRPr="0055435C">
        <w:rPr>
          <w:rFonts w:cs="Times New Roman"/>
          <w:lang w:val="en-US"/>
        </w:rPr>
        <w:t xml:space="preserve"> Eero Kajantie, MD PhD,</w:t>
      </w:r>
      <w:r w:rsidR="00C461BF" w:rsidRPr="0055435C">
        <w:rPr>
          <w:rFonts w:cs="Times New Roman"/>
          <w:vertAlign w:val="superscript"/>
          <w:lang w:val="en-US"/>
        </w:rPr>
        <w:t>4,</w:t>
      </w:r>
      <w:r w:rsidRPr="0055435C">
        <w:rPr>
          <w:rFonts w:cs="Times New Roman"/>
          <w:vertAlign w:val="superscript"/>
          <w:lang w:val="en-US"/>
        </w:rPr>
        <w:t>5,6</w:t>
      </w:r>
      <w:r w:rsidRPr="0055435C">
        <w:rPr>
          <w:rFonts w:cs="Times New Roman"/>
          <w:lang w:val="en-US"/>
        </w:rPr>
        <w:t xml:space="preserve"> </w:t>
      </w:r>
      <w:r w:rsidR="00A663E5" w:rsidRPr="0055435C">
        <w:rPr>
          <w:rFonts w:cs="Times New Roman"/>
          <w:lang w:val="en-US"/>
        </w:rPr>
        <w:t>Cyru</w:t>
      </w:r>
      <w:r w:rsidR="00571A71" w:rsidRPr="0055435C">
        <w:rPr>
          <w:rFonts w:cs="Times New Roman"/>
          <w:lang w:val="en-US"/>
        </w:rPr>
        <w:t>s Cooper</w:t>
      </w:r>
      <w:r w:rsidR="0029604F" w:rsidRPr="0055435C">
        <w:rPr>
          <w:rFonts w:cs="Times New Roman"/>
          <w:lang w:val="en-US"/>
        </w:rPr>
        <w:t xml:space="preserve"> MA DM  OBE FMedSci</w:t>
      </w:r>
      <w:r w:rsidR="00571A71" w:rsidRPr="0055435C">
        <w:rPr>
          <w:rFonts w:cs="Times New Roman"/>
          <w:lang w:val="en-US"/>
        </w:rPr>
        <w:t>,</w:t>
      </w:r>
      <w:r w:rsidR="00F07C3B" w:rsidRPr="0055435C">
        <w:rPr>
          <w:rFonts w:cs="Times New Roman"/>
          <w:vertAlign w:val="superscript"/>
          <w:lang w:val="en-US"/>
        </w:rPr>
        <w:t>3</w:t>
      </w:r>
      <w:r w:rsidR="0029604F" w:rsidRPr="0055435C">
        <w:rPr>
          <w:rFonts w:cs="Times New Roman"/>
          <w:vertAlign w:val="superscript"/>
          <w:lang w:val="en-US"/>
        </w:rPr>
        <w:t>,</w:t>
      </w:r>
      <w:r w:rsidR="00F07C3B" w:rsidRPr="0055435C">
        <w:rPr>
          <w:rFonts w:cs="Times New Roman"/>
          <w:vertAlign w:val="superscript"/>
          <w:lang w:val="en-US"/>
        </w:rPr>
        <w:t>7</w:t>
      </w:r>
      <w:r w:rsidR="00571A71" w:rsidRPr="0055435C">
        <w:rPr>
          <w:rFonts w:cs="Times New Roman"/>
          <w:lang w:val="en-US"/>
        </w:rPr>
        <w:t xml:space="preserve"> Matti J. Välimäki</w:t>
      </w:r>
      <w:r w:rsidR="00835F6F" w:rsidRPr="0055435C">
        <w:rPr>
          <w:rFonts w:cs="Times New Roman"/>
          <w:lang w:val="en-US"/>
        </w:rPr>
        <w:t xml:space="preserve"> MD PhD</w:t>
      </w:r>
      <w:r w:rsidR="00A663E5" w:rsidRPr="0055435C">
        <w:rPr>
          <w:rFonts w:cs="Times New Roman"/>
          <w:lang w:val="en-US"/>
        </w:rPr>
        <w:t>,</w:t>
      </w:r>
      <w:r w:rsidR="00F07C3B" w:rsidRPr="0055435C">
        <w:rPr>
          <w:rFonts w:cs="Times New Roman"/>
          <w:vertAlign w:val="superscript"/>
          <w:lang w:val="en-US"/>
        </w:rPr>
        <w:t>8</w:t>
      </w:r>
      <w:r w:rsidR="00A663E5" w:rsidRPr="0055435C">
        <w:rPr>
          <w:rFonts w:cs="Times New Roman"/>
          <w:lang w:val="en-US"/>
        </w:rPr>
        <w:t xml:space="preserve"> </w:t>
      </w:r>
      <w:r w:rsidRPr="0055435C">
        <w:rPr>
          <w:rFonts w:cs="Times New Roman"/>
          <w:lang w:val="en-US"/>
        </w:rPr>
        <w:t>Johan G. Eriksson, MD DMSc</w:t>
      </w:r>
      <w:r w:rsidR="0029604F" w:rsidRPr="0055435C">
        <w:rPr>
          <w:rFonts w:cs="Times New Roman"/>
          <w:vertAlign w:val="superscript"/>
          <w:lang w:val="en-US"/>
        </w:rPr>
        <w:t>1,4,</w:t>
      </w:r>
      <w:r w:rsidR="00F07C3B" w:rsidRPr="0055435C">
        <w:rPr>
          <w:rFonts w:cs="Times New Roman"/>
          <w:vertAlign w:val="superscript"/>
          <w:lang w:val="en-US"/>
        </w:rPr>
        <w:t>9</w:t>
      </w:r>
    </w:p>
    <w:p w14:paraId="6A36C6C9" w14:textId="77777777" w:rsidR="00835F6F" w:rsidRPr="0055435C" w:rsidRDefault="00293E15" w:rsidP="00AB7918">
      <w:pPr>
        <w:spacing w:line="480" w:lineRule="auto"/>
        <w:rPr>
          <w:lang w:val="en-US"/>
        </w:rPr>
      </w:pPr>
      <w:r w:rsidRPr="0055435C">
        <w:rPr>
          <w:rFonts w:cs="Times New Roman"/>
          <w:vertAlign w:val="superscript"/>
          <w:lang w:val="en-US"/>
        </w:rPr>
        <w:t>1</w:t>
      </w:r>
      <w:r w:rsidRPr="0055435C">
        <w:rPr>
          <w:rFonts w:cs="Times New Roman"/>
          <w:lang w:val="en-US"/>
        </w:rPr>
        <w:t xml:space="preserve">Folkhälsan Research Center, Helsinki, Finland; </w:t>
      </w:r>
      <w:r w:rsidRPr="0055435C">
        <w:rPr>
          <w:rFonts w:cs="Times New Roman"/>
          <w:vertAlign w:val="superscript"/>
          <w:lang w:val="en-US"/>
        </w:rPr>
        <w:t>2</w:t>
      </w:r>
      <w:r w:rsidRPr="0055435C">
        <w:rPr>
          <w:rFonts w:cs="Times New Roman"/>
          <w:lang w:val="en-US"/>
        </w:rPr>
        <w:t xml:space="preserve">Gerontology Research Center and Department of Health Sciences, University of Jyvaskyla, Jyvaskyla, Finland; </w:t>
      </w:r>
      <w:r w:rsidRPr="0055435C">
        <w:rPr>
          <w:rFonts w:cs="Times New Roman"/>
          <w:vertAlign w:val="superscript"/>
          <w:lang w:val="en-US"/>
        </w:rPr>
        <w:t>3</w:t>
      </w:r>
      <w:r w:rsidRPr="0055435C">
        <w:rPr>
          <w:rFonts w:cs="Times New Roman"/>
          <w:lang w:val="en-US"/>
        </w:rPr>
        <w:t xml:space="preserve">MRC Lifecourse Epidemiology Unit, University of Southampton, Southampton General Hospital, Southampton, UK; </w:t>
      </w:r>
      <w:r w:rsidRPr="0055435C">
        <w:rPr>
          <w:rFonts w:cs="Times New Roman"/>
          <w:vertAlign w:val="superscript"/>
          <w:lang w:val="en-US"/>
        </w:rPr>
        <w:t>4</w:t>
      </w:r>
      <w:r w:rsidRPr="0055435C">
        <w:rPr>
          <w:rFonts w:cs="Times New Roman"/>
          <w:lang w:val="en-US"/>
        </w:rPr>
        <w:t xml:space="preserve">Chronic Disease Prevention Unit, National Institute for Health and Welfare, Helsinki, Finland; </w:t>
      </w:r>
      <w:r w:rsidRPr="0055435C">
        <w:rPr>
          <w:rFonts w:cs="Times New Roman"/>
          <w:vertAlign w:val="superscript"/>
          <w:lang w:val="en-US"/>
        </w:rPr>
        <w:t>5</w:t>
      </w:r>
      <w:r w:rsidRPr="0055435C">
        <w:rPr>
          <w:rFonts w:cs="Times New Roman"/>
          <w:lang w:val="en-US"/>
        </w:rPr>
        <w:t xml:space="preserve">Children’s Hospital, Helsinki University Hospital and University of Helsinki, Helsinki, Finland; </w:t>
      </w:r>
      <w:r w:rsidRPr="0055435C">
        <w:rPr>
          <w:rFonts w:cs="Times New Roman"/>
          <w:vertAlign w:val="superscript"/>
          <w:lang w:val="en-US"/>
        </w:rPr>
        <w:t>6</w:t>
      </w:r>
      <w:r w:rsidRPr="0055435C">
        <w:rPr>
          <w:rFonts w:cs="Times New Roman"/>
          <w:lang w:val="en-US"/>
        </w:rPr>
        <w:t xml:space="preserve">Department of Obstetrics and Gynecology, MRC Oulu, Oulu University Hospital and University of Oulu, Oulu, Finland; </w:t>
      </w:r>
      <w:r w:rsidR="00F07C3B" w:rsidRPr="0055435C">
        <w:rPr>
          <w:rFonts w:cs="Times New Roman"/>
          <w:vertAlign w:val="superscript"/>
          <w:lang w:val="en-US"/>
        </w:rPr>
        <w:t>7</w:t>
      </w:r>
      <w:r w:rsidR="0029604F" w:rsidRPr="0055435C">
        <w:rPr>
          <w:rFonts w:cs="Times New Roman"/>
          <w:lang w:val="en-US"/>
        </w:rPr>
        <w:t>University of Oxford</w:t>
      </w:r>
      <w:r w:rsidR="00F07C3B" w:rsidRPr="0055435C">
        <w:rPr>
          <w:rFonts w:cs="Times New Roman"/>
          <w:lang w:val="en-US"/>
        </w:rPr>
        <w:t>, Oxford, UK</w:t>
      </w:r>
      <w:r w:rsidR="0029604F" w:rsidRPr="0055435C">
        <w:rPr>
          <w:rFonts w:cs="Times New Roman"/>
          <w:lang w:val="en-US"/>
        </w:rPr>
        <w:t xml:space="preserve">; </w:t>
      </w:r>
      <w:r w:rsidR="00F07C3B" w:rsidRPr="0055435C">
        <w:rPr>
          <w:rFonts w:cs="Times New Roman"/>
          <w:vertAlign w:val="superscript"/>
          <w:lang w:val="en-US"/>
        </w:rPr>
        <w:t>8</w:t>
      </w:r>
      <w:r w:rsidR="0029604F" w:rsidRPr="0055435C">
        <w:rPr>
          <w:rFonts w:cs="Times New Roman"/>
          <w:lang w:val="en-US"/>
        </w:rPr>
        <w:t xml:space="preserve">Division of Endocrinology, Department of Medicine, Helsinki University Hospital, Helsinki, Finland; </w:t>
      </w:r>
      <w:r w:rsidR="00F07C3B" w:rsidRPr="0055435C">
        <w:rPr>
          <w:rFonts w:cs="Times New Roman"/>
          <w:vertAlign w:val="superscript"/>
          <w:lang w:val="en-US"/>
        </w:rPr>
        <w:t>9</w:t>
      </w:r>
      <w:r w:rsidRPr="0055435C">
        <w:rPr>
          <w:rFonts w:cs="Times New Roman"/>
          <w:lang w:val="en-US"/>
        </w:rPr>
        <w:t>Department of General Practice and Primary Health Care University of Helsinki and Helsinki University Hospital, Helsinki, Finland</w:t>
      </w:r>
    </w:p>
    <w:p w14:paraId="5274F804" w14:textId="77777777" w:rsidR="00293E15" w:rsidRPr="0055435C" w:rsidRDefault="00293E15" w:rsidP="00AB7918">
      <w:pPr>
        <w:spacing w:line="480" w:lineRule="auto"/>
        <w:rPr>
          <w:rFonts w:cs="Times New Roman"/>
          <w:lang w:val="en-US"/>
        </w:rPr>
      </w:pPr>
    </w:p>
    <w:p w14:paraId="6C5B99FA" w14:textId="1532FCF9" w:rsidR="00781447" w:rsidRPr="0055435C" w:rsidRDefault="00293E15" w:rsidP="00AB7918">
      <w:pPr>
        <w:spacing w:line="480" w:lineRule="auto"/>
        <w:rPr>
          <w:rFonts w:cs="Times New Roman"/>
          <w:lang w:val="en-US"/>
        </w:rPr>
      </w:pPr>
      <w:r w:rsidRPr="0055435C">
        <w:rPr>
          <w:rFonts w:cs="Times New Roman"/>
          <w:lang w:val="en-US"/>
        </w:rPr>
        <w:t xml:space="preserve">Corresponding author: Tuija M. Mikkola, </w:t>
      </w:r>
      <w:r w:rsidR="00EB3D39" w:rsidRPr="0055435C">
        <w:rPr>
          <w:rFonts w:cs="Times New Roman"/>
          <w:lang w:val="en-US"/>
        </w:rPr>
        <w:t>Folkhälsan Research Center</w:t>
      </w:r>
      <w:r w:rsidRPr="0055435C">
        <w:rPr>
          <w:rFonts w:cs="Times New Roman"/>
          <w:lang w:val="en-US"/>
        </w:rPr>
        <w:t xml:space="preserve">, </w:t>
      </w:r>
      <w:r w:rsidR="00EB3D39" w:rsidRPr="0055435C">
        <w:rPr>
          <w:rFonts w:cs="Times New Roman"/>
          <w:lang w:val="en-US"/>
        </w:rPr>
        <w:t>Topeliuksenkatu 20</w:t>
      </w:r>
      <w:r w:rsidRPr="0055435C">
        <w:rPr>
          <w:rFonts w:cs="Times New Roman"/>
          <w:lang w:val="en-US"/>
        </w:rPr>
        <w:t xml:space="preserve">, </w:t>
      </w:r>
      <w:r w:rsidR="00EB3D39" w:rsidRPr="0055435C">
        <w:rPr>
          <w:rFonts w:cs="Times New Roman"/>
          <w:lang w:val="en-US"/>
        </w:rPr>
        <w:t>00250 Helsinki, Finland, tel. +358 44 488 3045</w:t>
      </w:r>
      <w:r w:rsidRPr="0055435C">
        <w:rPr>
          <w:rFonts w:cs="Times New Roman"/>
          <w:lang w:val="en-US"/>
        </w:rPr>
        <w:t xml:space="preserve">, email </w:t>
      </w:r>
      <w:r w:rsidR="00EB3D39" w:rsidRPr="0055435C">
        <w:rPr>
          <w:rFonts w:cs="Times New Roman"/>
          <w:lang w:val="en-US"/>
        </w:rPr>
        <w:t>tuija.mikkola@folkhalsan</w:t>
      </w:r>
      <w:r w:rsidR="00781447" w:rsidRPr="0055435C">
        <w:rPr>
          <w:rFonts w:cs="Times New Roman"/>
          <w:lang w:val="en-US"/>
        </w:rPr>
        <w:t>.fi</w:t>
      </w:r>
    </w:p>
    <w:p w14:paraId="112EF493" w14:textId="77777777" w:rsidR="00781447" w:rsidRPr="0055435C" w:rsidRDefault="00781447" w:rsidP="00AB7918">
      <w:pPr>
        <w:spacing w:line="480" w:lineRule="auto"/>
        <w:rPr>
          <w:lang w:val="en-US"/>
        </w:rPr>
      </w:pPr>
    </w:p>
    <w:p w14:paraId="51695C7B" w14:textId="77777777" w:rsidR="00D14FB4" w:rsidRPr="0055435C" w:rsidRDefault="00D14FB4" w:rsidP="00AB7918">
      <w:pPr>
        <w:spacing w:line="480" w:lineRule="auto"/>
        <w:rPr>
          <w:lang w:val="en-US"/>
        </w:rPr>
      </w:pPr>
    </w:p>
    <w:p w14:paraId="520DB38C" w14:textId="77777777" w:rsidR="00D14FB4" w:rsidRPr="0055435C" w:rsidRDefault="00D14FB4" w:rsidP="00AB7918">
      <w:pPr>
        <w:spacing w:line="480" w:lineRule="auto"/>
        <w:rPr>
          <w:b/>
          <w:lang w:val="en-US"/>
        </w:rPr>
      </w:pPr>
      <w:r w:rsidRPr="0055435C">
        <w:rPr>
          <w:b/>
          <w:lang w:val="en-US"/>
        </w:rPr>
        <w:lastRenderedPageBreak/>
        <w:t>CONFLICT OF INTEREST</w:t>
      </w:r>
    </w:p>
    <w:p w14:paraId="72ADEC08" w14:textId="77777777" w:rsidR="00D14FB4" w:rsidRPr="0055435C" w:rsidRDefault="00D14FB4" w:rsidP="00AB7918">
      <w:pPr>
        <w:spacing w:line="480" w:lineRule="auto"/>
        <w:rPr>
          <w:lang w:val="en-US"/>
        </w:rPr>
      </w:pPr>
      <w:r w:rsidRPr="0055435C">
        <w:rPr>
          <w:lang w:val="en-US"/>
        </w:rPr>
        <w:t>Cyrus Cooper has received consultancy fees and honoraria from Alliance for Better Bone Health, Amgen, Eli Lilly, GSK, Medtronic, Merck, Novartis, Pfizer, Roche, Servier, Takeda and UCB. Tuija M. Mikkola, Mikaela B. von Bonsdorff, Clive Osmond, Minna K. Salonen, Eero Kajantie, Matti J. Välimäki, and Johan G. Eriksson declare that they have no conflict of interest.</w:t>
      </w:r>
    </w:p>
    <w:p w14:paraId="1544D782" w14:textId="77777777" w:rsidR="00D14FB4" w:rsidRPr="0055435C" w:rsidRDefault="00D14FB4" w:rsidP="00AB7918">
      <w:pPr>
        <w:spacing w:line="480" w:lineRule="auto"/>
        <w:rPr>
          <w:lang w:val="en-US"/>
        </w:rPr>
      </w:pPr>
    </w:p>
    <w:p w14:paraId="0D0C5F96" w14:textId="77777777" w:rsidR="00D14FB4" w:rsidRPr="0055435C" w:rsidRDefault="00D14FB4" w:rsidP="00AB7918">
      <w:pPr>
        <w:pStyle w:val="Heading1"/>
        <w:spacing w:line="480" w:lineRule="auto"/>
        <w:rPr>
          <w:color w:val="auto"/>
          <w:lang w:val="en-US"/>
        </w:rPr>
      </w:pPr>
      <w:r w:rsidRPr="0055435C">
        <w:rPr>
          <w:color w:val="auto"/>
          <w:lang w:val="en-US"/>
        </w:rPr>
        <w:t>Acknowledgements</w:t>
      </w:r>
    </w:p>
    <w:p w14:paraId="2EBBAA4D" w14:textId="77777777" w:rsidR="00D14FB4" w:rsidRPr="0055435C" w:rsidRDefault="00D14FB4" w:rsidP="00AB7918">
      <w:pPr>
        <w:spacing w:line="480" w:lineRule="auto"/>
        <w:rPr>
          <w:b/>
          <w:lang w:val="en-US"/>
        </w:rPr>
      </w:pPr>
    </w:p>
    <w:p w14:paraId="70811746" w14:textId="71D347B0" w:rsidR="00D14FB4" w:rsidRPr="0055435C" w:rsidRDefault="00D14FB4" w:rsidP="00AB7918">
      <w:pPr>
        <w:spacing w:line="480" w:lineRule="auto"/>
        <w:rPr>
          <w:lang w:val="en-US"/>
        </w:rPr>
      </w:pPr>
      <w:r w:rsidRPr="0055435C">
        <w:rPr>
          <w:rFonts w:cs="Times New Roman"/>
          <w:lang w:val="en-US"/>
        </w:rPr>
        <w:t>HBCS was financially supported by Emil Aaltonen Foundation, Finnish Foundation for Diabetes Research, Novo Nordisk Foundation, Signe and Ane Gyllenberg Foundation, Samfundet Folkhälsan, Finska Läkaresällskapet, Liv och Hälsa, European Commission within the 7th Framework Programme (DORIAN, grant agreement no. 278603) and European Union Horizon 2020 programme (</w:t>
      </w:r>
      <w:r w:rsidR="00EE04A2" w:rsidRPr="0055435C">
        <w:rPr>
          <w:rFonts w:cs="Times New Roman"/>
          <w:lang w:val="en-US"/>
        </w:rPr>
        <w:t xml:space="preserve">DYNAHEALTH </w:t>
      </w:r>
      <w:r w:rsidRPr="0055435C">
        <w:rPr>
          <w:rFonts w:cs="Times New Roman"/>
          <w:lang w:val="en-US"/>
        </w:rPr>
        <w:t>grant no. 633595). The Academy of Finland supported M.B.v.B. (grant no. 257239); E.K. (grant no. 127437, 129306, 130326, 134791, and 2639249), and J.G.E. (grant no. 129369, 129907, 135072, 129255, and 126775).</w:t>
      </w:r>
    </w:p>
    <w:p w14:paraId="2366C753" w14:textId="77777777" w:rsidR="00781447" w:rsidRPr="0055435C" w:rsidRDefault="00781447" w:rsidP="00AB7918">
      <w:pPr>
        <w:spacing w:line="480" w:lineRule="auto"/>
        <w:rPr>
          <w:rFonts w:cs="Times New Roman"/>
          <w:u w:val="single"/>
          <w:lang w:val="en-US"/>
        </w:rPr>
      </w:pPr>
    </w:p>
    <w:p w14:paraId="38F98E66" w14:textId="77777777" w:rsidR="00293E15" w:rsidRPr="0055435C" w:rsidRDefault="00293E15" w:rsidP="00AB7918">
      <w:pPr>
        <w:spacing w:line="480" w:lineRule="auto"/>
        <w:rPr>
          <w:rFonts w:cs="Times New Roman"/>
          <w:lang w:val="en-US"/>
        </w:rPr>
      </w:pPr>
    </w:p>
    <w:p w14:paraId="0C17A7EE" w14:textId="77777777" w:rsidR="00866B4C" w:rsidRPr="0055435C" w:rsidRDefault="00866B4C" w:rsidP="00AB7918">
      <w:pPr>
        <w:spacing w:line="480" w:lineRule="auto"/>
        <w:rPr>
          <w:lang w:val="en-US"/>
        </w:rPr>
      </w:pPr>
    </w:p>
    <w:p w14:paraId="029202B9" w14:textId="77777777" w:rsidR="00781447" w:rsidRPr="0055435C" w:rsidRDefault="00781447" w:rsidP="00AB7918">
      <w:pPr>
        <w:rPr>
          <w:rFonts w:eastAsiaTheme="majorEastAsia" w:cstheme="majorBidi"/>
          <w:b/>
          <w:bCs/>
          <w:caps/>
          <w:szCs w:val="28"/>
          <w:lang w:val="en-US"/>
        </w:rPr>
      </w:pPr>
      <w:r w:rsidRPr="0055435C">
        <w:rPr>
          <w:lang w:val="en-US"/>
        </w:rPr>
        <w:br w:type="page"/>
      </w:r>
    </w:p>
    <w:p w14:paraId="367F1B98" w14:textId="77777777" w:rsidR="00C4502D" w:rsidRPr="0055435C" w:rsidRDefault="00C4502D" w:rsidP="00AB7918">
      <w:pPr>
        <w:pStyle w:val="Heading1"/>
        <w:spacing w:line="480" w:lineRule="auto"/>
        <w:rPr>
          <w:color w:val="auto"/>
          <w:lang w:val="en-US"/>
        </w:rPr>
      </w:pPr>
      <w:r w:rsidRPr="0055435C">
        <w:rPr>
          <w:color w:val="auto"/>
          <w:lang w:val="en-US"/>
        </w:rPr>
        <w:lastRenderedPageBreak/>
        <w:t>Abstract</w:t>
      </w:r>
    </w:p>
    <w:p w14:paraId="45526C63" w14:textId="77777777" w:rsidR="00866B4C" w:rsidRPr="0055435C" w:rsidRDefault="00866B4C" w:rsidP="00AB7918">
      <w:pPr>
        <w:spacing w:line="480" w:lineRule="auto"/>
        <w:rPr>
          <w:lang w:val="en-US"/>
        </w:rPr>
      </w:pPr>
    </w:p>
    <w:p w14:paraId="0614FE77" w14:textId="77777777" w:rsidR="006D3314" w:rsidRPr="0055435C" w:rsidRDefault="006D3314" w:rsidP="00AB7918">
      <w:pPr>
        <w:spacing w:line="480" w:lineRule="auto"/>
        <w:rPr>
          <w:lang w:val="en-US"/>
        </w:rPr>
      </w:pPr>
      <w:r w:rsidRPr="0055435C">
        <w:rPr>
          <w:b/>
          <w:lang w:val="en-US"/>
        </w:rPr>
        <w:t>Purpose</w:t>
      </w:r>
      <w:r w:rsidRPr="0055435C">
        <w:rPr>
          <w:lang w:val="en-US"/>
        </w:rPr>
        <w:t xml:space="preserve"> </w:t>
      </w:r>
      <w:r w:rsidR="006B10A1" w:rsidRPr="0055435C">
        <w:rPr>
          <w:lang w:val="en-US"/>
        </w:rPr>
        <w:t>We</w:t>
      </w:r>
      <w:r w:rsidR="00E20D1E" w:rsidRPr="0055435C">
        <w:rPr>
          <w:lang w:val="en-US"/>
        </w:rPr>
        <w:t xml:space="preserve"> examine</w:t>
      </w:r>
      <w:r w:rsidR="006B10A1" w:rsidRPr="0055435C">
        <w:rPr>
          <w:lang w:val="en-US"/>
        </w:rPr>
        <w:t>d</w:t>
      </w:r>
      <w:r w:rsidR="00E20D1E" w:rsidRPr="0055435C">
        <w:rPr>
          <w:lang w:val="en-US"/>
        </w:rPr>
        <w:t xml:space="preserve"> the associations </w:t>
      </w:r>
      <w:r w:rsidR="00971670" w:rsidRPr="0055435C">
        <w:rPr>
          <w:lang w:val="en-US"/>
        </w:rPr>
        <w:t>between</w:t>
      </w:r>
      <w:r w:rsidR="00E20D1E" w:rsidRPr="0055435C">
        <w:rPr>
          <w:lang w:val="en-US"/>
        </w:rPr>
        <w:t xml:space="preserve"> body size at birth and childhood growth with </w:t>
      </w:r>
      <w:r w:rsidR="00C27DF3" w:rsidRPr="0055435C">
        <w:rPr>
          <w:lang w:val="en-US"/>
        </w:rPr>
        <w:t xml:space="preserve">bone area, </w:t>
      </w:r>
      <w:r w:rsidR="00E20D1E" w:rsidRPr="0055435C">
        <w:rPr>
          <w:lang w:val="en-US"/>
        </w:rPr>
        <w:t xml:space="preserve">bone mineral content </w:t>
      </w:r>
      <w:r w:rsidR="00FC597F" w:rsidRPr="0055435C">
        <w:rPr>
          <w:lang w:val="en-US"/>
        </w:rPr>
        <w:t xml:space="preserve">(BMC) </w:t>
      </w:r>
      <w:r w:rsidR="00E20D1E" w:rsidRPr="0055435C">
        <w:rPr>
          <w:lang w:val="en-US"/>
        </w:rPr>
        <w:t xml:space="preserve">and </w:t>
      </w:r>
      <w:r w:rsidR="00745E82" w:rsidRPr="0055435C">
        <w:rPr>
          <w:lang w:val="en-US"/>
        </w:rPr>
        <w:t xml:space="preserve">areal bone mineral </w:t>
      </w:r>
      <w:r w:rsidR="00E20D1E" w:rsidRPr="0055435C">
        <w:rPr>
          <w:lang w:val="en-US"/>
        </w:rPr>
        <w:t>density</w:t>
      </w:r>
      <w:r w:rsidR="00FC597F" w:rsidRPr="0055435C">
        <w:rPr>
          <w:lang w:val="en-US"/>
        </w:rPr>
        <w:t xml:space="preserve"> (</w:t>
      </w:r>
      <w:r w:rsidR="00745E82" w:rsidRPr="0055435C">
        <w:rPr>
          <w:lang w:val="en-US"/>
        </w:rPr>
        <w:t>a</w:t>
      </w:r>
      <w:r w:rsidR="00FC597F" w:rsidRPr="0055435C">
        <w:rPr>
          <w:lang w:val="en-US"/>
        </w:rPr>
        <w:t>BMD)</w:t>
      </w:r>
      <w:r w:rsidR="00E20D1E" w:rsidRPr="0055435C">
        <w:rPr>
          <w:lang w:val="en-US"/>
        </w:rPr>
        <w:t xml:space="preserve"> in </w:t>
      </w:r>
      <w:r w:rsidR="009E330D" w:rsidRPr="0055435C">
        <w:rPr>
          <w:lang w:val="en-US"/>
        </w:rPr>
        <w:t xml:space="preserve">early old age. </w:t>
      </w:r>
    </w:p>
    <w:p w14:paraId="6E72CF4E" w14:textId="19AB8DB4" w:rsidR="006D3314" w:rsidRPr="0055435C" w:rsidRDefault="006D3314" w:rsidP="00AB7918">
      <w:pPr>
        <w:spacing w:line="480" w:lineRule="auto"/>
        <w:rPr>
          <w:lang w:val="en-US"/>
        </w:rPr>
      </w:pPr>
      <w:r w:rsidRPr="0055435C">
        <w:rPr>
          <w:b/>
          <w:lang w:val="en-US"/>
        </w:rPr>
        <w:t>Methods</w:t>
      </w:r>
      <w:r w:rsidRPr="0055435C">
        <w:rPr>
          <w:lang w:val="en-US"/>
        </w:rPr>
        <w:t xml:space="preserve"> </w:t>
      </w:r>
      <w:r w:rsidR="00EE04A2" w:rsidRPr="0055435C">
        <w:rPr>
          <w:lang w:val="en-US"/>
        </w:rPr>
        <w:t>A subgroup of w</w:t>
      </w:r>
      <w:r w:rsidR="006737C1" w:rsidRPr="0055435C">
        <w:rPr>
          <w:lang w:val="en-US"/>
        </w:rPr>
        <w:t>omen (n=178</w:t>
      </w:r>
      <w:r w:rsidR="00B1335D" w:rsidRPr="0055435C">
        <w:rPr>
          <w:lang w:val="en-US"/>
        </w:rPr>
        <w:t>, mean 60.4 years</w:t>
      </w:r>
      <w:r w:rsidR="006737C1" w:rsidRPr="0055435C">
        <w:rPr>
          <w:lang w:val="en-US"/>
        </w:rPr>
        <w:t>) from the Helsinki Birth Cohort Study</w:t>
      </w:r>
      <w:r w:rsidR="007434D2" w:rsidRPr="0055435C">
        <w:rPr>
          <w:lang w:val="en-US"/>
        </w:rPr>
        <w:t>, born 1934-</w:t>
      </w:r>
      <w:r w:rsidR="00CD7EAB" w:rsidRPr="0055435C">
        <w:rPr>
          <w:lang w:val="en-US"/>
        </w:rPr>
        <w:t>19</w:t>
      </w:r>
      <w:r w:rsidR="007434D2" w:rsidRPr="0055435C">
        <w:rPr>
          <w:lang w:val="en-US"/>
        </w:rPr>
        <w:t>44,</w:t>
      </w:r>
      <w:r w:rsidR="006737C1" w:rsidRPr="0055435C">
        <w:rPr>
          <w:lang w:val="en-US"/>
        </w:rPr>
        <w:t xml:space="preserve"> participated in </w:t>
      </w:r>
      <w:r w:rsidR="00B80858" w:rsidRPr="0055435C">
        <w:rPr>
          <w:lang w:val="en-US"/>
        </w:rPr>
        <w:t>dual-energy X</w:t>
      </w:r>
      <w:r w:rsidR="00971670" w:rsidRPr="0055435C">
        <w:rPr>
          <w:lang w:val="en-US"/>
        </w:rPr>
        <w:t>-ray absorptiometry (</w:t>
      </w:r>
      <w:r w:rsidR="006737C1" w:rsidRPr="0055435C">
        <w:rPr>
          <w:lang w:val="en-US"/>
        </w:rPr>
        <w:t>DXA</w:t>
      </w:r>
      <w:r w:rsidR="00971670" w:rsidRPr="0055435C">
        <w:rPr>
          <w:lang w:val="en-US"/>
        </w:rPr>
        <w:t>)</w:t>
      </w:r>
      <w:r w:rsidR="006737C1" w:rsidRPr="0055435C">
        <w:rPr>
          <w:lang w:val="en-US"/>
        </w:rPr>
        <w:t xml:space="preserve"> measurements </w:t>
      </w:r>
      <w:r w:rsidR="00B1335D" w:rsidRPr="0055435C">
        <w:rPr>
          <w:lang w:val="en-US"/>
        </w:rPr>
        <w:t xml:space="preserve">of </w:t>
      </w:r>
      <w:r w:rsidR="00CD7EAB" w:rsidRPr="0055435C">
        <w:rPr>
          <w:lang w:val="en-US"/>
        </w:rPr>
        <w:t xml:space="preserve">the </w:t>
      </w:r>
      <w:r w:rsidR="00B1335D" w:rsidRPr="0055435C">
        <w:rPr>
          <w:lang w:val="en-US"/>
        </w:rPr>
        <w:t>lumbar spine and hip</w:t>
      </w:r>
      <w:r w:rsidR="001B3B5C" w:rsidRPr="0055435C">
        <w:rPr>
          <w:lang w:val="en-US"/>
        </w:rPr>
        <w:t>. H</w:t>
      </w:r>
      <w:r w:rsidR="007434D2" w:rsidRPr="0055435C">
        <w:rPr>
          <w:lang w:val="en-US"/>
        </w:rPr>
        <w:t>eight and weight</w:t>
      </w:r>
      <w:r w:rsidR="00CC2D56" w:rsidRPr="0055435C">
        <w:rPr>
          <w:lang w:val="en-US"/>
        </w:rPr>
        <w:t xml:space="preserve"> at 0, 2, 7, and 11 years</w:t>
      </w:r>
      <w:r w:rsidR="001B3B5C" w:rsidRPr="0055435C">
        <w:rPr>
          <w:lang w:val="en-US"/>
        </w:rPr>
        <w:t xml:space="preserve">, </w:t>
      </w:r>
      <w:r w:rsidR="007434D2" w:rsidRPr="0055435C">
        <w:rPr>
          <w:lang w:val="en-US"/>
        </w:rPr>
        <w:t>obtained from health care records</w:t>
      </w:r>
      <w:r w:rsidR="001B3B5C" w:rsidRPr="0055435C">
        <w:rPr>
          <w:lang w:val="en-US"/>
        </w:rPr>
        <w:t>,</w:t>
      </w:r>
      <w:r w:rsidR="00F635D5" w:rsidRPr="0055435C">
        <w:rPr>
          <w:lang w:val="en-US"/>
        </w:rPr>
        <w:t xml:space="preserve"> were reconstructed into conditional variables represent</w:t>
      </w:r>
      <w:r w:rsidR="001B3B5C" w:rsidRPr="0055435C">
        <w:rPr>
          <w:lang w:val="en-US"/>
        </w:rPr>
        <w:t>ing</w:t>
      </w:r>
      <w:r w:rsidR="00F635D5" w:rsidRPr="0055435C">
        <w:rPr>
          <w:lang w:val="en-US"/>
        </w:rPr>
        <w:t xml:space="preserve"> growth velocity </w:t>
      </w:r>
      <w:r w:rsidR="00976066" w:rsidRPr="0055435C">
        <w:rPr>
          <w:lang w:val="en-US"/>
        </w:rPr>
        <w:t>independent of</w:t>
      </w:r>
      <w:r w:rsidR="00F635D5" w:rsidRPr="0055435C">
        <w:rPr>
          <w:lang w:val="en-US"/>
        </w:rPr>
        <w:t xml:space="preserve"> earlier growth. Weight was adjusted for </w:t>
      </w:r>
      <w:r w:rsidR="00C27DF3" w:rsidRPr="0055435C">
        <w:rPr>
          <w:lang w:val="en-US"/>
        </w:rPr>
        <w:t>corresponding</w:t>
      </w:r>
      <w:r w:rsidR="00F635D5" w:rsidRPr="0055435C">
        <w:rPr>
          <w:lang w:val="en-US"/>
        </w:rPr>
        <w:t xml:space="preserve"> height. </w:t>
      </w:r>
      <w:r w:rsidR="00976066" w:rsidRPr="0055435C">
        <w:rPr>
          <w:lang w:val="en-US"/>
        </w:rPr>
        <w:t>L</w:t>
      </w:r>
      <w:r w:rsidR="00CB780F" w:rsidRPr="0055435C">
        <w:rPr>
          <w:lang w:val="en-US"/>
        </w:rPr>
        <w:t xml:space="preserve">inear regression models </w:t>
      </w:r>
      <w:r w:rsidR="00FC597F" w:rsidRPr="0055435C">
        <w:rPr>
          <w:lang w:val="en-US"/>
        </w:rPr>
        <w:t xml:space="preserve">were adjusted </w:t>
      </w:r>
      <w:r w:rsidR="00976066" w:rsidRPr="0055435C">
        <w:rPr>
          <w:lang w:val="en-US"/>
        </w:rPr>
        <w:t>for multiple confounders.</w:t>
      </w:r>
    </w:p>
    <w:p w14:paraId="208D7F68" w14:textId="6567F91F" w:rsidR="00DC5DC1" w:rsidRPr="0055435C" w:rsidRDefault="006D3314" w:rsidP="00AB7918">
      <w:pPr>
        <w:spacing w:line="480" w:lineRule="auto"/>
        <w:rPr>
          <w:lang w:val="en-US"/>
        </w:rPr>
      </w:pPr>
      <w:r w:rsidRPr="0055435C">
        <w:rPr>
          <w:b/>
          <w:lang w:val="en-US"/>
        </w:rPr>
        <w:t>Results</w:t>
      </w:r>
      <w:r w:rsidRPr="0055435C">
        <w:rPr>
          <w:lang w:val="en-US"/>
        </w:rPr>
        <w:t xml:space="preserve"> </w:t>
      </w:r>
      <w:r w:rsidR="00976066" w:rsidRPr="0055435C">
        <w:rPr>
          <w:lang w:val="en-US"/>
        </w:rPr>
        <w:t>Birth length and g</w:t>
      </w:r>
      <w:r w:rsidR="00DC5DC1" w:rsidRPr="0055435C">
        <w:rPr>
          <w:rFonts w:cs="Times New Roman"/>
          <w:lang w:val="en-US"/>
        </w:rPr>
        <w:t xml:space="preserve">rowth in </w:t>
      </w:r>
      <w:r w:rsidR="00DC5DC1" w:rsidRPr="0055435C">
        <w:rPr>
          <w:lang w:val="en-US"/>
        </w:rPr>
        <w:t>h</w:t>
      </w:r>
      <w:r w:rsidR="00825B06" w:rsidRPr="0055435C">
        <w:rPr>
          <w:rFonts w:cs="Times New Roman"/>
          <w:lang w:val="en-US"/>
        </w:rPr>
        <w:t>eight</w:t>
      </w:r>
      <w:r w:rsidR="00DC5DC1" w:rsidRPr="0055435C">
        <w:rPr>
          <w:rFonts w:cs="Times New Roman"/>
          <w:lang w:val="en-US"/>
        </w:rPr>
        <w:t xml:space="preserve"> </w:t>
      </w:r>
      <w:r w:rsidR="007404E6" w:rsidRPr="0055435C">
        <w:rPr>
          <w:rFonts w:cs="Times New Roman"/>
          <w:lang w:val="en-US"/>
        </w:rPr>
        <w:t>before 7 years</w:t>
      </w:r>
      <w:r w:rsidR="001A7F2A" w:rsidRPr="0055435C">
        <w:rPr>
          <w:rFonts w:cs="Times New Roman"/>
          <w:lang w:val="en-US"/>
        </w:rPr>
        <w:t xml:space="preserve"> of age</w:t>
      </w:r>
      <w:r w:rsidR="007404E6" w:rsidRPr="0055435C">
        <w:rPr>
          <w:rFonts w:cs="Times New Roman"/>
          <w:lang w:val="en-US"/>
        </w:rPr>
        <w:t xml:space="preserve"> w</w:t>
      </w:r>
      <w:r w:rsidR="00976066" w:rsidRPr="0055435C">
        <w:rPr>
          <w:rFonts w:cs="Times New Roman"/>
          <w:lang w:val="en-US"/>
        </w:rPr>
        <w:t>ere</w:t>
      </w:r>
      <w:r w:rsidR="00825B06" w:rsidRPr="0055435C">
        <w:rPr>
          <w:rFonts w:cs="Times New Roman"/>
          <w:lang w:val="en-US"/>
        </w:rPr>
        <w:t xml:space="preserve"> </w:t>
      </w:r>
      <w:r w:rsidR="00976066" w:rsidRPr="0055435C">
        <w:rPr>
          <w:rFonts w:cs="Times New Roman"/>
          <w:lang w:val="en-US"/>
        </w:rPr>
        <w:t xml:space="preserve">positively </w:t>
      </w:r>
      <w:r w:rsidR="00825B06" w:rsidRPr="0055435C">
        <w:rPr>
          <w:rFonts w:cs="Times New Roman"/>
          <w:lang w:val="en-US"/>
        </w:rPr>
        <w:t xml:space="preserve">associated with </w:t>
      </w:r>
      <w:r w:rsidR="00825B06" w:rsidRPr="0055435C">
        <w:rPr>
          <w:lang w:val="en-US"/>
        </w:rPr>
        <w:t>f</w:t>
      </w:r>
      <w:r w:rsidR="00825B06" w:rsidRPr="0055435C">
        <w:rPr>
          <w:rFonts w:cs="Times New Roman"/>
          <w:lang w:val="en-US"/>
        </w:rPr>
        <w:t xml:space="preserve">emoral neck </w:t>
      </w:r>
      <w:r w:rsidR="007404E6" w:rsidRPr="0055435C">
        <w:rPr>
          <w:rFonts w:cs="Times New Roman"/>
          <w:lang w:val="en-US"/>
        </w:rPr>
        <w:t xml:space="preserve">area </w:t>
      </w:r>
      <w:r w:rsidR="00FA74EA" w:rsidRPr="0055435C">
        <w:rPr>
          <w:rFonts w:cs="Times New Roman"/>
          <w:lang w:val="en-US"/>
        </w:rPr>
        <w:t xml:space="preserve">(p&lt;0.05) </w:t>
      </w:r>
      <w:r w:rsidR="00825B06" w:rsidRPr="0055435C">
        <w:rPr>
          <w:rFonts w:cs="Times New Roman"/>
          <w:lang w:val="en-US"/>
        </w:rPr>
        <w:t xml:space="preserve">and </w:t>
      </w:r>
      <w:r w:rsidR="007404E6" w:rsidRPr="0055435C">
        <w:rPr>
          <w:rFonts w:cs="Times New Roman"/>
          <w:lang w:val="en-US"/>
        </w:rPr>
        <w:t xml:space="preserve">growth in height at all age periods studied with </w:t>
      </w:r>
      <w:r w:rsidR="00825B06" w:rsidRPr="0055435C">
        <w:rPr>
          <w:rFonts w:cs="Times New Roman"/>
          <w:lang w:val="en-US"/>
        </w:rPr>
        <w:t xml:space="preserve">spine bone area </w:t>
      </w:r>
      <w:r w:rsidR="00FA74EA" w:rsidRPr="0055435C">
        <w:rPr>
          <w:rFonts w:cs="Times New Roman"/>
          <w:lang w:val="en-US"/>
        </w:rPr>
        <w:t>(p&lt;0.01)</w:t>
      </w:r>
      <w:r w:rsidR="00EE04A2" w:rsidRPr="0055435C">
        <w:rPr>
          <w:lang w:val="en-US"/>
        </w:rPr>
        <w:t>.</w:t>
      </w:r>
      <w:r w:rsidR="00825B06" w:rsidRPr="0055435C">
        <w:rPr>
          <w:lang w:val="en-US"/>
        </w:rPr>
        <w:t xml:space="preserve"> </w:t>
      </w:r>
      <w:r w:rsidR="00DC5DC1" w:rsidRPr="0055435C">
        <w:rPr>
          <w:lang w:val="en-US"/>
        </w:rPr>
        <w:t>Growth in height before the age of 7 years was asso</w:t>
      </w:r>
      <w:r w:rsidR="001A7F2A" w:rsidRPr="0055435C">
        <w:rPr>
          <w:lang w:val="en-US"/>
        </w:rPr>
        <w:t>ciated with BMC</w:t>
      </w:r>
      <w:r w:rsidR="00FA74EA" w:rsidRPr="0055435C">
        <w:rPr>
          <w:lang w:val="en-US"/>
        </w:rPr>
        <w:t xml:space="preserve"> in the femoral neck (p&lt;0.01</w:t>
      </w:r>
      <w:r w:rsidR="00976066" w:rsidRPr="0055435C">
        <w:rPr>
          <w:lang w:val="en-US"/>
        </w:rPr>
        <w:t>)</w:t>
      </w:r>
      <w:r w:rsidR="00FA74EA" w:rsidRPr="0055435C">
        <w:rPr>
          <w:lang w:val="en-US"/>
        </w:rPr>
        <w:t xml:space="preserve"> and</w:t>
      </w:r>
      <w:r w:rsidR="00976066" w:rsidRPr="0055435C">
        <w:rPr>
          <w:lang w:val="en-US"/>
        </w:rPr>
        <w:t xml:space="preserve"> birth length and growth</w:t>
      </w:r>
      <w:r w:rsidR="00FC56C4" w:rsidRPr="0055435C">
        <w:rPr>
          <w:lang w:val="en-US"/>
        </w:rPr>
        <w:t xml:space="preserve"> in height</w:t>
      </w:r>
      <w:r w:rsidR="00976066" w:rsidRPr="0055435C">
        <w:rPr>
          <w:lang w:val="en-US"/>
        </w:rPr>
        <w:t xml:space="preserve"> before the age of 7 years were associated with </w:t>
      </w:r>
      <w:r w:rsidR="001A7F2A" w:rsidRPr="0055435C">
        <w:rPr>
          <w:lang w:val="en-US"/>
        </w:rPr>
        <w:t>BMC</w:t>
      </w:r>
      <w:r w:rsidR="00976066" w:rsidRPr="0055435C">
        <w:rPr>
          <w:lang w:val="en-US"/>
        </w:rPr>
        <w:t xml:space="preserve"> in the spine (</w:t>
      </w:r>
      <w:r w:rsidR="00FA74EA" w:rsidRPr="0055435C">
        <w:rPr>
          <w:lang w:val="en-US"/>
        </w:rPr>
        <w:t>p&lt;0.</w:t>
      </w:r>
      <w:r w:rsidR="00976066" w:rsidRPr="0055435C">
        <w:rPr>
          <w:lang w:val="en-US"/>
        </w:rPr>
        <w:t>05</w:t>
      </w:r>
      <w:r w:rsidR="00FA74EA" w:rsidRPr="0055435C">
        <w:rPr>
          <w:lang w:val="en-US"/>
        </w:rPr>
        <w:t>)</w:t>
      </w:r>
      <w:r w:rsidR="00976066" w:rsidRPr="0055435C">
        <w:rPr>
          <w:lang w:val="en-US"/>
        </w:rPr>
        <w:t>.</w:t>
      </w:r>
      <w:r w:rsidR="00DC5DC1" w:rsidRPr="0055435C">
        <w:rPr>
          <w:lang w:val="en-US"/>
        </w:rPr>
        <w:t xml:space="preserve"> </w:t>
      </w:r>
      <w:r w:rsidR="007404E6" w:rsidRPr="0055435C">
        <w:rPr>
          <w:lang w:val="en-US"/>
        </w:rPr>
        <w:t>A</w:t>
      </w:r>
      <w:r w:rsidR="00DC5DC1" w:rsidRPr="0055435C">
        <w:rPr>
          <w:lang w:val="en-US"/>
        </w:rPr>
        <w:t xml:space="preserve">fter entering adult height into the models, nearly all associations disappeared. Weight gain during childhood was not associated with bone area or </w:t>
      </w:r>
      <w:r w:rsidR="001A7F2A" w:rsidRPr="0055435C">
        <w:rPr>
          <w:lang w:val="en-US"/>
        </w:rPr>
        <w:t>BMC</w:t>
      </w:r>
      <w:r w:rsidR="00976066" w:rsidRPr="0055435C">
        <w:rPr>
          <w:lang w:val="en-US"/>
        </w:rPr>
        <w:t>, and</w:t>
      </w:r>
      <w:r w:rsidR="00DC5DC1" w:rsidRPr="0055435C">
        <w:rPr>
          <w:lang w:val="en-US"/>
        </w:rPr>
        <w:t xml:space="preserve"> </w:t>
      </w:r>
      <w:r w:rsidR="00976066" w:rsidRPr="0055435C">
        <w:rPr>
          <w:lang w:val="en-US"/>
        </w:rPr>
        <w:t>aBMD was not associated with early growth.</w:t>
      </w:r>
    </w:p>
    <w:p w14:paraId="04D2C944" w14:textId="4C8B43CE" w:rsidR="003A4CCC" w:rsidRPr="0055435C" w:rsidRDefault="00DC5DC1" w:rsidP="00AB7918">
      <w:pPr>
        <w:spacing w:line="480" w:lineRule="auto"/>
        <w:rPr>
          <w:lang w:val="en-US"/>
        </w:rPr>
      </w:pPr>
      <w:r w:rsidRPr="0055435C">
        <w:rPr>
          <w:lang w:val="en-US"/>
        </w:rPr>
        <w:t xml:space="preserve"> </w:t>
      </w:r>
      <w:r w:rsidR="006D3314" w:rsidRPr="0055435C">
        <w:rPr>
          <w:b/>
          <w:lang w:val="en-US"/>
        </w:rPr>
        <w:t>Conclusions</w:t>
      </w:r>
      <w:r w:rsidR="006D3314" w:rsidRPr="0055435C">
        <w:rPr>
          <w:lang w:val="en-US"/>
        </w:rPr>
        <w:t xml:space="preserve"> </w:t>
      </w:r>
      <w:r w:rsidR="00AB7918" w:rsidRPr="0055435C">
        <w:rPr>
          <w:lang w:val="en-US"/>
        </w:rPr>
        <w:t>Optimal</w:t>
      </w:r>
      <w:r w:rsidRPr="0055435C">
        <w:rPr>
          <w:lang w:val="en-US"/>
        </w:rPr>
        <w:t xml:space="preserve"> growth in height </w:t>
      </w:r>
      <w:r w:rsidR="000F2784" w:rsidRPr="0055435C">
        <w:rPr>
          <w:lang w:val="en-US"/>
        </w:rPr>
        <w:t>in girls</w:t>
      </w:r>
      <w:r w:rsidRPr="0055435C">
        <w:rPr>
          <w:lang w:val="en-US"/>
        </w:rPr>
        <w:t xml:space="preserve"> is important for obtaining larger skeleton and </w:t>
      </w:r>
      <w:r w:rsidR="007404E6" w:rsidRPr="0055435C">
        <w:rPr>
          <w:lang w:val="en-US"/>
        </w:rPr>
        <w:t xml:space="preserve">consequently higher bone mass. </w:t>
      </w:r>
      <w:r w:rsidR="00AB7918" w:rsidRPr="0055435C">
        <w:rPr>
          <w:lang w:val="en-US"/>
        </w:rPr>
        <w:t>However, w</w:t>
      </w:r>
      <w:r w:rsidRPr="0055435C">
        <w:rPr>
          <w:lang w:val="en-US"/>
        </w:rPr>
        <w:t>hen predicting bone mineral mass</w:t>
      </w:r>
      <w:r w:rsidR="000F2784" w:rsidRPr="0055435C">
        <w:rPr>
          <w:lang w:val="en-US"/>
        </w:rPr>
        <w:t xml:space="preserve"> among </w:t>
      </w:r>
      <w:r w:rsidR="00EE04A2" w:rsidRPr="0055435C">
        <w:rPr>
          <w:lang w:val="en-US"/>
        </w:rPr>
        <w:t xml:space="preserve">elderly </w:t>
      </w:r>
      <w:r w:rsidR="000F2784" w:rsidRPr="0055435C">
        <w:rPr>
          <w:lang w:val="en-US"/>
        </w:rPr>
        <w:t xml:space="preserve">women, </w:t>
      </w:r>
      <w:r w:rsidR="00EE04A2" w:rsidRPr="0055435C">
        <w:rPr>
          <w:lang w:val="en-US"/>
        </w:rPr>
        <w:t xml:space="preserve">information on </w:t>
      </w:r>
      <w:r w:rsidR="007404E6" w:rsidRPr="0055435C">
        <w:rPr>
          <w:lang w:val="en-US"/>
        </w:rPr>
        <w:t>early</w:t>
      </w:r>
      <w:r w:rsidRPr="0055435C">
        <w:rPr>
          <w:lang w:val="en-US"/>
        </w:rPr>
        <w:t xml:space="preserve"> growth</w:t>
      </w:r>
      <w:r w:rsidR="007404E6" w:rsidRPr="0055435C">
        <w:rPr>
          <w:lang w:val="en-US"/>
        </w:rPr>
        <w:t xml:space="preserve"> </w:t>
      </w:r>
      <w:r w:rsidRPr="0055435C">
        <w:rPr>
          <w:lang w:val="en-US"/>
        </w:rPr>
        <w:t xml:space="preserve">does not improve </w:t>
      </w:r>
      <w:r w:rsidR="000F2784" w:rsidRPr="0055435C">
        <w:rPr>
          <w:lang w:val="en-US"/>
        </w:rPr>
        <w:t xml:space="preserve">prediction beyond </w:t>
      </w:r>
      <w:r w:rsidR="00D93605" w:rsidRPr="0055435C">
        <w:rPr>
          <w:lang w:val="en-US"/>
        </w:rPr>
        <w:t xml:space="preserve">that predicted by </w:t>
      </w:r>
      <w:r w:rsidR="000F2784" w:rsidRPr="0055435C">
        <w:rPr>
          <w:lang w:val="en-US"/>
        </w:rPr>
        <w:t>current height and weight.</w:t>
      </w:r>
    </w:p>
    <w:p w14:paraId="257FEE80" w14:textId="77777777" w:rsidR="00D25E6A" w:rsidRPr="0055435C" w:rsidRDefault="00D25E6A" w:rsidP="00AB7918">
      <w:pPr>
        <w:spacing w:line="480" w:lineRule="auto"/>
        <w:rPr>
          <w:lang w:val="en-US"/>
        </w:rPr>
      </w:pPr>
      <w:r w:rsidRPr="0055435C">
        <w:rPr>
          <w:lang w:val="en-US"/>
        </w:rPr>
        <w:t>Key words:</w:t>
      </w:r>
      <w:r w:rsidR="00D22429" w:rsidRPr="0055435C">
        <w:rPr>
          <w:lang w:val="en-US"/>
        </w:rPr>
        <w:t xml:space="preserve"> Aging, </w:t>
      </w:r>
      <w:r w:rsidR="009A69A8" w:rsidRPr="0055435C">
        <w:rPr>
          <w:lang w:val="en-US"/>
        </w:rPr>
        <w:t xml:space="preserve">DXA, Osteoporosis, </w:t>
      </w:r>
      <w:r w:rsidR="00331C59" w:rsidRPr="0055435C">
        <w:rPr>
          <w:lang w:val="en-US"/>
        </w:rPr>
        <w:t>Cohort study, Growth</w:t>
      </w:r>
    </w:p>
    <w:p w14:paraId="2B42F63B" w14:textId="77777777" w:rsidR="00331C59" w:rsidRPr="0055435C" w:rsidRDefault="00331C59" w:rsidP="00AB7918">
      <w:pPr>
        <w:pStyle w:val="Heading1"/>
        <w:spacing w:line="480" w:lineRule="auto"/>
        <w:rPr>
          <w:lang w:val="en-US"/>
        </w:rPr>
      </w:pPr>
      <w:r w:rsidRPr="0055435C">
        <w:rPr>
          <w:lang w:val="en-US"/>
        </w:rPr>
        <w:lastRenderedPageBreak/>
        <w:t>miniabstract</w:t>
      </w:r>
    </w:p>
    <w:p w14:paraId="42ECF7E5" w14:textId="4DEED913" w:rsidR="00331C59" w:rsidRPr="0055435C" w:rsidRDefault="00B46726" w:rsidP="00AB7918">
      <w:pPr>
        <w:spacing w:line="480" w:lineRule="auto"/>
        <w:rPr>
          <w:lang w:val="en-US"/>
        </w:rPr>
      </w:pPr>
      <w:r w:rsidRPr="0055435C">
        <w:rPr>
          <w:lang w:val="en-US"/>
        </w:rPr>
        <w:t>We</w:t>
      </w:r>
      <w:r w:rsidR="00A25ABB" w:rsidRPr="0055435C">
        <w:rPr>
          <w:lang w:val="en-US"/>
        </w:rPr>
        <w:t xml:space="preserve"> examined the associations between childhood growth and bone properties</w:t>
      </w:r>
      <w:r w:rsidR="00FC56C4" w:rsidRPr="0055435C">
        <w:rPr>
          <w:lang w:val="en-US"/>
        </w:rPr>
        <w:t xml:space="preserve"> among women</w:t>
      </w:r>
      <w:r w:rsidRPr="0055435C">
        <w:rPr>
          <w:lang w:val="en-US"/>
        </w:rPr>
        <w:t xml:space="preserve"> at early old age</w:t>
      </w:r>
      <w:r w:rsidR="00A25ABB" w:rsidRPr="0055435C">
        <w:rPr>
          <w:lang w:val="en-US"/>
        </w:rPr>
        <w:t xml:space="preserve">. </w:t>
      </w:r>
      <w:r w:rsidR="0056473D" w:rsidRPr="0055435C">
        <w:rPr>
          <w:lang w:val="en-US"/>
        </w:rPr>
        <w:t xml:space="preserve">Early growth in height </w:t>
      </w:r>
      <w:r w:rsidR="00331C59" w:rsidRPr="0055435C">
        <w:rPr>
          <w:lang w:val="en-US"/>
        </w:rPr>
        <w:t xml:space="preserve">predicted greater bone </w:t>
      </w:r>
      <w:r w:rsidRPr="0055435C">
        <w:rPr>
          <w:lang w:val="en-US"/>
        </w:rPr>
        <w:t>area</w:t>
      </w:r>
      <w:r w:rsidR="00331C59" w:rsidRPr="0055435C">
        <w:rPr>
          <w:lang w:val="en-US"/>
        </w:rPr>
        <w:t xml:space="preserve"> and higher bone mineral mass</w:t>
      </w:r>
      <w:r w:rsidR="00FC56C4" w:rsidRPr="0055435C">
        <w:rPr>
          <w:lang w:val="en-US"/>
        </w:rPr>
        <w:t>.</w:t>
      </w:r>
      <w:r w:rsidR="0056473D" w:rsidRPr="0055435C">
        <w:rPr>
          <w:lang w:val="en-US"/>
        </w:rPr>
        <w:t xml:space="preserve"> However, </w:t>
      </w:r>
      <w:r w:rsidR="00EE04A2" w:rsidRPr="0055435C">
        <w:rPr>
          <w:lang w:val="en-US"/>
        </w:rPr>
        <w:t xml:space="preserve">information on </w:t>
      </w:r>
      <w:r w:rsidR="0056473D" w:rsidRPr="0055435C">
        <w:rPr>
          <w:lang w:val="en-US"/>
        </w:rPr>
        <w:t>growth did not improve prediction of bone properties beyond that predicted by body size at early old age.</w:t>
      </w:r>
    </w:p>
    <w:p w14:paraId="17EEEA74" w14:textId="77777777" w:rsidR="00C4502D" w:rsidRPr="0055435C" w:rsidRDefault="00C4502D" w:rsidP="00AB7918">
      <w:pPr>
        <w:pStyle w:val="Heading1"/>
        <w:spacing w:line="480" w:lineRule="auto"/>
        <w:rPr>
          <w:color w:val="auto"/>
          <w:lang w:val="en-US"/>
        </w:rPr>
      </w:pPr>
      <w:r w:rsidRPr="0055435C">
        <w:rPr>
          <w:color w:val="auto"/>
          <w:lang w:val="en-US"/>
        </w:rPr>
        <w:t>Introduction</w:t>
      </w:r>
    </w:p>
    <w:p w14:paraId="43A52AF3" w14:textId="77777777" w:rsidR="00043CAA" w:rsidRPr="0055435C" w:rsidRDefault="00043CAA" w:rsidP="00AB7918">
      <w:pPr>
        <w:spacing w:line="480" w:lineRule="auto"/>
        <w:rPr>
          <w:lang w:val="en-US"/>
        </w:rPr>
      </w:pPr>
    </w:p>
    <w:p w14:paraId="738CF960" w14:textId="77777777" w:rsidR="00D91B74" w:rsidRPr="0055435C" w:rsidRDefault="00DA33C6" w:rsidP="00AB7918">
      <w:pPr>
        <w:spacing w:line="480" w:lineRule="auto"/>
        <w:rPr>
          <w:lang w:val="en-US"/>
        </w:rPr>
      </w:pPr>
      <w:r w:rsidRPr="0055435C">
        <w:rPr>
          <w:lang w:val="en-US"/>
        </w:rPr>
        <w:t>O</w:t>
      </w:r>
      <w:r w:rsidR="0097768B" w:rsidRPr="0055435C">
        <w:rPr>
          <w:lang w:val="en-US"/>
        </w:rPr>
        <w:t xml:space="preserve">lder age bone </w:t>
      </w:r>
      <w:r w:rsidR="00B52903" w:rsidRPr="0055435C">
        <w:rPr>
          <w:lang w:val="en-US"/>
        </w:rPr>
        <w:t>mass</w:t>
      </w:r>
      <w:r w:rsidR="0097768B" w:rsidRPr="0055435C">
        <w:rPr>
          <w:lang w:val="en-US"/>
        </w:rPr>
        <w:t xml:space="preserve"> </w:t>
      </w:r>
      <w:r w:rsidRPr="0055435C">
        <w:rPr>
          <w:lang w:val="en-US"/>
        </w:rPr>
        <w:t xml:space="preserve">has been proposed to have </w:t>
      </w:r>
      <w:r w:rsidR="0097768B" w:rsidRPr="0055435C">
        <w:rPr>
          <w:lang w:val="en-US"/>
        </w:rPr>
        <w:t>its origins in early life</w:t>
      </w:r>
      <w:r w:rsidR="00C530C7" w:rsidRPr="0055435C">
        <w:rPr>
          <w:lang w:val="en-US"/>
        </w:rPr>
        <w:t xml:space="preserve"> development</w:t>
      </w:r>
      <w:r w:rsidR="0097768B" w:rsidRPr="0055435C">
        <w:rPr>
          <w:lang w:val="en-US"/>
        </w:rPr>
        <w:t xml:space="preserve">. Birth weight has repeatedly been found to correlate </w:t>
      </w:r>
      <w:r w:rsidR="0056517E" w:rsidRPr="0055435C">
        <w:rPr>
          <w:lang w:val="en-US"/>
        </w:rPr>
        <w:t xml:space="preserve">positively </w:t>
      </w:r>
      <w:r w:rsidR="0097768B" w:rsidRPr="0055435C">
        <w:rPr>
          <w:lang w:val="en-US"/>
        </w:rPr>
        <w:t xml:space="preserve">with </w:t>
      </w:r>
      <w:r w:rsidR="001A704C" w:rsidRPr="0055435C">
        <w:rPr>
          <w:lang w:val="en-US"/>
        </w:rPr>
        <w:t>bone properties</w:t>
      </w:r>
      <w:r w:rsidR="0097768B" w:rsidRPr="0055435C">
        <w:rPr>
          <w:lang w:val="en-US"/>
        </w:rPr>
        <w:t xml:space="preserve"> in </w:t>
      </w:r>
      <w:r w:rsidRPr="0055435C">
        <w:rPr>
          <w:lang w:val="en-US"/>
        </w:rPr>
        <w:t>later life</w:t>
      </w:r>
      <w:r w:rsidR="00DB6F50" w:rsidRPr="0055435C">
        <w:rPr>
          <w:lang w:val="en-US"/>
        </w:rPr>
        <w:t xml:space="preserve"> </w:t>
      </w:r>
      <w:r w:rsidR="00CD7EAB" w:rsidRPr="0055435C">
        <w:rPr>
          <w:lang w:val="en-US"/>
        </w:rPr>
        <w:fldChar w:fldCharType="begin"/>
      </w:r>
      <w:r w:rsidR="00852315" w:rsidRPr="0055435C">
        <w:rPr>
          <w:lang w:val="en-US"/>
        </w:rPr>
        <w:instrText>ADDIN RW.CITE{{718 Kuh,Diana 2014; 752 Javaid,MKassim 2011; 717 Byberg,Liisa 2014; 754 Baird,J. 2011}}</w:instrText>
      </w:r>
      <w:r w:rsidR="00CD7EAB" w:rsidRPr="0055435C">
        <w:rPr>
          <w:lang w:val="en-US"/>
        </w:rPr>
        <w:fldChar w:fldCharType="separate"/>
      </w:r>
      <w:r w:rsidR="00DB6F50" w:rsidRPr="0055435C">
        <w:rPr>
          <w:rFonts w:cs="Times New Roman"/>
          <w:lang w:val="en-US"/>
        </w:rPr>
        <w:t>[1-4]</w:t>
      </w:r>
      <w:r w:rsidR="00CD7EAB" w:rsidRPr="0055435C">
        <w:rPr>
          <w:lang w:val="en-US"/>
        </w:rPr>
        <w:fldChar w:fldCharType="end"/>
      </w:r>
      <w:r w:rsidR="00DB6F50" w:rsidRPr="0055435C">
        <w:rPr>
          <w:lang w:val="en-US"/>
        </w:rPr>
        <w:t>.</w:t>
      </w:r>
      <w:r w:rsidR="0097768B" w:rsidRPr="0055435C">
        <w:rPr>
          <w:lang w:val="en-US"/>
        </w:rPr>
        <w:t xml:space="preserve"> However, a study on </w:t>
      </w:r>
      <w:r w:rsidR="001A704C" w:rsidRPr="0055435C">
        <w:rPr>
          <w:lang w:val="en-US"/>
        </w:rPr>
        <w:t xml:space="preserve">adolescent </w:t>
      </w:r>
      <w:r w:rsidR="0097768B" w:rsidRPr="0055435C">
        <w:rPr>
          <w:lang w:val="en-US"/>
        </w:rPr>
        <w:t xml:space="preserve">girls suggested that postnatal growth is </w:t>
      </w:r>
      <w:r w:rsidR="005B26C7" w:rsidRPr="0055435C">
        <w:rPr>
          <w:lang w:val="en-US"/>
        </w:rPr>
        <w:t xml:space="preserve">a </w:t>
      </w:r>
      <w:r w:rsidR="0097768B" w:rsidRPr="0055435C">
        <w:rPr>
          <w:lang w:val="en-US"/>
        </w:rPr>
        <w:t>more important determinant for adult bone properties than birth weight</w:t>
      </w:r>
      <w:r w:rsidR="00DB6F50" w:rsidRPr="0055435C">
        <w:rPr>
          <w:lang w:val="en-US"/>
        </w:rPr>
        <w:t xml:space="preserve"> </w:t>
      </w:r>
      <w:r w:rsidR="000268FA" w:rsidRPr="0055435C">
        <w:rPr>
          <w:lang w:val="en-US"/>
        </w:rPr>
        <w:fldChar w:fldCharType="begin"/>
      </w:r>
      <w:r w:rsidR="00852315" w:rsidRPr="0055435C">
        <w:rPr>
          <w:lang w:val="en-US"/>
        </w:rPr>
        <w:instrText>ADDIN RW.CITE{{751 Wang,Qingju 2010}}</w:instrText>
      </w:r>
      <w:r w:rsidR="000268FA" w:rsidRPr="0055435C">
        <w:rPr>
          <w:lang w:val="en-US"/>
        </w:rPr>
        <w:fldChar w:fldCharType="separate"/>
      </w:r>
      <w:r w:rsidR="00DB6F50" w:rsidRPr="0055435C">
        <w:rPr>
          <w:rFonts w:cs="Times New Roman"/>
          <w:lang w:val="en-US"/>
        </w:rPr>
        <w:t>[5]</w:t>
      </w:r>
      <w:r w:rsidR="000268FA" w:rsidRPr="0055435C">
        <w:rPr>
          <w:lang w:val="en-US"/>
        </w:rPr>
        <w:fldChar w:fldCharType="end"/>
      </w:r>
      <w:r w:rsidR="0097768B" w:rsidRPr="0055435C">
        <w:rPr>
          <w:lang w:val="en-US"/>
        </w:rPr>
        <w:t xml:space="preserve"> but</w:t>
      </w:r>
      <w:r w:rsidR="00D56689" w:rsidRPr="0055435C">
        <w:rPr>
          <w:lang w:val="en-US"/>
        </w:rPr>
        <w:t xml:space="preserve"> </w:t>
      </w:r>
      <w:r w:rsidRPr="0055435C">
        <w:rPr>
          <w:lang w:val="en-US"/>
        </w:rPr>
        <w:t>so far</w:t>
      </w:r>
      <w:r w:rsidR="00B80858" w:rsidRPr="0055435C">
        <w:rPr>
          <w:lang w:val="en-US"/>
        </w:rPr>
        <w:t xml:space="preserve">, </w:t>
      </w:r>
      <w:r w:rsidR="00B16039" w:rsidRPr="0055435C">
        <w:rPr>
          <w:lang w:val="en-US"/>
        </w:rPr>
        <w:t xml:space="preserve">only </w:t>
      </w:r>
      <w:r w:rsidR="00D56689" w:rsidRPr="0055435C">
        <w:rPr>
          <w:lang w:val="en-US"/>
        </w:rPr>
        <w:t xml:space="preserve">few studies have </w:t>
      </w:r>
      <w:r w:rsidR="001A704C" w:rsidRPr="0055435C">
        <w:rPr>
          <w:lang w:val="en-US"/>
        </w:rPr>
        <w:t xml:space="preserve">actually </w:t>
      </w:r>
      <w:r w:rsidR="00D56689" w:rsidRPr="0055435C">
        <w:rPr>
          <w:lang w:val="en-US"/>
        </w:rPr>
        <w:t xml:space="preserve">been able to link </w:t>
      </w:r>
      <w:r w:rsidR="00A902A5" w:rsidRPr="0055435C">
        <w:rPr>
          <w:lang w:val="en-US"/>
        </w:rPr>
        <w:t xml:space="preserve">longitudinal </w:t>
      </w:r>
      <w:r w:rsidR="00D56689" w:rsidRPr="0055435C">
        <w:rPr>
          <w:lang w:val="en-US"/>
        </w:rPr>
        <w:t xml:space="preserve">data on childhood </w:t>
      </w:r>
      <w:r w:rsidR="005B26C7" w:rsidRPr="0055435C">
        <w:rPr>
          <w:lang w:val="en-US"/>
        </w:rPr>
        <w:t>growth</w:t>
      </w:r>
      <w:r w:rsidR="00A902A5" w:rsidRPr="0055435C">
        <w:rPr>
          <w:lang w:val="en-US"/>
        </w:rPr>
        <w:t xml:space="preserve"> </w:t>
      </w:r>
      <w:r w:rsidR="00D56689" w:rsidRPr="0055435C">
        <w:rPr>
          <w:lang w:val="en-US"/>
        </w:rPr>
        <w:t xml:space="preserve">with bone health in </w:t>
      </w:r>
      <w:r w:rsidRPr="0055435C">
        <w:rPr>
          <w:lang w:val="en-US"/>
        </w:rPr>
        <w:t>older age</w:t>
      </w:r>
      <w:r w:rsidR="009426FE" w:rsidRPr="0055435C">
        <w:rPr>
          <w:lang w:val="en-US"/>
        </w:rPr>
        <w:t xml:space="preserve"> in the same individuals</w:t>
      </w:r>
      <w:r w:rsidR="00D56689" w:rsidRPr="0055435C">
        <w:rPr>
          <w:lang w:val="en-US"/>
        </w:rPr>
        <w:t xml:space="preserve">. </w:t>
      </w:r>
      <w:r w:rsidR="007229E9" w:rsidRPr="0055435C">
        <w:rPr>
          <w:lang w:val="en-US"/>
        </w:rPr>
        <w:t>The r</w:t>
      </w:r>
      <w:r w:rsidR="00D56689" w:rsidRPr="0055435C">
        <w:rPr>
          <w:lang w:val="en-US"/>
        </w:rPr>
        <w:t>isk of hip fracture in adulthood has been shown to be associated with poor grow</w:t>
      </w:r>
      <w:r w:rsidR="005B26C7" w:rsidRPr="0055435C">
        <w:rPr>
          <w:lang w:val="en-US"/>
        </w:rPr>
        <w:t>th in childhood and adolescence</w:t>
      </w:r>
      <w:r w:rsidR="00DB6F50" w:rsidRPr="0055435C">
        <w:rPr>
          <w:lang w:val="en-US"/>
        </w:rPr>
        <w:t xml:space="preserve"> </w:t>
      </w:r>
      <w:r w:rsidR="001A704C" w:rsidRPr="0055435C">
        <w:rPr>
          <w:lang w:val="en-US"/>
        </w:rPr>
        <w:fldChar w:fldCharType="begin"/>
      </w:r>
      <w:r w:rsidR="00852315" w:rsidRPr="0055435C">
        <w:rPr>
          <w:lang w:val="en-US"/>
        </w:rPr>
        <w:instrText>ADDIN RW.CITE{{714 Cooper,C 2001; 716 Javaid,MK 2011}}</w:instrText>
      </w:r>
      <w:r w:rsidR="001A704C" w:rsidRPr="0055435C">
        <w:rPr>
          <w:lang w:val="en-US"/>
        </w:rPr>
        <w:fldChar w:fldCharType="separate"/>
      </w:r>
      <w:r w:rsidR="00DB6F50" w:rsidRPr="0055435C">
        <w:rPr>
          <w:rFonts w:cs="Times New Roman"/>
          <w:lang w:val="en-US"/>
        </w:rPr>
        <w:t>[6, 7]</w:t>
      </w:r>
      <w:r w:rsidR="001A704C" w:rsidRPr="0055435C">
        <w:rPr>
          <w:lang w:val="en-US"/>
        </w:rPr>
        <w:fldChar w:fldCharType="end"/>
      </w:r>
      <w:r w:rsidR="00DB6F50" w:rsidRPr="0055435C">
        <w:rPr>
          <w:lang w:val="en-US"/>
        </w:rPr>
        <w:t>,</w:t>
      </w:r>
      <w:r w:rsidR="005B26C7" w:rsidRPr="0055435C">
        <w:rPr>
          <w:lang w:val="en-US"/>
        </w:rPr>
        <w:t xml:space="preserve"> and t</w:t>
      </w:r>
      <w:r w:rsidR="007229E9" w:rsidRPr="0055435C">
        <w:rPr>
          <w:lang w:val="en-US"/>
        </w:rPr>
        <w:t>o the best of our knowledge</w:t>
      </w:r>
      <w:r w:rsidR="00CD7EAB" w:rsidRPr="0055435C">
        <w:rPr>
          <w:lang w:val="en-US"/>
        </w:rPr>
        <w:t>,</w:t>
      </w:r>
      <w:r w:rsidR="007229E9" w:rsidRPr="0055435C">
        <w:rPr>
          <w:lang w:val="en-US"/>
        </w:rPr>
        <w:t xml:space="preserve"> only one previous study has explored the associations between growth </w:t>
      </w:r>
      <w:r w:rsidR="00B16039" w:rsidRPr="0055435C">
        <w:rPr>
          <w:lang w:val="en-US"/>
        </w:rPr>
        <w:t xml:space="preserve">throughout </w:t>
      </w:r>
      <w:r w:rsidR="007229E9" w:rsidRPr="0055435C">
        <w:rPr>
          <w:lang w:val="en-US"/>
        </w:rPr>
        <w:t xml:space="preserve">childhood and bone properties in </w:t>
      </w:r>
      <w:r w:rsidR="009E330D" w:rsidRPr="0055435C">
        <w:rPr>
          <w:lang w:val="en-US"/>
        </w:rPr>
        <w:t>old age</w:t>
      </w:r>
      <w:r w:rsidR="00DB6F50" w:rsidRPr="0055435C">
        <w:rPr>
          <w:lang w:val="en-US"/>
        </w:rPr>
        <w:t xml:space="preserve"> </w:t>
      </w:r>
      <w:r w:rsidR="0097768B" w:rsidRPr="0055435C">
        <w:rPr>
          <w:lang w:val="en-US"/>
        </w:rPr>
        <w:fldChar w:fldCharType="begin"/>
      </w:r>
      <w:r w:rsidR="00852315" w:rsidRPr="0055435C">
        <w:rPr>
          <w:lang w:val="en-US"/>
        </w:rPr>
        <w:instrText>ADDIN RW.CITE{{718 Kuh,Diana 2014}}</w:instrText>
      </w:r>
      <w:r w:rsidR="0097768B" w:rsidRPr="0055435C">
        <w:rPr>
          <w:lang w:val="en-US"/>
        </w:rPr>
        <w:fldChar w:fldCharType="separate"/>
      </w:r>
      <w:r w:rsidR="00DB6F50" w:rsidRPr="0055435C">
        <w:rPr>
          <w:rFonts w:cs="Times New Roman"/>
          <w:lang w:val="en-US"/>
        </w:rPr>
        <w:t>[1]</w:t>
      </w:r>
      <w:r w:rsidR="0097768B" w:rsidRPr="0055435C">
        <w:rPr>
          <w:lang w:val="en-US"/>
        </w:rPr>
        <w:fldChar w:fldCharType="end"/>
      </w:r>
      <w:r w:rsidR="00DB6F50" w:rsidRPr="0055435C">
        <w:rPr>
          <w:lang w:val="en-US"/>
        </w:rPr>
        <w:t>.</w:t>
      </w:r>
    </w:p>
    <w:p w14:paraId="16B845C8" w14:textId="77777777" w:rsidR="00D91B74" w:rsidRPr="0055435C" w:rsidRDefault="00D91B74" w:rsidP="00AB7918">
      <w:pPr>
        <w:spacing w:line="480" w:lineRule="auto"/>
        <w:rPr>
          <w:lang w:val="en-US"/>
        </w:rPr>
      </w:pPr>
    </w:p>
    <w:p w14:paraId="326D78B5" w14:textId="715E4071" w:rsidR="003C7765" w:rsidRPr="0055435C" w:rsidRDefault="00F771BC" w:rsidP="00AB7918">
      <w:pPr>
        <w:spacing w:line="480" w:lineRule="auto"/>
        <w:rPr>
          <w:lang w:val="en-US"/>
        </w:rPr>
      </w:pPr>
      <w:r w:rsidRPr="0055435C">
        <w:rPr>
          <w:lang w:val="en-US"/>
        </w:rPr>
        <w:t xml:space="preserve">Using </w:t>
      </w:r>
      <w:r w:rsidR="00EE04A2" w:rsidRPr="0055435C">
        <w:rPr>
          <w:lang w:val="en-US"/>
        </w:rPr>
        <w:t xml:space="preserve">a </w:t>
      </w:r>
      <w:r w:rsidRPr="0055435C">
        <w:rPr>
          <w:lang w:val="en-US"/>
        </w:rPr>
        <w:t xml:space="preserve">prospective </w:t>
      </w:r>
      <w:r w:rsidR="00EE04A2" w:rsidRPr="0055435C">
        <w:rPr>
          <w:lang w:val="en-US"/>
        </w:rPr>
        <w:t xml:space="preserve">study </w:t>
      </w:r>
      <w:r w:rsidRPr="0055435C">
        <w:rPr>
          <w:lang w:val="en-US"/>
        </w:rPr>
        <w:t>approach</w:t>
      </w:r>
      <w:r w:rsidR="00B32A2A" w:rsidRPr="0055435C">
        <w:rPr>
          <w:lang w:val="en-US"/>
        </w:rPr>
        <w:t xml:space="preserve">, studying </w:t>
      </w:r>
      <w:r w:rsidR="00EE04A2" w:rsidRPr="0055435C">
        <w:rPr>
          <w:lang w:val="en-US"/>
        </w:rPr>
        <w:t xml:space="preserve">possible </w:t>
      </w:r>
      <w:r w:rsidR="00B32A2A" w:rsidRPr="0055435C">
        <w:rPr>
          <w:lang w:val="en-US"/>
        </w:rPr>
        <w:t>links between early growth and bone health in old age helps in evaluating whether preventive measures in childhood could improve bone health in old age. On the other hand</w:t>
      </w:r>
      <w:r w:rsidR="007B36DB" w:rsidRPr="0055435C">
        <w:rPr>
          <w:lang w:val="en-US"/>
        </w:rPr>
        <w:t xml:space="preserve">, </w:t>
      </w:r>
      <w:r w:rsidR="00542603" w:rsidRPr="0055435C">
        <w:rPr>
          <w:lang w:val="en-US"/>
        </w:rPr>
        <w:t xml:space="preserve">as </w:t>
      </w:r>
      <w:r w:rsidR="005C52A5" w:rsidRPr="0055435C">
        <w:rPr>
          <w:lang w:val="en-US"/>
        </w:rPr>
        <w:t xml:space="preserve">body size at the time of bone measurement is known to have large influence on </w:t>
      </w:r>
      <w:r w:rsidR="00542603" w:rsidRPr="0055435C">
        <w:rPr>
          <w:lang w:val="en-US"/>
        </w:rPr>
        <w:t xml:space="preserve">bone mineral mass, </w:t>
      </w:r>
      <w:r w:rsidR="00EE04A2" w:rsidRPr="0055435C">
        <w:rPr>
          <w:lang w:val="en-US"/>
        </w:rPr>
        <w:t xml:space="preserve">a </w:t>
      </w:r>
      <w:r w:rsidR="007B36DB" w:rsidRPr="0055435C">
        <w:rPr>
          <w:lang w:val="en-US"/>
        </w:rPr>
        <w:t xml:space="preserve">retrospective approach will increase knowledge </w:t>
      </w:r>
      <w:r w:rsidR="00862234" w:rsidRPr="0055435C">
        <w:rPr>
          <w:lang w:val="en-US"/>
        </w:rPr>
        <w:t xml:space="preserve">on </w:t>
      </w:r>
      <w:r w:rsidR="007B36DB" w:rsidRPr="0055435C">
        <w:rPr>
          <w:lang w:val="en-US"/>
        </w:rPr>
        <w:t>whether prediction of older individuals’ bone health can be improved by</w:t>
      </w:r>
      <w:r w:rsidRPr="0055435C">
        <w:rPr>
          <w:lang w:val="en-US"/>
        </w:rPr>
        <w:t xml:space="preserve"> </w:t>
      </w:r>
      <w:r w:rsidR="001E6E49" w:rsidRPr="0055435C">
        <w:rPr>
          <w:lang w:val="en-US"/>
        </w:rPr>
        <w:t>info</w:t>
      </w:r>
      <w:r w:rsidR="002C27C2" w:rsidRPr="0055435C">
        <w:rPr>
          <w:lang w:val="en-US"/>
        </w:rPr>
        <w:t>r</w:t>
      </w:r>
      <w:r w:rsidR="001E6E49" w:rsidRPr="0055435C">
        <w:rPr>
          <w:lang w:val="en-US"/>
        </w:rPr>
        <w:t>mation</w:t>
      </w:r>
      <w:r w:rsidRPr="0055435C">
        <w:rPr>
          <w:lang w:val="en-US"/>
        </w:rPr>
        <w:t xml:space="preserve"> on</w:t>
      </w:r>
      <w:r w:rsidR="007B36DB" w:rsidRPr="0055435C">
        <w:rPr>
          <w:lang w:val="en-US"/>
        </w:rPr>
        <w:t xml:space="preserve"> childhood growth beyond that predicted by the individuals’ </w:t>
      </w:r>
      <w:r w:rsidR="007B36DB" w:rsidRPr="0055435C">
        <w:rPr>
          <w:lang w:val="en-US"/>
        </w:rPr>
        <w:lastRenderedPageBreak/>
        <w:t>current body size.</w:t>
      </w:r>
      <w:r w:rsidR="007D3D76" w:rsidRPr="0055435C">
        <w:rPr>
          <w:lang w:val="en-US"/>
        </w:rPr>
        <w:t xml:space="preserve"> In this study, we employed both approaches. </w:t>
      </w:r>
      <w:r w:rsidR="0056473D" w:rsidRPr="0055435C">
        <w:rPr>
          <w:lang w:val="en-US"/>
        </w:rPr>
        <w:t>Hence,</w:t>
      </w:r>
      <w:r w:rsidR="007D3D76" w:rsidRPr="0055435C">
        <w:rPr>
          <w:lang w:val="en-US"/>
        </w:rPr>
        <w:t xml:space="preserve"> we</w:t>
      </w:r>
      <w:r w:rsidR="003C7765" w:rsidRPr="0055435C">
        <w:rPr>
          <w:lang w:val="en-US"/>
        </w:rPr>
        <w:t xml:space="preserve"> examine</w:t>
      </w:r>
      <w:r w:rsidR="007D3D76" w:rsidRPr="0055435C">
        <w:rPr>
          <w:lang w:val="en-US"/>
        </w:rPr>
        <w:t>d</w:t>
      </w:r>
      <w:r w:rsidR="003C7765" w:rsidRPr="0055435C">
        <w:rPr>
          <w:lang w:val="en-US"/>
        </w:rPr>
        <w:t xml:space="preserve"> the associations between body size at birth </w:t>
      </w:r>
      <w:r w:rsidR="005B26C7" w:rsidRPr="0055435C">
        <w:rPr>
          <w:lang w:val="en-US"/>
        </w:rPr>
        <w:t>and childhood</w:t>
      </w:r>
      <w:r w:rsidR="003C7765" w:rsidRPr="0055435C">
        <w:rPr>
          <w:lang w:val="en-US"/>
        </w:rPr>
        <w:t xml:space="preserve"> growth with </w:t>
      </w:r>
      <w:r w:rsidRPr="0055435C">
        <w:rPr>
          <w:lang w:val="en-US"/>
        </w:rPr>
        <w:t xml:space="preserve">bone area, </w:t>
      </w:r>
      <w:r w:rsidR="003C7765" w:rsidRPr="0055435C">
        <w:rPr>
          <w:lang w:val="en-US"/>
        </w:rPr>
        <w:t xml:space="preserve">bone mineral content and density in </w:t>
      </w:r>
      <w:r w:rsidR="009E330D" w:rsidRPr="0055435C">
        <w:rPr>
          <w:lang w:val="en-US"/>
        </w:rPr>
        <w:t>early old age</w:t>
      </w:r>
      <w:r w:rsidR="0056473D" w:rsidRPr="0055435C">
        <w:rPr>
          <w:lang w:val="en-US"/>
        </w:rPr>
        <w:t xml:space="preserve"> first without, and then with</w:t>
      </w:r>
      <w:r w:rsidRPr="0055435C">
        <w:rPr>
          <w:lang w:val="en-US"/>
        </w:rPr>
        <w:t xml:space="preserve"> adjustment for body size at early old age.</w:t>
      </w:r>
    </w:p>
    <w:p w14:paraId="2CBC75B9" w14:textId="77777777" w:rsidR="00C4502D" w:rsidRPr="0055435C" w:rsidRDefault="00C4502D" w:rsidP="00AB7918">
      <w:pPr>
        <w:pStyle w:val="Heading1"/>
        <w:spacing w:line="480" w:lineRule="auto"/>
        <w:rPr>
          <w:color w:val="auto"/>
          <w:lang w:val="en-US"/>
        </w:rPr>
      </w:pPr>
      <w:r w:rsidRPr="0055435C">
        <w:rPr>
          <w:color w:val="auto"/>
          <w:lang w:val="en-US"/>
        </w:rPr>
        <w:t>Material and methods</w:t>
      </w:r>
    </w:p>
    <w:p w14:paraId="54FCF600" w14:textId="77777777" w:rsidR="00654B22" w:rsidRPr="0055435C" w:rsidRDefault="00654B22" w:rsidP="00AB7918">
      <w:pPr>
        <w:spacing w:line="480" w:lineRule="auto"/>
        <w:rPr>
          <w:lang w:val="en-US"/>
        </w:rPr>
      </w:pPr>
    </w:p>
    <w:p w14:paraId="077635E5" w14:textId="09325048" w:rsidR="004C74BF" w:rsidRPr="0055435C" w:rsidRDefault="006B10A1" w:rsidP="00AB7918">
      <w:pPr>
        <w:spacing w:line="480" w:lineRule="auto"/>
        <w:rPr>
          <w:lang w:val="en-US"/>
        </w:rPr>
      </w:pPr>
      <w:r w:rsidRPr="0055435C">
        <w:rPr>
          <w:lang w:val="en-US"/>
        </w:rPr>
        <w:t>Data ca</w:t>
      </w:r>
      <w:r w:rsidR="00DA33C6" w:rsidRPr="0055435C">
        <w:rPr>
          <w:lang w:val="en-US"/>
        </w:rPr>
        <w:t>me from the Helsinki Birth Cohort Study (HBCS) that inc</w:t>
      </w:r>
      <w:r w:rsidRPr="0055435C">
        <w:rPr>
          <w:lang w:val="en-US"/>
        </w:rPr>
        <w:t>ludes</w:t>
      </w:r>
      <w:r w:rsidR="00DA33C6" w:rsidRPr="0055435C">
        <w:rPr>
          <w:lang w:val="en-US"/>
        </w:rPr>
        <w:t xml:space="preserve"> </w:t>
      </w:r>
      <w:r w:rsidRPr="0055435C">
        <w:rPr>
          <w:lang w:val="en-US"/>
        </w:rPr>
        <w:t>8,760 individuals born at the Helsinki University Hospital</w:t>
      </w:r>
      <w:r w:rsidR="00ED12C9" w:rsidRPr="0055435C">
        <w:rPr>
          <w:rStyle w:val="CommentReference"/>
          <w:lang w:val="en-US"/>
        </w:rPr>
        <w:t xml:space="preserve"> </w:t>
      </w:r>
      <w:r w:rsidR="00DA33C6" w:rsidRPr="0055435C">
        <w:rPr>
          <w:lang w:val="en-US"/>
        </w:rPr>
        <w:t xml:space="preserve">between </w:t>
      </w:r>
      <w:r w:rsidR="00CA3813" w:rsidRPr="0055435C">
        <w:rPr>
          <w:lang w:val="en-US"/>
        </w:rPr>
        <w:t>1934</w:t>
      </w:r>
      <w:r w:rsidR="00DA33C6" w:rsidRPr="0055435C">
        <w:rPr>
          <w:lang w:val="en-US"/>
        </w:rPr>
        <w:t xml:space="preserve"> and </w:t>
      </w:r>
      <w:r w:rsidR="00CA3813" w:rsidRPr="0055435C">
        <w:rPr>
          <w:lang w:val="en-US"/>
        </w:rPr>
        <w:t>1944</w:t>
      </w:r>
      <w:r w:rsidR="00DF1679" w:rsidRPr="0055435C">
        <w:rPr>
          <w:lang w:val="en-US"/>
        </w:rPr>
        <w:t xml:space="preserve"> </w:t>
      </w:r>
      <w:r w:rsidR="00DF1679" w:rsidRPr="0055435C">
        <w:rPr>
          <w:lang w:val="en-US"/>
        </w:rPr>
        <w:fldChar w:fldCharType="begin"/>
      </w:r>
      <w:r w:rsidR="00DF1679" w:rsidRPr="0055435C">
        <w:rPr>
          <w:lang w:val="en-US"/>
        </w:rPr>
        <w:instrText>ADDIN RW.CITE{{737 Osmond,C. 2007}}</w:instrText>
      </w:r>
      <w:r w:rsidR="00DF1679" w:rsidRPr="0055435C">
        <w:rPr>
          <w:lang w:val="en-US"/>
        </w:rPr>
        <w:fldChar w:fldCharType="separate"/>
      </w:r>
      <w:r w:rsidR="00DF1679" w:rsidRPr="0055435C">
        <w:rPr>
          <w:lang w:val="en-US"/>
        </w:rPr>
        <w:t>[8]</w:t>
      </w:r>
      <w:r w:rsidR="00DF1679" w:rsidRPr="0055435C">
        <w:rPr>
          <w:lang w:val="en-US"/>
        </w:rPr>
        <w:fldChar w:fldCharType="end"/>
      </w:r>
      <w:r w:rsidR="00DB6F50" w:rsidRPr="0055435C">
        <w:rPr>
          <w:lang w:val="en-US"/>
        </w:rPr>
        <w:t>.</w:t>
      </w:r>
      <w:r w:rsidR="00C874A3" w:rsidRPr="0055435C">
        <w:rPr>
          <w:lang w:val="en-US"/>
        </w:rPr>
        <w:t xml:space="preserve"> Persons </w:t>
      </w:r>
      <w:r w:rsidR="00ED12C9" w:rsidRPr="0055435C">
        <w:rPr>
          <w:lang w:val="en-US"/>
        </w:rPr>
        <w:t>living</w:t>
      </w:r>
      <w:r w:rsidR="00F732ED" w:rsidRPr="0055435C">
        <w:rPr>
          <w:lang w:val="en-US"/>
        </w:rPr>
        <w:t xml:space="preserve"> in Finland in </w:t>
      </w:r>
      <w:r w:rsidR="007904A3" w:rsidRPr="0055435C">
        <w:rPr>
          <w:lang w:val="en-US"/>
        </w:rPr>
        <w:t xml:space="preserve">the </w:t>
      </w:r>
      <w:r w:rsidR="00F732ED" w:rsidRPr="0055435C">
        <w:rPr>
          <w:lang w:val="en-US"/>
        </w:rPr>
        <w:t>year 2000 were sent a questionnaire</w:t>
      </w:r>
      <w:r w:rsidR="00C874A3" w:rsidRPr="0055435C">
        <w:rPr>
          <w:lang w:val="en-US"/>
        </w:rPr>
        <w:t xml:space="preserve"> (n=7</w:t>
      </w:r>
      <w:r w:rsidR="00ED12C9" w:rsidRPr="0055435C">
        <w:rPr>
          <w:lang w:val="en-US"/>
        </w:rPr>
        <w:t>,079</w:t>
      </w:r>
      <w:r w:rsidR="00C874A3" w:rsidRPr="0055435C">
        <w:rPr>
          <w:lang w:val="en-US"/>
        </w:rPr>
        <w:t>)</w:t>
      </w:r>
      <w:r w:rsidR="00F732ED" w:rsidRPr="0055435C">
        <w:rPr>
          <w:lang w:val="en-US"/>
        </w:rPr>
        <w:t xml:space="preserve">. </w:t>
      </w:r>
      <w:r w:rsidR="00CA3813" w:rsidRPr="0055435C">
        <w:rPr>
          <w:lang w:val="en-US"/>
        </w:rPr>
        <w:t>Of those who responded (n=</w:t>
      </w:r>
      <w:r w:rsidR="00F732ED" w:rsidRPr="0055435C">
        <w:rPr>
          <w:lang w:val="en-US"/>
        </w:rPr>
        <w:t xml:space="preserve"> 4</w:t>
      </w:r>
      <w:r w:rsidR="00ED12C9" w:rsidRPr="0055435C">
        <w:rPr>
          <w:lang w:val="en-US"/>
        </w:rPr>
        <w:t>,</w:t>
      </w:r>
      <w:r w:rsidR="00F732ED" w:rsidRPr="0055435C">
        <w:rPr>
          <w:lang w:val="en-US"/>
        </w:rPr>
        <w:t>515</w:t>
      </w:r>
      <w:r w:rsidR="00CA3813" w:rsidRPr="0055435C">
        <w:rPr>
          <w:lang w:val="en-US"/>
        </w:rPr>
        <w:t>),</w:t>
      </w:r>
      <w:r w:rsidR="007904A3" w:rsidRPr="0055435C">
        <w:rPr>
          <w:lang w:val="en-US"/>
        </w:rPr>
        <w:t xml:space="preserve"> a random sample </w:t>
      </w:r>
      <w:r w:rsidR="00B80858" w:rsidRPr="0055435C">
        <w:rPr>
          <w:lang w:val="en-US"/>
        </w:rPr>
        <w:t>of 2003</w:t>
      </w:r>
      <w:r w:rsidR="004C74BF" w:rsidRPr="0055435C">
        <w:rPr>
          <w:lang w:val="en-US"/>
        </w:rPr>
        <w:t xml:space="preserve"> </w:t>
      </w:r>
      <w:r w:rsidR="00B80858" w:rsidRPr="0055435C">
        <w:rPr>
          <w:lang w:val="en-US"/>
        </w:rPr>
        <w:t xml:space="preserve">persons </w:t>
      </w:r>
      <w:r w:rsidR="004C74BF" w:rsidRPr="0055435C">
        <w:rPr>
          <w:lang w:val="en-US"/>
        </w:rPr>
        <w:t>participated</w:t>
      </w:r>
      <w:r w:rsidR="00925446" w:rsidRPr="0055435C">
        <w:rPr>
          <w:lang w:val="en-US"/>
        </w:rPr>
        <w:t xml:space="preserve"> </w:t>
      </w:r>
      <w:r w:rsidR="007F397F" w:rsidRPr="0055435C">
        <w:rPr>
          <w:lang w:val="en-US"/>
        </w:rPr>
        <w:t xml:space="preserve">in </w:t>
      </w:r>
      <w:r w:rsidR="007904A3" w:rsidRPr="0055435C">
        <w:rPr>
          <w:lang w:val="en-US"/>
        </w:rPr>
        <w:t xml:space="preserve">a </w:t>
      </w:r>
      <w:r w:rsidR="00925446" w:rsidRPr="0055435C">
        <w:rPr>
          <w:lang w:val="en-US"/>
        </w:rPr>
        <w:t>clinical</w:t>
      </w:r>
      <w:r w:rsidR="007904A3" w:rsidRPr="0055435C">
        <w:rPr>
          <w:lang w:val="en-US"/>
        </w:rPr>
        <w:t xml:space="preserve"> examination</w:t>
      </w:r>
      <w:r w:rsidR="00925446" w:rsidRPr="0055435C">
        <w:rPr>
          <w:lang w:val="en-US"/>
        </w:rPr>
        <w:t xml:space="preserve"> in </w:t>
      </w:r>
      <w:r w:rsidR="00443F53" w:rsidRPr="0055435C">
        <w:rPr>
          <w:lang w:val="en-US"/>
        </w:rPr>
        <w:t xml:space="preserve">2001-2004. </w:t>
      </w:r>
      <w:r w:rsidR="00C874A3" w:rsidRPr="0055435C">
        <w:rPr>
          <w:lang w:val="en-US"/>
        </w:rPr>
        <w:t xml:space="preserve">Body size </w:t>
      </w:r>
      <w:r w:rsidR="007904A3" w:rsidRPr="0055435C">
        <w:rPr>
          <w:lang w:val="en-US"/>
        </w:rPr>
        <w:t xml:space="preserve">measurements </w:t>
      </w:r>
      <w:r w:rsidR="00C874A3" w:rsidRPr="0055435C">
        <w:rPr>
          <w:lang w:val="en-US"/>
        </w:rPr>
        <w:t>across childhood w</w:t>
      </w:r>
      <w:r w:rsidR="007904A3" w:rsidRPr="0055435C">
        <w:rPr>
          <w:lang w:val="en-US"/>
        </w:rPr>
        <w:t>ere</w:t>
      </w:r>
      <w:r w:rsidR="00C874A3" w:rsidRPr="0055435C">
        <w:rPr>
          <w:lang w:val="en-US"/>
        </w:rPr>
        <w:t xml:space="preserve"> retrieved from hospital, child welfare clinic and school healthcare records</w:t>
      </w:r>
      <w:r w:rsidR="008A383D" w:rsidRPr="0055435C">
        <w:rPr>
          <w:lang w:val="en-US"/>
        </w:rPr>
        <w:t xml:space="preserve"> </w:t>
      </w:r>
      <w:r w:rsidR="00443F53" w:rsidRPr="0055435C">
        <w:rPr>
          <w:lang w:val="en-US"/>
        </w:rPr>
        <w:fldChar w:fldCharType="begin"/>
      </w:r>
      <w:r w:rsidR="00DF1679" w:rsidRPr="0055435C">
        <w:rPr>
          <w:lang w:val="en-US"/>
        </w:rPr>
        <w:instrText>ADDIN RW.CITE{{737 Osmond,C. 2007; 791 Eriksson,J.G. 1999}}</w:instrText>
      </w:r>
      <w:r w:rsidR="00443F53" w:rsidRPr="0055435C">
        <w:rPr>
          <w:lang w:val="en-US"/>
        </w:rPr>
        <w:fldChar w:fldCharType="separate"/>
      </w:r>
      <w:r w:rsidR="00DF1679" w:rsidRPr="0055435C">
        <w:rPr>
          <w:lang w:val="en-US"/>
        </w:rPr>
        <w:t>[8, 9]</w:t>
      </w:r>
      <w:r w:rsidR="00443F53" w:rsidRPr="0055435C">
        <w:rPr>
          <w:lang w:val="en-US"/>
        </w:rPr>
        <w:fldChar w:fldCharType="end"/>
      </w:r>
      <w:r w:rsidR="008A383D" w:rsidRPr="0055435C">
        <w:rPr>
          <w:lang w:val="en-US"/>
        </w:rPr>
        <w:t>.</w:t>
      </w:r>
      <w:r w:rsidR="00C874A3" w:rsidRPr="0055435C">
        <w:rPr>
          <w:lang w:val="en-US"/>
        </w:rPr>
        <w:t xml:space="preserve"> </w:t>
      </w:r>
      <w:r w:rsidR="00925446" w:rsidRPr="0055435C">
        <w:rPr>
          <w:lang w:val="en-US"/>
        </w:rPr>
        <w:t>Dual-energy x-ray absorptiometry (DXA</w:t>
      </w:r>
      <w:r w:rsidR="00CA3813" w:rsidRPr="0055435C">
        <w:rPr>
          <w:lang w:val="en-US"/>
        </w:rPr>
        <w:t xml:space="preserve">, Prodigy, GE Lunar Corp., Madison, WI, USA) </w:t>
      </w:r>
      <w:r w:rsidR="00925446" w:rsidRPr="0055435C">
        <w:rPr>
          <w:lang w:val="en-US"/>
        </w:rPr>
        <w:t xml:space="preserve">scans were performed </w:t>
      </w:r>
      <w:r w:rsidR="007904A3" w:rsidRPr="0055435C">
        <w:rPr>
          <w:lang w:val="en-US"/>
        </w:rPr>
        <w:t>on</w:t>
      </w:r>
      <w:r w:rsidR="004502C8" w:rsidRPr="0055435C">
        <w:rPr>
          <w:lang w:val="en-US"/>
        </w:rPr>
        <w:t xml:space="preserve"> a convenience </w:t>
      </w:r>
      <w:r w:rsidR="00925446" w:rsidRPr="0055435C">
        <w:rPr>
          <w:lang w:val="en-US"/>
        </w:rPr>
        <w:t>sample of women (n=191)</w:t>
      </w:r>
      <w:r w:rsidR="00CA3813" w:rsidRPr="0055435C">
        <w:rPr>
          <w:lang w:val="en-US"/>
        </w:rPr>
        <w:t xml:space="preserve"> at lumbar spine and left hip</w:t>
      </w:r>
      <w:r w:rsidR="00CD7EAB" w:rsidRPr="0055435C">
        <w:rPr>
          <w:lang w:val="en-US"/>
        </w:rPr>
        <w:t>,</w:t>
      </w:r>
      <w:r w:rsidR="00CA3813" w:rsidRPr="0055435C">
        <w:rPr>
          <w:lang w:val="en-US"/>
        </w:rPr>
        <w:t xml:space="preserve"> and </w:t>
      </w:r>
      <w:r w:rsidR="007904A3" w:rsidRPr="0055435C">
        <w:rPr>
          <w:lang w:val="en-US"/>
        </w:rPr>
        <w:t xml:space="preserve">used for determining </w:t>
      </w:r>
      <w:r w:rsidR="00FF1DEB" w:rsidRPr="0055435C">
        <w:rPr>
          <w:lang w:val="en-US"/>
        </w:rPr>
        <w:t xml:space="preserve">bone area, </w:t>
      </w:r>
      <w:r w:rsidR="00CA3813" w:rsidRPr="0055435C">
        <w:rPr>
          <w:lang w:val="en-US"/>
        </w:rPr>
        <w:t>bone mineral content (BMC) and ar</w:t>
      </w:r>
      <w:r w:rsidR="007904A3" w:rsidRPr="0055435C">
        <w:rPr>
          <w:lang w:val="en-US"/>
        </w:rPr>
        <w:t>eal bone mineral density (aBMD)</w:t>
      </w:r>
      <w:r w:rsidR="00CA3813" w:rsidRPr="0055435C">
        <w:rPr>
          <w:lang w:val="en-US"/>
        </w:rPr>
        <w:t xml:space="preserve">. </w:t>
      </w:r>
      <w:r w:rsidR="00991964" w:rsidRPr="0055435C">
        <w:rPr>
          <w:lang w:val="en-US"/>
        </w:rPr>
        <w:t xml:space="preserve">Seven participants did not have complete data on growth and were thus excluded. </w:t>
      </w:r>
      <w:r w:rsidR="00B80858" w:rsidRPr="0055435C">
        <w:rPr>
          <w:lang w:val="en-US"/>
        </w:rPr>
        <w:t>Participants,</w:t>
      </w:r>
      <w:r w:rsidR="007F397F" w:rsidRPr="0055435C">
        <w:rPr>
          <w:lang w:val="en-US"/>
        </w:rPr>
        <w:t xml:space="preserve"> </w:t>
      </w:r>
      <w:r w:rsidR="00517C21" w:rsidRPr="0055435C">
        <w:rPr>
          <w:lang w:val="en-US"/>
        </w:rPr>
        <w:t>who had</w:t>
      </w:r>
      <w:r w:rsidR="007F397F" w:rsidRPr="0055435C">
        <w:rPr>
          <w:lang w:val="en-US"/>
        </w:rPr>
        <w:t xml:space="preserve"> </w:t>
      </w:r>
      <w:r w:rsidR="00517C21" w:rsidRPr="0055435C">
        <w:rPr>
          <w:lang w:val="en-US"/>
        </w:rPr>
        <w:t>purchased</w:t>
      </w:r>
      <w:r w:rsidR="007F397F" w:rsidRPr="0055435C">
        <w:rPr>
          <w:lang w:val="en-US"/>
        </w:rPr>
        <w:t xml:space="preserve"> osteoporosis drugs or systemic corticosteroids within </w:t>
      </w:r>
      <w:r w:rsidR="002A35CF" w:rsidRPr="0055435C">
        <w:rPr>
          <w:lang w:val="en-US"/>
        </w:rPr>
        <w:t>6 months before the measurement</w:t>
      </w:r>
      <w:r w:rsidR="00F25BA3" w:rsidRPr="0055435C">
        <w:rPr>
          <w:lang w:val="en-US"/>
        </w:rPr>
        <w:t xml:space="preserve"> according to the register of the Social Insurance Institution of Finland</w:t>
      </w:r>
      <w:r w:rsidR="002A35CF" w:rsidRPr="0055435C">
        <w:rPr>
          <w:lang w:val="en-US"/>
        </w:rPr>
        <w:t>,</w:t>
      </w:r>
      <w:r w:rsidR="00F25BA3" w:rsidRPr="0055435C">
        <w:rPr>
          <w:lang w:val="en-US"/>
        </w:rPr>
        <w:t xml:space="preserve"> </w:t>
      </w:r>
      <w:r w:rsidR="007F397F" w:rsidRPr="0055435C">
        <w:rPr>
          <w:lang w:val="en-US"/>
        </w:rPr>
        <w:t xml:space="preserve">were </w:t>
      </w:r>
      <w:r w:rsidR="00F771BC" w:rsidRPr="0055435C">
        <w:rPr>
          <w:lang w:val="en-US"/>
        </w:rPr>
        <w:t xml:space="preserve">also </w:t>
      </w:r>
      <w:r w:rsidR="007F397F" w:rsidRPr="0055435C">
        <w:rPr>
          <w:lang w:val="en-US"/>
        </w:rPr>
        <w:t>excluded</w:t>
      </w:r>
      <w:r w:rsidR="00B80858" w:rsidRPr="0055435C">
        <w:rPr>
          <w:lang w:val="en-US"/>
        </w:rPr>
        <w:t xml:space="preserve"> (n=6)</w:t>
      </w:r>
      <w:r w:rsidR="00C01A9F" w:rsidRPr="0055435C">
        <w:rPr>
          <w:lang w:val="en-US"/>
        </w:rPr>
        <w:t xml:space="preserve">. </w:t>
      </w:r>
      <w:r w:rsidR="0026476C" w:rsidRPr="0055435C">
        <w:rPr>
          <w:lang w:val="en-US"/>
        </w:rPr>
        <w:t xml:space="preserve">Altogether, 178 women were eligible for the analysis. </w:t>
      </w:r>
      <w:r w:rsidR="00C01A9F" w:rsidRPr="0055435C">
        <w:rPr>
          <w:lang w:val="en-US"/>
        </w:rPr>
        <w:t xml:space="preserve">At the time of the DXA scans, the participants were on average 60.4 (SD 2.9) years. </w:t>
      </w:r>
      <w:r w:rsidR="004C74BF" w:rsidRPr="0055435C">
        <w:rPr>
          <w:lang w:val="en-US"/>
        </w:rPr>
        <w:t>The study was approved by the Ethics Committee</w:t>
      </w:r>
      <w:r w:rsidR="00925446" w:rsidRPr="0055435C">
        <w:rPr>
          <w:lang w:val="en-US"/>
        </w:rPr>
        <w:t>s</w:t>
      </w:r>
      <w:r w:rsidR="004C74BF" w:rsidRPr="0055435C">
        <w:rPr>
          <w:lang w:val="en-US"/>
        </w:rPr>
        <w:t xml:space="preserve"> of </w:t>
      </w:r>
      <w:r w:rsidR="007904A3" w:rsidRPr="0055435C">
        <w:rPr>
          <w:lang w:val="en-US"/>
        </w:rPr>
        <w:t xml:space="preserve">National </w:t>
      </w:r>
      <w:r w:rsidR="00925446" w:rsidRPr="0055435C">
        <w:rPr>
          <w:lang w:val="en-US"/>
        </w:rPr>
        <w:t xml:space="preserve">Public Health Institute, Helsinki and </w:t>
      </w:r>
      <w:r w:rsidR="004C74BF" w:rsidRPr="0055435C">
        <w:rPr>
          <w:lang w:val="en-US"/>
        </w:rPr>
        <w:t>the Hospital District of Helsinki and Uusimaa. Written informed consent was obtained from each participant.</w:t>
      </w:r>
    </w:p>
    <w:p w14:paraId="5CFE4823" w14:textId="77777777" w:rsidR="0026476C" w:rsidRPr="0055435C" w:rsidRDefault="0026476C" w:rsidP="00AB7918">
      <w:pPr>
        <w:spacing w:line="480" w:lineRule="auto"/>
        <w:rPr>
          <w:lang w:val="en-US"/>
        </w:rPr>
      </w:pPr>
    </w:p>
    <w:p w14:paraId="22225E87" w14:textId="71B27D20" w:rsidR="004C74BF" w:rsidRPr="0055435C" w:rsidRDefault="0037100E" w:rsidP="00AB7918">
      <w:pPr>
        <w:spacing w:line="480" w:lineRule="auto"/>
        <w:rPr>
          <w:lang w:val="en-US"/>
        </w:rPr>
      </w:pPr>
      <w:r w:rsidRPr="0055435C">
        <w:rPr>
          <w:lang w:val="en-US"/>
        </w:rPr>
        <w:lastRenderedPageBreak/>
        <w:t xml:space="preserve">Adult height and weight were measured in light clothing and without shoes at the time of the DXA scans. </w:t>
      </w:r>
      <w:r w:rsidR="00E32B8E" w:rsidRPr="0055435C">
        <w:rPr>
          <w:lang w:val="en-US"/>
        </w:rPr>
        <w:t xml:space="preserve">Data on </w:t>
      </w:r>
      <w:r w:rsidR="00EE04A2" w:rsidRPr="0055435C">
        <w:rPr>
          <w:lang w:val="en-US"/>
        </w:rPr>
        <w:t xml:space="preserve">the </w:t>
      </w:r>
      <w:r w:rsidR="00E32B8E" w:rsidRPr="0055435C">
        <w:rPr>
          <w:lang w:val="en-US"/>
        </w:rPr>
        <w:t>participants</w:t>
      </w:r>
      <w:r w:rsidR="00EE04A2" w:rsidRPr="0055435C">
        <w:rPr>
          <w:lang w:val="en-US"/>
        </w:rPr>
        <w:t>’</w:t>
      </w:r>
      <w:r w:rsidR="00E32B8E" w:rsidRPr="0055435C">
        <w:rPr>
          <w:lang w:val="en-US"/>
        </w:rPr>
        <w:t xml:space="preserve"> mother</w:t>
      </w:r>
      <w:r w:rsidR="00EE04A2" w:rsidRPr="0055435C">
        <w:rPr>
          <w:lang w:val="en-US"/>
        </w:rPr>
        <w:t>s</w:t>
      </w:r>
      <w:r w:rsidR="00E32B8E" w:rsidRPr="0055435C">
        <w:rPr>
          <w:lang w:val="en-US"/>
        </w:rPr>
        <w:t xml:space="preserve"> and father</w:t>
      </w:r>
      <w:r w:rsidR="00EE04A2" w:rsidRPr="0055435C">
        <w:rPr>
          <w:lang w:val="en-US"/>
        </w:rPr>
        <w:t>s</w:t>
      </w:r>
      <w:r w:rsidR="00E32B8E" w:rsidRPr="0055435C">
        <w:rPr>
          <w:lang w:val="en-US"/>
        </w:rPr>
        <w:t xml:space="preserve"> w</w:t>
      </w:r>
      <w:r w:rsidR="00EE04A2" w:rsidRPr="0055435C">
        <w:rPr>
          <w:lang w:val="en-US"/>
        </w:rPr>
        <w:t>ere</w:t>
      </w:r>
      <w:r w:rsidR="00E32B8E" w:rsidRPr="0055435C">
        <w:rPr>
          <w:lang w:val="en-US"/>
        </w:rPr>
        <w:t xml:space="preserve"> also collected to be used as covariates. </w:t>
      </w:r>
      <w:r w:rsidR="004C74BF" w:rsidRPr="0055435C">
        <w:rPr>
          <w:lang w:val="en-US"/>
        </w:rPr>
        <w:t xml:space="preserve">Date of the mothers’ last menstrual period prior to pregnancy was extracted from hospital birth records and was used to calculate </w:t>
      </w:r>
      <w:r w:rsidR="00C378AD" w:rsidRPr="0055435C">
        <w:rPr>
          <w:lang w:val="en-US"/>
        </w:rPr>
        <w:t xml:space="preserve">length of </w:t>
      </w:r>
      <w:r w:rsidR="009410B2" w:rsidRPr="0055435C">
        <w:rPr>
          <w:lang w:val="en-US"/>
        </w:rPr>
        <w:t>gestation. Childhood socio</w:t>
      </w:r>
      <w:r w:rsidR="004C74BF" w:rsidRPr="0055435C">
        <w:rPr>
          <w:lang w:val="en-US"/>
        </w:rPr>
        <w:t xml:space="preserve">economic status </w:t>
      </w:r>
      <w:r w:rsidR="003F1725" w:rsidRPr="0055435C">
        <w:rPr>
          <w:lang w:val="en-US"/>
        </w:rPr>
        <w:t xml:space="preserve">(SES) </w:t>
      </w:r>
      <w:r w:rsidR="004C74BF" w:rsidRPr="0055435C">
        <w:rPr>
          <w:lang w:val="en-US"/>
        </w:rPr>
        <w:t>was ascertained based on father’s highest occupational status extracted from birth, child welfare, and school healthcare records, coded as upper middle class, lower middle class, and manual workers</w:t>
      </w:r>
      <w:r w:rsidR="008A383D" w:rsidRPr="0055435C">
        <w:rPr>
          <w:lang w:val="en-US"/>
        </w:rPr>
        <w:t xml:space="preserve"> </w:t>
      </w:r>
      <w:r w:rsidR="008B234E" w:rsidRPr="0055435C">
        <w:rPr>
          <w:lang w:val="en-US"/>
        </w:rPr>
        <w:fldChar w:fldCharType="begin"/>
      </w:r>
      <w:r w:rsidR="00852315" w:rsidRPr="0055435C">
        <w:rPr>
          <w:lang w:val="en-US"/>
        </w:rPr>
        <w:instrText>ADDIN RW.CITE{{710 CentralStatisticalOfficeofFinland 1989}}</w:instrText>
      </w:r>
      <w:r w:rsidR="008B234E" w:rsidRPr="0055435C">
        <w:rPr>
          <w:lang w:val="en-US"/>
        </w:rPr>
        <w:fldChar w:fldCharType="separate"/>
      </w:r>
      <w:r w:rsidR="00DF1679" w:rsidRPr="0055435C">
        <w:rPr>
          <w:lang w:val="en-US"/>
        </w:rPr>
        <w:t>[10]</w:t>
      </w:r>
      <w:r w:rsidR="008B234E" w:rsidRPr="0055435C">
        <w:rPr>
          <w:lang w:val="en-US"/>
        </w:rPr>
        <w:fldChar w:fldCharType="end"/>
      </w:r>
      <w:r w:rsidR="008A383D" w:rsidRPr="0055435C">
        <w:rPr>
          <w:lang w:val="en-US"/>
        </w:rPr>
        <w:t>.</w:t>
      </w:r>
      <w:r w:rsidR="00F732ED" w:rsidRPr="0055435C">
        <w:rPr>
          <w:lang w:val="en-US"/>
        </w:rPr>
        <w:t xml:space="preserve"> </w:t>
      </w:r>
      <w:r w:rsidR="00AE1AE3" w:rsidRPr="0055435C">
        <w:rPr>
          <w:lang w:val="en-US"/>
        </w:rPr>
        <w:t xml:space="preserve">Adult </w:t>
      </w:r>
      <w:r w:rsidR="003F1725" w:rsidRPr="0055435C">
        <w:rPr>
          <w:lang w:val="en-US"/>
        </w:rPr>
        <w:t>SES</w:t>
      </w:r>
      <w:r w:rsidR="00AE1AE3" w:rsidRPr="0055435C">
        <w:rPr>
          <w:lang w:val="en-US"/>
        </w:rPr>
        <w:t xml:space="preserve"> </w:t>
      </w:r>
      <w:r w:rsidR="00EC04A5" w:rsidRPr="0055435C">
        <w:rPr>
          <w:lang w:val="en-US"/>
        </w:rPr>
        <w:t>was defined as t</w:t>
      </w:r>
      <w:r w:rsidR="00AE1AE3" w:rsidRPr="0055435C">
        <w:rPr>
          <w:lang w:val="en-US"/>
        </w:rPr>
        <w:t>he highest occupational status at five-year i</w:t>
      </w:r>
      <w:r w:rsidR="00C01A9F" w:rsidRPr="0055435C">
        <w:rPr>
          <w:lang w:val="en-US"/>
        </w:rPr>
        <w:t>ntervals between 1970 and 2000</w:t>
      </w:r>
      <w:r w:rsidR="00CA3813" w:rsidRPr="0055435C">
        <w:rPr>
          <w:lang w:val="en-US"/>
        </w:rPr>
        <w:t xml:space="preserve"> from the register of Statistics Finland</w:t>
      </w:r>
      <w:r w:rsidR="00C01A9F" w:rsidRPr="0055435C">
        <w:rPr>
          <w:lang w:val="en-US"/>
        </w:rPr>
        <w:t>,</w:t>
      </w:r>
      <w:r w:rsidR="00AE1AE3" w:rsidRPr="0055435C">
        <w:rPr>
          <w:lang w:val="en-US"/>
        </w:rPr>
        <w:t xml:space="preserve"> coded as upper middle class, lower middle class,</w:t>
      </w:r>
      <w:r w:rsidR="008A383D" w:rsidRPr="0055435C">
        <w:rPr>
          <w:lang w:val="en-US"/>
        </w:rPr>
        <w:t xml:space="preserve"> self-employed, and laborers </w:t>
      </w:r>
      <w:r w:rsidR="008B234E" w:rsidRPr="0055435C">
        <w:rPr>
          <w:lang w:val="en-US"/>
        </w:rPr>
        <w:fldChar w:fldCharType="begin"/>
      </w:r>
      <w:r w:rsidR="00852315" w:rsidRPr="0055435C">
        <w:rPr>
          <w:lang w:val="en-US"/>
        </w:rPr>
        <w:instrText>ADDIN RW.CITE{{710 CentralStatisticalOfficeofFinland 1989}}</w:instrText>
      </w:r>
      <w:r w:rsidR="008B234E" w:rsidRPr="0055435C">
        <w:rPr>
          <w:lang w:val="en-US"/>
        </w:rPr>
        <w:fldChar w:fldCharType="separate"/>
      </w:r>
      <w:r w:rsidR="00DF1679" w:rsidRPr="0055435C">
        <w:rPr>
          <w:lang w:val="en-US"/>
        </w:rPr>
        <w:t>[10]</w:t>
      </w:r>
      <w:r w:rsidR="008B234E" w:rsidRPr="0055435C">
        <w:rPr>
          <w:lang w:val="en-US"/>
        </w:rPr>
        <w:fldChar w:fldCharType="end"/>
      </w:r>
      <w:r w:rsidR="008A383D" w:rsidRPr="0055435C">
        <w:rPr>
          <w:lang w:val="en-US"/>
        </w:rPr>
        <w:t>.</w:t>
      </w:r>
      <w:r w:rsidR="008B234E" w:rsidRPr="0055435C">
        <w:rPr>
          <w:lang w:val="en-US"/>
        </w:rPr>
        <w:t xml:space="preserve"> I</w:t>
      </w:r>
      <w:r w:rsidR="007F397F" w:rsidRPr="0055435C">
        <w:rPr>
          <w:lang w:val="en-US"/>
        </w:rPr>
        <w:t>nformation on</w:t>
      </w:r>
      <w:r w:rsidR="00825B06" w:rsidRPr="0055435C">
        <w:rPr>
          <w:lang w:val="en-US"/>
        </w:rPr>
        <w:t xml:space="preserve"> age at menopause,</w:t>
      </w:r>
      <w:r w:rsidR="007F397F" w:rsidRPr="0055435C">
        <w:rPr>
          <w:lang w:val="en-US"/>
        </w:rPr>
        <w:t xml:space="preserve"> estrogen replacement therapy (never vs. ever), </w:t>
      </w:r>
      <w:r w:rsidR="009410B2" w:rsidRPr="0055435C">
        <w:rPr>
          <w:lang w:val="en-US"/>
        </w:rPr>
        <w:t xml:space="preserve">frequency of </w:t>
      </w:r>
      <w:r w:rsidR="007F397F" w:rsidRPr="0055435C">
        <w:rPr>
          <w:lang w:val="en-US"/>
        </w:rPr>
        <w:t xml:space="preserve">exercise (0-1 times per week vs. </w:t>
      </w:r>
      <w:r w:rsidR="008804DB" w:rsidRPr="0055435C">
        <w:rPr>
          <w:lang w:val="en-US"/>
        </w:rPr>
        <w:t>more), smoking (never vs. ever), and</w:t>
      </w:r>
      <w:r w:rsidR="009410B2" w:rsidRPr="0055435C">
        <w:rPr>
          <w:lang w:val="en-US"/>
        </w:rPr>
        <w:t xml:space="preserve"> frequency of </w:t>
      </w:r>
      <w:r w:rsidR="007F397F" w:rsidRPr="0055435C">
        <w:rPr>
          <w:lang w:val="en-US"/>
        </w:rPr>
        <w:t xml:space="preserve">alcohol </w:t>
      </w:r>
      <w:r w:rsidR="00E36E96" w:rsidRPr="0055435C">
        <w:rPr>
          <w:lang w:val="en-US"/>
        </w:rPr>
        <w:t>intake</w:t>
      </w:r>
      <w:r w:rsidR="007F397F" w:rsidRPr="0055435C">
        <w:rPr>
          <w:lang w:val="en-US"/>
        </w:rPr>
        <w:t xml:space="preserve"> (</w:t>
      </w:r>
      <w:r w:rsidR="009410B2" w:rsidRPr="0055435C">
        <w:rPr>
          <w:lang w:val="en-US"/>
        </w:rPr>
        <w:t>&lt;</w:t>
      </w:r>
      <w:r w:rsidR="007F397F" w:rsidRPr="0055435C">
        <w:rPr>
          <w:lang w:val="en-US"/>
        </w:rPr>
        <w:t xml:space="preserve">weekly vs. </w:t>
      </w:r>
      <w:r w:rsidR="009410B2" w:rsidRPr="0055435C">
        <w:rPr>
          <w:rFonts w:cs="Times New Roman"/>
          <w:lang w:val="en-US"/>
        </w:rPr>
        <w:t>≥</w:t>
      </w:r>
      <w:r w:rsidR="007F397F" w:rsidRPr="0055435C">
        <w:rPr>
          <w:lang w:val="en-US"/>
        </w:rPr>
        <w:t>weekly) was obtained via questionnaire</w:t>
      </w:r>
      <w:r w:rsidR="00825B06" w:rsidRPr="0055435C">
        <w:rPr>
          <w:lang w:val="en-US"/>
        </w:rPr>
        <w:t>.</w:t>
      </w:r>
      <w:r w:rsidR="007F397F" w:rsidRPr="0055435C">
        <w:rPr>
          <w:lang w:val="en-US"/>
        </w:rPr>
        <w:t xml:space="preserve"> </w:t>
      </w:r>
      <w:r w:rsidR="00F748E3" w:rsidRPr="0055435C">
        <w:rPr>
          <w:lang w:val="en-US"/>
        </w:rPr>
        <w:t xml:space="preserve">These variables were selected as covariates as they potentially can confound or mediate the association between early growth and bone properties in old age. </w:t>
      </w:r>
      <w:r w:rsidR="00EE04A2" w:rsidRPr="0055435C">
        <w:rPr>
          <w:lang w:val="en-US"/>
        </w:rPr>
        <w:t>Information on f</w:t>
      </w:r>
      <w:r w:rsidR="008804DB" w:rsidRPr="0055435C">
        <w:rPr>
          <w:lang w:val="en-US"/>
        </w:rPr>
        <w:t>ragility fracture</w:t>
      </w:r>
      <w:r w:rsidR="00EE04A2" w:rsidRPr="0055435C">
        <w:rPr>
          <w:lang w:val="en-US"/>
        </w:rPr>
        <w:t>s</w:t>
      </w:r>
      <w:r w:rsidR="008804DB" w:rsidRPr="0055435C">
        <w:rPr>
          <w:lang w:val="en-US"/>
        </w:rPr>
        <w:t xml:space="preserve"> was based on a series of questions</w:t>
      </w:r>
      <w:r w:rsidR="005A587D" w:rsidRPr="0055435C">
        <w:rPr>
          <w:lang w:val="en-US"/>
        </w:rPr>
        <w:t xml:space="preserve"> on</w:t>
      </w:r>
      <w:r w:rsidR="008804DB" w:rsidRPr="0055435C">
        <w:rPr>
          <w:lang w:val="en-US"/>
        </w:rPr>
        <w:t xml:space="preserve"> whether the participant had sustained a radial, brachial, clavicular, hip, or ankle fracture</w:t>
      </w:r>
      <w:r w:rsidR="00853AEF" w:rsidRPr="0055435C">
        <w:rPr>
          <w:lang w:val="en-US"/>
        </w:rPr>
        <w:t xml:space="preserve"> after the age of 45 years</w:t>
      </w:r>
      <w:r w:rsidR="008804DB" w:rsidRPr="0055435C">
        <w:rPr>
          <w:lang w:val="en-US"/>
        </w:rPr>
        <w:t>. The variable was dichotomized (</w:t>
      </w:r>
      <w:r w:rsidR="005A587D" w:rsidRPr="0055435C">
        <w:rPr>
          <w:lang w:val="en-US"/>
        </w:rPr>
        <w:t>fragility fracture/no fragility fracture) and was used to describe the study sample.</w:t>
      </w:r>
      <w:r w:rsidR="008804DB" w:rsidRPr="0055435C">
        <w:rPr>
          <w:lang w:val="en-US"/>
        </w:rPr>
        <w:t xml:space="preserve"> </w:t>
      </w:r>
    </w:p>
    <w:p w14:paraId="1B912588" w14:textId="77777777" w:rsidR="00B36631" w:rsidRPr="0055435C" w:rsidRDefault="00B36631" w:rsidP="00AB7918">
      <w:pPr>
        <w:spacing w:line="480" w:lineRule="auto"/>
        <w:rPr>
          <w:lang w:val="en-US"/>
        </w:rPr>
      </w:pPr>
    </w:p>
    <w:p w14:paraId="2A5986A2" w14:textId="77777777" w:rsidR="00B36631" w:rsidRPr="0055435C" w:rsidRDefault="00B36631" w:rsidP="00AB7918">
      <w:pPr>
        <w:pStyle w:val="Heading2"/>
        <w:spacing w:line="480" w:lineRule="auto"/>
        <w:rPr>
          <w:lang w:val="en-US"/>
        </w:rPr>
      </w:pPr>
      <w:r w:rsidRPr="0055435C">
        <w:rPr>
          <w:lang w:val="en-US"/>
        </w:rPr>
        <w:t xml:space="preserve">Statistics </w:t>
      </w:r>
    </w:p>
    <w:p w14:paraId="478EBF7B" w14:textId="6232A658" w:rsidR="00EB7B47" w:rsidRPr="0055435C" w:rsidRDefault="00FF1DEB" w:rsidP="00AB7918">
      <w:pPr>
        <w:spacing w:line="480" w:lineRule="auto"/>
        <w:rPr>
          <w:lang w:val="en-US"/>
        </w:rPr>
      </w:pPr>
      <w:r w:rsidRPr="0055435C">
        <w:rPr>
          <w:lang w:val="en-US"/>
        </w:rPr>
        <w:t>To indicate the magnitude of growth at each age that is independent of earlier growth, w</w:t>
      </w:r>
      <w:r w:rsidR="00F417E0" w:rsidRPr="0055435C">
        <w:rPr>
          <w:lang w:val="en-US"/>
        </w:rPr>
        <w:t xml:space="preserve">e </w:t>
      </w:r>
      <w:r w:rsidR="009A28E2" w:rsidRPr="0055435C">
        <w:rPr>
          <w:lang w:val="en-US"/>
        </w:rPr>
        <w:t>constructed conditional</w:t>
      </w:r>
      <w:r w:rsidR="00F417E0" w:rsidRPr="0055435C">
        <w:rPr>
          <w:lang w:val="en-US"/>
        </w:rPr>
        <w:t xml:space="preserve"> </w:t>
      </w:r>
      <w:r w:rsidRPr="0055435C">
        <w:rPr>
          <w:lang w:val="en-US"/>
        </w:rPr>
        <w:t>height and weight</w:t>
      </w:r>
      <w:r w:rsidR="00F417E0" w:rsidRPr="0055435C">
        <w:rPr>
          <w:lang w:val="en-US"/>
        </w:rPr>
        <w:t xml:space="preserve"> variables</w:t>
      </w:r>
      <w:r w:rsidR="00F771BC" w:rsidRPr="0055435C">
        <w:rPr>
          <w:lang w:val="en-US"/>
        </w:rPr>
        <w:t>. Conditional growth variables</w:t>
      </w:r>
      <w:r w:rsidR="00C01A9F" w:rsidRPr="0055435C">
        <w:rPr>
          <w:lang w:val="en-US"/>
        </w:rPr>
        <w:t xml:space="preserve"> were</w:t>
      </w:r>
      <w:r w:rsidR="00F417E0" w:rsidRPr="0055435C">
        <w:rPr>
          <w:lang w:val="en-US"/>
        </w:rPr>
        <w:t xml:space="preserve"> </w:t>
      </w:r>
      <w:r w:rsidR="009A28E2" w:rsidRPr="0055435C">
        <w:rPr>
          <w:lang w:val="en-US"/>
        </w:rPr>
        <w:t xml:space="preserve">standardized </w:t>
      </w:r>
      <w:r w:rsidR="00F417E0" w:rsidRPr="0055435C">
        <w:rPr>
          <w:lang w:val="en-US"/>
        </w:rPr>
        <w:t xml:space="preserve">residuals from linear regression analysis </w:t>
      </w:r>
      <w:r w:rsidRPr="0055435C">
        <w:rPr>
          <w:lang w:val="en-US"/>
        </w:rPr>
        <w:t xml:space="preserve">with </w:t>
      </w:r>
      <w:r w:rsidR="00EB7B47" w:rsidRPr="0055435C">
        <w:rPr>
          <w:lang w:val="en-US"/>
        </w:rPr>
        <w:t>both height and weight</w:t>
      </w:r>
      <w:r w:rsidR="00780E71" w:rsidRPr="0055435C">
        <w:rPr>
          <w:lang w:val="en-US"/>
        </w:rPr>
        <w:t xml:space="preserve"> at </w:t>
      </w:r>
      <w:r w:rsidR="00F417E0" w:rsidRPr="0055435C">
        <w:rPr>
          <w:lang w:val="en-US"/>
        </w:rPr>
        <w:t xml:space="preserve">previous ages as the </w:t>
      </w:r>
      <w:r w:rsidR="001A704C" w:rsidRPr="0055435C">
        <w:rPr>
          <w:lang w:val="en-US"/>
        </w:rPr>
        <w:t>independent variables</w:t>
      </w:r>
      <w:r w:rsidR="008A383D" w:rsidRPr="0055435C">
        <w:rPr>
          <w:lang w:val="en-US"/>
        </w:rPr>
        <w:t xml:space="preserve"> </w:t>
      </w:r>
      <w:r w:rsidR="004B0FB7" w:rsidRPr="0055435C">
        <w:rPr>
          <w:lang w:val="en-US"/>
        </w:rPr>
        <w:fldChar w:fldCharType="begin"/>
      </w:r>
      <w:r w:rsidR="00852315" w:rsidRPr="0055435C">
        <w:rPr>
          <w:lang w:val="en-US"/>
        </w:rPr>
        <w:instrText>ADDIN RW.CITE{{769 Adair,LindaS 2013; 750 Keijzer-Veen,MandyG 2005}}</w:instrText>
      </w:r>
      <w:r w:rsidR="004B0FB7" w:rsidRPr="0055435C">
        <w:rPr>
          <w:lang w:val="en-US"/>
        </w:rPr>
        <w:fldChar w:fldCharType="separate"/>
      </w:r>
      <w:r w:rsidR="00DF1679" w:rsidRPr="0055435C">
        <w:rPr>
          <w:lang w:val="en-US"/>
        </w:rPr>
        <w:t>[11, 12]</w:t>
      </w:r>
      <w:r w:rsidR="004B0FB7" w:rsidRPr="0055435C">
        <w:rPr>
          <w:lang w:val="en-US"/>
        </w:rPr>
        <w:fldChar w:fldCharType="end"/>
      </w:r>
      <w:r w:rsidR="008A383D" w:rsidRPr="0055435C">
        <w:rPr>
          <w:lang w:val="en-US"/>
        </w:rPr>
        <w:t>.</w:t>
      </w:r>
      <w:r w:rsidR="009A28E2" w:rsidRPr="0055435C">
        <w:rPr>
          <w:lang w:val="en-US"/>
        </w:rPr>
        <w:t xml:space="preserve">  </w:t>
      </w:r>
      <w:r w:rsidR="00EB7B47" w:rsidRPr="0055435C">
        <w:rPr>
          <w:lang w:val="en-US"/>
        </w:rPr>
        <w:t xml:space="preserve">In addition, weight was adjusted for </w:t>
      </w:r>
      <w:r w:rsidR="00C27DF3" w:rsidRPr="0055435C">
        <w:rPr>
          <w:lang w:val="en-US"/>
        </w:rPr>
        <w:t>corresponding</w:t>
      </w:r>
      <w:r w:rsidR="00EB7B47" w:rsidRPr="0055435C">
        <w:rPr>
          <w:lang w:val="en-US"/>
        </w:rPr>
        <w:t xml:space="preserve"> height. </w:t>
      </w:r>
      <w:r w:rsidRPr="0055435C">
        <w:rPr>
          <w:lang w:val="en-US"/>
        </w:rPr>
        <w:t xml:space="preserve">Hence, height represents </w:t>
      </w:r>
      <w:r w:rsidR="009858B4" w:rsidRPr="0055435C">
        <w:rPr>
          <w:lang w:val="en-US"/>
        </w:rPr>
        <w:t>deviation of (</w:t>
      </w:r>
      <w:r w:rsidR="009426FE" w:rsidRPr="0055435C">
        <w:rPr>
          <w:lang w:val="en-US"/>
        </w:rPr>
        <w:t xml:space="preserve">i.e. </w:t>
      </w:r>
      <w:r w:rsidR="009858B4" w:rsidRPr="0055435C">
        <w:rPr>
          <w:lang w:val="en-US"/>
        </w:rPr>
        <w:t xml:space="preserve">faster or slower) linear </w:t>
      </w:r>
      <w:r w:rsidR="00240099" w:rsidRPr="0055435C">
        <w:rPr>
          <w:lang w:val="en-US"/>
        </w:rPr>
        <w:lastRenderedPageBreak/>
        <w:t>growth</w:t>
      </w:r>
      <w:r w:rsidR="009858B4" w:rsidRPr="0055435C">
        <w:rPr>
          <w:lang w:val="en-US"/>
        </w:rPr>
        <w:t xml:space="preserve"> from that expected based on earlier growth and </w:t>
      </w:r>
      <w:r w:rsidRPr="0055435C">
        <w:rPr>
          <w:lang w:val="en-US"/>
        </w:rPr>
        <w:t xml:space="preserve">relative weight gain </w:t>
      </w:r>
      <w:r w:rsidR="009426FE" w:rsidRPr="0055435C">
        <w:rPr>
          <w:lang w:val="en-US"/>
        </w:rPr>
        <w:t xml:space="preserve">represents </w:t>
      </w:r>
      <w:r w:rsidR="009858B4" w:rsidRPr="0055435C">
        <w:rPr>
          <w:lang w:val="en-US"/>
        </w:rPr>
        <w:t xml:space="preserve">faster or slower weight gain expected based on earlier growth and </w:t>
      </w:r>
      <w:r w:rsidR="00C27DF3" w:rsidRPr="0055435C">
        <w:rPr>
          <w:lang w:val="en-US"/>
        </w:rPr>
        <w:t>co</w:t>
      </w:r>
      <w:r w:rsidR="009426FE" w:rsidRPr="0055435C">
        <w:rPr>
          <w:lang w:val="en-US"/>
        </w:rPr>
        <w:t>ncurrent</w:t>
      </w:r>
      <w:r w:rsidR="009858B4" w:rsidRPr="0055435C">
        <w:rPr>
          <w:lang w:val="en-US"/>
        </w:rPr>
        <w:t xml:space="preserve"> height.</w:t>
      </w:r>
    </w:p>
    <w:p w14:paraId="4A54A83A" w14:textId="77777777" w:rsidR="00FA5BB1" w:rsidRPr="0055435C" w:rsidRDefault="00FA5BB1" w:rsidP="00AB7918">
      <w:pPr>
        <w:spacing w:line="480" w:lineRule="auto"/>
        <w:rPr>
          <w:lang w:val="en-US"/>
        </w:rPr>
      </w:pPr>
    </w:p>
    <w:p w14:paraId="2CC68B0B" w14:textId="0BA51969" w:rsidR="00B36631" w:rsidRPr="0055435C" w:rsidRDefault="009A28E2" w:rsidP="00AB7918">
      <w:pPr>
        <w:spacing w:line="480" w:lineRule="auto"/>
        <w:rPr>
          <w:lang w:val="en-US"/>
        </w:rPr>
      </w:pPr>
      <w:r w:rsidRPr="0055435C">
        <w:rPr>
          <w:lang w:val="en-US"/>
        </w:rPr>
        <w:t xml:space="preserve">We used linear regression models to explore the associations </w:t>
      </w:r>
      <w:r w:rsidR="003A2940" w:rsidRPr="0055435C">
        <w:rPr>
          <w:lang w:val="en-US"/>
        </w:rPr>
        <w:t>of</w:t>
      </w:r>
      <w:r w:rsidRPr="0055435C">
        <w:rPr>
          <w:lang w:val="en-US"/>
        </w:rPr>
        <w:t xml:space="preserve"> </w:t>
      </w:r>
      <w:r w:rsidR="001A704C" w:rsidRPr="0055435C">
        <w:rPr>
          <w:lang w:val="en-US"/>
        </w:rPr>
        <w:t xml:space="preserve">conditional </w:t>
      </w:r>
      <w:r w:rsidRPr="0055435C">
        <w:rPr>
          <w:lang w:val="en-US"/>
        </w:rPr>
        <w:t xml:space="preserve">growth </w:t>
      </w:r>
      <w:r w:rsidR="003A2940" w:rsidRPr="0055435C">
        <w:rPr>
          <w:lang w:val="en-US"/>
        </w:rPr>
        <w:t>with bone area,</w:t>
      </w:r>
      <w:r w:rsidRPr="0055435C">
        <w:rPr>
          <w:lang w:val="en-US"/>
        </w:rPr>
        <w:t xml:space="preserve"> BMC</w:t>
      </w:r>
      <w:r w:rsidR="003A2940" w:rsidRPr="0055435C">
        <w:rPr>
          <w:lang w:val="en-US"/>
        </w:rPr>
        <w:t xml:space="preserve"> and </w:t>
      </w:r>
      <w:r w:rsidR="00745E82" w:rsidRPr="0055435C">
        <w:rPr>
          <w:lang w:val="en-US"/>
        </w:rPr>
        <w:t>a</w:t>
      </w:r>
      <w:r w:rsidRPr="0055435C">
        <w:rPr>
          <w:lang w:val="en-US"/>
        </w:rPr>
        <w:t>BMD</w:t>
      </w:r>
      <w:r w:rsidR="009366DE" w:rsidRPr="0055435C">
        <w:rPr>
          <w:lang w:val="en-US"/>
        </w:rPr>
        <w:t>.</w:t>
      </w:r>
      <w:r w:rsidR="004B0FB7" w:rsidRPr="0055435C">
        <w:rPr>
          <w:lang w:val="en-US"/>
        </w:rPr>
        <w:t xml:space="preserve"> </w:t>
      </w:r>
      <w:r w:rsidRPr="0055435C">
        <w:rPr>
          <w:lang w:val="en-US"/>
        </w:rPr>
        <w:t xml:space="preserve">Crude and fully-adjusted </w:t>
      </w:r>
      <w:r w:rsidR="00C01A9F" w:rsidRPr="0055435C">
        <w:rPr>
          <w:lang w:val="en-US"/>
        </w:rPr>
        <w:t>(</w:t>
      </w:r>
      <w:r w:rsidR="003F1725" w:rsidRPr="0055435C">
        <w:rPr>
          <w:lang w:val="en-US"/>
        </w:rPr>
        <w:t xml:space="preserve">covariates: length of gestation, age at DXA measurement, childhood SES, adulthood SES, alcohol, smoking, exercise, and estrogen replacement therapy) </w:t>
      </w:r>
      <w:r w:rsidRPr="0055435C">
        <w:rPr>
          <w:lang w:val="en-US"/>
        </w:rPr>
        <w:t xml:space="preserve">models were analyzed. </w:t>
      </w:r>
      <w:r w:rsidR="003A2940" w:rsidRPr="0055435C">
        <w:rPr>
          <w:lang w:val="en-US"/>
        </w:rPr>
        <w:t>Bone variables</w:t>
      </w:r>
      <w:r w:rsidR="009366DE" w:rsidRPr="0055435C">
        <w:rPr>
          <w:lang w:val="en-US"/>
        </w:rPr>
        <w:t xml:space="preserve"> were standardized. </w:t>
      </w:r>
      <w:r w:rsidRPr="0055435C">
        <w:rPr>
          <w:lang w:val="en-US"/>
        </w:rPr>
        <w:t>R</w:t>
      </w:r>
      <w:r w:rsidR="00B36631" w:rsidRPr="0055435C">
        <w:rPr>
          <w:lang w:val="en-US"/>
        </w:rPr>
        <w:t xml:space="preserve">egression coefficients </w:t>
      </w:r>
      <w:r w:rsidRPr="0055435C">
        <w:rPr>
          <w:lang w:val="en-US"/>
        </w:rPr>
        <w:t>re</w:t>
      </w:r>
      <w:r w:rsidR="00B36631" w:rsidRPr="0055435C">
        <w:rPr>
          <w:lang w:val="en-US"/>
        </w:rPr>
        <w:t>present change</w:t>
      </w:r>
      <w:r w:rsidR="003A2940" w:rsidRPr="0055435C">
        <w:rPr>
          <w:lang w:val="en-US"/>
        </w:rPr>
        <w:t xml:space="preserve"> in a bone variable</w:t>
      </w:r>
      <w:r w:rsidR="00B36631" w:rsidRPr="0055435C">
        <w:rPr>
          <w:lang w:val="en-US"/>
        </w:rPr>
        <w:t xml:space="preserve"> </w:t>
      </w:r>
      <w:r w:rsidRPr="0055435C">
        <w:rPr>
          <w:lang w:val="en-US"/>
        </w:rPr>
        <w:t>in</w:t>
      </w:r>
      <w:r w:rsidR="00B36631" w:rsidRPr="0055435C">
        <w:rPr>
          <w:lang w:val="en-US"/>
        </w:rPr>
        <w:t xml:space="preserve"> standard deviations per one standard deviation </w:t>
      </w:r>
      <w:r w:rsidR="009426FE" w:rsidRPr="0055435C">
        <w:rPr>
          <w:lang w:val="en-US"/>
        </w:rPr>
        <w:t>greater</w:t>
      </w:r>
      <w:r w:rsidR="00B36631" w:rsidRPr="0055435C">
        <w:rPr>
          <w:lang w:val="en-US"/>
        </w:rPr>
        <w:t xml:space="preserve"> growth.</w:t>
      </w:r>
      <w:r w:rsidR="008B3EF4" w:rsidRPr="0055435C">
        <w:rPr>
          <w:lang w:val="en-US"/>
        </w:rPr>
        <w:t xml:space="preserve"> </w:t>
      </w:r>
      <w:r w:rsidR="00F771BC" w:rsidRPr="0055435C">
        <w:rPr>
          <w:lang w:val="en-US"/>
        </w:rPr>
        <w:t xml:space="preserve">We </w:t>
      </w:r>
      <w:r w:rsidR="00963720" w:rsidRPr="0055435C">
        <w:rPr>
          <w:lang w:val="en-US"/>
        </w:rPr>
        <w:t xml:space="preserve">also </w:t>
      </w:r>
      <w:r w:rsidR="00F771BC" w:rsidRPr="0055435C">
        <w:rPr>
          <w:lang w:val="en-US"/>
        </w:rPr>
        <w:t>present z scores for growth variables determined based on the whole cohort as previously described</w:t>
      </w:r>
      <w:r w:rsidR="00DF1679" w:rsidRPr="0055435C">
        <w:rPr>
          <w:lang w:val="en-US"/>
        </w:rPr>
        <w:t xml:space="preserve"> </w:t>
      </w:r>
      <w:r w:rsidR="00DF1679" w:rsidRPr="0055435C">
        <w:rPr>
          <w:lang w:val="en-US"/>
        </w:rPr>
        <w:fldChar w:fldCharType="begin"/>
      </w:r>
      <w:r w:rsidR="00DF1679" w:rsidRPr="0055435C">
        <w:rPr>
          <w:lang w:val="en-US"/>
        </w:rPr>
        <w:instrText>ADDIN RW.CITE{{791 Eriksson,J.G. 1999}}</w:instrText>
      </w:r>
      <w:r w:rsidR="00DF1679" w:rsidRPr="0055435C">
        <w:rPr>
          <w:lang w:val="en-US"/>
        </w:rPr>
        <w:fldChar w:fldCharType="separate"/>
      </w:r>
      <w:r w:rsidR="00DF1679" w:rsidRPr="0055435C">
        <w:rPr>
          <w:lang w:val="en-US"/>
        </w:rPr>
        <w:t>[9]</w:t>
      </w:r>
      <w:r w:rsidR="00DF1679" w:rsidRPr="0055435C">
        <w:rPr>
          <w:lang w:val="en-US"/>
        </w:rPr>
        <w:fldChar w:fldCharType="end"/>
      </w:r>
      <w:r w:rsidR="00F771BC" w:rsidRPr="0055435C">
        <w:rPr>
          <w:lang w:val="en-US"/>
        </w:rPr>
        <w:t xml:space="preserve">. </w:t>
      </w:r>
      <w:r w:rsidR="008B3EF4" w:rsidRPr="0055435C">
        <w:rPr>
          <w:lang w:val="en-US"/>
        </w:rPr>
        <w:t>Level of statistical significance was set at p&lt;0.05.</w:t>
      </w:r>
      <w:r w:rsidR="009366DE" w:rsidRPr="0055435C">
        <w:rPr>
          <w:lang w:val="en-US"/>
        </w:rPr>
        <w:t xml:space="preserve"> Analyses were performed using IBM SPSS Statistics for Windows, Version 22.0 (IBM Corp., Armonk, NY, USA).</w:t>
      </w:r>
    </w:p>
    <w:p w14:paraId="57D0F3E5" w14:textId="77777777" w:rsidR="00C4502D" w:rsidRPr="0055435C" w:rsidRDefault="00C4502D" w:rsidP="00AB7918">
      <w:pPr>
        <w:pStyle w:val="Heading1"/>
        <w:spacing w:line="480" w:lineRule="auto"/>
        <w:rPr>
          <w:color w:val="auto"/>
          <w:lang w:val="en-US"/>
        </w:rPr>
      </w:pPr>
      <w:r w:rsidRPr="0055435C">
        <w:rPr>
          <w:color w:val="auto"/>
          <w:lang w:val="en-US"/>
        </w:rPr>
        <w:t>Results</w:t>
      </w:r>
    </w:p>
    <w:p w14:paraId="06297C4D" w14:textId="77777777" w:rsidR="001172FE" w:rsidRPr="0055435C" w:rsidRDefault="001172FE" w:rsidP="00AB7918">
      <w:pPr>
        <w:spacing w:line="480" w:lineRule="auto"/>
        <w:rPr>
          <w:lang w:val="en-US"/>
        </w:rPr>
      </w:pPr>
    </w:p>
    <w:p w14:paraId="3E797070" w14:textId="59ACA48F" w:rsidR="00A63B3B" w:rsidRPr="0055435C" w:rsidRDefault="003274DB" w:rsidP="00AB7918">
      <w:pPr>
        <w:spacing w:line="480" w:lineRule="auto"/>
        <w:rPr>
          <w:lang w:val="en-US"/>
        </w:rPr>
      </w:pPr>
      <w:r w:rsidRPr="0055435C">
        <w:rPr>
          <w:lang w:val="en-US"/>
        </w:rPr>
        <w:t xml:space="preserve">Body size </w:t>
      </w:r>
      <w:r w:rsidR="009366DE" w:rsidRPr="0055435C">
        <w:rPr>
          <w:lang w:val="en-US"/>
        </w:rPr>
        <w:t xml:space="preserve">at birth, </w:t>
      </w:r>
      <w:r w:rsidRPr="0055435C">
        <w:rPr>
          <w:lang w:val="en-US"/>
        </w:rPr>
        <w:t xml:space="preserve">across childhood and </w:t>
      </w:r>
      <w:r w:rsidR="0069428F" w:rsidRPr="0055435C">
        <w:rPr>
          <w:lang w:val="en-US"/>
        </w:rPr>
        <w:t>in</w:t>
      </w:r>
      <w:r w:rsidR="009366DE" w:rsidRPr="0055435C">
        <w:rPr>
          <w:lang w:val="en-US"/>
        </w:rPr>
        <w:t xml:space="preserve"> </w:t>
      </w:r>
      <w:r w:rsidR="009E330D" w:rsidRPr="0055435C">
        <w:rPr>
          <w:lang w:val="en-US"/>
        </w:rPr>
        <w:t>early old age</w:t>
      </w:r>
      <w:r w:rsidR="009426FE" w:rsidRPr="0055435C">
        <w:rPr>
          <w:lang w:val="en-US"/>
        </w:rPr>
        <w:t>,</w:t>
      </w:r>
      <w:r w:rsidR="009366DE" w:rsidRPr="0055435C">
        <w:rPr>
          <w:lang w:val="en-US"/>
        </w:rPr>
        <w:t xml:space="preserve"> and </w:t>
      </w:r>
      <w:r w:rsidRPr="0055435C">
        <w:rPr>
          <w:lang w:val="en-US"/>
        </w:rPr>
        <w:t xml:space="preserve">bone properties </w:t>
      </w:r>
      <w:r w:rsidR="0032272B" w:rsidRPr="0055435C">
        <w:rPr>
          <w:lang w:val="en-US"/>
        </w:rPr>
        <w:t xml:space="preserve">in </w:t>
      </w:r>
      <w:r w:rsidR="009E330D" w:rsidRPr="0055435C">
        <w:rPr>
          <w:lang w:val="en-US"/>
        </w:rPr>
        <w:t>early old age</w:t>
      </w:r>
      <w:r w:rsidR="0032272B" w:rsidRPr="0055435C">
        <w:rPr>
          <w:lang w:val="en-US"/>
        </w:rPr>
        <w:t xml:space="preserve"> </w:t>
      </w:r>
      <w:r w:rsidRPr="0055435C">
        <w:rPr>
          <w:lang w:val="en-US"/>
        </w:rPr>
        <w:t xml:space="preserve">are </w:t>
      </w:r>
      <w:r w:rsidR="00501234" w:rsidRPr="0055435C">
        <w:rPr>
          <w:lang w:val="en-US"/>
        </w:rPr>
        <w:t>presented</w:t>
      </w:r>
      <w:r w:rsidRPr="0055435C">
        <w:rPr>
          <w:lang w:val="en-US"/>
        </w:rPr>
        <w:t xml:space="preserve"> in Table 1. </w:t>
      </w:r>
      <w:r w:rsidR="00A63B3B" w:rsidRPr="0055435C">
        <w:rPr>
          <w:lang w:val="en-US"/>
        </w:rPr>
        <w:t xml:space="preserve">Of the </w:t>
      </w:r>
      <w:r w:rsidR="003253F6" w:rsidRPr="0055435C">
        <w:rPr>
          <w:lang w:val="en-US"/>
        </w:rPr>
        <w:t>participants</w:t>
      </w:r>
      <w:r w:rsidR="00A63B3B" w:rsidRPr="0055435C">
        <w:rPr>
          <w:lang w:val="en-US"/>
        </w:rPr>
        <w:t xml:space="preserve">, </w:t>
      </w:r>
      <w:r w:rsidR="00F5541B" w:rsidRPr="0055435C">
        <w:rPr>
          <w:lang w:val="en-US"/>
        </w:rPr>
        <w:t xml:space="preserve">59 (67%) used or had used estrogen replacement therapy, 116 (65%) exercised more than </w:t>
      </w:r>
      <w:r w:rsidR="00EE04A2" w:rsidRPr="0055435C">
        <w:rPr>
          <w:lang w:val="en-US"/>
        </w:rPr>
        <w:t>once a</w:t>
      </w:r>
      <w:r w:rsidR="00F5541B" w:rsidRPr="0055435C">
        <w:rPr>
          <w:lang w:val="en-US"/>
        </w:rPr>
        <w:t xml:space="preserve"> week, 18 (10%) used alcohol weekly or more often, 55 (31%) smoked or had smoked, and </w:t>
      </w:r>
      <w:r w:rsidR="00A63B3B" w:rsidRPr="0055435C">
        <w:rPr>
          <w:lang w:val="en-US"/>
        </w:rPr>
        <w:t xml:space="preserve">18 </w:t>
      </w:r>
      <w:r w:rsidR="00F36E89" w:rsidRPr="0055435C">
        <w:rPr>
          <w:lang w:val="en-US"/>
        </w:rPr>
        <w:t xml:space="preserve">(10%) </w:t>
      </w:r>
      <w:r w:rsidR="00743B6B" w:rsidRPr="0055435C">
        <w:rPr>
          <w:lang w:val="en-US"/>
        </w:rPr>
        <w:t>ha</w:t>
      </w:r>
      <w:r w:rsidR="00F5541B" w:rsidRPr="0055435C">
        <w:rPr>
          <w:lang w:val="en-US"/>
        </w:rPr>
        <w:t xml:space="preserve">d </w:t>
      </w:r>
      <w:r w:rsidR="00EE04A2" w:rsidRPr="0055435C">
        <w:rPr>
          <w:lang w:val="en-US"/>
        </w:rPr>
        <w:t xml:space="preserve">a history of </w:t>
      </w:r>
      <w:r w:rsidR="00A63B3B" w:rsidRPr="0055435C">
        <w:rPr>
          <w:lang w:val="en-US"/>
        </w:rPr>
        <w:t xml:space="preserve">a </w:t>
      </w:r>
      <w:r w:rsidR="00890ED6" w:rsidRPr="0055435C">
        <w:rPr>
          <w:lang w:val="en-US"/>
        </w:rPr>
        <w:t>f</w:t>
      </w:r>
      <w:r w:rsidR="00743B6B" w:rsidRPr="0055435C">
        <w:rPr>
          <w:lang w:val="en-US"/>
        </w:rPr>
        <w:t xml:space="preserve">ragility fracture (radial, </w:t>
      </w:r>
      <w:r w:rsidR="00890ED6" w:rsidRPr="0055435C">
        <w:rPr>
          <w:lang w:val="en-US"/>
        </w:rPr>
        <w:t>brachi</w:t>
      </w:r>
      <w:r w:rsidR="00743B6B" w:rsidRPr="0055435C">
        <w:rPr>
          <w:lang w:val="en-US"/>
        </w:rPr>
        <w:t xml:space="preserve">al, clavicular, hip, or </w:t>
      </w:r>
      <w:r w:rsidR="00890ED6" w:rsidRPr="0055435C">
        <w:rPr>
          <w:lang w:val="en-US"/>
        </w:rPr>
        <w:t>ankle fracture)</w:t>
      </w:r>
      <w:r w:rsidR="00F5541B" w:rsidRPr="0055435C">
        <w:rPr>
          <w:lang w:val="en-US"/>
        </w:rPr>
        <w:t xml:space="preserve"> based on self-reports</w:t>
      </w:r>
      <w:r w:rsidR="00890ED6" w:rsidRPr="0055435C">
        <w:rPr>
          <w:lang w:val="en-US"/>
        </w:rPr>
        <w:t xml:space="preserve">. </w:t>
      </w:r>
      <w:r w:rsidR="003253F6" w:rsidRPr="0055435C">
        <w:rPr>
          <w:lang w:val="en-US"/>
        </w:rPr>
        <w:t xml:space="preserve">Childhood SES was upper middle class for 16%, lower middle class for 26%, and manual worker for 58% of the participants.. The distribution of SES in adulthood was as follows: high official 15%, low official (60%), self-employed (7%), labourers (18%). </w:t>
      </w:r>
      <w:r w:rsidR="007823FA" w:rsidRPr="0055435C">
        <w:rPr>
          <w:lang w:val="en-US"/>
        </w:rPr>
        <w:t>Average length of gestation was 281 (SD 11) days.</w:t>
      </w:r>
    </w:p>
    <w:p w14:paraId="24EC583A" w14:textId="77777777" w:rsidR="00D1008C" w:rsidRPr="0055435C" w:rsidRDefault="00D1008C" w:rsidP="00AB7918">
      <w:pPr>
        <w:spacing w:line="480" w:lineRule="auto"/>
        <w:rPr>
          <w:lang w:val="en-US"/>
        </w:rPr>
      </w:pPr>
    </w:p>
    <w:p w14:paraId="0535A82E" w14:textId="13EFE830" w:rsidR="007D12A6" w:rsidRPr="0055435C" w:rsidRDefault="00D1008C" w:rsidP="00AB7918">
      <w:pPr>
        <w:spacing w:line="480" w:lineRule="auto"/>
        <w:rPr>
          <w:b/>
          <w:lang w:val="en-US"/>
        </w:rPr>
      </w:pPr>
      <w:r w:rsidRPr="0055435C">
        <w:rPr>
          <w:b/>
          <w:lang w:val="en-US"/>
        </w:rPr>
        <w:t>Bone area</w:t>
      </w:r>
    </w:p>
    <w:p w14:paraId="05AE8E3F" w14:textId="35D8B71D" w:rsidR="001C13E1" w:rsidRPr="0055435C" w:rsidRDefault="008E6C93" w:rsidP="00AB7918">
      <w:pPr>
        <w:spacing w:line="480" w:lineRule="auto"/>
        <w:rPr>
          <w:lang w:val="en-US"/>
        </w:rPr>
      </w:pPr>
      <w:r w:rsidRPr="0055435C">
        <w:rPr>
          <w:rFonts w:cs="Times New Roman"/>
          <w:lang w:val="en-US"/>
        </w:rPr>
        <w:t>When childhood growth</w:t>
      </w:r>
      <w:r w:rsidR="00ED08CF" w:rsidRPr="0055435C">
        <w:rPr>
          <w:rFonts w:cs="Times New Roman"/>
          <w:lang w:val="en-US"/>
        </w:rPr>
        <w:t xml:space="preserve"> in height</w:t>
      </w:r>
      <w:r w:rsidRPr="0055435C">
        <w:rPr>
          <w:rFonts w:cs="Times New Roman"/>
          <w:lang w:val="en-US"/>
        </w:rPr>
        <w:t xml:space="preserve"> was entered into the models together with the covariates</w:t>
      </w:r>
      <w:r w:rsidR="001E6E49" w:rsidRPr="0055435C">
        <w:rPr>
          <w:rFonts w:cs="Times New Roman"/>
          <w:lang w:val="en-US"/>
        </w:rPr>
        <w:t xml:space="preserve"> (</w:t>
      </w:r>
      <w:r w:rsidR="001E6E49" w:rsidRPr="0055435C">
        <w:rPr>
          <w:lang w:val="en-US"/>
        </w:rPr>
        <w:t>length of gestation, age, years since menopause, childhood and adulthood socio-economic status, alcohol intake, smoking, exercise, and estrogen replacement therapy)</w:t>
      </w:r>
      <w:r w:rsidRPr="0055435C">
        <w:rPr>
          <w:rFonts w:cs="Times New Roman"/>
          <w:lang w:val="en-US"/>
        </w:rPr>
        <w:t xml:space="preserve">, femoral neck bone area was positively associated with increase in height </w:t>
      </w:r>
      <w:r w:rsidR="00EE04A2" w:rsidRPr="0055435C">
        <w:rPr>
          <w:rFonts w:cs="Times New Roman"/>
          <w:lang w:val="en-US"/>
        </w:rPr>
        <w:t xml:space="preserve">during </w:t>
      </w:r>
      <w:r w:rsidRPr="0055435C">
        <w:rPr>
          <w:rFonts w:cs="Times New Roman"/>
          <w:lang w:val="en-US"/>
        </w:rPr>
        <w:t xml:space="preserve">all age periods studied </w:t>
      </w:r>
      <w:r w:rsidR="000542D6" w:rsidRPr="0055435C">
        <w:rPr>
          <w:rFonts w:cs="Times New Roman"/>
          <w:lang w:val="en-US"/>
        </w:rPr>
        <w:t>(regression coefficient per 1-SD increase in height [b] from 0.06 to 0.09 cm</w:t>
      </w:r>
      <w:r w:rsidR="000542D6" w:rsidRPr="0055435C">
        <w:rPr>
          <w:rFonts w:cs="Times New Roman"/>
          <w:vertAlign w:val="superscript"/>
          <w:lang w:val="en-US"/>
        </w:rPr>
        <w:t>2</w:t>
      </w:r>
      <w:r w:rsidR="000542D6" w:rsidRPr="0055435C">
        <w:rPr>
          <w:rFonts w:cs="Times New Roman"/>
          <w:lang w:val="en-US"/>
        </w:rPr>
        <w:t>, p&lt;0.05)</w:t>
      </w:r>
      <w:r w:rsidRPr="0055435C">
        <w:rPr>
          <w:lang w:val="en-US"/>
        </w:rPr>
        <w:t>, except for the period between 7 and 11 years (Figure 1</w:t>
      </w:r>
      <w:r w:rsidR="00A7238B" w:rsidRPr="0055435C">
        <w:rPr>
          <w:lang w:val="en-US"/>
        </w:rPr>
        <w:t>, E</w:t>
      </w:r>
      <w:r w:rsidR="00D17443" w:rsidRPr="0055435C">
        <w:rPr>
          <w:lang w:val="en-US"/>
        </w:rPr>
        <w:t>lectronic Supplementary Material</w:t>
      </w:r>
      <w:r w:rsidR="00926ACC" w:rsidRPr="0055435C">
        <w:rPr>
          <w:lang w:val="en-US"/>
        </w:rPr>
        <w:t xml:space="preserve"> [ESM]</w:t>
      </w:r>
      <w:r w:rsidR="00D17443" w:rsidRPr="0055435C">
        <w:rPr>
          <w:lang w:val="en-US"/>
        </w:rPr>
        <w:t xml:space="preserve"> </w:t>
      </w:r>
      <w:r w:rsidR="00A7238B" w:rsidRPr="0055435C">
        <w:rPr>
          <w:lang w:val="en-US"/>
        </w:rPr>
        <w:t>1</w:t>
      </w:r>
      <w:r w:rsidRPr="0055435C">
        <w:rPr>
          <w:lang w:val="en-US"/>
        </w:rPr>
        <w:t xml:space="preserve">). After entering adult height into the models, childhood growth </w:t>
      </w:r>
      <w:r w:rsidR="00ED08CF" w:rsidRPr="0055435C">
        <w:rPr>
          <w:lang w:val="en-US"/>
        </w:rPr>
        <w:t xml:space="preserve">in height </w:t>
      </w:r>
      <w:r w:rsidRPr="0055435C">
        <w:rPr>
          <w:lang w:val="en-US"/>
        </w:rPr>
        <w:t>was no longer associated with femoral neck bone area.</w:t>
      </w:r>
      <w:r w:rsidR="00ED08CF" w:rsidRPr="0055435C">
        <w:rPr>
          <w:lang w:val="en-US"/>
        </w:rPr>
        <w:t xml:space="preserve"> </w:t>
      </w:r>
      <w:r w:rsidR="00D1008C" w:rsidRPr="0055435C">
        <w:rPr>
          <w:lang w:val="en-US"/>
        </w:rPr>
        <w:t>S</w:t>
      </w:r>
      <w:r w:rsidR="00ED08CF" w:rsidRPr="0055435C">
        <w:rPr>
          <w:lang w:val="en-US"/>
        </w:rPr>
        <w:t>pine bone area</w:t>
      </w:r>
      <w:r w:rsidR="00D1008C" w:rsidRPr="0055435C">
        <w:rPr>
          <w:lang w:val="en-US"/>
        </w:rPr>
        <w:t xml:space="preserve"> was associated with childhood growth in height during all age periods before entering adult height into the models</w:t>
      </w:r>
      <w:r w:rsidR="000542D6" w:rsidRPr="0055435C">
        <w:rPr>
          <w:lang w:val="en-US"/>
        </w:rPr>
        <w:t xml:space="preserve"> </w:t>
      </w:r>
      <w:r w:rsidR="000542D6" w:rsidRPr="0055435C">
        <w:rPr>
          <w:rFonts w:cs="Times New Roman"/>
          <w:lang w:val="en-US"/>
        </w:rPr>
        <w:t>(b from 0.67 to 1.53 cm</w:t>
      </w:r>
      <w:r w:rsidR="000542D6" w:rsidRPr="0055435C">
        <w:rPr>
          <w:rFonts w:cs="Times New Roman"/>
          <w:vertAlign w:val="superscript"/>
          <w:lang w:val="en-US"/>
        </w:rPr>
        <w:t>2</w:t>
      </w:r>
      <w:r w:rsidR="000542D6" w:rsidRPr="0055435C">
        <w:rPr>
          <w:rFonts w:cs="Times New Roman"/>
          <w:lang w:val="en-US"/>
        </w:rPr>
        <w:t>, p&lt;0.01)</w:t>
      </w:r>
      <w:r w:rsidR="007D27E8" w:rsidRPr="0055435C">
        <w:rPr>
          <w:rFonts w:cs="Times New Roman"/>
          <w:lang w:val="en-US"/>
        </w:rPr>
        <w:t xml:space="preserve"> (</w:t>
      </w:r>
      <w:r w:rsidR="00A7238B" w:rsidRPr="0055435C">
        <w:rPr>
          <w:rFonts w:cs="Times New Roman"/>
          <w:lang w:val="en-US"/>
        </w:rPr>
        <w:t>ESM</w:t>
      </w:r>
      <w:r w:rsidR="00D17443" w:rsidRPr="0055435C">
        <w:rPr>
          <w:rFonts w:cs="Times New Roman"/>
          <w:lang w:val="en-US"/>
        </w:rPr>
        <w:t xml:space="preserve"> </w:t>
      </w:r>
      <w:r w:rsidR="00A7238B" w:rsidRPr="0055435C">
        <w:rPr>
          <w:rFonts w:cs="Times New Roman"/>
          <w:lang w:val="en-US"/>
        </w:rPr>
        <w:t>3</w:t>
      </w:r>
      <w:r w:rsidR="00D17443" w:rsidRPr="0055435C">
        <w:rPr>
          <w:rFonts w:cs="Times New Roman"/>
          <w:lang w:val="en-US"/>
        </w:rPr>
        <w:t>).</w:t>
      </w:r>
      <w:r w:rsidR="00D1008C" w:rsidRPr="0055435C">
        <w:rPr>
          <w:lang w:val="en-US"/>
        </w:rPr>
        <w:t xml:space="preserve"> After adult height was entered, growth in height before 7 years of age was no longer associated with spine bone area but growth in height from 7 to 11 years remained associated with spine bone area</w:t>
      </w:r>
      <w:r w:rsidR="000542D6" w:rsidRPr="0055435C">
        <w:rPr>
          <w:lang w:val="en-US"/>
        </w:rPr>
        <w:t xml:space="preserve"> (b=0.64 cm</w:t>
      </w:r>
      <w:r w:rsidR="000542D6" w:rsidRPr="0055435C">
        <w:rPr>
          <w:vertAlign w:val="superscript"/>
          <w:lang w:val="en-US"/>
        </w:rPr>
        <w:t>2</w:t>
      </w:r>
      <w:r w:rsidR="000542D6" w:rsidRPr="0055435C">
        <w:rPr>
          <w:lang w:val="en-US"/>
        </w:rPr>
        <w:t>, p=0.004)</w:t>
      </w:r>
      <w:r w:rsidR="00D1008C" w:rsidRPr="0055435C">
        <w:rPr>
          <w:lang w:val="en-US"/>
        </w:rPr>
        <w:t xml:space="preserve">. </w:t>
      </w:r>
    </w:p>
    <w:p w14:paraId="27D2F3B8" w14:textId="77777777" w:rsidR="007D27E8" w:rsidRPr="0055435C" w:rsidRDefault="007D27E8" w:rsidP="00AB7918">
      <w:pPr>
        <w:spacing w:line="480" w:lineRule="auto"/>
        <w:rPr>
          <w:lang w:val="en-US"/>
        </w:rPr>
      </w:pPr>
    </w:p>
    <w:p w14:paraId="1E78A23B" w14:textId="72292D52" w:rsidR="00F1377B" w:rsidRPr="0055435C" w:rsidRDefault="00D1008C" w:rsidP="00AB7918">
      <w:pPr>
        <w:spacing w:line="480" w:lineRule="auto"/>
        <w:rPr>
          <w:lang w:val="en-US"/>
        </w:rPr>
      </w:pPr>
      <w:r w:rsidRPr="0055435C">
        <w:rPr>
          <w:lang w:val="en-US"/>
        </w:rPr>
        <w:t>Weight gain during childhood was not associated with bone area in femoral neck (Figure 1</w:t>
      </w:r>
      <w:r w:rsidR="00D17443" w:rsidRPr="0055435C">
        <w:rPr>
          <w:lang w:val="en-US"/>
        </w:rPr>
        <w:t>, ESM 2</w:t>
      </w:r>
      <w:r w:rsidRPr="0055435C">
        <w:rPr>
          <w:lang w:val="en-US"/>
        </w:rPr>
        <w:t>) or spine (</w:t>
      </w:r>
      <w:r w:rsidR="00D17443" w:rsidRPr="0055435C">
        <w:rPr>
          <w:lang w:val="en-US"/>
        </w:rPr>
        <w:t>ESM 4).</w:t>
      </w:r>
    </w:p>
    <w:p w14:paraId="1A0179EC" w14:textId="77777777" w:rsidR="00D1008C" w:rsidRPr="0055435C" w:rsidRDefault="00D1008C" w:rsidP="00AB7918">
      <w:pPr>
        <w:spacing w:line="480" w:lineRule="auto"/>
        <w:rPr>
          <w:lang w:val="en-US"/>
        </w:rPr>
      </w:pPr>
    </w:p>
    <w:p w14:paraId="75AB3753" w14:textId="0E35117B" w:rsidR="00D1008C" w:rsidRPr="0055435C" w:rsidRDefault="00D1008C" w:rsidP="00AB7918">
      <w:pPr>
        <w:spacing w:line="480" w:lineRule="auto"/>
        <w:rPr>
          <w:b/>
          <w:lang w:val="en-US"/>
        </w:rPr>
      </w:pPr>
      <w:r w:rsidRPr="0055435C">
        <w:rPr>
          <w:b/>
          <w:lang w:val="en-US"/>
        </w:rPr>
        <w:t>Bone mineral content</w:t>
      </w:r>
    </w:p>
    <w:p w14:paraId="2B906247" w14:textId="77777777" w:rsidR="00AE60D1" w:rsidRPr="0055435C" w:rsidRDefault="00AE60D1" w:rsidP="00AB7918">
      <w:pPr>
        <w:spacing w:line="480" w:lineRule="auto"/>
        <w:rPr>
          <w:lang w:val="en-US"/>
        </w:rPr>
      </w:pPr>
    </w:p>
    <w:p w14:paraId="0D10F7B8" w14:textId="70778FE8" w:rsidR="001C13E1" w:rsidRPr="0055435C" w:rsidRDefault="00F1377B" w:rsidP="00AB7918">
      <w:pPr>
        <w:spacing w:line="480" w:lineRule="auto"/>
        <w:rPr>
          <w:lang w:val="en-US"/>
        </w:rPr>
      </w:pPr>
      <w:r w:rsidRPr="0055435C">
        <w:rPr>
          <w:lang w:val="en-US"/>
        </w:rPr>
        <w:t>Femoral neck b</w:t>
      </w:r>
      <w:r w:rsidR="00543E77" w:rsidRPr="0055435C">
        <w:rPr>
          <w:lang w:val="en-US"/>
        </w:rPr>
        <w:t>one mineral content was associated with increase in height be</w:t>
      </w:r>
      <w:r w:rsidR="00AE60D1" w:rsidRPr="0055435C">
        <w:rPr>
          <w:lang w:val="en-US"/>
        </w:rPr>
        <w:t>tween 0 and 2 years of age</w:t>
      </w:r>
      <w:r w:rsidR="007D27E8" w:rsidRPr="0055435C">
        <w:rPr>
          <w:lang w:val="en-US"/>
        </w:rPr>
        <w:t xml:space="preserve"> (b=0.16 g, p=0.01)</w:t>
      </w:r>
      <w:r w:rsidR="00AE60D1" w:rsidRPr="0055435C">
        <w:rPr>
          <w:lang w:val="en-US"/>
        </w:rPr>
        <w:t xml:space="preserve"> and between 2 and 7 years of age</w:t>
      </w:r>
      <w:r w:rsidR="001C13E1" w:rsidRPr="0055435C">
        <w:rPr>
          <w:lang w:val="en-US"/>
        </w:rPr>
        <w:t xml:space="preserve"> </w:t>
      </w:r>
      <w:r w:rsidR="007D27E8" w:rsidRPr="0055435C">
        <w:rPr>
          <w:lang w:val="en-US"/>
        </w:rPr>
        <w:t xml:space="preserve">(b=0.15 g, p=0.01) </w:t>
      </w:r>
      <w:r w:rsidR="001C13E1" w:rsidRPr="0055435C">
        <w:rPr>
          <w:lang w:val="en-US"/>
        </w:rPr>
        <w:t xml:space="preserve">(Figure </w:t>
      </w:r>
      <w:r w:rsidR="001C13E1" w:rsidRPr="0055435C">
        <w:rPr>
          <w:lang w:val="en-US"/>
        </w:rPr>
        <w:lastRenderedPageBreak/>
        <w:t>1</w:t>
      </w:r>
      <w:r w:rsidR="00D17443" w:rsidRPr="0055435C">
        <w:rPr>
          <w:lang w:val="en-US"/>
        </w:rPr>
        <w:t>, ESM 1</w:t>
      </w:r>
      <w:r w:rsidR="001C13E1" w:rsidRPr="0055435C">
        <w:rPr>
          <w:lang w:val="en-US"/>
        </w:rPr>
        <w:t>)</w:t>
      </w:r>
      <w:r w:rsidRPr="0055435C">
        <w:rPr>
          <w:lang w:val="en-US"/>
        </w:rPr>
        <w:t>. However, after entering adult height into the model childhood growth in height was no longer associated with femoral neck bone mineral content.</w:t>
      </w:r>
      <w:r w:rsidR="00AE60D1" w:rsidRPr="0055435C">
        <w:rPr>
          <w:lang w:val="en-US"/>
        </w:rPr>
        <w:t xml:space="preserve"> Spine bone mineral content was associated with growth in height during age periods before the age of 7 years</w:t>
      </w:r>
      <w:r w:rsidR="007D27E8" w:rsidRPr="0055435C">
        <w:rPr>
          <w:lang w:val="en-US"/>
        </w:rPr>
        <w:t xml:space="preserve"> (</w:t>
      </w:r>
      <w:r w:rsidR="00926ACC" w:rsidRPr="0055435C">
        <w:rPr>
          <w:lang w:val="en-US"/>
        </w:rPr>
        <w:t>b=</w:t>
      </w:r>
      <w:r w:rsidR="007D27E8" w:rsidRPr="0055435C">
        <w:rPr>
          <w:lang w:val="en-US"/>
        </w:rPr>
        <w:t>1.76-2.53 g, p&lt;0.05)</w:t>
      </w:r>
      <w:r w:rsidR="00AE60D1" w:rsidRPr="0055435C">
        <w:rPr>
          <w:lang w:val="en-US"/>
        </w:rPr>
        <w:t xml:space="preserve"> but after entering adult height, these associations disappeared</w:t>
      </w:r>
      <w:r w:rsidR="001C13E1" w:rsidRPr="0055435C">
        <w:rPr>
          <w:lang w:val="en-US"/>
        </w:rPr>
        <w:t xml:space="preserve"> (</w:t>
      </w:r>
      <w:r w:rsidR="00D17443" w:rsidRPr="0055435C">
        <w:rPr>
          <w:lang w:val="en-US"/>
        </w:rPr>
        <w:t>ESM 3).</w:t>
      </w:r>
      <w:r w:rsidR="001C13E1" w:rsidRPr="0055435C">
        <w:rPr>
          <w:lang w:val="en-US"/>
        </w:rPr>
        <w:t xml:space="preserve"> </w:t>
      </w:r>
    </w:p>
    <w:p w14:paraId="3FEA12C5" w14:textId="77777777" w:rsidR="007D27E8" w:rsidRPr="0055435C" w:rsidRDefault="007D27E8" w:rsidP="00AB7918">
      <w:pPr>
        <w:spacing w:line="480" w:lineRule="auto"/>
        <w:rPr>
          <w:lang w:val="en-US"/>
        </w:rPr>
      </w:pPr>
    </w:p>
    <w:p w14:paraId="44AADDA1" w14:textId="689C6F1B" w:rsidR="00CD040E" w:rsidRPr="0055435C" w:rsidRDefault="001C13E1" w:rsidP="00AB7918">
      <w:pPr>
        <w:spacing w:line="480" w:lineRule="auto"/>
        <w:rPr>
          <w:lang w:val="en-US"/>
        </w:rPr>
      </w:pPr>
      <w:r w:rsidRPr="0055435C">
        <w:rPr>
          <w:lang w:val="en-US"/>
        </w:rPr>
        <w:t xml:space="preserve">Childhood growth </w:t>
      </w:r>
      <w:r w:rsidR="001B0366" w:rsidRPr="0055435C">
        <w:rPr>
          <w:lang w:val="en-US"/>
        </w:rPr>
        <w:t xml:space="preserve">in weight </w:t>
      </w:r>
      <w:r w:rsidRPr="0055435C">
        <w:rPr>
          <w:lang w:val="en-US"/>
        </w:rPr>
        <w:t>was not associated with bone mineral content in femoral neck (Figure 1</w:t>
      </w:r>
      <w:r w:rsidR="00D17443" w:rsidRPr="0055435C">
        <w:rPr>
          <w:lang w:val="en-US"/>
        </w:rPr>
        <w:t>, ESM 2</w:t>
      </w:r>
      <w:r w:rsidRPr="0055435C">
        <w:rPr>
          <w:lang w:val="en-US"/>
        </w:rPr>
        <w:t>) or spine (</w:t>
      </w:r>
      <w:r w:rsidR="00D17443" w:rsidRPr="0055435C">
        <w:rPr>
          <w:lang w:val="en-US"/>
        </w:rPr>
        <w:t>ESM 4).</w:t>
      </w:r>
    </w:p>
    <w:p w14:paraId="45AF05D6" w14:textId="77777777" w:rsidR="00D1008C" w:rsidRPr="0055435C" w:rsidRDefault="00D1008C" w:rsidP="00AB7918">
      <w:pPr>
        <w:spacing w:line="480" w:lineRule="auto"/>
        <w:rPr>
          <w:lang w:val="en-US"/>
        </w:rPr>
      </w:pPr>
    </w:p>
    <w:p w14:paraId="65CD50D1" w14:textId="409B5DA9" w:rsidR="001B0366" w:rsidRPr="0055435C" w:rsidRDefault="001B0366" w:rsidP="00AB7918">
      <w:pPr>
        <w:spacing w:line="480" w:lineRule="auto"/>
        <w:rPr>
          <w:b/>
          <w:lang w:val="en-US"/>
        </w:rPr>
      </w:pPr>
      <w:r w:rsidRPr="0055435C">
        <w:rPr>
          <w:b/>
          <w:lang w:val="en-US"/>
        </w:rPr>
        <w:t>Areal bone mineral density</w:t>
      </w:r>
    </w:p>
    <w:p w14:paraId="2364F5C9" w14:textId="0329AA51" w:rsidR="001B0366" w:rsidRPr="0055435C" w:rsidRDefault="002E0291" w:rsidP="00AB7918">
      <w:pPr>
        <w:spacing w:line="480" w:lineRule="auto"/>
        <w:rPr>
          <w:lang w:val="en-US"/>
        </w:rPr>
      </w:pPr>
      <w:r w:rsidRPr="0055435C">
        <w:rPr>
          <w:lang w:val="en-US"/>
        </w:rPr>
        <w:t>Femoral neck (Figure 1</w:t>
      </w:r>
      <w:r w:rsidR="00D17443" w:rsidRPr="0055435C">
        <w:rPr>
          <w:lang w:val="en-US"/>
        </w:rPr>
        <w:t xml:space="preserve">, </w:t>
      </w:r>
      <w:r w:rsidR="00926ACC" w:rsidRPr="0055435C">
        <w:rPr>
          <w:lang w:val="en-US"/>
        </w:rPr>
        <w:t xml:space="preserve">ESM 1, </w:t>
      </w:r>
      <w:r w:rsidR="00D17443" w:rsidRPr="0055435C">
        <w:rPr>
          <w:lang w:val="en-US"/>
        </w:rPr>
        <w:t>ESM 2</w:t>
      </w:r>
      <w:r w:rsidRPr="0055435C">
        <w:rPr>
          <w:lang w:val="en-US"/>
        </w:rPr>
        <w:t>) or spine (</w:t>
      </w:r>
      <w:r w:rsidR="00D17443" w:rsidRPr="0055435C">
        <w:rPr>
          <w:lang w:val="en-US"/>
        </w:rPr>
        <w:t xml:space="preserve">ESM </w:t>
      </w:r>
      <w:r w:rsidR="00926ACC" w:rsidRPr="0055435C">
        <w:rPr>
          <w:lang w:val="en-US"/>
        </w:rPr>
        <w:t>3, ESM 4</w:t>
      </w:r>
      <w:r w:rsidRPr="0055435C">
        <w:rPr>
          <w:lang w:val="en-US"/>
        </w:rPr>
        <w:t>) areal bone mineral density were not associated with growth</w:t>
      </w:r>
      <w:r w:rsidR="00810E1D" w:rsidRPr="0055435C">
        <w:rPr>
          <w:lang w:val="en-US"/>
        </w:rPr>
        <w:t xml:space="preserve"> in height or weight in childhood</w:t>
      </w:r>
      <w:r w:rsidRPr="0055435C">
        <w:rPr>
          <w:lang w:val="en-US"/>
        </w:rPr>
        <w:t>.</w:t>
      </w:r>
    </w:p>
    <w:p w14:paraId="071D7DC0" w14:textId="77777777" w:rsidR="00793A42" w:rsidRPr="0055435C" w:rsidRDefault="00793A42" w:rsidP="00AB7918">
      <w:pPr>
        <w:spacing w:line="480" w:lineRule="auto"/>
        <w:rPr>
          <w:lang w:val="en-US"/>
        </w:rPr>
      </w:pPr>
    </w:p>
    <w:p w14:paraId="116DDDBC" w14:textId="6EC3A372" w:rsidR="007708A8" w:rsidRPr="0055435C" w:rsidRDefault="00B16039" w:rsidP="00AB7918">
      <w:pPr>
        <w:spacing w:line="480" w:lineRule="auto"/>
        <w:rPr>
          <w:lang w:val="en-US"/>
        </w:rPr>
      </w:pPr>
      <w:r w:rsidRPr="0055435C">
        <w:rPr>
          <w:lang w:val="en-US"/>
        </w:rPr>
        <w:t>The c</w:t>
      </w:r>
      <w:r w:rsidR="00984A5C" w:rsidRPr="0055435C">
        <w:rPr>
          <w:lang w:val="en-US"/>
        </w:rPr>
        <w:t xml:space="preserve">rude models </w:t>
      </w:r>
      <w:r w:rsidR="00886E5B" w:rsidRPr="0055435C">
        <w:rPr>
          <w:lang w:val="en-US"/>
        </w:rPr>
        <w:t>did not markedly differ from the adjusted models</w:t>
      </w:r>
      <w:r w:rsidR="00D17443" w:rsidRPr="0055435C">
        <w:rPr>
          <w:lang w:val="en-US"/>
        </w:rPr>
        <w:t>.</w:t>
      </w:r>
    </w:p>
    <w:p w14:paraId="3EE02481" w14:textId="77777777" w:rsidR="00C4502D" w:rsidRPr="0055435C" w:rsidRDefault="00C4502D" w:rsidP="00AB7918">
      <w:pPr>
        <w:pStyle w:val="Heading1"/>
        <w:spacing w:line="480" w:lineRule="auto"/>
        <w:rPr>
          <w:color w:val="auto"/>
          <w:lang w:val="en-US"/>
        </w:rPr>
      </w:pPr>
      <w:r w:rsidRPr="0055435C">
        <w:rPr>
          <w:color w:val="auto"/>
          <w:lang w:val="en-US"/>
        </w:rPr>
        <w:t>Discussion</w:t>
      </w:r>
    </w:p>
    <w:p w14:paraId="37E52CF9" w14:textId="77777777" w:rsidR="00043CAA" w:rsidRPr="0055435C" w:rsidRDefault="00043CAA" w:rsidP="00AB7918">
      <w:pPr>
        <w:spacing w:line="480" w:lineRule="auto"/>
        <w:rPr>
          <w:lang w:val="en-US"/>
        </w:rPr>
      </w:pPr>
    </w:p>
    <w:p w14:paraId="71A841D9" w14:textId="2698B4F4" w:rsidR="005F7CA4" w:rsidRPr="0055435C" w:rsidRDefault="000D0112" w:rsidP="00AB7918">
      <w:pPr>
        <w:spacing w:line="480" w:lineRule="auto"/>
        <w:rPr>
          <w:lang w:val="en-US"/>
        </w:rPr>
      </w:pPr>
      <w:r w:rsidRPr="0055435C">
        <w:rPr>
          <w:lang w:val="en-US"/>
        </w:rPr>
        <w:t xml:space="preserve">We observed </w:t>
      </w:r>
      <w:r w:rsidR="00983A22" w:rsidRPr="0055435C">
        <w:rPr>
          <w:lang w:val="en-US"/>
        </w:rPr>
        <w:t xml:space="preserve">that </w:t>
      </w:r>
      <w:r w:rsidR="00FA4E44" w:rsidRPr="0055435C">
        <w:rPr>
          <w:lang w:val="en-US"/>
        </w:rPr>
        <w:t xml:space="preserve">greater </w:t>
      </w:r>
      <w:r w:rsidR="00E12720" w:rsidRPr="0055435C">
        <w:rPr>
          <w:lang w:val="en-US"/>
        </w:rPr>
        <w:t>growth in height</w:t>
      </w:r>
      <w:r w:rsidR="005F7CA4" w:rsidRPr="0055435C">
        <w:rPr>
          <w:lang w:val="en-US"/>
        </w:rPr>
        <w:t xml:space="preserve"> between </w:t>
      </w:r>
      <w:r w:rsidR="00910E4E" w:rsidRPr="0055435C">
        <w:rPr>
          <w:lang w:val="en-US"/>
        </w:rPr>
        <w:t>birth</w:t>
      </w:r>
      <w:r w:rsidR="00E12720" w:rsidRPr="0055435C">
        <w:rPr>
          <w:lang w:val="en-US"/>
        </w:rPr>
        <w:t xml:space="preserve"> and 7 years of age</w:t>
      </w:r>
      <w:r w:rsidR="00460F94" w:rsidRPr="0055435C">
        <w:rPr>
          <w:lang w:val="en-US"/>
        </w:rPr>
        <w:t xml:space="preserve"> </w:t>
      </w:r>
      <w:r w:rsidR="00FA4E44" w:rsidRPr="0055435C">
        <w:rPr>
          <w:lang w:val="en-US"/>
        </w:rPr>
        <w:t>predicted larger</w:t>
      </w:r>
      <w:r w:rsidR="00E12720" w:rsidRPr="0055435C">
        <w:rPr>
          <w:lang w:val="en-US"/>
        </w:rPr>
        <w:t xml:space="preserve"> bone area and </w:t>
      </w:r>
      <w:r w:rsidR="00FA4E44" w:rsidRPr="0055435C">
        <w:rPr>
          <w:lang w:val="en-US"/>
        </w:rPr>
        <w:t xml:space="preserve">higher </w:t>
      </w:r>
      <w:r w:rsidR="00E12720" w:rsidRPr="0055435C">
        <w:rPr>
          <w:lang w:val="en-US"/>
        </w:rPr>
        <w:t>bone mineral content</w:t>
      </w:r>
      <w:r w:rsidR="0002611F" w:rsidRPr="0055435C">
        <w:rPr>
          <w:lang w:val="en-US"/>
        </w:rPr>
        <w:t xml:space="preserve"> </w:t>
      </w:r>
      <w:r w:rsidR="00FA4E44" w:rsidRPr="0055435C">
        <w:rPr>
          <w:lang w:val="en-US"/>
        </w:rPr>
        <w:t>at the</w:t>
      </w:r>
      <w:r w:rsidR="00E12720" w:rsidRPr="0055435C">
        <w:rPr>
          <w:lang w:val="en-US"/>
        </w:rPr>
        <w:t xml:space="preserve"> femoral neck and spine </w:t>
      </w:r>
      <w:r w:rsidR="0002611F" w:rsidRPr="0055435C">
        <w:rPr>
          <w:lang w:val="en-US"/>
        </w:rPr>
        <w:t xml:space="preserve">in </w:t>
      </w:r>
      <w:r w:rsidR="009E330D" w:rsidRPr="0055435C">
        <w:rPr>
          <w:lang w:val="en-US"/>
        </w:rPr>
        <w:t>early old age</w:t>
      </w:r>
      <w:r w:rsidR="0002611F" w:rsidRPr="0055435C">
        <w:rPr>
          <w:lang w:val="en-US"/>
        </w:rPr>
        <w:t xml:space="preserve">. </w:t>
      </w:r>
      <w:r w:rsidR="00E12720" w:rsidRPr="0055435C">
        <w:rPr>
          <w:lang w:val="en-US"/>
        </w:rPr>
        <w:t xml:space="preserve">In addition, </w:t>
      </w:r>
      <w:r w:rsidR="00FA4E44" w:rsidRPr="0055435C">
        <w:rPr>
          <w:lang w:val="en-US"/>
        </w:rPr>
        <w:t xml:space="preserve">greater </w:t>
      </w:r>
      <w:r w:rsidR="00E12720" w:rsidRPr="0055435C">
        <w:rPr>
          <w:lang w:val="en-US"/>
        </w:rPr>
        <w:t xml:space="preserve">birth length and growth in height between 7 and 11 years of age </w:t>
      </w:r>
      <w:r w:rsidR="00FA4E44" w:rsidRPr="0055435C">
        <w:rPr>
          <w:lang w:val="en-US"/>
        </w:rPr>
        <w:t xml:space="preserve">predicted greater </w:t>
      </w:r>
      <w:r w:rsidR="00E12720" w:rsidRPr="0055435C">
        <w:rPr>
          <w:lang w:val="en-US"/>
        </w:rPr>
        <w:t xml:space="preserve">spine bone area. </w:t>
      </w:r>
      <w:r w:rsidR="00910E4E" w:rsidRPr="0055435C">
        <w:rPr>
          <w:lang w:val="en-US"/>
        </w:rPr>
        <w:t xml:space="preserve">Nearly all </w:t>
      </w:r>
      <w:r w:rsidR="005F7CA4" w:rsidRPr="0055435C">
        <w:rPr>
          <w:lang w:val="en-US"/>
        </w:rPr>
        <w:t xml:space="preserve">associations </w:t>
      </w:r>
      <w:r w:rsidR="00910E4E" w:rsidRPr="0055435C">
        <w:rPr>
          <w:lang w:val="en-US"/>
        </w:rPr>
        <w:t>were</w:t>
      </w:r>
      <w:r w:rsidR="005F7CA4" w:rsidRPr="0055435C">
        <w:rPr>
          <w:lang w:val="en-US"/>
        </w:rPr>
        <w:t xml:space="preserve"> </w:t>
      </w:r>
      <w:r w:rsidR="00910E4E" w:rsidRPr="0055435C">
        <w:rPr>
          <w:lang w:val="en-US"/>
        </w:rPr>
        <w:t>who</w:t>
      </w:r>
      <w:r w:rsidR="00E12720" w:rsidRPr="0055435C">
        <w:rPr>
          <w:lang w:val="en-US"/>
        </w:rPr>
        <w:t xml:space="preserve">lly </w:t>
      </w:r>
      <w:r w:rsidR="005F7CA4" w:rsidRPr="0055435C">
        <w:rPr>
          <w:lang w:val="en-US"/>
        </w:rPr>
        <w:t xml:space="preserve">mediated by </w:t>
      </w:r>
      <w:r w:rsidR="00EE04A2" w:rsidRPr="0055435C">
        <w:rPr>
          <w:lang w:val="en-US"/>
        </w:rPr>
        <w:t>adult stature</w:t>
      </w:r>
      <w:r w:rsidR="001E29D5" w:rsidRPr="0055435C">
        <w:rPr>
          <w:lang w:val="en-US"/>
        </w:rPr>
        <w:t>,</w:t>
      </w:r>
      <w:r w:rsidR="005F7CA4" w:rsidRPr="0055435C">
        <w:rPr>
          <w:lang w:val="en-US"/>
        </w:rPr>
        <w:t xml:space="preserve"> </w:t>
      </w:r>
      <w:r w:rsidR="00910E4E" w:rsidRPr="0055435C">
        <w:rPr>
          <w:lang w:val="en-US"/>
        </w:rPr>
        <w:t>which had</w:t>
      </w:r>
      <w:r w:rsidR="00FA4E44" w:rsidRPr="0055435C">
        <w:rPr>
          <w:lang w:val="en-US"/>
        </w:rPr>
        <w:t xml:space="preserve"> marked contribution</w:t>
      </w:r>
      <w:r w:rsidR="00910E4E" w:rsidRPr="0055435C">
        <w:rPr>
          <w:lang w:val="en-US"/>
        </w:rPr>
        <w:t>s to</w:t>
      </w:r>
      <w:r w:rsidR="00FA4E44" w:rsidRPr="0055435C">
        <w:rPr>
          <w:lang w:val="en-US"/>
        </w:rPr>
        <w:t xml:space="preserve"> both bone area and bone mineral content.</w:t>
      </w:r>
      <w:r w:rsidR="00E12720" w:rsidRPr="0055435C">
        <w:rPr>
          <w:lang w:val="en-US"/>
        </w:rPr>
        <w:t xml:space="preserve"> Growth in height</w:t>
      </w:r>
      <w:r w:rsidR="00FA4E44" w:rsidRPr="0055435C">
        <w:rPr>
          <w:lang w:val="en-US"/>
        </w:rPr>
        <w:t xml:space="preserve"> was</w:t>
      </w:r>
      <w:r w:rsidR="00E12720" w:rsidRPr="0055435C">
        <w:rPr>
          <w:lang w:val="en-US"/>
        </w:rPr>
        <w:t xml:space="preserve"> not associated with areal bone mineral density. </w:t>
      </w:r>
      <w:r w:rsidR="00FA4E44" w:rsidRPr="0055435C">
        <w:rPr>
          <w:lang w:val="en-US"/>
        </w:rPr>
        <w:t>G</w:t>
      </w:r>
      <w:r w:rsidR="00E12720" w:rsidRPr="0055435C">
        <w:rPr>
          <w:lang w:val="en-US"/>
        </w:rPr>
        <w:t xml:space="preserve">ain in relative weight during childhood was </w:t>
      </w:r>
      <w:r w:rsidR="00E12720" w:rsidRPr="0055435C">
        <w:rPr>
          <w:lang w:val="en-US"/>
        </w:rPr>
        <w:lastRenderedPageBreak/>
        <w:t>not associated with bone properties in early old age</w:t>
      </w:r>
      <w:r w:rsidR="00FA4E44" w:rsidRPr="0055435C">
        <w:rPr>
          <w:lang w:val="en-US"/>
        </w:rPr>
        <w:t xml:space="preserve"> whereas relative weight in adulthood was associated with all bone parameters</w:t>
      </w:r>
      <w:r w:rsidR="003D582D" w:rsidRPr="0055435C">
        <w:rPr>
          <w:lang w:val="en-US"/>
        </w:rPr>
        <w:t xml:space="preserve"> studied </w:t>
      </w:r>
      <w:r w:rsidR="00FA4E44" w:rsidRPr="0055435C">
        <w:rPr>
          <w:lang w:val="en-US"/>
        </w:rPr>
        <w:t>in early old age.</w:t>
      </w:r>
    </w:p>
    <w:p w14:paraId="39CB7896" w14:textId="77777777" w:rsidR="00132ED9" w:rsidRPr="0055435C" w:rsidRDefault="00132ED9" w:rsidP="00AB7918">
      <w:pPr>
        <w:spacing w:line="480" w:lineRule="auto"/>
        <w:rPr>
          <w:lang w:val="en-US"/>
        </w:rPr>
      </w:pPr>
    </w:p>
    <w:p w14:paraId="0EF8B301" w14:textId="6DD80754" w:rsidR="0052638D" w:rsidRPr="0055435C" w:rsidRDefault="00132ED9" w:rsidP="00AB7918">
      <w:pPr>
        <w:spacing w:line="480" w:lineRule="auto"/>
        <w:rPr>
          <w:lang w:val="en-US"/>
        </w:rPr>
      </w:pPr>
      <w:r w:rsidRPr="0055435C">
        <w:rPr>
          <w:lang w:val="en-US"/>
        </w:rPr>
        <w:t xml:space="preserve">Previous studies </w:t>
      </w:r>
      <w:r w:rsidR="0052638D" w:rsidRPr="0055435C">
        <w:rPr>
          <w:lang w:val="en-US"/>
        </w:rPr>
        <w:t>have found associations between birth weight and later bone mineral content. W</w:t>
      </w:r>
      <w:r w:rsidRPr="0055435C">
        <w:rPr>
          <w:lang w:val="en-US"/>
        </w:rPr>
        <w:t xml:space="preserve">hen adjusted for body size at the time of </w:t>
      </w:r>
      <w:r w:rsidR="00300439" w:rsidRPr="0055435C">
        <w:rPr>
          <w:lang w:val="en-US"/>
        </w:rPr>
        <w:t>bone assessment, birth weight has been found to be</w:t>
      </w:r>
      <w:r w:rsidRPr="0055435C">
        <w:rPr>
          <w:lang w:val="en-US"/>
        </w:rPr>
        <w:t xml:space="preserve"> associated with bone mass in </w:t>
      </w:r>
      <w:r w:rsidR="0052638D" w:rsidRPr="0055435C">
        <w:rPr>
          <w:lang w:val="en-US"/>
        </w:rPr>
        <w:t>childhood</w:t>
      </w:r>
      <w:r w:rsidRPr="0055435C">
        <w:rPr>
          <w:lang w:val="en-US"/>
        </w:rPr>
        <w:t xml:space="preserve"> but this association </w:t>
      </w:r>
      <w:r w:rsidR="00910E4E" w:rsidRPr="0055435C">
        <w:rPr>
          <w:lang w:val="en-US"/>
        </w:rPr>
        <w:t>has weakened</w:t>
      </w:r>
      <w:r w:rsidRPr="0055435C">
        <w:rPr>
          <w:lang w:val="en-US"/>
        </w:rPr>
        <w:t xml:space="preserve"> </w:t>
      </w:r>
      <w:r w:rsidR="0052638D" w:rsidRPr="0055435C">
        <w:rPr>
          <w:lang w:val="en-US"/>
        </w:rPr>
        <w:t>or</w:t>
      </w:r>
      <w:r w:rsidR="00910E4E" w:rsidRPr="0055435C">
        <w:rPr>
          <w:lang w:val="en-US"/>
        </w:rPr>
        <w:t xml:space="preserve"> even disappeared</w:t>
      </w:r>
      <w:r w:rsidRPr="0055435C">
        <w:rPr>
          <w:lang w:val="en-US"/>
        </w:rPr>
        <w:t xml:space="preserve"> with aging </w:t>
      </w:r>
      <w:r w:rsidR="001E74FA" w:rsidRPr="0055435C">
        <w:rPr>
          <w:lang w:val="en-US"/>
        </w:rPr>
        <w:fldChar w:fldCharType="begin"/>
      </w:r>
      <w:r w:rsidR="001E74FA" w:rsidRPr="0055435C">
        <w:rPr>
          <w:lang w:val="en-US"/>
        </w:rPr>
        <w:instrText>ADDIN RW.CITE{{788 Martinez-Mesa,J 2013; 723 Dennison,ElaineM 2005; 726 Yarbrough,DE 2000; 790 Cooper,C. 1997}}</w:instrText>
      </w:r>
      <w:r w:rsidR="001E74FA" w:rsidRPr="0055435C">
        <w:rPr>
          <w:lang w:val="en-US"/>
        </w:rPr>
        <w:fldChar w:fldCharType="separate"/>
      </w:r>
      <w:r w:rsidR="00DF1679" w:rsidRPr="0055435C">
        <w:rPr>
          <w:lang w:val="en-US"/>
        </w:rPr>
        <w:t>[13-16]</w:t>
      </w:r>
      <w:r w:rsidR="001E74FA" w:rsidRPr="0055435C">
        <w:rPr>
          <w:lang w:val="en-US"/>
        </w:rPr>
        <w:fldChar w:fldCharType="end"/>
      </w:r>
      <w:r w:rsidRPr="0055435C">
        <w:rPr>
          <w:lang w:val="en-US"/>
        </w:rPr>
        <w:t xml:space="preserve">. </w:t>
      </w:r>
      <w:r w:rsidR="00566C55" w:rsidRPr="0055435C">
        <w:rPr>
          <w:lang w:val="en-US"/>
        </w:rPr>
        <w:t>In the present study, only birth length was associated with bone area at the spine,</w:t>
      </w:r>
      <w:r w:rsidR="00D93725" w:rsidRPr="0055435C">
        <w:rPr>
          <w:lang w:val="en-US"/>
        </w:rPr>
        <w:t xml:space="preserve"> but not with femoral neck area</w:t>
      </w:r>
      <w:r w:rsidR="00566C55" w:rsidRPr="0055435C">
        <w:rPr>
          <w:lang w:val="en-US"/>
        </w:rPr>
        <w:t xml:space="preserve">. </w:t>
      </w:r>
      <w:r w:rsidR="006973A9" w:rsidRPr="0055435C">
        <w:rPr>
          <w:lang w:val="en-US"/>
        </w:rPr>
        <w:t xml:space="preserve">Earlier studies have </w:t>
      </w:r>
      <w:r w:rsidR="00D93725" w:rsidRPr="0055435C">
        <w:rPr>
          <w:lang w:val="en-US"/>
        </w:rPr>
        <w:t>mainly used aBMD and BMC as outcomes and t</w:t>
      </w:r>
      <w:r w:rsidR="006973A9" w:rsidRPr="0055435C">
        <w:rPr>
          <w:lang w:val="en-US"/>
        </w:rPr>
        <w:t xml:space="preserve">wo studies found associations between birth weight and BMC in older age whereas one study found no associations. </w:t>
      </w:r>
      <w:r w:rsidR="00300439" w:rsidRPr="0055435C">
        <w:rPr>
          <w:lang w:val="en-US"/>
        </w:rPr>
        <w:t>Presumably, other factors than body size at birth have stronger effect on the maintenance of peak bo</w:t>
      </w:r>
      <w:r w:rsidR="00910E4E" w:rsidRPr="0055435C">
        <w:rPr>
          <w:lang w:val="en-US"/>
        </w:rPr>
        <w:t xml:space="preserve">ne mass in adulthood and </w:t>
      </w:r>
      <w:r w:rsidR="00300439" w:rsidRPr="0055435C">
        <w:rPr>
          <w:lang w:val="en-US"/>
        </w:rPr>
        <w:t xml:space="preserve">on the rate of bone loss </w:t>
      </w:r>
      <w:r w:rsidR="00910E4E" w:rsidRPr="0055435C">
        <w:rPr>
          <w:lang w:val="en-US"/>
        </w:rPr>
        <w:t xml:space="preserve">in older age </w:t>
      </w:r>
      <w:r w:rsidR="00300439" w:rsidRPr="0055435C">
        <w:rPr>
          <w:lang w:val="en-US"/>
        </w:rPr>
        <w:t>resulting in weak associations between early growth and bone health in old age.</w:t>
      </w:r>
    </w:p>
    <w:p w14:paraId="71252A0F" w14:textId="77777777" w:rsidR="00132ED9" w:rsidRPr="0055435C" w:rsidRDefault="00132ED9" w:rsidP="00AB7918">
      <w:pPr>
        <w:spacing w:line="480" w:lineRule="auto"/>
        <w:rPr>
          <w:lang w:val="en-US"/>
        </w:rPr>
      </w:pPr>
    </w:p>
    <w:p w14:paraId="78808A03" w14:textId="0F70AF5D" w:rsidR="00A14BA2" w:rsidRPr="0055435C" w:rsidRDefault="00A14BA2" w:rsidP="00AB7918">
      <w:pPr>
        <w:spacing w:line="480" w:lineRule="auto"/>
        <w:rPr>
          <w:lang w:val="en-US"/>
        </w:rPr>
      </w:pPr>
      <w:r w:rsidRPr="0055435C">
        <w:rPr>
          <w:lang w:val="en-US"/>
        </w:rPr>
        <w:t xml:space="preserve">Growth during childhood and adolescence </w:t>
      </w:r>
      <w:r w:rsidR="003163A0" w:rsidRPr="0055435C">
        <w:rPr>
          <w:lang w:val="en-US"/>
        </w:rPr>
        <w:t>is</w:t>
      </w:r>
      <w:r w:rsidRPr="0055435C">
        <w:rPr>
          <w:lang w:val="en-US"/>
        </w:rPr>
        <w:t xml:space="preserve"> likely to have important influence</w:t>
      </w:r>
      <w:r w:rsidR="00EE04A2" w:rsidRPr="0055435C">
        <w:rPr>
          <w:lang w:val="en-US"/>
        </w:rPr>
        <w:t>s</w:t>
      </w:r>
      <w:r w:rsidRPr="0055435C">
        <w:rPr>
          <w:lang w:val="en-US"/>
        </w:rPr>
        <w:t xml:space="preserve"> on peak bone mass. Tandon and </w:t>
      </w:r>
      <w:r w:rsidR="00EE04A2" w:rsidRPr="0055435C">
        <w:rPr>
          <w:lang w:val="en-US"/>
        </w:rPr>
        <w:t xml:space="preserve">coworkers </w:t>
      </w:r>
      <w:r w:rsidRPr="0055435C">
        <w:rPr>
          <w:lang w:val="en-US"/>
        </w:rPr>
        <w:t xml:space="preserve">found that greater early growth predicted greater bone mineral mass in young adulthood </w:t>
      </w:r>
      <w:r w:rsidR="00187535" w:rsidRPr="0055435C">
        <w:rPr>
          <w:lang w:val="en-US"/>
        </w:rPr>
        <w:fldChar w:fldCharType="begin"/>
      </w:r>
      <w:r w:rsidR="00187535" w:rsidRPr="0055435C">
        <w:rPr>
          <w:lang w:val="en-US"/>
        </w:rPr>
        <w:instrText>ADDIN RW.CITE{{786 Tandon,N 2012}}</w:instrText>
      </w:r>
      <w:r w:rsidR="00187535" w:rsidRPr="0055435C">
        <w:rPr>
          <w:lang w:val="en-US"/>
        </w:rPr>
        <w:fldChar w:fldCharType="separate"/>
      </w:r>
      <w:r w:rsidR="00DF1679" w:rsidRPr="0055435C">
        <w:rPr>
          <w:lang w:val="en-US"/>
        </w:rPr>
        <w:t>[17]</w:t>
      </w:r>
      <w:r w:rsidR="00187535" w:rsidRPr="0055435C">
        <w:rPr>
          <w:lang w:val="en-US"/>
        </w:rPr>
        <w:fldChar w:fldCharType="end"/>
      </w:r>
      <w:r w:rsidR="005C52A5" w:rsidRPr="0055435C">
        <w:rPr>
          <w:lang w:val="en-US"/>
        </w:rPr>
        <w:t xml:space="preserve"> and bone properties have been found to track strongly from childhood to adolescence</w:t>
      </w:r>
      <w:r w:rsidR="00873653" w:rsidRPr="0055435C">
        <w:rPr>
          <w:lang w:val="en-US"/>
        </w:rPr>
        <w:t xml:space="preserve"> </w:t>
      </w:r>
      <w:r w:rsidR="00873653" w:rsidRPr="0055435C">
        <w:rPr>
          <w:lang w:val="en-US"/>
        </w:rPr>
        <w:fldChar w:fldCharType="begin"/>
      </w:r>
      <w:r w:rsidR="00873653" w:rsidRPr="0055435C">
        <w:rPr>
          <w:lang w:val="en-US"/>
        </w:rPr>
        <w:instrText>ADDIN RW.CITE{{792 Wren,TishyaAL 2014}}</w:instrText>
      </w:r>
      <w:r w:rsidR="00873653" w:rsidRPr="0055435C">
        <w:rPr>
          <w:lang w:val="en-US"/>
        </w:rPr>
        <w:fldChar w:fldCharType="separate"/>
      </w:r>
      <w:r w:rsidR="00873653" w:rsidRPr="0055435C">
        <w:rPr>
          <w:lang w:val="en-US"/>
        </w:rPr>
        <w:t>[18]</w:t>
      </w:r>
      <w:r w:rsidR="00873653" w:rsidRPr="0055435C">
        <w:rPr>
          <w:lang w:val="en-US"/>
        </w:rPr>
        <w:fldChar w:fldCharType="end"/>
      </w:r>
      <w:r w:rsidRPr="0055435C">
        <w:rPr>
          <w:lang w:val="en-US"/>
        </w:rPr>
        <w:t>. However, only few studies have explored the associations between early growth, other than birth weight, and bone properties in old age. Kuh et al. found that growth in height</w:t>
      </w:r>
      <w:r w:rsidR="00D1207A" w:rsidRPr="0055435C">
        <w:rPr>
          <w:lang w:val="en-US"/>
        </w:rPr>
        <w:t xml:space="preserve"> during various growth periods wa</w:t>
      </w:r>
      <w:r w:rsidRPr="0055435C">
        <w:rPr>
          <w:lang w:val="en-US"/>
        </w:rPr>
        <w:t>s positively associated with cross-sectional bone size, determined using peripheral quantitative computed tomography (pQCT), in early old age</w:t>
      </w:r>
      <w:r w:rsidR="00187535" w:rsidRPr="0055435C">
        <w:rPr>
          <w:lang w:val="en-US"/>
        </w:rPr>
        <w:t>.</w:t>
      </w:r>
      <w:r w:rsidR="00187535" w:rsidRPr="0055435C">
        <w:rPr>
          <w:lang w:val="en-US"/>
        </w:rPr>
        <w:fldChar w:fldCharType="begin"/>
      </w:r>
      <w:r w:rsidR="00187535" w:rsidRPr="0055435C">
        <w:rPr>
          <w:lang w:val="en-US"/>
        </w:rPr>
        <w:instrText>ADDIN RW.CITE{{718 Kuh,Diana 2014}}</w:instrText>
      </w:r>
      <w:r w:rsidR="00187535" w:rsidRPr="0055435C">
        <w:rPr>
          <w:lang w:val="en-US"/>
        </w:rPr>
        <w:fldChar w:fldCharType="separate"/>
      </w:r>
      <w:r w:rsidR="00187535" w:rsidRPr="0055435C">
        <w:rPr>
          <w:rFonts w:cs="Times New Roman"/>
          <w:lang w:val="en-US"/>
        </w:rPr>
        <w:t>[1]</w:t>
      </w:r>
      <w:r w:rsidR="00187535" w:rsidRPr="0055435C">
        <w:rPr>
          <w:lang w:val="en-US"/>
        </w:rPr>
        <w:fldChar w:fldCharType="end"/>
      </w:r>
      <w:r w:rsidRPr="0055435C">
        <w:rPr>
          <w:lang w:val="en-US"/>
        </w:rPr>
        <w:t xml:space="preserve"> We were not able to measure bone cross-sectional area but we determined bone area in the frontal plane which is likely to correlate with cross-sectional area. In our analysis, growth </w:t>
      </w:r>
      <w:r w:rsidR="00EE04A2" w:rsidRPr="0055435C">
        <w:rPr>
          <w:lang w:val="en-US"/>
        </w:rPr>
        <w:t xml:space="preserve">in height </w:t>
      </w:r>
      <w:r w:rsidRPr="0055435C">
        <w:rPr>
          <w:lang w:val="en-US"/>
        </w:rPr>
        <w:t xml:space="preserve">before the age of 7 years was associated with </w:t>
      </w:r>
      <w:r w:rsidRPr="0055435C">
        <w:rPr>
          <w:lang w:val="en-US"/>
        </w:rPr>
        <w:lastRenderedPageBreak/>
        <w:t>bone area particularly in the spine</w:t>
      </w:r>
      <w:r w:rsidR="00ED5923" w:rsidRPr="0055435C">
        <w:rPr>
          <w:lang w:val="en-US"/>
        </w:rPr>
        <w:t>,</w:t>
      </w:r>
      <w:r w:rsidR="00D1207A" w:rsidRPr="0055435C">
        <w:rPr>
          <w:lang w:val="en-US"/>
        </w:rPr>
        <w:t xml:space="preserve"> and also with bone mineral content in the spine and femoral neck</w:t>
      </w:r>
      <w:r w:rsidRPr="0055435C">
        <w:rPr>
          <w:lang w:val="en-US"/>
        </w:rPr>
        <w:t xml:space="preserve">. </w:t>
      </w:r>
      <w:r w:rsidR="00D1207A" w:rsidRPr="0055435C">
        <w:rPr>
          <w:lang w:val="en-US"/>
        </w:rPr>
        <w:t>Hence, the</w:t>
      </w:r>
      <w:r w:rsidR="002113C3" w:rsidRPr="0055435C">
        <w:rPr>
          <w:lang w:val="en-US"/>
        </w:rPr>
        <w:t xml:space="preserve"> results suggest </w:t>
      </w:r>
      <w:r w:rsidR="00DE0C18" w:rsidRPr="0055435C">
        <w:rPr>
          <w:lang w:val="en-US"/>
        </w:rPr>
        <w:t xml:space="preserve">that </w:t>
      </w:r>
      <w:r w:rsidR="00547690" w:rsidRPr="0055435C">
        <w:rPr>
          <w:lang w:val="en-US"/>
        </w:rPr>
        <w:t xml:space="preserve">greater </w:t>
      </w:r>
      <w:r w:rsidR="002113C3" w:rsidRPr="0055435C">
        <w:rPr>
          <w:lang w:val="en-US"/>
        </w:rPr>
        <w:t xml:space="preserve">growth in height </w:t>
      </w:r>
      <w:r w:rsidR="00DE0C18" w:rsidRPr="0055435C">
        <w:rPr>
          <w:lang w:val="en-US"/>
        </w:rPr>
        <w:t>between birth and 7 years of age</w:t>
      </w:r>
      <w:r w:rsidR="00B16039" w:rsidRPr="0055435C">
        <w:rPr>
          <w:lang w:val="en-US"/>
        </w:rPr>
        <w:t xml:space="preserve"> </w:t>
      </w:r>
      <w:r w:rsidR="002113C3" w:rsidRPr="0055435C">
        <w:rPr>
          <w:lang w:val="en-US"/>
        </w:rPr>
        <w:t xml:space="preserve">has a </w:t>
      </w:r>
      <w:r w:rsidR="00B16039" w:rsidRPr="0055435C">
        <w:rPr>
          <w:lang w:val="en-US"/>
        </w:rPr>
        <w:t>long-</w:t>
      </w:r>
      <w:r w:rsidR="002113C3" w:rsidRPr="0055435C">
        <w:rPr>
          <w:lang w:val="en-US"/>
        </w:rPr>
        <w:t>lasti</w:t>
      </w:r>
      <w:r w:rsidR="003D582D" w:rsidRPr="0055435C">
        <w:rPr>
          <w:lang w:val="en-US"/>
        </w:rPr>
        <w:t xml:space="preserve">ng positive contribution to </w:t>
      </w:r>
      <w:r w:rsidR="002113C3" w:rsidRPr="0055435C">
        <w:rPr>
          <w:lang w:val="en-US"/>
        </w:rPr>
        <w:t>bone size</w:t>
      </w:r>
      <w:r w:rsidR="003D582D" w:rsidRPr="0055435C">
        <w:rPr>
          <w:lang w:val="en-US"/>
        </w:rPr>
        <w:t xml:space="preserve"> </w:t>
      </w:r>
      <w:r w:rsidR="00DE0C18" w:rsidRPr="0055435C">
        <w:rPr>
          <w:lang w:val="en-US"/>
        </w:rPr>
        <w:t>and bone mineral mass</w:t>
      </w:r>
      <w:r w:rsidR="003D582D" w:rsidRPr="0055435C">
        <w:rPr>
          <w:lang w:val="en-US"/>
        </w:rPr>
        <w:t xml:space="preserve"> in adulthood</w:t>
      </w:r>
      <w:r w:rsidR="002113C3" w:rsidRPr="0055435C">
        <w:rPr>
          <w:lang w:val="en-US"/>
        </w:rPr>
        <w:t>.</w:t>
      </w:r>
      <w:r w:rsidR="00547690" w:rsidRPr="0055435C">
        <w:rPr>
          <w:lang w:val="en-US"/>
        </w:rPr>
        <w:t xml:space="preserve"> It is worth noting that the </w:t>
      </w:r>
      <w:r w:rsidR="00DE3C9C" w:rsidRPr="0055435C">
        <w:rPr>
          <w:lang w:val="en-US"/>
        </w:rPr>
        <w:t>growth</w:t>
      </w:r>
      <w:r w:rsidR="00547690" w:rsidRPr="0055435C">
        <w:rPr>
          <w:lang w:val="en-US"/>
        </w:rPr>
        <w:t xml:space="preserve"> variables </w:t>
      </w:r>
      <w:r w:rsidR="00D1207A" w:rsidRPr="0055435C">
        <w:rPr>
          <w:lang w:val="en-US"/>
        </w:rPr>
        <w:t xml:space="preserve">in the studies </w:t>
      </w:r>
      <w:r w:rsidR="00EE04A2" w:rsidRPr="0055435C">
        <w:rPr>
          <w:lang w:val="en-US"/>
        </w:rPr>
        <w:t>by</w:t>
      </w:r>
      <w:r w:rsidR="00D1207A" w:rsidRPr="0055435C">
        <w:rPr>
          <w:lang w:val="en-US"/>
        </w:rPr>
        <w:t xml:space="preserve"> Tandon et al.,</w:t>
      </w:r>
      <w:r w:rsidR="00187535" w:rsidRPr="0055435C">
        <w:rPr>
          <w:lang w:val="en-US"/>
        </w:rPr>
        <w:fldChar w:fldCharType="begin"/>
      </w:r>
      <w:r w:rsidR="00187535" w:rsidRPr="0055435C">
        <w:rPr>
          <w:lang w:val="en-US"/>
        </w:rPr>
        <w:instrText>ADDIN RW.CITE{{786 Tandon,N 2012}}</w:instrText>
      </w:r>
      <w:r w:rsidR="00187535" w:rsidRPr="0055435C">
        <w:rPr>
          <w:lang w:val="en-US"/>
        </w:rPr>
        <w:fldChar w:fldCharType="separate"/>
      </w:r>
      <w:r w:rsidR="00DF1679" w:rsidRPr="0055435C">
        <w:rPr>
          <w:lang w:val="en-US"/>
        </w:rPr>
        <w:t>[17]</w:t>
      </w:r>
      <w:r w:rsidR="00187535" w:rsidRPr="0055435C">
        <w:rPr>
          <w:lang w:val="en-US"/>
        </w:rPr>
        <w:fldChar w:fldCharType="end"/>
      </w:r>
      <w:r w:rsidR="00D1207A" w:rsidRPr="0055435C">
        <w:rPr>
          <w:lang w:val="en-US"/>
        </w:rPr>
        <w:t xml:space="preserve"> Kuh et al.,</w:t>
      </w:r>
      <w:r w:rsidR="00187535" w:rsidRPr="0055435C">
        <w:rPr>
          <w:lang w:val="en-US"/>
        </w:rPr>
        <w:fldChar w:fldCharType="begin"/>
      </w:r>
      <w:r w:rsidR="00187535" w:rsidRPr="0055435C">
        <w:rPr>
          <w:lang w:val="en-US"/>
        </w:rPr>
        <w:instrText>ADDIN RW.CITE{{718 Kuh,Diana 2014}}</w:instrText>
      </w:r>
      <w:r w:rsidR="00187535" w:rsidRPr="0055435C">
        <w:rPr>
          <w:lang w:val="en-US"/>
        </w:rPr>
        <w:fldChar w:fldCharType="separate"/>
      </w:r>
      <w:r w:rsidR="00187535" w:rsidRPr="0055435C">
        <w:rPr>
          <w:lang w:val="en-US"/>
        </w:rPr>
        <w:t>[1]</w:t>
      </w:r>
      <w:r w:rsidR="00187535" w:rsidRPr="0055435C">
        <w:rPr>
          <w:lang w:val="en-US"/>
        </w:rPr>
        <w:fldChar w:fldCharType="end"/>
      </w:r>
      <w:r w:rsidR="00D1207A" w:rsidRPr="0055435C">
        <w:rPr>
          <w:lang w:val="en-US"/>
        </w:rPr>
        <w:t xml:space="preserve"> and ours </w:t>
      </w:r>
      <w:r w:rsidR="00547690" w:rsidRPr="0055435C">
        <w:rPr>
          <w:lang w:val="en-US"/>
        </w:rPr>
        <w:t xml:space="preserve">were independent of the child’s earlier body size, </w:t>
      </w:r>
      <w:r w:rsidR="00AD2FF8" w:rsidRPr="0055435C">
        <w:rPr>
          <w:lang w:val="en-US"/>
        </w:rPr>
        <w:t>and thus high values reflect greater growth than would be expected by</w:t>
      </w:r>
      <w:r w:rsidR="002E50C1" w:rsidRPr="0055435C">
        <w:rPr>
          <w:lang w:val="en-US"/>
        </w:rPr>
        <w:t xml:space="preserve"> body size and previous growth.</w:t>
      </w:r>
    </w:p>
    <w:p w14:paraId="29462876" w14:textId="77777777" w:rsidR="00D1207A" w:rsidRPr="0055435C" w:rsidRDefault="00D1207A" w:rsidP="00AB7918">
      <w:pPr>
        <w:spacing w:line="480" w:lineRule="auto"/>
        <w:rPr>
          <w:lang w:val="en-US"/>
        </w:rPr>
      </w:pPr>
    </w:p>
    <w:p w14:paraId="6D776732" w14:textId="6853E5D4" w:rsidR="00D1207A" w:rsidRPr="0055435C" w:rsidRDefault="00D1207A" w:rsidP="00AB7918">
      <w:pPr>
        <w:spacing w:line="480" w:lineRule="auto"/>
        <w:rPr>
          <w:lang w:val="en-US"/>
        </w:rPr>
      </w:pPr>
      <w:r w:rsidRPr="0055435C">
        <w:rPr>
          <w:lang w:val="en-US"/>
        </w:rPr>
        <w:t xml:space="preserve">We found no associations between </w:t>
      </w:r>
      <w:r w:rsidR="005C1385" w:rsidRPr="0055435C">
        <w:rPr>
          <w:lang w:val="en-US"/>
        </w:rPr>
        <w:t xml:space="preserve">growth in </w:t>
      </w:r>
      <w:r w:rsidRPr="0055435C">
        <w:rPr>
          <w:lang w:val="en-US"/>
        </w:rPr>
        <w:t xml:space="preserve">height </w:t>
      </w:r>
      <w:r w:rsidR="005C1385" w:rsidRPr="0055435C">
        <w:rPr>
          <w:lang w:val="en-US"/>
        </w:rPr>
        <w:t xml:space="preserve">during childhood </w:t>
      </w:r>
      <w:r w:rsidRPr="0055435C">
        <w:rPr>
          <w:lang w:val="en-US"/>
        </w:rPr>
        <w:t>and aBMD</w:t>
      </w:r>
      <w:r w:rsidR="005C1385" w:rsidRPr="0055435C">
        <w:rPr>
          <w:lang w:val="en-US"/>
        </w:rPr>
        <w:t xml:space="preserve"> in early old age</w:t>
      </w:r>
      <w:r w:rsidRPr="0055435C">
        <w:rPr>
          <w:lang w:val="en-US"/>
        </w:rPr>
        <w:t>. In accordance, Kuh et al. found only weak, if any, associations between height growth before the age of 15 years and spine or hip aBMD in early old age among women</w:t>
      </w:r>
      <w:r w:rsidR="002C2FA0" w:rsidRPr="0055435C">
        <w:rPr>
          <w:lang w:val="en-US"/>
        </w:rPr>
        <w:t xml:space="preserve"> </w:t>
      </w:r>
      <w:r w:rsidR="00187535" w:rsidRPr="0055435C">
        <w:rPr>
          <w:lang w:val="en-US"/>
        </w:rPr>
        <w:fldChar w:fldCharType="begin"/>
      </w:r>
      <w:r w:rsidR="00187535" w:rsidRPr="0055435C">
        <w:rPr>
          <w:lang w:val="en-US"/>
        </w:rPr>
        <w:instrText>ADDIN RW.CITE{{718 Kuh,Diana 2014}}</w:instrText>
      </w:r>
      <w:r w:rsidR="00187535" w:rsidRPr="0055435C">
        <w:rPr>
          <w:lang w:val="en-US"/>
        </w:rPr>
        <w:fldChar w:fldCharType="separate"/>
      </w:r>
      <w:r w:rsidR="00187535" w:rsidRPr="0055435C">
        <w:rPr>
          <w:lang w:val="en-US"/>
        </w:rPr>
        <w:t>[1]</w:t>
      </w:r>
      <w:r w:rsidR="00187535" w:rsidRPr="0055435C">
        <w:rPr>
          <w:lang w:val="en-US"/>
        </w:rPr>
        <w:fldChar w:fldCharType="end"/>
      </w:r>
      <w:r w:rsidR="002C2FA0" w:rsidRPr="0055435C">
        <w:rPr>
          <w:lang w:val="en-US"/>
        </w:rPr>
        <w:t>.</w:t>
      </w:r>
      <w:r w:rsidR="00187535" w:rsidRPr="0055435C">
        <w:rPr>
          <w:lang w:val="en-US"/>
        </w:rPr>
        <w:t xml:space="preserve"> </w:t>
      </w:r>
      <w:r w:rsidRPr="0055435C">
        <w:rPr>
          <w:lang w:val="en-US"/>
        </w:rPr>
        <w:t xml:space="preserve">aBMD is intrinsically adjusted for bone size and the lack of association between height growth and aBMD supports the explanation that the associations between growth and DXA parameters in old age </w:t>
      </w:r>
      <w:r w:rsidR="00ED5923" w:rsidRPr="0055435C">
        <w:rPr>
          <w:lang w:val="en-US"/>
        </w:rPr>
        <w:t>largely</w:t>
      </w:r>
      <w:r w:rsidRPr="0055435C">
        <w:rPr>
          <w:lang w:val="en-US"/>
        </w:rPr>
        <w:t xml:space="preserve"> reflect</w:t>
      </w:r>
      <w:r w:rsidR="00ED5923" w:rsidRPr="0055435C">
        <w:rPr>
          <w:lang w:val="en-US"/>
        </w:rPr>
        <w:t xml:space="preserve"> faster </w:t>
      </w:r>
      <w:r w:rsidRPr="0055435C">
        <w:rPr>
          <w:lang w:val="en-US"/>
        </w:rPr>
        <w:t>growth leading to greater skeletal size.</w:t>
      </w:r>
      <w:r w:rsidR="00F056A8" w:rsidRPr="0055435C">
        <w:rPr>
          <w:lang w:val="en-US"/>
        </w:rPr>
        <w:t xml:space="preserve"> </w:t>
      </w:r>
      <w:r w:rsidR="00ED5923" w:rsidRPr="0055435C">
        <w:rPr>
          <w:lang w:val="en-US"/>
        </w:rPr>
        <w:t xml:space="preserve">Among our participants, aBMD was </w:t>
      </w:r>
      <w:r w:rsidR="005C1385" w:rsidRPr="0055435C">
        <w:rPr>
          <w:lang w:val="en-US"/>
        </w:rPr>
        <w:t xml:space="preserve">not associated with weight gain in childhood but it was clearly </w:t>
      </w:r>
      <w:r w:rsidR="00ED5923" w:rsidRPr="0055435C">
        <w:rPr>
          <w:lang w:val="en-US"/>
        </w:rPr>
        <w:t xml:space="preserve">associated with relative weight in adulthood. </w:t>
      </w:r>
      <w:r w:rsidR="005C1385" w:rsidRPr="0055435C">
        <w:rPr>
          <w:lang w:val="en-US"/>
        </w:rPr>
        <w:t>In contrast</w:t>
      </w:r>
      <w:r w:rsidR="00F056A8" w:rsidRPr="0055435C">
        <w:rPr>
          <w:lang w:val="en-US"/>
        </w:rPr>
        <w:t xml:space="preserve">, Kuh et al. found that </w:t>
      </w:r>
      <w:r w:rsidRPr="0055435C">
        <w:rPr>
          <w:lang w:val="en-US"/>
        </w:rPr>
        <w:t xml:space="preserve">weight gain during most </w:t>
      </w:r>
      <w:r w:rsidR="00F056A8" w:rsidRPr="0055435C">
        <w:rPr>
          <w:lang w:val="en-US"/>
        </w:rPr>
        <w:t>growth periods and in adulthood</w:t>
      </w:r>
      <w:r w:rsidR="005C1385" w:rsidRPr="0055435C">
        <w:rPr>
          <w:lang w:val="en-US"/>
        </w:rPr>
        <w:t xml:space="preserve"> was</w:t>
      </w:r>
      <w:r w:rsidRPr="0055435C">
        <w:rPr>
          <w:lang w:val="en-US"/>
        </w:rPr>
        <w:t xml:space="preserve"> positively associated with a</w:t>
      </w:r>
      <w:r w:rsidR="005F00C7" w:rsidRPr="0055435C">
        <w:rPr>
          <w:lang w:val="en-US"/>
        </w:rPr>
        <w:t xml:space="preserve">BMD </w:t>
      </w:r>
      <w:r w:rsidR="005F00C7" w:rsidRPr="0055435C">
        <w:rPr>
          <w:lang w:val="en-US"/>
        </w:rPr>
        <w:fldChar w:fldCharType="begin"/>
      </w:r>
      <w:r w:rsidR="005F00C7" w:rsidRPr="0055435C">
        <w:rPr>
          <w:lang w:val="en-US"/>
        </w:rPr>
        <w:instrText>ADDIN RW.CITE{{718 Kuh,Diana 2014}}</w:instrText>
      </w:r>
      <w:r w:rsidR="005F00C7" w:rsidRPr="0055435C">
        <w:rPr>
          <w:lang w:val="en-US"/>
        </w:rPr>
        <w:fldChar w:fldCharType="separate"/>
      </w:r>
      <w:r w:rsidR="005F00C7" w:rsidRPr="0055435C">
        <w:rPr>
          <w:rFonts w:cs="Times New Roman"/>
          <w:lang w:val="en-US"/>
        </w:rPr>
        <w:t>[1]</w:t>
      </w:r>
      <w:r w:rsidR="005F00C7" w:rsidRPr="0055435C">
        <w:rPr>
          <w:lang w:val="en-US"/>
        </w:rPr>
        <w:fldChar w:fldCharType="end"/>
      </w:r>
      <w:r w:rsidR="005F00C7" w:rsidRPr="0055435C">
        <w:rPr>
          <w:lang w:val="en-US"/>
        </w:rPr>
        <w:t>.</w:t>
      </w:r>
      <w:r w:rsidR="005C1385" w:rsidRPr="0055435C">
        <w:rPr>
          <w:lang w:val="en-US"/>
        </w:rPr>
        <w:t xml:space="preserve"> However, they found that w</w:t>
      </w:r>
      <w:r w:rsidR="00830C31" w:rsidRPr="0055435C">
        <w:rPr>
          <w:lang w:val="en-US"/>
        </w:rPr>
        <w:t>eight gain in adulthood had greater contribution to aBMD</w:t>
      </w:r>
      <w:r w:rsidR="005C1385" w:rsidRPr="0055435C">
        <w:rPr>
          <w:lang w:val="en-US"/>
        </w:rPr>
        <w:t xml:space="preserve"> than weight gain in childhood.</w:t>
      </w:r>
    </w:p>
    <w:p w14:paraId="0E76DDB9" w14:textId="77777777" w:rsidR="00D1207A" w:rsidRPr="0055435C" w:rsidRDefault="00D1207A" w:rsidP="00AB7918">
      <w:pPr>
        <w:spacing w:line="480" w:lineRule="auto"/>
        <w:rPr>
          <w:lang w:val="en-US"/>
        </w:rPr>
      </w:pPr>
    </w:p>
    <w:p w14:paraId="0C00579B" w14:textId="570FE683" w:rsidR="00D1207A" w:rsidRPr="0055435C" w:rsidRDefault="00495DFE" w:rsidP="00AB7918">
      <w:pPr>
        <w:spacing w:line="480" w:lineRule="auto"/>
        <w:rPr>
          <w:lang w:val="en-US"/>
        </w:rPr>
      </w:pPr>
      <w:r w:rsidRPr="0055435C">
        <w:rPr>
          <w:lang w:val="en-US"/>
        </w:rPr>
        <w:t>D</w:t>
      </w:r>
      <w:r w:rsidR="004F27C5" w:rsidRPr="0055435C">
        <w:rPr>
          <w:lang w:val="en-US"/>
        </w:rPr>
        <w:t>oes information on early growth improve prediction of bone mass in early old age beyond that predicted by body size in early old age?</w:t>
      </w:r>
      <w:r w:rsidR="00A57485" w:rsidRPr="0055435C">
        <w:rPr>
          <w:lang w:val="en-US"/>
        </w:rPr>
        <w:t xml:space="preserve"> In the light of our results, i</w:t>
      </w:r>
      <w:r w:rsidR="004F27C5" w:rsidRPr="0055435C">
        <w:rPr>
          <w:lang w:val="en-US"/>
        </w:rPr>
        <w:t>t seems that it does not. Body size at the t</w:t>
      </w:r>
      <w:r w:rsidR="009268CD" w:rsidRPr="0055435C">
        <w:rPr>
          <w:lang w:val="en-US"/>
        </w:rPr>
        <w:t>ime of the bone measurements has</w:t>
      </w:r>
      <w:r w:rsidR="004F27C5" w:rsidRPr="0055435C">
        <w:rPr>
          <w:lang w:val="en-US"/>
        </w:rPr>
        <w:t xml:space="preserve"> a strong contribution </w:t>
      </w:r>
      <w:r w:rsidR="00E51570" w:rsidRPr="0055435C">
        <w:rPr>
          <w:lang w:val="en-US"/>
        </w:rPr>
        <w:t>to</w:t>
      </w:r>
      <w:r w:rsidR="004F27C5" w:rsidRPr="0055435C">
        <w:rPr>
          <w:lang w:val="en-US"/>
        </w:rPr>
        <w:t xml:space="preserve"> bone area and bone minera</w:t>
      </w:r>
      <w:r w:rsidR="004F6A77" w:rsidRPr="0055435C">
        <w:rPr>
          <w:lang w:val="en-US"/>
        </w:rPr>
        <w:t>l c</w:t>
      </w:r>
      <w:r w:rsidR="004F27C5" w:rsidRPr="0055435C">
        <w:rPr>
          <w:lang w:val="en-US"/>
        </w:rPr>
        <w:t>onten</w:t>
      </w:r>
      <w:r w:rsidR="00FA0869" w:rsidRPr="0055435C">
        <w:rPr>
          <w:lang w:val="en-US"/>
        </w:rPr>
        <w:t>t</w:t>
      </w:r>
      <w:r w:rsidR="009268CD" w:rsidRPr="0055435C">
        <w:rPr>
          <w:lang w:val="en-US"/>
        </w:rPr>
        <w:t xml:space="preserve"> </w:t>
      </w:r>
      <w:r w:rsidR="009268CD" w:rsidRPr="0055435C">
        <w:rPr>
          <w:lang w:val="en-US"/>
        </w:rPr>
        <w:fldChar w:fldCharType="begin"/>
      </w:r>
      <w:r w:rsidR="009268CD" w:rsidRPr="0055435C">
        <w:rPr>
          <w:lang w:val="en-US"/>
        </w:rPr>
        <w:instrText>ADDIN RW.CITE{{723 Dennison,ElaineM 2005; 793 Schoenau,E. 2004}}</w:instrText>
      </w:r>
      <w:r w:rsidR="009268CD" w:rsidRPr="0055435C">
        <w:rPr>
          <w:lang w:val="en-US"/>
        </w:rPr>
        <w:fldChar w:fldCharType="separate"/>
      </w:r>
      <w:r w:rsidR="009268CD" w:rsidRPr="0055435C">
        <w:rPr>
          <w:lang w:val="en-US"/>
        </w:rPr>
        <w:t>[14, 19]</w:t>
      </w:r>
      <w:r w:rsidR="009268CD" w:rsidRPr="0055435C">
        <w:rPr>
          <w:lang w:val="en-US"/>
        </w:rPr>
        <w:fldChar w:fldCharType="end"/>
      </w:r>
      <w:r w:rsidR="009268CD" w:rsidRPr="0055435C">
        <w:rPr>
          <w:lang w:val="en-US"/>
        </w:rPr>
        <w:t>, which was also evident in the present study</w:t>
      </w:r>
      <w:r w:rsidR="00691B59" w:rsidRPr="0055435C">
        <w:rPr>
          <w:lang w:val="en-US"/>
        </w:rPr>
        <w:t xml:space="preserve">. When body size at </w:t>
      </w:r>
      <w:r w:rsidR="00C04B5C" w:rsidRPr="0055435C">
        <w:rPr>
          <w:lang w:val="en-US"/>
        </w:rPr>
        <w:t>the time of bone measurements</w:t>
      </w:r>
      <w:r w:rsidR="00FA0869" w:rsidRPr="0055435C">
        <w:rPr>
          <w:lang w:val="en-US"/>
        </w:rPr>
        <w:t xml:space="preserve"> was added into the models of early growth </w:t>
      </w:r>
      <w:r w:rsidR="00404871" w:rsidRPr="0055435C">
        <w:rPr>
          <w:lang w:val="en-US"/>
        </w:rPr>
        <w:t xml:space="preserve">in height </w:t>
      </w:r>
      <w:r w:rsidR="00FA0869" w:rsidRPr="0055435C">
        <w:rPr>
          <w:lang w:val="en-US"/>
        </w:rPr>
        <w:lastRenderedPageBreak/>
        <w:t xml:space="preserve">explaining bone properties, practically all associations disappeared. The same phenomenon was </w:t>
      </w:r>
      <w:r w:rsidR="00E51570" w:rsidRPr="0055435C">
        <w:rPr>
          <w:lang w:val="en-US"/>
        </w:rPr>
        <w:t xml:space="preserve">previously </w:t>
      </w:r>
      <w:r w:rsidR="00FA0869" w:rsidRPr="0055435C">
        <w:rPr>
          <w:lang w:val="en-US"/>
        </w:rPr>
        <w:t xml:space="preserve">observed </w:t>
      </w:r>
      <w:r w:rsidR="00E51570" w:rsidRPr="0055435C">
        <w:rPr>
          <w:lang w:val="en-US"/>
        </w:rPr>
        <w:t xml:space="preserve">in another study among </w:t>
      </w:r>
      <w:r w:rsidR="00FA0869" w:rsidRPr="0055435C">
        <w:rPr>
          <w:lang w:val="en-US"/>
        </w:rPr>
        <w:t>young adults</w:t>
      </w:r>
      <w:r w:rsidR="00E51570" w:rsidRPr="0055435C">
        <w:rPr>
          <w:lang w:val="en-US"/>
        </w:rPr>
        <w:t xml:space="preserve"> </w:t>
      </w:r>
      <w:r w:rsidR="00E51570" w:rsidRPr="0055435C">
        <w:rPr>
          <w:lang w:val="en-US"/>
        </w:rPr>
        <w:fldChar w:fldCharType="begin"/>
      </w:r>
      <w:r w:rsidR="00E51570" w:rsidRPr="0055435C">
        <w:rPr>
          <w:lang w:val="en-US"/>
        </w:rPr>
        <w:instrText>ADDIN RW.CITE{{786 Tandon,N 2012}}</w:instrText>
      </w:r>
      <w:r w:rsidR="00E51570" w:rsidRPr="0055435C">
        <w:rPr>
          <w:lang w:val="en-US"/>
        </w:rPr>
        <w:fldChar w:fldCharType="separate"/>
      </w:r>
      <w:r w:rsidR="00DF1679" w:rsidRPr="0055435C">
        <w:rPr>
          <w:lang w:val="en-US"/>
        </w:rPr>
        <w:t>[17]</w:t>
      </w:r>
      <w:r w:rsidR="00E51570" w:rsidRPr="0055435C">
        <w:rPr>
          <w:lang w:val="en-US"/>
        </w:rPr>
        <w:fldChar w:fldCharType="end"/>
      </w:r>
      <w:r w:rsidR="003163A0" w:rsidRPr="0055435C">
        <w:rPr>
          <w:lang w:val="en-US"/>
        </w:rPr>
        <w:t>.</w:t>
      </w:r>
      <w:r w:rsidR="00E51570" w:rsidRPr="0055435C">
        <w:rPr>
          <w:lang w:val="en-US"/>
        </w:rPr>
        <w:t xml:space="preserve"> </w:t>
      </w:r>
      <w:r w:rsidR="004F29E6" w:rsidRPr="0055435C">
        <w:rPr>
          <w:lang w:val="en-US"/>
        </w:rPr>
        <w:t>In the present study, w</w:t>
      </w:r>
      <w:r w:rsidR="00404871" w:rsidRPr="0055435C">
        <w:rPr>
          <w:lang w:val="en-US"/>
        </w:rPr>
        <w:t>eight development in childhood did not predict any of the bone parameters studied in early old age</w:t>
      </w:r>
      <w:r w:rsidR="00E51570" w:rsidRPr="0055435C">
        <w:rPr>
          <w:lang w:val="en-US"/>
        </w:rPr>
        <w:t xml:space="preserve"> even prior to adjustment for current weight</w:t>
      </w:r>
      <w:r w:rsidR="00404871" w:rsidRPr="0055435C">
        <w:rPr>
          <w:lang w:val="en-US"/>
        </w:rPr>
        <w:t xml:space="preserve">. </w:t>
      </w:r>
      <w:r w:rsidR="00E51570" w:rsidRPr="0055435C">
        <w:rPr>
          <w:lang w:val="en-US"/>
        </w:rPr>
        <w:t>These results</w:t>
      </w:r>
      <w:r w:rsidR="00FA0869" w:rsidRPr="0055435C">
        <w:rPr>
          <w:lang w:val="en-US"/>
        </w:rPr>
        <w:t xml:space="preserve"> </w:t>
      </w:r>
      <w:r w:rsidR="00E51570" w:rsidRPr="0055435C">
        <w:rPr>
          <w:lang w:val="en-US"/>
        </w:rPr>
        <w:t>suggest</w:t>
      </w:r>
      <w:r w:rsidR="00FA0869" w:rsidRPr="0055435C">
        <w:rPr>
          <w:lang w:val="en-US"/>
        </w:rPr>
        <w:t xml:space="preserve"> that </w:t>
      </w:r>
      <w:r w:rsidR="004F27C5" w:rsidRPr="0055435C">
        <w:rPr>
          <w:lang w:val="en-US"/>
        </w:rPr>
        <w:t>the associations between early growth and later bone mass are mostly mediated by body size at the time of bone measurements</w:t>
      </w:r>
      <w:r w:rsidR="00A76FE9" w:rsidRPr="0055435C">
        <w:rPr>
          <w:lang w:val="en-US"/>
        </w:rPr>
        <w:t>.</w:t>
      </w:r>
      <w:r w:rsidR="00D1207A" w:rsidRPr="0055435C">
        <w:rPr>
          <w:lang w:val="en-US"/>
        </w:rPr>
        <w:t xml:space="preserve"> </w:t>
      </w:r>
      <w:r w:rsidR="00A222E9" w:rsidRPr="0055435C">
        <w:rPr>
          <w:lang w:val="en-US"/>
        </w:rPr>
        <w:t xml:space="preserve">In other words, growth in height during childhood is the main predictor of height in adulthood, which, in turn, largely determines adult skeletal size and consequently bone mass. </w:t>
      </w:r>
      <w:r w:rsidR="00CD0A44" w:rsidRPr="0055435C">
        <w:rPr>
          <w:lang w:val="en-US"/>
        </w:rPr>
        <w:t xml:space="preserve">However, </w:t>
      </w:r>
      <w:r w:rsidR="00755CB7" w:rsidRPr="0055435C">
        <w:rPr>
          <w:lang w:val="en-US"/>
        </w:rPr>
        <w:t xml:space="preserve">we cannot answer to what extent these correlations between growth, adult body size, and adult bone properties are due to </w:t>
      </w:r>
      <w:r w:rsidR="00757552" w:rsidRPr="0055435C">
        <w:rPr>
          <w:lang w:val="en-US"/>
        </w:rPr>
        <w:t xml:space="preserve">common </w:t>
      </w:r>
      <w:r w:rsidR="00755CB7" w:rsidRPr="0055435C">
        <w:rPr>
          <w:lang w:val="en-US"/>
        </w:rPr>
        <w:t xml:space="preserve">genes regulating these phenotypes and to what extent due to adaptations in growth and bone development during childhood in response to environmental factors. </w:t>
      </w:r>
      <w:r w:rsidR="004F29E6" w:rsidRPr="0055435C">
        <w:rPr>
          <w:lang w:val="en-US"/>
        </w:rPr>
        <w:t>Previous</w:t>
      </w:r>
      <w:r w:rsidR="007A293F" w:rsidRPr="0055435C">
        <w:rPr>
          <w:lang w:val="en-US"/>
        </w:rPr>
        <w:t xml:space="preserve"> </w:t>
      </w:r>
      <w:r w:rsidR="00CD0A44" w:rsidRPr="0055435C">
        <w:rPr>
          <w:lang w:val="en-US"/>
        </w:rPr>
        <w:t xml:space="preserve">studies on the associations between early growth and hip fractures </w:t>
      </w:r>
      <w:r w:rsidR="005F00C7" w:rsidRPr="0055435C">
        <w:rPr>
          <w:lang w:val="en-US"/>
        </w:rPr>
        <w:fldChar w:fldCharType="begin"/>
      </w:r>
      <w:r w:rsidR="005F00C7" w:rsidRPr="0055435C">
        <w:rPr>
          <w:lang w:val="en-US"/>
        </w:rPr>
        <w:instrText>ADDIN RW.CITE{{714 Cooper,C 2001; 716 Javaid,MK 2011}}</w:instrText>
      </w:r>
      <w:r w:rsidR="005F00C7" w:rsidRPr="0055435C">
        <w:rPr>
          <w:lang w:val="en-US"/>
        </w:rPr>
        <w:fldChar w:fldCharType="separate"/>
      </w:r>
      <w:r w:rsidR="005F00C7" w:rsidRPr="0055435C">
        <w:rPr>
          <w:lang w:val="en-US"/>
        </w:rPr>
        <w:t>[6, 7]</w:t>
      </w:r>
      <w:r w:rsidR="005F00C7" w:rsidRPr="0055435C">
        <w:rPr>
          <w:lang w:val="en-US"/>
        </w:rPr>
        <w:fldChar w:fldCharType="end"/>
      </w:r>
      <w:r w:rsidR="005F00C7" w:rsidRPr="0055435C">
        <w:rPr>
          <w:lang w:val="en-US"/>
        </w:rPr>
        <w:t xml:space="preserve"> </w:t>
      </w:r>
      <w:r w:rsidR="00CD0A44" w:rsidRPr="0055435C">
        <w:rPr>
          <w:lang w:val="en-US"/>
        </w:rPr>
        <w:t>have suggested</w:t>
      </w:r>
      <w:r w:rsidR="009476A1" w:rsidRPr="0055435C">
        <w:rPr>
          <w:lang w:val="en-US"/>
        </w:rPr>
        <w:t xml:space="preserve"> </w:t>
      </w:r>
      <w:r w:rsidR="007A293F" w:rsidRPr="0055435C">
        <w:rPr>
          <w:lang w:val="en-US"/>
        </w:rPr>
        <w:t>that faster growth in height</w:t>
      </w:r>
      <w:r w:rsidR="00757552" w:rsidRPr="0055435C">
        <w:rPr>
          <w:lang w:val="en-US"/>
        </w:rPr>
        <w:t xml:space="preserve"> and slower gain in BMI are</w:t>
      </w:r>
      <w:r w:rsidR="007A293F" w:rsidRPr="0055435C">
        <w:rPr>
          <w:lang w:val="en-US"/>
        </w:rPr>
        <w:t xml:space="preserve"> risk factors for </w:t>
      </w:r>
      <w:r w:rsidR="009476A1" w:rsidRPr="0055435C">
        <w:rPr>
          <w:lang w:val="en-US"/>
        </w:rPr>
        <w:t>later hip fractures</w:t>
      </w:r>
      <w:r w:rsidR="00CD0A44" w:rsidRPr="0055435C">
        <w:rPr>
          <w:lang w:val="en-US"/>
        </w:rPr>
        <w:t>.</w:t>
      </w:r>
      <w:r w:rsidR="009476A1" w:rsidRPr="0055435C">
        <w:rPr>
          <w:lang w:val="en-US"/>
        </w:rPr>
        <w:t xml:space="preserve"> </w:t>
      </w:r>
      <w:r w:rsidR="00757552" w:rsidRPr="0055435C">
        <w:rPr>
          <w:lang w:val="en-US"/>
        </w:rPr>
        <w:t xml:space="preserve">These associations are probably </w:t>
      </w:r>
      <w:r w:rsidR="009476A1" w:rsidRPr="0055435C">
        <w:rPr>
          <w:lang w:val="en-US"/>
        </w:rPr>
        <w:t xml:space="preserve">mediated through hip fracture risk factors other than bone properties, </w:t>
      </w:r>
      <w:r w:rsidR="00757552" w:rsidRPr="0055435C">
        <w:rPr>
          <w:lang w:val="en-US"/>
        </w:rPr>
        <w:t xml:space="preserve">because </w:t>
      </w:r>
      <w:r w:rsidR="004F29E6" w:rsidRPr="0055435C">
        <w:rPr>
          <w:lang w:val="en-US"/>
        </w:rPr>
        <w:t>in the present study greater height growth predicted</w:t>
      </w:r>
      <w:r w:rsidR="00757552" w:rsidRPr="0055435C">
        <w:rPr>
          <w:lang w:val="en-US"/>
        </w:rPr>
        <w:t xml:space="preserve"> better bone properties and relative weight gain was not associated with bone properties at all.</w:t>
      </w:r>
    </w:p>
    <w:p w14:paraId="56230FC7" w14:textId="77777777" w:rsidR="009268CD" w:rsidRPr="0055435C" w:rsidRDefault="009268CD" w:rsidP="00AB7918">
      <w:pPr>
        <w:spacing w:line="480" w:lineRule="auto"/>
        <w:rPr>
          <w:lang w:val="en-US"/>
        </w:rPr>
      </w:pPr>
    </w:p>
    <w:p w14:paraId="4E2A1184" w14:textId="2ACC004C" w:rsidR="00B93E71" w:rsidRPr="0055435C" w:rsidRDefault="00B62EF4" w:rsidP="00AB7918">
      <w:pPr>
        <w:spacing w:line="480" w:lineRule="auto"/>
        <w:rPr>
          <w:lang w:val="en-US"/>
        </w:rPr>
      </w:pPr>
      <w:r w:rsidRPr="0055435C">
        <w:rPr>
          <w:lang w:val="en-US"/>
        </w:rPr>
        <w:t xml:space="preserve">The only association that maintained after adjustment for body size at old age was between growth in height between 7 and 11 years of age and spinal bone area. </w:t>
      </w:r>
      <w:r w:rsidR="00B93E71" w:rsidRPr="0055435C">
        <w:rPr>
          <w:lang w:val="en-US"/>
        </w:rPr>
        <w:t>The potential mechanisms underlying the observed associa</w:t>
      </w:r>
      <w:r w:rsidRPr="0055435C">
        <w:rPr>
          <w:lang w:val="en-US"/>
        </w:rPr>
        <w:t xml:space="preserve">tion </w:t>
      </w:r>
      <w:r w:rsidR="00B93E71" w:rsidRPr="0055435C">
        <w:rPr>
          <w:lang w:val="en-US"/>
        </w:rPr>
        <w:t>may include nutrition</w:t>
      </w:r>
      <w:r w:rsidR="00CD0A44" w:rsidRPr="0055435C">
        <w:rPr>
          <w:lang w:val="en-US"/>
        </w:rPr>
        <w:t xml:space="preserve"> as</w:t>
      </w:r>
      <w:r w:rsidRPr="0055435C">
        <w:rPr>
          <w:lang w:val="en-US"/>
        </w:rPr>
        <w:t xml:space="preserve"> </w:t>
      </w:r>
      <w:r w:rsidR="00B93E71" w:rsidRPr="0055435C">
        <w:rPr>
          <w:lang w:val="en-US"/>
        </w:rPr>
        <w:t xml:space="preserve">development of height is an indicator of nutritional status </w:t>
      </w:r>
      <w:r w:rsidR="00B93E71" w:rsidRPr="0055435C">
        <w:rPr>
          <w:lang w:val="en-US"/>
        </w:rPr>
        <w:fldChar w:fldCharType="begin"/>
      </w:r>
      <w:r w:rsidR="00B93E71" w:rsidRPr="0055435C">
        <w:rPr>
          <w:lang w:val="en-US"/>
        </w:rPr>
        <w:instrText>ADDIN RW.CITE{{776 Angell-Andersen,E 2004}}</w:instrText>
      </w:r>
      <w:r w:rsidR="00B93E71" w:rsidRPr="0055435C">
        <w:rPr>
          <w:lang w:val="en-US"/>
        </w:rPr>
        <w:fldChar w:fldCharType="separate"/>
      </w:r>
      <w:r w:rsidR="009268CD" w:rsidRPr="0055435C">
        <w:rPr>
          <w:lang w:val="en-US"/>
        </w:rPr>
        <w:t>[20]</w:t>
      </w:r>
      <w:r w:rsidR="00B93E71" w:rsidRPr="0055435C">
        <w:rPr>
          <w:lang w:val="en-US"/>
        </w:rPr>
        <w:fldChar w:fldCharType="end"/>
      </w:r>
      <w:r w:rsidR="00B93E71" w:rsidRPr="0055435C">
        <w:rPr>
          <w:lang w:val="en-US"/>
        </w:rPr>
        <w:t xml:space="preserve">. As the participants were born just before or during the World War II, which was followed by continuation of rationing of food in Finland, at least part of the women have likely had poor nutritional status leading slow growth </w:t>
      </w:r>
      <w:r w:rsidR="00B93E71" w:rsidRPr="0055435C">
        <w:rPr>
          <w:lang w:val="en-US"/>
        </w:rPr>
        <w:fldChar w:fldCharType="begin"/>
      </w:r>
      <w:r w:rsidR="00B93E71" w:rsidRPr="0055435C">
        <w:rPr>
          <w:lang w:val="en-US"/>
        </w:rPr>
        <w:instrText>ADDIN RW.CITE{{776 Angell-Andersen,E 2004}}</w:instrText>
      </w:r>
      <w:r w:rsidR="00B93E71" w:rsidRPr="0055435C">
        <w:rPr>
          <w:lang w:val="en-US"/>
        </w:rPr>
        <w:fldChar w:fldCharType="separate"/>
      </w:r>
      <w:r w:rsidR="009268CD" w:rsidRPr="0055435C">
        <w:rPr>
          <w:lang w:val="en-US"/>
        </w:rPr>
        <w:t>[20]</w:t>
      </w:r>
      <w:r w:rsidR="00B93E71" w:rsidRPr="0055435C">
        <w:rPr>
          <w:lang w:val="en-US"/>
        </w:rPr>
        <w:fldChar w:fldCharType="end"/>
      </w:r>
      <w:r w:rsidR="00B93E71" w:rsidRPr="0055435C">
        <w:rPr>
          <w:lang w:val="en-US"/>
        </w:rPr>
        <w:t xml:space="preserve"> and deficiency of nutrients important for bone development.</w:t>
      </w:r>
      <w:r w:rsidR="007B173B" w:rsidRPr="0055435C">
        <w:rPr>
          <w:lang w:val="en-US"/>
        </w:rPr>
        <w:t xml:space="preserve"> </w:t>
      </w:r>
      <w:r w:rsidR="00B93E71" w:rsidRPr="0055435C">
        <w:rPr>
          <w:lang w:val="en-US"/>
        </w:rPr>
        <w:t xml:space="preserve">It is also possible that early </w:t>
      </w:r>
      <w:r w:rsidR="00B93E71" w:rsidRPr="0055435C">
        <w:rPr>
          <w:lang w:val="en-US"/>
        </w:rPr>
        <w:lastRenderedPageBreak/>
        <w:t xml:space="preserve">growth and mineral accumulation share genetic background which could explain the </w:t>
      </w:r>
      <w:r w:rsidRPr="0055435C">
        <w:rPr>
          <w:lang w:val="en-US"/>
        </w:rPr>
        <w:t>observed association</w:t>
      </w:r>
      <w:r w:rsidR="00B93E71" w:rsidRPr="0055435C">
        <w:rPr>
          <w:lang w:val="en-US"/>
        </w:rPr>
        <w:t>.</w:t>
      </w:r>
    </w:p>
    <w:p w14:paraId="02271C94" w14:textId="77777777" w:rsidR="007B173B" w:rsidRPr="0055435C" w:rsidRDefault="007B173B" w:rsidP="00AB7918">
      <w:pPr>
        <w:spacing w:line="480" w:lineRule="auto"/>
        <w:rPr>
          <w:lang w:val="en-US"/>
        </w:rPr>
      </w:pPr>
    </w:p>
    <w:p w14:paraId="6D7DE4D9" w14:textId="0C961BAD" w:rsidR="00EA5BD1" w:rsidRPr="0055435C" w:rsidRDefault="0028288B" w:rsidP="00AB7918">
      <w:pPr>
        <w:spacing w:line="480" w:lineRule="auto"/>
        <w:rPr>
          <w:lang w:val="en-US"/>
        </w:rPr>
      </w:pPr>
      <w:r w:rsidRPr="0055435C">
        <w:rPr>
          <w:lang w:val="en-US"/>
        </w:rPr>
        <w:t>A strength</w:t>
      </w:r>
      <w:r w:rsidR="00DB6287" w:rsidRPr="0055435C">
        <w:rPr>
          <w:lang w:val="en-US"/>
        </w:rPr>
        <w:t xml:space="preserve"> </w:t>
      </w:r>
      <w:r w:rsidR="00B16039" w:rsidRPr="0055435C">
        <w:rPr>
          <w:lang w:val="en-US"/>
        </w:rPr>
        <w:t xml:space="preserve">of </w:t>
      </w:r>
      <w:r w:rsidR="00DB6287" w:rsidRPr="0055435C">
        <w:rPr>
          <w:lang w:val="en-US"/>
        </w:rPr>
        <w:t>our study</w:t>
      </w:r>
      <w:r w:rsidRPr="0055435C">
        <w:rPr>
          <w:lang w:val="en-US"/>
        </w:rPr>
        <w:t xml:space="preserve"> was</w:t>
      </w:r>
      <w:r w:rsidR="00145322" w:rsidRPr="0055435C">
        <w:rPr>
          <w:lang w:val="en-US"/>
        </w:rPr>
        <w:t xml:space="preserve"> that we were able to</w:t>
      </w:r>
      <w:r w:rsidR="00DB6287" w:rsidRPr="0055435C">
        <w:rPr>
          <w:lang w:val="en-US"/>
        </w:rPr>
        <w:t xml:space="preserve"> </w:t>
      </w:r>
      <w:r w:rsidR="00882640" w:rsidRPr="0055435C">
        <w:rPr>
          <w:lang w:val="en-US"/>
        </w:rPr>
        <w:t xml:space="preserve">link </w:t>
      </w:r>
      <w:r w:rsidR="00DB6287" w:rsidRPr="0055435C">
        <w:rPr>
          <w:lang w:val="en-US"/>
        </w:rPr>
        <w:t>multiple measurements of childhood</w:t>
      </w:r>
      <w:r w:rsidR="00040F34" w:rsidRPr="0055435C">
        <w:rPr>
          <w:lang w:val="en-US"/>
        </w:rPr>
        <w:t xml:space="preserve"> growth</w:t>
      </w:r>
      <w:r w:rsidR="00882640" w:rsidRPr="0055435C">
        <w:rPr>
          <w:lang w:val="en-US"/>
        </w:rPr>
        <w:t>, not just birth weight,</w:t>
      </w:r>
      <w:r w:rsidR="00DB6287" w:rsidRPr="0055435C">
        <w:rPr>
          <w:lang w:val="en-US"/>
        </w:rPr>
        <w:t xml:space="preserve"> </w:t>
      </w:r>
      <w:r w:rsidR="00882640" w:rsidRPr="0055435C">
        <w:rPr>
          <w:lang w:val="en-US"/>
        </w:rPr>
        <w:t xml:space="preserve">to </w:t>
      </w:r>
      <w:r w:rsidR="00DB6287" w:rsidRPr="0055435C">
        <w:rPr>
          <w:lang w:val="en-US"/>
        </w:rPr>
        <w:t xml:space="preserve">bone measurements performed in </w:t>
      </w:r>
      <w:r w:rsidR="009E330D" w:rsidRPr="0055435C">
        <w:rPr>
          <w:lang w:val="en-US"/>
        </w:rPr>
        <w:t>early old age</w:t>
      </w:r>
      <w:r w:rsidR="00DB6287" w:rsidRPr="0055435C">
        <w:rPr>
          <w:lang w:val="en-US"/>
        </w:rPr>
        <w:t>.</w:t>
      </w:r>
      <w:r w:rsidR="00F25BA3" w:rsidRPr="0055435C">
        <w:rPr>
          <w:lang w:val="en-US"/>
        </w:rPr>
        <w:t xml:space="preserve"> </w:t>
      </w:r>
      <w:r w:rsidR="005834F9" w:rsidRPr="0055435C">
        <w:rPr>
          <w:lang w:val="en-US"/>
        </w:rPr>
        <w:t xml:space="preserve">Childhood measurements included </w:t>
      </w:r>
      <w:r w:rsidR="00074236" w:rsidRPr="0055435C">
        <w:rPr>
          <w:lang w:val="en-US"/>
        </w:rPr>
        <w:t>birth length, w</w:t>
      </w:r>
      <w:r w:rsidR="00CA3813" w:rsidRPr="0055435C">
        <w:rPr>
          <w:lang w:val="en-US"/>
        </w:rPr>
        <w:t>hich</w:t>
      </w:r>
      <w:r w:rsidR="00074236" w:rsidRPr="0055435C">
        <w:rPr>
          <w:lang w:val="en-US"/>
        </w:rPr>
        <w:t xml:space="preserve"> has</w:t>
      </w:r>
      <w:r w:rsidR="00CA3813" w:rsidRPr="0055435C">
        <w:rPr>
          <w:lang w:val="en-US"/>
        </w:rPr>
        <w:t xml:space="preserve"> not, to our knowledge, been reported in </w:t>
      </w:r>
      <w:r w:rsidR="00040F34" w:rsidRPr="0055435C">
        <w:rPr>
          <w:lang w:val="en-US"/>
        </w:rPr>
        <w:t xml:space="preserve">the few </w:t>
      </w:r>
      <w:r w:rsidR="00CA3813" w:rsidRPr="0055435C">
        <w:rPr>
          <w:lang w:val="en-US"/>
        </w:rPr>
        <w:t>previous studies</w:t>
      </w:r>
      <w:r w:rsidR="00040F34" w:rsidRPr="0055435C">
        <w:rPr>
          <w:lang w:val="en-US"/>
        </w:rPr>
        <w:t xml:space="preserve"> on this topic</w:t>
      </w:r>
      <w:r w:rsidR="00CA3813" w:rsidRPr="0055435C">
        <w:rPr>
          <w:lang w:val="en-US"/>
        </w:rPr>
        <w:t xml:space="preserve">. </w:t>
      </w:r>
      <w:r w:rsidR="007A293F" w:rsidRPr="0055435C">
        <w:rPr>
          <w:lang w:val="en-US"/>
        </w:rPr>
        <w:t xml:space="preserve">We used sophisticated growth variables, i.e. conditional growth variables, which allowed estimation of associations without confounding from earlier body size. </w:t>
      </w:r>
      <w:r w:rsidR="007B173B" w:rsidRPr="0055435C">
        <w:rPr>
          <w:lang w:val="en-US"/>
        </w:rPr>
        <w:t>However, w</w:t>
      </w:r>
      <w:r w:rsidR="007A293F" w:rsidRPr="0055435C">
        <w:rPr>
          <w:lang w:val="en-US"/>
        </w:rPr>
        <w:t>e lacked growth data at puberty and hence, we cannot separate whether pubertal growth has an influence on bone properties</w:t>
      </w:r>
      <w:r w:rsidR="007B173B" w:rsidRPr="0055435C">
        <w:rPr>
          <w:lang w:val="en-US"/>
        </w:rPr>
        <w:t xml:space="preserve"> </w:t>
      </w:r>
      <w:r w:rsidR="007A293F" w:rsidRPr="0055435C">
        <w:rPr>
          <w:lang w:val="en-US"/>
        </w:rPr>
        <w:t xml:space="preserve">independent of adult body size. </w:t>
      </w:r>
      <w:r w:rsidR="00882640" w:rsidRPr="0055435C">
        <w:rPr>
          <w:lang w:val="en-US"/>
        </w:rPr>
        <w:t xml:space="preserve">Although the studied sample </w:t>
      </w:r>
      <w:r w:rsidR="00040F34" w:rsidRPr="0055435C">
        <w:rPr>
          <w:lang w:val="en-US"/>
        </w:rPr>
        <w:t xml:space="preserve">of women </w:t>
      </w:r>
      <w:r w:rsidR="00882640" w:rsidRPr="0055435C">
        <w:rPr>
          <w:lang w:val="en-US"/>
        </w:rPr>
        <w:t>was</w:t>
      </w:r>
      <w:r w:rsidR="00040F34" w:rsidRPr="0055435C">
        <w:rPr>
          <w:lang w:val="en-US"/>
        </w:rPr>
        <w:t xml:space="preserve"> part of the randomly selected clinical examination group</w:t>
      </w:r>
      <w:r w:rsidR="00882640" w:rsidRPr="0055435C">
        <w:rPr>
          <w:lang w:val="en-US"/>
        </w:rPr>
        <w:t xml:space="preserve">, </w:t>
      </w:r>
      <w:r w:rsidR="00E276EC" w:rsidRPr="0055435C">
        <w:rPr>
          <w:lang w:val="en-US"/>
        </w:rPr>
        <w:t xml:space="preserve">it was a convenience sample </w:t>
      </w:r>
      <w:r w:rsidR="009476A1" w:rsidRPr="0055435C">
        <w:rPr>
          <w:lang w:val="en-US"/>
        </w:rPr>
        <w:t xml:space="preserve">including only Caucasian women </w:t>
      </w:r>
      <w:r w:rsidR="00E276EC" w:rsidRPr="0055435C">
        <w:rPr>
          <w:lang w:val="en-US"/>
        </w:rPr>
        <w:t xml:space="preserve">and </w:t>
      </w:r>
      <w:r w:rsidR="00882640" w:rsidRPr="0055435C">
        <w:rPr>
          <w:lang w:val="en-US"/>
        </w:rPr>
        <w:t xml:space="preserve">the number of participants </w:t>
      </w:r>
      <w:r w:rsidR="00E276EC" w:rsidRPr="0055435C">
        <w:rPr>
          <w:lang w:val="en-US"/>
        </w:rPr>
        <w:t>was relatively small</w:t>
      </w:r>
      <w:r w:rsidR="00882640" w:rsidRPr="0055435C">
        <w:rPr>
          <w:lang w:val="en-US"/>
        </w:rPr>
        <w:t xml:space="preserve">. </w:t>
      </w:r>
      <w:r w:rsidR="00E276EC" w:rsidRPr="0055435C">
        <w:rPr>
          <w:lang w:val="en-US"/>
        </w:rPr>
        <w:t xml:space="preserve">According to their aBMD z-scores, they had better bone health than women of their age on average. Thus the results may not be generalizable to the whole population of </w:t>
      </w:r>
      <w:r w:rsidR="001B3AFD" w:rsidRPr="0055435C">
        <w:rPr>
          <w:lang w:val="en-US"/>
        </w:rPr>
        <w:t xml:space="preserve">Caucasian </w:t>
      </w:r>
      <w:r w:rsidR="00E276EC" w:rsidRPr="0055435C">
        <w:rPr>
          <w:lang w:val="en-US"/>
        </w:rPr>
        <w:t>older women.</w:t>
      </w:r>
      <w:r w:rsidR="00DB6287" w:rsidRPr="0055435C">
        <w:rPr>
          <w:lang w:val="en-US"/>
        </w:rPr>
        <w:t xml:space="preserve"> </w:t>
      </w:r>
      <w:r w:rsidR="008234F0" w:rsidRPr="0055435C">
        <w:rPr>
          <w:lang w:val="en-US"/>
        </w:rPr>
        <w:t xml:space="preserve">Use of DXA </w:t>
      </w:r>
      <w:r w:rsidR="00EA5343" w:rsidRPr="0055435C">
        <w:rPr>
          <w:lang w:val="en-US"/>
        </w:rPr>
        <w:t xml:space="preserve">is a limitation because true cross-sectional geometry cannot be determined using DXA. Although bone mass is </w:t>
      </w:r>
      <w:r w:rsidR="007933E7" w:rsidRPr="0055435C">
        <w:rPr>
          <w:lang w:val="en-US"/>
        </w:rPr>
        <w:t xml:space="preserve">a predictor of bone strength </w:t>
      </w:r>
      <w:r w:rsidR="00EA5343" w:rsidRPr="0055435C">
        <w:rPr>
          <w:lang w:val="en-US"/>
        </w:rPr>
        <w:t>bone strength is also dependent on cross-sectional bone geometry</w:t>
      </w:r>
      <w:r w:rsidR="00A222E9" w:rsidRPr="0055435C">
        <w:rPr>
          <w:lang w:val="en-US"/>
        </w:rPr>
        <w:t xml:space="preserve"> </w:t>
      </w:r>
      <w:r w:rsidR="00A222E9" w:rsidRPr="0055435C">
        <w:rPr>
          <w:lang w:val="en-US"/>
        </w:rPr>
        <w:fldChar w:fldCharType="begin"/>
      </w:r>
      <w:r w:rsidR="00A222E9" w:rsidRPr="0055435C">
        <w:rPr>
          <w:lang w:val="en-US"/>
        </w:rPr>
        <w:instrText>ADDIN RW.CITE{{795 Pottecher,Pierre 2016}}</w:instrText>
      </w:r>
      <w:r w:rsidR="00A222E9" w:rsidRPr="0055435C">
        <w:rPr>
          <w:lang w:val="en-US"/>
        </w:rPr>
        <w:fldChar w:fldCharType="separate"/>
      </w:r>
      <w:r w:rsidR="00A222E9" w:rsidRPr="0055435C">
        <w:rPr>
          <w:lang w:val="en-US"/>
        </w:rPr>
        <w:t>[21]</w:t>
      </w:r>
      <w:r w:rsidR="00A222E9" w:rsidRPr="0055435C">
        <w:rPr>
          <w:lang w:val="en-US"/>
        </w:rPr>
        <w:fldChar w:fldCharType="end"/>
      </w:r>
      <w:r w:rsidR="007933E7" w:rsidRPr="0055435C">
        <w:rPr>
          <w:lang w:val="en-US"/>
        </w:rPr>
        <w:t>,</w:t>
      </w:r>
      <w:r w:rsidR="00EA5343" w:rsidRPr="0055435C">
        <w:rPr>
          <w:lang w:val="en-US"/>
        </w:rPr>
        <w:t xml:space="preserve"> which we could not determine in the present study.</w:t>
      </w:r>
    </w:p>
    <w:p w14:paraId="11C15BCF" w14:textId="77777777" w:rsidR="00E20D1E" w:rsidRPr="0055435C" w:rsidRDefault="00E20D1E" w:rsidP="00AB7918">
      <w:pPr>
        <w:spacing w:line="480" w:lineRule="auto"/>
        <w:rPr>
          <w:lang w:val="en-US"/>
        </w:rPr>
      </w:pPr>
    </w:p>
    <w:p w14:paraId="3C8EB127" w14:textId="5DBEBA72" w:rsidR="00DF51EE" w:rsidRPr="0055435C" w:rsidRDefault="00CD0A44" w:rsidP="00AB7918">
      <w:pPr>
        <w:spacing w:line="480" w:lineRule="auto"/>
        <w:rPr>
          <w:lang w:val="en-US"/>
        </w:rPr>
      </w:pPr>
      <w:r w:rsidRPr="0055435C">
        <w:rPr>
          <w:lang w:val="en-US"/>
        </w:rPr>
        <w:t>An</w:t>
      </w:r>
      <w:r w:rsidR="00DF51EE" w:rsidRPr="0055435C">
        <w:rPr>
          <w:lang w:val="en-US"/>
        </w:rPr>
        <w:t xml:space="preserve"> implication from these results would be that ensuring </w:t>
      </w:r>
      <w:r w:rsidR="00AB7918" w:rsidRPr="0055435C">
        <w:rPr>
          <w:lang w:val="en-US"/>
        </w:rPr>
        <w:t>optimal</w:t>
      </w:r>
      <w:r w:rsidR="00DF51EE" w:rsidRPr="0055435C">
        <w:rPr>
          <w:lang w:val="en-US"/>
        </w:rPr>
        <w:t xml:space="preserve"> growth in height </w:t>
      </w:r>
      <w:r w:rsidR="000F2784" w:rsidRPr="0055435C">
        <w:rPr>
          <w:lang w:val="en-US"/>
        </w:rPr>
        <w:t>in girls</w:t>
      </w:r>
      <w:r w:rsidR="00DF51EE" w:rsidRPr="0055435C">
        <w:rPr>
          <w:lang w:val="en-US"/>
        </w:rPr>
        <w:t xml:space="preserve"> is important for obtaining</w:t>
      </w:r>
      <w:r w:rsidR="00A222E9" w:rsidRPr="0055435C">
        <w:rPr>
          <w:lang w:val="en-US"/>
        </w:rPr>
        <w:t xml:space="preserve"> </w:t>
      </w:r>
      <w:r w:rsidR="006E5893" w:rsidRPr="0055435C">
        <w:rPr>
          <w:lang w:val="en-US"/>
        </w:rPr>
        <w:t>greater</w:t>
      </w:r>
      <w:r w:rsidR="00A222E9" w:rsidRPr="0055435C">
        <w:rPr>
          <w:lang w:val="en-US"/>
        </w:rPr>
        <w:t xml:space="preserve"> adult height, which translates into</w:t>
      </w:r>
      <w:r w:rsidR="00DF51EE" w:rsidRPr="0055435C">
        <w:rPr>
          <w:lang w:val="en-US"/>
        </w:rPr>
        <w:t xml:space="preserve"> large</w:t>
      </w:r>
      <w:r w:rsidRPr="0055435C">
        <w:rPr>
          <w:lang w:val="en-US"/>
        </w:rPr>
        <w:t>r</w:t>
      </w:r>
      <w:r w:rsidR="00DF51EE" w:rsidRPr="0055435C">
        <w:rPr>
          <w:lang w:val="en-US"/>
        </w:rPr>
        <w:t xml:space="preserve"> skeleton and high</w:t>
      </w:r>
      <w:r w:rsidRPr="0055435C">
        <w:rPr>
          <w:lang w:val="en-US"/>
        </w:rPr>
        <w:t xml:space="preserve">er </w:t>
      </w:r>
      <w:r w:rsidR="00DF51EE" w:rsidRPr="0055435C">
        <w:rPr>
          <w:lang w:val="en-US"/>
        </w:rPr>
        <w:t>bone mass and consequently</w:t>
      </w:r>
      <w:r w:rsidR="009476A1" w:rsidRPr="0055435C">
        <w:rPr>
          <w:lang w:val="en-US"/>
        </w:rPr>
        <w:t>,</w:t>
      </w:r>
      <w:r w:rsidR="00DF51EE" w:rsidRPr="0055435C">
        <w:rPr>
          <w:lang w:val="en-US"/>
        </w:rPr>
        <w:t xml:space="preserve"> fracture risk may be reduced. </w:t>
      </w:r>
      <w:r w:rsidR="00AB7918" w:rsidRPr="0055435C">
        <w:rPr>
          <w:lang w:val="en-US"/>
        </w:rPr>
        <w:t>However, w</w:t>
      </w:r>
      <w:r w:rsidRPr="0055435C">
        <w:rPr>
          <w:lang w:val="en-US"/>
        </w:rPr>
        <w:t>hen</w:t>
      </w:r>
      <w:r w:rsidR="00E07634" w:rsidRPr="0055435C">
        <w:rPr>
          <w:lang w:val="en-US"/>
        </w:rPr>
        <w:t xml:space="preserve"> predict</w:t>
      </w:r>
      <w:r w:rsidRPr="0055435C">
        <w:rPr>
          <w:lang w:val="en-US"/>
        </w:rPr>
        <w:t>ing bone mineral mass</w:t>
      </w:r>
      <w:r w:rsidR="00E07634" w:rsidRPr="0055435C">
        <w:rPr>
          <w:lang w:val="en-US"/>
        </w:rPr>
        <w:t xml:space="preserve"> </w:t>
      </w:r>
      <w:r w:rsidR="000F2784" w:rsidRPr="0055435C">
        <w:rPr>
          <w:lang w:val="en-US"/>
        </w:rPr>
        <w:t xml:space="preserve">among women </w:t>
      </w:r>
      <w:r w:rsidR="00E07634" w:rsidRPr="0055435C">
        <w:rPr>
          <w:lang w:val="en-US"/>
        </w:rPr>
        <w:t xml:space="preserve">in early old age based on height and weight </w:t>
      </w:r>
      <w:r w:rsidRPr="0055435C">
        <w:rPr>
          <w:lang w:val="en-US"/>
        </w:rPr>
        <w:t>development</w:t>
      </w:r>
      <w:r w:rsidR="00E07634" w:rsidRPr="0055435C">
        <w:rPr>
          <w:lang w:val="en-US"/>
        </w:rPr>
        <w:t xml:space="preserve">, </w:t>
      </w:r>
      <w:r w:rsidR="00E07634" w:rsidRPr="0055435C">
        <w:rPr>
          <w:lang w:val="en-US"/>
        </w:rPr>
        <w:lastRenderedPageBreak/>
        <w:t>current height and weight are sufficient and information on childhood growth before the age of 11 does not improve prediction.</w:t>
      </w:r>
    </w:p>
    <w:p w14:paraId="04F59848" w14:textId="77777777" w:rsidR="00A25962" w:rsidRPr="0055435C" w:rsidRDefault="00A25962" w:rsidP="00A222E9">
      <w:pPr>
        <w:pStyle w:val="Heading1"/>
        <w:spacing w:line="480" w:lineRule="auto"/>
        <w:rPr>
          <w:color w:val="auto"/>
          <w:lang w:val="en-US"/>
        </w:rPr>
      </w:pPr>
      <w:r w:rsidRPr="0055435C">
        <w:rPr>
          <w:color w:val="auto"/>
          <w:lang w:val="en-US"/>
        </w:rPr>
        <w:t>references</w:t>
      </w:r>
    </w:p>
    <w:p w14:paraId="5882C282" w14:textId="0875A95C" w:rsidR="00A222E9" w:rsidRPr="0055435C" w:rsidRDefault="00A25962" w:rsidP="00A222E9">
      <w:pPr>
        <w:pStyle w:val="NormalWeb"/>
        <w:spacing w:line="480" w:lineRule="auto"/>
        <w:jc w:val="center"/>
      </w:pPr>
      <w:r w:rsidRPr="0055435C">
        <w:fldChar w:fldCharType="begin"/>
      </w:r>
      <w:r w:rsidR="00A222E9" w:rsidRPr="0055435C">
        <w:instrText>ADDIN RW.BIB</w:instrText>
      </w:r>
      <w:r w:rsidRPr="0055435C">
        <w:fldChar w:fldCharType="separate"/>
      </w:r>
    </w:p>
    <w:p w14:paraId="2B6CC7B9" w14:textId="77777777" w:rsidR="00A222E9" w:rsidRPr="0055435C" w:rsidRDefault="00A222E9" w:rsidP="00A222E9">
      <w:pPr>
        <w:pStyle w:val="NormalWeb"/>
        <w:spacing w:line="480" w:lineRule="auto"/>
      </w:pPr>
      <w:r w:rsidRPr="0055435C">
        <w:t>1. Kuh D, Wills AK, Shah I, Prentice A, Hardy R, Adams JE, Ward K, Cooper C (2014) Growth from birth to adulthood and bone phenotype in early old age: a British birth cohort study. Journal of Bone and Mineral Research 29:123-33</w:t>
      </w:r>
    </w:p>
    <w:p w14:paraId="0736DD86" w14:textId="77777777" w:rsidR="00A222E9" w:rsidRPr="0055435C" w:rsidRDefault="00A222E9" w:rsidP="00A222E9">
      <w:pPr>
        <w:pStyle w:val="NormalWeb"/>
        <w:spacing w:line="480" w:lineRule="auto"/>
      </w:pPr>
      <w:r w:rsidRPr="0055435C">
        <w:t>2. Javaid MK, Prieto‐Alhambra D, Lui L, Cawthon P, Arden NK, Lang T, Lane NE, Orwoll E, Barrett‐Conner E, Nevitt MC (2011) Self‐reported weight at birth predicts measures of femoral size but not volumetric BMD in eldery men: MrOS. Journal of Bone and Mineral Research 26:1802-7</w:t>
      </w:r>
    </w:p>
    <w:p w14:paraId="5EDD24EF" w14:textId="77777777" w:rsidR="00A222E9" w:rsidRPr="0055435C" w:rsidRDefault="00A222E9" w:rsidP="00A222E9">
      <w:pPr>
        <w:pStyle w:val="NormalWeb"/>
        <w:spacing w:line="480" w:lineRule="auto"/>
      </w:pPr>
      <w:r w:rsidRPr="0055435C">
        <w:t>3. Byberg L, Michaëlsson K, Goodman A, Zethelius B, Koupil I (2014) Birth weight is not associated with risk of fracture: results from two Swedish cohort studies. Journal of Bone and Mineral Research 29:2152-60</w:t>
      </w:r>
    </w:p>
    <w:p w14:paraId="64DEDB0F" w14:textId="77777777" w:rsidR="00A222E9" w:rsidRPr="0055435C" w:rsidRDefault="00A222E9" w:rsidP="00A222E9">
      <w:pPr>
        <w:pStyle w:val="NormalWeb"/>
        <w:spacing w:line="480" w:lineRule="auto"/>
      </w:pPr>
      <w:r w:rsidRPr="0055435C">
        <w:t>4. Baird J, Kurshid MA, Kim M, Harvey N, Dennison E, Cooper C (2011) Does birthweight predict bone mass in adulthood? A systematic review and meta-analysis. Osteoporos Int 22:1323-34</w:t>
      </w:r>
    </w:p>
    <w:p w14:paraId="5486C06A" w14:textId="77777777" w:rsidR="00A222E9" w:rsidRPr="0055435C" w:rsidRDefault="00A222E9" w:rsidP="00A222E9">
      <w:pPr>
        <w:pStyle w:val="NormalWeb"/>
        <w:spacing w:line="480" w:lineRule="auto"/>
      </w:pPr>
      <w:r w:rsidRPr="0055435C">
        <w:t>5. Wang Q, Alén M, Lyytikäinen A, Xu L, Tylavsky FA, Kujala UM, Kröger H, Seeman E, Cheng S (2010) Familial resemblance and diversity in bone mass and strength in the population are established during the first year of postnatal life. Journal of Bone and Mineral Research 25:1512-20</w:t>
      </w:r>
    </w:p>
    <w:p w14:paraId="509086E9" w14:textId="77777777" w:rsidR="00A222E9" w:rsidRPr="0055435C" w:rsidRDefault="00A222E9" w:rsidP="00A222E9">
      <w:pPr>
        <w:pStyle w:val="NormalWeb"/>
        <w:spacing w:line="480" w:lineRule="auto"/>
      </w:pPr>
      <w:r w:rsidRPr="0055435C">
        <w:lastRenderedPageBreak/>
        <w:t>6. Cooper C, Eriksson J, Forsen T, Osmond C, Tuomilehto J, Barker D (2001) Maternal height, childhood growth and risk of hip fracture in later life: a longitudinal study. Osteoporosis Int 12:623-9</w:t>
      </w:r>
    </w:p>
    <w:p w14:paraId="539481C5" w14:textId="77777777" w:rsidR="00A222E9" w:rsidRPr="0055435C" w:rsidRDefault="00A222E9" w:rsidP="00A222E9">
      <w:pPr>
        <w:pStyle w:val="NormalWeb"/>
        <w:spacing w:line="480" w:lineRule="auto"/>
      </w:pPr>
      <w:r w:rsidRPr="0055435C">
        <w:t>7. Javaid M, Eriksson J, Kajantie E, Forsen T, Osmond C, Barker D, Cooper C (2011) Growth in childhood predicts hip fracture risk in later life. Osteoporosis Int 22:69-73</w:t>
      </w:r>
    </w:p>
    <w:p w14:paraId="03433657" w14:textId="77777777" w:rsidR="00A222E9" w:rsidRPr="0055435C" w:rsidRDefault="00A222E9" w:rsidP="00A222E9">
      <w:pPr>
        <w:pStyle w:val="NormalWeb"/>
        <w:spacing w:line="480" w:lineRule="auto"/>
      </w:pPr>
      <w:r w:rsidRPr="0055435C">
        <w:t>8. Osmond C, Kajantie E, Forsen TJ, Eriksson JG, Barker DJ (2007) Infant growth and stroke in adult life: the Helsinki birth cohort study. Stroke 38:264-70</w:t>
      </w:r>
    </w:p>
    <w:p w14:paraId="44885DEE" w14:textId="77777777" w:rsidR="00A222E9" w:rsidRPr="0055435C" w:rsidRDefault="00A222E9" w:rsidP="00A222E9">
      <w:pPr>
        <w:pStyle w:val="NormalWeb"/>
        <w:spacing w:line="480" w:lineRule="auto"/>
      </w:pPr>
      <w:r w:rsidRPr="0055435C">
        <w:t>9. Eriksson JG, Forsen T, Tuomilehto J, Winter PD, Osmond C, Barker DJ (1999) Catch-up growth in childhood and death from coronary heart disease: longitudinal study. BMJ 318:427-31</w:t>
      </w:r>
    </w:p>
    <w:p w14:paraId="3E884164" w14:textId="77777777" w:rsidR="00A222E9" w:rsidRPr="0055435C" w:rsidRDefault="00A222E9" w:rsidP="00A222E9">
      <w:pPr>
        <w:pStyle w:val="NormalWeb"/>
        <w:spacing w:line="480" w:lineRule="auto"/>
      </w:pPr>
      <w:r w:rsidRPr="0055435C">
        <w:t>10. Central Statistical Office of Finland (1989) Classification of socioeconomic groups: Handbooks 17. Central Statistical Office of Finland, Helsinki, Finland.</w:t>
      </w:r>
    </w:p>
    <w:p w14:paraId="0C416037" w14:textId="77777777" w:rsidR="00A222E9" w:rsidRPr="0055435C" w:rsidRDefault="00A222E9" w:rsidP="00A222E9">
      <w:pPr>
        <w:pStyle w:val="NormalWeb"/>
        <w:spacing w:line="480" w:lineRule="auto"/>
      </w:pPr>
      <w:r w:rsidRPr="0055435C">
        <w:t>11. Adair LS, Fall CH, Osmond C, Stein AD, Martorell R, Ramirez-Zea M, Sachdev HS, Dahly DL, Bas I, Norris SA (2013) Associations of linear growth and relative weight gain during early life with adult health and human capital in countries of low and middle income: findings from five birth cohort studies. The Lancet 382:525-34</w:t>
      </w:r>
    </w:p>
    <w:p w14:paraId="4314CB03" w14:textId="77777777" w:rsidR="00A222E9" w:rsidRPr="0055435C" w:rsidRDefault="00A222E9" w:rsidP="00A222E9">
      <w:pPr>
        <w:pStyle w:val="NormalWeb"/>
        <w:spacing w:line="480" w:lineRule="auto"/>
      </w:pPr>
      <w:r w:rsidRPr="0055435C">
        <w:t>12. Keijzer-Veen MG, Euser AM, van Montfoort N, Dekker FW, Vandenbroucke JP, Van Houwelingen HC (2005) A regression model with unexplained residuals was preferred in the analysis of the fetal origins of adult diseases hypothesis. J Clin Epidemiol 58:1320-4</w:t>
      </w:r>
    </w:p>
    <w:p w14:paraId="0FBD124D" w14:textId="77777777" w:rsidR="00A222E9" w:rsidRPr="0055435C" w:rsidRDefault="00A222E9" w:rsidP="00A222E9">
      <w:pPr>
        <w:pStyle w:val="NormalWeb"/>
        <w:spacing w:line="480" w:lineRule="auto"/>
      </w:pPr>
      <w:r w:rsidRPr="0055435C">
        <w:t>13. Martinez-Mesa J, Restrepo-Méndez M, González D, Wehrmeister F, Horta B, Domingues M, Menezes A (2013) Life-course evidence of birth weight effects on bone mass: systematic review and meta-analysis. Osteoporosis Int 24:7-18</w:t>
      </w:r>
    </w:p>
    <w:p w14:paraId="6373D023" w14:textId="77777777" w:rsidR="00A222E9" w:rsidRPr="0055435C" w:rsidRDefault="00A222E9" w:rsidP="00A222E9">
      <w:pPr>
        <w:pStyle w:val="NormalWeb"/>
        <w:spacing w:line="480" w:lineRule="auto"/>
      </w:pPr>
      <w:r w:rsidRPr="0055435C">
        <w:lastRenderedPageBreak/>
        <w:t>14. Dennison EM, Syddall HE, Sayer AA, Gilbody HJ, Cooper C (2005) Birth weight and weight at 1 year are independent determinants of bone mass in the seventh decade: the Hertfordshire cohort study. Pediatr Res 57:582-6</w:t>
      </w:r>
    </w:p>
    <w:p w14:paraId="6D04C972" w14:textId="77777777" w:rsidR="00A222E9" w:rsidRPr="0055435C" w:rsidRDefault="00A222E9" w:rsidP="00A222E9">
      <w:pPr>
        <w:pStyle w:val="NormalWeb"/>
        <w:spacing w:line="480" w:lineRule="auto"/>
      </w:pPr>
      <w:r w:rsidRPr="0055435C">
        <w:t>15. Yarbrough D, Barrett-Connor E, Morton D (2000) Birth weight as a predictor of adult bone mass in postmenopausal women: the Rancho Bernardo Study. Osteoporosis Int 11:626-30</w:t>
      </w:r>
    </w:p>
    <w:p w14:paraId="6BB1087B" w14:textId="77777777" w:rsidR="00A222E9" w:rsidRPr="0055435C" w:rsidRDefault="00A222E9" w:rsidP="00A222E9">
      <w:pPr>
        <w:pStyle w:val="NormalWeb"/>
        <w:spacing w:line="480" w:lineRule="auto"/>
      </w:pPr>
      <w:r w:rsidRPr="0055435C">
        <w:t>16. Cooper C, Fall C, Egger P, Hobbs R, Eastell R, Barker D (1997) Growth in infancy and bone mass in later life. Ann Rheum Dis 56:17-21</w:t>
      </w:r>
    </w:p>
    <w:p w14:paraId="019F5072" w14:textId="77777777" w:rsidR="00A222E9" w:rsidRPr="0055435C" w:rsidRDefault="00A222E9" w:rsidP="00A222E9">
      <w:pPr>
        <w:pStyle w:val="NormalWeb"/>
        <w:spacing w:line="480" w:lineRule="auto"/>
      </w:pPr>
      <w:r w:rsidRPr="0055435C">
        <w:t>17. Tandon N, Fall C, Osmond C, Sachdev H, Prabhakaran D, Ramakrishnan L, Biswas SD, Ramji S, Khalil A, Gera T (2012) Growth from birth to adulthood and peak bone mass and density data from the New Delhi Birth Cohort. Osteoporosis Int 23:2447-59</w:t>
      </w:r>
    </w:p>
    <w:p w14:paraId="57DDDF55" w14:textId="77777777" w:rsidR="00A222E9" w:rsidRPr="0055435C" w:rsidRDefault="00A222E9" w:rsidP="00A222E9">
      <w:pPr>
        <w:pStyle w:val="NormalWeb"/>
        <w:spacing w:line="480" w:lineRule="auto"/>
      </w:pPr>
      <w:r w:rsidRPr="0055435C">
        <w:t>18. Wren TA, Kalkwarf HJ, Zemel BS, Lappe JM, Oberfield S, Shepherd JA, Winer KK, Gilsanz V, Bone Mineral Density in Childhood Study Group (2014) Longitudinal tracking of dual-energy X-ray absorptiometry bone measures over 6 years in children and adolescents: persistence of low bone mass to maturity. J Pediatr 164:1280,1285. e2</w:t>
      </w:r>
    </w:p>
    <w:p w14:paraId="75CDA960" w14:textId="77777777" w:rsidR="00A222E9" w:rsidRPr="0055435C" w:rsidRDefault="00A222E9" w:rsidP="00A222E9">
      <w:pPr>
        <w:pStyle w:val="NormalWeb"/>
        <w:spacing w:line="480" w:lineRule="auto"/>
      </w:pPr>
      <w:r w:rsidRPr="0055435C">
        <w:t>19. Schoenau E, Land C, Stabrey A, Remer T, Kroke A (2004) The bone mass concept: problems in short stature. Eur J Endocrinol 151 Suppl 1:S87-91</w:t>
      </w:r>
    </w:p>
    <w:p w14:paraId="6DE7C9F3" w14:textId="77777777" w:rsidR="00A222E9" w:rsidRPr="0055435C" w:rsidRDefault="00A222E9" w:rsidP="00A222E9">
      <w:pPr>
        <w:pStyle w:val="NormalWeb"/>
        <w:spacing w:line="480" w:lineRule="auto"/>
      </w:pPr>
      <w:r w:rsidRPr="0055435C">
        <w:t>20. Angell-Andersen E, Tretli S, Bjerknes R, Forsen T, Sørensen T, Eriksson J, Räsänen L, Grotmol T (2004) The association between nutritional conditions during World War II and childhood anthropometric variables in the Nordic countries. Ann Hum Biol 31:342-55</w:t>
      </w:r>
    </w:p>
    <w:p w14:paraId="703B55B4" w14:textId="77777777" w:rsidR="00A222E9" w:rsidRPr="0055435C" w:rsidRDefault="00A222E9" w:rsidP="00A222E9">
      <w:pPr>
        <w:pStyle w:val="NormalWeb"/>
        <w:spacing w:line="480" w:lineRule="auto"/>
      </w:pPr>
      <w:r w:rsidRPr="0055435C">
        <w:t xml:space="preserve">21. Pottecher P, Engelke K, Duchemin L, Museyko O, Moser T, Mitton D, Vicaut E, Adams J, Skalli W, Laredo JD (2016) Prediction of Hip Failure Load: In Vitro Study of 80 Femurs </w:t>
      </w:r>
      <w:r w:rsidRPr="0055435C">
        <w:lastRenderedPageBreak/>
        <w:t>Using Three Imaging Methods and Finite Element Models—The European Fracture Study (EFFECT). Radiology 280:837-47</w:t>
      </w:r>
    </w:p>
    <w:p w14:paraId="204A763F" w14:textId="7A4352E6" w:rsidR="00B80383" w:rsidRPr="0055435C" w:rsidRDefault="00A222E9" w:rsidP="00A222E9">
      <w:pPr>
        <w:spacing w:line="480" w:lineRule="auto"/>
        <w:rPr>
          <w:b/>
          <w:lang w:val="en-US"/>
        </w:rPr>
      </w:pPr>
      <w:r w:rsidRPr="0055435C">
        <w:rPr>
          <w:rFonts w:eastAsia="Times New Roman" w:cs="Times New Roman"/>
        </w:rPr>
        <w:t> </w:t>
      </w:r>
      <w:r w:rsidR="00A25962" w:rsidRPr="0055435C">
        <w:rPr>
          <w:lang w:val="en-US"/>
        </w:rPr>
        <w:fldChar w:fldCharType="end"/>
      </w:r>
      <w:r w:rsidR="00D22429" w:rsidRPr="0055435C">
        <w:rPr>
          <w:lang w:val="en-US"/>
        </w:rPr>
        <w:br w:type="page"/>
      </w:r>
      <w:r w:rsidR="00B80383" w:rsidRPr="0055435C">
        <w:rPr>
          <w:b/>
          <w:lang w:val="en-US"/>
        </w:rPr>
        <w:lastRenderedPageBreak/>
        <w:t>TABLES</w:t>
      </w:r>
    </w:p>
    <w:p w14:paraId="63A70548" w14:textId="77777777" w:rsidR="00B80383" w:rsidRPr="0055435C" w:rsidRDefault="00B80383" w:rsidP="00AB7918">
      <w:pPr>
        <w:rPr>
          <w:b/>
          <w:lang w:val="en-US"/>
        </w:rPr>
      </w:pPr>
    </w:p>
    <w:p w14:paraId="1982966A" w14:textId="77777777" w:rsidR="007438E6" w:rsidRPr="0055435C" w:rsidRDefault="001A614B" w:rsidP="00AB7918">
      <w:pPr>
        <w:rPr>
          <w:lang w:val="en-US"/>
        </w:rPr>
      </w:pPr>
      <w:r w:rsidRPr="0055435C">
        <w:rPr>
          <w:lang w:val="en-US"/>
        </w:rPr>
        <w:t xml:space="preserve">Table 1. </w:t>
      </w:r>
      <w:r w:rsidR="00006C02" w:rsidRPr="0055435C">
        <w:rPr>
          <w:lang w:val="en-US"/>
        </w:rPr>
        <w:t>Body size</w:t>
      </w:r>
      <w:r w:rsidRPr="0055435C">
        <w:rPr>
          <w:lang w:val="en-US"/>
        </w:rPr>
        <w:t xml:space="preserve"> and bone cha</w:t>
      </w:r>
      <w:r w:rsidR="00ED12C9" w:rsidRPr="0055435C">
        <w:rPr>
          <w:lang w:val="en-US"/>
        </w:rPr>
        <w:t xml:space="preserve">racteristics of the participating women </w:t>
      </w:r>
      <w:r w:rsidR="00006C02" w:rsidRPr="0055435C">
        <w:rPr>
          <w:lang w:val="en-US"/>
        </w:rPr>
        <w:t xml:space="preserve">(n=178), </w:t>
      </w:r>
      <w:r w:rsidRPr="0055435C">
        <w:rPr>
          <w:lang w:val="en-US"/>
        </w:rPr>
        <w:t>mean (SD).</w:t>
      </w:r>
    </w:p>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9"/>
        <w:gridCol w:w="716"/>
        <w:gridCol w:w="705"/>
        <w:gridCol w:w="705"/>
        <w:gridCol w:w="705"/>
        <w:gridCol w:w="705"/>
        <w:gridCol w:w="700"/>
        <w:gridCol w:w="672"/>
        <w:gridCol w:w="705"/>
        <w:gridCol w:w="705"/>
        <w:gridCol w:w="705"/>
      </w:tblGrid>
      <w:tr w:rsidR="003117FF" w:rsidRPr="0055435C" w14:paraId="4F8DBB07" w14:textId="68C40DE0" w:rsidTr="00AB7918">
        <w:trPr>
          <w:trHeight w:val="564"/>
        </w:trPr>
        <w:tc>
          <w:tcPr>
            <w:tcW w:w="2221" w:type="dxa"/>
            <w:tcBorders>
              <w:top w:val="single" w:sz="4" w:space="0" w:color="auto"/>
              <w:bottom w:val="single" w:sz="4" w:space="0" w:color="auto"/>
            </w:tcBorders>
            <w:noWrap/>
            <w:hideMark/>
          </w:tcPr>
          <w:p w14:paraId="41D132A1" w14:textId="77777777" w:rsidR="004B64C1" w:rsidRPr="0055435C" w:rsidRDefault="004B64C1" w:rsidP="00AB7918">
            <w:pPr>
              <w:spacing w:line="480" w:lineRule="auto"/>
              <w:rPr>
                <w:rFonts w:cs="Times New Roman"/>
                <w:sz w:val="20"/>
                <w:szCs w:val="20"/>
                <w:lang w:val="en-US"/>
              </w:rPr>
            </w:pPr>
          </w:p>
        </w:tc>
        <w:tc>
          <w:tcPr>
            <w:tcW w:w="1422" w:type="dxa"/>
            <w:gridSpan w:val="2"/>
            <w:tcBorders>
              <w:top w:val="single" w:sz="4" w:space="0" w:color="auto"/>
              <w:bottom w:val="single" w:sz="4" w:space="0" w:color="auto"/>
            </w:tcBorders>
            <w:noWrap/>
            <w:hideMark/>
          </w:tcPr>
          <w:p w14:paraId="0A5CD6A2" w14:textId="02165E4F" w:rsidR="004B64C1" w:rsidRPr="0055435C" w:rsidRDefault="004B64C1" w:rsidP="00AB7918">
            <w:pPr>
              <w:spacing w:line="480" w:lineRule="auto"/>
              <w:rPr>
                <w:rFonts w:cs="Times New Roman"/>
                <w:sz w:val="20"/>
                <w:szCs w:val="20"/>
              </w:rPr>
            </w:pPr>
            <w:r w:rsidRPr="0055435C">
              <w:rPr>
                <w:rFonts w:cs="Times New Roman"/>
                <w:sz w:val="20"/>
                <w:szCs w:val="20"/>
              </w:rPr>
              <w:t>Birth</w:t>
            </w:r>
          </w:p>
        </w:tc>
        <w:tc>
          <w:tcPr>
            <w:tcW w:w="1410" w:type="dxa"/>
            <w:gridSpan w:val="2"/>
            <w:tcBorders>
              <w:top w:val="single" w:sz="4" w:space="0" w:color="auto"/>
              <w:bottom w:val="single" w:sz="4" w:space="0" w:color="auto"/>
            </w:tcBorders>
            <w:noWrap/>
            <w:hideMark/>
          </w:tcPr>
          <w:p w14:paraId="19038C38" w14:textId="231FF555" w:rsidR="004B64C1" w:rsidRPr="0055435C" w:rsidRDefault="004B64C1" w:rsidP="00AB7918">
            <w:pPr>
              <w:spacing w:line="480" w:lineRule="auto"/>
              <w:rPr>
                <w:rFonts w:cs="Times New Roman"/>
                <w:sz w:val="20"/>
                <w:szCs w:val="20"/>
              </w:rPr>
            </w:pPr>
            <w:r w:rsidRPr="0055435C">
              <w:rPr>
                <w:rFonts w:cs="Times New Roman"/>
                <w:sz w:val="20"/>
                <w:szCs w:val="20"/>
              </w:rPr>
              <w:t>2 years</w:t>
            </w:r>
          </w:p>
        </w:tc>
        <w:tc>
          <w:tcPr>
            <w:tcW w:w="1402" w:type="dxa"/>
            <w:gridSpan w:val="2"/>
            <w:tcBorders>
              <w:top w:val="single" w:sz="4" w:space="0" w:color="auto"/>
              <w:bottom w:val="single" w:sz="4" w:space="0" w:color="auto"/>
            </w:tcBorders>
            <w:noWrap/>
            <w:hideMark/>
          </w:tcPr>
          <w:p w14:paraId="1A20F3A2" w14:textId="74B631F1" w:rsidR="004B64C1" w:rsidRPr="0055435C" w:rsidRDefault="004B64C1" w:rsidP="00AB7918">
            <w:pPr>
              <w:spacing w:line="480" w:lineRule="auto"/>
              <w:rPr>
                <w:rFonts w:cs="Times New Roman"/>
                <w:sz w:val="20"/>
                <w:szCs w:val="20"/>
              </w:rPr>
            </w:pPr>
            <w:r w:rsidRPr="0055435C">
              <w:rPr>
                <w:rFonts w:cs="Times New Roman"/>
                <w:sz w:val="20"/>
                <w:szCs w:val="20"/>
              </w:rPr>
              <w:t>7 years</w:t>
            </w:r>
          </w:p>
        </w:tc>
        <w:tc>
          <w:tcPr>
            <w:tcW w:w="1377" w:type="dxa"/>
            <w:gridSpan w:val="2"/>
            <w:tcBorders>
              <w:top w:val="single" w:sz="4" w:space="0" w:color="auto"/>
              <w:bottom w:val="single" w:sz="4" w:space="0" w:color="auto"/>
            </w:tcBorders>
            <w:noWrap/>
            <w:hideMark/>
          </w:tcPr>
          <w:p w14:paraId="25E06051" w14:textId="3A907A0F" w:rsidR="004B64C1" w:rsidRPr="0055435C" w:rsidRDefault="004B64C1" w:rsidP="00AB7918">
            <w:pPr>
              <w:spacing w:line="480" w:lineRule="auto"/>
              <w:rPr>
                <w:rFonts w:cs="Times New Roman"/>
                <w:sz w:val="20"/>
                <w:szCs w:val="20"/>
              </w:rPr>
            </w:pPr>
            <w:r w:rsidRPr="0055435C">
              <w:rPr>
                <w:rFonts w:cs="Times New Roman"/>
                <w:sz w:val="20"/>
                <w:szCs w:val="20"/>
              </w:rPr>
              <w:t>11 years</w:t>
            </w:r>
          </w:p>
        </w:tc>
        <w:tc>
          <w:tcPr>
            <w:tcW w:w="1410" w:type="dxa"/>
            <w:gridSpan w:val="2"/>
            <w:tcBorders>
              <w:top w:val="single" w:sz="4" w:space="0" w:color="auto"/>
              <w:bottom w:val="single" w:sz="4" w:space="0" w:color="auto"/>
            </w:tcBorders>
            <w:noWrap/>
            <w:hideMark/>
          </w:tcPr>
          <w:p w14:paraId="4455469B" w14:textId="0997AC9C" w:rsidR="004B64C1" w:rsidRPr="0055435C" w:rsidRDefault="004B64C1" w:rsidP="00AB7918">
            <w:pPr>
              <w:spacing w:line="480" w:lineRule="auto"/>
              <w:rPr>
                <w:rFonts w:cs="Times New Roman"/>
                <w:sz w:val="20"/>
                <w:szCs w:val="20"/>
              </w:rPr>
            </w:pPr>
            <w:r w:rsidRPr="0055435C">
              <w:rPr>
                <w:rFonts w:cs="Times New Roman"/>
                <w:sz w:val="20"/>
                <w:szCs w:val="20"/>
              </w:rPr>
              <w:t>Early old age</w:t>
            </w:r>
            <w:r w:rsidRPr="0055435C">
              <w:rPr>
                <w:rFonts w:cs="Times New Roman"/>
                <w:sz w:val="20"/>
                <w:szCs w:val="20"/>
                <w:vertAlign w:val="superscript"/>
              </w:rPr>
              <w:t>a</w:t>
            </w:r>
          </w:p>
        </w:tc>
      </w:tr>
      <w:tr w:rsidR="00EA336C" w:rsidRPr="0055435C" w14:paraId="5D225648" w14:textId="77777777" w:rsidTr="00AB7918">
        <w:trPr>
          <w:trHeight w:val="552"/>
        </w:trPr>
        <w:tc>
          <w:tcPr>
            <w:tcW w:w="2221" w:type="dxa"/>
            <w:tcBorders>
              <w:top w:val="single" w:sz="4" w:space="0" w:color="auto"/>
            </w:tcBorders>
            <w:noWrap/>
          </w:tcPr>
          <w:p w14:paraId="419F4D34" w14:textId="2241E85F" w:rsidR="00EA336C" w:rsidRPr="0055435C" w:rsidRDefault="00EA336C" w:rsidP="00AB7918">
            <w:pPr>
              <w:spacing w:line="480" w:lineRule="auto"/>
              <w:rPr>
                <w:rFonts w:cs="Times New Roman"/>
                <w:b/>
                <w:sz w:val="20"/>
                <w:szCs w:val="20"/>
              </w:rPr>
            </w:pPr>
            <w:r w:rsidRPr="0055435C">
              <w:rPr>
                <w:rFonts w:cs="Times New Roman"/>
                <w:b/>
                <w:sz w:val="20"/>
                <w:szCs w:val="20"/>
              </w:rPr>
              <w:t>Height</w:t>
            </w:r>
          </w:p>
        </w:tc>
        <w:tc>
          <w:tcPr>
            <w:tcW w:w="717" w:type="dxa"/>
            <w:tcBorders>
              <w:top w:val="single" w:sz="4" w:space="0" w:color="auto"/>
            </w:tcBorders>
            <w:noWrap/>
          </w:tcPr>
          <w:p w14:paraId="1761903F"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tcPr>
          <w:p w14:paraId="14E777E3"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noWrap/>
          </w:tcPr>
          <w:p w14:paraId="0EEEFF62"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tcPr>
          <w:p w14:paraId="01C803C2"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noWrap/>
          </w:tcPr>
          <w:p w14:paraId="7144E2F2" w14:textId="77777777" w:rsidR="00EA336C" w:rsidRPr="0055435C" w:rsidRDefault="00EA336C" w:rsidP="00AB7918">
            <w:pPr>
              <w:spacing w:line="480" w:lineRule="auto"/>
              <w:rPr>
                <w:rFonts w:cs="Times New Roman"/>
                <w:sz w:val="20"/>
                <w:szCs w:val="20"/>
              </w:rPr>
            </w:pPr>
          </w:p>
        </w:tc>
        <w:tc>
          <w:tcPr>
            <w:tcW w:w="697" w:type="dxa"/>
            <w:tcBorders>
              <w:top w:val="single" w:sz="4" w:space="0" w:color="auto"/>
            </w:tcBorders>
          </w:tcPr>
          <w:p w14:paraId="7AC343F7" w14:textId="77777777" w:rsidR="00EA336C" w:rsidRPr="0055435C" w:rsidRDefault="00EA336C" w:rsidP="00AB7918">
            <w:pPr>
              <w:spacing w:line="480" w:lineRule="auto"/>
              <w:rPr>
                <w:rFonts w:cs="Times New Roman"/>
                <w:sz w:val="20"/>
                <w:szCs w:val="20"/>
              </w:rPr>
            </w:pPr>
          </w:p>
        </w:tc>
        <w:tc>
          <w:tcPr>
            <w:tcW w:w="672" w:type="dxa"/>
            <w:tcBorders>
              <w:top w:val="single" w:sz="4" w:space="0" w:color="auto"/>
            </w:tcBorders>
            <w:noWrap/>
          </w:tcPr>
          <w:p w14:paraId="30135AC9"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tcPr>
          <w:p w14:paraId="718E94D4"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noWrap/>
          </w:tcPr>
          <w:p w14:paraId="05F0719F" w14:textId="77777777" w:rsidR="00EA336C" w:rsidRPr="0055435C" w:rsidRDefault="00EA336C" w:rsidP="00AB7918">
            <w:pPr>
              <w:spacing w:line="480" w:lineRule="auto"/>
              <w:rPr>
                <w:rFonts w:cs="Times New Roman"/>
                <w:sz w:val="20"/>
                <w:szCs w:val="20"/>
              </w:rPr>
            </w:pPr>
          </w:p>
        </w:tc>
        <w:tc>
          <w:tcPr>
            <w:tcW w:w="705" w:type="dxa"/>
            <w:tcBorders>
              <w:top w:val="single" w:sz="4" w:space="0" w:color="auto"/>
            </w:tcBorders>
          </w:tcPr>
          <w:p w14:paraId="744383C0" w14:textId="77777777" w:rsidR="00EA336C" w:rsidRPr="0055435C" w:rsidRDefault="00EA336C" w:rsidP="00AB7918">
            <w:pPr>
              <w:spacing w:line="480" w:lineRule="auto"/>
              <w:rPr>
                <w:rFonts w:cs="Times New Roman"/>
                <w:sz w:val="20"/>
                <w:szCs w:val="20"/>
              </w:rPr>
            </w:pPr>
          </w:p>
        </w:tc>
      </w:tr>
      <w:tr w:rsidR="003117FF" w:rsidRPr="0055435C" w14:paraId="4F4CE97F" w14:textId="1682884B" w:rsidTr="00AB7918">
        <w:trPr>
          <w:trHeight w:val="552"/>
        </w:trPr>
        <w:tc>
          <w:tcPr>
            <w:tcW w:w="2221" w:type="dxa"/>
            <w:noWrap/>
            <w:hideMark/>
          </w:tcPr>
          <w:p w14:paraId="0B4CDAA1" w14:textId="3B932B43" w:rsidR="004B64C1" w:rsidRPr="0055435C" w:rsidRDefault="004B64C1" w:rsidP="00AB7918">
            <w:pPr>
              <w:spacing w:line="480" w:lineRule="auto"/>
              <w:ind w:left="142"/>
              <w:rPr>
                <w:rFonts w:cs="Times New Roman"/>
                <w:sz w:val="20"/>
                <w:szCs w:val="20"/>
              </w:rPr>
            </w:pPr>
            <w:r w:rsidRPr="0055435C">
              <w:rPr>
                <w:rFonts w:cs="Times New Roman"/>
                <w:sz w:val="20"/>
                <w:szCs w:val="20"/>
              </w:rPr>
              <w:t>cm</w:t>
            </w:r>
          </w:p>
        </w:tc>
        <w:tc>
          <w:tcPr>
            <w:tcW w:w="717" w:type="dxa"/>
            <w:noWrap/>
            <w:hideMark/>
          </w:tcPr>
          <w:p w14:paraId="1E6C1939" w14:textId="77777777" w:rsidR="004B64C1" w:rsidRPr="0055435C" w:rsidRDefault="004B64C1" w:rsidP="00AB7918">
            <w:pPr>
              <w:spacing w:line="480" w:lineRule="auto"/>
              <w:rPr>
                <w:rFonts w:cs="Times New Roman"/>
                <w:sz w:val="20"/>
                <w:szCs w:val="20"/>
              </w:rPr>
            </w:pPr>
            <w:r w:rsidRPr="0055435C">
              <w:rPr>
                <w:rFonts w:cs="Times New Roman"/>
                <w:sz w:val="20"/>
                <w:szCs w:val="20"/>
              </w:rPr>
              <w:t>50.2</w:t>
            </w:r>
          </w:p>
        </w:tc>
        <w:tc>
          <w:tcPr>
            <w:tcW w:w="705" w:type="dxa"/>
          </w:tcPr>
          <w:p w14:paraId="4D46AC03" w14:textId="4FF71CC0" w:rsidR="004B64C1" w:rsidRPr="0055435C" w:rsidRDefault="004B64C1" w:rsidP="00AB7918">
            <w:pPr>
              <w:spacing w:line="480" w:lineRule="auto"/>
              <w:rPr>
                <w:rFonts w:cs="Times New Roman"/>
                <w:sz w:val="20"/>
                <w:szCs w:val="20"/>
              </w:rPr>
            </w:pPr>
            <w:r w:rsidRPr="0055435C">
              <w:rPr>
                <w:rFonts w:cs="Times New Roman"/>
                <w:sz w:val="20"/>
                <w:szCs w:val="20"/>
              </w:rPr>
              <w:t>(1.6)</w:t>
            </w:r>
          </w:p>
        </w:tc>
        <w:tc>
          <w:tcPr>
            <w:tcW w:w="705" w:type="dxa"/>
            <w:noWrap/>
            <w:hideMark/>
          </w:tcPr>
          <w:p w14:paraId="3410652B" w14:textId="26A2C405" w:rsidR="004B64C1" w:rsidRPr="0055435C" w:rsidRDefault="004B64C1" w:rsidP="00AB7918">
            <w:pPr>
              <w:spacing w:line="480" w:lineRule="auto"/>
              <w:rPr>
                <w:rFonts w:cs="Times New Roman"/>
                <w:sz w:val="20"/>
                <w:szCs w:val="20"/>
              </w:rPr>
            </w:pPr>
            <w:r w:rsidRPr="0055435C">
              <w:rPr>
                <w:rFonts w:cs="Times New Roman"/>
                <w:sz w:val="20"/>
                <w:szCs w:val="20"/>
              </w:rPr>
              <w:t>86.1</w:t>
            </w:r>
          </w:p>
        </w:tc>
        <w:tc>
          <w:tcPr>
            <w:tcW w:w="705" w:type="dxa"/>
          </w:tcPr>
          <w:p w14:paraId="4D2785A3" w14:textId="78120B36" w:rsidR="004B64C1" w:rsidRPr="0055435C" w:rsidRDefault="004B64C1" w:rsidP="00AB7918">
            <w:pPr>
              <w:spacing w:line="480" w:lineRule="auto"/>
              <w:rPr>
                <w:rFonts w:cs="Times New Roman"/>
                <w:sz w:val="20"/>
                <w:szCs w:val="20"/>
              </w:rPr>
            </w:pPr>
            <w:r w:rsidRPr="0055435C">
              <w:rPr>
                <w:rFonts w:cs="Times New Roman"/>
                <w:sz w:val="20"/>
                <w:szCs w:val="20"/>
              </w:rPr>
              <w:t>(3.1)</w:t>
            </w:r>
          </w:p>
        </w:tc>
        <w:tc>
          <w:tcPr>
            <w:tcW w:w="705" w:type="dxa"/>
            <w:noWrap/>
            <w:hideMark/>
          </w:tcPr>
          <w:p w14:paraId="7405E4B4" w14:textId="38270CEC" w:rsidR="004B64C1" w:rsidRPr="0055435C" w:rsidRDefault="004B64C1" w:rsidP="00AB7918">
            <w:pPr>
              <w:spacing w:line="480" w:lineRule="auto"/>
              <w:rPr>
                <w:rFonts w:cs="Times New Roman"/>
                <w:sz w:val="20"/>
                <w:szCs w:val="20"/>
              </w:rPr>
            </w:pPr>
            <w:r w:rsidRPr="0055435C">
              <w:rPr>
                <w:rFonts w:cs="Times New Roman"/>
                <w:sz w:val="20"/>
                <w:szCs w:val="20"/>
              </w:rPr>
              <w:t>120.4</w:t>
            </w:r>
          </w:p>
        </w:tc>
        <w:tc>
          <w:tcPr>
            <w:tcW w:w="697" w:type="dxa"/>
          </w:tcPr>
          <w:p w14:paraId="1AC44FDA" w14:textId="08A518DD" w:rsidR="004B64C1" w:rsidRPr="0055435C" w:rsidRDefault="004B64C1" w:rsidP="00AB7918">
            <w:pPr>
              <w:spacing w:line="480" w:lineRule="auto"/>
              <w:rPr>
                <w:rFonts w:cs="Times New Roman"/>
                <w:sz w:val="20"/>
                <w:szCs w:val="20"/>
              </w:rPr>
            </w:pPr>
            <w:r w:rsidRPr="0055435C">
              <w:rPr>
                <w:rFonts w:cs="Times New Roman"/>
                <w:sz w:val="20"/>
                <w:szCs w:val="20"/>
              </w:rPr>
              <w:t>(5.0)</w:t>
            </w:r>
          </w:p>
        </w:tc>
        <w:tc>
          <w:tcPr>
            <w:tcW w:w="672" w:type="dxa"/>
            <w:noWrap/>
            <w:hideMark/>
          </w:tcPr>
          <w:p w14:paraId="2123D58A" w14:textId="7D2F4DB0" w:rsidR="004B64C1" w:rsidRPr="0055435C" w:rsidRDefault="004B64C1" w:rsidP="00AB7918">
            <w:pPr>
              <w:spacing w:line="480" w:lineRule="auto"/>
              <w:rPr>
                <w:rFonts w:cs="Times New Roman"/>
                <w:sz w:val="20"/>
                <w:szCs w:val="20"/>
              </w:rPr>
            </w:pPr>
            <w:r w:rsidRPr="0055435C">
              <w:rPr>
                <w:rFonts w:cs="Times New Roman"/>
                <w:sz w:val="20"/>
                <w:szCs w:val="20"/>
              </w:rPr>
              <w:t>142.5</w:t>
            </w:r>
          </w:p>
        </w:tc>
        <w:tc>
          <w:tcPr>
            <w:tcW w:w="705" w:type="dxa"/>
          </w:tcPr>
          <w:p w14:paraId="291E1568" w14:textId="239CBDBB" w:rsidR="004B64C1" w:rsidRPr="0055435C" w:rsidRDefault="004B64C1" w:rsidP="00AB7918">
            <w:pPr>
              <w:spacing w:line="480" w:lineRule="auto"/>
              <w:rPr>
                <w:rFonts w:cs="Times New Roman"/>
                <w:sz w:val="20"/>
                <w:szCs w:val="20"/>
              </w:rPr>
            </w:pPr>
            <w:r w:rsidRPr="0055435C">
              <w:rPr>
                <w:rFonts w:cs="Times New Roman"/>
                <w:sz w:val="20"/>
                <w:szCs w:val="20"/>
              </w:rPr>
              <w:t>(7.1)</w:t>
            </w:r>
          </w:p>
        </w:tc>
        <w:tc>
          <w:tcPr>
            <w:tcW w:w="705" w:type="dxa"/>
            <w:noWrap/>
            <w:hideMark/>
          </w:tcPr>
          <w:p w14:paraId="76C3C441" w14:textId="2BDBC4EA" w:rsidR="004B64C1" w:rsidRPr="0055435C" w:rsidRDefault="004B64C1" w:rsidP="00AB7918">
            <w:pPr>
              <w:spacing w:line="480" w:lineRule="auto"/>
              <w:rPr>
                <w:rFonts w:cs="Times New Roman"/>
                <w:sz w:val="20"/>
                <w:szCs w:val="20"/>
              </w:rPr>
            </w:pPr>
            <w:r w:rsidRPr="0055435C">
              <w:rPr>
                <w:rFonts w:cs="Times New Roman"/>
                <w:sz w:val="20"/>
                <w:szCs w:val="20"/>
              </w:rPr>
              <w:t>164.1</w:t>
            </w:r>
          </w:p>
        </w:tc>
        <w:tc>
          <w:tcPr>
            <w:tcW w:w="705" w:type="dxa"/>
          </w:tcPr>
          <w:p w14:paraId="28B372E0" w14:textId="111C0D07" w:rsidR="004B64C1" w:rsidRPr="0055435C" w:rsidRDefault="004B64C1" w:rsidP="00AB7918">
            <w:pPr>
              <w:spacing w:line="480" w:lineRule="auto"/>
              <w:rPr>
                <w:rFonts w:cs="Times New Roman"/>
                <w:sz w:val="20"/>
                <w:szCs w:val="20"/>
              </w:rPr>
            </w:pPr>
            <w:r w:rsidRPr="0055435C">
              <w:rPr>
                <w:rFonts w:cs="Times New Roman"/>
                <w:sz w:val="20"/>
                <w:szCs w:val="20"/>
              </w:rPr>
              <w:t>(5.9)</w:t>
            </w:r>
          </w:p>
        </w:tc>
      </w:tr>
      <w:tr w:rsidR="003117FF" w:rsidRPr="0055435C" w14:paraId="6F938815" w14:textId="074AB5BF" w:rsidTr="00AB7918">
        <w:trPr>
          <w:trHeight w:val="288"/>
        </w:trPr>
        <w:tc>
          <w:tcPr>
            <w:tcW w:w="2221" w:type="dxa"/>
            <w:noWrap/>
            <w:hideMark/>
          </w:tcPr>
          <w:p w14:paraId="54A69EF4" w14:textId="0FDC717C" w:rsidR="004B64C1" w:rsidRPr="0055435C" w:rsidRDefault="00330E6F" w:rsidP="00AB7918">
            <w:pPr>
              <w:spacing w:line="480" w:lineRule="auto"/>
              <w:ind w:left="142"/>
              <w:rPr>
                <w:rFonts w:cs="Times New Roman"/>
                <w:sz w:val="20"/>
                <w:szCs w:val="20"/>
              </w:rPr>
            </w:pPr>
            <w:r w:rsidRPr="0055435C">
              <w:rPr>
                <w:rFonts w:cs="Times New Roman"/>
                <w:sz w:val="20"/>
                <w:szCs w:val="20"/>
              </w:rPr>
              <w:t>Z</w:t>
            </w:r>
            <w:r w:rsidR="004B64C1" w:rsidRPr="0055435C">
              <w:rPr>
                <w:rFonts w:cs="Times New Roman"/>
                <w:sz w:val="20"/>
                <w:szCs w:val="20"/>
              </w:rPr>
              <w:t xml:space="preserve"> score</w:t>
            </w:r>
          </w:p>
        </w:tc>
        <w:tc>
          <w:tcPr>
            <w:tcW w:w="717" w:type="dxa"/>
            <w:noWrap/>
            <w:hideMark/>
          </w:tcPr>
          <w:p w14:paraId="172CCD1C" w14:textId="517EECC9" w:rsidR="004B64C1" w:rsidRPr="0055435C" w:rsidRDefault="004B64C1" w:rsidP="00AB7918">
            <w:pPr>
              <w:spacing w:line="480" w:lineRule="auto"/>
              <w:rPr>
                <w:rFonts w:cs="Times New Roman"/>
                <w:sz w:val="20"/>
                <w:szCs w:val="20"/>
              </w:rPr>
            </w:pPr>
            <w:r w:rsidRPr="0055435C">
              <w:rPr>
                <w:rFonts w:cs="Times New Roman"/>
                <w:sz w:val="20"/>
                <w:szCs w:val="20"/>
              </w:rPr>
              <w:t>-0.01</w:t>
            </w:r>
          </w:p>
        </w:tc>
        <w:tc>
          <w:tcPr>
            <w:tcW w:w="705" w:type="dxa"/>
          </w:tcPr>
          <w:p w14:paraId="171954E0" w14:textId="0D4EC87E" w:rsidR="004B64C1" w:rsidRPr="0055435C" w:rsidRDefault="004B64C1" w:rsidP="00AB7918">
            <w:pPr>
              <w:spacing w:line="480" w:lineRule="auto"/>
              <w:rPr>
                <w:rFonts w:cs="Times New Roman"/>
                <w:sz w:val="20"/>
                <w:szCs w:val="20"/>
              </w:rPr>
            </w:pPr>
            <w:r w:rsidRPr="0055435C">
              <w:rPr>
                <w:rFonts w:cs="Times New Roman"/>
                <w:sz w:val="20"/>
                <w:szCs w:val="20"/>
              </w:rPr>
              <w:t>(0.85)</w:t>
            </w:r>
          </w:p>
        </w:tc>
        <w:tc>
          <w:tcPr>
            <w:tcW w:w="705" w:type="dxa"/>
            <w:noWrap/>
            <w:hideMark/>
          </w:tcPr>
          <w:p w14:paraId="2CC5762D" w14:textId="226E4BB6" w:rsidR="004B64C1" w:rsidRPr="0055435C" w:rsidRDefault="004B64C1" w:rsidP="00AB7918">
            <w:pPr>
              <w:spacing w:line="480" w:lineRule="auto"/>
              <w:rPr>
                <w:rFonts w:cs="Times New Roman"/>
                <w:sz w:val="20"/>
                <w:szCs w:val="20"/>
              </w:rPr>
            </w:pPr>
            <w:r w:rsidRPr="0055435C">
              <w:rPr>
                <w:rFonts w:cs="Times New Roman"/>
                <w:sz w:val="20"/>
                <w:szCs w:val="20"/>
              </w:rPr>
              <w:t>0.19</w:t>
            </w:r>
          </w:p>
        </w:tc>
        <w:tc>
          <w:tcPr>
            <w:tcW w:w="705" w:type="dxa"/>
          </w:tcPr>
          <w:p w14:paraId="7C5F02A0" w14:textId="7C5B58F5" w:rsidR="004B64C1" w:rsidRPr="0055435C" w:rsidRDefault="004B64C1" w:rsidP="00AB7918">
            <w:pPr>
              <w:spacing w:line="480" w:lineRule="auto"/>
              <w:rPr>
                <w:rFonts w:cs="Times New Roman"/>
                <w:sz w:val="20"/>
                <w:szCs w:val="20"/>
              </w:rPr>
            </w:pPr>
            <w:r w:rsidRPr="0055435C">
              <w:rPr>
                <w:rFonts w:cs="Times New Roman"/>
                <w:sz w:val="20"/>
                <w:szCs w:val="20"/>
              </w:rPr>
              <w:t>(0.96)</w:t>
            </w:r>
          </w:p>
        </w:tc>
        <w:tc>
          <w:tcPr>
            <w:tcW w:w="705" w:type="dxa"/>
            <w:noWrap/>
            <w:hideMark/>
          </w:tcPr>
          <w:p w14:paraId="2E536F5F" w14:textId="5770B905" w:rsidR="004B64C1" w:rsidRPr="0055435C" w:rsidRDefault="004B64C1" w:rsidP="00AB7918">
            <w:pPr>
              <w:spacing w:line="480" w:lineRule="auto"/>
              <w:rPr>
                <w:rFonts w:cs="Times New Roman"/>
                <w:sz w:val="20"/>
                <w:szCs w:val="20"/>
              </w:rPr>
            </w:pPr>
            <w:r w:rsidRPr="0055435C">
              <w:rPr>
                <w:rFonts w:cs="Times New Roman"/>
                <w:sz w:val="20"/>
                <w:szCs w:val="20"/>
              </w:rPr>
              <w:t>0.12</w:t>
            </w:r>
          </w:p>
        </w:tc>
        <w:tc>
          <w:tcPr>
            <w:tcW w:w="697" w:type="dxa"/>
          </w:tcPr>
          <w:p w14:paraId="1B91B392" w14:textId="6AB761A2" w:rsidR="004B64C1" w:rsidRPr="0055435C" w:rsidRDefault="00AB7918" w:rsidP="00AB7918">
            <w:pPr>
              <w:spacing w:line="480" w:lineRule="auto"/>
              <w:rPr>
                <w:rFonts w:cs="Times New Roman"/>
                <w:sz w:val="20"/>
                <w:szCs w:val="20"/>
              </w:rPr>
            </w:pPr>
            <w:r w:rsidRPr="0055435C">
              <w:rPr>
                <w:rFonts w:cs="Times New Roman"/>
                <w:sz w:val="20"/>
                <w:szCs w:val="20"/>
              </w:rPr>
              <w:t>(</w:t>
            </w:r>
            <w:r w:rsidR="004B64C1" w:rsidRPr="0055435C">
              <w:rPr>
                <w:rFonts w:cs="Times New Roman"/>
                <w:sz w:val="20"/>
                <w:szCs w:val="20"/>
              </w:rPr>
              <w:t>1.06</w:t>
            </w:r>
            <w:r w:rsidRPr="0055435C">
              <w:rPr>
                <w:rFonts w:cs="Times New Roman"/>
                <w:sz w:val="20"/>
                <w:szCs w:val="20"/>
              </w:rPr>
              <w:t>)</w:t>
            </w:r>
          </w:p>
        </w:tc>
        <w:tc>
          <w:tcPr>
            <w:tcW w:w="672" w:type="dxa"/>
            <w:noWrap/>
            <w:hideMark/>
          </w:tcPr>
          <w:p w14:paraId="51E44CE1" w14:textId="5E412DE7" w:rsidR="004B64C1" w:rsidRPr="0055435C" w:rsidRDefault="004B64C1" w:rsidP="00AB7918">
            <w:pPr>
              <w:spacing w:line="480" w:lineRule="auto"/>
              <w:rPr>
                <w:rFonts w:cs="Times New Roman"/>
                <w:sz w:val="20"/>
                <w:szCs w:val="20"/>
              </w:rPr>
            </w:pPr>
            <w:r w:rsidRPr="0055435C">
              <w:rPr>
                <w:rFonts w:cs="Times New Roman"/>
                <w:sz w:val="20"/>
                <w:szCs w:val="20"/>
              </w:rPr>
              <w:t>0.17</w:t>
            </w:r>
          </w:p>
        </w:tc>
        <w:tc>
          <w:tcPr>
            <w:tcW w:w="705" w:type="dxa"/>
          </w:tcPr>
          <w:p w14:paraId="557FDC07" w14:textId="13E689DB" w:rsidR="004B64C1" w:rsidRPr="0055435C" w:rsidRDefault="003117FF" w:rsidP="00AB7918">
            <w:pPr>
              <w:spacing w:line="480" w:lineRule="auto"/>
              <w:rPr>
                <w:rFonts w:cs="Times New Roman"/>
                <w:sz w:val="20"/>
                <w:szCs w:val="20"/>
              </w:rPr>
            </w:pPr>
            <w:r w:rsidRPr="0055435C">
              <w:rPr>
                <w:rFonts w:cs="Times New Roman"/>
                <w:sz w:val="20"/>
                <w:szCs w:val="20"/>
              </w:rPr>
              <w:t>(</w:t>
            </w:r>
            <w:r w:rsidR="004B64C1" w:rsidRPr="0055435C">
              <w:rPr>
                <w:rFonts w:cs="Times New Roman"/>
                <w:sz w:val="20"/>
                <w:szCs w:val="20"/>
              </w:rPr>
              <w:t>1.10</w:t>
            </w:r>
            <w:r w:rsidRPr="0055435C">
              <w:rPr>
                <w:rFonts w:cs="Times New Roman"/>
                <w:sz w:val="20"/>
                <w:szCs w:val="20"/>
              </w:rPr>
              <w:t>)</w:t>
            </w:r>
          </w:p>
        </w:tc>
        <w:tc>
          <w:tcPr>
            <w:tcW w:w="705" w:type="dxa"/>
            <w:noWrap/>
            <w:hideMark/>
          </w:tcPr>
          <w:p w14:paraId="3E662483" w14:textId="3B41615D" w:rsidR="004B64C1" w:rsidRPr="0055435C" w:rsidRDefault="00963720" w:rsidP="00AB7918">
            <w:pPr>
              <w:spacing w:line="480" w:lineRule="auto"/>
              <w:rPr>
                <w:rFonts w:cs="Times New Roman"/>
                <w:sz w:val="20"/>
                <w:szCs w:val="20"/>
              </w:rPr>
            </w:pPr>
            <w:r w:rsidRPr="0055435C">
              <w:rPr>
                <w:rFonts w:cs="Times New Roman"/>
                <w:sz w:val="20"/>
                <w:szCs w:val="20"/>
              </w:rPr>
              <w:t>-</w:t>
            </w:r>
          </w:p>
        </w:tc>
        <w:tc>
          <w:tcPr>
            <w:tcW w:w="705" w:type="dxa"/>
          </w:tcPr>
          <w:p w14:paraId="582B26F8" w14:textId="77777777" w:rsidR="004B64C1" w:rsidRPr="0055435C" w:rsidRDefault="004B64C1" w:rsidP="00AB7918">
            <w:pPr>
              <w:spacing w:line="480" w:lineRule="auto"/>
              <w:rPr>
                <w:rFonts w:cs="Times New Roman"/>
                <w:sz w:val="20"/>
                <w:szCs w:val="20"/>
              </w:rPr>
            </w:pPr>
          </w:p>
        </w:tc>
      </w:tr>
      <w:tr w:rsidR="00EA336C" w:rsidRPr="0055435C" w14:paraId="6CB1E631" w14:textId="77777777" w:rsidTr="00AB7918">
        <w:trPr>
          <w:trHeight w:val="552"/>
        </w:trPr>
        <w:tc>
          <w:tcPr>
            <w:tcW w:w="2221" w:type="dxa"/>
            <w:noWrap/>
          </w:tcPr>
          <w:p w14:paraId="02F3B19C" w14:textId="1DD2F244" w:rsidR="00EA336C" w:rsidRPr="0055435C" w:rsidRDefault="00EA336C" w:rsidP="00AB7918">
            <w:pPr>
              <w:spacing w:line="480" w:lineRule="auto"/>
              <w:rPr>
                <w:rFonts w:cs="Times New Roman"/>
                <w:b/>
                <w:sz w:val="20"/>
                <w:szCs w:val="20"/>
              </w:rPr>
            </w:pPr>
            <w:r w:rsidRPr="0055435C">
              <w:rPr>
                <w:rFonts w:cs="Times New Roman"/>
                <w:b/>
                <w:sz w:val="20"/>
                <w:szCs w:val="20"/>
              </w:rPr>
              <w:t>Weight</w:t>
            </w:r>
          </w:p>
        </w:tc>
        <w:tc>
          <w:tcPr>
            <w:tcW w:w="717" w:type="dxa"/>
            <w:noWrap/>
          </w:tcPr>
          <w:p w14:paraId="59F16A70" w14:textId="77777777" w:rsidR="00EA336C" w:rsidRPr="0055435C" w:rsidRDefault="00EA336C" w:rsidP="00AB7918">
            <w:pPr>
              <w:spacing w:line="480" w:lineRule="auto"/>
              <w:rPr>
                <w:rFonts w:cs="Times New Roman"/>
                <w:sz w:val="20"/>
                <w:szCs w:val="20"/>
              </w:rPr>
            </w:pPr>
          </w:p>
        </w:tc>
        <w:tc>
          <w:tcPr>
            <w:tcW w:w="705" w:type="dxa"/>
          </w:tcPr>
          <w:p w14:paraId="1D8D3072" w14:textId="77777777" w:rsidR="00EA336C" w:rsidRPr="0055435C" w:rsidRDefault="00EA336C" w:rsidP="00AB7918">
            <w:pPr>
              <w:spacing w:line="480" w:lineRule="auto"/>
              <w:rPr>
                <w:rFonts w:cs="Times New Roman"/>
                <w:sz w:val="20"/>
                <w:szCs w:val="20"/>
              </w:rPr>
            </w:pPr>
          </w:p>
        </w:tc>
        <w:tc>
          <w:tcPr>
            <w:tcW w:w="705" w:type="dxa"/>
            <w:noWrap/>
          </w:tcPr>
          <w:p w14:paraId="4C884328" w14:textId="77777777" w:rsidR="00EA336C" w:rsidRPr="0055435C" w:rsidRDefault="00EA336C" w:rsidP="00AB7918">
            <w:pPr>
              <w:spacing w:line="480" w:lineRule="auto"/>
              <w:rPr>
                <w:rFonts w:cs="Times New Roman"/>
                <w:sz w:val="20"/>
                <w:szCs w:val="20"/>
              </w:rPr>
            </w:pPr>
          </w:p>
        </w:tc>
        <w:tc>
          <w:tcPr>
            <w:tcW w:w="705" w:type="dxa"/>
          </w:tcPr>
          <w:p w14:paraId="228522C9" w14:textId="77777777" w:rsidR="00EA336C" w:rsidRPr="0055435C" w:rsidRDefault="00EA336C" w:rsidP="00AB7918">
            <w:pPr>
              <w:spacing w:line="480" w:lineRule="auto"/>
              <w:rPr>
                <w:rFonts w:cs="Times New Roman"/>
                <w:sz w:val="20"/>
                <w:szCs w:val="20"/>
              </w:rPr>
            </w:pPr>
          </w:p>
        </w:tc>
        <w:tc>
          <w:tcPr>
            <w:tcW w:w="705" w:type="dxa"/>
            <w:noWrap/>
          </w:tcPr>
          <w:p w14:paraId="689436E8" w14:textId="77777777" w:rsidR="00EA336C" w:rsidRPr="0055435C" w:rsidRDefault="00EA336C" w:rsidP="00AB7918">
            <w:pPr>
              <w:spacing w:line="480" w:lineRule="auto"/>
              <w:rPr>
                <w:rFonts w:cs="Times New Roman"/>
                <w:sz w:val="20"/>
                <w:szCs w:val="20"/>
              </w:rPr>
            </w:pPr>
          </w:p>
        </w:tc>
        <w:tc>
          <w:tcPr>
            <w:tcW w:w="697" w:type="dxa"/>
          </w:tcPr>
          <w:p w14:paraId="190B63D6" w14:textId="77777777" w:rsidR="00EA336C" w:rsidRPr="0055435C" w:rsidRDefault="00EA336C" w:rsidP="00AB7918">
            <w:pPr>
              <w:spacing w:line="480" w:lineRule="auto"/>
              <w:rPr>
                <w:rFonts w:cs="Times New Roman"/>
                <w:sz w:val="20"/>
                <w:szCs w:val="20"/>
              </w:rPr>
            </w:pPr>
          </w:p>
        </w:tc>
        <w:tc>
          <w:tcPr>
            <w:tcW w:w="672" w:type="dxa"/>
            <w:noWrap/>
          </w:tcPr>
          <w:p w14:paraId="6501BE64" w14:textId="77777777" w:rsidR="00EA336C" w:rsidRPr="0055435C" w:rsidRDefault="00EA336C" w:rsidP="00AB7918">
            <w:pPr>
              <w:spacing w:line="480" w:lineRule="auto"/>
              <w:rPr>
                <w:rFonts w:cs="Times New Roman"/>
                <w:sz w:val="20"/>
                <w:szCs w:val="20"/>
              </w:rPr>
            </w:pPr>
          </w:p>
        </w:tc>
        <w:tc>
          <w:tcPr>
            <w:tcW w:w="705" w:type="dxa"/>
          </w:tcPr>
          <w:p w14:paraId="0EF1DE45" w14:textId="77777777" w:rsidR="00EA336C" w:rsidRPr="0055435C" w:rsidRDefault="00EA336C" w:rsidP="00AB7918">
            <w:pPr>
              <w:spacing w:line="480" w:lineRule="auto"/>
              <w:rPr>
                <w:rFonts w:cs="Times New Roman"/>
                <w:sz w:val="20"/>
                <w:szCs w:val="20"/>
              </w:rPr>
            </w:pPr>
          </w:p>
        </w:tc>
        <w:tc>
          <w:tcPr>
            <w:tcW w:w="705" w:type="dxa"/>
            <w:noWrap/>
          </w:tcPr>
          <w:p w14:paraId="6FE8ABAB" w14:textId="77777777" w:rsidR="00EA336C" w:rsidRPr="0055435C" w:rsidRDefault="00EA336C" w:rsidP="00AB7918">
            <w:pPr>
              <w:spacing w:line="480" w:lineRule="auto"/>
              <w:rPr>
                <w:rFonts w:cs="Times New Roman"/>
                <w:sz w:val="20"/>
                <w:szCs w:val="20"/>
              </w:rPr>
            </w:pPr>
          </w:p>
        </w:tc>
        <w:tc>
          <w:tcPr>
            <w:tcW w:w="705" w:type="dxa"/>
          </w:tcPr>
          <w:p w14:paraId="4C0EBE93" w14:textId="77777777" w:rsidR="00EA336C" w:rsidRPr="0055435C" w:rsidRDefault="00EA336C" w:rsidP="00AB7918">
            <w:pPr>
              <w:spacing w:line="480" w:lineRule="auto"/>
              <w:rPr>
                <w:rFonts w:cs="Times New Roman"/>
                <w:sz w:val="20"/>
                <w:szCs w:val="20"/>
              </w:rPr>
            </w:pPr>
          </w:p>
        </w:tc>
      </w:tr>
      <w:tr w:rsidR="003117FF" w:rsidRPr="0055435C" w14:paraId="234DC7F8" w14:textId="0A82D5FC" w:rsidTr="00AB7918">
        <w:trPr>
          <w:trHeight w:val="552"/>
        </w:trPr>
        <w:tc>
          <w:tcPr>
            <w:tcW w:w="2221" w:type="dxa"/>
            <w:noWrap/>
            <w:hideMark/>
          </w:tcPr>
          <w:p w14:paraId="09D88D4F" w14:textId="14A82F94" w:rsidR="004B64C1" w:rsidRPr="0055435C" w:rsidRDefault="004B64C1" w:rsidP="00AB7918">
            <w:pPr>
              <w:spacing w:line="480" w:lineRule="auto"/>
              <w:ind w:left="142"/>
              <w:rPr>
                <w:rFonts w:cs="Times New Roman"/>
                <w:sz w:val="20"/>
                <w:szCs w:val="20"/>
              </w:rPr>
            </w:pPr>
            <w:r w:rsidRPr="0055435C">
              <w:rPr>
                <w:rFonts w:cs="Times New Roman"/>
                <w:sz w:val="20"/>
                <w:szCs w:val="20"/>
              </w:rPr>
              <w:t>kg</w:t>
            </w:r>
          </w:p>
        </w:tc>
        <w:tc>
          <w:tcPr>
            <w:tcW w:w="717" w:type="dxa"/>
            <w:noWrap/>
            <w:hideMark/>
          </w:tcPr>
          <w:p w14:paraId="53B1D6F5" w14:textId="77777777" w:rsidR="004B64C1" w:rsidRPr="0055435C" w:rsidRDefault="004B64C1" w:rsidP="00AB7918">
            <w:pPr>
              <w:spacing w:line="480" w:lineRule="auto"/>
              <w:rPr>
                <w:rFonts w:cs="Times New Roman"/>
                <w:sz w:val="20"/>
                <w:szCs w:val="20"/>
              </w:rPr>
            </w:pPr>
            <w:r w:rsidRPr="0055435C">
              <w:rPr>
                <w:rFonts w:cs="Times New Roman"/>
                <w:sz w:val="20"/>
                <w:szCs w:val="20"/>
              </w:rPr>
              <w:t>3.4</w:t>
            </w:r>
          </w:p>
        </w:tc>
        <w:tc>
          <w:tcPr>
            <w:tcW w:w="705" w:type="dxa"/>
          </w:tcPr>
          <w:p w14:paraId="5CC7102C" w14:textId="63106A29" w:rsidR="004B64C1" w:rsidRPr="0055435C" w:rsidRDefault="004B64C1" w:rsidP="00AB7918">
            <w:pPr>
              <w:spacing w:line="480" w:lineRule="auto"/>
              <w:rPr>
                <w:rFonts w:cs="Times New Roman"/>
                <w:sz w:val="20"/>
                <w:szCs w:val="20"/>
              </w:rPr>
            </w:pPr>
            <w:r w:rsidRPr="0055435C">
              <w:rPr>
                <w:rFonts w:cs="Times New Roman"/>
                <w:sz w:val="20"/>
                <w:szCs w:val="20"/>
              </w:rPr>
              <w:t>(0.42)</w:t>
            </w:r>
          </w:p>
        </w:tc>
        <w:tc>
          <w:tcPr>
            <w:tcW w:w="705" w:type="dxa"/>
            <w:noWrap/>
            <w:hideMark/>
          </w:tcPr>
          <w:p w14:paraId="689044E0" w14:textId="41D9D4D7" w:rsidR="004B64C1" w:rsidRPr="0055435C" w:rsidRDefault="004B64C1" w:rsidP="00AB7918">
            <w:pPr>
              <w:spacing w:line="480" w:lineRule="auto"/>
              <w:rPr>
                <w:rFonts w:cs="Times New Roman"/>
                <w:sz w:val="20"/>
                <w:szCs w:val="20"/>
              </w:rPr>
            </w:pPr>
            <w:r w:rsidRPr="0055435C">
              <w:rPr>
                <w:rFonts w:cs="Times New Roman"/>
                <w:sz w:val="20"/>
                <w:szCs w:val="20"/>
              </w:rPr>
              <w:t>12.0</w:t>
            </w:r>
          </w:p>
        </w:tc>
        <w:tc>
          <w:tcPr>
            <w:tcW w:w="705" w:type="dxa"/>
          </w:tcPr>
          <w:p w14:paraId="3D078277" w14:textId="440BB02E" w:rsidR="004B64C1" w:rsidRPr="0055435C" w:rsidRDefault="004B64C1" w:rsidP="00AB7918">
            <w:pPr>
              <w:spacing w:line="480" w:lineRule="auto"/>
              <w:rPr>
                <w:rFonts w:cs="Times New Roman"/>
                <w:sz w:val="20"/>
                <w:szCs w:val="20"/>
              </w:rPr>
            </w:pPr>
            <w:r w:rsidRPr="0055435C">
              <w:rPr>
                <w:rFonts w:cs="Times New Roman"/>
                <w:sz w:val="20"/>
                <w:szCs w:val="20"/>
              </w:rPr>
              <w:t>(1.1)</w:t>
            </w:r>
          </w:p>
        </w:tc>
        <w:tc>
          <w:tcPr>
            <w:tcW w:w="705" w:type="dxa"/>
            <w:noWrap/>
            <w:hideMark/>
          </w:tcPr>
          <w:p w14:paraId="01AF3758" w14:textId="63F4AFC2" w:rsidR="004B64C1" w:rsidRPr="0055435C" w:rsidRDefault="004B64C1" w:rsidP="00AB7918">
            <w:pPr>
              <w:spacing w:line="480" w:lineRule="auto"/>
              <w:rPr>
                <w:rFonts w:cs="Times New Roman"/>
                <w:sz w:val="20"/>
                <w:szCs w:val="20"/>
              </w:rPr>
            </w:pPr>
            <w:r w:rsidRPr="0055435C">
              <w:rPr>
                <w:rFonts w:cs="Times New Roman"/>
                <w:sz w:val="20"/>
                <w:szCs w:val="20"/>
              </w:rPr>
              <w:t>22.2</w:t>
            </w:r>
          </w:p>
        </w:tc>
        <w:tc>
          <w:tcPr>
            <w:tcW w:w="697" w:type="dxa"/>
          </w:tcPr>
          <w:p w14:paraId="5E684F47" w14:textId="32B1DA74" w:rsidR="004B64C1" w:rsidRPr="0055435C" w:rsidRDefault="004B64C1" w:rsidP="00AB7918">
            <w:pPr>
              <w:spacing w:line="480" w:lineRule="auto"/>
              <w:rPr>
                <w:rFonts w:cs="Times New Roman"/>
                <w:sz w:val="20"/>
                <w:szCs w:val="20"/>
              </w:rPr>
            </w:pPr>
            <w:r w:rsidRPr="0055435C">
              <w:rPr>
                <w:rFonts w:cs="Times New Roman"/>
                <w:sz w:val="20"/>
                <w:szCs w:val="20"/>
              </w:rPr>
              <w:t>(2.9)</w:t>
            </w:r>
          </w:p>
        </w:tc>
        <w:tc>
          <w:tcPr>
            <w:tcW w:w="672" w:type="dxa"/>
            <w:noWrap/>
            <w:hideMark/>
          </w:tcPr>
          <w:p w14:paraId="39EAE903" w14:textId="3FA2AA33" w:rsidR="004B64C1" w:rsidRPr="0055435C" w:rsidRDefault="004B64C1" w:rsidP="00AB7918">
            <w:pPr>
              <w:spacing w:line="480" w:lineRule="auto"/>
              <w:rPr>
                <w:rFonts w:cs="Times New Roman"/>
                <w:sz w:val="20"/>
                <w:szCs w:val="20"/>
              </w:rPr>
            </w:pPr>
            <w:r w:rsidRPr="0055435C">
              <w:rPr>
                <w:rFonts w:cs="Times New Roman"/>
                <w:sz w:val="20"/>
                <w:szCs w:val="20"/>
              </w:rPr>
              <w:t>34.8</w:t>
            </w:r>
          </w:p>
        </w:tc>
        <w:tc>
          <w:tcPr>
            <w:tcW w:w="705" w:type="dxa"/>
          </w:tcPr>
          <w:p w14:paraId="2CCAE35E" w14:textId="5244F5F0" w:rsidR="004B64C1" w:rsidRPr="0055435C" w:rsidRDefault="004B64C1" w:rsidP="00AB7918">
            <w:pPr>
              <w:spacing w:line="480" w:lineRule="auto"/>
              <w:rPr>
                <w:rFonts w:cs="Times New Roman"/>
                <w:sz w:val="20"/>
                <w:szCs w:val="20"/>
              </w:rPr>
            </w:pPr>
            <w:r w:rsidRPr="0055435C">
              <w:rPr>
                <w:rFonts w:cs="Times New Roman"/>
                <w:sz w:val="20"/>
                <w:szCs w:val="20"/>
              </w:rPr>
              <w:t>(6.0)</w:t>
            </w:r>
          </w:p>
        </w:tc>
        <w:tc>
          <w:tcPr>
            <w:tcW w:w="705" w:type="dxa"/>
            <w:noWrap/>
            <w:hideMark/>
          </w:tcPr>
          <w:p w14:paraId="03F9DADB" w14:textId="2528E44B" w:rsidR="004B64C1" w:rsidRPr="0055435C" w:rsidRDefault="004B64C1" w:rsidP="00AB7918">
            <w:pPr>
              <w:spacing w:line="480" w:lineRule="auto"/>
              <w:rPr>
                <w:rFonts w:cs="Times New Roman"/>
                <w:sz w:val="20"/>
                <w:szCs w:val="20"/>
              </w:rPr>
            </w:pPr>
            <w:r w:rsidRPr="0055435C">
              <w:rPr>
                <w:rFonts w:cs="Times New Roman"/>
                <w:sz w:val="20"/>
                <w:szCs w:val="20"/>
              </w:rPr>
              <w:t>73.4</w:t>
            </w:r>
          </w:p>
        </w:tc>
        <w:tc>
          <w:tcPr>
            <w:tcW w:w="705" w:type="dxa"/>
          </w:tcPr>
          <w:p w14:paraId="5857C883" w14:textId="533DD628" w:rsidR="004B64C1" w:rsidRPr="0055435C" w:rsidRDefault="004B64C1" w:rsidP="00AB7918">
            <w:pPr>
              <w:spacing w:line="480" w:lineRule="auto"/>
              <w:rPr>
                <w:rFonts w:cs="Times New Roman"/>
                <w:sz w:val="20"/>
                <w:szCs w:val="20"/>
              </w:rPr>
            </w:pPr>
            <w:r w:rsidRPr="0055435C">
              <w:rPr>
                <w:rFonts w:cs="Times New Roman"/>
                <w:sz w:val="20"/>
                <w:szCs w:val="20"/>
              </w:rPr>
              <w:t>(13.4)</w:t>
            </w:r>
          </w:p>
        </w:tc>
      </w:tr>
      <w:tr w:rsidR="003117FF" w:rsidRPr="0055435C" w14:paraId="57504BEA" w14:textId="3AB42A9F" w:rsidTr="00AB7918">
        <w:trPr>
          <w:trHeight w:val="300"/>
        </w:trPr>
        <w:tc>
          <w:tcPr>
            <w:tcW w:w="2221" w:type="dxa"/>
            <w:noWrap/>
            <w:hideMark/>
          </w:tcPr>
          <w:p w14:paraId="79FD48B6" w14:textId="20645CAD" w:rsidR="004B64C1" w:rsidRPr="0055435C" w:rsidRDefault="00330E6F" w:rsidP="00AB7918">
            <w:pPr>
              <w:spacing w:line="480" w:lineRule="auto"/>
              <w:ind w:left="142"/>
              <w:rPr>
                <w:rFonts w:cs="Times New Roman"/>
                <w:sz w:val="20"/>
                <w:szCs w:val="20"/>
              </w:rPr>
            </w:pPr>
            <w:r w:rsidRPr="0055435C">
              <w:rPr>
                <w:rFonts w:cs="Times New Roman"/>
                <w:sz w:val="20"/>
                <w:szCs w:val="20"/>
              </w:rPr>
              <w:t>Z</w:t>
            </w:r>
            <w:r w:rsidR="004B64C1" w:rsidRPr="0055435C">
              <w:rPr>
                <w:rFonts w:cs="Times New Roman"/>
                <w:sz w:val="20"/>
                <w:szCs w:val="20"/>
              </w:rPr>
              <w:t xml:space="preserve"> score</w:t>
            </w:r>
          </w:p>
        </w:tc>
        <w:tc>
          <w:tcPr>
            <w:tcW w:w="717" w:type="dxa"/>
            <w:noWrap/>
            <w:hideMark/>
          </w:tcPr>
          <w:p w14:paraId="04DB633C" w14:textId="42EEE4FD" w:rsidR="004B64C1" w:rsidRPr="0055435C" w:rsidRDefault="004B64C1" w:rsidP="00AB7918">
            <w:pPr>
              <w:spacing w:line="480" w:lineRule="auto"/>
              <w:rPr>
                <w:rFonts w:cs="Times New Roman"/>
                <w:sz w:val="20"/>
                <w:szCs w:val="20"/>
              </w:rPr>
            </w:pPr>
            <w:r w:rsidRPr="0055435C">
              <w:rPr>
                <w:rFonts w:cs="Times New Roman"/>
                <w:sz w:val="20"/>
                <w:szCs w:val="20"/>
              </w:rPr>
              <w:t>0.00</w:t>
            </w:r>
          </w:p>
        </w:tc>
        <w:tc>
          <w:tcPr>
            <w:tcW w:w="705" w:type="dxa"/>
          </w:tcPr>
          <w:p w14:paraId="17B8984E" w14:textId="19A6ED2E" w:rsidR="004B64C1" w:rsidRPr="0055435C" w:rsidRDefault="00AB7918" w:rsidP="00AB7918">
            <w:pPr>
              <w:spacing w:line="480" w:lineRule="auto"/>
              <w:rPr>
                <w:rFonts w:cs="Times New Roman"/>
                <w:sz w:val="20"/>
                <w:szCs w:val="20"/>
              </w:rPr>
            </w:pPr>
            <w:r w:rsidRPr="0055435C">
              <w:rPr>
                <w:rFonts w:cs="Times New Roman"/>
                <w:sz w:val="20"/>
                <w:szCs w:val="20"/>
              </w:rPr>
              <w:t>(</w:t>
            </w:r>
            <w:r w:rsidR="004B64C1" w:rsidRPr="0055435C">
              <w:rPr>
                <w:rFonts w:cs="Times New Roman"/>
                <w:sz w:val="20"/>
                <w:szCs w:val="20"/>
              </w:rPr>
              <w:t>0.88</w:t>
            </w:r>
            <w:r w:rsidRPr="0055435C">
              <w:rPr>
                <w:rFonts w:cs="Times New Roman"/>
                <w:sz w:val="20"/>
                <w:szCs w:val="20"/>
              </w:rPr>
              <w:t>)</w:t>
            </w:r>
          </w:p>
        </w:tc>
        <w:tc>
          <w:tcPr>
            <w:tcW w:w="705" w:type="dxa"/>
            <w:noWrap/>
            <w:hideMark/>
          </w:tcPr>
          <w:p w14:paraId="6F7AA4AC" w14:textId="0E65C76F" w:rsidR="004B64C1" w:rsidRPr="0055435C" w:rsidRDefault="004B64C1" w:rsidP="00AB7918">
            <w:pPr>
              <w:spacing w:line="480" w:lineRule="auto"/>
              <w:rPr>
                <w:rFonts w:cs="Times New Roman"/>
                <w:sz w:val="20"/>
                <w:szCs w:val="20"/>
              </w:rPr>
            </w:pPr>
            <w:r w:rsidRPr="0055435C">
              <w:rPr>
                <w:rFonts w:cs="Times New Roman"/>
                <w:sz w:val="20"/>
                <w:szCs w:val="20"/>
              </w:rPr>
              <w:t>0.11</w:t>
            </w:r>
          </w:p>
        </w:tc>
        <w:tc>
          <w:tcPr>
            <w:tcW w:w="705" w:type="dxa"/>
          </w:tcPr>
          <w:p w14:paraId="73B2AFE0" w14:textId="1060725E" w:rsidR="004B64C1" w:rsidRPr="0055435C" w:rsidRDefault="00AB7918" w:rsidP="00AB7918">
            <w:pPr>
              <w:spacing w:line="480" w:lineRule="auto"/>
              <w:rPr>
                <w:rFonts w:cs="Times New Roman"/>
                <w:sz w:val="20"/>
                <w:szCs w:val="20"/>
              </w:rPr>
            </w:pPr>
            <w:r w:rsidRPr="0055435C">
              <w:rPr>
                <w:rFonts w:cs="Times New Roman"/>
                <w:sz w:val="20"/>
                <w:szCs w:val="20"/>
              </w:rPr>
              <w:t>(</w:t>
            </w:r>
            <w:r w:rsidR="004B64C1" w:rsidRPr="0055435C">
              <w:rPr>
                <w:rFonts w:cs="Times New Roman"/>
                <w:sz w:val="20"/>
                <w:szCs w:val="20"/>
              </w:rPr>
              <w:t>0.93</w:t>
            </w:r>
            <w:r w:rsidRPr="0055435C">
              <w:rPr>
                <w:rFonts w:cs="Times New Roman"/>
                <w:sz w:val="20"/>
                <w:szCs w:val="20"/>
              </w:rPr>
              <w:t>)</w:t>
            </w:r>
          </w:p>
        </w:tc>
        <w:tc>
          <w:tcPr>
            <w:tcW w:w="705" w:type="dxa"/>
            <w:noWrap/>
            <w:hideMark/>
          </w:tcPr>
          <w:p w14:paraId="4F0C5D4F" w14:textId="3973D396" w:rsidR="004B64C1" w:rsidRPr="0055435C" w:rsidRDefault="004B64C1" w:rsidP="00AB7918">
            <w:pPr>
              <w:spacing w:line="480" w:lineRule="auto"/>
              <w:rPr>
                <w:rFonts w:cs="Times New Roman"/>
                <w:sz w:val="20"/>
                <w:szCs w:val="20"/>
              </w:rPr>
            </w:pPr>
            <w:r w:rsidRPr="0055435C">
              <w:rPr>
                <w:rFonts w:cs="Times New Roman"/>
                <w:sz w:val="20"/>
                <w:szCs w:val="20"/>
              </w:rPr>
              <w:t>0.02</w:t>
            </w:r>
          </w:p>
        </w:tc>
        <w:tc>
          <w:tcPr>
            <w:tcW w:w="697" w:type="dxa"/>
          </w:tcPr>
          <w:p w14:paraId="0212CCED" w14:textId="3FCCF975" w:rsidR="004B64C1" w:rsidRPr="0055435C" w:rsidRDefault="00AB7918" w:rsidP="00AB7918">
            <w:pPr>
              <w:spacing w:line="480" w:lineRule="auto"/>
              <w:rPr>
                <w:rFonts w:cs="Times New Roman"/>
                <w:sz w:val="20"/>
                <w:szCs w:val="20"/>
              </w:rPr>
            </w:pPr>
            <w:r w:rsidRPr="0055435C">
              <w:rPr>
                <w:rFonts w:cs="Times New Roman"/>
                <w:sz w:val="20"/>
                <w:szCs w:val="20"/>
              </w:rPr>
              <w:t>(1.01)</w:t>
            </w:r>
          </w:p>
        </w:tc>
        <w:tc>
          <w:tcPr>
            <w:tcW w:w="672" w:type="dxa"/>
            <w:noWrap/>
            <w:hideMark/>
          </w:tcPr>
          <w:p w14:paraId="28647F3C" w14:textId="402788AC" w:rsidR="004B64C1" w:rsidRPr="0055435C" w:rsidRDefault="004B64C1" w:rsidP="00AB7918">
            <w:pPr>
              <w:spacing w:line="480" w:lineRule="auto"/>
              <w:rPr>
                <w:rFonts w:cs="Times New Roman"/>
                <w:sz w:val="20"/>
                <w:szCs w:val="20"/>
              </w:rPr>
            </w:pPr>
            <w:r w:rsidRPr="0055435C">
              <w:rPr>
                <w:rFonts w:cs="Times New Roman"/>
                <w:sz w:val="20"/>
                <w:szCs w:val="20"/>
              </w:rPr>
              <w:t>0.09</w:t>
            </w:r>
          </w:p>
        </w:tc>
        <w:tc>
          <w:tcPr>
            <w:tcW w:w="705" w:type="dxa"/>
          </w:tcPr>
          <w:p w14:paraId="45CBC469" w14:textId="1BA5C5C2" w:rsidR="004B64C1" w:rsidRPr="0055435C" w:rsidRDefault="00AB7918" w:rsidP="00AB7918">
            <w:pPr>
              <w:spacing w:line="480" w:lineRule="auto"/>
              <w:rPr>
                <w:rFonts w:cs="Times New Roman"/>
                <w:sz w:val="20"/>
                <w:szCs w:val="20"/>
              </w:rPr>
            </w:pPr>
            <w:r w:rsidRPr="0055435C">
              <w:rPr>
                <w:rFonts w:cs="Times New Roman"/>
                <w:sz w:val="20"/>
                <w:szCs w:val="20"/>
              </w:rPr>
              <w:t>(</w:t>
            </w:r>
            <w:r w:rsidR="004B64C1" w:rsidRPr="0055435C">
              <w:rPr>
                <w:rFonts w:cs="Times New Roman"/>
                <w:sz w:val="20"/>
                <w:szCs w:val="20"/>
              </w:rPr>
              <w:t>1.03</w:t>
            </w:r>
            <w:r w:rsidR="003117FF" w:rsidRPr="0055435C">
              <w:rPr>
                <w:rFonts w:cs="Times New Roman"/>
                <w:sz w:val="20"/>
                <w:szCs w:val="20"/>
              </w:rPr>
              <w:t>)</w:t>
            </w:r>
          </w:p>
        </w:tc>
        <w:tc>
          <w:tcPr>
            <w:tcW w:w="705" w:type="dxa"/>
            <w:noWrap/>
            <w:hideMark/>
          </w:tcPr>
          <w:p w14:paraId="3271EAFA" w14:textId="56411130" w:rsidR="004B64C1" w:rsidRPr="0055435C" w:rsidRDefault="00963720" w:rsidP="00AB7918">
            <w:pPr>
              <w:spacing w:line="480" w:lineRule="auto"/>
              <w:rPr>
                <w:rFonts w:cs="Times New Roman"/>
                <w:sz w:val="20"/>
                <w:szCs w:val="20"/>
              </w:rPr>
            </w:pPr>
            <w:r w:rsidRPr="0055435C">
              <w:rPr>
                <w:rFonts w:cs="Times New Roman"/>
                <w:sz w:val="20"/>
                <w:szCs w:val="20"/>
              </w:rPr>
              <w:t>-</w:t>
            </w:r>
          </w:p>
        </w:tc>
        <w:tc>
          <w:tcPr>
            <w:tcW w:w="705" w:type="dxa"/>
          </w:tcPr>
          <w:p w14:paraId="2CD3F838" w14:textId="77777777" w:rsidR="004B64C1" w:rsidRPr="0055435C" w:rsidRDefault="004B64C1" w:rsidP="00AB7918">
            <w:pPr>
              <w:spacing w:line="480" w:lineRule="auto"/>
              <w:rPr>
                <w:rFonts w:cs="Times New Roman"/>
                <w:sz w:val="20"/>
                <w:szCs w:val="20"/>
              </w:rPr>
            </w:pPr>
          </w:p>
        </w:tc>
      </w:tr>
      <w:tr w:rsidR="00EA336C" w:rsidRPr="0055435C" w14:paraId="0D508B05" w14:textId="77777777" w:rsidTr="00AB7918">
        <w:trPr>
          <w:trHeight w:val="324"/>
        </w:trPr>
        <w:tc>
          <w:tcPr>
            <w:tcW w:w="2221" w:type="dxa"/>
            <w:noWrap/>
          </w:tcPr>
          <w:p w14:paraId="3A3D0C5E" w14:textId="571A7F21" w:rsidR="00EA336C" w:rsidRPr="0055435C" w:rsidRDefault="00EA336C" w:rsidP="00AB7918">
            <w:pPr>
              <w:spacing w:line="480" w:lineRule="auto"/>
              <w:rPr>
                <w:rFonts w:cs="Times New Roman"/>
                <w:b/>
                <w:sz w:val="20"/>
                <w:szCs w:val="20"/>
              </w:rPr>
            </w:pPr>
            <w:r w:rsidRPr="0055435C">
              <w:rPr>
                <w:rFonts w:cs="Times New Roman"/>
                <w:b/>
                <w:sz w:val="20"/>
                <w:szCs w:val="20"/>
              </w:rPr>
              <w:t>BMI</w:t>
            </w:r>
          </w:p>
        </w:tc>
        <w:tc>
          <w:tcPr>
            <w:tcW w:w="717" w:type="dxa"/>
            <w:noWrap/>
          </w:tcPr>
          <w:p w14:paraId="53103416" w14:textId="77777777" w:rsidR="00EA336C" w:rsidRPr="0055435C" w:rsidRDefault="00EA336C" w:rsidP="00AB7918">
            <w:pPr>
              <w:spacing w:line="480" w:lineRule="auto"/>
              <w:rPr>
                <w:rFonts w:cs="Times New Roman"/>
                <w:sz w:val="20"/>
                <w:szCs w:val="20"/>
              </w:rPr>
            </w:pPr>
          </w:p>
        </w:tc>
        <w:tc>
          <w:tcPr>
            <w:tcW w:w="705" w:type="dxa"/>
          </w:tcPr>
          <w:p w14:paraId="2FAB03D7" w14:textId="77777777" w:rsidR="00EA336C" w:rsidRPr="0055435C" w:rsidRDefault="00EA336C" w:rsidP="00AB7918">
            <w:pPr>
              <w:spacing w:line="480" w:lineRule="auto"/>
              <w:rPr>
                <w:rFonts w:cs="Times New Roman"/>
                <w:sz w:val="20"/>
                <w:szCs w:val="20"/>
              </w:rPr>
            </w:pPr>
          </w:p>
        </w:tc>
        <w:tc>
          <w:tcPr>
            <w:tcW w:w="705" w:type="dxa"/>
            <w:noWrap/>
          </w:tcPr>
          <w:p w14:paraId="4EBF0C65" w14:textId="77777777" w:rsidR="00EA336C" w:rsidRPr="0055435C" w:rsidRDefault="00EA336C" w:rsidP="00AB7918">
            <w:pPr>
              <w:spacing w:line="480" w:lineRule="auto"/>
              <w:rPr>
                <w:rFonts w:cs="Times New Roman"/>
                <w:sz w:val="20"/>
                <w:szCs w:val="20"/>
              </w:rPr>
            </w:pPr>
          </w:p>
        </w:tc>
        <w:tc>
          <w:tcPr>
            <w:tcW w:w="705" w:type="dxa"/>
          </w:tcPr>
          <w:p w14:paraId="124B6EDD" w14:textId="77777777" w:rsidR="00EA336C" w:rsidRPr="0055435C" w:rsidRDefault="00EA336C" w:rsidP="00AB7918">
            <w:pPr>
              <w:spacing w:line="480" w:lineRule="auto"/>
              <w:rPr>
                <w:rFonts w:cs="Times New Roman"/>
                <w:sz w:val="20"/>
                <w:szCs w:val="20"/>
              </w:rPr>
            </w:pPr>
          </w:p>
        </w:tc>
        <w:tc>
          <w:tcPr>
            <w:tcW w:w="705" w:type="dxa"/>
            <w:noWrap/>
          </w:tcPr>
          <w:p w14:paraId="72E8C489" w14:textId="77777777" w:rsidR="00EA336C" w:rsidRPr="0055435C" w:rsidRDefault="00EA336C" w:rsidP="00AB7918">
            <w:pPr>
              <w:spacing w:line="480" w:lineRule="auto"/>
              <w:rPr>
                <w:rFonts w:cs="Times New Roman"/>
                <w:sz w:val="20"/>
                <w:szCs w:val="20"/>
              </w:rPr>
            </w:pPr>
          </w:p>
        </w:tc>
        <w:tc>
          <w:tcPr>
            <w:tcW w:w="697" w:type="dxa"/>
          </w:tcPr>
          <w:p w14:paraId="66C8BB12" w14:textId="77777777" w:rsidR="00EA336C" w:rsidRPr="0055435C" w:rsidRDefault="00EA336C" w:rsidP="00AB7918">
            <w:pPr>
              <w:spacing w:line="480" w:lineRule="auto"/>
              <w:rPr>
                <w:rFonts w:cs="Times New Roman"/>
                <w:sz w:val="20"/>
                <w:szCs w:val="20"/>
              </w:rPr>
            </w:pPr>
          </w:p>
        </w:tc>
        <w:tc>
          <w:tcPr>
            <w:tcW w:w="672" w:type="dxa"/>
            <w:noWrap/>
          </w:tcPr>
          <w:p w14:paraId="3DBD92C2" w14:textId="77777777" w:rsidR="00EA336C" w:rsidRPr="0055435C" w:rsidRDefault="00EA336C" w:rsidP="00AB7918">
            <w:pPr>
              <w:spacing w:line="480" w:lineRule="auto"/>
              <w:rPr>
                <w:rFonts w:cs="Times New Roman"/>
                <w:sz w:val="20"/>
                <w:szCs w:val="20"/>
              </w:rPr>
            </w:pPr>
          </w:p>
        </w:tc>
        <w:tc>
          <w:tcPr>
            <w:tcW w:w="705" w:type="dxa"/>
          </w:tcPr>
          <w:p w14:paraId="2CB3E190" w14:textId="77777777" w:rsidR="00EA336C" w:rsidRPr="0055435C" w:rsidRDefault="00EA336C" w:rsidP="00AB7918">
            <w:pPr>
              <w:spacing w:line="480" w:lineRule="auto"/>
              <w:rPr>
                <w:rFonts w:cs="Times New Roman"/>
                <w:sz w:val="20"/>
                <w:szCs w:val="20"/>
              </w:rPr>
            </w:pPr>
          </w:p>
        </w:tc>
        <w:tc>
          <w:tcPr>
            <w:tcW w:w="705" w:type="dxa"/>
            <w:noWrap/>
          </w:tcPr>
          <w:p w14:paraId="0BE116ED" w14:textId="77777777" w:rsidR="00EA336C" w:rsidRPr="0055435C" w:rsidRDefault="00EA336C" w:rsidP="00AB7918">
            <w:pPr>
              <w:spacing w:line="480" w:lineRule="auto"/>
              <w:rPr>
                <w:rFonts w:cs="Times New Roman"/>
                <w:sz w:val="20"/>
                <w:szCs w:val="20"/>
              </w:rPr>
            </w:pPr>
          </w:p>
        </w:tc>
        <w:tc>
          <w:tcPr>
            <w:tcW w:w="705" w:type="dxa"/>
          </w:tcPr>
          <w:p w14:paraId="55392BC2" w14:textId="77777777" w:rsidR="00EA336C" w:rsidRPr="0055435C" w:rsidRDefault="00EA336C" w:rsidP="00AB7918">
            <w:pPr>
              <w:spacing w:line="480" w:lineRule="auto"/>
              <w:rPr>
                <w:rFonts w:cs="Times New Roman"/>
                <w:sz w:val="20"/>
                <w:szCs w:val="20"/>
              </w:rPr>
            </w:pPr>
          </w:p>
        </w:tc>
      </w:tr>
      <w:tr w:rsidR="003117FF" w:rsidRPr="0055435C" w14:paraId="4F065130" w14:textId="5AE649BE" w:rsidTr="00AB7918">
        <w:trPr>
          <w:trHeight w:val="324"/>
        </w:trPr>
        <w:tc>
          <w:tcPr>
            <w:tcW w:w="2221" w:type="dxa"/>
            <w:noWrap/>
            <w:hideMark/>
          </w:tcPr>
          <w:p w14:paraId="3E7D3AB5" w14:textId="39A3A904" w:rsidR="004B64C1" w:rsidRPr="0055435C" w:rsidRDefault="004B64C1" w:rsidP="00AB7918">
            <w:pPr>
              <w:spacing w:line="480" w:lineRule="auto"/>
              <w:ind w:left="142"/>
              <w:rPr>
                <w:rFonts w:cs="Times New Roman"/>
                <w:sz w:val="20"/>
                <w:szCs w:val="20"/>
              </w:rPr>
            </w:pPr>
            <w:r w:rsidRPr="0055435C">
              <w:rPr>
                <w:rFonts w:cs="Times New Roman"/>
                <w:sz w:val="20"/>
                <w:szCs w:val="20"/>
              </w:rPr>
              <w:t>kg/m</w:t>
            </w:r>
            <w:r w:rsidRPr="0055435C">
              <w:rPr>
                <w:rFonts w:cs="Times New Roman"/>
                <w:sz w:val="20"/>
                <w:szCs w:val="20"/>
                <w:vertAlign w:val="superscript"/>
              </w:rPr>
              <w:t>2</w:t>
            </w:r>
          </w:p>
        </w:tc>
        <w:tc>
          <w:tcPr>
            <w:tcW w:w="717" w:type="dxa"/>
            <w:noWrap/>
            <w:hideMark/>
          </w:tcPr>
          <w:p w14:paraId="6541FE67" w14:textId="77777777" w:rsidR="004B64C1" w:rsidRPr="0055435C" w:rsidRDefault="004B64C1" w:rsidP="00AB7918">
            <w:pPr>
              <w:spacing w:line="480" w:lineRule="auto"/>
              <w:rPr>
                <w:rFonts w:cs="Times New Roman"/>
                <w:sz w:val="20"/>
                <w:szCs w:val="20"/>
              </w:rPr>
            </w:pPr>
            <w:r w:rsidRPr="0055435C">
              <w:rPr>
                <w:rFonts w:cs="Times New Roman"/>
                <w:sz w:val="20"/>
                <w:szCs w:val="20"/>
              </w:rPr>
              <w:t>13.5</w:t>
            </w:r>
          </w:p>
        </w:tc>
        <w:tc>
          <w:tcPr>
            <w:tcW w:w="705" w:type="dxa"/>
          </w:tcPr>
          <w:p w14:paraId="6190CFDB" w14:textId="5DD6BF3B" w:rsidR="004B64C1" w:rsidRPr="0055435C" w:rsidRDefault="004B64C1" w:rsidP="00AB7918">
            <w:pPr>
              <w:spacing w:line="480" w:lineRule="auto"/>
              <w:rPr>
                <w:rFonts w:cs="Times New Roman"/>
                <w:sz w:val="20"/>
                <w:szCs w:val="20"/>
              </w:rPr>
            </w:pPr>
            <w:r w:rsidRPr="0055435C">
              <w:rPr>
                <w:rFonts w:cs="Times New Roman"/>
                <w:sz w:val="20"/>
                <w:szCs w:val="20"/>
              </w:rPr>
              <w:t>(1.2)</w:t>
            </w:r>
          </w:p>
        </w:tc>
        <w:tc>
          <w:tcPr>
            <w:tcW w:w="705" w:type="dxa"/>
            <w:noWrap/>
            <w:hideMark/>
          </w:tcPr>
          <w:p w14:paraId="2FC9AEA7" w14:textId="1FB799B7" w:rsidR="004B64C1" w:rsidRPr="0055435C" w:rsidRDefault="004B64C1" w:rsidP="00AB7918">
            <w:pPr>
              <w:spacing w:line="480" w:lineRule="auto"/>
              <w:rPr>
                <w:rFonts w:cs="Times New Roman"/>
                <w:sz w:val="20"/>
                <w:szCs w:val="20"/>
              </w:rPr>
            </w:pPr>
            <w:r w:rsidRPr="0055435C">
              <w:rPr>
                <w:rFonts w:cs="Times New Roman"/>
                <w:sz w:val="20"/>
                <w:szCs w:val="20"/>
              </w:rPr>
              <w:t>16.4</w:t>
            </w:r>
          </w:p>
        </w:tc>
        <w:tc>
          <w:tcPr>
            <w:tcW w:w="705" w:type="dxa"/>
          </w:tcPr>
          <w:p w14:paraId="38B02C7A" w14:textId="6CC513D9" w:rsidR="004B64C1" w:rsidRPr="0055435C" w:rsidRDefault="004B64C1" w:rsidP="00AB7918">
            <w:pPr>
              <w:spacing w:line="480" w:lineRule="auto"/>
              <w:rPr>
                <w:rFonts w:cs="Times New Roman"/>
                <w:sz w:val="20"/>
                <w:szCs w:val="20"/>
              </w:rPr>
            </w:pPr>
            <w:r w:rsidRPr="0055435C">
              <w:rPr>
                <w:rFonts w:cs="Times New Roman"/>
                <w:sz w:val="20"/>
                <w:szCs w:val="20"/>
              </w:rPr>
              <w:t>(1.2)</w:t>
            </w:r>
          </w:p>
        </w:tc>
        <w:tc>
          <w:tcPr>
            <w:tcW w:w="705" w:type="dxa"/>
            <w:noWrap/>
            <w:hideMark/>
          </w:tcPr>
          <w:p w14:paraId="673E1275" w14:textId="291228B3" w:rsidR="004B64C1" w:rsidRPr="0055435C" w:rsidRDefault="004B64C1" w:rsidP="00AB7918">
            <w:pPr>
              <w:spacing w:line="480" w:lineRule="auto"/>
              <w:rPr>
                <w:rFonts w:cs="Times New Roman"/>
                <w:sz w:val="20"/>
                <w:szCs w:val="20"/>
              </w:rPr>
            </w:pPr>
            <w:r w:rsidRPr="0055435C">
              <w:rPr>
                <w:rFonts w:cs="Times New Roman"/>
                <w:sz w:val="20"/>
                <w:szCs w:val="20"/>
              </w:rPr>
              <w:t>15.4</w:t>
            </w:r>
          </w:p>
        </w:tc>
        <w:tc>
          <w:tcPr>
            <w:tcW w:w="697" w:type="dxa"/>
          </w:tcPr>
          <w:p w14:paraId="571E17DF" w14:textId="72CED8A9" w:rsidR="004B64C1" w:rsidRPr="0055435C" w:rsidRDefault="004B64C1" w:rsidP="00AB7918">
            <w:pPr>
              <w:spacing w:line="480" w:lineRule="auto"/>
              <w:rPr>
                <w:rFonts w:cs="Times New Roman"/>
                <w:sz w:val="20"/>
                <w:szCs w:val="20"/>
              </w:rPr>
            </w:pPr>
            <w:r w:rsidRPr="0055435C">
              <w:rPr>
                <w:rFonts w:cs="Times New Roman"/>
                <w:sz w:val="20"/>
                <w:szCs w:val="20"/>
              </w:rPr>
              <w:t>(1.4)</w:t>
            </w:r>
          </w:p>
        </w:tc>
        <w:tc>
          <w:tcPr>
            <w:tcW w:w="672" w:type="dxa"/>
            <w:noWrap/>
            <w:hideMark/>
          </w:tcPr>
          <w:p w14:paraId="535711E2" w14:textId="264C45CA" w:rsidR="004B64C1" w:rsidRPr="0055435C" w:rsidRDefault="004B64C1" w:rsidP="00AB7918">
            <w:pPr>
              <w:spacing w:line="480" w:lineRule="auto"/>
              <w:rPr>
                <w:rFonts w:cs="Times New Roman"/>
                <w:sz w:val="20"/>
                <w:szCs w:val="20"/>
              </w:rPr>
            </w:pPr>
            <w:r w:rsidRPr="0055435C">
              <w:rPr>
                <w:rFonts w:cs="Times New Roman"/>
                <w:sz w:val="20"/>
                <w:szCs w:val="20"/>
              </w:rPr>
              <w:t>17.1</w:t>
            </w:r>
          </w:p>
        </w:tc>
        <w:tc>
          <w:tcPr>
            <w:tcW w:w="705" w:type="dxa"/>
          </w:tcPr>
          <w:p w14:paraId="29A32E65" w14:textId="2E2595B1" w:rsidR="004B64C1" w:rsidRPr="0055435C" w:rsidRDefault="004B64C1" w:rsidP="00AB7918">
            <w:pPr>
              <w:spacing w:line="480" w:lineRule="auto"/>
              <w:rPr>
                <w:rFonts w:cs="Times New Roman"/>
                <w:sz w:val="20"/>
                <w:szCs w:val="20"/>
              </w:rPr>
            </w:pPr>
            <w:r w:rsidRPr="0055435C">
              <w:rPr>
                <w:rFonts w:cs="Times New Roman"/>
                <w:sz w:val="20"/>
                <w:szCs w:val="20"/>
              </w:rPr>
              <w:t>(2.0)</w:t>
            </w:r>
          </w:p>
        </w:tc>
        <w:tc>
          <w:tcPr>
            <w:tcW w:w="705" w:type="dxa"/>
            <w:noWrap/>
            <w:hideMark/>
          </w:tcPr>
          <w:p w14:paraId="4E55DCD9" w14:textId="353ABE4C" w:rsidR="004B64C1" w:rsidRPr="0055435C" w:rsidRDefault="004B64C1" w:rsidP="00AB7918">
            <w:pPr>
              <w:spacing w:line="480" w:lineRule="auto"/>
              <w:rPr>
                <w:rFonts w:cs="Times New Roman"/>
                <w:sz w:val="20"/>
                <w:szCs w:val="20"/>
              </w:rPr>
            </w:pPr>
            <w:r w:rsidRPr="0055435C">
              <w:rPr>
                <w:rFonts w:cs="Times New Roman"/>
                <w:sz w:val="20"/>
                <w:szCs w:val="20"/>
              </w:rPr>
              <w:t>27.3</w:t>
            </w:r>
          </w:p>
        </w:tc>
        <w:tc>
          <w:tcPr>
            <w:tcW w:w="705" w:type="dxa"/>
          </w:tcPr>
          <w:p w14:paraId="4FA7F037" w14:textId="04347E67" w:rsidR="004B64C1" w:rsidRPr="0055435C" w:rsidRDefault="004B64C1" w:rsidP="00AB7918">
            <w:pPr>
              <w:spacing w:line="480" w:lineRule="auto"/>
              <w:rPr>
                <w:rFonts w:cs="Times New Roman"/>
                <w:sz w:val="20"/>
                <w:szCs w:val="20"/>
              </w:rPr>
            </w:pPr>
            <w:r w:rsidRPr="0055435C">
              <w:rPr>
                <w:rFonts w:cs="Times New Roman"/>
                <w:sz w:val="20"/>
                <w:szCs w:val="20"/>
              </w:rPr>
              <w:t>(4.9)</w:t>
            </w:r>
          </w:p>
        </w:tc>
      </w:tr>
      <w:tr w:rsidR="003117FF" w:rsidRPr="0055435C" w14:paraId="2AD325D4" w14:textId="78B740EC" w:rsidTr="00AB7918">
        <w:trPr>
          <w:trHeight w:val="288"/>
        </w:trPr>
        <w:tc>
          <w:tcPr>
            <w:tcW w:w="2221" w:type="dxa"/>
            <w:noWrap/>
            <w:hideMark/>
          </w:tcPr>
          <w:p w14:paraId="40658EE8" w14:textId="19878951" w:rsidR="004B64C1" w:rsidRPr="0055435C" w:rsidRDefault="00963720" w:rsidP="00AB7918">
            <w:pPr>
              <w:spacing w:line="480" w:lineRule="auto"/>
              <w:ind w:left="142"/>
              <w:rPr>
                <w:rFonts w:cs="Times New Roman"/>
                <w:sz w:val="20"/>
                <w:szCs w:val="20"/>
              </w:rPr>
            </w:pPr>
            <w:r w:rsidRPr="0055435C">
              <w:rPr>
                <w:rFonts w:cs="Times New Roman"/>
                <w:sz w:val="20"/>
                <w:szCs w:val="20"/>
              </w:rPr>
              <w:t>Z</w:t>
            </w:r>
            <w:r w:rsidR="004B64C1" w:rsidRPr="0055435C">
              <w:rPr>
                <w:rFonts w:cs="Times New Roman"/>
                <w:sz w:val="20"/>
                <w:szCs w:val="20"/>
              </w:rPr>
              <w:t xml:space="preserve"> score</w:t>
            </w:r>
          </w:p>
        </w:tc>
        <w:tc>
          <w:tcPr>
            <w:tcW w:w="717" w:type="dxa"/>
            <w:noWrap/>
            <w:hideMark/>
          </w:tcPr>
          <w:p w14:paraId="13282669" w14:textId="60314A53" w:rsidR="004B64C1" w:rsidRPr="0055435C" w:rsidRDefault="00536E40" w:rsidP="00AB7918">
            <w:pPr>
              <w:spacing w:line="480" w:lineRule="auto"/>
              <w:rPr>
                <w:rFonts w:cs="Times New Roman"/>
                <w:sz w:val="20"/>
                <w:szCs w:val="20"/>
              </w:rPr>
            </w:pPr>
            <w:r w:rsidRPr="0055435C">
              <w:rPr>
                <w:rFonts w:cs="Times New Roman"/>
                <w:sz w:val="20"/>
                <w:szCs w:val="20"/>
              </w:rPr>
              <w:t>0.01</w:t>
            </w:r>
          </w:p>
        </w:tc>
        <w:tc>
          <w:tcPr>
            <w:tcW w:w="705" w:type="dxa"/>
          </w:tcPr>
          <w:p w14:paraId="369500FC" w14:textId="4F2B6858" w:rsidR="004B64C1" w:rsidRPr="0055435C" w:rsidRDefault="00AB7918" w:rsidP="00AB7918">
            <w:pPr>
              <w:spacing w:line="480" w:lineRule="auto"/>
              <w:rPr>
                <w:rFonts w:cs="Times New Roman"/>
                <w:sz w:val="20"/>
                <w:szCs w:val="20"/>
              </w:rPr>
            </w:pPr>
            <w:r w:rsidRPr="0055435C">
              <w:rPr>
                <w:rFonts w:cs="Times New Roman"/>
                <w:sz w:val="20"/>
                <w:szCs w:val="20"/>
              </w:rPr>
              <w:t>(</w:t>
            </w:r>
            <w:r w:rsidR="00536E40" w:rsidRPr="0055435C">
              <w:rPr>
                <w:rFonts w:cs="Times New Roman"/>
                <w:sz w:val="20"/>
                <w:szCs w:val="20"/>
              </w:rPr>
              <w:t>0.93</w:t>
            </w:r>
            <w:r w:rsidRPr="0055435C">
              <w:rPr>
                <w:rFonts w:cs="Times New Roman"/>
                <w:sz w:val="20"/>
                <w:szCs w:val="20"/>
              </w:rPr>
              <w:t>)</w:t>
            </w:r>
          </w:p>
        </w:tc>
        <w:tc>
          <w:tcPr>
            <w:tcW w:w="705" w:type="dxa"/>
            <w:noWrap/>
            <w:hideMark/>
          </w:tcPr>
          <w:p w14:paraId="0656529B" w14:textId="557EF615" w:rsidR="004B64C1" w:rsidRPr="0055435C" w:rsidRDefault="00536E40" w:rsidP="00AB7918">
            <w:pPr>
              <w:spacing w:line="480" w:lineRule="auto"/>
              <w:rPr>
                <w:rFonts w:cs="Times New Roman"/>
                <w:sz w:val="20"/>
                <w:szCs w:val="20"/>
              </w:rPr>
            </w:pPr>
            <w:r w:rsidRPr="0055435C">
              <w:rPr>
                <w:rFonts w:cs="Times New Roman"/>
                <w:sz w:val="20"/>
                <w:szCs w:val="20"/>
              </w:rPr>
              <w:t>-0.01</w:t>
            </w:r>
          </w:p>
        </w:tc>
        <w:tc>
          <w:tcPr>
            <w:tcW w:w="705" w:type="dxa"/>
          </w:tcPr>
          <w:p w14:paraId="7809A16C" w14:textId="2109DEE3" w:rsidR="004B64C1" w:rsidRPr="0055435C" w:rsidRDefault="00AB7918" w:rsidP="00AB7918">
            <w:pPr>
              <w:spacing w:line="480" w:lineRule="auto"/>
              <w:rPr>
                <w:rFonts w:cs="Times New Roman"/>
                <w:sz w:val="20"/>
                <w:szCs w:val="20"/>
              </w:rPr>
            </w:pPr>
            <w:r w:rsidRPr="0055435C">
              <w:rPr>
                <w:rFonts w:cs="Times New Roman"/>
                <w:sz w:val="20"/>
                <w:szCs w:val="20"/>
              </w:rPr>
              <w:t>(</w:t>
            </w:r>
            <w:r w:rsidR="00536E40" w:rsidRPr="0055435C">
              <w:rPr>
                <w:rFonts w:cs="Times New Roman"/>
                <w:sz w:val="20"/>
                <w:szCs w:val="20"/>
              </w:rPr>
              <w:t>1.00</w:t>
            </w:r>
            <w:r w:rsidRPr="0055435C">
              <w:rPr>
                <w:rFonts w:cs="Times New Roman"/>
                <w:sz w:val="20"/>
                <w:szCs w:val="20"/>
              </w:rPr>
              <w:t>)</w:t>
            </w:r>
          </w:p>
        </w:tc>
        <w:tc>
          <w:tcPr>
            <w:tcW w:w="705" w:type="dxa"/>
            <w:noWrap/>
            <w:hideMark/>
          </w:tcPr>
          <w:p w14:paraId="38ABAA39" w14:textId="35E1D898" w:rsidR="004B64C1" w:rsidRPr="0055435C" w:rsidRDefault="00536E40" w:rsidP="00AB7918">
            <w:pPr>
              <w:spacing w:line="480" w:lineRule="auto"/>
              <w:rPr>
                <w:rFonts w:cs="Times New Roman"/>
                <w:sz w:val="20"/>
                <w:szCs w:val="20"/>
              </w:rPr>
            </w:pPr>
            <w:r w:rsidRPr="0055435C">
              <w:rPr>
                <w:rFonts w:cs="Times New Roman"/>
                <w:sz w:val="20"/>
                <w:szCs w:val="20"/>
              </w:rPr>
              <w:t>-0.09</w:t>
            </w:r>
          </w:p>
        </w:tc>
        <w:tc>
          <w:tcPr>
            <w:tcW w:w="697" w:type="dxa"/>
          </w:tcPr>
          <w:p w14:paraId="21B78876" w14:textId="477FA6A2" w:rsidR="004B64C1" w:rsidRPr="0055435C" w:rsidRDefault="00AB7918" w:rsidP="00AB7918">
            <w:pPr>
              <w:spacing w:line="480" w:lineRule="auto"/>
              <w:rPr>
                <w:rFonts w:cs="Times New Roman"/>
                <w:sz w:val="20"/>
                <w:szCs w:val="20"/>
              </w:rPr>
            </w:pPr>
            <w:r w:rsidRPr="0055435C">
              <w:rPr>
                <w:rFonts w:cs="Times New Roman"/>
                <w:sz w:val="20"/>
                <w:szCs w:val="20"/>
              </w:rPr>
              <w:t>(</w:t>
            </w:r>
            <w:r w:rsidR="00536E40" w:rsidRPr="0055435C">
              <w:rPr>
                <w:rFonts w:cs="Times New Roman"/>
                <w:sz w:val="20"/>
                <w:szCs w:val="20"/>
              </w:rPr>
              <w:t>1.03</w:t>
            </w:r>
            <w:r w:rsidRPr="0055435C">
              <w:rPr>
                <w:rFonts w:cs="Times New Roman"/>
                <w:sz w:val="20"/>
                <w:szCs w:val="20"/>
              </w:rPr>
              <w:t>)</w:t>
            </w:r>
          </w:p>
        </w:tc>
        <w:tc>
          <w:tcPr>
            <w:tcW w:w="672" w:type="dxa"/>
            <w:noWrap/>
            <w:hideMark/>
          </w:tcPr>
          <w:p w14:paraId="2CAE231A" w14:textId="733E424B" w:rsidR="004B64C1" w:rsidRPr="0055435C" w:rsidRDefault="00536E40" w:rsidP="00AB7918">
            <w:pPr>
              <w:spacing w:line="480" w:lineRule="auto"/>
              <w:rPr>
                <w:rFonts w:cs="Times New Roman"/>
                <w:sz w:val="20"/>
                <w:szCs w:val="20"/>
              </w:rPr>
            </w:pPr>
            <w:r w:rsidRPr="0055435C">
              <w:rPr>
                <w:rFonts w:cs="Times New Roman"/>
                <w:sz w:val="20"/>
                <w:szCs w:val="20"/>
              </w:rPr>
              <w:t>0.01</w:t>
            </w:r>
          </w:p>
        </w:tc>
        <w:tc>
          <w:tcPr>
            <w:tcW w:w="705" w:type="dxa"/>
          </w:tcPr>
          <w:p w14:paraId="16532DE5" w14:textId="07287D3B" w:rsidR="004B64C1" w:rsidRPr="0055435C" w:rsidRDefault="00AB7918" w:rsidP="00AB7918">
            <w:pPr>
              <w:spacing w:line="480" w:lineRule="auto"/>
              <w:rPr>
                <w:rFonts w:cs="Times New Roman"/>
                <w:sz w:val="20"/>
                <w:szCs w:val="20"/>
              </w:rPr>
            </w:pPr>
            <w:r w:rsidRPr="0055435C">
              <w:rPr>
                <w:rFonts w:cs="Times New Roman"/>
                <w:sz w:val="20"/>
                <w:szCs w:val="20"/>
              </w:rPr>
              <w:t>(</w:t>
            </w:r>
            <w:r w:rsidR="00536E40" w:rsidRPr="0055435C">
              <w:rPr>
                <w:rFonts w:cs="Times New Roman"/>
                <w:sz w:val="20"/>
                <w:szCs w:val="20"/>
              </w:rPr>
              <w:t>1.04</w:t>
            </w:r>
            <w:r w:rsidR="003117FF" w:rsidRPr="0055435C">
              <w:rPr>
                <w:rFonts w:cs="Times New Roman"/>
                <w:sz w:val="20"/>
                <w:szCs w:val="20"/>
              </w:rPr>
              <w:t>)</w:t>
            </w:r>
          </w:p>
        </w:tc>
        <w:tc>
          <w:tcPr>
            <w:tcW w:w="705" w:type="dxa"/>
            <w:noWrap/>
            <w:hideMark/>
          </w:tcPr>
          <w:p w14:paraId="2F85607B" w14:textId="193D4791" w:rsidR="004B64C1" w:rsidRPr="0055435C" w:rsidRDefault="00963720" w:rsidP="00AB7918">
            <w:pPr>
              <w:spacing w:line="480" w:lineRule="auto"/>
              <w:rPr>
                <w:rFonts w:cs="Times New Roman"/>
                <w:sz w:val="20"/>
                <w:szCs w:val="20"/>
              </w:rPr>
            </w:pPr>
            <w:r w:rsidRPr="0055435C">
              <w:rPr>
                <w:rFonts w:cs="Times New Roman"/>
                <w:sz w:val="20"/>
                <w:szCs w:val="20"/>
              </w:rPr>
              <w:t>-</w:t>
            </w:r>
          </w:p>
        </w:tc>
        <w:tc>
          <w:tcPr>
            <w:tcW w:w="705" w:type="dxa"/>
          </w:tcPr>
          <w:p w14:paraId="2942A0DC" w14:textId="77777777" w:rsidR="004B64C1" w:rsidRPr="0055435C" w:rsidRDefault="004B64C1" w:rsidP="00AB7918">
            <w:pPr>
              <w:spacing w:line="480" w:lineRule="auto"/>
              <w:rPr>
                <w:rFonts w:cs="Times New Roman"/>
                <w:sz w:val="20"/>
                <w:szCs w:val="20"/>
              </w:rPr>
            </w:pPr>
          </w:p>
        </w:tc>
      </w:tr>
      <w:tr w:rsidR="003117FF" w:rsidRPr="0055435C" w14:paraId="5B694EC4" w14:textId="7C21ECF6" w:rsidTr="00AB7918">
        <w:trPr>
          <w:trHeight w:val="288"/>
        </w:trPr>
        <w:tc>
          <w:tcPr>
            <w:tcW w:w="2221" w:type="dxa"/>
            <w:noWrap/>
          </w:tcPr>
          <w:p w14:paraId="4A99D203" w14:textId="701892C6" w:rsidR="004B64C1" w:rsidRPr="0055435C" w:rsidRDefault="00EA336C" w:rsidP="00AB7918">
            <w:pPr>
              <w:spacing w:line="480" w:lineRule="auto"/>
              <w:rPr>
                <w:rFonts w:cs="Times New Roman"/>
                <w:b/>
                <w:sz w:val="20"/>
                <w:szCs w:val="20"/>
                <w:lang w:val="en-US"/>
              </w:rPr>
            </w:pPr>
            <w:r w:rsidRPr="0055435C">
              <w:rPr>
                <w:rFonts w:cs="Times New Roman"/>
                <w:b/>
                <w:sz w:val="20"/>
                <w:szCs w:val="20"/>
                <w:lang w:val="en-US"/>
              </w:rPr>
              <w:t>Spine</w:t>
            </w:r>
          </w:p>
        </w:tc>
        <w:tc>
          <w:tcPr>
            <w:tcW w:w="717" w:type="dxa"/>
            <w:noWrap/>
          </w:tcPr>
          <w:p w14:paraId="0A1A9296" w14:textId="53CC0090" w:rsidR="004B64C1" w:rsidRPr="0055435C" w:rsidRDefault="004B64C1" w:rsidP="00AB7918">
            <w:pPr>
              <w:spacing w:line="480" w:lineRule="auto"/>
              <w:rPr>
                <w:rFonts w:cs="Times New Roman"/>
                <w:sz w:val="20"/>
                <w:szCs w:val="20"/>
                <w:lang w:val="en-US"/>
              </w:rPr>
            </w:pPr>
          </w:p>
        </w:tc>
        <w:tc>
          <w:tcPr>
            <w:tcW w:w="705" w:type="dxa"/>
          </w:tcPr>
          <w:p w14:paraId="5CF4A32F" w14:textId="77777777" w:rsidR="004B64C1" w:rsidRPr="0055435C" w:rsidRDefault="004B64C1" w:rsidP="00AB7918">
            <w:pPr>
              <w:spacing w:line="480" w:lineRule="auto"/>
              <w:rPr>
                <w:rFonts w:cs="Times New Roman"/>
                <w:sz w:val="20"/>
                <w:szCs w:val="20"/>
                <w:lang w:val="en-US"/>
              </w:rPr>
            </w:pPr>
          </w:p>
        </w:tc>
        <w:tc>
          <w:tcPr>
            <w:tcW w:w="705" w:type="dxa"/>
            <w:noWrap/>
          </w:tcPr>
          <w:p w14:paraId="387641A2" w14:textId="3D78867B" w:rsidR="004B64C1" w:rsidRPr="0055435C" w:rsidRDefault="004B64C1" w:rsidP="00AB7918">
            <w:pPr>
              <w:spacing w:line="480" w:lineRule="auto"/>
              <w:rPr>
                <w:rFonts w:cs="Times New Roman"/>
                <w:sz w:val="20"/>
                <w:szCs w:val="20"/>
                <w:lang w:val="en-US"/>
              </w:rPr>
            </w:pPr>
          </w:p>
        </w:tc>
        <w:tc>
          <w:tcPr>
            <w:tcW w:w="705" w:type="dxa"/>
          </w:tcPr>
          <w:p w14:paraId="41D6909D" w14:textId="77777777" w:rsidR="004B64C1" w:rsidRPr="0055435C" w:rsidRDefault="004B64C1" w:rsidP="00AB7918">
            <w:pPr>
              <w:spacing w:line="480" w:lineRule="auto"/>
              <w:rPr>
                <w:rFonts w:cs="Times New Roman"/>
                <w:sz w:val="20"/>
                <w:szCs w:val="20"/>
                <w:lang w:val="en-US"/>
              </w:rPr>
            </w:pPr>
          </w:p>
        </w:tc>
        <w:tc>
          <w:tcPr>
            <w:tcW w:w="705" w:type="dxa"/>
            <w:noWrap/>
          </w:tcPr>
          <w:p w14:paraId="2BC0C616" w14:textId="2E097FCC" w:rsidR="004B64C1" w:rsidRPr="0055435C" w:rsidRDefault="004B64C1" w:rsidP="00AB7918">
            <w:pPr>
              <w:spacing w:line="480" w:lineRule="auto"/>
              <w:rPr>
                <w:rFonts w:cs="Times New Roman"/>
                <w:sz w:val="20"/>
                <w:szCs w:val="20"/>
                <w:lang w:val="en-US"/>
              </w:rPr>
            </w:pPr>
          </w:p>
        </w:tc>
        <w:tc>
          <w:tcPr>
            <w:tcW w:w="697" w:type="dxa"/>
          </w:tcPr>
          <w:p w14:paraId="6B535F8E" w14:textId="77777777" w:rsidR="004B64C1" w:rsidRPr="0055435C" w:rsidRDefault="004B64C1" w:rsidP="00AB7918">
            <w:pPr>
              <w:spacing w:line="480" w:lineRule="auto"/>
              <w:rPr>
                <w:rFonts w:cs="Times New Roman"/>
                <w:sz w:val="20"/>
                <w:szCs w:val="20"/>
                <w:lang w:val="en-US"/>
              </w:rPr>
            </w:pPr>
          </w:p>
        </w:tc>
        <w:tc>
          <w:tcPr>
            <w:tcW w:w="672" w:type="dxa"/>
            <w:noWrap/>
          </w:tcPr>
          <w:p w14:paraId="1D7BF27E" w14:textId="05BC90BE" w:rsidR="004B64C1" w:rsidRPr="0055435C" w:rsidRDefault="004B64C1" w:rsidP="00AB7918">
            <w:pPr>
              <w:spacing w:line="480" w:lineRule="auto"/>
              <w:rPr>
                <w:rFonts w:cs="Times New Roman"/>
                <w:sz w:val="20"/>
                <w:szCs w:val="20"/>
                <w:lang w:val="en-US"/>
              </w:rPr>
            </w:pPr>
          </w:p>
        </w:tc>
        <w:tc>
          <w:tcPr>
            <w:tcW w:w="705" w:type="dxa"/>
          </w:tcPr>
          <w:p w14:paraId="78153DE5" w14:textId="77777777" w:rsidR="004B64C1" w:rsidRPr="0055435C" w:rsidRDefault="004B64C1" w:rsidP="00AB7918">
            <w:pPr>
              <w:spacing w:line="480" w:lineRule="auto"/>
              <w:rPr>
                <w:rFonts w:cs="Times New Roman"/>
                <w:sz w:val="20"/>
                <w:szCs w:val="20"/>
                <w:lang w:val="en-US"/>
              </w:rPr>
            </w:pPr>
          </w:p>
        </w:tc>
        <w:tc>
          <w:tcPr>
            <w:tcW w:w="705" w:type="dxa"/>
            <w:noWrap/>
          </w:tcPr>
          <w:p w14:paraId="37127D9A" w14:textId="7E1BA602" w:rsidR="004B64C1" w:rsidRPr="0055435C" w:rsidRDefault="004B64C1" w:rsidP="00AB7918">
            <w:pPr>
              <w:spacing w:line="480" w:lineRule="auto"/>
              <w:rPr>
                <w:rFonts w:cs="Times New Roman"/>
                <w:sz w:val="20"/>
                <w:szCs w:val="20"/>
                <w:lang w:val="en-US"/>
              </w:rPr>
            </w:pPr>
          </w:p>
        </w:tc>
        <w:tc>
          <w:tcPr>
            <w:tcW w:w="705" w:type="dxa"/>
          </w:tcPr>
          <w:p w14:paraId="3C8C9FCA" w14:textId="718107F8" w:rsidR="004B64C1" w:rsidRPr="0055435C" w:rsidRDefault="004B64C1" w:rsidP="00AB7918">
            <w:pPr>
              <w:spacing w:line="480" w:lineRule="auto"/>
              <w:rPr>
                <w:rFonts w:cs="Times New Roman"/>
                <w:sz w:val="20"/>
                <w:szCs w:val="20"/>
                <w:lang w:val="en-US"/>
              </w:rPr>
            </w:pPr>
          </w:p>
        </w:tc>
      </w:tr>
      <w:tr w:rsidR="00EA336C" w:rsidRPr="0055435C" w14:paraId="0E5517DC" w14:textId="77777777" w:rsidTr="00AB7918">
        <w:trPr>
          <w:trHeight w:val="288"/>
        </w:trPr>
        <w:tc>
          <w:tcPr>
            <w:tcW w:w="2221" w:type="dxa"/>
            <w:noWrap/>
          </w:tcPr>
          <w:p w14:paraId="1275C40C" w14:textId="79C39FCD" w:rsidR="00EA336C" w:rsidRPr="0055435C" w:rsidRDefault="00EA336C" w:rsidP="00AB7918">
            <w:pPr>
              <w:spacing w:line="480" w:lineRule="auto"/>
              <w:ind w:left="142"/>
              <w:rPr>
                <w:rFonts w:cs="Times New Roman"/>
                <w:sz w:val="20"/>
                <w:szCs w:val="20"/>
                <w:lang w:val="en-US"/>
              </w:rPr>
            </w:pPr>
            <w:r w:rsidRPr="0055435C">
              <w:rPr>
                <w:rFonts w:cs="Times New Roman"/>
                <w:sz w:val="20"/>
                <w:szCs w:val="20"/>
                <w:lang w:val="en-US"/>
              </w:rPr>
              <w:t>Bone area, cm</w:t>
            </w:r>
            <w:r w:rsidRPr="0055435C">
              <w:rPr>
                <w:rFonts w:cs="Times New Roman"/>
                <w:sz w:val="20"/>
                <w:szCs w:val="20"/>
                <w:vertAlign w:val="superscript"/>
                <w:lang w:val="en-US"/>
              </w:rPr>
              <w:t>2</w:t>
            </w:r>
          </w:p>
        </w:tc>
        <w:tc>
          <w:tcPr>
            <w:tcW w:w="717" w:type="dxa"/>
            <w:noWrap/>
          </w:tcPr>
          <w:p w14:paraId="4AEEB6D5"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42E8E53E" w14:textId="77777777" w:rsidR="00EA336C" w:rsidRPr="0055435C" w:rsidRDefault="00EA336C" w:rsidP="00AB7918">
            <w:pPr>
              <w:spacing w:line="480" w:lineRule="auto"/>
              <w:rPr>
                <w:rFonts w:cs="Times New Roman"/>
                <w:sz w:val="20"/>
                <w:szCs w:val="20"/>
                <w:lang w:val="en-US"/>
              </w:rPr>
            </w:pPr>
          </w:p>
        </w:tc>
        <w:tc>
          <w:tcPr>
            <w:tcW w:w="705" w:type="dxa"/>
            <w:noWrap/>
          </w:tcPr>
          <w:p w14:paraId="7BAF4985"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0EA476E5" w14:textId="77777777" w:rsidR="00EA336C" w:rsidRPr="0055435C" w:rsidRDefault="00EA336C" w:rsidP="00AB7918">
            <w:pPr>
              <w:spacing w:line="480" w:lineRule="auto"/>
              <w:rPr>
                <w:rFonts w:cs="Times New Roman"/>
                <w:sz w:val="20"/>
                <w:szCs w:val="20"/>
                <w:lang w:val="en-US"/>
              </w:rPr>
            </w:pPr>
          </w:p>
        </w:tc>
        <w:tc>
          <w:tcPr>
            <w:tcW w:w="705" w:type="dxa"/>
            <w:noWrap/>
          </w:tcPr>
          <w:p w14:paraId="5671E12B"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697" w:type="dxa"/>
          </w:tcPr>
          <w:p w14:paraId="69D80E61" w14:textId="77777777" w:rsidR="00EA336C" w:rsidRPr="0055435C" w:rsidRDefault="00EA336C" w:rsidP="00AB7918">
            <w:pPr>
              <w:spacing w:line="480" w:lineRule="auto"/>
              <w:rPr>
                <w:rFonts w:cs="Times New Roman"/>
                <w:sz w:val="20"/>
                <w:szCs w:val="20"/>
                <w:lang w:val="en-US"/>
              </w:rPr>
            </w:pPr>
          </w:p>
        </w:tc>
        <w:tc>
          <w:tcPr>
            <w:tcW w:w="672" w:type="dxa"/>
            <w:noWrap/>
          </w:tcPr>
          <w:p w14:paraId="20AC7E53"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1476FCE3" w14:textId="77777777" w:rsidR="00EA336C" w:rsidRPr="0055435C" w:rsidRDefault="00EA336C" w:rsidP="00AB7918">
            <w:pPr>
              <w:spacing w:line="480" w:lineRule="auto"/>
              <w:rPr>
                <w:rFonts w:cs="Times New Roman"/>
                <w:sz w:val="20"/>
                <w:szCs w:val="20"/>
                <w:lang w:val="en-US"/>
              </w:rPr>
            </w:pPr>
          </w:p>
        </w:tc>
        <w:tc>
          <w:tcPr>
            <w:tcW w:w="705" w:type="dxa"/>
            <w:noWrap/>
          </w:tcPr>
          <w:p w14:paraId="33D055ED"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42.8</w:t>
            </w:r>
          </w:p>
        </w:tc>
        <w:tc>
          <w:tcPr>
            <w:tcW w:w="705" w:type="dxa"/>
          </w:tcPr>
          <w:p w14:paraId="5A7D272F"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(3.6)</w:t>
            </w:r>
          </w:p>
        </w:tc>
      </w:tr>
      <w:tr w:rsidR="00EA336C" w:rsidRPr="0055435C" w14:paraId="252CB4ED" w14:textId="77777777" w:rsidTr="00AB7918">
        <w:trPr>
          <w:trHeight w:val="288"/>
        </w:trPr>
        <w:tc>
          <w:tcPr>
            <w:tcW w:w="2221" w:type="dxa"/>
            <w:noWrap/>
            <w:hideMark/>
          </w:tcPr>
          <w:p w14:paraId="72DD0C3C" w14:textId="1B68D422" w:rsidR="00EA336C" w:rsidRPr="0055435C" w:rsidRDefault="00EA336C" w:rsidP="00AB7918">
            <w:pPr>
              <w:spacing w:line="480" w:lineRule="auto"/>
              <w:ind w:left="142"/>
              <w:rPr>
                <w:rFonts w:cs="Times New Roman"/>
                <w:sz w:val="20"/>
                <w:szCs w:val="20"/>
              </w:rPr>
            </w:pPr>
            <w:r w:rsidRPr="0055435C">
              <w:rPr>
                <w:rFonts w:cs="Times New Roman"/>
                <w:sz w:val="20"/>
                <w:szCs w:val="20"/>
              </w:rPr>
              <w:t>BMC, g</w:t>
            </w:r>
          </w:p>
        </w:tc>
        <w:tc>
          <w:tcPr>
            <w:tcW w:w="717" w:type="dxa"/>
            <w:noWrap/>
            <w:hideMark/>
          </w:tcPr>
          <w:p w14:paraId="252B5F3F"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0BF1BAB3" w14:textId="77777777" w:rsidR="00EA336C" w:rsidRPr="0055435C" w:rsidRDefault="00EA336C" w:rsidP="00AB7918">
            <w:pPr>
              <w:spacing w:line="480" w:lineRule="auto"/>
              <w:rPr>
                <w:rFonts w:cs="Times New Roman"/>
                <w:sz w:val="20"/>
                <w:szCs w:val="20"/>
              </w:rPr>
            </w:pPr>
          </w:p>
        </w:tc>
        <w:tc>
          <w:tcPr>
            <w:tcW w:w="705" w:type="dxa"/>
            <w:noWrap/>
            <w:hideMark/>
          </w:tcPr>
          <w:p w14:paraId="53940B17"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717A55AF" w14:textId="77777777" w:rsidR="00EA336C" w:rsidRPr="0055435C" w:rsidRDefault="00EA336C" w:rsidP="00AB7918">
            <w:pPr>
              <w:spacing w:line="480" w:lineRule="auto"/>
              <w:rPr>
                <w:rFonts w:cs="Times New Roman"/>
                <w:sz w:val="20"/>
                <w:szCs w:val="20"/>
              </w:rPr>
            </w:pPr>
          </w:p>
        </w:tc>
        <w:tc>
          <w:tcPr>
            <w:tcW w:w="705" w:type="dxa"/>
            <w:noWrap/>
            <w:hideMark/>
          </w:tcPr>
          <w:p w14:paraId="7D35FCBA"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697" w:type="dxa"/>
          </w:tcPr>
          <w:p w14:paraId="1B2D69FA" w14:textId="77777777" w:rsidR="00EA336C" w:rsidRPr="0055435C" w:rsidRDefault="00EA336C" w:rsidP="00AB7918">
            <w:pPr>
              <w:spacing w:line="480" w:lineRule="auto"/>
              <w:rPr>
                <w:rFonts w:cs="Times New Roman"/>
                <w:sz w:val="20"/>
                <w:szCs w:val="20"/>
              </w:rPr>
            </w:pPr>
          </w:p>
        </w:tc>
        <w:tc>
          <w:tcPr>
            <w:tcW w:w="672" w:type="dxa"/>
            <w:noWrap/>
            <w:hideMark/>
          </w:tcPr>
          <w:p w14:paraId="38475FC8"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25324BD5" w14:textId="77777777" w:rsidR="00EA336C" w:rsidRPr="0055435C" w:rsidRDefault="00EA336C" w:rsidP="00AB7918">
            <w:pPr>
              <w:spacing w:line="480" w:lineRule="auto"/>
              <w:rPr>
                <w:rFonts w:cs="Times New Roman"/>
                <w:sz w:val="20"/>
                <w:szCs w:val="20"/>
              </w:rPr>
            </w:pPr>
          </w:p>
        </w:tc>
        <w:tc>
          <w:tcPr>
            <w:tcW w:w="705" w:type="dxa"/>
            <w:noWrap/>
            <w:hideMark/>
          </w:tcPr>
          <w:p w14:paraId="1593EB7F" w14:textId="77777777" w:rsidR="00EA336C" w:rsidRPr="0055435C" w:rsidRDefault="00EA336C" w:rsidP="00AB7918">
            <w:pPr>
              <w:spacing w:line="480" w:lineRule="auto"/>
              <w:rPr>
                <w:rFonts w:cs="Times New Roman"/>
                <w:sz w:val="20"/>
                <w:szCs w:val="20"/>
              </w:rPr>
            </w:pPr>
            <w:r w:rsidRPr="0055435C">
              <w:rPr>
                <w:rFonts w:cs="Times New Roman"/>
                <w:sz w:val="20"/>
                <w:szCs w:val="20"/>
              </w:rPr>
              <w:t>50.8</w:t>
            </w:r>
          </w:p>
        </w:tc>
        <w:tc>
          <w:tcPr>
            <w:tcW w:w="705" w:type="dxa"/>
          </w:tcPr>
          <w:p w14:paraId="66BE14B1" w14:textId="77777777" w:rsidR="00EA336C" w:rsidRPr="0055435C" w:rsidRDefault="00EA336C" w:rsidP="00AB7918">
            <w:pPr>
              <w:spacing w:line="480" w:lineRule="auto"/>
              <w:rPr>
                <w:rFonts w:cs="Times New Roman"/>
                <w:sz w:val="20"/>
                <w:szCs w:val="20"/>
              </w:rPr>
            </w:pPr>
            <w:r w:rsidRPr="0055435C">
              <w:rPr>
                <w:rFonts w:cs="Times New Roman"/>
                <w:sz w:val="20"/>
                <w:szCs w:val="20"/>
              </w:rPr>
              <w:t>(10.6)</w:t>
            </w:r>
          </w:p>
        </w:tc>
      </w:tr>
      <w:tr w:rsidR="00EA336C" w:rsidRPr="0055435C" w14:paraId="7265E9F3" w14:textId="77777777" w:rsidTr="00AB7918">
        <w:trPr>
          <w:trHeight w:val="288"/>
        </w:trPr>
        <w:tc>
          <w:tcPr>
            <w:tcW w:w="2221" w:type="dxa"/>
            <w:noWrap/>
            <w:hideMark/>
          </w:tcPr>
          <w:p w14:paraId="7F00BA10" w14:textId="3555D644" w:rsidR="00EA336C" w:rsidRPr="0055435C" w:rsidRDefault="00EA336C" w:rsidP="00AB7918">
            <w:pPr>
              <w:spacing w:line="480" w:lineRule="auto"/>
              <w:ind w:left="142"/>
              <w:rPr>
                <w:rFonts w:cs="Times New Roman"/>
                <w:sz w:val="20"/>
                <w:szCs w:val="20"/>
              </w:rPr>
            </w:pPr>
            <w:r w:rsidRPr="0055435C">
              <w:rPr>
                <w:rFonts w:cs="Times New Roman"/>
                <w:sz w:val="20"/>
                <w:szCs w:val="20"/>
              </w:rPr>
              <w:t>aBMD, g/cm</w:t>
            </w:r>
            <w:r w:rsidRPr="0055435C">
              <w:rPr>
                <w:rFonts w:cs="Times New Roman"/>
                <w:sz w:val="20"/>
                <w:szCs w:val="20"/>
                <w:vertAlign w:val="superscript"/>
              </w:rPr>
              <w:t>2</w:t>
            </w:r>
          </w:p>
        </w:tc>
        <w:tc>
          <w:tcPr>
            <w:tcW w:w="717" w:type="dxa"/>
            <w:noWrap/>
            <w:hideMark/>
          </w:tcPr>
          <w:p w14:paraId="59EEE7E8"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3D439602" w14:textId="77777777" w:rsidR="00EA336C" w:rsidRPr="0055435C" w:rsidRDefault="00EA336C" w:rsidP="00AB7918">
            <w:pPr>
              <w:spacing w:line="480" w:lineRule="auto"/>
              <w:rPr>
                <w:rFonts w:cs="Times New Roman"/>
                <w:sz w:val="20"/>
                <w:szCs w:val="20"/>
              </w:rPr>
            </w:pPr>
          </w:p>
        </w:tc>
        <w:tc>
          <w:tcPr>
            <w:tcW w:w="705" w:type="dxa"/>
            <w:noWrap/>
            <w:hideMark/>
          </w:tcPr>
          <w:p w14:paraId="64DEA5B0"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4C873E68" w14:textId="77777777" w:rsidR="00EA336C" w:rsidRPr="0055435C" w:rsidRDefault="00EA336C" w:rsidP="00AB7918">
            <w:pPr>
              <w:spacing w:line="480" w:lineRule="auto"/>
              <w:rPr>
                <w:rFonts w:cs="Times New Roman"/>
                <w:sz w:val="20"/>
                <w:szCs w:val="20"/>
              </w:rPr>
            </w:pPr>
          </w:p>
        </w:tc>
        <w:tc>
          <w:tcPr>
            <w:tcW w:w="705" w:type="dxa"/>
            <w:noWrap/>
            <w:hideMark/>
          </w:tcPr>
          <w:p w14:paraId="7B720414"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697" w:type="dxa"/>
          </w:tcPr>
          <w:p w14:paraId="60136D79" w14:textId="77777777" w:rsidR="00EA336C" w:rsidRPr="0055435C" w:rsidRDefault="00EA336C" w:rsidP="00AB7918">
            <w:pPr>
              <w:spacing w:line="480" w:lineRule="auto"/>
              <w:rPr>
                <w:rFonts w:cs="Times New Roman"/>
                <w:sz w:val="20"/>
                <w:szCs w:val="20"/>
              </w:rPr>
            </w:pPr>
          </w:p>
        </w:tc>
        <w:tc>
          <w:tcPr>
            <w:tcW w:w="672" w:type="dxa"/>
            <w:noWrap/>
            <w:hideMark/>
          </w:tcPr>
          <w:p w14:paraId="645B9EAF" w14:textId="77777777" w:rsidR="00EA336C" w:rsidRPr="0055435C" w:rsidRDefault="00EA336C" w:rsidP="00AB7918">
            <w:pPr>
              <w:spacing w:line="480" w:lineRule="auto"/>
              <w:rPr>
                <w:rFonts w:cs="Times New Roman"/>
                <w:sz w:val="20"/>
                <w:szCs w:val="20"/>
              </w:rPr>
            </w:pPr>
            <w:r w:rsidRPr="0055435C">
              <w:rPr>
                <w:rFonts w:cs="Times New Roman"/>
                <w:sz w:val="20"/>
                <w:szCs w:val="20"/>
              </w:rPr>
              <w:t>-</w:t>
            </w:r>
          </w:p>
        </w:tc>
        <w:tc>
          <w:tcPr>
            <w:tcW w:w="705" w:type="dxa"/>
          </w:tcPr>
          <w:p w14:paraId="29E396B6" w14:textId="77777777" w:rsidR="00EA336C" w:rsidRPr="0055435C" w:rsidRDefault="00EA336C" w:rsidP="00AB7918">
            <w:pPr>
              <w:spacing w:line="480" w:lineRule="auto"/>
              <w:rPr>
                <w:rFonts w:cs="Times New Roman"/>
                <w:sz w:val="20"/>
                <w:szCs w:val="20"/>
              </w:rPr>
            </w:pPr>
          </w:p>
        </w:tc>
        <w:tc>
          <w:tcPr>
            <w:tcW w:w="705" w:type="dxa"/>
            <w:noWrap/>
            <w:hideMark/>
          </w:tcPr>
          <w:p w14:paraId="1B19969E" w14:textId="77777777" w:rsidR="00EA336C" w:rsidRPr="0055435C" w:rsidRDefault="00EA336C" w:rsidP="00AB7918">
            <w:pPr>
              <w:spacing w:line="480" w:lineRule="auto"/>
              <w:rPr>
                <w:rFonts w:cs="Times New Roman"/>
                <w:sz w:val="20"/>
                <w:szCs w:val="20"/>
              </w:rPr>
            </w:pPr>
            <w:r w:rsidRPr="0055435C">
              <w:rPr>
                <w:rFonts w:cs="Times New Roman"/>
                <w:sz w:val="20"/>
                <w:szCs w:val="20"/>
              </w:rPr>
              <w:t>1.18</w:t>
            </w:r>
          </w:p>
        </w:tc>
        <w:tc>
          <w:tcPr>
            <w:tcW w:w="705" w:type="dxa"/>
          </w:tcPr>
          <w:p w14:paraId="3FB3DE5A" w14:textId="77777777" w:rsidR="00EA336C" w:rsidRPr="0055435C" w:rsidRDefault="00EA336C" w:rsidP="00AB7918">
            <w:pPr>
              <w:spacing w:line="480" w:lineRule="auto"/>
              <w:rPr>
                <w:rFonts w:cs="Times New Roman"/>
                <w:sz w:val="20"/>
                <w:szCs w:val="20"/>
              </w:rPr>
            </w:pPr>
            <w:r w:rsidRPr="0055435C">
              <w:rPr>
                <w:rFonts w:cs="Times New Roman"/>
                <w:sz w:val="20"/>
                <w:szCs w:val="20"/>
              </w:rPr>
              <w:t>(0.19)</w:t>
            </w:r>
          </w:p>
        </w:tc>
      </w:tr>
      <w:tr w:rsidR="00EA336C" w:rsidRPr="0055435C" w14:paraId="5382F6D9" w14:textId="77777777" w:rsidTr="00AB7918">
        <w:trPr>
          <w:trHeight w:val="288"/>
        </w:trPr>
        <w:tc>
          <w:tcPr>
            <w:tcW w:w="2221" w:type="dxa"/>
            <w:noWrap/>
          </w:tcPr>
          <w:p w14:paraId="4ACD0584" w14:textId="797F70EF" w:rsidR="00EA336C" w:rsidRPr="0055435C" w:rsidRDefault="00EA336C" w:rsidP="00AB7918">
            <w:pPr>
              <w:spacing w:line="480" w:lineRule="auto"/>
              <w:ind w:left="142"/>
              <w:rPr>
                <w:rFonts w:cs="Times New Roman"/>
                <w:sz w:val="20"/>
                <w:szCs w:val="20"/>
                <w:lang w:val="en-US"/>
              </w:rPr>
            </w:pPr>
            <w:r w:rsidRPr="0055435C">
              <w:rPr>
                <w:rFonts w:cs="Times New Roman"/>
                <w:sz w:val="20"/>
                <w:szCs w:val="20"/>
                <w:lang w:val="en-US"/>
              </w:rPr>
              <w:t xml:space="preserve">aBMD, </w:t>
            </w:r>
            <w:r w:rsidR="00963720" w:rsidRPr="0055435C">
              <w:rPr>
                <w:rFonts w:cs="Times New Roman"/>
                <w:sz w:val="20"/>
                <w:szCs w:val="20"/>
                <w:lang w:val="en-US"/>
              </w:rPr>
              <w:t xml:space="preserve">T </w:t>
            </w:r>
            <w:r w:rsidRPr="0055435C">
              <w:rPr>
                <w:rFonts w:cs="Times New Roman"/>
                <w:sz w:val="20"/>
                <w:szCs w:val="20"/>
                <w:lang w:val="en-US"/>
              </w:rPr>
              <w:t>score</w:t>
            </w:r>
          </w:p>
        </w:tc>
        <w:tc>
          <w:tcPr>
            <w:tcW w:w="717" w:type="dxa"/>
            <w:noWrap/>
          </w:tcPr>
          <w:p w14:paraId="365964B5"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1E793FBC" w14:textId="77777777" w:rsidR="00EA336C" w:rsidRPr="0055435C" w:rsidRDefault="00EA336C" w:rsidP="00AB7918">
            <w:pPr>
              <w:spacing w:line="480" w:lineRule="auto"/>
              <w:rPr>
                <w:rFonts w:cs="Times New Roman"/>
                <w:sz w:val="20"/>
                <w:szCs w:val="20"/>
                <w:lang w:val="en-US"/>
              </w:rPr>
            </w:pPr>
          </w:p>
        </w:tc>
        <w:tc>
          <w:tcPr>
            <w:tcW w:w="705" w:type="dxa"/>
            <w:noWrap/>
          </w:tcPr>
          <w:p w14:paraId="2C8EC9D1"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7CE12B71" w14:textId="77777777" w:rsidR="00EA336C" w:rsidRPr="0055435C" w:rsidRDefault="00EA336C" w:rsidP="00AB7918">
            <w:pPr>
              <w:spacing w:line="480" w:lineRule="auto"/>
              <w:rPr>
                <w:rFonts w:cs="Times New Roman"/>
                <w:sz w:val="20"/>
                <w:szCs w:val="20"/>
                <w:lang w:val="en-US"/>
              </w:rPr>
            </w:pPr>
          </w:p>
        </w:tc>
        <w:tc>
          <w:tcPr>
            <w:tcW w:w="705" w:type="dxa"/>
            <w:noWrap/>
          </w:tcPr>
          <w:p w14:paraId="654C8A0E"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697" w:type="dxa"/>
          </w:tcPr>
          <w:p w14:paraId="44592C9A" w14:textId="77777777" w:rsidR="00EA336C" w:rsidRPr="0055435C" w:rsidRDefault="00EA336C" w:rsidP="00AB7918">
            <w:pPr>
              <w:spacing w:line="480" w:lineRule="auto"/>
              <w:rPr>
                <w:rFonts w:cs="Times New Roman"/>
                <w:sz w:val="20"/>
                <w:szCs w:val="20"/>
                <w:lang w:val="en-US"/>
              </w:rPr>
            </w:pPr>
          </w:p>
        </w:tc>
        <w:tc>
          <w:tcPr>
            <w:tcW w:w="672" w:type="dxa"/>
            <w:noWrap/>
          </w:tcPr>
          <w:p w14:paraId="2C10F0E7"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20F6A968" w14:textId="77777777" w:rsidR="00EA336C" w:rsidRPr="0055435C" w:rsidRDefault="00EA336C" w:rsidP="00AB7918">
            <w:pPr>
              <w:spacing w:line="480" w:lineRule="auto"/>
              <w:rPr>
                <w:rFonts w:cs="Times New Roman"/>
                <w:sz w:val="20"/>
                <w:szCs w:val="20"/>
                <w:lang w:val="en-US"/>
              </w:rPr>
            </w:pPr>
          </w:p>
        </w:tc>
        <w:tc>
          <w:tcPr>
            <w:tcW w:w="705" w:type="dxa"/>
            <w:noWrap/>
          </w:tcPr>
          <w:p w14:paraId="31CDCC4E"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-0.06</w:t>
            </w:r>
          </w:p>
        </w:tc>
        <w:tc>
          <w:tcPr>
            <w:tcW w:w="705" w:type="dxa"/>
          </w:tcPr>
          <w:p w14:paraId="3F2397CA" w14:textId="77777777" w:rsidR="00EA336C" w:rsidRPr="0055435C" w:rsidRDefault="00EA336C" w:rsidP="00AB7918">
            <w:pPr>
              <w:spacing w:line="480" w:lineRule="auto"/>
              <w:rPr>
                <w:rFonts w:cs="Times New Roman"/>
                <w:sz w:val="20"/>
                <w:szCs w:val="20"/>
                <w:lang w:val="en-US"/>
              </w:rPr>
            </w:pPr>
            <w:r w:rsidRPr="0055435C">
              <w:rPr>
                <w:rFonts w:cs="Times New Roman"/>
                <w:sz w:val="20"/>
                <w:szCs w:val="20"/>
                <w:lang w:val="en-US"/>
              </w:rPr>
              <w:t>(1.62)</w:t>
            </w:r>
          </w:p>
        </w:tc>
      </w:tr>
      <w:tr w:rsidR="00EA336C" w:rsidRPr="0055435C" w14:paraId="1A91D590" w14:textId="77777777" w:rsidTr="00AB7918">
        <w:trPr>
          <w:trHeight w:val="288"/>
        </w:trPr>
        <w:tc>
          <w:tcPr>
            <w:tcW w:w="2221" w:type="dxa"/>
            <w:noWrap/>
          </w:tcPr>
          <w:p w14:paraId="25D1A9CF" w14:textId="659007C3" w:rsidR="00EA336C" w:rsidRPr="0055435C" w:rsidRDefault="00330E6F" w:rsidP="00AB7918">
            <w:pPr>
              <w:spacing w:line="480" w:lineRule="auto"/>
              <w:rPr>
                <w:rFonts w:cs="Times New Roman"/>
                <w:b/>
                <w:sz w:val="20"/>
                <w:szCs w:val="20"/>
                <w:lang w:val="en-US"/>
              </w:rPr>
            </w:pPr>
            <w:r w:rsidRPr="0055435C">
              <w:rPr>
                <w:rFonts w:cs="Times New Roman"/>
                <w:b/>
                <w:sz w:val="20"/>
                <w:szCs w:val="20"/>
                <w:lang w:val="en-US"/>
              </w:rPr>
              <w:t>Femoral neck</w:t>
            </w:r>
          </w:p>
        </w:tc>
        <w:tc>
          <w:tcPr>
            <w:tcW w:w="717" w:type="dxa"/>
            <w:noWrap/>
          </w:tcPr>
          <w:p w14:paraId="776C31F1" w14:textId="77777777" w:rsidR="00EA336C" w:rsidRPr="0055435C" w:rsidRDefault="00EA336C" w:rsidP="00AB7918">
            <w:pPr>
              <w:spacing w:line="480" w:lineRule="auto"/>
              <w:rPr>
                <w:rFonts w:cs="Times New Roman"/>
                <w:sz w:val="20"/>
                <w:szCs w:val="20"/>
                <w:lang w:val="en-US"/>
              </w:rPr>
            </w:pPr>
          </w:p>
        </w:tc>
        <w:tc>
          <w:tcPr>
            <w:tcW w:w="705" w:type="dxa"/>
          </w:tcPr>
          <w:p w14:paraId="0CC4D48A" w14:textId="77777777" w:rsidR="00EA336C" w:rsidRPr="0055435C" w:rsidRDefault="00EA336C" w:rsidP="00AB7918">
            <w:pPr>
              <w:spacing w:line="480" w:lineRule="auto"/>
              <w:rPr>
                <w:rFonts w:cs="Times New Roman"/>
                <w:sz w:val="20"/>
                <w:szCs w:val="20"/>
                <w:lang w:val="en-US"/>
              </w:rPr>
            </w:pPr>
          </w:p>
        </w:tc>
        <w:tc>
          <w:tcPr>
            <w:tcW w:w="705" w:type="dxa"/>
            <w:noWrap/>
          </w:tcPr>
          <w:p w14:paraId="761A763D" w14:textId="77777777" w:rsidR="00EA336C" w:rsidRPr="0055435C" w:rsidRDefault="00EA336C" w:rsidP="00AB7918">
            <w:pPr>
              <w:spacing w:line="480" w:lineRule="auto"/>
              <w:rPr>
                <w:rFonts w:cs="Times New Roman"/>
                <w:sz w:val="20"/>
                <w:szCs w:val="20"/>
                <w:lang w:val="en-US"/>
              </w:rPr>
            </w:pPr>
          </w:p>
        </w:tc>
        <w:tc>
          <w:tcPr>
            <w:tcW w:w="705" w:type="dxa"/>
          </w:tcPr>
          <w:p w14:paraId="703706A1" w14:textId="77777777" w:rsidR="00EA336C" w:rsidRPr="0055435C" w:rsidRDefault="00EA336C" w:rsidP="00AB7918">
            <w:pPr>
              <w:spacing w:line="480" w:lineRule="auto"/>
              <w:rPr>
                <w:rFonts w:cs="Times New Roman"/>
                <w:sz w:val="20"/>
                <w:szCs w:val="20"/>
                <w:lang w:val="en-US"/>
              </w:rPr>
            </w:pPr>
          </w:p>
        </w:tc>
        <w:tc>
          <w:tcPr>
            <w:tcW w:w="705" w:type="dxa"/>
            <w:noWrap/>
          </w:tcPr>
          <w:p w14:paraId="0A065417" w14:textId="77777777" w:rsidR="00EA336C" w:rsidRPr="0055435C" w:rsidRDefault="00EA336C" w:rsidP="00AB7918">
            <w:pPr>
              <w:spacing w:line="480" w:lineRule="auto"/>
              <w:rPr>
                <w:rFonts w:cs="Times New Roman"/>
                <w:sz w:val="20"/>
                <w:szCs w:val="20"/>
                <w:lang w:val="en-US"/>
              </w:rPr>
            </w:pPr>
          </w:p>
        </w:tc>
        <w:tc>
          <w:tcPr>
            <w:tcW w:w="697" w:type="dxa"/>
          </w:tcPr>
          <w:p w14:paraId="2FD4A4BD" w14:textId="77777777" w:rsidR="00EA336C" w:rsidRPr="0055435C" w:rsidRDefault="00EA336C" w:rsidP="00AB7918">
            <w:pPr>
              <w:spacing w:line="480" w:lineRule="auto"/>
              <w:rPr>
                <w:rFonts w:cs="Times New Roman"/>
                <w:sz w:val="20"/>
                <w:szCs w:val="20"/>
                <w:lang w:val="en-US"/>
              </w:rPr>
            </w:pPr>
          </w:p>
        </w:tc>
        <w:tc>
          <w:tcPr>
            <w:tcW w:w="672" w:type="dxa"/>
            <w:noWrap/>
          </w:tcPr>
          <w:p w14:paraId="0BC0AAD9" w14:textId="77777777" w:rsidR="00EA336C" w:rsidRPr="0055435C" w:rsidRDefault="00EA336C" w:rsidP="00AB7918">
            <w:pPr>
              <w:spacing w:line="480" w:lineRule="auto"/>
              <w:rPr>
                <w:rFonts w:cs="Times New Roman"/>
                <w:sz w:val="20"/>
                <w:szCs w:val="20"/>
                <w:lang w:val="en-US"/>
              </w:rPr>
            </w:pPr>
          </w:p>
        </w:tc>
        <w:tc>
          <w:tcPr>
            <w:tcW w:w="705" w:type="dxa"/>
          </w:tcPr>
          <w:p w14:paraId="7967058B" w14:textId="77777777" w:rsidR="00EA336C" w:rsidRPr="0055435C" w:rsidRDefault="00EA336C" w:rsidP="00AB7918">
            <w:pPr>
              <w:spacing w:line="480" w:lineRule="auto"/>
              <w:rPr>
                <w:rFonts w:cs="Times New Roman"/>
                <w:sz w:val="20"/>
                <w:szCs w:val="20"/>
                <w:lang w:val="en-US"/>
              </w:rPr>
            </w:pPr>
          </w:p>
        </w:tc>
        <w:tc>
          <w:tcPr>
            <w:tcW w:w="705" w:type="dxa"/>
            <w:noWrap/>
          </w:tcPr>
          <w:p w14:paraId="004CA6FA" w14:textId="77777777" w:rsidR="00EA336C" w:rsidRPr="0055435C" w:rsidRDefault="00EA336C" w:rsidP="00AB7918">
            <w:pPr>
              <w:spacing w:line="480" w:lineRule="auto"/>
              <w:rPr>
                <w:rFonts w:cs="Times New Roman"/>
                <w:sz w:val="20"/>
                <w:szCs w:val="20"/>
                <w:lang w:val="en-US"/>
              </w:rPr>
            </w:pPr>
          </w:p>
        </w:tc>
        <w:tc>
          <w:tcPr>
            <w:tcW w:w="705" w:type="dxa"/>
          </w:tcPr>
          <w:p w14:paraId="17AE7381" w14:textId="77777777" w:rsidR="00EA336C" w:rsidRPr="0055435C" w:rsidRDefault="00EA336C" w:rsidP="00AB7918">
            <w:pPr>
              <w:spacing w:line="480" w:lineRule="auto"/>
              <w:rPr>
                <w:rFonts w:cs="Times New Roman"/>
                <w:sz w:val="20"/>
                <w:szCs w:val="20"/>
                <w:lang w:val="en-US"/>
              </w:rPr>
            </w:pPr>
          </w:p>
        </w:tc>
      </w:tr>
      <w:tr w:rsidR="00330E6F" w:rsidRPr="0055435C" w14:paraId="189320B1" w14:textId="77777777" w:rsidTr="00AB7918">
        <w:trPr>
          <w:trHeight w:val="288"/>
        </w:trPr>
        <w:tc>
          <w:tcPr>
            <w:tcW w:w="2221" w:type="dxa"/>
            <w:noWrap/>
          </w:tcPr>
          <w:p w14:paraId="0891ABD5" w14:textId="4DDB545B" w:rsidR="00330E6F" w:rsidRPr="0055435C" w:rsidRDefault="00330E6F" w:rsidP="00AB7918">
            <w:pPr>
              <w:spacing w:line="480" w:lineRule="auto"/>
              <w:ind w:left="142"/>
              <w:rPr>
                <w:rFonts w:cs="Times New Roman"/>
                <w:sz w:val="20"/>
                <w:szCs w:val="20"/>
                <w:lang w:val="en-US"/>
              </w:rPr>
            </w:pPr>
            <w:r w:rsidRPr="0055435C">
              <w:rPr>
                <w:rFonts w:cs="Times New Roman"/>
                <w:sz w:val="20"/>
                <w:szCs w:val="20"/>
                <w:lang w:val="en-US"/>
              </w:rPr>
              <w:t>Bone area, cm</w:t>
            </w:r>
            <w:r w:rsidRPr="0055435C">
              <w:rPr>
                <w:rFonts w:cs="Times New Roman"/>
                <w:sz w:val="20"/>
                <w:szCs w:val="20"/>
                <w:vertAlign w:val="superscript"/>
                <w:lang w:val="en-US"/>
              </w:rPr>
              <w:t>2</w:t>
            </w:r>
          </w:p>
        </w:tc>
        <w:tc>
          <w:tcPr>
            <w:tcW w:w="717" w:type="dxa"/>
            <w:noWrap/>
          </w:tcPr>
          <w:p w14:paraId="5779CA71"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76583680" w14:textId="77777777" w:rsidR="00330E6F" w:rsidRPr="0055435C" w:rsidRDefault="00330E6F" w:rsidP="00AB7918">
            <w:pPr>
              <w:spacing w:line="480" w:lineRule="auto"/>
              <w:rPr>
                <w:rFonts w:cs="Times New Roman"/>
                <w:sz w:val="20"/>
                <w:szCs w:val="20"/>
                <w:lang w:val="en-US"/>
              </w:rPr>
            </w:pPr>
          </w:p>
        </w:tc>
        <w:tc>
          <w:tcPr>
            <w:tcW w:w="705" w:type="dxa"/>
            <w:noWrap/>
          </w:tcPr>
          <w:p w14:paraId="312FCA75"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1176AB05" w14:textId="77777777" w:rsidR="00330E6F" w:rsidRPr="0055435C" w:rsidRDefault="00330E6F" w:rsidP="00AB7918">
            <w:pPr>
              <w:spacing w:line="480" w:lineRule="auto"/>
              <w:rPr>
                <w:rFonts w:cs="Times New Roman"/>
                <w:sz w:val="20"/>
                <w:szCs w:val="20"/>
                <w:lang w:val="en-US"/>
              </w:rPr>
            </w:pPr>
          </w:p>
        </w:tc>
        <w:tc>
          <w:tcPr>
            <w:tcW w:w="705" w:type="dxa"/>
            <w:noWrap/>
          </w:tcPr>
          <w:p w14:paraId="108BA15B"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w:t>
            </w:r>
          </w:p>
        </w:tc>
        <w:tc>
          <w:tcPr>
            <w:tcW w:w="697" w:type="dxa"/>
          </w:tcPr>
          <w:p w14:paraId="57B9DEEC" w14:textId="77777777" w:rsidR="00330E6F" w:rsidRPr="0055435C" w:rsidRDefault="00330E6F" w:rsidP="00AB7918">
            <w:pPr>
              <w:spacing w:line="480" w:lineRule="auto"/>
              <w:rPr>
                <w:rFonts w:cs="Times New Roman"/>
                <w:sz w:val="20"/>
                <w:szCs w:val="20"/>
                <w:lang w:val="en-US"/>
              </w:rPr>
            </w:pPr>
          </w:p>
        </w:tc>
        <w:tc>
          <w:tcPr>
            <w:tcW w:w="672" w:type="dxa"/>
            <w:noWrap/>
          </w:tcPr>
          <w:p w14:paraId="10A9ECC9"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61EDA7D2" w14:textId="77777777" w:rsidR="00330E6F" w:rsidRPr="0055435C" w:rsidRDefault="00330E6F" w:rsidP="00AB7918">
            <w:pPr>
              <w:spacing w:line="480" w:lineRule="auto"/>
              <w:rPr>
                <w:rFonts w:cs="Times New Roman"/>
                <w:sz w:val="20"/>
                <w:szCs w:val="20"/>
                <w:lang w:val="en-US"/>
              </w:rPr>
            </w:pPr>
          </w:p>
        </w:tc>
        <w:tc>
          <w:tcPr>
            <w:tcW w:w="705" w:type="dxa"/>
            <w:noWrap/>
          </w:tcPr>
          <w:p w14:paraId="754C0418"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4.8</w:t>
            </w:r>
          </w:p>
        </w:tc>
        <w:tc>
          <w:tcPr>
            <w:tcW w:w="705" w:type="dxa"/>
          </w:tcPr>
          <w:p w14:paraId="004600A3" w14:textId="77777777" w:rsidR="00330E6F" w:rsidRPr="0055435C" w:rsidRDefault="00330E6F" w:rsidP="00AB7918">
            <w:pPr>
              <w:spacing w:line="480" w:lineRule="auto"/>
              <w:rPr>
                <w:rFonts w:cs="Times New Roman"/>
                <w:sz w:val="20"/>
                <w:szCs w:val="20"/>
                <w:lang w:val="en-US"/>
              </w:rPr>
            </w:pPr>
            <w:r w:rsidRPr="0055435C">
              <w:rPr>
                <w:rFonts w:cs="Times New Roman"/>
                <w:sz w:val="20"/>
                <w:szCs w:val="20"/>
                <w:lang w:val="en-US"/>
              </w:rPr>
              <w:t>(0.36)</w:t>
            </w:r>
          </w:p>
        </w:tc>
      </w:tr>
      <w:tr w:rsidR="00330E6F" w:rsidRPr="0055435C" w14:paraId="63B1BDC8" w14:textId="77777777" w:rsidTr="00AB7918">
        <w:trPr>
          <w:trHeight w:val="288"/>
        </w:trPr>
        <w:tc>
          <w:tcPr>
            <w:tcW w:w="2221" w:type="dxa"/>
            <w:noWrap/>
            <w:hideMark/>
          </w:tcPr>
          <w:p w14:paraId="4C0285C7" w14:textId="765C546B" w:rsidR="00330E6F" w:rsidRPr="0055435C" w:rsidRDefault="00330E6F" w:rsidP="00AB7918">
            <w:pPr>
              <w:spacing w:line="480" w:lineRule="auto"/>
              <w:ind w:left="142"/>
              <w:rPr>
                <w:rFonts w:cs="Times New Roman"/>
                <w:sz w:val="20"/>
                <w:szCs w:val="20"/>
              </w:rPr>
            </w:pPr>
            <w:r w:rsidRPr="0055435C">
              <w:rPr>
                <w:rFonts w:cs="Times New Roman"/>
                <w:sz w:val="20"/>
                <w:szCs w:val="20"/>
              </w:rPr>
              <w:t>BMC, g</w:t>
            </w:r>
          </w:p>
        </w:tc>
        <w:tc>
          <w:tcPr>
            <w:tcW w:w="717" w:type="dxa"/>
            <w:noWrap/>
            <w:hideMark/>
          </w:tcPr>
          <w:p w14:paraId="17D30467" w14:textId="77777777" w:rsidR="00330E6F" w:rsidRPr="0055435C" w:rsidRDefault="00330E6F" w:rsidP="00AB7918">
            <w:pPr>
              <w:spacing w:line="480" w:lineRule="auto"/>
              <w:rPr>
                <w:rFonts w:cs="Times New Roman"/>
                <w:sz w:val="20"/>
                <w:szCs w:val="20"/>
              </w:rPr>
            </w:pPr>
            <w:r w:rsidRPr="0055435C">
              <w:rPr>
                <w:rFonts w:cs="Times New Roman"/>
                <w:sz w:val="20"/>
                <w:szCs w:val="20"/>
              </w:rPr>
              <w:t>-</w:t>
            </w:r>
          </w:p>
        </w:tc>
        <w:tc>
          <w:tcPr>
            <w:tcW w:w="705" w:type="dxa"/>
          </w:tcPr>
          <w:p w14:paraId="155CA67B" w14:textId="77777777" w:rsidR="00330E6F" w:rsidRPr="0055435C" w:rsidRDefault="00330E6F" w:rsidP="00AB7918">
            <w:pPr>
              <w:spacing w:line="480" w:lineRule="auto"/>
              <w:rPr>
                <w:rFonts w:cs="Times New Roman"/>
                <w:sz w:val="20"/>
                <w:szCs w:val="20"/>
              </w:rPr>
            </w:pPr>
          </w:p>
        </w:tc>
        <w:tc>
          <w:tcPr>
            <w:tcW w:w="705" w:type="dxa"/>
            <w:noWrap/>
            <w:hideMark/>
          </w:tcPr>
          <w:p w14:paraId="1E6B85F7" w14:textId="77777777" w:rsidR="00330E6F" w:rsidRPr="0055435C" w:rsidRDefault="00330E6F" w:rsidP="00AB7918">
            <w:pPr>
              <w:spacing w:line="480" w:lineRule="auto"/>
              <w:rPr>
                <w:rFonts w:cs="Times New Roman"/>
                <w:sz w:val="20"/>
                <w:szCs w:val="20"/>
              </w:rPr>
            </w:pPr>
            <w:r w:rsidRPr="0055435C">
              <w:rPr>
                <w:rFonts w:cs="Times New Roman"/>
                <w:sz w:val="20"/>
                <w:szCs w:val="20"/>
              </w:rPr>
              <w:t>-</w:t>
            </w:r>
          </w:p>
        </w:tc>
        <w:tc>
          <w:tcPr>
            <w:tcW w:w="705" w:type="dxa"/>
          </w:tcPr>
          <w:p w14:paraId="1DFF20EF" w14:textId="77777777" w:rsidR="00330E6F" w:rsidRPr="0055435C" w:rsidRDefault="00330E6F" w:rsidP="00AB7918">
            <w:pPr>
              <w:spacing w:line="480" w:lineRule="auto"/>
              <w:rPr>
                <w:rFonts w:cs="Times New Roman"/>
                <w:sz w:val="20"/>
                <w:szCs w:val="20"/>
              </w:rPr>
            </w:pPr>
          </w:p>
        </w:tc>
        <w:tc>
          <w:tcPr>
            <w:tcW w:w="705" w:type="dxa"/>
            <w:noWrap/>
            <w:hideMark/>
          </w:tcPr>
          <w:p w14:paraId="5F9F403F" w14:textId="77777777" w:rsidR="00330E6F" w:rsidRPr="0055435C" w:rsidRDefault="00330E6F" w:rsidP="00AB7918">
            <w:pPr>
              <w:spacing w:line="480" w:lineRule="auto"/>
              <w:rPr>
                <w:rFonts w:cs="Times New Roman"/>
                <w:sz w:val="20"/>
                <w:szCs w:val="20"/>
              </w:rPr>
            </w:pPr>
            <w:r w:rsidRPr="0055435C">
              <w:rPr>
                <w:rFonts w:cs="Times New Roman"/>
                <w:sz w:val="20"/>
                <w:szCs w:val="20"/>
              </w:rPr>
              <w:t>-</w:t>
            </w:r>
          </w:p>
        </w:tc>
        <w:tc>
          <w:tcPr>
            <w:tcW w:w="697" w:type="dxa"/>
          </w:tcPr>
          <w:p w14:paraId="7B709F67" w14:textId="77777777" w:rsidR="00330E6F" w:rsidRPr="0055435C" w:rsidRDefault="00330E6F" w:rsidP="00AB7918">
            <w:pPr>
              <w:spacing w:line="480" w:lineRule="auto"/>
              <w:rPr>
                <w:rFonts w:cs="Times New Roman"/>
                <w:sz w:val="20"/>
                <w:szCs w:val="20"/>
              </w:rPr>
            </w:pPr>
          </w:p>
        </w:tc>
        <w:tc>
          <w:tcPr>
            <w:tcW w:w="672" w:type="dxa"/>
            <w:noWrap/>
            <w:hideMark/>
          </w:tcPr>
          <w:p w14:paraId="2AA02F8D" w14:textId="77777777" w:rsidR="00330E6F" w:rsidRPr="0055435C" w:rsidRDefault="00330E6F" w:rsidP="00AB7918">
            <w:pPr>
              <w:spacing w:line="480" w:lineRule="auto"/>
              <w:rPr>
                <w:rFonts w:cs="Times New Roman"/>
                <w:sz w:val="20"/>
                <w:szCs w:val="20"/>
              </w:rPr>
            </w:pPr>
            <w:r w:rsidRPr="0055435C">
              <w:rPr>
                <w:rFonts w:cs="Times New Roman"/>
                <w:sz w:val="20"/>
                <w:szCs w:val="20"/>
              </w:rPr>
              <w:t>-</w:t>
            </w:r>
          </w:p>
        </w:tc>
        <w:tc>
          <w:tcPr>
            <w:tcW w:w="705" w:type="dxa"/>
          </w:tcPr>
          <w:p w14:paraId="5E4CF4E2" w14:textId="77777777" w:rsidR="00330E6F" w:rsidRPr="0055435C" w:rsidRDefault="00330E6F" w:rsidP="00AB7918">
            <w:pPr>
              <w:spacing w:line="480" w:lineRule="auto"/>
              <w:rPr>
                <w:rFonts w:cs="Times New Roman"/>
                <w:sz w:val="20"/>
                <w:szCs w:val="20"/>
              </w:rPr>
            </w:pPr>
          </w:p>
        </w:tc>
        <w:tc>
          <w:tcPr>
            <w:tcW w:w="705" w:type="dxa"/>
            <w:noWrap/>
            <w:hideMark/>
          </w:tcPr>
          <w:p w14:paraId="495B78F0" w14:textId="77777777" w:rsidR="00330E6F" w:rsidRPr="0055435C" w:rsidRDefault="00330E6F" w:rsidP="00AB7918">
            <w:pPr>
              <w:spacing w:line="480" w:lineRule="auto"/>
              <w:rPr>
                <w:rFonts w:cs="Times New Roman"/>
                <w:sz w:val="20"/>
                <w:szCs w:val="20"/>
              </w:rPr>
            </w:pPr>
            <w:r w:rsidRPr="0055435C">
              <w:rPr>
                <w:rFonts w:cs="Times New Roman"/>
                <w:sz w:val="20"/>
                <w:szCs w:val="20"/>
              </w:rPr>
              <w:t>4.47</w:t>
            </w:r>
          </w:p>
        </w:tc>
        <w:tc>
          <w:tcPr>
            <w:tcW w:w="705" w:type="dxa"/>
          </w:tcPr>
          <w:p w14:paraId="553B6C2C" w14:textId="77777777" w:rsidR="00330E6F" w:rsidRPr="0055435C" w:rsidRDefault="00330E6F" w:rsidP="00AB7918">
            <w:pPr>
              <w:spacing w:line="480" w:lineRule="auto"/>
              <w:rPr>
                <w:rFonts w:cs="Times New Roman"/>
                <w:sz w:val="20"/>
                <w:szCs w:val="20"/>
              </w:rPr>
            </w:pPr>
            <w:r w:rsidRPr="0055435C">
              <w:rPr>
                <w:rFonts w:cs="Times New Roman"/>
                <w:sz w:val="20"/>
                <w:szCs w:val="20"/>
              </w:rPr>
              <w:t>(0.74)</w:t>
            </w:r>
          </w:p>
        </w:tc>
      </w:tr>
      <w:tr w:rsidR="003117FF" w:rsidRPr="0055435C" w14:paraId="1CE2D62C" w14:textId="0FA02166" w:rsidTr="00AB7918">
        <w:trPr>
          <w:trHeight w:val="288"/>
        </w:trPr>
        <w:tc>
          <w:tcPr>
            <w:tcW w:w="2221" w:type="dxa"/>
            <w:noWrap/>
          </w:tcPr>
          <w:p w14:paraId="4290B7BE" w14:textId="334F3E24" w:rsidR="004B64C1" w:rsidRPr="0055435C" w:rsidRDefault="00330E6F" w:rsidP="00AB7918">
            <w:pPr>
              <w:spacing w:line="480" w:lineRule="auto"/>
              <w:ind w:left="142"/>
              <w:rPr>
                <w:rFonts w:cs="Times New Roman"/>
                <w:sz w:val="20"/>
                <w:szCs w:val="20"/>
                <w:lang w:val="en-US"/>
              </w:rPr>
            </w:pPr>
            <w:r w:rsidRPr="0055435C">
              <w:rPr>
                <w:rFonts w:cs="Times New Roman"/>
                <w:sz w:val="20"/>
                <w:szCs w:val="20"/>
                <w:lang w:val="en-US"/>
              </w:rPr>
              <w:t>aBMD</w:t>
            </w:r>
            <w:r w:rsidR="004B64C1" w:rsidRPr="0055435C">
              <w:rPr>
                <w:rFonts w:cs="Times New Roman"/>
                <w:sz w:val="20"/>
                <w:szCs w:val="20"/>
                <w:lang w:val="en-US"/>
              </w:rPr>
              <w:t>, g/cm</w:t>
            </w:r>
            <w:r w:rsidR="004B64C1" w:rsidRPr="0055435C">
              <w:rPr>
                <w:rFonts w:cs="Times New Roman"/>
                <w:sz w:val="20"/>
                <w:szCs w:val="20"/>
                <w:vertAlign w:val="superscript"/>
                <w:lang w:val="en-US"/>
              </w:rPr>
              <w:t>2</w:t>
            </w:r>
          </w:p>
        </w:tc>
        <w:tc>
          <w:tcPr>
            <w:tcW w:w="717" w:type="dxa"/>
            <w:noWrap/>
          </w:tcPr>
          <w:p w14:paraId="44E5D2CF" w14:textId="7A96D154" w:rsidR="004B64C1" w:rsidRPr="0055435C" w:rsidRDefault="004B64C1" w:rsidP="00AB7918">
            <w:pPr>
              <w:spacing w:line="480" w:lineRule="auto"/>
              <w:rPr>
                <w:rFonts w:cs="Times New Roman"/>
                <w:sz w:val="20"/>
                <w:szCs w:val="20"/>
              </w:rPr>
            </w:pPr>
            <w:r w:rsidRPr="0055435C">
              <w:rPr>
                <w:rFonts w:cs="Times New Roman"/>
                <w:sz w:val="20"/>
                <w:szCs w:val="20"/>
              </w:rPr>
              <w:t>-</w:t>
            </w:r>
          </w:p>
        </w:tc>
        <w:tc>
          <w:tcPr>
            <w:tcW w:w="705" w:type="dxa"/>
          </w:tcPr>
          <w:p w14:paraId="53ABDA55" w14:textId="77777777" w:rsidR="004B64C1" w:rsidRPr="0055435C" w:rsidRDefault="004B64C1" w:rsidP="00AB7918">
            <w:pPr>
              <w:spacing w:line="480" w:lineRule="auto"/>
              <w:rPr>
                <w:rFonts w:cs="Times New Roman"/>
                <w:sz w:val="20"/>
                <w:szCs w:val="20"/>
              </w:rPr>
            </w:pPr>
          </w:p>
        </w:tc>
        <w:tc>
          <w:tcPr>
            <w:tcW w:w="705" w:type="dxa"/>
            <w:noWrap/>
          </w:tcPr>
          <w:p w14:paraId="3FD5206C" w14:textId="6EC6976B" w:rsidR="004B64C1" w:rsidRPr="0055435C" w:rsidRDefault="004B64C1" w:rsidP="00AB7918">
            <w:pPr>
              <w:spacing w:line="480" w:lineRule="auto"/>
              <w:rPr>
                <w:rFonts w:cs="Times New Roman"/>
                <w:sz w:val="20"/>
                <w:szCs w:val="20"/>
              </w:rPr>
            </w:pPr>
            <w:r w:rsidRPr="0055435C">
              <w:rPr>
                <w:rFonts w:cs="Times New Roman"/>
                <w:sz w:val="20"/>
                <w:szCs w:val="20"/>
              </w:rPr>
              <w:t>-</w:t>
            </w:r>
          </w:p>
        </w:tc>
        <w:tc>
          <w:tcPr>
            <w:tcW w:w="705" w:type="dxa"/>
          </w:tcPr>
          <w:p w14:paraId="47647F40" w14:textId="77777777" w:rsidR="004B64C1" w:rsidRPr="0055435C" w:rsidRDefault="004B64C1" w:rsidP="00AB7918">
            <w:pPr>
              <w:spacing w:line="480" w:lineRule="auto"/>
              <w:rPr>
                <w:rFonts w:cs="Times New Roman"/>
                <w:sz w:val="20"/>
                <w:szCs w:val="20"/>
              </w:rPr>
            </w:pPr>
          </w:p>
        </w:tc>
        <w:tc>
          <w:tcPr>
            <w:tcW w:w="705" w:type="dxa"/>
            <w:noWrap/>
          </w:tcPr>
          <w:p w14:paraId="6E49A52D" w14:textId="0E17F025" w:rsidR="004B64C1" w:rsidRPr="0055435C" w:rsidRDefault="004B64C1" w:rsidP="00AB7918">
            <w:pPr>
              <w:spacing w:line="480" w:lineRule="auto"/>
              <w:rPr>
                <w:rFonts w:cs="Times New Roman"/>
                <w:sz w:val="20"/>
                <w:szCs w:val="20"/>
              </w:rPr>
            </w:pPr>
            <w:r w:rsidRPr="0055435C">
              <w:rPr>
                <w:rFonts w:cs="Times New Roman"/>
                <w:sz w:val="20"/>
                <w:szCs w:val="20"/>
              </w:rPr>
              <w:t>-</w:t>
            </w:r>
          </w:p>
        </w:tc>
        <w:tc>
          <w:tcPr>
            <w:tcW w:w="697" w:type="dxa"/>
          </w:tcPr>
          <w:p w14:paraId="50ECC2F5" w14:textId="77777777" w:rsidR="004B64C1" w:rsidRPr="0055435C" w:rsidRDefault="004B64C1" w:rsidP="00AB7918">
            <w:pPr>
              <w:spacing w:line="480" w:lineRule="auto"/>
              <w:rPr>
                <w:rFonts w:cs="Times New Roman"/>
                <w:sz w:val="20"/>
                <w:szCs w:val="20"/>
              </w:rPr>
            </w:pPr>
          </w:p>
        </w:tc>
        <w:tc>
          <w:tcPr>
            <w:tcW w:w="672" w:type="dxa"/>
            <w:noWrap/>
          </w:tcPr>
          <w:p w14:paraId="1A52964D" w14:textId="2F50FC53" w:rsidR="004B64C1" w:rsidRPr="0055435C" w:rsidRDefault="004B64C1" w:rsidP="00AB7918">
            <w:pPr>
              <w:spacing w:line="480" w:lineRule="auto"/>
              <w:rPr>
                <w:rFonts w:cs="Times New Roman"/>
                <w:sz w:val="20"/>
                <w:szCs w:val="20"/>
              </w:rPr>
            </w:pPr>
            <w:r w:rsidRPr="0055435C">
              <w:rPr>
                <w:rFonts w:cs="Times New Roman"/>
                <w:sz w:val="20"/>
                <w:szCs w:val="20"/>
              </w:rPr>
              <w:t>-</w:t>
            </w:r>
          </w:p>
        </w:tc>
        <w:tc>
          <w:tcPr>
            <w:tcW w:w="705" w:type="dxa"/>
          </w:tcPr>
          <w:p w14:paraId="1F534164" w14:textId="77777777" w:rsidR="004B64C1" w:rsidRPr="0055435C" w:rsidRDefault="004B64C1" w:rsidP="00AB7918">
            <w:pPr>
              <w:spacing w:line="480" w:lineRule="auto"/>
              <w:rPr>
                <w:rFonts w:cs="Times New Roman"/>
                <w:sz w:val="20"/>
                <w:szCs w:val="20"/>
              </w:rPr>
            </w:pPr>
          </w:p>
        </w:tc>
        <w:tc>
          <w:tcPr>
            <w:tcW w:w="705" w:type="dxa"/>
            <w:noWrap/>
          </w:tcPr>
          <w:p w14:paraId="6D5CD1A0" w14:textId="7CC4A74D" w:rsidR="004B64C1" w:rsidRPr="0055435C" w:rsidRDefault="004B64C1" w:rsidP="00AB7918">
            <w:pPr>
              <w:spacing w:line="480" w:lineRule="auto"/>
              <w:rPr>
                <w:rFonts w:cs="Times New Roman"/>
                <w:sz w:val="20"/>
                <w:szCs w:val="20"/>
              </w:rPr>
            </w:pPr>
            <w:r w:rsidRPr="0055435C">
              <w:rPr>
                <w:rFonts w:cs="Times New Roman"/>
                <w:sz w:val="20"/>
                <w:szCs w:val="20"/>
              </w:rPr>
              <w:t>0.93</w:t>
            </w:r>
          </w:p>
        </w:tc>
        <w:tc>
          <w:tcPr>
            <w:tcW w:w="705" w:type="dxa"/>
          </w:tcPr>
          <w:p w14:paraId="0D2E0406" w14:textId="50FD97F5" w:rsidR="004B64C1" w:rsidRPr="0055435C" w:rsidRDefault="00EA336C" w:rsidP="00AB7918">
            <w:pPr>
              <w:spacing w:line="480" w:lineRule="auto"/>
              <w:rPr>
                <w:rFonts w:cs="Times New Roman"/>
                <w:sz w:val="20"/>
                <w:szCs w:val="20"/>
              </w:rPr>
            </w:pPr>
            <w:r w:rsidRPr="0055435C">
              <w:rPr>
                <w:rFonts w:cs="Times New Roman"/>
                <w:sz w:val="20"/>
                <w:szCs w:val="20"/>
              </w:rPr>
              <w:t>(0.13)</w:t>
            </w:r>
          </w:p>
        </w:tc>
      </w:tr>
      <w:tr w:rsidR="003117FF" w:rsidRPr="0055435C" w14:paraId="5ADF2CF9" w14:textId="5BD937A4" w:rsidTr="00AB7918">
        <w:trPr>
          <w:trHeight w:val="288"/>
        </w:trPr>
        <w:tc>
          <w:tcPr>
            <w:tcW w:w="2221" w:type="dxa"/>
            <w:noWrap/>
          </w:tcPr>
          <w:p w14:paraId="6F26EA78" w14:textId="45F636A2" w:rsidR="004B64C1" w:rsidRPr="0055435C" w:rsidRDefault="00330E6F" w:rsidP="00AB7918">
            <w:pPr>
              <w:spacing w:line="480" w:lineRule="auto"/>
              <w:ind w:left="142"/>
              <w:rPr>
                <w:rFonts w:cs="Times New Roman"/>
                <w:sz w:val="20"/>
                <w:szCs w:val="20"/>
                <w:lang w:val="en-US"/>
              </w:rPr>
            </w:pPr>
            <w:r w:rsidRPr="0055435C">
              <w:rPr>
                <w:rFonts w:cs="Times New Roman"/>
                <w:sz w:val="20"/>
                <w:szCs w:val="20"/>
                <w:lang w:val="en-US"/>
              </w:rPr>
              <w:t>aBMD</w:t>
            </w:r>
            <w:r w:rsidR="00963720" w:rsidRPr="0055435C">
              <w:rPr>
                <w:rFonts w:cs="Times New Roman"/>
                <w:sz w:val="20"/>
                <w:szCs w:val="20"/>
                <w:lang w:val="en-US"/>
              </w:rPr>
              <w:t xml:space="preserve">, T </w:t>
            </w:r>
            <w:r w:rsidR="004B64C1" w:rsidRPr="0055435C">
              <w:rPr>
                <w:rFonts w:cs="Times New Roman"/>
                <w:sz w:val="20"/>
                <w:szCs w:val="20"/>
                <w:lang w:val="en-US"/>
              </w:rPr>
              <w:t>score</w:t>
            </w:r>
          </w:p>
        </w:tc>
        <w:tc>
          <w:tcPr>
            <w:tcW w:w="717" w:type="dxa"/>
            <w:noWrap/>
          </w:tcPr>
          <w:p w14:paraId="42FDEB4A" w14:textId="743BD60B" w:rsidR="004B64C1" w:rsidRPr="0055435C" w:rsidRDefault="004B64C1"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11EC3073" w14:textId="77777777" w:rsidR="004B64C1" w:rsidRPr="0055435C" w:rsidRDefault="004B64C1" w:rsidP="00AB7918">
            <w:pPr>
              <w:spacing w:line="480" w:lineRule="auto"/>
              <w:rPr>
                <w:rFonts w:cs="Times New Roman"/>
                <w:sz w:val="20"/>
                <w:szCs w:val="20"/>
                <w:lang w:val="en-US"/>
              </w:rPr>
            </w:pPr>
          </w:p>
        </w:tc>
        <w:tc>
          <w:tcPr>
            <w:tcW w:w="705" w:type="dxa"/>
            <w:noWrap/>
          </w:tcPr>
          <w:p w14:paraId="22384CBA" w14:textId="63E63781" w:rsidR="004B64C1" w:rsidRPr="0055435C" w:rsidRDefault="004B64C1"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51CDAFDD" w14:textId="77777777" w:rsidR="004B64C1" w:rsidRPr="0055435C" w:rsidRDefault="004B64C1" w:rsidP="00AB7918">
            <w:pPr>
              <w:spacing w:line="480" w:lineRule="auto"/>
              <w:rPr>
                <w:rFonts w:cs="Times New Roman"/>
                <w:sz w:val="20"/>
                <w:szCs w:val="20"/>
                <w:lang w:val="en-US"/>
              </w:rPr>
            </w:pPr>
          </w:p>
        </w:tc>
        <w:tc>
          <w:tcPr>
            <w:tcW w:w="705" w:type="dxa"/>
            <w:noWrap/>
          </w:tcPr>
          <w:p w14:paraId="64E4430D" w14:textId="70784A77" w:rsidR="004B64C1" w:rsidRPr="0055435C" w:rsidRDefault="004B64C1" w:rsidP="00AB7918">
            <w:pPr>
              <w:spacing w:line="480" w:lineRule="auto"/>
              <w:rPr>
                <w:rFonts w:cs="Times New Roman"/>
                <w:sz w:val="20"/>
                <w:szCs w:val="20"/>
                <w:lang w:val="en-US"/>
              </w:rPr>
            </w:pPr>
            <w:r w:rsidRPr="0055435C">
              <w:rPr>
                <w:rFonts w:cs="Times New Roman"/>
                <w:sz w:val="20"/>
                <w:szCs w:val="20"/>
                <w:lang w:val="en-US"/>
              </w:rPr>
              <w:t>-</w:t>
            </w:r>
          </w:p>
        </w:tc>
        <w:tc>
          <w:tcPr>
            <w:tcW w:w="697" w:type="dxa"/>
          </w:tcPr>
          <w:p w14:paraId="76F2857D" w14:textId="77777777" w:rsidR="004B64C1" w:rsidRPr="0055435C" w:rsidRDefault="004B64C1" w:rsidP="00AB7918">
            <w:pPr>
              <w:spacing w:line="480" w:lineRule="auto"/>
              <w:rPr>
                <w:rFonts w:cs="Times New Roman"/>
                <w:sz w:val="20"/>
                <w:szCs w:val="20"/>
                <w:lang w:val="en-US"/>
              </w:rPr>
            </w:pPr>
          </w:p>
        </w:tc>
        <w:tc>
          <w:tcPr>
            <w:tcW w:w="672" w:type="dxa"/>
            <w:noWrap/>
          </w:tcPr>
          <w:p w14:paraId="23ED2E81" w14:textId="749E460E" w:rsidR="004B64C1" w:rsidRPr="0055435C" w:rsidRDefault="004B64C1" w:rsidP="00AB7918">
            <w:pPr>
              <w:spacing w:line="480" w:lineRule="auto"/>
              <w:rPr>
                <w:rFonts w:cs="Times New Roman"/>
                <w:sz w:val="20"/>
                <w:szCs w:val="20"/>
                <w:lang w:val="en-US"/>
              </w:rPr>
            </w:pPr>
            <w:r w:rsidRPr="0055435C">
              <w:rPr>
                <w:rFonts w:cs="Times New Roman"/>
                <w:sz w:val="20"/>
                <w:szCs w:val="20"/>
                <w:lang w:val="en-US"/>
              </w:rPr>
              <w:t>-</w:t>
            </w:r>
          </w:p>
        </w:tc>
        <w:tc>
          <w:tcPr>
            <w:tcW w:w="705" w:type="dxa"/>
          </w:tcPr>
          <w:p w14:paraId="60C994FC" w14:textId="77777777" w:rsidR="004B64C1" w:rsidRPr="0055435C" w:rsidRDefault="004B64C1" w:rsidP="00AB7918">
            <w:pPr>
              <w:spacing w:line="480" w:lineRule="auto"/>
              <w:rPr>
                <w:rFonts w:cs="Times New Roman"/>
                <w:sz w:val="20"/>
                <w:szCs w:val="20"/>
                <w:lang w:val="en-US"/>
              </w:rPr>
            </w:pPr>
          </w:p>
        </w:tc>
        <w:tc>
          <w:tcPr>
            <w:tcW w:w="705" w:type="dxa"/>
            <w:noWrap/>
          </w:tcPr>
          <w:p w14:paraId="5D1DCA1A" w14:textId="5A93524F" w:rsidR="004B64C1" w:rsidRPr="0055435C" w:rsidRDefault="004B64C1" w:rsidP="00AB7918">
            <w:pPr>
              <w:spacing w:line="480" w:lineRule="auto"/>
              <w:rPr>
                <w:rFonts w:cs="Times New Roman"/>
                <w:sz w:val="20"/>
                <w:szCs w:val="20"/>
                <w:lang w:val="en-US"/>
              </w:rPr>
            </w:pPr>
            <w:r w:rsidRPr="0055435C">
              <w:rPr>
                <w:rFonts w:cs="Times New Roman"/>
                <w:sz w:val="20"/>
                <w:szCs w:val="20"/>
                <w:lang w:val="en-US"/>
              </w:rPr>
              <w:t>-0.43</w:t>
            </w:r>
          </w:p>
        </w:tc>
        <w:tc>
          <w:tcPr>
            <w:tcW w:w="705" w:type="dxa"/>
          </w:tcPr>
          <w:p w14:paraId="37388664" w14:textId="2B0BA1BE" w:rsidR="004B64C1" w:rsidRPr="0055435C" w:rsidRDefault="00EA336C" w:rsidP="00AB7918">
            <w:pPr>
              <w:spacing w:line="480" w:lineRule="auto"/>
              <w:rPr>
                <w:rFonts w:cs="Times New Roman"/>
                <w:sz w:val="20"/>
                <w:szCs w:val="20"/>
                <w:lang w:val="en-US"/>
              </w:rPr>
            </w:pPr>
            <w:r w:rsidRPr="0055435C">
              <w:rPr>
                <w:rFonts w:cs="Times New Roman"/>
                <w:sz w:val="20"/>
                <w:szCs w:val="20"/>
                <w:lang w:val="en-US"/>
              </w:rPr>
              <w:t>(1.07)</w:t>
            </w:r>
          </w:p>
        </w:tc>
      </w:tr>
      <w:tr w:rsidR="004D048D" w:rsidRPr="0055435C" w14:paraId="7790B0D7" w14:textId="37492ECC" w:rsidTr="00AB7918">
        <w:trPr>
          <w:trHeight w:val="288"/>
        </w:trPr>
        <w:tc>
          <w:tcPr>
            <w:tcW w:w="9242" w:type="dxa"/>
            <w:gridSpan w:val="11"/>
            <w:tcBorders>
              <w:top w:val="single" w:sz="4" w:space="0" w:color="auto"/>
            </w:tcBorders>
          </w:tcPr>
          <w:p w14:paraId="0D951EA8" w14:textId="476DEB1C" w:rsidR="004D048D" w:rsidRPr="0055435C" w:rsidRDefault="004D048D" w:rsidP="00AB7918">
            <w:pPr>
              <w:spacing w:line="480" w:lineRule="auto"/>
              <w:rPr>
                <w:rFonts w:cs="Times New Roman"/>
                <w:sz w:val="20"/>
                <w:szCs w:val="20"/>
                <w:vertAlign w:val="superscript"/>
              </w:rPr>
            </w:pPr>
            <w:r w:rsidRPr="0055435C">
              <w:rPr>
                <w:rFonts w:cs="Times New Roman"/>
                <w:sz w:val="20"/>
                <w:szCs w:val="20"/>
                <w:vertAlign w:val="superscript"/>
              </w:rPr>
              <w:t>a</w:t>
            </w:r>
            <w:r w:rsidRPr="0055435C">
              <w:rPr>
                <w:rFonts w:cs="Times New Roman"/>
                <w:sz w:val="20"/>
                <w:szCs w:val="20"/>
              </w:rPr>
              <w:t>age range 57-68 years</w:t>
            </w:r>
          </w:p>
        </w:tc>
      </w:tr>
    </w:tbl>
    <w:p w14:paraId="04DD2B9C" w14:textId="77777777" w:rsidR="007438E6" w:rsidRPr="0055435C" w:rsidRDefault="007438E6" w:rsidP="00AB7918">
      <w:pPr>
        <w:spacing w:line="480" w:lineRule="auto"/>
        <w:rPr>
          <w:noProof/>
          <w:lang w:val="en-US"/>
        </w:rPr>
      </w:pPr>
    </w:p>
    <w:p w14:paraId="33DEAAC2" w14:textId="77777777" w:rsidR="003C7765" w:rsidRPr="0055435C" w:rsidRDefault="003C7765" w:rsidP="00AB7918">
      <w:pPr>
        <w:rPr>
          <w:noProof/>
          <w:lang w:val="en-US"/>
        </w:rPr>
      </w:pPr>
      <w:r w:rsidRPr="0055435C">
        <w:rPr>
          <w:noProof/>
          <w:lang w:val="en-US"/>
        </w:rPr>
        <w:br w:type="page"/>
      </w:r>
    </w:p>
    <w:p w14:paraId="004998F7" w14:textId="77777777" w:rsidR="00151890" w:rsidRPr="0055435C" w:rsidRDefault="000472CC" w:rsidP="00AB7918">
      <w:pPr>
        <w:spacing w:line="480" w:lineRule="auto"/>
        <w:rPr>
          <w:b/>
          <w:noProof/>
          <w:lang w:val="en-US"/>
        </w:rPr>
      </w:pPr>
      <w:r w:rsidRPr="0055435C">
        <w:rPr>
          <w:b/>
          <w:noProof/>
          <w:lang w:val="en-US"/>
        </w:rPr>
        <w:lastRenderedPageBreak/>
        <w:t>FIGURE CAPTIONS</w:t>
      </w:r>
    </w:p>
    <w:p w14:paraId="227DEFF5" w14:textId="77777777" w:rsidR="00151890" w:rsidRPr="0055435C" w:rsidRDefault="00151890" w:rsidP="00AB7918">
      <w:pPr>
        <w:spacing w:line="480" w:lineRule="auto"/>
        <w:rPr>
          <w:noProof/>
          <w:lang w:val="en-US"/>
        </w:rPr>
      </w:pPr>
    </w:p>
    <w:p w14:paraId="546B54A2" w14:textId="2B2845DC" w:rsidR="00793B6F" w:rsidRPr="0055435C" w:rsidRDefault="000472CC" w:rsidP="00AB7918">
      <w:pPr>
        <w:spacing w:line="480" w:lineRule="auto"/>
        <w:rPr>
          <w:lang w:val="en-US"/>
        </w:rPr>
      </w:pPr>
      <w:r w:rsidRPr="0055435C">
        <w:rPr>
          <w:b/>
          <w:noProof/>
          <w:lang w:val="en-US"/>
        </w:rPr>
        <w:t>Fig. 1</w:t>
      </w:r>
      <w:r w:rsidR="00151890" w:rsidRPr="0055435C">
        <w:rPr>
          <w:noProof/>
          <w:lang w:val="en-US"/>
        </w:rPr>
        <w:t xml:space="preserve"> </w:t>
      </w:r>
      <w:r w:rsidR="00E6227A" w:rsidRPr="0055435C">
        <w:rPr>
          <w:noProof/>
          <w:lang w:val="en-US"/>
        </w:rPr>
        <w:t>R</w:t>
      </w:r>
      <w:r w:rsidR="007D12A6" w:rsidRPr="0055435C">
        <w:rPr>
          <w:lang w:val="en-US"/>
        </w:rPr>
        <w:t xml:space="preserve">egression coefficients </w:t>
      </w:r>
      <w:r w:rsidR="00793B6F" w:rsidRPr="0055435C">
        <w:rPr>
          <w:lang w:val="en-US"/>
        </w:rPr>
        <w:t>for periods o</w:t>
      </w:r>
      <w:r w:rsidR="00E6227A" w:rsidRPr="0055435C">
        <w:rPr>
          <w:lang w:val="en-US"/>
        </w:rPr>
        <w:t>f growth</w:t>
      </w:r>
      <w:r w:rsidR="00793B6F" w:rsidRPr="0055435C">
        <w:rPr>
          <w:lang w:val="en-US"/>
        </w:rPr>
        <w:t xml:space="preserve"> </w:t>
      </w:r>
      <w:r w:rsidR="007D12A6" w:rsidRPr="0055435C">
        <w:rPr>
          <w:lang w:val="en-US"/>
        </w:rPr>
        <w:t xml:space="preserve">explaining </w:t>
      </w:r>
      <w:r w:rsidR="008C1613" w:rsidRPr="0055435C">
        <w:rPr>
          <w:lang w:val="en-US"/>
        </w:rPr>
        <w:t xml:space="preserve">bone area, </w:t>
      </w:r>
      <w:r w:rsidR="007D12A6" w:rsidRPr="0055435C">
        <w:rPr>
          <w:lang w:val="en-US"/>
        </w:rPr>
        <w:t xml:space="preserve">bone mineral content (BMC) and </w:t>
      </w:r>
      <w:r w:rsidR="003E5A36" w:rsidRPr="0055435C">
        <w:rPr>
          <w:lang w:val="en-US"/>
        </w:rPr>
        <w:t>a</w:t>
      </w:r>
      <w:r w:rsidR="007D12A6" w:rsidRPr="0055435C">
        <w:rPr>
          <w:lang w:val="en-US"/>
        </w:rPr>
        <w:t>real bone mineral density (</w:t>
      </w:r>
      <w:r w:rsidR="00794D83" w:rsidRPr="0055435C">
        <w:rPr>
          <w:lang w:val="en-US"/>
        </w:rPr>
        <w:t>a</w:t>
      </w:r>
      <w:r w:rsidR="007D12A6" w:rsidRPr="0055435C">
        <w:rPr>
          <w:lang w:val="en-US"/>
        </w:rPr>
        <w:t xml:space="preserve">BMD) </w:t>
      </w:r>
      <w:r w:rsidR="00C24170" w:rsidRPr="0055435C">
        <w:rPr>
          <w:lang w:val="en-US"/>
        </w:rPr>
        <w:t xml:space="preserve">of </w:t>
      </w:r>
      <w:r w:rsidR="00E6227A" w:rsidRPr="0055435C">
        <w:rPr>
          <w:lang w:val="en-US"/>
        </w:rPr>
        <w:t>femoral neck</w:t>
      </w:r>
      <w:r w:rsidR="00C24170" w:rsidRPr="0055435C">
        <w:rPr>
          <w:lang w:val="en-US"/>
        </w:rPr>
        <w:t xml:space="preserve"> </w:t>
      </w:r>
      <w:r w:rsidR="00E6227A" w:rsidRPr="0055435C">
        <w:rPr>
          <w:lang w:val="en-US"/>
        </w:rPr>
        <w:t xml:space="preserve">among women </w:t>
      </w:r>
      <w:r w:rsidR="00C24170" w:rsidRPr="0055435C">
        <w:rPr>
          <w:lang w:val="en-US"/>
        </w:rPr>
        <w:t>in</w:t>
      </w:r>
      <w:r w:rsidR="007D12A6" w:rsidRPr="0055435C">
        <w:rPr>
          <w:lang w:val="en-US"/>
        </w:rPr>
        <w:t xml:space="preserve"> </w:t>
      </w:r>
      <w:r w:rsidR="009E330D" w:rsidRPr="0055435C">
        <w:rPr>
          <w:lang w:val="en-US"/>
        </w:rPr>
        <w:t>early old age</w:t>
      </w:r>
      <w:r w:rsidR="0090553D" w:rsidRPr="0055435C">
        <w:rPr>
          <w:lang w:val="en-US"/>
        </w:rPr>
        <w:t>.</w:t>
      </w:r>
      <w:r w:rsidR="00ED60C3" w:rsidRPr="0055435C">
        <w:rPr>
          <w:lang w:val="en-US"/>
        </w:rPr>
        <w:t xml:space="preserve"> </w:t>
      </w:r>
      <w:r w:rsidR="0096740E" w:rsidRPr="0055435C">
        <w:rPr>
          <w:lang w:val="en-US"/>
        </w:rPr>
        <w:t xml:space="preserve">Whiskers show 95% confidence intervals. </w:t>
      </w:r>
      <w:r w:rsidR="00ED60C3" w:rsidRPr="0055435C">
        <w:rPr>
          <w:lang w:val="en-US"/>
        </w:rPr>
        <w:t xml:space="preserve">Height </w:t>
      </w:r>
      <w:r w:rsidR="00E6227A" w:rsidRPr="0055435C">
        <w:rPr>
          <w:lang w:val="en-US"/>
        </w:rPr>
        <w:t xml:space="preserve">(left panel) </w:t>
      </w:r>
      <w:r w:rsidR="00ED60C3" w:rsidRPr="0055435C">
        <w:rPr>
          <w:lang w:val="en-US"/>
        </w:rPr>
        <w:t>and weight</w:t>
      </w:r>
      <w:r w:rsidR="00E6227A" w:rsidRPr="0055435C">
        <w:rPr>
          <w:lang w:val="en-US"/>
        </w:rPr>
        <w:t xml:space="preserve"> (right panel)</w:t>
      </w:r>
      <w:r w:rsidR="00ED60C3" w:rsidRPr="0055435C">
        <w:rPr>
          <w:lang w:val="en-US"/>
        </w:rPr>
        <w:t xml:space="preserve"> are </w:t>
      </w:r>
      <w:r w:rsidR="00E6227A" w:rsidRPr="0055435C">
        <w:rPr>
          <w:lang w:val="en-US"/>
        </w:rPr>
        <w:t>independent of</w:t>
      </w:r>
      <w:r w:rsidR="00ED60C3" w:rsidRPr="0055435C">
        <w:rPr>
          <w:lang w:val="en-US"/>
        </w:rPr>
        <w:t xml:space="preserve"> earlier growth in height and weight</w:t>
      </w:r>
      <w:r w:rsidR="00E6227A" w:rsidRPr="0055435C">
        <w:rPr>
          <w:lang w:val="en-US"/>
        </w:rPr>
        <w:t xml:space="preserve"> and weight is independent of corresponding height to</w:t>
      </w:r>
      <w:r w:rsidRPr="0055435C">
        <w:rPr>
          <w:lang w:val="en-US"/>
        </w:rPr>
        <w:t xml:space="preserve"> yield relative weight</w:t>
      </w:r>
      <w:r w:rsidR="00E6227A" w:rsidRPr="0055435C">
        <w:rPr>
          <w:lang w:val="en-US"/>
        </w:rPr>
        <w:t xml:space="preserve">. </w:t>
      </w:r>
      <w:r w:rsidR="00675BAB" w:rsidRPr="0055435C">
        <w:rPr>
          <w:lang w:val="en-US"/>
        </w:rPr>
        <w:t>Black symbols show coefficients from models excluding body size at early old age and grey symbols from models including body size at early old age.</w:t>
      </w:r>
      <w:r w:rsidR="00CD32CC" w:rsidRPr="0055435C">
        <w:rPr>
          <w:lang w:val="en-US"/>
        </w:rPr>
        <w:t xml:space="preserve"> Models are adjusted for length of gestation, age, years since menopause, childhood and adulthood socio-economic status, alcohol intake, smoking, exercise, and estrogen replacement therapy.</w:t>
      </w:r>
    </w:p>
    <w:p w14:paraId="349AAFC8" w14:textId="77777777" w:rsidR="00BF6D0E" w:rsidRPr="0055435C" w:rsidRDefault="00BF6D0E" w:rsidP="00AB7918">
      <w:pPr>
        <w:spacing w:line="480" w:lineRule="auto"/>
        <w:rPr>
          <w:lang w:val="en-US"/>
        </w:rPr>
      </w:pPr>
    </w:p>
    <w:p w14:paraId="2D5658D5" w14:textId="77777777" w:rsidR="00BF6D0E" w:rsidRPr="0055435C" w:rsidRDefault="00BF6D0E" w:rsidP="00AB7918">
      <w:pPr>
        <w:spacing w:line="480" w:lineRule="auto"/>
        <w:rPr>
          <w:b/>
          <w:lang w:val="en-US"/>
        </w:rPr>
      </w:pPr>
      <w:r w:rsidRPr="0055435C">
        <w:rPr>
          <w:b/>
          <w:lang w:val="en-US"/>
        </w:rPr>
        <w:t>ELECTRONIC SUPPLEMENTARY MATERIAL CAPTIONS</w:t>
      </w:r>
    </w:p>
    <w:p w14:paraId="649AC0AA" w14:textId="77777777" w:rsidR="00793B6F" w:rsidRPr="0055435C" w:rsidRDefault="00793B6F" w:rsidP="00AB7918">
      <w:pPr>
        <w:spacing w:line="480" w:lineRule="auto"/>
        <w:rPr>
          <w:lang w:val="en-US"/>
        </w:rPr>
      </w:pPr>
    </w:p>
    <w:p w14:paraId="1FDE1912" w14:textId="30261206" w:rsidR="00BF6D0E" w:rsidRPr="0055435C" w:rsidRDefault="00BF6D0E" w:rsidP="00AB7918">
      <w:pPr>
        <w:spacing w:line="480" w:lineRule="auto"/>
        <w:rPr>
          <w:lang w:val="en-US"/>
        </w:rPr>
      </w:pPr>
      <w:r w:rsidRPr="0055435C">
        <w:rPr>
          <w:b/>
          <w:lang w:val="en-US"/>
        </w:rPr>
        <w:t>ESM1</w:t>
      </w:r>
      <w:r w:rsidRPr="0055435C">
        <w:rPr>
          <w:lang w:val="en-US"/>
        </w:rPr>
        <w:t xml:space="preserve"> </w:t>
      </w:r>
      <w:r w:rsidR="003F1928" w:rsidRPr="0055435C">
        <w:rPr>
          <w:noProof/>
          <w:lang w:val="en-US"/>
        </w:rPr>
        <w:t>Length at birth, and conditional growth in height explaining femoral neck bone area, bone mineral content (BMC), and areal bone mineral density (aBMD) in a subgroup of women (n=178) from the Helsinki Birth Cohort Study.</w:t>
      </w:r>
    </w:p>
    <w:p w14:paraId="26747CD1" w14:textId="059F81E7" w:rsidR="00BF6D0E" w:rsidRPr="0055435C" w:rsidRDefault="00BF6D0E" w:rsidP="00AB7918">
      <w:pPr>
        <w:spacing w:line="480" w:lineRule="auto"/>
        <w:rPr>
          <w:lang w:val="en-US"/>
        </w:rPr>
      </w:pPr>
      <w:r w:rsidRPr="0055435C">
        <w:rPr>
          <w:b/>
          <w:lang w:val="en-US"/>
        </w:rPr>
        <w:t>ESM2</w:t>
      </w:r>
      <w:r w:rsidRPr="0055435C">
        <w:rPr>
          <w:lang w:val="en-US"/>
        </w:rPr>
        <w:t xml:space="preserve"> </w:t>
      </w:r>
      <w:r w:rsidR="003F1928" w:rsidRPr="0055435C">
        <w:rPr>
          <w:noProof/>
          <w:lang w:val="en-US"/>
        </w:rPr>
        <w:t>Birth weight, and conditional growth in weight explaining femoral neck bone area, bone mineral content (BMC), and areal bone mineral density (aBMD) in early old age in a subgroup of women (n=178) from the Helsinki Birth Cohort Study.</w:t>
      </w:r>
    </w:p>
    <w:p w14:paraId="447F89D2" w14:textId="6C2AB19A" w:rsidR="00151890" w:rsidRPr="0055435C" w:rsidRDefault="00BF6D0E" w:rsidP="00AB7918">
      <w:pPr>
        <w:spacing w:line="480" w:lineRule="auto"/>
        <w:rPr>
          <w:rFonts w:ascii="Calibri" w:eastAsia="Times New Roman" w:hAnsi="Calibri" w:cs="Times New Roman"/>
          <w:color w:val="000000"/>
          <w:lang w:val="en-US" w:eastAsia="sv-FI"/>
        </w:rPr>
      </w:pPr>
      <w:r w:rsidRPr="0055435C">
        <w:rPr>
          <w:b/>
          <w:lang w:val="en-US"/>
        </w:rPr>
        <w:lastRenderedPageBreak/>
        <w:t>ESM3</w:t>
      </w:r>
      <w:r w:rsidRPr="0055435C">
        <w:rPr>
          <w:lang w:val="en-US"/>
        </w:rPr>
        <w:t xml:space="preserve"> </w:t>
      </w:r>
      <w:r w:rsidR="003F1928" w:rsidRPr="0055435C">
        <w:rPr>
          <w:noProof/>
          <w:lang w:val="en-US"/>
        </w:rPr>
        <w:t>Length at birth and conditional growth in height explaining spine (L2-L4) bone area, bone mineral content (BMC), and areal bone mineral density (aBMD) in early old age in a subgroup of women (n=178) from the Helsinki Birth Cohort Study.</w:t>
      </w:r>
    </w:p>
    <w:p w14:paraId="535D804B" w14:textId="6F583B78" w:rsidR="003F1928" w:rsidRPr="0055435C" w:rsidRDefault="003F1928" w:rsidP="00AB7918">
      <w:pPr>
        <w:spacing w:line="480" w:lineRule="auto"/>
        <w:rPr>
          <w:rFonts w:cs="Times New Roman"/>
          <w:lang w:val="en-US"/>
        </w:rPr>
      </w:pPr>
      <w:r w:rsidRPr="0055435C">
        <w:rPr>
          <w:rFonts w:eastAsia="Times New Roman" w:cs="Times New Roman"/>
          <w:b/>
          <w:color w:val="000000"/>
          <w:lang w:val="en-US" w:eastAsia="sv-FI"/>
        </w:rPr>
        <w:t xml:space="preserve">ESM4 </w:t>
      </w:r>
      <w:r w:rsidR="00A7238B" w:rsidRPr="0055435C">
        <w:rPr>
          <w:rFonts w:eastAsia="Times New Roman" w:cs="Times New Roman"/>
          <w:color w:val="000000"/>
          <w:lang w:val="en-US" w:eastAsia="sv-FI"/>
        </w:rPr>
        <w:t>Relative birth weight and conditional growth in weight explaining spine (L2-L4) bone area, bone mineral content (BMC), and areal bone mineral density (aBMD) in early old age in a subgroup of women (n=178) from the Helsinki Birth Cohort Study</w:t>
      </w:r>
    </w:p>
    <w:p w14:paraId="0C9D7CDE" w14:textId="77777777" w:rsidR="0055435C" w:rsidRPr="0055435C" w:rsidRDefault="0055435C" w:rsidP="00AB7918">
      <w:pPr>
        <w:spacing w:line="480" w:lineRule="auto"/>
        <w:rPr>
          <w:noProof/>
          <w:lang w:val="sv-FI" w:eastAsia="sv-FI"/>
        </w:rPr>
      </w:pPr>
    </w:p>
    <w:p w14:paraId="6BD70D89" w14:textId="135696AB" w:rsidR="00151890" w:rsidRPr="0055435C" w:rsidRDefault="00151890" w:rsidP="00AB7918">
      <w:pPr>
        <w:spacing w:line="480" w:lineRule="auto"/>
        <w:rPr>
          <w:lang w:val="en-US"/>
        </w:rPr>
      </w:pPr>
    </w:p>
    <w:p w14:paraId="7BDEE7FF" w14:textId="77777777" w:rsidR="0055435C" w:rsidRPr="0055435C" w:rsidRDefault="0055435C" w:rsidP="00AB7918">
      <w:pPr>
        <w:spacing w:line="480" w:lineRule="auto"/>
        <w:rPr>
          <w:lang w:val="en-US"/>
        </w:rPr>
      </w:pPr>
    </w:p>
    <w:p w14:paraId="31772596" w14:textId="77777777" w:rsidR="0055435C" w:rsidRPr="0055435C" w:rsidRDefault="0055435C" w:rsidP="00AB7918">
      <w:pPr>
        <w:spacing w:line="480" w:lineRule="auto"/>
        <w:rPr>
          <w:lang w:val="en-US"/>
        </w:rPr>
      </w:pPr>
    </w:p>
    <w:p w14:paraId="42E9C063" w14:textId="77777777" w:rsidR="0055435C" w:rsidRPr="0055435C" w:rsidRDefault="0055435C" w:rsidP="00AB7918">
      <w:pPr>
        <w:spacing w:line="480" w:lineRule="auto"/>
        <w:rPr>
          <w:lang w:val="en-US"/>
        </w:rPr>
      </w:pPr>
    </w:p>
    <w:p w14:paraId="1C866817" w14:textId="77777777" w:rsidR="0055435C" w:rsidRPr="0055435C" w:rsidRDefault="0055435C" w:rsidP="00AB7918">
      <w:pPr>
        <w:spacing w:line="480" w:lineRule="auto"/>
        <w:rPr>
          <w:lang w:val="en-US"/>
        </w:rPr>
      </w:pPr>
    </w:p>
    <w:p w14:paraId="6B53F0D3" w14:textId="77777777" w:rsidR="0055435C" w:rsidRPr="0055435C" w:rsidRDefault="0055435C" w:rsidP="00AB7918">
      <w:pPr>
        <w:spacing w:line="480" w:lineRule="auto"/>
        <w:rPr>
          <w:lang w:val="en-US"/>
        </w:rPr>
      </w:pPr>
    </w:p>
    <w:p w14:paraId="0E4AD0E2" w14:textId="77777777" w:rsidR="0055435C" w:rsidRPr="0055435C" w:rsidRDefault="0055435C" w:rsidP="00AB7918">
      <w:pPr>
        <w:spacing w:line="480" w:lineRule="auto"/>
        <w:rPr>
          <w:lang w:val="en-US"/>
        </w:rPr>
      </w:pPr>
    </w:p>
    <w:p w14:paraId="673C15E3" w14:textId="77777777" w:rsidR="0055435C" w:rsidRPr="0055435C" w:rsidRDefault="0055435C" w:rsidP="00AB7918">
      <w:pPr>
        <w:spacing w:line="480" w:lineRule="auto"/>
        <w:rPr>
          <w:lang w:val="en-US"/>
        </w:rPr>
      </w:pPr>
    </w:p>
    <w:p w14:paraId="0720909E" w14:textId="77777777" w:rsidR="0055435C" w:rsidRPr="0055435C" w:rsidRDefault="0055435C" w:rsidP="00AB7918">
      <w:pPr>
        <w:spacing w:line="480" w:lineRule="auto"/>
        <w:rPr>
          <w:lang w:val="en-US"/>
        </w:rPr>
      </w:pPr>
    </w:p>
    <w:p w14:paraId="0758A723" w14:textId="77777777" w:rsidR="0055435C" w:rsidRPr="0055435C" w:rsidRDefault="0055435C" w:rsidP="00AB7918">
      <w:pPr>
        <w:spacing w:line="480" w:lineRule="auto"/>
        <w:rPr>
          <w:lang w:val="en-US"/>
        </w:rPr>
      </w:pPr>
    </w:p>
    <w:p w14:paraId="6F10A3DB" w14:textId="77777777" w:rsidR="0055435C" w:rsidRPr="0055435C" w:rsidRDefault="0055435C" w:rsidP="00AB7918">
      <w:pPr>
        <w:spacing w:line="480" w:lineRule="auto"/>
        <w:rPr>
          <w:lang w:val="en-US"/>
        </w:rPr>
      </w:pPr>
    </w:p>
    <w:p w14:paraId="6C6B06F6" w14:textId="77777777" w:rsidR="0055435C" w:rsidRPr="0055435C" w:rsidRDefault="0055435C" w:rsidP="00AB7918">
      <w:pPr>
        <w:spacing w:line="480" w:lineRule="auto"/>
        <w:rPr>
          <w:lang w:val="en-US"/>
        </w:rPr>
      </w:pPr>
    </w:p>
    <w:p w14:paraId="60F6F5B0" w14:textId="77777777" w:rsidR="0055435C" w:rsidRPr="0055435C" w:rsidRDefault="0055435C" w:rsidP="00AB7918">
      <w:pPr>
        <w:spacing w:line="480" w:lineRule="auto"/>
        <w:rPr>
          <w:lang w:val="en-US"/>
        </w:rPr>
      </w:pPr>
    </w:p>
    <w:p w14:paraId="0EF7844F" w14:textId="6D04CBA6" w:rsidR="0055435C" w:rsidRPr="0055435C" w:rsidRDefault="0055435C" w:rsidP="00AB7918">
      <w:pPr>
        <w:spacing w:line="480" w:lineRule="auto"/>
        <w:rPr>
          <w:lang w:val="en-US"/>
        </w:rPr>
      </w:pPr>
      <w:r w:rsidRPr="0055435C">
        <w:rPr>
          <w:lang w:val="en-US"/>
        </w:rPr>
        <w:lastRenderedPageBreak/>
        <w:t>Fig 1.</w:t>
      </w:r>
    </w:p>
    <w:p w14:paraId="39BD76FE" w14:textId="140E7376" w:rsidR="0055435C" w:rsidRPr="0055435C" w:rsidRDefault="0055435C" w:rsidP="00AB7918">
      <w:pPr>
        <w:spacing w:line="480" w:lineRule="auto"/>
        <w:rPr>
          <w:noProof/>
          <w:lang w:val="sv-FI" w:eastAsia="sv-FI"/>
        </w:rPr>
      </w:pPr>
      <w:r w:rsidRPr="0055435C">
        <w:rPr>
          <w:noProof/>
          <w:lang w:val="en-GB" w:eastAsia="en-GB"/>
        </w:rPr>
        <w:drawing>
          <wp:inline distT="0" distB="0" distL="0" distR="0" wp14:anchorId="09702B12" wp14:editId="531C6AC4">
            <wp:extent cx="5592756" cy="67556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8233" cy="6762258"/>
                    </a:xfrm>
                    <a:prstGeom prst="rect">
                      <a:avLst/>
                    </a:prstGeom>
                    <a:noFill/>
                  </pic:spPr>
                </pic:pic>
              </a:graphicData>
            </a:graphic>
          </wp:inline>
        </w:drawing>
      </w:r>
    </w:p>
    <w:p w14:paraId="489B7449" w14:textId="64F1C41D" w:rsidR="0055435C" w:rsidRPr="0055435C" w:rsidRDefault="0055435C" w:rsidP="00AB7918">
      <w:pPr>
        <w:spacing w:line="480" w:lineRule="auto"/>
        <w:rPr>
          <w:lang w:val="en-US"/>
        </w:rPr>
      </w:pPr>
    </w:p>
    <w:p w14:paraId="06667E75" w14:textId="77777777" w:rsidR="0055435C" w:rsidRPr="0055435C" w:rsidRDefault="0055435C" w:rsidP="00AB7918">
      <w:pPr>
        <w:spacing w:line="480" w:lineRule="auto"/>
        <w:rPr>
          <w:lang w:val="en-US"/>
        </w:rPr>
      </w:pPr>
    </w:p>
    <w:tbl>
      <w:tblPr>
        <w:tblW w:w="8164" w:type="dxa"/>
        <w:tblInd w:w="55" w:type="dxa"/>
        <w:tblCellMar>
          <w:left w:w="70" w:type="dxa"/>
          <w:right w:w="70" w:type="dxa"/>
        </w:tblCellMar>
        <w:tblLook w:val="04A0" w:firstRow="1" w:lastRow="0" w:firstColumn="1" w:lastColumn="0" w:noHBand="0" w:noVBand="1"/>
      </w:tblPr>
      <w:tblGrid>
        <w:gridCol w:w="1575"/>
        <w:gridCol w:w="1403"/>
        <w:gridCol w:w="642"/>
        <w:gridCol w:w="1245"/>
        <w:gridCol w:w="642"/>
        <w:gridCol w:w="190"/>
        <w:gridCol w:w="712"/>
        <w:gridCol w:w="1113"/>
        <w:gridCol w:w="642"/>
      </w:tblGrid>
      <w:tr w:rsidR="0055435C" w:rsidRPr="0055435C" w14:paraId="493E277E" w14:textId="77777777" w:rsidTr="00677BF5">
        <w:trPr>
          <w:trHeight w:val="1257"/>
        </w:trPr>
        <w:tc>
          <w:tcPr>
            <w:tcW w:w="8164" w:type="dxa"/>
            <w:gridSpan w:val="9"/>
            <w:tcBorders>
              <w:top w:val="nil"/>
              <w:left w:val="nil"/>
              <w:bottom w:val="single" w:sz="4" w:space="0" w:color="auto"/>
              <w:right w:val="nil"/>
            </w:tcBorders>
            <w:shd w:val="clear" w:color="auto" w:fill="auto"/>
            <w:vAlign w:val="bottom"/>
            <w:hideMark/>
          </w:tcPr>
          <w:p w14:paraId="5CB5E5CF"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lastRenderedPageBreak/>
              <w:t>Supplementary Table 1. Length at birth, and conditional growth in height explaining femoral neck bone area, bone mineral content (BMC), and areal bone mineral density (aBMD) in a subgroup of women (n=178) from the Helsinki Birth Cohort Study.</w:t>
            </w:r>
          </w:p>
        </w:tc>
      </w:tr>
      <w:tr w:rsidR="0055435C" w:rsidRPr="0055435C" w14:paraId="101A09CB" w14:textId="77777777" w:rsidTr="00677BF5">
        <w:trPr>
          <w:trHeight w:val="301"/>
        </w:trPr>
        <w:tc>
          <w:tcPr>
            <w:tcW w:w="1575" w:type="dxa"/>
            <w:tcBorders>
              <w:top w:val="nil"/>
              <w:left w:val="nil"/>
              <w:bottom w:val="nil"/>
              <w:right w:val="nil"/>
            </w:tcBorders>
            <w:shd w:val="clear" w:color="auto" w:fill="auto"/>
            <w:noWrap/>
            <w:vAlign w:val="bottom"/>
            <w:hideMark/>
          </w:tcPr>
          <w:p w14:paraId="707DD8D3"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t> </w:t>
            </w:r>
          </w:p>
        </w:tc>
        <w:tc>
          <w:tcPr>
            <w:tcW w:w="1403" w:type="dxa"/>
            <w:tcBorders>
              <w:top w:val="nil"/>
              <w:left w:val="nil"/>
              <w:bottom w:val="nil"/>
              <w:right w:val="nil"/>
            </w:tcBorders>
            <w:shd w:val="clear" w:color="auto" w:fill="auto"/>
            <w:noWrap/>
            <w:vAlign w:val="bottom"/>
            <w:hideMark/>
          </w:tcPr>
          <w:p w14:paraId="26F3FE81"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t> </w:t>
            </w:r>
          </w:p>
        </w:tc>
        <w:tc>
          <w:tcPr>
            <w:tcW w:w="2529" w:type="dxa"/>
            <w:gridSpan w:val="3"/>
            <w:tcBorders>
              <w:top w:val="single" w:sz="4" w:space="0" w:color="auto"/>
              <w:left w:val="nil"/>
              <w:bottom w:val="single" w:sz="4" w:space="0" w:color="auto"/>
              <w:right w:val="nil"/>
            </w:tcBorders>
            <w:shd w:val="clear" w:color="auto" w:fill="auto"/>
            <w:noWrap/>
            <w:vAlign w:val="bottom"/>
            <w:hideMark/>
          </w:tcPr>
          <w:p w14:paraId="79776B68"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Model 1</w:t>
            </w:r>
          </w:p>
        </w:tc>
        <w:tc>
          <w:tcPr>
            <w:tcW w:w="190" w:type="dxa"/>
            <w:tcBorders>
              <w:top w:val="nil"/>
              <w:left w:val="nil"/>
              <w:bottom w:val="nil"/>
              <w:right w:val="nil"/>
            </w:tcBorders>
            <w:shd w:val="clear" w:color="auto" w:fill="auto"/>
            <w:noWrap/>
            <w:vAlign w:val="bottom"/>
            <w:hideMark/>
          </w:tcPr>
          <w:p w14:paraId="75607F19"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2467" w:type="dxa"/>
            <w:gridSpan w:val="3"/>
            <w:tcBorders>
              <w:top w:val="single" w:sz="4" w:space="0" w:color="auto"/>
              <w:left w:val="nil"/>
              <w:bottom w:val="single" w:sz="4" w:space="0" w:color="auto"/>
              <w:right w:val="nil"/>
            </w:tcBorders>
            <w:shd w:val="clear" w:color="auto" w:fill="auto"/>
            <w:noWrap/>
            <w:vAlign w:val="bottom"/>
            <w:hideMark/>
          </w:tcPr>
          <w:p w14:paraId="11F8C7EA"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Model 2</w:t>
            </w:r>
          </w:p>
        </w:tc>
      </w:tr>
      <w:tr w:rsidR="0055435C" w:rsidRPr="0055435C" w14:paraId="69B43C6E" w14:textId="77777777" w:rsidTr="00677BF5">
        <w:trPr>
          <w:trHeight w:val="301"/>
        </w:trPr>
        <w:tc>
          <w:tcPr>
            <w:tcW w:w="1575" w:type="dxa"/>
            <w:tcBorders>
              <w:top w:val="nil"/>
              <w:left w:val="nil"/>
              <w:bottom w:val="single" w:sz="4" w:space="0" w:color="auto"/>
              <w:right w:val="nil"/>
            </w:tcBorders>
            <w:shd w:val="clear" w:color="auto" w:fill="auto"/>
            <w:noWrap/>
            <w:vAlign w:val="bottom"/>
            <w:hideMark/>
          </w:tcPr>
          <w:p w14:paraId="51F6638C"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1403" w:type="dxa"/>
            <w:tcBorders>
              <w:top w:val="nil"/>
              <w:left w:val="nil"/>
              <w:bottom w:val="single" w:sz="4" w:space="0" w:color="auto"/>
              <w:right w:val="nil"/>
            </w:tcBorders>
            <w:shd w:val="clear" w:color="auto" w:fill="auto"/>
            <w:noWrap/>
            <w:vAlign w:val="bottom"/>
            <w:hideMark/>
          </w:tcPr>
          <w:p w14:paraId="7455D18A"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642" w:type="dxa"/>
            <w:tcBorders>
              <w:top w:val="nil"/>
              <w:left w:val="nil"/>
              <w:bottom w:val="single" w:sz="4" w:space="0" w:color="auto"/>
              <w:right w:val="nil"/>
            </w:tcBorders>
            <w:shd w:val="clear" w:color="auto" w:fill="auto"/>
            <w:noWrap/>
            <w:vAlign w:val="bottom"/>
            <w:hideMark/>
          </w:tcPr>
          <w:p w14:paraId="1B54999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w:t>
            </w:r>
          </w:p>
        </w:tc>
        <w:tc>
          <w:tcPr>
            <w:tcW w:w="1245" w:type="dxa"/>
            <w:tcBorders>
              <w:top w:val="nil"/>
              <w:left w:val="nil"/>
              <w:bottom w:val="single" w:sz="4" w:space="0" w:color="auto"/>
              <w:right w:val="nil"/>
            </w:tcBorders>
            <w:shd w:val="clear" w:color="auto" w:fill="auto"/>
            <w:noWrap/>
            <w:vAlign w:val="bottom"/>
            <w:hideMark/>
          </w:tcPr>
          <w:p w14:paraId="1795E6E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95% CI</w:t>
            </w:r>
          </w:p>
        </w:tc>
        <w:tc>
          <w:tcPr>
            <w:tcW w:w="642" w:type="dxa"/>
            <w:tcBorders>
              <w:top w:val="nil"/>
              <w:left w:val="nil"/>
              <w:bottom w:val="single" w:sz="4" w:space="0" w:color="auto"/>
              <w:right w:val="nil"/>
            </w:tcBorders>
            <w:shd w:val="clear" w:color="auto" w:fill="auto"/>
            <w:noWrap/>
            <w:vAlign w:val="bottom"/>
            <w:hideMark/>
          </w:tcPr>
          <w:p w14:paraId="6CC77DE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p</w:t>
            </w:r>
          </w:p>
        </w:tc>
        <w:tc>
          <w:tcPr>
            <w:tcW w:w="190" w:type="dxa"/>
            <w:tcBorders>
              <w:top w:val="nil"/>
              <w:left w:val="nil"/>
              <w:bottom w:val="single" w:sz="4" w:space="0" w:color="auto"/>
              <w:right w:val="nil"/>
            </w:tcBorders>
            <w:shd w:val="clear" w:color="auto" w:fill="auto"/>
            <w:noWrap/>
            <w:vAlign w:val="bottom"/>
            <w:hideMark/>
          </w:tcPr>
          <w:p w14:paraId="3C363F9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712" w:type="dxa"/>
            <w:tcBorders>
              <w:top w:val="nil"/>
              <w:left w:val="nil"/>
              <w:bottom w:val="single" w:sz="4" w:space="0" w:color="auto"/>
              <w:right w:val="nil"/>
            </w:tcBorders>
            <w:shd w:val="clear" w:color="auto" w:fill="auto"/>
            <w:noWrap/>
            <w:vAlign w:val="bottom"/>
            <w:hideMark/>
          </w:tcPr>
          <w:p w14:paraId="0833608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w:t>
            </w:r>
          </w:p>
        </w:tc>
        <w:tc>
          <w:tcPr>
            <w:tcW w:w="1113" w:type="dxa"/>
            <w:tcBorders>
              <w:top w:val="nil"/>
              <w:left w:val="nil"/>
              <w:bottom w:val="single" w:sz="4" w:space="0" w:color="auto"/>
              <w:right w:val="nil"/>
            </w:tcBorders>
            <w:shd w:val="clear" w:color="auto" w:fill="auto"/>
            <w:noWrap/>
            <w:vAlign w:val="bottom"/>
            <w:hideMark/>
          </w:tcPr>
          <w:p w14:paraId="3609C8A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95% CI</w:t>
            </w:r>
          </w:p>
        </w:tc>
        <w:tc>
          <w:tcPr>
            <w:tcW w:w="642" w:type="dxa"/>
            <w:tcBorders>
              <w:top w:val="nil"/>
              <w:left w:val="nil"/>
              <w:bottom w:val="single" w:sz="4" w:space="0" w:color="auto"/>
              <w:right w:val="nil"/>
            </w:tcBorders>
            <w:shd w:val="clear" w:color="auto" w:fill="auto"/>
            <w:noWrap/>
            <w:vAlign w:val="bottom"/>
            <w:hideMark/>
          </w:tcPr>
          <w:p w14:paraId="306339F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p</w:t>
            </w:r>
          </w:p>
        </w:tc>
      </w:tr>
      <w:tr w:rsidR="0055435C" w:rsidRPr="0055435C" w14:paraId="33D02FA5" w14:textId="77777777" w:rsidTr="00677BF5">
        <w:trPr>
          <w:trHeight w:val="301"/>
        </w:trPr>
        <w:tc>
          <w:tcPr>
            <w:tcW w:w="1575" w:type="dxa"/>
            <w:tcBorders>
              <w:top w:val="nil"/>
              <w:left w:val="nil"/>
              <w:bottom w:val="nil"/>
              <w:right w:val="nil"/>
            </w:tcBorders>
            <w:shd w:val="clear" w:color="auto" w:fill="auto"/>
            <w:noWrap/>
            <w:vAlign w:val="bottom"/>
            <w:hideMark/>
          </w:tcPr>
          <w:p w14:paraId="427F3788"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Bone area, cm</w:t>
            </w:r>
            <w:r w:rsidRPr="0055435C">
              <w:rPr>
                <w:rFonts w:ascii="Calibri" w:eastAsia="Times New Roman" w:hAnsi="Calibri" w:cs="Times New Roman"/>
                <w:color w:val="000000"/>
                <w:sz w:val="22"/>
                <w:vertAlign w:val="superscript"/>
                <w:lang w:val="sv-FI" w:eastAsia="sv-FI"/>
              </w:rPr>
              <w:t>2</w:t>
            </w:r>
          </w:p>
        </w:tc>
        <w:tc>
          <w:tcPr>
            <w:tcW w:w="1403" w:type="dxa"/>
            <w:tcBorders>
              <w:top w:val="nil"/>
              <w:left w:val="nil"/>
              <w:bottom w:val="nil"/>
              <w:right w:val="nil"/>
            </w:tcBorders>
            <w:shd w:val="clear" w:color="auto" w:fill="auto"/>
            <w:noWrap/>
            <w:vAlign w:val="bottom"/>
            <w:hideMark/>
          </w:tcPr>
          <w:p w14:paraId="258221A4"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0C51642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297AE76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6B0C5B1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540E96A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4EB6920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113" w:type="dxa"/>
            <w:tcBorders>
              <w:top w:val="nil"/>
              <w:left w:val="nil"/>
              <w:bottom w:val="nil"/>
              <w:right w:val="nil"/>
            </w:tcBorders>
            <w:shd w:val="clear" w:color="auto" w:fill="auto"/>
            <w:noWrap/>
            <w:vAlign w:val="bottom"/>
            <w:hideMark/>
          </w:tcPr>
          <w:p w14:paraId="4D0E19E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31054FB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r>
      <w:tr w:rsidR="0055435C" w:rsidRPr="0055435C" w14:paraId="1FAB7B5C" w14:textId="77777777" w:rsidTr="00677BF5">
        <w:trPr>
          <w:trHeight w:val="301"/>
        </w:trPr>
        <w:tc>
          <w:tcPr>
            <w:tcW w:w="1575" w:type="dxa"/>
            <w:tcBorders>
              <w:top w:val="nil"/>
              <w:left w:val="nil"/>
              <w:bottom w:val="nil"/>
              <w:right w:val="nil"/>
            </w:tcBorders>
            <w:shd w:val="clear" w:color="auto" w:fill="auto"/>
            <w:noWrap/>
            <w:vAlign w:val="bottom"/>
            <w:hideMark/>
          </w:tcPr>
          <w:p w14:paraId="54C092B3"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7AC8BAFC"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Birth</w:t>
            </w:r>
          </w:p>
        </w:tc>
        <w:tc>
          <w:tcPr>
            <w:tcW w:w="642" w:type="dxa"/>
            <w:tcBorders>
              <w:top w:val="nil"/>
              <w:left w:val="nil"/>
              <w:bottom w:val="nil"/>
              <w:right w:val="nil"/>
            </w:tcBorders>
            <w:shd w:val="clear" w:color="auto" w:fill="auto"/>
            <w:noWrap/>
            <w:vAlign w:val="bottom"/>
            <w:hideMark/>
          </w:tcPr>
          <w:p w14:paraId="01BA4D3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0.05</w:t>
            </w:r>
          </w:p>
        </w:tc>
        <w:tc>
          <w:tcPr>
            <w:tcW w:w="1245" w:type="dxa"/>
            <w:tcBorders>
              <w:top w:val="nil"/>
              <w:left w:val="nil"/>
              <w:bottom w:val="nil"/>
              <w:right w:val="nil"/>
            </w:tcBorders>
            <w:shd w:val="clear" w:color="auto" w:fill="auto"/>
            <w:noWrap/>
            <w:vAlign w:val="bottom"/>
            <w:hideMark/>
          </w:tcPr>
          <w:p w14:paraId="6330C73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-0.02;0.13</w:t>
            </w:r>
          </w:p>
        </w:tc>
        <w:tc>
          <w:tcPr>
            <w:tcW w:w="642" w:type="dxa"/>
            <w:tcBorders>
              <w:top w:val="nil"/>
              <w:left w:val="nil"/>
              <w:bottom w:val="nil"/>
              <w:right w:val="nil"/>
            </w:tcBorders>
            <w:shd w:val="clear" w:color="auto" w:fill="auto"/>
            <w:noWrap/>
            <w:vAlign w:val="bottom"/>
            <w:hideMark/>
          </w:tcPr>
          <w:p w14:paraId="615858F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0.185</w:t>
            </w:r>
          </w:p>
        </w:tc>
        <w:tc>
          <w:tcPr>
            <w:tcW w:w="190" w:type="dxa"/>
            <w:tcBorders>
              <w:top w:val="nil"/>
              <w:left w:val="nil"/>
              <w:bottom w:val="nil"/>
              <w:right w:val="nil"/>
            </w:tcBorders>
            <w:shd w:val="clear" w:color="auto" w:fill="auto"/>
            <w:noWrap/>
            <w:vAlign w:val="bottom"/>
            <w:hideMark/>
          </w:tcPr>
          <w:p w14:paraId="1559B22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2D1370E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0.002</w:t>
            </w:r>
          </w:p>
        </w:tc>
        <w:tc>
          <w:tcPr>
            <w:tcW w:w="1113" w:type="dxa"/>
            <w:tcBorders>
              <w:top w:val="nil"/>
              <w:left w:val="nil"/>
              <w:bottom w:val="nil"/>
              <w:right w:val="nil"/>
            </w:tcBorders>
            <w:shd w:val="clear" w:color="auto" w:fill="auto"/>
            <w:noWrap/>
            <w:vAlign w:val="bottom"/>
            <w:hideMark/>
          </w:tcPr>
          <w:p w14:paraId="5DDE603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-0.08;0.08</w:t>
            </w:r>
          </w:p>
        </w:tc>
        <w:tc>
          <w:tcPr>
            <w:tcW w:w="642" w:type="dxa"/>
            <w:tcBorders>
              <w:top w:val="nil"/>
              <w:left w:val="nil"/>
              <w:bottom w:val="nil"/>
              <w:right w:val="nil"/>
            </w:tcBorders>
            <w:shd w:val="clear" w:color="auto" w:fill="auto"/>
            <w:noWrap/>
            <w:vAlign w:val="bottom"/>
            <w:hideMark/>
          </w:tcPr>
          <w:p w14:paraId="371E478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0.958</w:t>
            </w:r>
          </w:p>
        </w:tc>
      </w:tr>
      <w:tr w:rsidR="0055435C" w:rsidRPr="0055435C" w14:paraId="459F1447" w14:textId="77777777" w:rsidTr="00677BF5">
        <w:trPr>
          <w:trHeight w:val="301"/>
        </w:trPr>
        <w:tc>
          <w:tcPr>
            <w:tcW w:w="1575" w:type="dxa"/>
            <w:tcBorders>
              <w:top w:val="nil"/>
              <w:left w:val="nil"/>
              <w:bottom w:val="nil"/>
              <w:right w:val="nil"/>
            </w:tcBorders>
            <w:shd w:val="clear" w:color="auto" w:fill="auto"/>
            <w:noWrap/>
            <w:vAlign w:val="bottom"/>
            <w:hideMark/>
          </w:tcPr>
          <w:p w14:paraId="10A8466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22A27A73"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 to 2 years</w:t>
            </w:r>
          </w:p>
        </w:tc>
        <w:tc>
          <w:tcPr>
            <w:tcW w:w="642" w:type="dxa"/>
            <w:tcBorders>
              <w:top w:val="nil"/>
              <w:left w:val="nil"/>
              <w:bottom w:val="nil"/>
              <w:right w:val="nil"/>
            </w:tcBorders>
            <w:shd w:val="clear" w:color="auto" w:fill="auto"/>
            <w:noWrap/>
            <w:vAlign w:val="bottom"/>
            <w:hideMark/>
          </w:tcPr>
          <w:p w14:paraId="4E403FC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0.091</w:t>
            </w:r>
          </w:p>
        </w:tc>
        <w:tc>
          <w:tcPr>
            <w:tcW w:w="1245" w:type="dxa"/>
            <w:tcBorders>
              <w:top w:val="nil"/>
              <w:left w:val="nil"/>
              <w:bottom w:val="nil"/>
              <w:right w:val="nil"/>
            </w:tcBorders>
            <w:shd w:val="clear" w:color="auto" w:fill="auto"/>
            <w:noWrap/>
            <w:vAlign w:val="bottom"/>
            <w:hideMark/>
          </w:tcPr>
          <w:p w14:paraId="11DAAEE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0.03;0.15</w:t>
            </w:r>
          </w:p>
        </w:tc>
        <w:tc>
          <w:tcPr>
            <w:tcW w:w="642" w:type="dxa"/>
            <w:tcBorders>
              <w:top w:val="nil"/>
              <w:left w:val="nil"/>
              <w:bottom w:val="nil"/>
              <w:right w:val="nil"/>
            </w:tcBorders>
            <w:shd w:val="clear" w:color="auto" w:fill="auto"/>
            <w:noWrap/>
            <w:vAlign w:val="bottom"/>
            <w:hideMark/>
          </w:tcPr>
          <w:p w14:paraId="0D73801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0.002</w:t>
            </w:r>
          </w:p>
        </w:tc>
        <w:tc>
          <w:tcPr>
            <w:tcW w:w="190" w:type="dxa"/>
            <w:tcBorders>
              <w:top w:val="nil"/>
              <w:left w:val="nil"/>
              <w:bottom w:val="nil"/>
              <w:right w:val="nil"/>
            </w:tcBorders>
            <w:shd w:val="clear" w:color="auto" w:fill="auto"/>
            <w:noWrap/>
            <w:vAlign w:val="bottom"/>
            <w:hideMark/>
          </w:tcPr>
          <w:p w14:paraId="230605D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3919E86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0.033</w:t>
            </w:r>
          </w:p>
        </w:tc>
        <w:tc>
          <w:tcPr>
            <w:tcW w:w="1113" w:type="dxa"/>
            <w:tcBorders>
              <w:top w:val="nil"/>
              <w:left w:val="nil"/>
              <w:bottom w:val="nil"/>
              <w:right w:val="nil"/>
            </w:tcBorders>
            <w:shd w:val="clear" w:color="auto" w:fill="auto"/>
            <w:noWrap/>
            <w:vAlign w:val="bottom"/>
            <w:hideMark/>
          </w:tcPr>
          <w:p w14:paraId="31F4E00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-0.04;0.11</w:t>
            </w:r>
          </w:p>
        </w:tc>
        <w:tc>
          <w:tcPr>
            <w:tcW w:w="642" w:type="dxa"/>
            <w:tcBorders>
              <w:top w:val="nil"/>
              <w:left w:val="nil"/>
              <w:bottom w:val="nil"/>
              <w:right w:val="nil"/>
            </w:tcBorders>
            <w:shd w:val="clear" w:color="auto" w:fill="auto"/>
            <w:noWrap/>
            <w:vAlign w:val="bottom"/>
            <w:hideMark/>
          </w:tcPr>
          <w:p w14:paraId="1A44348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0.363</w:t>
            </w:r>
          </w:p>
        </w:tc>
      </w:tr>
      <w:tr w:rsidR="0055435C" w:rsidRPr="0055435C" w14:paraId="69B0D87B" w14:textId="77777777" w:rsidTr="00677BF5">
        <w:trPr>
          <w:trHeight w:val="301"/>
        </w:trPr>
        <w:tc>
          <w:tcPr>
            <w:tcW w:w="1575" w:type="dxa"/>
            <w:tcBorders>
              <w:top w:val="nil"/>
              <w:left w:val="nil"/>
              <w:bottom w:val="nil"/>
              <w:right w:val="nil"/>
            </w:tcBorders>
            <w:shd w:val="clear" w:color="auto" w:fill="auto"/>
            <w:noWrap/>
            <w:vAlign w:val="bottom"/>
            <w:hideMark/>
          </w:tcPr>
          <w:p w14:paraId="02D9B25A"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749BCFE7"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2 to 7 years</w:t>
            </w:r>
          </w:p>
        </w:tc>
        <w:tc>
          <w:tcPr>
            <w:tcW w:w="642" w:type="dxa"/>
            <w:tcBorders>
              <w:top w:val="nil"/>
              <w:left w:val="nil"/>
              <w:bottom w:val="nil"/>
              <w:right w:val="nil"/>
            </w:tcBorders>
            <w:shd w:val="clear" w:color="auto" w:fill="auto"/>
            <w:noWrap/>
            <w:vAlign w:val="bottom"/>
            <w:hideMark/>
          </w:tcPr>
          <w:p w14:paraId="1883CD6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0.045</w:t>
            </w:r>
          </w:p>
        </w:tc>
        <w:tc>
          <w:tcPr>
            <w:tcW w:w="1245" w:type="dxa"/>
            <w:tcBorders>
              <w:top w:val="nil"/>
              <w:left w:val="nil"/>
              <w:bottom w:val="nil"/>
              <w:right w:val="nil"/>
            </w:tcBorders>
            <w:shd w:val="clear" w:color="auto" w:fill="auto"/>
            <w:noWrap/>
            <w:vAlign w:val="bottom"/>
            <w:hideMark/>
          </w:tcPr>
          <w:p w14:paraId="136AC16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-0.01;0.10</w:t>
            </w:r>
          </w:p>
        </w:tc>
        <w:tc>
          <w:tcPr>
            <w:tcW w:w="642" w:type="dxa"/>
            <w:tcBorders>
              <w:top w:val="nil"/>
              <w:left w:val="nil"/>
              <w:bottom w:val="nil"/>
              <w:right w:val="nil"/>
            </w:tcBorders>
            <w:shd w:val="clear" w:color="auto" w:fill="auto"/>
            <w:noWrap/>
            <w:vAlign w:val="bottom"/>
            <w:hideMark/>
          </w:tcPr>
          <w:p w14:paraId="018A6AF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0.135</w:t>
            </w:r>
          </w:p>
        </w:tc>
        <w:tc>
          <w:tcPr>
            <w:tcW w:w="190" w:type="dxa"/>
            <w:tcBorders>
              <w:top w:val="nil"/>
              <w:left w:val="nil"/>
              <w:bottom w:val="nil"/>
              <w:right w:val="nil"/>
            </w:tcBorders>
            <w:shd w:val="clear" w:color="auto" w:fill="auto"/>
            <w:noWrap/>
            <w:vAlign w:val="bottom"/>
            <w:hideMark/>
          </w:tcPr>
          <w:p w14:paraId="3636DB8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718F9FC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-0.003</w:t>
            </w:r>
          </w:p>
        </w:tc>
        <w:tc>
          <w:tcPr>
            <w:tcW w:w="1113" w:type="dxa"/>
            <w:tcBorders>
              <w:top w:val="nil"/>
              <w:left w:val="nil"/>
              <w:bottom w:val="nil"/>
              <w:right w:val="nil"/>
            </w:tcBorders>
            <w:shd w:val="clear" w:color="auto" w:fill="auto"/>
            <w:noWrap/>
            <w:vAlign w:val="bottom"/>
            <w:hideMark/>
          </w:tcPr>
          <w:p w14:paraId="2DF2932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-0.07;0.07</w:t>
            </w:r>
          </w:p>
        </w:tc>
        <w:tc>
          <w:tcPr>
            <w:tcW w:w="642" w:type="dxa"/>
            <w:tcBorders>
              <w:top w:val="nil"/>
              <w:left w:val="nil"/>
              <w:bottom w:val="nil"/>
              <w:right w:val="nil"/>
            </w:tcBorders>
            <w:shd w:val="clear" w:color="auto" w:fill="auto"/>
            <w:noWrap/>
            <w:vAlign w:val="bottom"/>
            <w:hideMark/>
          </w:tcPr>
          <w:p w14:paraId="4E03250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0.922</w:t>
            </w:r>
          </w:p>
        </w:tc>
      </w:tr>
      <w:tr w:rsidR="0055435C" w:rsidRPr="0055435C" w14:paraId="707DBB80" w14:textId="77777777" w:rsidTr="00677BF5">
        <w:trPr>
          <w:trHeight w:val="301"/>
        </w:trPr>
        <w:tc>
          <w:tcPr>
            <w:tcW w:w="1575" w:type="dxa"/>
            <w:tcBorders>
              <w:top w:val="nil"/>
              <w:left w:val="nil"/>
              <w:bottom w:val="nil"/>
              <w:right w:val="nil"/>
            </w:tcBorders>
            <w:shd w:val="clear" w:color="auto" w:fill="auto"/>
            <w:noWrap/>
            <w:vAlign w:val="bottom"/>
            <w:hideMark/>
          </w:tcPr>
          <w:p w14:paraId="406DDD72"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51D5346E"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7 to 11 years</w:t>
            </w:r>
          </w:p>
        </w:tc>
        <w:tc>
          <w:tcPr>
            <w:tcW w:w="642" w:type="dxa"/>
            <w:tcBorders>
              <w:top w:val="nil"/>
              <w:left w:val="nil"/>
              <w:bottom w:val="nil"/>
              <w:right w:val="nil"/>
            </w:tcBorders>
            <w:shd w:val="clear" w:color="auto" w:fill="auto"/>
            <w:noWrap/>
            <w:vAlign w:val="bottom"/>
            <w:hideMark/>
          </w:tcPr>
          <w:p w14:paraId="7B494DE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0.001</w:t>
            </w:r>
          </w:p>
        </w:tc>
        <w:tc>
          <w:tcPr>
            <w:tcW w:w="1245" w:type="dxa"/>
            <w:tcBorders>
              <w:top w:val="nil"/>
              <w:left w:val="nil"/>
              <w:bottom w:val="nil"/>
              <w:right w:val="nil"/>
            </w:tcBorders>
            <w:shd w:val="clear" w:color="auto" w:fill="auto"/>
            <w:noWrap/>
            <w:vAlign w:val="bottom"/>
            <w:hideMark/>
          </w:tcPr>
          <w:p w14:paraId="463D9C7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-0.05;0.05</w:t>
            </w:r>
          </w:p>
        </w:tc>
        <w:tc>
          <w:tcPr>
            <w:tcW w:w="642" w:type="dxa"/>
            <w:tcBorders>
              <w:top w:val="nil"/>
              <w:left w:val="nil"/>
              <w:bottom w:val="nil"/>
              <w:right w:val="nil"/>
            </w:tcBorders>
            <w:shd w:val="clear" w:color="auto" w:fill="auto"/>
            <w:noWrap/>
            <w:vAlign w:val="bottom"/>
            <w:hideMark/>
          </w:tcPr>
          <w:p w14:paraId="44A922A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0.978</w:t>
            </w:r>
          </w:p>
        </w:tc>
        <w:tc>
          <w:tcPr>
            <w:tcW w:w="190" w:type="dxa"/>
            <w:tcBorders>
              <w:top w:val="nil"/>
              <w:left w:val="nil"/>
              <w:bottom w:val="nil"/>
              <w:right w:val="nil"/>
            </w:tcBorders>
            <w:shd w:val="clear" w:color="auto" w:fill="auto"/>
            <w:noWrap/>
            <w:vAlign w:val="bottom"/>
            <w:hideMark/>
          </w:tcPr>
          <w:p w14:paraId="27A43AB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626C44B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-0.014</w:t>
            </w:r>
          </w:p>
        </w:tc>
        <w:tc>
          <w:tcPr>
            <w:tcW w:w="1113" w:type="dxa"/>
            <w:tcBorders>
              <w:top w:val="nil"/>
              <w:left w:val="nil"/>
              <w:bottom w:val="nil"/>
              <w:right w:val="nil"/>
            </w:tcBorders>
            <w:shd w:val="clear" w:color="auto" w:fill="auto"/>
            <w:noWrap/>
            <w:vAlign w:val="bottom"/>
            <w:hideMark/>
          </w:tcPr>
          <w:p w14:paraId="6E95AF1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-0.07;0.04</w:t>
            </w:r>
          </w:p>
        </w:tc>
        <w:tc>
          <w:tcPr>
            <w:tcW w:w="642" w:type="dxa"/>
            <w:tcBorders>
              <w:top w:val="nil"/>
              <w:left w:val="nil"/>
              <w:bottom w:val="nil"/>
              <w:right w:val="nil"/>
            </w:tcBorders>
            <w:shd w:val="clear" w:color="auto" w:fill="auto"/>
            <w:noWrap/>
            <w:vAlign w:val="bottom"/>
            <w:hideMark/>
          </w:tcPr>
          <w:p w14:paraId="7F6C156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0.599</w:t>
            </w:r>
          </w:p>
        </w:tc>
      </w:tr>
      <w:tr w:rsidR="0055435C" w:rsidRPr="0055435C" w14:paraId="742D08C7" w14:textId="77777777" w:rsidTr="00677BF5">
        <w:trPr>
          <w:trHeight w:val="301"/>
        </w:trPr>
        <w:tc>
          <w:tcPr>
            <w:tcW w:w="1575" w:type="dxa"/>
            <w:tcBorders>
              <w:top w:val="nil"/>
              <w:left w:val="nil"/>
              <w:bottom w:val="nil"/>
              <w:right w:val="nil"/>
            </w:tcBorders>
            <w:shd w:val="clear" w:color="auto" w:fill="auto"/>
            <w:noWrap/>
            <w:vAlign w:val="bottom"/>
            <w:hideMark/>
          </w:tcPr>
          <w:p w14:paraId="228F086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6442F8D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Early old age</w:t>
            </w:r>
          </w:p>
        </w:tc>
        <w:tc>
          <w:tcPr>
            <w:tcW w:w="642" w:type="dxa"/>
            <w:tcBorders>
              <w:top w:val="nil"/>
              <w:left w:val="nil"/>
              <w:bottom w:val="nil"/>
              <w:right w:val="nil"/>
            </w:tcBorders>
            <w:shd w:val="clear" w:color="auto" w:fill="auto"/>
            <w:noWrap/>
            <w:vAlign w:val="bottom"/>
            <w:hideMark/>
          </w:tcPr>
          <w:p w14:paraId="78522A1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0326E06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057C5E2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0F34227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5E1AC6B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0.113</w:t>
            </w:r>
          </w:p>
        </w:tc>
        <w:tc>
          <w:tcPr>
            <w:tcW w:w="1113" w:type="dxa"/>
            <w:tcBorders>
              <w:top w:val="nil"/>
              <w:left w:val="nil"/>
              <w:bottom w:val="nil"/>
              <w:right w:val="nil"/>
            </w:tcBorders>
            <w:shd w:val="clear" w:color="auto" w:fill="auto"/>
            <w:noWrap/>
            <w:vAlign w:val="bottom"/>
            <w:hideMark/>
          </w:tcPr>
          <w:p w14:paraId="44477FB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0.03;0.2</w:t>
            </w:r>
          </w:p>
        </w:tc>
        <w:tc>
          <w:tcPr>
            <w:tcW w:w="642" w:type="dxa"/>
            <w:tcBorders>
              <w:top w:val="nil"/>
              <w:left w:val="nil"/>
              <w:bottom w:val="nil"/>
              <w:right w:val="nil"/>
            </w:tcBorders>
            <w:shd w:val="clear" w:color="auto" w:fill="auto"/>
            <w:noWrap/>
            <w:vAlign w:val="bottom"/>
            <w:hideMark/>
          </w:tcPr>
          <w:p w14:paraId="05FA737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0.011</w:t>
            </w:r>
          </w:p>
        </w:tc>
      </w:tr>
      <w:tr w:rsidR="0055435C" w:rsidRPr="0055435C" w14:paraId="4D6D3D2B" w14:textId="77777777" w:rsidTr="00677BF5">
        <w:trPr>
          <w:trHeight w:val="301"/>
        </w:trPr>
        <w:tc>
          <w:tcPr>
            <w:tcW w:w="1575" w:type="dxa"/>
            <w:tcBorders>
              <w:top w:val="nil"/>
              <w:left w:val="nil"/>
              <w:bottom w:val="nil"/>
              <w:right w:val="nil"/>
            </w:tcBorders>
            <w:shd w:val="clear" w:color="auto" w:fill="auto"/>
            <w:noWrap/>
            <w:vAlign w:val="bottom"/>
            <w:hideMark/>
          </w:tcPr>
          <w:p w14:paraId="7EB6A4F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3FE470E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39CD070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09940DC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0FE0A06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37752EA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258AD9B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113" w:type="dxa"/>
            <w:tcBorders>
              <w:top w:val="nil"/>
              <w:left w:val="nil"/>
              <w:bottom w:val="nil"/>
              <w:right w:val="nil"/>
            </w:tcBorders>
            <w:shd w:val="clear" w:color="auto" w:fill="auto"/>
            <w:noWrap/>
            <w:vAlign w:val="bottom"/>
            <w:hideMark/>
          </w:tcPr>
          <w:p w14:paraId="5ACE10C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2E67567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r>
      <w:tr w:rsidR="0055435C" w:rsidRPr="0055435C" w14:paraId="02F7C8EE" w14:textId="77777777" w:rsidTr="00677BF5">
        <w:trPr>
          <w:trHeight w:val="301"/>
        </w:trPr>
        <w:tc>
          <w:tcPr>
            <w:tcW w:w="1575" w:type="dxa"/>
            <w:tcBorders>
              <w:top w:val="nil"/>
              <w:left w:val="nil"/>
              <w:bottom w:val="nil"/>
              <w:right w:val="nil"/>
            </w:tcBorders>
            <w:shd w:val="clear" w:color="auto" w:fill="auto"/>
            <w:noWrap/>
            <w:vAlign w:val="bottom"/>
            <w:hideMark/>
          </w:tcPr>
          <w:p w14:paraId="72D072F5"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BMC, g</w:t>
            </w:r>
          </w:p>
        </w:tc>
        <w:tc>
          <w:tcPr>
            <w:tcW w:w="1403" w:type="dxa"/>
            <w:tcBorders>
              <w:top w:val="nil"/>
              <w:left w:val="nil"/>
              <w:bottom w:val="nil"/>
              <w:right w:val="nil"/>
            </w:tcBorders>
            <w:shd w:val="clear" w:color="auto" w:fill="auto"/>
            <w:noWrap/>
            <w:vAlign w:val="bottom"/>
            <w:hideMark/>
          </w:tcPr>
          <w:p w14:paraId="41D72720"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7604D5D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328D2D9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6D1ADD9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3AB3944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164BC75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113" w:type="dxa"/>
            <w:tcBorders>
              <w:top w:val="nil"/>
              <w:left w:val="nil"/>
              <w:bottom w:val="nil"/>
              <w:right w:val="nil"/>
            </w:tcBorders>
            <w:shd w:val="clear" w:color="auto" w:fill="auto"/>
            <w:noWrap/>
            <w:vAlign w:val="bottom"/>
            <w:hideMark/>
          </w:tcPr>
          <w:p w14:paraId="742B889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4523A18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r>
      <w:tr w:rsidR="0055435C" w:rsidRPr="0055435C" w14:paraId="1107BE87" w14:textId="77777777" w:rsidTr="00677BF5">
        <w:trPr>
          <w:trHeight w:val="301"/>
        </w:trPr>
        <w:tc>
          <w:tcPr>
            <w:tcW w:w="1575" w:type="dxa"/>
            <w:tcBorders>
              <w:top w:val="nil"/>
              <w:left w:val="nil"/>
              <w:bottom w:val="nil"/>
              <w:right w:val="nil"/>
            </w:tcBorders>
            <w:shd w:val="clear" w:color="auto" w:fill="auto"/>
            <w:noWrap/>
            <w:vAlign w:val="bottom"/>
            <w:hideMark/>
          </w:tcPr>
          <w:p w14:paraId="76E3F79F"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229F9291"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Birth</w:t>
            </w:r>
          </w:p>
        </w:tc>
        <w:tc>
          <w:tcPr>
            <w:tcW w:w="642" w:type="dxa"/>
            <w:tcBorders>
              <w:top w:val="nil"/>
              <w:left w:val="nil"/>
              <w:bottom w:val="nil"/>
              <w:right w:val="nil"/>
            </w:tcBorders>
            <w:shd w:val="clear" w:color="auto" w:fill="auto"/>
            <w:noWrap/>
            <w:vAlign w:val="bottom"/>
            <w:hideMark/>
          </w:tcPr>
          <w:p w14:paraId="5EC67C3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0.057</w:t>
            </w:r>
          </w:p>
        </w:tc>
        <w:tc>
          <w:tcPr>
            <w:tcW w:w="1245" w:type="dxa"/>
            <w:tcBorders>
              <w:top w:val="nil"/>
              <w:left w:val="nil"/>
              <w:bottom w:val="nil"/>
              <w:right w:val="nil"/>
            </w:tcBorders>
            <w:shd w:val="clear" w:color="auto" w:fill="auto"/>
            <w:noWrap/>
            <w:vAlign w:val="bottom"/>
            <w:hideMark/>
          </w:tcPr>
          <w:p w14:paraId="7F977AD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-0.10;0.21</w:t>
            </w:r>
          </w:p>
        </w:tc>
        <w:tc>
          <w:tcPr>
            <w:tcW w:w="642" w:type="dxa"/>
            <w:tcBorders>
              <w:top w:val="nil"/>
              <w:left w:val="nil"/>
              <w:bottom w:val="nil"/>
              <w:right w:val="nil"/>
            </w:tcBorders>
            <w:shd w:val="clear" w:color="auto" w:fill="auto"/>
            <w:noWrap/>
            <w:vAlign w:val="bottom"/>
            <w:hideMark/>
          </w:tcPr>
          <w:p w14:paraId="71510497"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0.464</w:t>
            </w:r>
          </w:p>
        </w:tc>
        <w:tc>
          <w:tcPr>
            <w:tcW w:w="190" w:type="dxa"/>
            <w:tcBorders>
              <w:top w:val="nil"/>
              <w:left w:val="nil"/>
              <w:bottom w:val="nil"/>
              <w:right w:val="nil"/>
            </w:tcBorders>
            <w:shd w:val="clear" w:color="auto" w:fill="auto"/>
            <w:noWrap/>
            <w:vAlign w:val="bottom"/>
            <w:hideMark/>
          </w:tcPr>
          <w:p w14:paraId="4C29F76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0104656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-0.001</w:t>
            </w:r>
          </w:p>
        </w:tc>
        <w:tc>
          <w:tcPr>
            <w:tcW w:w="1113" w:type="dxa"/>
            <w:tcBorders>
              <w:top w:val="nil"/>
              <w:left w:val="nil"/>
              <w:bottom w:val="nil"/>
              <w:right w:val="nil"/>
            </w:tcBorders>
            <w:shd w:val="clear" w:color="auto" w:fill="auto"/>
            <w:noWrap/>
            <w:vAlign w:val="bottom"/>
            <w:hideMark/>
          </w:tcPr>
          <w:p w14:paraId="20B33BD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-0.17;0.17</w:t>
            </w:r>
          </w:p>
        </w:tc>
        <w:tc>
          <w:tcPr>
            <w:tcW w:w="642" w:type="dxa"/>
            <w:tcBorders>
              <w:top w:val="nil"/>
              <w:left w:val="nil"/>
              <w:bottom w:val="nil"/>
              <w:right w:val="nil"/>
            </w:tcBorders>
            <w:shd w:val="clear" w:color="auto" w:fill="auto"/>
            <w:noWrap/>
            <w:vAlign w:val="bottom"/>
            <w:hideMark/>
          </w:tcPr>
          <w:p w14:paraId="170AB67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0.995</w:t>
            </w:r>
          </w:p>
        </w:tc>
      </w:tr>
      <w:tr w:rsidR="0055435C" w:rsidRPr="0055435C" w14:paraId="472939F9" w14:textId="77777777" w:rsidTr="00677BF5">
        <w:trPr>
          <w:trHeight w:val="301"/>
        </w:trPr>
        <w:tc>
          <w:tcPr>
            <w:tcW w:w="1575" w:type="dxa"/>
            <w:tcBorders>
              <w:top w:val="nil"/>
              <w:left w:val="nil"/>
              <w:bottom w:val="nil"/>
              <w:right w:val="nil"/>
            </w:tcBorders>
            <w:shd w:val="clear" w:color="auto" w:fill="auto"/>
            <w:noWrap/>
            <w:vAlign w:val="bottom"/>
            <w:hideMark/>
          </w:tcPr>
          <w:p w14:paraId="71250C75"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355BCAAB"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 to 2 years</w:t>
            </w:r>
          </w:p>
        </w:tc>
        <w:tc>
          <w:tcPr>
            <w:tcW w:w="642" w:type="dxa"/>
            <w:tcBorders>
              <w:top w:val="nil"/>
              <w:left w:val="nil"/>
              <w:bottom w:val="nil"/>
              <w:right w:val="nil"/>
            </w:tcBorders>
            <w:shd w:val="clear" w:color="auto" w:fill="auto"/>
            <w:noWrap/>
            <w:vAlign w:val="bottom"/>
            <w:hideMark/>
          </w:tcPr>
          <w:p w14:paraId="1D7AE26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0.176</w:t>
            </w:r>
          </w:p>
        </w:tc>
        <w:tc>
          <w:tcPr>
            <w:tcW w:w="1245" w:type="dxa"/>
            <w:tcBorders>
              <w:top w:val="nil"/>
              <w:left w:val="nil"/>
              <w:bottom w:val="nil"/>
              <w:right w:val="nil"/>
            </w:tcBorders>
            <w:shd w:val="clear" w:color="auto" w:fill="auto"/>
            <w:noWrap/>
            <w:vAlign w:val="bottom"/>
            <w:hideMark/>
          </w:tcPr>
          <w:p w14:paraId="0E4C72E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0.06;0.30</w:t>
            </w:r>
          </w:p>
        </w:tc>
        <w:tc>
          <w:tcPr>
            <w:tcW w:w="642" w:type="dxa"/>
            <w:tcBorders>
              <w:top w:val="nil"/>
              <w:left w:val="nil"/>
              <w:bottom w:val="nil"/>
              <w:right w:val="nil"/>
            </w:tcBorders>
            <w:shd w:val="clear" w:color="auto" w:fill="auto"/>
            <w:noWrap/>
            <w:vAlign w:val="bottom"/>
            <w:hideMark/>
          </w:tcPr>
          <w:p w14:paraId="25E1719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0.004</w:t>
            </w:r>
          </w:p>
        </w:tc>
        <w:tc>
          <w:tcPr>
            <w:tcW w:w="190" w:type="dxa"/>
            <w:tcBorders>
              <w:top w:val="nil"/>
              <w:left w:val="nil"/>
              <w:bottom w:val="nil"/>
              <w:right w:val="nil"/>
            </w:tcBorders>
            <w:shd w:val="clear" w:color="auto" w:fill="auto"/>
            <w:noWrap/>
            <w:vAlign w:val="bottom"/>
            <w:hideMark/>
          </w:tcPr>
          <w:p w14:paraId="54D0A8D7"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63EA364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0.106</w:t>
            </w:r>
          </w:p>
        </w:tc>
        <w:tc>
          <w:tcPr>
            <w:tcW w:w="1113" w:type="dxa"/>
            <w:tcBorders>
              <w:top w:val="nil"/>
              <w:left w:val="nil"/>
              <w:bottom w:val="nil"/>
              <w:right w:val="nil"/>
            </w:tcBorders>
            <w:shd w:val="clear" w:color="auto" w:fill="auto"/>
            <w:noWrap/>
            <w:vAlign w:val="bottom"/>
            <w:hideMark/>
          </w:tcPr>
          <w:p w14:paraId="2B30B9B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-0.04;0.26</w:t>
            </w:r>
          </w:p>
        </w:tc>
        <w:tc>
          <w:tcPr>
            <w:tcW w:w="642" w:type="dxa"/>
            <w:tcBorders>
              <w:top w:val="nil"/>
              <w:left w:val="nil"/>
              <w:bottom w:val="nil"/>
              <w:right w:val="nil"/>
            </w:tcBorders>
            <w:shd w:val="clear" w:color="auto" w:fill="auto"/>
            <w:noWrap/>
            <w:vAlign w:val="bottom"/>
            <w:hideMark/>
          </w:tcPr>
          <w:p w14:paraId="0750F08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0.165</w:t>
            </w:r>
          </w:p>
        </w:tc>
      </w:tr>
      <w:tr w:rsidR="0055435C" w:rsidRPr="0055435C" w14:paraId="1AD054A0" w14:textId="77777777" w:rsidTr="00677BF5">
        <w:trPr>
          <w:trHeight w:val="301"/>
        </w:trPr>
        <w:tc>
          <w:tcPr>
            <w:tcW w:w="1575" w:type="dxa"/>
            <w:tcBorders>
              <w:top w:val="nil"/>
              <w:left w:val="nil"/>
              <w:bottom w:val="nil"/>
              <w:right w:val="nil"/>
            </w:tcBorders>
            <w:shd w:val="clear" w:color="auto" w:fill="auto"/>
            <w:noWrap/>
            <w:vAlign w:val="bottom"/>
            <w:hideMark/>
          </w:tcPr>
          <w:p w14:paraId="13A1DCC0"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439E7CAE"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2 to 7 years</w:t>
            </w:r>
          </w:p>
        </w:tc>
        <w:tc>
          <w:tcPr>
            <w:tcW w:w="642" w:type="dxa"/>
            <w:tcBorders>
              <w:top w:val="nil"/>
              <w:left w:val="nil"/>
              <w:bottom w:val="nil"/>
              <w:right w:val="nil"/>
            </w:tcBorders>
            <w:shd w:val="clear" w:color="auto" w:fill="auto"/>
            <w:noWrap/>
            <w:vAlign w:val="bottom"/>
            <w:hideMark/>
          </w:tcPr>
          <w:p w14:paraId="3221EB4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0.146</w:t>
            </w:r>
          </w:p>
        </w:tc>
        <w:tc>
          <w:tcPr>
            <w:tcW w:w="1245" w:type="dxa"/>
            <w:tcBorders>
              <w:top w:val="nil"/>
              <w:left w:val="nil"/>
              <w:bottom w:val="nil"/>
              <w:right w:val="nil"/>
            </w:tcBorders>
            <w:shd w:val="clear" w:color="auto" w:fill="auto"/>
            <w:noWrap/>
            <w:vAlign w:val="bottom"/>
            <w:hideMark/>
          </w:tcPr>
          <w:p w14:paraId="5A4B513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0.03;0.27</w:t>
            </w:r>
          </w:p>
        </w:tc>
        <w:tc>
          <w:tcPr>
            <w:tcW w:w="642" w:type="dxa"/>
            <w:tcBorders>
              <w:top w:val="nil"/>
              <w:left w:val="nil"/>
              <w:bottom w:val="nil"/>
              <w:right w:val="nil"/>
            </w:tcBorders>
            <w:shd w:val="clear" w:color="auto" w:fill="auto"/>
            <w:noWrap/>
            <w:vAlign w:val="bottom"/>
            <w:hideMark/>
          </w:tcPr>
          <w:p w14:paraId="1676953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0.018</w:t>
            </w:r>
          </w:p>
        </w:tc>
        <w:tc>
          <w:tcPr>
            <w:tcW w:w="190" w:type="dxa"/>
            <w:tcBorders>
              <w:top w:val="nil"/>
              <w:left w:val="nil"/>
              <w:bottom w:val="nil"/>
              <w:right w:val="nil"/>
            </w:tcBorders>
            <w:shd w:val="clear" w:color="auto" w:fill="auto"/>
            <w:noWrap/>
            <w:vAlign w:val="bottom"/>
            <w:hideMark/>
          </w:tcPr>
          <w:p w14:paraId="5E469B8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55CA116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0.088</w:t>
            </w:r>
          </w:p>
        </w:tc>
        <w:tc>
          <w:tcPr>
            <w:tcW w:w="1113" w:type="dxa"/>
            <w:tcBorders>
              <w:top w:val="nil"/>
              <w:left w:val="nil"/>
              <w:bottom w:val="nil"/>
              <w:right w:val="nil"/>
            </w:tcBorders>
            <w:shd w:val="clear" w:color="auto" w:fill="auto"/>
            <w:noWrap/>
            <w:vAlign w:val="bottom"/>
            <w:hideMark/>
          </w:tcPr>
          <w:p w14:paraId="440AFB4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-0.06;0.23</w:t>
            </w:r>
          </w:p>
        </w:tc>
        <w:tc>
          <w:tcPr>
            <w:tcW w:w="642" w:type="dxa"/>
            <w:tcBorders>
              <w:top w:val="nil"/>
              <w:left w:val="nil"/>
              <w:bottom w:val="nil"/>
              <w:right w:val="nil"/>
            </w:tcBorders>
            <w:shd w:val="clear" w:color="auto" w:fill="auto"/>
            <w:noWrap/>
            <w:vAlign w:val="bottom"/>
            <w:hideMark/>
          </w:tcPr>
          <w:p w14:paraId="7455CE1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0.224</w:t>
            </w:r>
          </w:p>
        </w:tc>
      </w:tr>
      <w:tr w:rsidR="0055435C" w:rsidRPr="0055435C" w14:paraId="04AAFD02" w14:textId="77777777" w:rsidTr="00677BF5">
        <w:trPr>
          <w:trHeight w:val="301"/>
        </w:trPr>
        <w:tc>
          <w:tcPr>
            <w:tcW w:w="1575" w:type="dxa"/>
            <w:tcBorders>
              <w:top w:val="nil"/>
              <w:left w:val="nil"/>
              <w:bottom w:val="nil"/>
              <w:right w:val="nil"/>
            </w:tcBorders>
            <w:shd w:val="clear" w:color="auto" w:fill="auto"/>
            <w:noWrap/>
            <w:vAlign w:val="bottom"/>
            <w:hideMark/>
          </w:tcPr>
          <w:p w14:paraId="454B32C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70E8B08C"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7 to 11 years</w:t>
            </w:r>
          </w:p>
        </w:tc>
        <w:tc>
          <w:tcPr>
            <w:tcW w:w="642" w:type="dxa"/>
            <w:tcBorders>
              <w:top w:val="nil"/>
              <w:left w:val="nil"/>
              <w:bottom w:val="nil"/>
              <w:right w:val="nil"/>
            </w:tcBorders>
            <w:shd w:val="clear" w:color="auto" w:fill="auto"/>
            <w:noWrap/>
            <w:vAlign w:val="bottom"/>
            <w:hideMark/>
          </w:tcPr>
          <w:p w14:paraId="29C9CF0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0.063</w:t>
            </w:r>
          </w:p>
        </w:tc>
        <w:tc>
          <w:tcPr>
            <w:tcW w:w="1245" w:type="dxa"/>
            <w:tcBorders>
              <w:top w:val="nil"/>
              <w:left w:val="nil"/>
              <w:bottom w:val="nil"/>
              <w:right w:val="nil"/>
            </w:tcBorders>
            <w:shd w:val="clear" w:color="auto" w:fill="auto"/>
            <w:noWrap/>
            <w:vAlign w:val="bottom"/>
            <w:hideMark/>
          </w:tcPr>
          <w:p w14:paraId="3E1886E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-0.04;0.17</w:t>
            </w:r>
          </w:p>
        </w:tc>
        <w:tc>
          <w:tcPr>
            <w:tcW w:w="642" w:type="dxa"/>
            <w:tcBorders>
              <w:top w:val="nil"/>
              <w:left w:val="nil"/>
              <w:bottom w:val="nil"/>
              <w:right w:val="nil"/>
            </w:tcBorders>
            <w:shd w:val="clear" w:color="auto" w:fill="auto"/>
            <w:noWrap/>
            <w:vAlign w:val="bottom"/>
            <w:hideMark/>
          </w:tcPr>
          <w:p w14:paraId="4DFD193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0.247</w:t>
            </w:r>
          </w:p>
        </w:tc>
        <w:tc>
          <w:tcPr>
            <w:tcW w:w="190" w:type="dxa"/>
            <w:tcBorders>
              <w:top w:val="nil"/>
              <w:left w:val="nil"/>
              <w:bottom w:val="nil"/>
              <w:right w:val="nil"/>
            </w:tcBorders>
            <w:shd w:val="clear" w:color="auto" w:fill="auto"/>
            <w:noWrap/>
            <w:vAlign w:val="bottom"/>
            <w:hideMark/>
          </w:tcPr>
          <w:p w14:paraId="01BC90F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3A1252F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0.045</w:t>
            </w:r>
          </w:p>
        </w:tc>
        <w:tc>
          <w:tcPr>
            <w:tcW w:w="1113" w:type="dxa"/>
            <w:tcBorders>
              <w:top w:val="nil"/>
              <w:left w:val="nil"/>
              <w:bottom w:val="nil"/>
              <w:right w:val="nil"/>
            </w:tcBorders>
            <w:shd w:val="clear" w:color="auto" w:fill="auto"/>
            <w:noWrap/>
            <w:vAlign w:val="bottom"/>
            <w:hideMark/>
          </w:tcPr>
          <w:p w14:paraId="6C056B2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-0.06;0.16</w:t>
            </w:r>
          </w:p>
        </w:tc>
        <w:tc>
          <w:tcPr>
            <w:tcW w:w="642" w:type="dxa"/>
            <w:tcBorders>
              <w:top w:val="nil"/>
              <w:left w:val="nil"/>
              <w:bottom w:val="nil"/>
              <w:right w:val="nil"/>
            </w:tcBorders>
            <w:shd w:val="clear" w:color="auto" w:fill="auto"/>
            <w:noWrap/>
            <w:vAlign w:val="bottom"/>
            <w:hideMark/>
          </w:tcPr>
          <w:p w14:paraId="26ED9CF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0.411</w:t>
            </w:r>
          </w:p>
        </w:tc>
      </w:tr>
      <w:tr w:rsidR="0055435C" w:rsidRPr="0055435C" w14:paraId="2549FC65" w14:textId="77777777" w:rsidTr="00677BF5">
        <w:trPr>
          <w:trHeight w:val="301"/>
        </w:trPr>
        <w:tc>
          <w:tcPr>
            <w:tcW w:w="1575" w:type="dxa"/>
            <w:tcBorders>
              <w:top w:val="nil"/>
              <w:left w:val="nil"/>
              <w:bottom w:val="nil"/>
              <w:right w:val="nil"/>
            </w:tcBorders>
            <w:shd w:val="clear" w:color="auto" w:fill="auto"/>
            <w:noWrap/>
            <w:vAlign w:val="bottom"/>
            <w:hideMark/>
          </w:tcPr>
          <w:p w14:paraId="2EB8EA54"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07025FA0"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Early old age</w:t>
            </w:r>
          </w:p>
        </w:tc>
        <w:tc>
          <w:tcPr>
            <w:tcW w:w="642" w:type="dxa"/>
            <w:tcBorders>
              <w:top w:val="nil"/>
              <w:left w:val="nil"/>
              <w:bottom w:val="nil"/>
              <w:right w:val="nil"/>
            </w:tcBorders>
            <w:shd w:val="clear" w:color="auto" w:fill="auto"/>
            <w:noWrap/>
            <w:vAlign w:val="bottom"/>
            <w:hideMark/>
          </w:tcPr>
          <w:p w14:paraId="011B3F1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0D4F1CA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2F0B3CB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5D24013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49508CC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0.135</w:t>
            </w:r>
          </w:p>
        </w:tc>
        <w:tc>
          <w:tcPr>
            <w:tcW w:w="1113" w:type="dxa"/>
            <w:tcBorders>
              <w:top w:val="nil"/>
              <w:left w:val="nil"/>
              <w:bottom w:val="nil"/>
              <w:right w:val="nil"/>
            </w:tcBorders>
            <w:shd w:val="clear" w:color="auto" w:fill="auto"/>
            <w:noWrap/>
            <w:vAlign w:val="bottom"/>
            <w:hideMark/>
          </w:tcPr>
          <w:p w14:paraId="3235FAB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-0.05;0.32</w:t>
            </w:r>
          </w:p>
        </w:tc>
        <w:tc>
          <w:tcPr>
            <w:tcW w:w="642" w:type="dxa"/>
            <w:tcBorders>
              <w:top w:val="nil"/>
              <w:left w:val="nil"/>
              <w:bottom w:val="nil"/>
              <w:right w:val="nil"/>
            </w:tcBorders>
            <w:shd w:val="clear" w:color="auto" w:fill="auto"/>
            <w:noWrap/>
            <w:vAlign w:val="bottom"/>
            <w:hideMark/>
          </w:tcPr>
          <w:p w14:paraId="5BDF6C4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0.142</w:t>
            </w:r>
          </w:p>
        </w:tc>
      </w:tr>
      <w:tr w:rsidR="0055435C" w:rsidRPr="0055435C" w14:paraId="0D802B02" w14:textId="77777777" w:rsidTr="00677BF5">
        <w:trPr>
          <w:trHeight w:val="301"/>
        </w:trPr>
        <w:tc>
          <w:tcPr>
            <w:tcW w:w="1575" w:type="dxa"/>
            <w:tcBorders>
              <w:top w:val="nil"/>
              <w:left w:val="nil"/>
              <w:bottom w:val="nil"/>
              <w:right w:val="nil"/>
            </w:tcBorders>
            <w:shd w:val="clear" w:color="auto" w:fill="auto"/>
            <w:noWrap/>
            <w:vAlign w:val="bottom"/>
            <w:hideMark/>
          </w:tcPr>
          <w:p w14:paraId="22647A4C"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03B473A7"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3CC5906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02429FB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50F6A59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213C92B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2BD4572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113" w:type="dxa"/>
            <w:tcBorders>
              <w:top w:val="nil"/>
              <w:left w:val="nil"/>
              <w:bottom w:val="nil"/>
              <w:right w:val="nil"/>
            </w:tcBorders>
            <w:shd w:val="clear" w:color="auto" w:fill="auto"/>
            <w:noWrap/>
            <w:vAlign w:val="bottom"/>
            <w:hideMark/>
          </w:tcPr>
          <w:p w14:paraId="0C21797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7B3DD0C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r>
      <w:tr w:rsidR="0055435C" w:rsidRPr="0055435C" w14:paraId="0401CF10" w14:textId="77777777" w:rsidTr="00677BF5">
        <w:trPr>
          <w:trHeight w:val="301"/>
        </w:trPr>
        <w:tc>
          <w:tcPr>
            <w:tcW w:w="1575" w:type="dxa"/>
            <w:tcBorders>
              <w:top w:val="nil"/>
              <w:left w:val="nil"/>
              <w:bottom w:val="nil"/>
              <w:right w:val="nil"/>
            </w:tcBorders>
            <w:shd w:val="clear" w:color="auto" w:fill="auto"/>
            <w:noWrap/>
            <w:vAlign w:val="bottom"/>
            <w:hideMark/>
          </w:tcPr>
          <w:p w14:paraId="08FE99D0"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aBMD, g/cm</w:t>
            </w:r>
            <w:r w:rsidRPr="0055435C">
              <w:rPr>
                <w:rFonts w:ascii="Calibri" w:eastAsia="Times New Roman" w:hAnsi="Calibri" w:cs="Times New Roman"/>
                <w:color w:val="000000"/>
                <w:sz w:val="22"/>
                <w:vertAlign w:val="superscript"/>
                <w:lang w:val="sv-FI" w:eastAsia="sv-FI"/>
              </w:rPr>
              <w:t>2</w:t>
            </w:r>
          </w:p>
        </w:tc>
        <w:tc>
          <w:tcPr>
            <w:tcW w:w="1403" w:type="dxa"/>
            <w:tcBorders>
              <w:top w:val="nil"/>
              <w:left w:val="nil"/>
              <w:bottom w:val="nil"/>
              <w:right w:val="nil"/>
            </w:tcBorders>
            <w:shd w:val="clear" w:color="auto" w:fill="auto"/>
            <w:noWrap/>
            <w:vAlign w:val="bottom"/>
            <w:hideMark/>
          </w:tcPr>
          <w:p w14:paraId="2A5F68E0"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2947289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245" w:type="dxa"/>
            <w:tcBorders>
              <w:top w:val="nil"/>
              <w:left w:val="nil"/>
              <w:bottom w:val="nil"/>
              <w:right w:val="nil"/>
            </w:tcBorders>
            <w:shd w:val="clear" w:color="auto" w:fill="auto"/>
            <w:noWrap/>
            <w:vAlign w:val="bottom"/>
            <w:hideMark/>
          </w:tcPr>
          <w:p w14:paraId="29EC690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6D85A19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90" w:type="dxa"/>
            <w:tcBorders>
              <w:top w:val="nil"/>
              <w:left w:val="nil"/>
              <w:bottom w:val="nil"/>
              <w:right w:val="nil"/>
            </w:tcBorders>
            <w:shd w:val="clear" w:color="auto" w:fill="auto"/>
            <w:noWrap/>
            <w:vAlign w:val="bottom"/>
            <w:hideMark/>
          </w:tcPr>
          <w:p w14:paraId="3A94B6E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7638C95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1113" w:type="dxa"/>
            <w:tcBorders>
              <w:top w:val="nil"/>
              <w:left w:val="nil"/>
              <w:bottom w:val="nil"/>
              <w:right w:val="nil"/>
            </w:tcBorders>
            <w:shd w:val="clear" w:color="auto" w:fill="auto"/>
            <w:noWrap/>
            <w:vAlign w:val="bottom"/>
            <w:hideMark/>
          </w:tcPr>
          <w:p w14:paraId="7B9165F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642" w:type="dxa"/>
            <w:tcBorders>
              <w:top w:val="nil"/>
              <w:left w:val="nil"/>
              <w:bottom w:val="nil"/>
              <w:right w:val="nil"/>
            </w:tcBorders>
            <w:shd w:val="clear" w:color="auto" w:fill="auto"/>
            <w:noWrap/>
            <w:vAlign w:val="bottom"/>
            <w:hideMark/>
          </w:tcPr>
          <w:p w14:paraId="1400F69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r>
      <w:tr w:rsidR="0055435C" w:rsidRPr="0055435C" w14:paraId="1BAAD08F" w14:textId="77777777" w:rsidTr="00677BF5">
        <w:trPr>
          <w:trHeight w:val="301"/>
        </w:trPr>
        <w:tc>
          <w:tcPr>
            <w:tcW w:w="1575" w:type="dxa"/>
            <w:tcBorders>
              <w:top w:val="nil"/>
              <w:left w:val="nil"/>
              <w:bottom w:val="nil"/>
              <w:right w:val="nil"/>
            </w:tcBorders>
            <w:shd w:val="clear" w:color="auto" w:fill="auto"/>
            <w:noWrap/>
            <w:vAlign w:val="bottom"/>
            <w:hideMark/>
          </w:tcPr>
          <w:p w14:paraId="54714D1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19A82322"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Birth</w:t>
            </w:r>
          </w:p>
        </w:tc>
        <w:tc>
          <w:tcPr>
            <w:tcW w:w="642" w:type="dxa"/>
            <w:tcBorders>
              <w:top w:val="nil"/>
              <w:left w:val="nil"/>
              <w:bottom w:val="nil"/>
              <w:right w:val="nil"/>
            </w:tcBorders>
            <w:shd w:val="clear" w:color="auto" w:fill="auto"/>
            <w:noWrap/>
            <w:vAlign w:val="bottom"/>
            <w:hideMark/>
          </w:tcPr>
          <w:p w14:paraId="6258A1C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0.003</w:t>
            </w:r>
          </w:p>
        </w:tc>
        <w:tc>
          <w:tcPr>
            <w:tcW w:w="1245" w:type="dxa"/>
            <w:tcBorders>
              <w:top w:val="nil"/>
              <w:left w:val="nil"/>
              <w:bottom w:val="nil"/>
              <w:right w:val="nil"/>
            </w:tcBorders>
            <w:shd w:val="clear" w:color="auto" w:fill="auto"/>
            <w:noWrap/>
            <w:vAlign w:val="bottom"/>
            <w:hideMark/>
          </w:tcPr>
          <w:p w14:paraId="7D42FB4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-0.03;0.03</w:t>
            </w:r>
          </w:p>
        </w:tc>
        <w:tc>
          <w:tcPr>
            <w:tcW w:w="642" w:type="dxa"/>
            <w:tcBorders>
              <w:top w:val="nil"/>
              <w:left w:val="nil"/>
              <w:bottom w:val="nil"/>
              <w:right w:val="nil"/>
            </w:tcBorders>
            <w:shd w:val="clear" w:color="auto" w:fill="auto"/>
            <w:noWrap/>
            <w:vAlign w:val="bottom"/>
            <w:hideMark/>
          </w:tcPr>
          <w:p w14:paraId="0DAE9E2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0.856</w:t>
            </w:r>
          </w:p>
        </w:tc>
        <w:tc>
          <w:tcPr>
            <w:tcW w:w="190" w:type="dxa"/>
            <w:tcBorders>
              <w:top w:val="nil"/>
              <w:left w:val="nil"/>
              <w:bottom w:val="nil"/>
              <w:right w:val="nil"/>
            </w:tcBorders>
            <w:shd w:val="clear" w:color="auto" w:fill="auto"/>
            <w:noWrap/>
            <w:vAlign w:val="bottom"/>
            <w:hideMark/>
          </w:tcPr>
          <w:p w14:paraId="7EF6CDA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5D3B9CE9"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-0.001</w:t>
            </w:r>
          </w:p>
        </w:tc>
        <w:tc>
          <w:tcPr>
            <w:tcW w:w="1113" w:type="dxa"/>
            <w:tcBorders>
              <w:top w:val="nil"/>
              <w:left w:val="nil"/>
              <w:bottom w:val="nil"/>
              <w:right w:val="nil"/>
            </w:tcBorders>
            <w:shd w:val="clear" w:color="auto" w:fill="auto"/>
            <w:noWrap/>
            <w:vAlign w:val="bottom"/>
            <w:hideMark/>
          </w:tcPr>
          <w:p w14:paraId="52FF879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-0.03;0.03</w:t>
            </w:r>
          </w:p>
        </w:tc>
        <w:tc>
          <w:tcPr>
            <w:tcW w:w="642" w:type="dxa"/>
            <w:tcBorders>
              <w:top w:val="nil"/>
              <w:left w:val="nil"/>
              <w:bottom w:val="nil"/>
              <w:right w:val="nil"/>
            </w:tcBorders>
            <w:shd w:val="clear" w:color="auto" w:fill="auto"/>
            <w:noWrap/>
            <w:vAlign w:val="bottom"/>
            <w:hideMark/>
          </w:tcPr>
          <w:p w14:paraId="30006EE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0.95</w:t>
            </w:r>
          </w:p>
        </w:tc>
      </w:tr>
      <w:tr w:rsidR="0055435C" w:rsidRPr="0055435C" w14:paraId="1F6575F1" w14:textId="77777777" w:rsidTr="00677BF5">
        <w:trPr>
          <w:trHeight w:val="301"/>
        </w:trPr>
        <w:tc>
          <w:tcPr>
            <w:tcW w:w="1575" w:type="dxa"/>
            <w:tcBorders>
              <w:top w:val="nil"/>
              <w:left w:val="nil"/>
              <w:bottom w:val="nil"/>
              <w:right w:val="nil"/>
            </w:tcBorders>
            <w:shd w:val="clear" w:color="auto" w:fill="auto"/>
            <w:noWrap/>
            <w:vAlign w:val="bottom"/>
            <w:hideMark/>
          </w:tcPr>
          <w:p w14:paraId="030FCC7A"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10242596"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 to 2 years</w:t>
            </w:r>
          </w:p>
        </w:tc>
        <w:tc>
          <w:tcPr>
            <w:tcW w:w="642" w:type="dxa"/>
            <w:tcBorders>
              <w:top w:val="nil"/>
              <w:left w:val="nil"/>
              <w:bottom w:val="nil"/>
              <w:right w:val="nil"/>
            </w:tcBorders>
            <w:shd w:val="clear" w:color="auto" w:fill="auto"/>
            <w:noWrap/>
            <w:vAlign w:val="bottom"/>
            <w:hideMark/>
          </w:tcPr>
          <w:p w14:paraId="55C2A6F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0.018</w:t>
            </w:r>
          </w:p>
        </w:tc>
        <w:tc>
          <w:tcPr>
            <w:tcW w:w="1245" w:type="dxa"/>
            <w:tcBorders>
              <w:top w:val="nil"/>
              <w:left w:val="nil"/>
              <w:bottom w:val="nil"/>
              <w:right w:val="nil"/>
            </w:tcBorders>
            <w:shd w:val="clear" w:color="auto" w:fill="auto"/>
            <w:noWrap/>
            <w:vAlign w:val="bottom"/>
            <w:hideMark/>
          </w:tcPr>
          <w:p w14:paraId="278D0AEF"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-0.003;0.04</w:t>
            </w:r>
          </w:p>
        </w:tc>
        <w:tc>
          <w:tcPr>
            <w:tcW w:w="642" w:type="dxa"/>
            <w:tcBorders>
              <w:top w:val="nil"/>
              <w:left w:val="nil"/>
              <w:bottom w:val="nil"/>
              <w:right w:val="nil"/>
            </w:tcBorders>
            <w:shd w:val="clear" w:color="auto" w:fill="auto"/>
            <w:noWrap/>
            <w:vAlign w:val="bottom"/>
            <w:hideMark/>
          </w:tcPr>
          <w:p w14:paraId="68E9303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0.096</w:t>
            </w:r>
          </w:p>
        </w:tc>
        <w:tc>
          <w:tcPr>
            <w:tcW w:w="190" w:type="dxa"/>
            <w:tcBorders>
              <w:top w:val="nil"/>
              <w:left w:val="nil"/>
              <w:bottom w:val="nil"/>
              <w:right w:val="nil"/>
            </w:tcBorders>
            <w:shd w:val="clear" w:color="auto" w:fill="auto"/>
            <w:noWrap/>
            <w:vAlign w:val="bottom"/>
            <w:hideMark/>
          </w:tcPr>
          <w:p w14:paraId="54EA989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46EC11E6"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0.014</w:t>
            </w:r>
          </w:p>
        </w:tc>
        <w:tc>
          <w:tcPr>
            <w:tcW w:w="1113" w:type="dxa"/>
            <w:tcBorders>
              <w:top w:val="nil"/>
              <w:left w:val="nil"/>
              <w:bottom w:val="nil"/>
              <w:right w:val="nil"/>
            </w:tcBorders>
            <w:shd w:val="clear" w:color="auto" w:fill="auto"/>
            <w:noWrap/>
            <w:vAlign w:val="bottom"/>
            <w:hideMark/>
          </w:tcPr>
          <w:p w14:paraId="69777DD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-0.01;0.04</w:t>
            </w:r>
          </w:p>
        </w:tc>
        <w:tc>
          <w:tcPr>
            <w:tcW w:w="642" w:type="dxa"/>
            <w:tcBorders>
              <w:top w:val="nil"/>
              <w:left w:val="nil"/>
              <w:bottom w:val="nil"/>
              <w:right w:val="nil"/>
            </w:tcBorders>
            <w:shd w:val="clear" w:color="auto" w:fill="auto"/>
            <w:noWrap/>
            <w:vAlign w:val="bottom"/>
            <w:hideMark/>
          </w:tcPr>
          <w:p w14:paraId="28249B45"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0.319</w:t>
            </w:r>
          </w:p>
        </w:tc>
      </w:tr>
      <w:tr w:rsidR="0055435C" w:rsidRPr="0055435C" w14:paraId="01C0BB2E" w14:textId="77777777" w:rsidTr="00677BF5">
        <w:trPr>
          <w:trHeight w:val="301"/>
        </w:trPr>
        <w:tc>
          <w:tcPr>
            <w:tcW w:w="1575" w:type="dxa"/>
            <w:tcBorders>
              <w:top w:val="nil"/>
              <w:left w:val="nil"/>
              <w:bottom w:val="nil"/>
              <w:right w:val="nil"/>
            </w:tcBorders>
            <w:shd w:val="clear" w:color="auto" w:fill="auto"/>
            <w:noWrap/>
            <w:vAlign w:val="bottom"/>
            <w:hideMark/>
          </w:tcPr>
          <w:p w14:paraId="126A6A28"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17773E93"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2 to 7 years</w:t>
            </w:r>
          </w:p>
        </w:tc>
        <w:tc>
          <w:tcPr>
            <w:tcW w:w="642" w:type="dxa"/>
            <w:tcBorders>
              <w:top w:val="nil"/>
              <w:left w:val="nil"/>
              <w:bottom w:val="nil"/>
              <w:right w:val="nil"/>
            </w:tcBorders>
            <w:shd w:val="clear" w:color="auto" w:fill="auto"/>
            <w:noWrap/>
            <w:vAlign w:val="bottom"/>
            <w:hideMark/>
          </w:tcPr>
          <w:p w14:paraId="54A8502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0.022</w:t>
            </w:r>
          </w:p>
        </w:tc>
        <w:tc>
          <w:tcPr>
            <w:tcW w:w="1245" w:type="dxa"/>
            <w:tcBorders>
              <w:top w:val="nil"/>
              <w:left w:val="nil"/>
              <w:bottom w:val="nil"/>
              <w:right w:val="nil"/>
            </w:tcBorders>
            <w:shd w:val="clear" w:color="auto" w:fill="auto"/>
            <w:noWrap/>
            <w:vAlign w:val="bottom"/>
            <w:hideMark/>
          </w:tcPr>
          <w:p w14:paraId="58182F07"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0.00;0.04</w:t>
            </w:r>
          </w:p>
        </w:tc>
        <w:tc>
          <w:tcPr>
            <w:tcW w:w="642" w:type="dxa"/>
            <w:tcBorders>
              <w:top w:val="nil"/>
              <w:left w:val="nil"/>
              <w:bottom w:val="nil"/>
              <w:right w:val="nil"/>
            </w:tcBorders>
            <w:shd w:val="clear" w:color="auto" w:fill="auto"/>
            <w:noWrap/>
            <w:vAlign w:val="bottom"/>
            <w:hideMark/>
          </w:tcPr>
          <w:p w14:paraId="32D0FC3B"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0.047</w:t>
            </w:r>
          </w:p>
        </w:tc>
        <w:tc>
          <w:tcPr>
            <w:tcW w:w="190" w:type="dxa"/>
            <w:tcBorders>
              <w:top w:val="nil"/>
              <w:left w:val="nil"/>
              <w:bottom w:val="nil"/>
              <w:right w:val="nil"/>
            </w:tcBorders>
            <w:shd w:val="clear" w:color="auto" w:fill="auto"/>
            <w:noWrap/>
            <w:vAlign w:val="bottom"/>
            <w:hideMark/>
          </w:tcPr>
          <w:p w14:paraId="1669315D"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5C976CA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0.018</w:t>
            </w:r>
          </w:p>
        </w:tc>
        <w:tc>
          <w:tcPr>
            <w:tcW w:w="1113" w:type="dxa"/>
            <w:tcBorders>
              <w:top w:val="nil"/>
              <w:left w:val="nil"/>
              <w:bottom w:val="nil"/>
              <w:right w:val="nil"/>
            </w:tcBorders>
            <w:shd w:val="clear" w:color="auto" w:fill="auto"/>
            <w:noWrap/>
            <w:vAlign w:val="bottom"/>
            <w:hideMark/>
          </w:tcPr>
          <w:p w14:paraId="3830923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-0.01;0.04</w:t>
            </w:r>
          </w:p>
        </w:tc>
        <w:tc>
          <w:tcPr>
            <w:tcW w:w="642" w:type="dxa"/>
            <w:tcBorders>
              <w:top w:val="nil"/>
              <w:left w:val="nil"/>
              <w:bottom w:val="nil"/>
              <w:right w:val="nil"/>
            </w:tcBorders>
            <w:shd w:val="clear" w:color="auto" w:fill="auto"/>
            <w:noWrap/>
            <w:vAlign w:val="bottom"/>
            <w:hideMark/>
          </w:tcPr>
          <w:p w14:paraId="3A664DB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0.159</w:t>
            </w:r>
          </w:p>
        </w:tc>
      </w:tr>
      <w:tr w:rsidR="0055435C" w:rsidRPr="0055435C" w14:paraId="5370B288" w14:textId="77777777" w:rsidTr="00677BF5">
        <w:trPr>
          <w:trHeight w:val="301"/>
        </w:trPr>
        <w:tc>
          <w:tcPr>
            <w:tcW w:w="1575" w:type="dxa"/>
            <w:tcBorders>
              <w:top w:val="nil"/>
              <w:left w:val="nil"/>
              <w:bottom w:val="nil"/>
              <w:right w:val="nil"/>
            </w:tcBorders>
            <w:shd w:val="clear" w:color="auto" w:fill="auto"/>
            <w:noWrap/>
            <w:vAlign w:val="bottom"/>
            <w:hideMark/>
          </w:tcPr>
          <w:p w14:paraId="59D988AF"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p>
        </w:tc>
        <w:tc>
          <w:tcPr>
            <w:tcW w:w="1403" w:type="dxa"/>
            <w:tcBorders>
              <w:top w:val="nil"/>
              <w:left w:val="nil"/>
              <w:bottom w:val="nil"/>
              <w:right w:val="nil"/>
            </w:tcBorders>
            <w:shd w:val="clear" w:color="auto" w:fill="auto"/>
            <w:noWrap/>
            <w:vAlign w:val="bottom"/>
            <w:hideMark/>
          </w:tcPr>
          <w:p w14:paraId="095D8B87"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7 to 11 years</w:t>
            </w:r>
          </w:p>
        </w:tc>
        <w:tc>
          <w:tcPr>
            <w:tcW w:w="642" w:type="dxa"/>
            <w:tcBorders>
              <w:top w:val="nil"/>
              <w:left w:val="nil"/>
              <w:bottom w:val="nil"/>
              <w:right w:val="nil"/>
            </w:tcBorders>
            <w:shd w:val="clear" w:color="auto" w:fill="auto"/>
            <w:noWrap/>
            <w:vAlign w:val="bottom"/>
            <w:hideMark/>
          </w:tcPr>
          <w:p w14:paraId="64BE7E6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0.013</w:t>
            </w:r>
          </w:p>
        </w:tc>
        <w:tc>
          <w:tcPr>
            <w:tcW w:w="1245" w:type="dxa"/>
            <w:tcBorders>
              <w:top w:val="nil"/>
              <w:left w:val="nil"/>
              <w:bottom w:val="nil"/>
              <w:right w:val="nil"/>
            </w:tcBorders>
            <w:shd w:val="clear" w:color="auto" w:fill="auto"/>
            <w:noWrap/>
            <w:vAlign w:val="bottom"/>
            <w:hideMark/>
          </w:tcPr>
          <w:p w14:paraId="7B031BE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-0.01;0.03</w:t>
            </w:r>
          </w:p>
        </w:tc>
        <w:tc>
          <w:tcPr>
            <w:tcW w:w="642" w:type="dxa"/>
            <w:tcBorders>
              <w:top w:val="nil"/>
              <w:left w:val="nil"/>
              <w:bottom w:val="nil"/>
              <w:right w:val="nil"/>
            </w:tcBorders>
            <w:shd w:val="clear" w:color="auto" w:fill="auto"/>
            <w:noWrap/>
            <w:vAlign w:val="bottom"/>
            <w:hideMark/>
          </w:tcPr>
          <w:p w14:paraId="4151CCB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0.180</w:t>
            </w:r>
          </w:p>
        </w:tc>
        <w:tc>
          <w:tcPr>
            <w:tcW w:w="190" w:type="dxa"/>
            <w:tcBorders>
              <w:top w:val="nil"/>
              <w:left w:val="nil"/>
              <w:bottom w:val="nil"/>
              <w:right w:val="nil"/>
            </w:tcBorders>
            <w:shd w:val="clear" w:color="auto" w:fill="auto"/>
            <w:noWrap/>
            <w:vAlign w:val="bottom"/>
            <w:hideMark/>
          </w:tcPr>
          <w:p w14:paraId="7A26C4F8"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p>
        </w:tc>
        <w:tc>
          <w:tcPr>
            <w:tcW w:w="712" w:type="dxa"/>
            <w:tcBorders>
              <w:top w:val="nil"/>
              <w:left w:val="nil"/>
              <w:bottom w:val="nil"/>
              <w:right w:val="nil"/>
            </w:tcBorders>
            <w:shd w:val="clear" w:color="auto" w:fill="auto"/>
            <w:noWrap/>
            <w:vAlign w:val="bottom"/>
            <w:hideMark/>
          </w:tcPr>
          <w:p w14:paraId="3C5F450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0.012</w:t>
            </w:r>
          </w:p>
        </w:tc>
        <w:tc>
          <w:tcPr>
            <w:tcW w:w="1113" w:type="dxa"/>
            <w:tcBorders>
              <w:top w:val="nil"/>
              <w:left w:val="nil"/>
              <w:bottom w:val="nil"/>
              <w:right w:val="nil"/>
            </w:tcBorders>
            <w:shd w:val="clear" w:color="auto" w:fill="auto"/>
            <w:noWrap/>
            <w:vAlign w:val="bottom"/>
            <w:hideMark/>
          </w:tcPr>
          <w:p w14:paraId="2DE8A70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-0.01;0.03</w:t>
            </w:r>
          </w:p>
        </w:tc>
        <w:tc>
          <w:tcPr>
            <w:tcW w:w="642" w:type="dxa"/>
            <w:tcBorders>
              <w:top w:val="nil"/>
              <w:left w:val="nil"/>
              <w:bottom w:val="nil"/>
              <w:right w:val="nil"/>
            </w:tcBorders>
            <w:shd w:val="clear" w:color="auto" w:fill="auto"/>
            <w:noWrap/>
            <w:vAlign w:val="bottom"/>
            <w:hideMark/>
          </w:tcPr>
          <w:p w14:paraId="515C0D22"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0.230</w:t>
            </w:r>
          </w:p>
        </w:tc>
      </w:tr>
      <w:tr w:rsidR="0055435C" w:rsidRPr="0055435C" w14:paraId="2C4297D9" w14:textId="77777777" w:rsidTr="00677BF5">
        <w:trPr>
          <w:trHeight w:val="301"/>
        </w:trPr>
        <w:tc>
          <w:tcPr>
            <w:tcW w:w="1575" w:type="dxa"/>
            <w:tcBorders>
              <w:top w:val="nil"/>
              <w:left w:val="nil"/>
              <w:bottom w:val="single" w:sz="4" w:space="0" w:color="auto"/>
              <w:right w:val="nil"/>
            </w:tcBorders>
            <w:shd w:val="clear" w:color="auto" w:fill="auto"/>
            <w:noWrap/>
            <w:vAlign w:val="bottom"/>
            <w:hideMark/>
          </w:tcPr>
          <w:p w14:paraId="257DFBCD"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1403" w:type="dxa"/>
            <w:tcBorders>
              <w:top w:val="nil"/>
              <w:left w:val="nil"/>
              <w:bottom w:val="single" w:sz="4" w:space="0" w:color="auto"/>
              <w:right w:val="nil"/>
            </w:tcBorders>
            <w:shd w:val="clear" w:color="auto" w:fill="auto"/>
            <w:noWrap/>
            <w:vAlign w:val="bottom"/>
            <w:hideMark/>
          </w:tcPr>
          <w:p w14:paraId="6D31ACA1" w14:textId="77777777" w:rsidR="0055435C" w:rsidRPr="0055435C" w:rsidRDefault="0055435C" w:rsidP="0055435C">
            <w:pPr>
              <w:spacing w:after="0" w:line="240" w:lineRule="auto"/>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Early old age</w:t>
            </w:r>
          </w:p>
        </w:tc>
        <w:tc>
          <w:tcPr>
            <w:tcW w:w="642" w:type="dxa"/>
            <w:tcBorders>
              <w:top w:val="nil"/>
              <w:left w:val="nil"/>
              <w:bottom w:val="single" w:sz="4" w:space="0" w:color="auto"/>
              <w:right w:val="nil"/>
            </w:tcBorders>
            <w:shd w:val="clear" w:color="auto" w:fill="auto"/>
            <w:noWrap/>
            <w:vAlign w:val="bottom"/>
            <w:hideMark/>
          </w:tcPr>
          <w:p w14:paraId="25B88F6E"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1245" w:type="dxa"/>
            <w:tcBorders>
              <w:top w:val="nil"/>
              <w:left w:val="nil"/>
              <w:bottom w:val="single" w:sz="4" w:space="0" w:color="auto"/>
              <w:right w:val="nil"/>
            </w:tcBorders>
            <w:shd w:val="clear" w:color="auto" w:fill="auto"/>
            <w:noWrap/>
            <w:vAlign w:val="bottom"/>
            <w:hideMark/>
          </w:tcPr>
          <w:p w14:paraId="34633B04"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642" w:type="dxa"/>
            <w:tcBorders>
              <w:top w:val="nil"/>
              <w:left w:val="nil"/>
              <w:bottom w:val="single" w:sz="4" w:space="0" w:color="auto"/>
              <w:right w:val="nil"/>
            </w:tcBorders>
            <w:shd w:val="clear" w:color="auto" w:fill="auto"/>
            <w:noWrap/>
            <w:vAlign w:val="bottom"/>
            <w:hideMark/>
          </w:tcPr>
          <w:p w14:paraId="5DDBC9F0"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190" w:type="dxa"/>
            <w:tcBorders>
              <w:top w:val="nil"/>
              <w:left w:val="nil"/>
              <w:bottom w:val="single" w:sz="4" w:space="0" w:color="auto"/>
              <w:right w:val="nil"/>
            </w:tcBorders>
            <w:shd w:val="clear" w:color="auto" w:fill="auto"/>
            <w:noWrap/>
            <w:vAlign w:val="bottom"/>
            <w:hideMark/>
          </w:tcPr>
          <w:p w14:paraId="53DEF2F3"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 </w:t>
            </w:r>
          </w:p>
        </w:tc>
        <w:tc>
          <w:tcPr>
            <w:tcW w:w="712" w:type="dxa"/>
            <w:tcBorders>
              <w:top w:val="nil"/>
              <w:left w:val="nil"/>
              <w:bottom w:val="single" w:sz="4" w:space="0" w:color="auto"/>
              <w:right w:val="nil"/>
            </w:tcBorders>
            <w:shd w:val="clear" w:color="auto" w:fill="auto"/>
            <w:noWrap/>
            <w:vAlign w:val="bottom"/>
            <w:hideMark/>
          </w:tcPr>
          <w:p w14:paraId="2B1B2A4C"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0.008</w:t>
            </w:r>
          </w:p>
        </w:tc>
        <w:tc>
          <w:tcPr>
            <w:tcW w:w="1113" w:type="dxa"/>
            <w:tcBorders>
              <w:top w:val="nil"/>
              <w:left w:val="nil"/>
              <w:bottom w:val="single" w:sz="4" w:space="0" w:color="auto"/>
              <w:right w:val="nil"/>
            </w:tcBorders>
            <w:shd w:val="clear" w:color="auto" w:fill="auto"/>
            <w:noWrap/>
            <w:vAlign w:val="bottom"/>
            <w:hideMark/>
          </w:tcPr>
          <w:p w14:paraId="4C326D2A"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-0.02;0.04</w:t>
            </w:r>
          </w:p>
        </w:tc>
        <w:tc>
          <w:tcPr>
            <w:tcW w:w="642" w:type="dxa"/>
            <w:tcBorders>
              <w:top w:val="nil"/>
              <w:left w:val="nil"/>
              <w:bottom w:val="single" w:sz="4" w:space="0" w:color="auto"/>
              <w:right w:val="nil"/>
            </w:tcBorders>
            <w:shd w:val="clear" w:color="auto" w:fill="auto"/>
            <w:noWrap/>
            <w:vAlign w:val="bottom"/>
            <w:hideMark/>
          </w:tcPr>
          <w:p w14:paraId="4592D001" w14:textId="77777777" w:rsidR="0055435C" w:rsidRPr="0055435C" w:rsidRDefault="0055435C" w:rsidP="0055435C">
            <w:pPr>
              <w:spacing w:after="0" w:line="240" w:lineRule="auto"/>
              <w:jc w:val="center"/>
              <w:rPr>
                <w:rFonts w:ascii="Calibri" w:eastAsia="Times New Roman" w:hAnsi="Calibri" w:cs="Times New Roman"/>
                <w:color w:val="000000"/>
                <w:sz w:val="22"/>
                <w:lang w:val="sv-FI" w:eastAsia="sv-FI"/>
              </w:rPr>
            </w:pPr>
            <w:r w:rsidRPr="0055435C">
              <w:rPr>
                <w:rFonts w:ascii="Calibri" w:eastAsia="Times New Roman" w:hAnsi="Calibri" w:cs="Times New Roman"/>
                <w:color w:val="000000"/>
                <w:sz w:val="22"/>
                <w:lang w:val="sv-FI" w:eastAsia="sv-FI"/>
              </w:rPr>
              <w:t>0.618</w:t>
            </w:r>
          </w:p>
        </w:tc>
      </w:tr>
      <w:tr w:rsidR="0055435C" w:rsidRPr="0055435C" w14:paraId="4F66A14C" w14:textId="77777777" w:rsidTr="00677BF5">
        <w:trPr>
          <w:trHeight w:val="904"/>
        </w:trPr>
        <w:tc>
          <w:tcPr>
            <w:tcW w:w="8164" w:type="dxa"/>
            <w:gridSpan w:val="9"/>
            <w:tcBorders>
              <w:top w:val="single" w:sz="4" w:space="0" w:color="auto"/>
              <w:left w:val="nil"/>
              <w:bottom w:val="nil"/>
              <w:right w:val="nil"/>
            </w:tcBorders>
            <w:shd w:val="clear" w:color="auto" w:fill="auto"/>
            <w:vAlign w:val="bottom"/>
            <w:hideMark/>
          </w:tcPr>
          <w:p w14:paraId="11C81F60"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t>B, unstandardized regression coefficient. B describes increase in the outcome variable per 1-SD greater growth.</w:t>
            </w:r>
          </w:p>
          <w:p w14:paraId="45685A8D"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t>Both models are adjusted for length of gestation, age, years since menopause, childhood and adulthood socio-economic status, alcohol intake, smoking, exercise, and estrogen replacement therapy.</w:t>
            </w:r>
          </w:p>
        </w:tc>
      </w:tr>
      <w:tr w:rsidR="0055435C" w:rsidRPr="0055435C" w14:paraId="48F84D9A" w14:textId="77777777" w:rsidTr="00677BF5">
        <w:trPr>
          <w:trHeight w:val="301"/>
        </w:trPr>
        <w:tc>
          <w:tcPr>
            <w:tcW w:w="8164" w:type="dxa"/>
            <w:gridSpan w:val="9"/>
            <w:tcBorders>
              <w:top w:val="nil"/>
              <w:left w:val="nil"/>
              <w:bottom w:val="nil"/>
              <w:right w:val="nil"/>
            </w:tcBorders>
            <w:shd w:val="clear" w:color="auto" w:fill="auto"/>
            <w:noWrap/>
            <w:vAlign w:val="bottom"/>
            <w:hideMark/>
          </w:tcPr>
          <w:p w14:paraId="2F46C4CA" w14:textId="77777777" w:rsidR="0055435C" w:rsidRPr="0055435C" w:rsidRDefault="0055435C" w:rsidP="0055435C">
            <w:pPr>
              <w:spacing w:after="0" w:line="240" w:lineRule="auto"/>
              <w:rPr>
                <w:rFonts w:ascii="Calibri" w:eastAsia="Times New Roman" w:hAnsi="Calibri" w:cs="Times New Roman"/>
                <w:color w:val="000000"/>
                <w:sz w:val="22"/>
                <w:lang w:val="en-US" w:eastAsia="sv-FI"/>
              </w:rPr>
            </w:pPr>
            <w:r w:rsidRPr="0055435C">
              <w:rPr>
                <w:rFonts w:ascii="Calibri" w:eastAsia="Times New Roman" w:hAnsi="Calibri" w:cs="Times New Roman"/>
                <w:color w:val="000000"/>
                <w:sz w:val="22"/>
                <w:lang w:val="en-US" w:eastAsia="sv-FI"/>
              </w:rPr>
              <w:t>Model 1 excludes and Model 2 includes body size at early old age.</w:t>
            </w:r>
          </w:p>
        </w:tc>
      </w:tr>
    </w:tbl>
    <w:p w14:paraId="250DFEFC" w14:textId="77777777" w:rsidR="0055435C" w:rsidRPr="0055435C" w:rsidRDefault="0055435C" w:rsidP="00AB7918">
      <w:pPr>
        <w:spacing w:line="480" w:lineRule="auto"/>
        <w:rPr>
          <w:lang w:val="en-US"/>
        </w:rPr>
      </w:pPr>
    </w:p>
    <w:p w14:paraId="3B402122" w14:textId="77777777" w:rsidR="0055435C" w:rsidRPr="0055435C" w:rsidRDefault="0055435C" w:rsidP="00AB7918">
      <w:pPr>
        <w:spacing w:line="480" w:lineRule="auto"/>
        <w:rPr>
          <w:lang w:val="en-US"/>
        </w:rPr>
      </w:pPr>
    </w:p>
    <w:p w14:paraId="2643DE69" w14:textId="77777777" w:rsidR="0055435C" w:rsidRPr="0055435C" w:rsidRDefault="0055435C" w:rsidP="00AB7918">
      <w:pPr>
        <w:spacing w:line="480" w:lineRule="auto"/>
        <w:rPr>
          <w:lang w:val="en-US"/>
        </w:rPr>
      </w:pPr>
    </w:p>
    <w:p w14:paraId="14B81972" w14:textId="77777777" w:rsidR="0055435C" w:rsidRPr="0055435C" w:rsidRDefault="0055435C" w:rsidP="00AB7918">
      <w:pPr>
        <w:spacing w:line="480" w:lineRule="auto"/>
        <w:rPr>
          <w:lang w:val="en-US"/>
        </w:rPr>
      </w:pPr>
    </w:p>
    <w:p w14:paraId="75B4DFD6" w14:textId="77777777" w:rsidR="0055435C" w:rsidRPr="0055435C" w:rsidRDefault="0055435C" w:rsidP="00AB7918">
      <w:pPr>
        <w:spacing w:line="480" w:lineRule="auto"/>
        <w:rPr>
          <w:lang w:val="en-US"/>
        </w:rPr>
      </w:pPr>
    </w:p>
    <w:p w14:paraId="36FC0223" w14:textId="77777777" w:rsidR="0055435C" w:rsidRPr="0055435C" w:rsidRDefault="0055435C" w:rsidP="00AB7918">
      <w:pPr>
        <w:spacing w:line="480" w:lineRule="auto"/>
        <w:rPr>
          <w:lang w:val="en-US"/>
        </w:rPr>
      </w:pPr>
    </w:p>
    <w:tbl>
      <w:tblPr>
        <w:tblW w:w="8260" w:type="dxa"/>
        <w:tblInd w:w="55" w:type="dxa"/>
        <w:tblCellMar>
          <w:left w:w="70" w:type="dxa"/>
          <w:right w:w="70" w:type="dxa"/>
        </w:tblCellMar>
        <w:tblLook w:val="04A0" w:firstRow="1" w:lastRow="0" w:firstColumn="1" w:lastColumn="0" w:noHBand="0" w:noVBand="1"/>
      </w:tblPr>
      <w:tblGrid>
        <w:gridCol w:w="1684"/>
        <w:gridCol w:w="1439"/>
        <w:gridCol w:w="730"/>
        <w:gridCol w:w="1142"/>
        <w:gridCol w:w="688"/>
        <w:gridCol w:w="195"/>
        <w:gridCol w:w="730"/>
        <w:gridCol w:w="1142"/>
        <w:gridCol w:w="807"/>
      </w:tblGrid>
      <w:tr w:rsidR="0055435C" w:rsidRPr="0055435C" w14:paraId="391A1195" w14:textId="77777777" w:rsidTr="00677BF5">
        <w:trPr>
          <w:trHeight w:val="1257"/>
        </w:trPr>
        <w:tc>
          <w:tcPr>
            <w:tcW w:w="8260" w:type="dxa"/>
            <w:gridSpan w:val="9"/>
            <w:tcBorders>
              <w:top w:val="nil"/>
              <w:left w:val="nil"/>
              <w:bottom w:val="single" w:sz="4" w:space="0" w:color="auto"/>
              <w:right w:val="nil"/>
            </w:tcBorders>
            <w:shd w:val="clear" w:color="auto" w:fill="auto"/>
            <w:vAlign w:val="bottom"/>
            <w:hideMark/>
          </w:tcPr>
          <w:p w14:paraId="58BBD653"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lastRenderedPageBreak/>
              <w:t xml:space="preserve">Supplementary Table 2. Birth weight, and conditional growth in weight </w:t>
            </w:r>
            <w:r w:rsidRPr="0055435C">
              <w:rPr>
                <w:noProof/>
                <w:lang w:val="en-US"/>
              </w:rPr>
              <w:t xml:space="preserve">explaining femoral neck bone area, bone mineral content (BMC), and areal bone mineral density (aBMD) in </w:t>
            </w:r>
            <w:r w:rsidRPr="0055435C">
              <w:rPr>
                <w:lang w:val="en-US"/>
              </w:rPr>
              <w:t>early old age</w:t>
            </w:r>
            <w:r w:rsidRPr="0055435C">
              <w:rPr>
                <w:noProof/>
                <w:lang w:val="en-US"/>
              </w:rPr>
              <w:t xml:space="preserve"> in a subgroup of women (n=178) from the Helsinki Birth Cohort Study.</w:t>
            </w:r>
          </w:p>
        </w:tc>
      </w:tr>
      <w:tr w:rsidR="0055435C" w:rsidRPr="0055435C" w14:paraId="7F3523B0" w14:textId="77777777" w:rsidTr="00677BF5">
        <w:trPr>
          <w:trHeight w:val="301"/>
        </w:trPr>
        <w:tc>
          <w:tcPr>
            <w:tcW w:w="1684" w:type="dxa"/>
            <w:tcBorders>
              <w:top w:val="nil"/>
              <w:left w:val="nil"/>
              <w:bottom w:val="nil"/>
              <w:right w:val="nil"/>
            </w:tcBorders>
            <w:shd w:val="clear" w:color="auto" w:fill="auto"/>
            <w:noWrap/>
            <w:vAlign w:val="bottom"/>
            <w:hideMark/>
          </w:tcPr>
          <w:p w14:paraId="38215C64"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1439" w:type="dxa"/>
            <w:tcBorders>
              <w:top w:val="nil"/>
              <w:left w:val="nil"/>
              <w:bottom w:val="nil"/>
              <w:right w:val="nil"/>
            </w:tcBorders>
            <w:shd w:val="clear" w:color="auto" w:fill="auto"/>
            <w:noWrap/>
            <w:vAlign w:val="bottom"/>
            <w:hideMark/>
          </w:tcPr>
          <w:p w14:paraId="72E24B4E"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2520" w:type="dxa"/>
            <w:gridSpan w:val="3"/>
            <w:tcBorders>
              <w:top w:val="single" w:sz="4" w:space="0" w:color="auto"/>
              <w:left w:val="nil"/>
              <w:bottom w:val="single" w:sz="4" w:space="0" w:color="auto"/>
              <w:right w:val="nil"/>
            </w:tcBorders>
            <w:shd w:val="clear" w:color="auto" w:fill="auto"/>
            <w:noWrap/>
            <w:vAlign w:val="bottom"/>
            <w:hideMark/>
          </w:tcPr>
          <w:p w14:paraId="6E6FED8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1</w:t>
            </w:r>
          </w:p>
        </w:tc>
        <w:tc>
          <w:tcPr>
            <w:tcW w:w="97" w:type="dxa"/>
            <w:tcBorders>
              <w:top w:val="nil"/>
              <w:left w:val="nil"/>
              <w:bottom w:val="nil"/>
              <w:right w:val="nil"/>
            </w:tcBorders>
            <w:shd w:val="clear" w:color="auto" w:fill="auto"/>
            <w:noWrap/>
            <w:vAlign w:val="bottom"/>
            <w:hideMark/>
          </w:tcPr>
          <w:p w14:paraId="56F7B64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2520" w:type="dxa"/>
            <w:gridSpan w:val="3"/>
            <w:tcBorders>
              <w:top w:val="single" w:sz="4" w:space="0" w:color="auto"/>
              <w:left w:val="nil"/>
              <w:bottom w:val="single" w:sz="4" w:space="0" w:color="auto"/>
              <w:right w:val="nil"/>
            </w:tcBorders>
            <w:shd w:val="clear" w:color="auto" w:fill="auto"/>
            <w:noWrap/>
            <w:vAlign w:val="bottom"/>
            <w:hideMark/>
          </w:tcPr>
          <w:p w14:paraId="7819574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2</w:t>
            </w:r>
          </w:p>
        </w:tc>
      </w:tr>
      <w:tr w:rsidR="0055435C" w:rsidRPr="0055435C" w14:paraId="1ECCF8D4" w14:textId="77777777" w:rsidTr="00677BF5">
        <w:trPr>
          <w:trHeight w:val="301"/>
        </w:trPr>
        <w:tc>
          <w:tcPr>
            <w:tcW w:w="1684" w:type="dxa"/>
            <w:tcBorders>
              <w:top w:val="nil"/>
              <w:left w:val="nil"/>
              <w:bottom w:val="single" w:sz="4" w:space="0" w:color="auto"/>
              <w:right w:val="nil"/>
            </w:tcBorders>
            <w:shd w:val="clear" w:color="auto" w:fill="auto"/>
            <w:noWrap/>
            <w:vAlign w:val="bottom"/>
            <w:hideMark/>
          </w:tcPr>
          <w:p w14:paraId="34A71771"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439" w:type="dxa"/>
            <w:tcBorders>
              <w:top w:val="nil"/>
              <w:left w:val="nil"/>
              <w:bottom w:val="single" w:sz="4" w:space="0" w:color="auto"/>
              <w:right w:val="nil"/>
            </w:tcBorders>
            <w:shd w:val="clear" w:color="auto" w:fill="auto"/>
            <w:noWrap/>
            <w:vAlign w:val="bottom"/>
            <w:hideMark/>
          </w:tcPr>
          <w:p w14:paraId="093B115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0" w:type="dxa"/>
            <w:tcBorders>
              <w:top w:val="nil"/>
              <w:left w:val="nil"/>
              <w:bottom w:val="single" w:sz="4" w:space="0" w:color="auto"/>
              <w:right w:val="nil"/>
            </w:tcBorders>
            <w:shd w:val="clear" w:color="auto" w:fill="auto"/>
            <w:noWrap/>
            <w:vAlign w:val="bottom"/>
            <w:hideMark/>
          </w:tcPr>
          <w:p w14:paraId="3A13D39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142" w:type="dxa"/>
            <w:tcBorders>
              <w:top w:val="nil"/>
              <w:left w:val="nil"/>
              <w:bottom w:val="single" w:sz="4" w:space="0" w:color="auto"/>
              <w:right w:val="nil"/>
            </w:tcBorders>
            <w:shd w:val="clear" w:color="auto" w:fill="auto"/>
            <w:noWrap/>
            <w:vAlign w:val="bottom"/>
            <w:hideMark/>
          </w:tcPr>
          <w:p w14:paraId="25A87A0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648" w:type="dxa"/>
            <w:tcBorders>
              <w:top w:val="nil"/>
              <w:left w:val="nil"/>
              <w:bottom w:val="single" w:sz="4" w:space="0" w:color="auto"/>
              <w:right w:val="nil"/>
            </w:tcBorders>
            <w:shd w:val="clear" w:color="auto" w:fill="auto"/>
            <w:noWrap/>
            <w:vAlign w:val="bottom"/>
            <w:hideMark/>
          </w:tcPr>
          <w:p w14:paraId="4B5D5CC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c>
          <w:tcPr>
            <w:tcW w:w="97" w:type="dxa"/>
            <w:tcBorders>
              <w:top w:val="nil"/>
              <w:left w:val="nil"/>
              <w:bottom w:val="single" w:sz="4" w:space="0" w:color="auto"/>
              <w:right w:val="nil"/>
            </w:tcBorders>
            <w:shd w:val="clear" w:color="auto" w:fill="auto"/>
            <w:noWrap/>
            <w:vAlign w:val="bottom"/>
            <w:hideMark/>
          </w:tcPr>
          <w:p w14:paraId="57BCB45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0" w:type="dxa"/>
            <w:tcBorders>
              <w:top w:val="nil"/>
              <w:left w:val="nil"/>
              <w:bottom w:val="single" w:sz="4" w:space="0" w:color="auto"/>
              <w:right w:val="nil"/>
            </w:tcBorders>
            <w:shd w:val="clear" w:color="auto" w:fill="auto"/>
            <w:noWrap/>
            <w:vAlign w:val="bottom"/>
            <w:hideMark/>
          </w:tcPr>
          <w:p w14:paraId="7D5ECE4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142" w:type="dxa"/>
            <w:tcBorders>
              <w:top w:val="nil"/>
              <w:left w:val="nil"/>
              <w:bottom w:val="single" w:sz="4" w:space="0" w:color="auto"/>
              <w:right w:val="nil"/>
            </w:tcBorders>
            <w:shd w:val="clear" w:color="auto" w:fill="auto"/>
            <w:noWrap/>
            <w:vAlign w:val="bottom"/>
            <w:hideMark/>
          </w:tcPr>
          <w:p w14:paraId="391CA33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648" w:type="dxa"/>
            <w:tcBorders>
              <w:top w:val="nil"/>
              <w:left w:val="nil"/>
              <w:bottom w:val="single" w:sz="4" w:space="0" w:color="auto"/>
              <w:right w:val="nil"/>
            </w:tcBorders>
            <w:shd w:val="clear" w:color="auto" w:fill="auto"/>
            <w:noWrap/>
            <w:vAlign w:val="bottom"/>
            <w:hideMark/>
          </w:tcPr>
          <w:p w14:paraId="1AADF64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r>
      <w:tr w:rsidR="0055435C" w:rsidRPr="0055435C" w14:paraId="1897B8B2" w14:textId="77777777" w:rsidTr="00677BF5">
        <w:trPr>
          <w:trHeight w:val="328"/>
        </w:trPr>
        <w:tc>
          <w:tcPr>
            <w:tcW w:w="1684" w:type="dxa"/>
            <w:tcBorders>
              <w:top w:val="nil"/>
              <w:left w:val="nil"/>
              <w:bottom w:val="nil"/>
              <w:right w:val="nil"/>
            </w:tcBorders>
            <w:shd w:val="clear" w:color="auto" w:fill="auto"/>
            <w:noWrap/>
            <w:vAlign w:val="bottom"/>
            <w:hideMark/>
          </w:tcPr>
          <w:p w14:paraId="38728EF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Bone area, cm</w:t>
            </w:r>
            <w:r w:rsidRPr="0055435C">
              <w:rPr>
                <w:rFonts w:ascii="Calibri" w:eastAsia="Times New Roman" w:hAnsi="Calibri" w:cs="Times New Roman"/>
                <w:color w:val="000000"/>
                <w:vertAlign w:val="superscript"/>
                <w:lang w:eastAsia="sv-FI"/>
              </w:rPr>
              <w:t>2</w:t>
            </w:r>
          </w:p>
        </w:tc>
        <w:tc>
          <w:tcPr>
            <w:tcW w:w="1439" w:type="dxa"/>
            <w:tcBorders>
              <w:top w:val="nil"/>
              <w:left w:val="nil"/>
              <w:bottom w:val="nil"/>
              <w:right w:val="nil"/>
            </w:tcBorders>
            <w:shd w:val="clear" w:color="auto" w:fill="auto"/>
            <w:noWrap/>
            <w:vAlign w:val="bottom"/>
            <w:hideMark/>
          </w:tcPr>
          <w:p w14:paraId="1DE48609"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62F6BFF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2F303A0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682E242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7" w:type="dxa"/>
            <w:tcBorders>
              <w:top w:val="nil"/>
              <w:left w:val="nil"/>
              <w:bottom w:val="nil"/>
              <w:right w:val="nil"/>
            </w:tcBorders>
            <w:shd w:val="clear" w:color="auto" w:fill="auto"/>
            <w:noWrap/>
            <w:vAlign w:val="bottom"/>
            <w:hideMark/>
          </w:tcPr>
          <w:p w14:paraId="4D2F078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2040817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65B3674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2E8DFFB6"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6AEE2E7B" w14:textId="77777777" w:rsidTr="00677BF5">
        <w:trPr>
          <w:trHeight w:val="301"/>
        </w:trPr>
        <w:tc>
          <w:tcPr>
            <w:tcW w:w="1684" w:type="dxa"/>
            <w:tcBorders>
              <w:top w:val="nil"/>
              <w:left w:val="nil"/>
              <w:bottom w:val="nil"/>
              <w:right w:val="nil"/>
            </w:tcBorders>
            <w:shd w:val="clear" w:color="auto" w:fill="auto"/>
            <w:noWrap/>
            <w:vAlign w:val="bottom"/>
            <w:hideMark/>
          </w:tcPr>
          <w:p w14:paraId="0F95346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6A07D537"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730" w:type="dxa"/>
            <w:tcBorders>
              <w:top w:val="nil"/>
              <w:left w:val="nil"/>
              <w:bottom w:val="nil"/>
              <w:right w:val="nil"/>
            </w:tcBorders>
            <w:shd w:val="clear" w:color="auto" w:fill="auto"/>
            <w:noWrap/>
            <w:vAlign w:val="bottom"/>
            <w:hideMark/>
          </w:tcPr>
          <w:p w14:paraId="498B869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0.041</w:t>
            </w:r>
          </w:p>
        </w:tc>
        <w:tc>
          <w:tcPr>
            <w:tcW w:w="1142" w:type="dxa"/>
            <w:tcBorders>
              <w:top w:val="nil"/>
              <w:left w:val="nil"/>
              <w:bottom w:val="nil"/>
              <w:right w:val="nil"/>
            </w:tcBorders>
            <w:shd w:val="clear" w:color="auto" w:fill="auto"/>
            <w:noWrap/>
            <w:vAlign w:val="bottom"/>
            <w:hideMark/>
          </w:tcPr>
          <w:p w14:paraId="08B7CA2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-0.02;0.10</w:t>
            </w:r>
          </w:p>
        </w:tc>
        <w:tc>
          <w:tcPr>
            <w:tcW w:w="648" w:type="dxa"/>
            <w:tcBorders>
              <w:top w:val="nil"/>
              <w:left w:val="nil"/>
              <w:bottom w:val="nil"/>
              <w:right w:val="nil"/>
            </w:tcBorders>
            <w:shd w:val="clear" w:color="auto" w:fill="auto"/>
            <w:noWrap/>
            <w:vAlign w:val="bottom"/>
            <w:hideMark/>
          </w:tcPr>
          <w:p w14:paraId="0DD38FA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0.196</w:t>
            </w:r>
          </w:p>
        </w:tc>
        <w:tc>
          <w:tcPr>
            <w:tcW w:w="97" w:type="dxa"/>
            <w:tcBorders>
              <w:top w:val="nil"/>
              <w:left w:val="nil"/>
              <w:bottom w:val="nil"/>
              <w:right w:val="nil"/>
            </w:tcBorders>
            <w:shd w:val="clear" w:color="auto" w:fill="auto"/>
            <w:noWrap/>
            <w:vAlign w:val="bottom"/>
            <w:hideMark/>
          </w:tcPr>
          <w:p w14:paraId="083A4D0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3FA93C0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0.036</w:t>
            </w:r>
          </w:p>
        </w:tc>
        <w:tc>
          <w:tcPr>
            <w:tcW w:w="1142" w:type="dxa"/>
            <w:tcBorders>
              <w:top w:val="nil"/>
              <w:left w:val="nil"/>
              <w:bottom w:val="nil"/>
              <w:right w:val="nil"/>
            </w:tcBorders>
            <w:shd w:val="clear" w:color="auto" w:fill="auto"/>
            <w:noWrap/>
            <w:vAlign w:val="bottom"/>
            <w:hideMark/>
          </w:tcPr>
          <w:p w14:paraId="5A711E3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-0.03;0.10</w:t>
            </w:r>
          </w:p>
        </w:tc>
        <w:tc>
          <w:tcPr>
            <w:tcW w:w="648" w:type="dxa"/>
            <w:tcBorders>
              <w:top w:val="nil"/>
              <w:left w:val="nil"/>
              <w:bottom w:val="nil"/>
              <w:right w:val="nil"/>
            </w:tcBorders>
            <w:shd w:val="clear" w:color="auto" w:fill="auto"/>
            <w:noWrap/>
            <w:vAlign w:val="bottom"/>
            <w:hideMark/>
          </w:tcPr>
          <w:p w14:paraId="40A0912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0.262</w:t>
            </w:r>
          </w:p>
        </w:tc>
      </w:tr>
      <w:tr w:rsidR="0055435C" w:rsidRPr="0055435C" w14:paraId="43870B5E" w14:textId="77777777" w:rsidTr="00677BF5">
        <w:trPr>
          <w:trHeight w:val="301"/>
        </w:trPr>
        <w:tc>
          <w:tcPr>
            <w:tcW w:w="1684" w:type="dxa"/>
            <w:tcBorders>
              <w:top w:val="nil"/>
              <w:left w:val="nil"/>
              <w:bottom w:val="nil"/>
              <w:right w:val="nil"/>
            </w:tcBorders>
            <w:shd w:val="clear" w:color="auto" w:fill="auto"/>
            <w:noWrap/>
            <w:vAlign w:val="bottom"/>
            <w:hideMark/>
          </w:tcPr>
          <w:p w14:paraId="4E7A1B4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3D75FAC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730" w:type="dxa"/>
            <w:tcBorders>
              <w:top w:val="nil"/>
              <w:left w:val="nil"/>
              <w:bottom w:val="nil"/>
              <w:right w:val="nil"/>
            </w:tcBorders>
            <w:shd w:val="clear" w:color="auto" w:fill="auto"/>
            <w:noWrap/>
            <w:vAlign w:val="bottom"/>
            <w:hideMark/>
          </w:tcPr>
          <w:p w14:paraId="722207F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0.026</w:t>
            </w:r>
          </w:p>
        </w:tc>
        <w:tc>
          <w:tcPr>
            <w:tcW w:w="1142" w:type="dxa"/>
            <w:tcBorders>
              <w:top w:val="nil"/>
              <w:left w:val="nil"/>
              <w:bottom w:val="nil"/>
              <w:right w:val="nil"/>
            </w:tcBorders>
            <w:shd w:val="clear" w:color="auto" w:fill="auto"/>
            <w:noWrap/>
            <w:vAlign w:val="bottom"/>
            <w:hideMark/>
          </w:tcPr>
          <w:p w14:paraId="1E989BF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-0.04;0.09</w:t>
            </w:r>
          </w:p>
        </w:tc>
        <w:tc>
          <w:tcPr>
            <w:tcW w:w="648" w:type="dxa"/>
            <w:tcBorders>
              <w:top w:val="nil"/>
              <w:left w:val="nil"/>
              <w:bottom w:val="nil"/>
              <w:right w:val="nil"/>
            </w:tcBorders>
            <w:shd w:val="clear" w:color="auto" w:fill="auto"/>
            <w:noWrap/>
            <w:vAlign w:val="bottom"/>
            <w:hideMark/>
          </w:tcPr>
          <w:p w14:paraId="5FA4621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0.402</w:t>
            </w:r>
          </w:p>
        </w:tc>
        <w:tc>
          <w:tcPr>
            <w:tcW w:w="97" w:type="dxa"/>
            <w:tcBorders>
              <w:top w:val="nil"/>
              <w:left w:val="nil"/>
              <w:bottom w:val="nil"/>
              <w:right w:val="nil"/>
            </w:tcBorders>
            <w:shd w:val="clear" w:color="auto" w:fill="auto"/>
            <w:noWrap/>
            <w:vAlign w:val="bottom"/>
            <w:hideMark/>
          </w:tcPr>
          <w:p w14:paraId="4053125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4DF4AB7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0.016</w:t>
            </w:r>
          </w:p>
        </w:tc>
        <w:tc>
          <w:tcPr>
            <w:tcW w:w="1142" w:type="dxa"/>
            <w:tcBorders>
              <w:top w:val="nil"/>
              <w:left w:val="nil"/>
              <w:bottom w:val="nil"/>
              <w:right w:val="nil"/>
            </w:tcBorders>
            <w:shd w:val="clear" w:color="auto" w:fill="auto"/>
            <w:noWrap/>
            <w:vAlign w:val="bottom"/>
            <w:hideMark/>
          </w:tcPr>
          <w:p w14:paraId="3E61DB3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-0.05;0.08</w:t>
            </w:r>
          </w:p>
        </w:tc>
        <w:tc>
          <w:tcPr>
            <w:tcW w:w="648" w:type="dxa"/>
            <w:tcBorders>
              <w:top w:val="nil"/>
              <w:left w:val="nil"/>
              <w:bottom w:val="nil"/>
              <w:right w:val="nil"/>
            </w:tcBorders>
            <w:shd w:val="clear" w:color="auto" w:fill="auto"/>
            <w:noWrap/>
            <w:vAlign w:val="bottom"/>
            <w:hideMark/>
          </w:tcPr>
          <w:p w14:paraId="4B241D5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0.615</w:t>
            </w:r>
          </w:p>
        </w:tc>
      </w:tr>
      <w:tr w:rsidR="0055435C" w:rsidRPr="0055435C" w14:paraId="51D2699F" w14:textId="77777777" w:rsidTr="00677BF5">
        <w:trPr>
          <w:trHeight w:val="301"/>
        </w:trPr>
        <w:tc>
          <w:tcPr>
            <w:tcW w:w="1684" w:type="dxa"/>
            <w:tcBorders>
              <w:top w:val="nil"/>
              <w:left w:val="nil"/>
              <w:bottom w:val="nil"/>
              <w:right w:val="nil"/>
            </w:tcBorders>
            <w:shd w:val="clear" w:color="auto" w:fill="auto"/>
            <w:noWrap/>
            <w:vAlign w:val="bottom"/>
            <w:hideMark/>
          </w:tcPr>
          <w:p w14:paraId="2ECBF0C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60E12E7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0" w:type="dxa"/>
            <w:tcBorders>
              <w:top w:val="nil"/>
              <w:left w:val="nil"/>
              <w:bottom w:val="nil"/>
              <w:right w:val="nil"/>
            </w:tcBorders>
            <w:shd w:val="clear" w:color="auto" w:fill="auto"/>
            <w:noWrap/>
            <w:vAlign w:val="bottom"/>
            <w:hideMark/>
          </w:tcPr>
          <w:p w14:paraId="39C0E7E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0.032</w:t>
            </w:r>
          </w:p>
        </w:tc>
        <w:tc>
          <w:tcPr>
            <w:tcW w:w="1142" w:type="dxa"/>
            <w:tcBorders>
              <w:top w:val="nil"/>
              <w:left w:val="nil"/>
              <w:bottom w:val="nil"/>
              <w:right w:val="nil"/>
            </w:tcBorders>
            <w:shd w:val="clear" w:color="auto" w:fill="auto"/>
            <w:noWrap/>
            <w:vAlign w:val="bottom"/>
            <w:hideMark/>
          </w:tcPr>
          <w:p w14:paraId="388D136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-0.03;0.09</w:t>
            </w:r>
          </w:p>
        </w:tc>
        <w:tc>
          <w:tcPr>
            <w:tcW w:w="648" w:type="dxa"/>
            <w:tcBorders>
              <w:top w:val="nil"/>
              <w:left w:val="nil"/>
              <w:bottom w:val="nil"/>
              <w:right w:val="nil"/>
            </w:tcBorders>
            <w:shd w:val="clear" w:color="auto" w:fill="auto"/>
            <w:noWrap/>
            <w:vAlign w:val="bottom"/>
            <w:hideMark/>
          </w:tcPr>
          <w:p w14:paraId="172E671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0.297</w:t>
            </w:r>
          </w:p>
        </w:tc>
        <w:tc>
          <w:tcPr>
            <w:tcW w:w="97" w:type="dxa"/>
            <w:tcBorders>
              <w:top w:val="nil"/>
              <w:left w:val="nil"/>
              <w:bottom w:val="nil"/>
              <w:right w:val="nil"/>
            </w:tcBorders>
            <w:shd w:val="clear" w:color="auto" w:fill="auto"/>
            <w:noWrap/>
            <w:vAlign w:val="bottom"/>
            <w:hideMark/>
          </w:tcPr>
          <w:p w14:paraId="6A3646F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3F4DF2A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0.026</w:t>
            </w:r>
          </w:p>
        </w:tc>
        <w:tc>
          <w:tcPr>
            <w:tcW w:w="1142" w:type="dxa"/>
            <w:tcBorders>
              <w:top w:val="nil"/>
              <w:left w:val="nil"/>
              <w:bottom w:val="nil"/>
              <w:right w:val="nil"/>
            </w:tcBorders>
            <w:shd w:val="clear" w:color="auto" w:fill="auto"/>
            <w:noWrap/>
            <w:vAlign w:val="bottom"/>
            <w:hideMark/>
          </w:tcPr>
          <w:p w14:paraId="2C63115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-0.04;0.09</w:t>
            </w:r>
          </w:p>
        </w:tc>
        <w:tc>
          <w:tcPr>
            <w:tcW w:w="648" w:type="dxa"/>
            <w:tcBorders>
              <w:top w:val="nil"/>
              <w:left w:val="nil"/>
              <w:bottom w:val="nil"/>
              <w:right w:val="nil"/>
            </w:tcBorders>
            <w:shd w:val="clear" w:color="auto" w:fill="auto"/>
            <w:noWrap/>
            <w:vAlign w:val="bottom"/>
            <w:hideMark/>
          </w:tcPr>
          <w:p w14:paraId="6F9C14A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0.411</w:t>
            </w:r>
          </w:p>
        </w:tc>
      </w:tr>
      <w:tr w:rsidR="0055435C" w:rsidRPr="0055435C" w14:paraId="45E8B020" w14:textId="77777777" w:rsidTr="00677BF5">
        <w:trPr>
          <w:trHeight w:val="301"/>
        </w:trPr>
        <w:tc>
          <w:tcPr>
            <w:tcW w:w="1684" w:type="dxa"/>
            <w:tcBorders>
              <w:top w:val="nil"/>
              <w:left w:val="nil"/>
              <w:bottom w:val="nil"/>
              <w:right w:val="nil"/>
            </w:tcBorders>
            <w:shd w:val="clear" w:color="auto" w:fill="auto"/>
            <w:noWrap/>
            <w:vAlign w:val="bottom"/>
            <w:hideMark/>
          </w:tcPr>
          <w:p w14:paraId="102ACFE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5576B446"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0" w:type="dxa"/>
            <w:tcBorders>
              <w:top w:val="nil"/>
              <w:left w:val="nil"/>
              <w:bottom w:val="nil"/>
              <w:right w:val="nil"/>
            </w:tcBorders>
            <w:shd w:val="clear" w:color="auto" w:fill="auto"/>
            <w:noWrap/>
            <w:vAlign w:val="bottom"/>
            <w:hideMark/>
          </w:tcPr>
          <w:p w14:paraId="45EEB5B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142" w:type="dxa"/>
            <w:tcBorders>
              <w:top w:val="nil"/>
              <w:left w:val="nil"/>
              <w:bottom w:val="nil"/>
              <w:right w:val="nil"/>
            </w:tcBorders>
            <w:shd w:val="clear" w:color="auto" w:fill="auto"/>
            <w:noWrap/>
            <w:vAlign w:val="bottom"/>
            <w:hideMark/>
          </w:tcPr>
          <w:p w14:paraId="71BE614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-0.06;0.06</w:t>
            </w:r>
          </w:p>
        </w:tc>
        <w:tc>
          <w:tcPr>
            <w:tcW w:w="648" w:type="dxa"/>
            <w:tcBorders>
              <w:top w:val="nil"/>
              <w:left w:val="nil"/>
              <w:bottom w:val="nil"/>
              <w:right w:val="nil"/>
            </w:tcBorders>
            <w:shd w:val="clear" w:color="auto" w:fill="auto"/>
            <w:noWrap/>
            <w:vAlign w:val="bottom"/>
            <w:hideMark/>
          </w:tcPr>
          <w:p w14:paraId="2FA7EB2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0.972</w:t>
            </w:r>
          </w:p>
        </w:tc>
        <w:tc>
          <w:tcPr>
            <w:tcW w:w="97" w:type="dxa"/>
            <w:tcBorders>
              <w:top w:val="nil"/>
              <w:left w:val="nil"/>
              <w:bottom w:val="nil"/>
              <w:right w:val="nil"/>
            </w:tcBorders>
            <w:shd w:val="clear" w:color="auto" w:fill="auto"/>
            <w:noWrap/>
            <w:vAlign w:val="bottom"/>
            <w:hideMark/>
          </w:tcPr>
          <w:p w14:paraId="57F49D0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5E38939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142" w:type="dxa"/>
            <w:tcBorders>
              <w:top w:val="nil"/>
              <w:left w:val="nil"/>
              <w:bottom w:val="nil"/>
              <w:right w:val="nil"/>
            </w:tcBorders>
            <w:shd w:val="clear" w:color="auto" w:fill="auto"/>
            <w:noWrap/>
            <w:vAlign w:val="bottom"/>
            <w:hideMark/>
          </w:tcPr>
          <w:p w14:paraId="3B8312B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-0.06;0.06</w:t>
            </w:r>
          </w:p>
        </w:tc>
        <w:tc>
          <w:tcPr>
            <w:tcW w:w="648" w:type="dxa"/>
            <w:tcBorders>
              <w:top w:val="nil"/>
              <w:left w:val="nil"/>
              <w:bottom w:val="nil"/>
              <w:right w:val="nil"/>
            </w:tcBorders>
            <w:shd w:val="clear" w:color="auto" w:fill="auto"/>
            <w:noWrap/>
            <w:vAlign w:val="bottom"/>
            <w:hideMark/>
          </w:tcPr>
          <w:p w14:paraId="2E7126C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0.983</w:t>
            </w:r>
          </w:p>
        </w:tc>
      </w:tr>
      <w:tr w:rsidR="0055435C" w:rsidRPr="0055435C" w14:paraId="25C3503A" w14:textId="77777777" w:rsidTr="00677BF5">
        <w:trPr>
          <w:trHeight w:val="301"/>
        </w:trPr>
        <w:tc>
          <w:tcPr>
            <w:tcW w:w="1684" w:type="dxa"/>
            <w:tcBorders>
              <w:top w:val="nil"/>
              <w:left w:val="nil"/>
              <w:bottom w:val="nil"/>
              <w:right w:val="nil"/>
            </w:tcBorders>
            <w:shd w:val="clear" w:color="auto" w:fill="auto"/>
            <w:noWrap/>
            <w:vAlign w:val="bottom"/>
            <w:hideMark/>
          </w:tcPr>
          <w:p w14:paraId="0AB998B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0D23625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0" w:type="dxa"/>
            <w:tcBorders>
              <w:top w:val="nil"/>
              <w:left w:val="nil"/>
              <w:bottom w:val="nil"/>
              <w:right w:val="nil"/>
            </w:tcBorders>
            <w:shd w:val="clear" w:color="auto" w:fill="auto"/>
            <w:noWrap/>
            <w:vAlign w:val="bottom"/>
            <w:hideMark/>
          </w:tcPr>
          <w:p w14:paraId="21808B9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5B7897A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3C5E62B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97" w:type="dxa"/>
            <w:tcBorders>
              <w:top w:val="nil"/>
              <w:left w:val="nil"/>
              <w:bottom w:val="nil"/>
              <w:right w:val="nil"/>
            </w:tcBorders>
            <w:shd w:val="clear" w:color="auto" w:fill="auto"/>
            <w:noWrap/>
            <w:vAlign w:val="bottom"/>
            <w:hideMark/>
          </w:tcPr>
          <w:p w14:paraId="0BFDF52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28B2978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0.060</w:t>
            </w:r>
          </w:p>
        </w:tc>
        <w:tc>
          <w:tcPr>
            <w:tcW w:w="1142" w:type="dxa"/>
            <w:tcBorders>
              <w:top w:val="nil"/>
              <w:left w:val="nil"/>
              <w:bottom w:val="nil"/>
              <w:right w:val="nil"/>
            </w:tcBorders>
            <w:shd w:val="clear" w:color="auto" w:fill="auto"/>
            <w:noWrap/>
            <w:vAlign w:val="bottom"/>
            <w:hideMark/>
          </w:tcPr>
          <w:p w14:paraId="666B34DC"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0.00;0.12</w:t>
            </w:r>
          </w:p>
        </w:tc>
        <w:tc>
          <w:tcPr>
            <w:tcW w:w="648" w:type="dxa"/>
            <w:tcBorders>
              <w:top w:val="nil"/>
              <w:left w:val="nil"/>
              <w:bottom w:val="nil"/>
              <w:right w:val="nil"/>
            </w:tcBorders>
            <w:shd w:val="clear" w:color="auto" w:fill="auto"/>
            <w:noWrap/>
            <w:vAlign w:val="bottom"/>
            <w:hideMark/>
          </w:tcPr>
          <w:p w14:paraId="39D7C592"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0.067</w:t>
            </w:r>
          </w:p>
        </w:tc>
      </w:tr>
      <w:tr w:rsidR="0055435C" w:rsidRPr="0055435C" w14:paraId="49646A62" w14:textId="77777777" w:rsidTr="00677BF5">
        <w:trPr>
          <w:trHeight w:val="301"/>
        </w:trPr>
        <w:tc>
          <w:tcPr>
            <w:tcW w:w="1684" w:type="dxa"/>
            <w:tcBorders>
              <w:top w:val="nil"/>
              <w:left w:val="nil"/>
              <w:bottom w:val="nil"/>
              <w:right w:val="nil"/>
            </w:tcBorders>
            <w:shd w:val="clear" w:color="auto" w:fill="auto"/>
            <w:noWrap/>
            <w:vAlign w:val="bottom"/>
            <w:hideMark/>
          </w:tcPr>
          <w:p w14:paraId="50E980E9" w14:textId="77777777" w:rsidR="0055435C" w:rsidRPr="0055435C" w:rsidRDefault="0055435C" w:rsidP="00677BF5">
            <w:pPr>
              <w:spacing w:after="0" w:line="240" w:lineRule="auto"/>
              <w:rPr>
                <w:rFonts w:ascii="Calibri" w:eastAsia="Times New Roman" w:hAnsi="Calibri" w:cs="Times New Roman"/>
                <w:color w:val="000000"/>
                <w:lang w:val="en-US" w:eastAsia="sv-FI"/>
              </w:rPr>
            </w:pPr>
          </w:p>
        </w:tc>
        <w:tc>
          <w:tcPr>
            <w:tcW w:w="1439" w:type="dxa"/>
            <w:tcBorders>
              <w:top w:val="nil"/>
              <w:left w:val="nil"/>
              <w:bottom w:val="nil"/>
              <w:right w:val="nil"/>
            </w:tcBorders>
            <w:shd w:val="clear" w:color="auto" w:fill="auto"/>
            <w:noWrap/>
            <w:vAlign w:val="bottom"/>
            <w:hideMark/>
          </w:tcPr>
          <w:p w14:paraId="29033B32" w14:textId="77777777" w:rsidR="0055435C" w:rsidRPr="0055435C" w:rsidRDefault="0055435C" w:rsidP="00677BF5">
            <w:pPr>
              <w:spacing w:after="0" w:line="240" w:lineRule="auto"/>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7C02AAC0"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1142" w:type="dxa"/>
            <w:tcBorders>
              <w:top w:val="nil"/>
              <w:left w:val="nil"/>
              <w:bottom w:val="nil"/>
              <w:right w:val="nil"/>
            </w:tcBorders>
            <w:shd w:val="clear" w:color="auto" w:fill="auto"/>
            <w:noWrap/>
            <w:vAlign w:val="bottom"/>
            <w:hideMark/>
          </w:tcPr>
          <w:p w14:paraId="0D5D93CB"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648" w:type="dxa"/>
            <w:tcBorders>
              <w:top w:val="nil"/>
              <w:left w:val="nil"/>
              <w:bottom w:val="nil"/>
              <w:right w:val="nil"/>
            </w:tcBorders>
            <w:shd w:val="clear" w:color="auto" w:fill="auto"/>
            <w:noWrap/>
            <w:vAlign w:val="bottom"/>
            <w:hideMark/>
          </w:tcPr>
          <w:p w14:paraId="59FB98F4"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97" w:type="dxa"/>
            <w:tcBorders>
              <w:top w:val="nil"/>
              <w:left w:val="nil"/>
              <w:bottom w:val="nil"/>
              <w:right w:val="nil"/>
            </w:tcBorders>
            <w:shd w:val="clear" w:color="auto" w:fill="auto"/>
            <w:noWrap/>
            <w:vAlign w:val="bottom"/>
            <w:hideMark/>
          </w:tcPr>
          <w:p w14:paraId="2427AA0D"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20B36D4C"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1142" w:type="dxa"/>
            <w:tcBorders>
              <w:top w:val="nil"/>
              <w:left w:val="nil"/>
              <w:bottom w:val="nil"/>
              <w:right w:val="nil"/>
            </w:tcBorders>
            <w:shd w:val="clear" w:color="auto" w:fill="auto"/>
            <w:noWrap/>
            <w:vAlign w:val="bottom"/>
            <w:hideMark/>
          </w:tcPr>
          <w:p w14:paraId="1E74B568"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648" w:type="dxa"/>
            <w:tcBorders>
              <w:top w:val="nil"/>
              <w:left w:val="nil"/>
              <w:bottom w:val="nil"/>
              <w:right w:val="nil"/>
            </w:tcBorders>
            <w:shd w:val="clear" w:color="auto" w:fill="auto"/>
            <w:noWrap/>
            <w:vAlign w:val="bottom"/>
            <w:hideMark/>
          </w:tcPr>
          <w:p w14:paraId="7E60247A"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r>
      <w:tr w:rsidR="0055435C" w:rsidRPr="0055435C" w14:paraId="484BC1EF" w14:textId="77777777" w:rsidTr="00677BF5">
        <w:trPr>
          <w:trHeight w:val="301"/>
        </w:trPr>
        <w:tc>
          <w:tcPr>
            <w:tcW w:w="1684" w:type="dxa"/>
            <w:tcBorders>
              <w:top w:val="nil"/>
              <w:left w:val="nil"/>
              <w:bottom w:val="nil"/>
              <w:right w:val="nil"/>
            </w:tcBorders>
            <w:shd w:val="clear" w:color="auto" w:fill="auto"/>
            <w:noWrap/>
            <w:vAlign w:val="bottom"/>
            <w:hideMark/>
          </w:tcPr>
          <w:p w14:paraId="2C521A6E"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BMC, g</w:t>
            </w:r>
          </w:p>
        </w:tc>
        <w:tc>
          <w:tcPr>
            <w:tcW w:w="1439" w:type="dxa"/>
            <w:tcBorders>
              <w:top w:val="nil"/>
              <w:left w:val="nil"/>
              <w:bottom w:val="nil"/>
              <w:right w:val="nil"/>
            </w:tcBorders>
            <w:shd w:val="clear" w:color="auto" w:fill="auto"/>
            <w:noWrap/>
            <w:vAlign w:val="bottom"/>
            <w:hideMark/>
          </w:tcPr>
          <w:p w14:paraId="64CCA5DB" w14:textId="77777777" w:rsidR="0055435C" w:rsidRPr="0055435C" w:rsidRDefault="0055435C" w:rsidP="00677BF5">
            <w:pPr>
              <w:spacing w:after="0" w:line="240" w:lineRule="auto"/>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1A03AFBB"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1142" w:type="dxa"/>
            <w:tcBorders>
              <w:top w:val="nil"/>
              <w:left w:val="nil"/>
              <w:bottom w:val="nil"/>
              <w:right w:val="nil"/>
            </w:tcBorders>
            <w:shd w:val="clear" w:color="auto" w:fill="auto"/>
            <w:noWrap/>
            <w:vAlign w:val="bottom"/>
            <w:hideMark/>
          </w:tcPr>
          <w:p w14:paraId="1A79655D"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648" w:type="dxa"/>
            <w:tcBorders>
              <w:top w:val="nil"/>
              <w:left w:val="nil"/>
              <w:bottom w:val="nil"/>
              <w:right w:val="nil"/>
            </w:tcBorders>
            <w:shd w:val="clear" w:color="auto" w:fill="auto"/>
            <w:noWrap/>
            <w:vAlign w:val="bottom"/>
            <w:hideMark/>
          </w:tcPr>
          <w:p w14:paraId="3E325EC0"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97" w:type="dxa"/>
            <w:tcBorders>
              <w:top w:val="nil"/>
              <w:left w:val="nil"/>
              <w:bottom w:val="nil"/>
              <w:right w:val="nil"/>
            </w:tcBorders>
            <w:shd w:val="clear" w:color="auto" w:fill="auto"/>
            <w:noWrap/>
            <w:vAlign w:val="bottom"/>
            <w:hideMark/>
          </w:tcPr>
          <w:p w14:paraId="2D69CDE8"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4F0D152C"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1142" w:type="dxa"/>
            <w:tcBorders>
              <w:top w:val="nil"/>
              <w:left w:val="nil"/>
              <w:bottom w:val="nil"/>
              <w:right w:val="nil"/>
            </w:tcBorders>
            <w:shd w:val="clear" w:color="auto" w:fill="auto"/>
            <w:noWrap/>
            <w:vAlign w:val="bottom"/>
            <w:hideMark/>
          </w:tcPr>
          <w:p w14:paraId="43F2154C"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648" w:type="dxa"/>
            <w:tcBorders>
              <w:top w:val="nil"/>
              <w:left w:val="nil"/>
              <w:bottom w:val="nil"/>
              <w:right w:val="nil"/>
            </w:tcBorders>
            <w:shd w:val="clear" w:color="auto" w:fill="auto"/>
            <w:noWrap/>
            <w:vAlign w:val="bottom"/>
            <w:hideMark/>
          </w:tcPr>
          <w:p w14:paraId="3927D60F"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r>
      <w:tr w:rsidR="0055435C" w:rsidRPr="0055435C" w14:paraId="5550BBDF" w14:textId="77777777" w:rsidTr="00677BF5">
        <w:trPr>
          <w:trHeight w:val="301"/>
        </w:trPr>
        <w:tc>
          <w:tcPr>
            <w:tcW w:w="1684" w:type="dxa"/>
            <w:tcBorders>
              <w:top w:val="nil"/>
              <w:left w:val="nil"/>
              <w:bottom w:val="nil"/>
              <w:right w:val="nil"/>
            </w:tcBorders>
            <w:shd w:val="clear" w:color="auto" w:fill="auto"/>
            <w:noWrap/>
            <w:vAlign w:val="bottom"/>
            <w:hideMark/>
          </w:tcPr>
          <w:p w14:paraId="1D5BC86A" w14:textId="77777777" w:rsidR="0055435C" w:rsidRPr="0055435C" w:rsidRDefault="0055435C" w:rsidP="00677BF5">
            <w:pPr>
              <w:spacing w:after="0" w:line="240" w:lineRule="auto"/>
              <w:rPr>
                <w:rFonts w:ascii="Calibri" w:eastAsia="Times New Roman" w:hAnsi="Calibri" w:cs="Times New Roman"/>
                <w:color w:val="000000"/>
                <w:lang w:val="en-US" w:eastAsia="sv-FI"/>
              </w:rPr>
            </w:pPr>
          </w:p>
        </w:tc>
        <w:tc>
          <w:tcPr>
            <w:tcW w:w="1439" w:type="dxa"/>
            <w:tcBorders>
              <w:top w:val="nil"/>
              <w:left w:val="nil"/>
              <w:bottom w:val="nil"/>
              <w:right w:val="nil"/>
            </w:tcBorders>
            <w:shd w:val="clear" w:color="auto" w:fill="auto"/>
            <w:noWrap/>
            <w:vAlign w:val="bottom"/>
            <w:hideMark/>
          </w:tcPr>
          <w:p w14:paraId="65245522"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Birth</w:t>
            </w:r>
          </w:p>
        </w:tc>
        <w:tc>
          <w:tcPr>
            <w:tcW w:w="730" w:type="dxa"/>
            <w:tcBorders>
              <w:top w:val="nil"/>
              <w:left w:val="nil"/>
              <w:bottom w:val="nil"/>
              <w:right w:val="nil"/>
            </w:tcBorders>
            <w:shd w:val="clear" w:color="auto" w:fill="auto"/>
            <w:noWrap/>
            <w:vAlign w:val="bottom"/>
            <w:hideMark/>
          </w:tcPr>
          <w:p w14:paraId="3DE2F642"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-0.011</w:t>
            </w:r>
          </w:p>
        </w:tc>
        <w:tc>
          <w:tcPr>
            <w:tcW w:w="1142" w:type="dxa"/>
            <w:tcBorders>
              <w:top w:val="nil"/>
              <w:left w:val="nil"/>
              <w:bottom w:val="nil"/>
              <w:right w:val="nil"/>
            </w:tcBorders>
            <w:shd w:val="clear" w:color="auto" w:fill="auto"/>
            <w:noWrap/>
            <w:vAlign w:val="bottom"/>
            <w:hideMark/>
          </w:tcPr>
          <w:p w14:paraId="470E13F3"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-0.14;0.12</w:t>
            </w:r>
          </w:p>
        </w:tc>
        <w:tc>
          <w:tcPr>
            <w:tcW w:w="648" w:type="dxa"/>
            <w:tcBorders>
              <w:top w:val="nil"/>
              <w:left w:val="nil"/>
              <w:bottom w:val="nil"/>
              <w:right w:val="nil"/>
            </w:tcBorders>
            <w:shd w:val="clear" w:color="auto" w:fill="auto"/>
            <w:noWrap/>
            <w:vAlign w:val="bottom"/>
            <w:hideMark/>
          </w:tcPr>
          <w:p w14:paraId="0220202E"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0.867</w:t>
            </w:r>
          </w:p>
        </w:tc>
        <w:tc>
          <w:tcPr>
            <w:tcW w:w="97" w:type="dxa"/>
            <w:tcBorders>
              <w:top w:val="nil"/>
              <w:left w:val="nil"/>
              <w:bottom w:val="nil"/>
              <w:right w:val="nil"/>
            </w:tcBorders>
            <w:shd w:val="clear" w:color="auto" w:fill="auto"/>
            <w:noWrap/>
            <w:vAlign w:val="bottom"/>
            <w:hideMark/>
          </w:tcPr>
          <w:p w14:paraId="257F4274"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1E252965"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-0.037</w:t>
            </w:r>
          </w:p>
        </w:tc>
        <w:tc>
          <w:tcPr>
            <w:tcW w:w="1142" w:type="dxa"/>
            <w:tcBorders>
              <w:top w:val="nil"/>
              <w:left w:val="nil"/>
              <w:bottom w:val="nil"/>
              <w:right w:val="nil"/>
            </w:tcBorders>
            <w:shd w:val="clear" w:color="auto" w:fill="auto"/>
            <w:noWrap/>
            <w:vAlign w:val="bottom"/>
            <w:hideMark/>
          </w:tcPr>
          <w:p w14:paraId="12B1DC97"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-0.16;0.09</w:t>
            </w:r>
          </w:p>
        </w:tc>
        <w:tc>
          <w:tcPr>
            <w:tcW w:w="648" w:type="dxa"/>
            <w:tcBorders>
              <w:top w:val="nil"/>
              <w:left w:val="nil"/>
              <w:bottom w:val="nil"/>
              <w:right w:val="nil"/>
            </w:tcBorders>
            <w:shd w:val="clear" w:color="auto" w:fill="auto"/>
            <w:noWrap/>
            <w:vAlign w:val="bottom"/>
            <w:hideMark/>
          </w:tcPr>
          <w:p w14:paraId="4C68389D"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0.552</w:t>
            </w:r>
          </w:p>
        </w:tc>
      </w:tr>
      <w:tr w:rsidR="0055435C" w:rsidRPr="0055435C" w14:paraId="4E408A45" w14:textId="77777777" w:rsidTr="00677BF5">
        <w:trPr>
          <w:trHeight w:val="301"/>
        </w:trPr>
        <w:tc>
          <w:tcPr>
            <w:tcW w:w="1684" w:type="dxa"/>
            <w:tcBorders>
              <w:top w:val="nil"/>
              <w:left w:val="nil"/>
              <w:bottom w:val="nil"/>
              <w:right w:val="nil"/>
            </w:tcBorders>
            <w:shd w:val="clear" w:color="auto" w:fill="auto"/>
            <w:noWrap/>
            <w:vAlign w:val="bottom"/>
            <w:hideMark/>
          </w:tcPr>
          <w:p w14:paraId="154435E0" w14:textId="77777777" w:rsidR="0055435C" w:rsidRPr="0055435C" w:rsidRDefault="0055435C" w:rsidP="00677BF5">
            <w:pPr>
              <w:spacing w:after="0" w:line="240" w:lineRule="auto"/>
              <w:rPr>
                <w:rFonts w:ascii="Calibri" w:eastAsia="Times New Roman" w:hAnsi="Calibri" w:cs="Times New Roman"/>
                <w:color w:val="000000"/>
                <w:lang w:val="en-US" w:eastAsia="sv-FI"/>
              </w:rPr>
            </w:pPr>
          </w:p>
        </w:tc>
        <w:tc>
          <w:tcPr>
            <w:tcW w:w="1439" w:type="dxa"/>
            <w:tcBorders>
              <w:top w:val="nil"/>
              <w:left w:val="nil"/>
              <w:bottom w:val="nil"/>
              <w:right w:val="nil"/>
            </w:tcBorders>
            <w:shd w:val="clear" w:color="auto" w:fill="auto"/>
            <w:noWrap/>
            <w:vAlign w:val="bottom"/>
            <w:hideMark/>
          </w:tcPr>
          <w:p w14:paraId="74D3A05F"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 to 2 years</w:t>
            </w:r>
          </w:p>
        </w:tc>
        <w:tc>
          <w:tcPr>
            <w:tcW w:w="730" w:type="dxa"/>
            <w:tcBorders>
              <w:top w:val="nil"/>
              <w:left w:val="nil"/>
              <w:bottom w:val="nil"/>
              <w:right w:val="nil"/>
            </w:tcBorders>
            <w:shd w:val="clear" w:color="auto" w:fill="auto"/>
            <w:noWrap/>
            <w:vAlign w:val="bottom"/>
            <w:hideMark/>
          </w:tcPr>
          <w:p w14:paraId="75BC6015"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0.091</w:t>
            </w:r>
          </w:p>
        </w:tc>
        <w:tc>
          <w:tcPr>
            <w:tcW w:w="1142" w:type="dxa"/>
            <w:tcBorders>
              <w:top w:val="nil"/>
              <w:left w:val="nil"/>
              <w:bottom w:val="nil"/>
              <w:right w:val="nil"/>
            </w:tcBorders>
            <w:shd w:val="clear" w:color="auto" w:fill="auto"/>
            <w:noWrap/>
            <w:vAlign w:val="bottom"/>
            <w:hideMark/>
          </w:tcPr>
          <w:p w14:paraId="56BF0455"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-0.04;0.22</w:t>
            </w:r>
          </w:p>
        </w:tc>
        <w:tc>
          <w:tcPr>
            <w:tcW w:w="648" w:type="dxa"/>
            <w:tcBorders>
              <w:top w:val="nil"/>
              <w:left w:val="nil"/>
              <w:bottom w:val="nil"/>
              <w:right w:val="nil"/>
            </w:tcBorders>
            <w:shd w:val="clear" w:color="auto" w:fill="auto"/>
            <w:noWrap/>
            <w:vAlign w:val="bottom"/>
            <w:hideMark/>
          </w:tcPr>
          <w:p w14:paraId="791610B6"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0.156</w:t>
            </w:r>
          </w:p>
        </w:tc>
        <w:tc>
          <w:tcPr>
            <w:tcW w:w="97" w:type="dxa"/>
            <w:tcBorders>
              <w:top w:val="nil"/>
              <w:left w:val="nil"/>
              <w:bottom w:val="nil"/>
              <w:right w:val="nil"/>
            </w:tcBorders>
            <w:shd w:val="clear" w:color="auto" w:fill="auto"/>
            <w:noWrap/>
            <w:vAlign w:val="bottom"/>
            <w:hideMark/>
          </w:tcPr>
          <w:p w14:paraId="5E8BFC2B" w14:textId="77777777" w:rsidR="0055435C" w:rsidRPr="0055435C" w:rsidRDefault="0055435C" w:rsidP="00677BF5">
            <w:pPr>
              <w:spacing w:after="0" w:line="240" w:lineRule="auto"/>
              <w:jc w:val="center"/>
              <w:rPr>
                <w:rFonts w:ascii="Calibri" w:eastAsia="Times New Roman" w:hAnsi="Calibri" w:cs="Times New Roman"/>
                <w:color w:val="000000"/>
                <w:lang w:val="en-US" w:eastAsia="sv-FI"/>
              </w:rPr>
            </w:pPr>
          </w:p>
        </w:tc>
        <w:tc>
          <w:tcPr>
            <w:tcW w:w="730" w:type="dxa"/>
            <w:tcBorders>
              <w:top w:val="nil"/>
              <w:left w:val="nil"/>
              <w:bottom w:val="nil"/>
              <w:right w:val="nil"/>
            </w:tcBorders>
            <w:shd w:val="clear" w:color="auto" w:fill="auto"/>
            <w:noWrap/>
            <w:vAlign w:val="bottom"/>
            <w:hideMark/>
          </w:tcPr>
          <w:p w14:paraId="3B55E6B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0.044</w:t>
            </w:r>
          </w:p>
        </w:tc>
        <w:tc>
          <w:tcPr>
            <w:tcW w:w="1142" w:type="dxa"/>
            <w:tcBorders>
              <w:top w:val="nil"/>
              <w:left w:val="nil"/>
              <w:bottom w:val="nil"/>
              <w:right w:val="nil"/>
            </w:tcBorders>
            <w:shd w:val="clear" w:color="auto" w:fill="auto"/>
            <w:noWrap/>
            <w:vAlign w:val="bottom"/>
            <w:hideMark/>
          </w:tcPr>
          <w:p w14:paraId="6982012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-0.08;0.16</w:t>
            </w:r>
          </w:p>
        </w:tc>
        <w:tc>
          <w:tcPr>
            <w:tcW w:w="648" w:type="dxa"/>
            <w:tcBorders>
              <w:top w:val="nil"/>
              <w:left w:val="nil"/>
              <w:bottom w:val="nil"/>
              <w:right w:val="nil"/>
            </w:tcBorders>
            <w:shd w:val="clear" w:color="auto" w:fill="auto"/>
            <w:noWrap/>
            <w:vAlign w:val="bottom"/>
            <w:hideMark/>
          </w:tcPr>
          <w:p w14:paraId="3B73383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0.473</w:t>
            </w:r>
          </w:p>
        </w:tc>
      </w:tr>
      <w:tr w:rsidR="0055435C" w:rsidRPr="0055435C" w14:paraId="2AC7F94B" w14:textId="77777777" w:rsidTr="00677BF5">
        <w:trPr>
          <w:trHeight w:val="301"/>
        </w:trPr>
        <w:tc>
          <w:tcPr>
            <w:tcW w:w="1684" w:type="dxa"/>
            <w:tcBorders>
              <w:top w:val="nil"/>
              <w:left w:val="nil"/>
              <w:bottom w:val="nil"/>
              <w:right w:val="nil"/>
            </w:tcBorders>
            <w:shd w:val="clear" w:color="auto" w:fill="auto"/>
            <w:noWrap/>
            <w:vAlign w:val="bottom"/>
            <w:hideMark/>
          </w:tcPr>
          <w:p w14:paraId="1D054F50"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6FC0662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0" w:type="dxa"/>
            <w:tcBorders>
              <w:top w:val="nil"/>
              <w:left w:val="nil"/>
              <w:bottom w:val="nil"/>
              <w:right w:val="nil"/>
            </w:tcBorders>
            <w:shd w:val="clear" w:color="auto" w:fill="auto"/>
            <w:noWrap/>
            <w:vAlign w:val="bottom"/>
            <w:hideMark/>
          </w:tcPr>
          <w:p w14:paraId="431C124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0.067</w:t>
            </w:r>
          </w:p>
        </w:tc>
        <w:tc>
          <w:tcPr>
            <w:tcW w:w="1142" w:type="dxa"/>
            <w:tcBorders>
              <w:top w:val="nil"/>
              <w:left w:val="nil"/>
              <w:bottom w:val="nil"/>
              <w:right w:val="nil"/>
            </w:tcBorders>
            <w:shd w:val="clear" w:color="auto" w:fill="auto"/>
            <w:noWrap/>
            <w:vAlign w:val="bottom"/>
            <w:hideMark/>
          </w:tcPr>
          <w:p w14:paraId="26F6107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-0.06;0.20</w:t>
            </w:r>
          </w:p>
        </w:tc>
        <w:tc>
          <w:tcPr>
            <w:tcW w:w="648" w:type="dxa"/>
            <w:tcBorders>
              <w:top w:val="nil"/>
              <w:left w:val="nil"/>
              <w:bottom w:val="nil"/>
              <w:right w:val="nil"/>
            </w:tcBorders>
            <w:shd w:val="clear" w:color="auto" w:fill="auto"/>
            <w:noWrap/>
            <w:vAlign w:val="bottom"/>
            <w:hideMark/>
          </w:tcPr>
          <w:p w14:paraId="48E2D44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0.298</w:t>
            </w:r>
          </w:p>
        </w:tc>
        <w:tc>
          <w:tcPr>
            <w:tcW w:w="97" w:type="dxa"/>
            <w:tcBorders>
              <w:top w:val="nil"/>
              <w:left w:val="nil"/>
              <w:bottom w:val="nil"/>
              <w:right w:val="nil"/>
            </w:tcBorders>
            <w:shd w:val="clear" w:color="auto" w:fill="auto"/>
            <w:noWrap/>
            <w:vAlign w:val="bottom"/>
            <w:hideMark/>
          </w:tcPr>
          <w:p w14:paraId="40F5F42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36A4E9B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0.035</w:t>
            </w:r>
          </w:p>
        </w:tc>
        <w:tc>
          <w:tcPr>
            <w:tcW w:w="1142" w:type="dxa"/>
            <w:tcBorders>
              <w:top w:val="nil"/>
              <w:left w:val="nil"/>
              <w:bottom w:val="nil"/>
              <w:right w:val="nil"/>
            </w:tcBorders>
            <w:shd w:val="clear" w:color="auto" w:fill="auto"/>
            <w:noWrap/>
            <w:vAlign w:val="bottom"/>
            <w:hideMark/>
          </w:tcPr>
          <w:p w14:paraId="6FA5FD7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-0.09;0.16</w:t>
            </w:r>
          </w:p>
        </w:tc>
        <w:tc>
          <w:tcPr>
            <w:tcW w:w="648" w:type="dxa"/>
            <w:tcBorders>
              <w:top w:val="nil"/>
              <w:left w:val="nil"/>
              <w:bottom w:val="nil"/>
              <w:right w:val="nil"/>
            </w:tcBorders>
            <w:shd w:val="clear" w:color="auto" w:fill="auto"/>
            <w:noWrap/>
            <w:vAlign w:val="bottom"/>
            <w:hideMark/>
          </w:tcPr>
          <w:p w14:paraId="4DFAD4F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0.565</w:t>
            </w:r>
          </w:p>
        </w:tc>
      </w:tr>
      <w:tr w:rsidR="0055435C" w:rsidRPr="0055435C" w14:paraId="7A71E533" w14:textId="77777777" w:rsidTr="00677BF5">
        <w:trPr>
          <w:trHeight w:val="301"/>
        </w:trPr>
        <w:tc>
          <w:tcPr>
            <w:tcW w:w="1684" w:type="dxa"/>
            <w:tcBorders>
              <w:top w:val="nil"/>
              <w:left w:val="nil"/>
              <w:bottom w:val="nil"/>
              <w:right w:val="nil"/>
            </w:tcBorders>
            <w:shd w:val="clear" w:color="auto" w:fill="auto"/>
            <w:noWrap/>
            <w:vAlign w:val="bottom"/>
            <w:hideMark/>
          </w:tcPr>
          <w:p w14:paraId="54B3809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055A2D7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0" w:type="dxa"/>
            <w:tcBorders>
              <w:top w:val="nil"/>
              <w:left w:val="nil"/>
              <w:bottom w:val="nil"/>
              <w:right w:val="nil"/>
            </w:tcBorders>
            <w:shd w:val="clear" w:color="auto" w:fill="auto"/>
            <w:noWrap/>
            <w:vAlign w:val="bottom"/>
            <w:hideMark/>
          </w:tcPr>
          <w:p w14:paraId="6F8E7EE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142" w:type="dxa"/>
            <w:tcBorders>
              <w:top w:val="nil"/>
              <w:left w:val="nil"/>
              <w:bottom w:val="nil"/>
              <w:right w:val="nil"/>
            </w:tcBorders>
            <w:shd w:val="clear" w:color="auto" w:fill="auto"/>
            <w:noWrap/>
            <w:vAlign w:val="bottom"/>
            <w:hideMark/>
          </w:tcPr>
          <w:p w14:paraId="48A6390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-0.13;0.13</w:t>
            </w:r>
          </w:p>
        </w:tc>
        <w:tc>
          <w:tcPr>
            <w:tcW w:w="648" w:type="dxa"/>
            <w:tcBorders>
              <w:top w:val="nil"/>
              <w:left w:val="nil"/>
              <w:bottom w:val="nil"/>
              <w:right w:val="nil"/>
            </w:tcBorders>
            <w:shd w:val="clear" w:color="auto" w:fill="auto"/>
            <w:noWrap/>
            <w:vAlign w:val="bottom"/>
            <w:hideMark/>
          </w:tcPr>
          <w:p w14:paraId="2BE5CF4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0.994</w:t>
            </w:r>
          </w:p>
        </w:tc>
        <w:tc>
          <w:tcPr>
            <w:tcW w:w="97" w:type="dxa"/>
            <w:tcBorders>
              <w:top w:val="nil"/>
              <w:left w:val="nil"/>
              <w:bottom w:val="nil"/>
              <w:right w:val="nil"/>
            </w:tcBorders>
            <w:shd w:val="clear" w:color="auto" w:fill="auto"/>
            <w:noWrap/>
            <w:vAlign w:val="bottom"/>
            <w:hideMark/>
          </w:tcPr>
          <w:p w14:paraId="2A4DB08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017B28A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-0.008</w:t>
            </w:r>
          </w:p>
        </w:tc>
        <w:tc>
          <w:tcPr>
            <w:tcW w:w="1142" w:type="dxa"/>
            <w:tcBorders>
              <w:top w:val="nil"/>
              <w:left w:val="nil"/>
              <w:bottom w:val="nil"/>
              <w:right w:val="nil"/>
            </w:tcBorders>
            <w:shd w:val="clear" w:color="auto" w:fill="auto"/>
            <w:noWrap/>
            <w:vAlign w:val="bottom"/>
            <w:hideMark/>
          </w:tcPr>
          <w:p w14:paraId="6CD36C2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-0.13;0.11</w:t>
            </w:r>
          </w:p>
        </w:tc>
        <w:tc>
          <w:tcPr>
            <w:tcW w:w="648" w:type="dxa"/>
            <w:tcBorders>
              <w:top w:val="nil"/>
              <w:left w:val="nil"/>
              <w:bottom w:val="nil"/>
              <w:right w:val="nil"/>
            </w:tcBorders>
            <w:shd w:val="clear" w:color="auto" w:fill="auto"/>
            <w:noWrap/>
            <w:vAlign w:val="bottom"/>
            <w:hideMark/>
          </w:tcPr>
          <w:p w14:paraId="05E9EE9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0.901</w:t>
            </w:r>
          </w:p>
        </w:tc>
      </w:tr>
      <w:tr w:rsidR="0055435C" w:rsidRPr="0055435C" w14:paraId="78F72E94" w14:textId="77777777" w:rsidTr="00677BF5">
        <w:trPr>
          <w:trHeight w:val="301"/>
        </w:trPr>
        <w:tc>
          <w:tcPr>
            <w:tcW w:w="1684" w:type="dxa"/>
            <w:tcBorders>
              <w:top w:val="nil"/>
              <w:left w:val="nil"/>
              <w:bottom w:val="nil"/>
              <w:right w:val="nil"/>
            </w:tcBorders>
            <w:shd w:val="clear" w:color="auto" w:fill="auto"/>
            <w:noWrap/>
            <w:vAlign w:val="bottom"/>
            <w:hideMark/>
          </w:tcPr>
          <w:p w14:paraId="7E72BC0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12A444F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0" w:type="dxa"/>
            <w:tcBorders>
              <w:top w:val="nil"/>
              <w:left w:val="nil"/>
              <w:bottom w:val="nil"/>
              <w:right w:val="nil"/>
            </w:tcBorders>
            <w:shd w:val="clear" w:color="auto" w:fill="auto"/>
            <w:noWrap/>
            <w:vAlign w:val="bottom"/>
            <w:hideMark/>
          </w:tcPr>
          <w:p w14:paraId="42F68B4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0749EA9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39B8E3B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97" w:type="dxa"/>
            <w:tcBorders>
              <w:top w:val="nil"/>
              <w:left w:val="nil"/>
              <w:bottom w:val="nil"/>
              <w:right w:val="nil"/>
            </w:tcBorders>
            <w:shd w:val="clear" w:color="auto" w:fill="auto"/>
            <w:noWrap/>
            <w:vAlign w:val="bottom"/>
            <w:hideMark/>
          </w:tcPr>
          <w:p w14:paraId="0503D26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7EAC39E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0.275</w:t>
            </w:r>
          </w:p>
        </w:tc>
        <w:tc>
          <w:tcPr>
            <w:tcW w:w="1142" w:type="dxa"/>
            <w:tcBorders>
              <w:top w:val="nil"/>
              <w:left w:val="nil"/>
              <w:bottom w:val="nil"/>
              <w:right w:val="nil"/>
            </w:tcBorders>
            <w:shd w:val="clear" w:color="auto" w:fill="auto"/>
            <w:noWrap/>
            <w:vAlign w:val="bottom"/>
            <w:hideMark/>
          </w:tcPr>
          <w:p w14:paraId="3035FD0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0.15;0.40</w:t>
            </w:r>
          </w:p>
        </w:tc>
        <w:tc>
          <w:tcPr>
            <w:tcW w:w="648" w:type="dxa"/>
            <w:tcBorders>
              <w:top w:val="nil"/>
              <w:left w:val="nil"/>
              <w:bottom w:val="nil"/>
              <w:right w:val="nil"/>
            </w:tcBorders>
            <w:shd w:val="clear" w:color="auto" w:fill="auto"/>
            <w:noWrap/>
            <w:vAlign w:val="bottom"/>
            <w:hideMark/>
          </w:tcPr>
          <w:p w14:paraId="2238D2A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&lt;0.001</w:t>
            </w:r>
          </w:p>
        </w:tc>
      </w:tr>
      <w:tr w:rsidR="0055435C" w:rsidRPr="0055435C" w14:paraId="77AE4D38" w14:textId="77777777" w:rsidTr="00677BF5">
        <w:trPr>
          <w:trHeight w:val="301"/>
        </w:trPr>
        <w:tc>
          <w:tcPr>
            <w:tcW w:w="1684" w:type="dxa"/>
            <w:tcBorders>
              <w:top w:val="nil"/>
              <w:left w:val="nil"/>
              <w:bottom w:val="nil"/>
              <w:right w:val="nil"/>
            </w:tcBorders>
            <w:shd w:val="clear" w:color="auto" w:fill="auto"/>
            <w:noWrap/>
            <w:vAlign w:val="bottom"/>
            <w:hideMark/>
          </w:tcPr>
          <w:p w14:paraId="3DC2EE0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7A31A18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5D0DEFD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7AB5D48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2CA63FD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97" w:type="dxa"/>
            <w:tcBorders>
              <w:top w:val="nil"/>
              <w:left w:val="nil"/>
              <w:bottom w:val="nil"/>
              <w:right w:val="nil"/>
            </w:tcBorders>
            <w:shd w:val="clear" w:color="auto" w:fill="auto"/>
            <w:noWrap/>
            <w:vAlign w:val="bottom"/>
            <w:hideMark/>
          </w:tcPr>
          <w:p w14:paraId="00EAFE9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523562C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651C806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1176051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57722A00" w14:textId="77777777" w:rsidTr="00677BF5">
        <w:trPr>
          <w:trHeight w:val="328"/>
        </w:trPr>
        <w:tc>
          <w:tcPr>
            <w:tcW w:w="1684" w:type="dxa"/>
            <w:tcBorders>
              <w:top w:val="nil"/>
              <w:left w:val="nil"/>
              <w:bottom w:val="nil"/>
              <w:right w:val="nil"/>
            </w:tcBorders>
            <w:shd w:val="clear" w:color="auto" w:fill="auto"/>
            <w:noWrap/>
            <w:vAlign w:val="bottom"/>
            <w:hideMark/>
          </w:tcPr>
          <w:p w14:paraId="74D565E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aBMD, g/cm</w:t>
            </w:r>
            <w:r w:rsidRPr="0055435C">
              <w:rPr>
                <w:rFonts w:ascii="Calibri" w:eastAsia="Times New Roman" w:hAnsi="Calibri" w:cs="Times New Roman"/>
                <w:color w:val="000000"/>
                <w:vertAlign w:val="superscript"/>
                <w:lang w:eastAsia="sv-FI"/>
              </w:rPr>
              <w:t>2</w:t>
            </w:r>
          </w:p>
        </w:tc>
        <w:tc>
          <w:tcPr>
            <w:tcW w:w="1439" w:type="dxa"/>
            <w:tcBorders>
              <w:top w:val="nil"/>
              <w:left w:val="nil"/>
              <w:bottom w:val="nil"/>
              <w:right w:val="nil"/>
            </w:tcBorders>
            <w:shd w:val="clear" w:color="auto" w:fill="auto"/>
            <w:noWrap/>
            <w:vAlign w:val="bottom"/>
            <w:hideMark/>
          </w:tcPr>
          <w:p w14:paraId="39B4871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5DB08F7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597DCFC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4A99F56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97" w:type="dxa"/>
            <w:tcBorders>
              <w:top w:val="nil"/>
              <w:left w:val="nil"/>
              <w:bottom w:val="nil"/>
              <w:right w:val="nil"/>
            </w:tcBorders>
            <w:shd w:val="clear" w:color="auto" w:fill="auto"/>
            <w:noWrap/>
            <w:vAlign w:val="bottom"/>
            <w:hideMark/>
          </w:tcPr>
          <w:p w14:paraId="0F68CCB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4282167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42" w:type="dxa"/>
            <w:tcBorders>
              <w:top w:val="nil"/>
              <w:left w:val="nil"/>
              <w:bottom w:val="nil"/>
              <w:right w:val="nil"/>
            </w:tcBorders>
            <w:shd w:val="clear" w:color="auto" w:fill="auto"/>
            <w:noWrap/>
            <w:vAlign w:val="bottom"/>
            <w:hideMark/>
          </w:tcPr>
          <w:p w14:paraId="13A5B85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648" w:type="dxa"/>
            <w:tcBorders>
              <w:top w:val="nil"/>
              <w:left w:val="nil"/>
              <w:bottom w:val="nil"/>
              <w:right w:val="nil"/>
            </w:tcBorders>
            <w:shd w:val="clear" w:color="auto" w:fill="auto"/>
            <w:noWrap/>
            <w:vAlign w:val="bottom"/>
            <w:hideMark/>
          </w:tcPr>
          <w:p w14:paraId="579DAFE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6673D5F7" w14:textId="77777777" w:rsidTr="00677BF5">
        <w:trPr>
          <w:trHeight w:val="301"/>
        </w:trPr>
        <w:tc>
          <w:tcPr>
            <w:tcW w:w="1684" w:type="dxa"/>
            <w:tcBorders>
              <w:top w:val="nil"/>
              <w:left w:val="nil"/>
              <w:bottom w:val="nil"/>
              <w:right w:val="nil"/>
            </w:tcBorders>
            <w:shd w:val="clear" w:color="auto" w:fill="auto"/>
            <w:noWrap/>
            <w:vAlign w:val="bottom"/>
            <w:hideMark/>
          </w:tcPr>
          <w:p w14:paraId="51C2303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21C0B59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730" w:type="dxa"/>
            <w:tcBorders>
              <w:top w:val="nil"/>
              <w:left w:val="nil"/>
              <w:bottom w:val="nil"/>
              <w:right w:val="nil"/>
            </w:tcBorders>
            <w:shd w:val="clear" w:color="auto" w:fill="auto"/>
            <w:noWrap/>
            <w:vAlign w:val="bottom"/>
            <w:hideMark/>
          </w:tcPr>
          <w:p w14:paraId="7903A5F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-0.011</w:t>
            </w:r>
          </w:p>
        </w:tc>
        <w:tc>
          <w:tcPr>
            <w:tcW w:w="1142" w:type="dxa"/>
            <w:tcBorders>
              <w:top w:val="nil"/>
              <w:left w:val="nil"/>
              <w:bottom w:val="nil"/>
              <w:right w:val="nil"/>
            </w:tcBorders>
            <w:shd w:val="clear" w:color="auto" w:fill="auto"/>
            <w:noWrap/>
            <w:vAlign w:val="bottom"/>
            <w:hideMark/>
          </w:tcPr>
          <w:p w14:paraId="1C01F5F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-0.03;0.01</w:t>
            </w:r>
          </w:p>
        </w:tc>
        <w:tc>
          <w:tcPr>
            <w:tcW w:w="648" w:type="dxa"/>
            <w:tcBorders>
              <w:top w:val="nil"/>
              <w:left w:val="nil"/>
              <w:bottom w:val="nil"/>
              <w:right w:val="nil"/>
            </w:tcBorders>
            <w:shd w:val="clear" w:color="auto" w:fill="auto"/>
            <w:noWrap/>
            <w:vAlign w:val="bottom"/>
            <w:hideMark/>
          </w:tcPr>
          <w:p w14:paraId="12455E9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0.329</w:t>
            </w:r>
          </w:p>
        </w:tc>
        <w:tc>
          <w:tcPr>
            <w:tcW w:w="97" w:type="dxa"/>
            <w:tcBorders>
              <w:top w:val="nil"/>
              <w:left w:val="nil"/>
              <w:bottom w:val="nil"/>
              <w:right w:val="nil"/>
            </w:tcBorders>
            <w:shd w:val="clear" w:color="auto" w:fill="auto"/>
            <w:noWrap/>
            <w:vAlign w:val="bottom"/>
            <w:hideMark/>
          </w:tcPr>
          <w:p w14:paraId="0A4AB59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6F259A4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-0.016</w:t>
            </w:r>
          </w:p>
        </w:tc>
        <w:tc>
          <w:tcPr>
            <w:tcW w:w="1142" w:type="dxa"/>
            <w:tcBorders>
              <w:top w:val="nil"/>
              <w:left w:val="nil"/>
              <w:bottom w:val="nil"/>
              <w:right w:val="nil"/>
            </w:tcBorders>
            <w:shd w:val="clear" w:color="auto" w:fill="auto"/>
            <w:noWrap/>
            <w:vAlign w:val="bottom"/>
            <w:hideMark/>
          </w:tcPr>
          <w:p w14:paraId="109B8A2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-0.04;0.01</w:t>
            </w:r>
          </w:p>
        </w:tc>
        <w:tc>
          <w:tcPr>
            <w:tcW w:w="648" w:type="dxa"/>
            <w:tcBorders>
              <w:top w:val="nil"/>
              <w:left w:val="nil"/>
              <w:bottom w:val="nil"/>
              <w:right w:val="nil"/>
            </w:tcBorders>
            <w:shd w:val="clear" w:color="auto" w:fill="auto"/>
            <w:noWrap/>
            <w:vAlign w:val="bottom"/>
            <w:hideMark/>
          </w:tcPr>
          <w:p w14:paraId="3A0ED7A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0.154</w:t>
            </w:r>
          </w:p>
        </w:tc>
      </w:tr>
      <w:tr w:rsidR="0055435C" w:rsidRPr="0055435C" w14:paraId="05A4A915" w14:textId="77777777" w:rsidTr="00677BF5">
        <w:trPr>
          <w:trHeight w:val="301"/>
        </w:trPr>
        <w:tc>
          <w:tcPr>
            <w:tcW w:w="1684" w:type="dxa"/>
            <w:tcBorders>
              <w:top w:val="nil"/>
              <w:left w:val="nil"/>
              <w:bottom w:val="nil"/>
              <w:right w:val="nil"/>
            </w:tcBorders>
            <w:shd w:val="clear" w:color="auto" w:fill="auto"/>
            <w:noWrap/>
            <w:vAlign w:val="bottom"/>
            <w:hideMark/>
          </w:tcPr>
          <w:p w14:paraId="04E45CB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47C4C4B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730" w:type="dxa"/>
            <w:tcBorders>
              <w:top w:val="nil"/>
              <w:left w:val="nil"/>
              <w:bottom w:val="nil"/>
              <w:right w:val="nil"/>
            </w:tcBorders>
            <w:shd w:val="clear" w:color="auto" w:fill="auto"/>
            <w:noWrap/>
            <w:vAlign w:val="bottom"/>
            <w:hideMark/>
          </w:tcPr>
          <w:p w14:paraId="62BBBF8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0.012</w:t>
            </w:r>
          </w:p>
        </w:tc>
        <w:tc>
          <w:tcPr>
            <w:tcW w:w="1142" w:type="dxa"/>
            <w:tcBorders>
              <w:top w:val="nil"/>
              <w:left w:val="nil"/>
              <w:bottom w:val="nil"/>
              <w:right w:val="nil"/>
            </w:tcBorders>
            <w:shd w:val="clear" w:color="auto" w:fill="auto"/>
            <w:noWrap/>
            <w:vAlign w:val="bottom"/>
            <w:hideMark/>
          </w:tcPr>
          <w:p w14:paraId="57B075F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-0.01;0.03</w:t>
            </w:r>
          </w:p>
        </w:tc>
        <w:tc>
          <w:tcPr>
            <w:tcW w:w="648" w:type="dxa"/>
            <w:tcBorders>
              <w:top w:val="nil"/>
              <w:left w:val="nil"/>
              <w:bottom w:val="nil"/>
              <w:right w:val="nil"/>
            </w:tcBorders>
            <w:shd w:val="clear" w:color="auto" w:fill="auto"/>
            <w:noWrap/>
            <w:vAlign w:val="bottom"/>
            <w:hideMark/>
          </w:tcPr>
          <w:p w14:paraId="27AA543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0.296</w:t>
            </w:r>
          </w:p>
        </w:tc>
        <w:tc>
          <w:tcPr>
            <w:tcW w:w="97" w:type="dxa"/>
            <w:tcBorders>
              <w:top w:val="nil"/>
              <w:left w:val="nil"/>
              <w:bottom w:val="nil"/>
              <w:right w:val="nil"/>
            </w:tcBorders>
            <w:shd w:val="clear" w:color="auto" w:fill="auto"/>
            <w:noWrap/>
            <w:vAlign w:val="bottom"/>
            <w:hideMark/>
          </w:tcPr>
          <w:p w14:paraId="4C6E2A8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3963829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0.004</w:t>
            </w:r>
          </w:p>
        </w:tc>
        <w:tc>
          <w:tcPr>
            <w:tcW w:w="1142" w:type="dxa"/>
            <w:tcBorders>
              <w:top w:val="nil"/>
              <w:left w:val="nil"/>
              <w:bottom w:val="nil"/>
              <w:right w:val="nil"/>
            </w:tcBorders>
            <w:shd w:val="clear" w:color="auto" w:fill="auto"/>
            <w:noWrap/>
            <w:vAlign w:val="bottom"/>
            <w:hideMark/>
          </w:tcPr>
          <w:p w14:paraId="3995E87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-0.02;0.03</w:t>
            </w:r>
          </w:p>
        </w:tc>
        <w:tc>
          <w:tcPr>
            <w:tcW w:w="648" w:type="dxa"/>
            <w:tcBorders>
              <w:top w:val="nil"/>
              <w:left w:val="nil"/>
              <w:bottom w:val="nil"/>
              <w:right w:val="nil"/>
            </w:tcBorders>
            <w:shd w:val="clear" w:color="auto" w:fill="auto"/>
            <w:noWrap/>
            <w:vAlign w:val="bottom"/>
            <w:hideMark/>
          </w:tcPr>
          <w:p w14:paraId="470428F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0.731</w:t>
            </w:r>
          </w:p>
        </w:tc>
      </w:tr>
      <w:tr w:rsidR="0055435C" w:rsidRPr="0055435C" w14:paraId="5DE2CC54" w14:textId="77777777" w:rsidTr="00677BF5">
        <w:trPr>
          <w:trHeight w:val="301"/>
        </w:trPr>
        <w:tc>
          <w:tcPr>
            <w:tcW w:w="1684" w:type="dxa"/>
            <w:tcBorders>
              <w:top w:val="nil"/>
              <w:left w:val="nil"/>
              <w:bottom w:val="nil"/>
              <w:right w:val="nil"/>
            </w:tcBorders>
            <w:shd w:val="clear" w:color="auto" w:fill="auto"/>
            <w:noWrap/>
            <w:vAlign w:val="bottom"/>
            <w:hideMark/>
          </w:tcPr>
          <w:p w14:paraId="18F74F3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62A5C5F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0" w:type="dxa"/>
            <w:tcBorders>
              <w:top w:val="nil"/>
              <w:left w:val="nil"/>
              <w:bottom w:val="nil"/>
              <w:right w:val="nil"/>
            </w:tcBorders>
            <w:shd w:val="clear" w:color="auto" w:fill="auto"/>
            <w:noWrap/>
            <w:vAlign w:val="bottom"/>
            <w:hideMark/>
          </w:tcPr>
          <w:p w14:paraId="0CA98E2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0.008</w:t>
            </w:r>
          </w:p>
        </w:tc>
        <w:tc>
          <w:tcPr>
            <w:tcW w:w="1142" w:type="dxa"/>
            <w:tcBorders>
              <w:top w:val="nil"/>
              <w:left w:val="nil"/>
              <w:bottom w:val="nil"/>
              <w:right w:val="nil"/>
            </w:tcBorders>
            <w:shd w:val="clear" w:color="auto" w:fill="auto"/>
            <w:noWrap/>
            <w:vAlign w:val="bottom"/>
            <w:hideMark/>
          </w:tcPr>
          <w:p w14:paraId="5FBEF85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-0.01;0.03</w:t>
            </w:r>
          </w:p>
        </w:tc>
        <w:tc>
          <w:tcPr>
            <w:tcW w:w="648" w:type="dxa"/>
            <w:tcBorders>
              <w:top w:val="nil"/>
              <w:left w:val="nil"/>
              <w:bottom w:val="nil"/>
              <w:right w:val="nil"/>
            </w:tcBorders>
            <w:shd w:val="clear" w:color="auto" w:fill="auto"/>
            <w:noWrap/>
            <w:vAlign w:val="bottom"/>
            <w:hideMark/>
          </w:tcPr>
          <w:p w14:paraId="3C4AAFD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0.470</w:t>
            </w:r>
          </w:p>
        </w:tc>
        <w:tc>
          <w:tcPr>
            <w:tcW w:w="97" w:type="dxa"/>
            <w:tcBorders>
              <w:top w:val="nil"/>
              <w:left w:val="nil"/>
              <w:bottom w:val="nil"/>
              <w:right w:val="nil"/>
            </w:tcBorders>
            <w:shd w:val="clear" w:color="auto" w:fill="auto"/>
            <w:noWrap/>
            <w:vAlign w:val="bottom"/>
            <w:hideMark/>
          </w:tcPr>
          <w:p w14:paraId="1849DEA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64F02C1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0.003</w:t>
            </w:r>
          </w:p>
        </w:tc>
        <w:tc>
          <w:tcPr>
            <w:tcW w:w="1142" w:type="dxa"/>
            <w:tcBorders>
              <w:top w:val="nil"/>
              <w:left w:val="nil"/>
              <w:bottom w:val="nil"/>
              <w:right w:val="nil"/>
            </w:tcBorders>
            <w:shd w:val="clear" w:color="auto" w:fill="auto"/>
            <w:noWrap/>
            <w:vAlign w:val="bottom"/>
            <w:hideMark/>
          </w:tcPr>
          <w:p w14:paraId="6CD89D1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-0.02;0.02</w:t>
            </w:r>
          </w:p>
        </w:tc>
        <w:tc>
          <w:tcPr>
            <w:tcW w:w="648" w:type="dxa"/>
            <w:tcBorders>
              <w:top w:val="nil"/>
              <w:left w:val="nil"/>
              <w:bottom w:val="nil"/>
              <w:right w:val="nil"/>
            </w:tcBorders>
            <w:shd w:val="clear" w:color="auto" w:fill="auto"/>
            <w:noWrap/>
            <w:vAlign w:val="bottom"/>
            <w:hideMark/>
          </w:tcPr>
          <w:p w14:paraId="4D0F454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0.800</w:t>
            </w:r>
          </w:p>
        </w:tc>
      </w:tr>
      <w:tr w:rsidR="0055435C" w:rsidRPr="0055435C" w14:paraId="392CBB53" w14:textId="77777777" w:rsidTr="00677BF5">
        <w:trPr>
          <w:trHeight w:val="301"/>
        </w:trPr>
        <w:tc>
          <w:tcPr>
            <w:tcW w:w="1684" w:type="dxa"/>
            <w:tcBorders>
              <w:top w:val="nil"/>
              <w:left w:val="nil"/>
              <w:bottom w:val="nil"/>
              <w:right w:val="nil"/>
            </w:tcBorders>
            <w:shd w:val="clear" w:color="auto" w:fill="auto"/>
            <w:noWrap/>
            <w:vAlign w:val="bottom"/>
            <w:hideMark/>
          </w:tcPr>
          <w:p w14:paraId="60C58A2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439" w:type="dxa"/>
            <w:tcBorders>
              <w:top w:val="nil"/>
              <w:left w:val="nil"/>
              <w:bottom w:val="nil"/>
              <w:right w:val="nil"/>
            </w:tcBorders>
            <w:shd w:val="clear" w:color="auto" w:fill="auto"/>
            <w:noWrap/>
            <w:vAlign w:val="bottom"/>
            <w:hideMark/>
          </w:tcPr>
          <w:p w14:paraId="1552F47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0" w:type="dxa"/>
            <w:tcBorders>
              <w:top w:val="nil"/>
              <w:left w:val="nil"/>
              <w:bottom w:val="nil"/>
              <w:right w:val="nil"/>
            </w:tcBorders>
            <w:shd w:val="clear" w:color="auto" w:fill="auto"/>
            <w:noWrap/>
            <w:vAlign w:val="bottom"/>
            <w:hideMark/>
          </w:tcPr>
          <w:p w14:paraId="2A79F07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142" w:type="dxa"/>
            <w:tcBorders>
              <w:top w:val="nil"/>
              <w:left w:val="nil"/>
              <w:bottom w:val="nil"/>
              <w:right w:val="nil"/>
            </w:tcBorders>
            <w:shd w:val="clear" w:color="auto" w:fill="auto"/>
            <w:noWrap/>
            <w:vAlign w:val="bottom"/>
            <w:hideMark/>
          </w:tcPr>
          <w:p w14:paraId="230BFB8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-0.02;0.02</w:t>
            </w:r>
          </w:p>
        </w:tc>
        <w:tc>
          <w:tcPr>
            <w:tcW w:w="648" w:type="dxa"/>
            <w:tcBorders>
              <w:top w:val="nil"/>
              <w:left w:val="nil"/>
              <w:bottom w:val="nil"/>
              <w:right w:val="nil"/>
            </w:tcBorders>
            <w:shd w:val="clear" w:color="auto" w:fill="auto"/>
            <w:noWrap/>
            <w:vAlign w:val="bottom"/>
            <w:hideMark/>
          </w:tcPr>
          <w:p w14:paraId="1DBC1C4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0.925</w:t>
            </w:r>
          </w:p>
        </w:tc>
        <w:tc>
          <w:tcPr>
            <w:tcW w:w="97" w:type="dxa"/>
            <w:tcBorders>
              <w:top w:val="nil"/>
              <w:left w:val="nil"/>
              <w:bottom w:val="nil"/>
              <w:right w:val="nil"/>
            </w:tcBorders>
            <w:shd w:val="clear" w:color="auto" w:fill="auto"/>
            <w:noWrap/>
            <w:vAlign w:val="bottom"/>
            <w:hideMark/>
          </w:tcPr>
          <w:p w14:paraId="549624F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0" w:type="dxa"/>
            <w:tcBorders>
              <w:top w:val="nil"/>
              <w:left w:val="nil"/>
              <w:bottom w:val="nil"/>
              <w:right w:val="nil"/>
            </w:tcBorders>
            <w:shd w:val="clear" w:color="auto" w:fill="auto"/>
            <w:noWrap/>
            <w:vAlign w:val="bottom"/>
            <w:hideMark/>
          </w:tcPr>
          <w:p w14:paraId="1F14E8A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-0.002</w:t>
            </w:r>
          </w:p>
        </w:tc>
        <w:tc>
          <w:tcPr>
            <w:tcW w:w="1142" w:type="dxa"/>
            <w:tcBorders>
              <w:top w:val="nil"/>
              <w:left w:val="nil"/>
              <w:bottom w:val="nil"/>
              <w:right w:val="nil"/>
            </w:tcBorders>
            <w:shd w:val="clear" w:color="auto" w:fill="auto"/>
            <w:noWrap/>
            <w:vAlign w:val="bottom"/>
            <w:hideMark/>
          </w:tcPr>
          <w:p w14:paraId="002E2F1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-0.02;0.02</w:t>
            </w:r>
          </w:p>
        </w:tc>
        <w:tc>
          <w:tcPr>
            <w:tcW w:w="648" w:type="dxa"/>
            <w:tcBorders>
              <w:top w:val="nil"/>
              <w:left w:val="nil"/>
              <w:bottom w:val="nil"/>
              <w:right w:val="nil"/>
            </w:tcBorders>
            <w:shd w:val="clear" w:color="auto" w:fill="auto"/>
            <w:noWrap/>
            <w:vAlign w:val="bottom"/>
            <w:hideMark/>
          </w:tcPr>
          <w:p w14:paraId="06D1C98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0.821</w:t>
            </w:r>
          </w:p>
        </w:tc>
      </w:tr>
      <w:tr w:rsidR="0055435C" w:rsidRPr="0055435C" w14:paraId="46E0FA9C" w14:textId="77777777" w:rsidTr="00677BF5">
        <w:trPr>
          <w:trHeight w:val="301"/>
        </w:trPr>
        <w:tc>
          <w:tcPr>
            <w:tcW w:w="1684" w:type="dxa"/>
            <w:tcBorders>
              <w:top w:val="nil"/>
              <w:left w:val="nil"/>
              <w:bottom w:val="single" w:sz="4" w:space="0" w:color="auto"/>
              <w:right w:val="nil"/>
            </w:tcBorders>
            <w:shd w:val="clear" w:color="auto" w:fill="auto"/>
            <w:noWrap/>
            <w:vAlign w:val="bottom"/>
            <w:hideMark/>
          </w:tcPr>
          <w:p w14:paraId="041B365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439" w:type="dxa"/>
            <w:tcBorders>
              <w:top w:val="nil"/>
              <w:left w:val="nil"/>
              <w:bottom w:val="single" w:sz="4" w:space="0" w:color="auto"/>
              <w:right w:val="nil"/>
            </w:tcBorders>
            <w:shd w:val="clear" w:color="auto" w:fill="auto"/>
            <w:noWrap/>
            <w:vAlign w:val="bottom"/>
            <w:hideMark/>
          </w:tcPr>
          <w:p w14:paraId="23014276"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0" w:type="dxa"/>
            <w:tcBorders>
              <w:top w:val="nil"/>
              <w:left w:val="nil"/>
              <w:bottom w:val="single" w:sz="4" w:space="0" w:color="auto"/>
              <w:right w:val="nil"/>
            </w:tcBorders>
            <w:shd w:val="clear" w:color="auto" w:fill="auto"/>
            <w:noWrap/>
            <w:vAlign w:val="bottom"/>
            <w:hideMark/>
          </w:tcPr>
          <w:p w14:paraId="025F76F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142" w:type="dxa"/>
            <w:tcBorders>
              <w:top w:val="nil"/>
              <w:left w:val="nil"/>
              <w:bottom w:val="single" w:sz="4" w:space="0" w:color="auto"/>
              <w:right w:val="nil"/>
            </w:tcBorders>
            <w:shd w:val="clear" w:color="auto" w:fill="auto"/>
            <w:noWrap/>
            <w:vAlign w:val="bottom"/>
            <w:hideMark/>
          </w:tcPr>
          <w:p w14:paraId="2362DFB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648" w:type="dxa"/>
            <w:tcBorders>
              <w:top w:val="nil"/>
              <w:left w:val="nil"/>
              <w:bottom w:val="single" w:sz="4" w:space="0" w:color="auto"/>
              <w:right w:val="nil"/>
            </w:tcBorders>
            <w:shd w:val="clear" w:color="auto" w:fill="auto"/>
            <w:noWrap/>
            <w:vAlign w:val="bottom"/>
            <w:hideMark/>
          </w:tcPr>
          <w:p w14:paraId="232DDD2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97" w:type="dxa"/>
            <w:tcBorders>
              <w:top w:val="nil"/>
              <w:left w:val="nil"/>
              <w:bottom w:val="single" w:sz="4" w:space="0" w:color="auto"/>
              <w:right w:val="nil"/>
            </w:tcBorders>
            <w:shd w:val="clear" w:color="auto" w:fill="auto"/>
            <w:noWrap/>
            <w:vAlign w:val="bottom"/>
            <w:hideMark/>
          </w:tcPr>
          <w:p w14:paraId="318A184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0" w:type="dxa"/>
            <w:tcBorders>
              <w:top w:val="nil"/>
              <w:left w:val="nil"/>
              <w:bottom w:val="single" w:sz="4" w:space="0" w:color="auto"/>
              <w:right w:val="nil"/>
            </w:tcBorders>
            <w:shd w:val="clear" w:color="auto" w:fill="auto"/>
            <w:noWrap/>
            <w:vAlign w:val="bottom"/>
            <w:hideMark/>
          </w:tcPr>
          <w:p w14:paraId="19D33AD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0.046</w:t>
            </w:r>
          </w:p>
        </w:tc>
        <w:tc>
          <w:tcPr>
            <w:tcW w:w="1142" w:type="dxa"/>
            <w:tcBorders>
              <w:top w:val="nil"/>
              <w:left w:val="nil"/>
              <w:bottom w:val="single" w:sz="4" w:space="0" w:color="auto"/>
              <w:right w:val="nil"/>
            </w:tcBorders>
            <w:shd w:val="clear" w:color="auto" w:fill="auto"/>
            <w:noWrap/>
            <w:vAlign w:val="bottom"/>
            <w:hideMark/>
          </w:tcPr>
          <w:p w14:paraId="5784D6B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0.02;0.07</w:t>
            </w:r>
          </w:p>
        </w:tc>
        <w:tc>
          <w:tcPr>
            <w:tcW w:w="648" w:type="dxa"/>
            <w:tcBorders>
              <w:top w:val="nil"/>
              <w:left w:val="nil"/>
              <w:bottom w:val="single" w:sz="4" w:space="0" w:color="auto"/>
              <w:right w:val="nil"/>
            </w:tcBorders>
            <w:shd w:val="clear" w:color="auto" w:fill="auto"/>
            <w:noWrap/>
            <w:vAlign w:val="bottom"/>
            <w:hideMark/>
          </w:tcPr>
          <w:p w14:paraId="1E2D31E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&lt;0.001</w:t>
            </w:r>
          </w:p>
        </w:tc>
      </w:tr>
      <w:tr w:rsidR="0055435C" w:rsidRPr="0055435C" w14:paraId="76A87F80" w14:textId="77777777" w:rsidTr="00677BF5">
        <w:trPr>
          <w:trHeight w:val="904"/>
        </w:trPr>
        <w:tc>
          <w:tcPr>
            <w:tcW w:w="8260" w:type="dxa"/>
            <w:gridSpan w:val="9"/>
            <w:tcBorders>
              <w:top w:val="single" w:sz="4" w:space="0" w:color="auto"/>
              <w:left w:val="nil"/>
              <w:bottom w:val="nil"/>
              <w:right w:val="nil"/>
            </w:tcBorders>
            <w:shd w:val="clear" w:color="auto" w:fill="auto"/>
            <w:vAlign w:val="bottom"/>
            <w:hideMark/>
          </w:tcPr>
          <w:p w14:paraId="3FFAFE46"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 unstandardized regression coefficient. B describes increase in the outcome variable per 1-SD greater growth.</w:t>
            </w:r>
          </w:p>
          <w:p w14:paraId="1AF9A7D6"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Both models are adjusted for length of gestation, age, years since menopause, childhood and adulthood socio-economic status, alcohol intake, smoking, exercise, and estrogen replacement therapy.</w:t>
            </w:r>
          </w:p>
        </w:tc>
      </w:tr>
      <w:tr w:rsidR="0055435C" w:rsidRPr="0055435C" w14:paraId="0CD262B1" w14:textId="77777777" w:rsidTr="00677BF5">
        <w:trPr>
          <w:trHeight w:val="301"/>
        </w:trPr>
        <w:tc>
          <w:tcPr>
            <w:tcW w:w="8260" w:type="dxa"/>
            <w:gridSpan w:val="9"/>
            <w:tcBorders>
              <w:top w:val="nil"/>
              <w:left w:val="nil"/>
              <w:bottom w:val="nil"/>
              <w:right w:val="nil"/>
            </w:tcBorders>
            <w:shd w:val="clear" w:color="auto" w:fill="auto"/>
            <w:noWrap/>
            <w:vAlign w:val="bottom"/>
            <w:hideMark/>
          </w:tcPr>
          <w:p w14:paraId="39304BA2"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Model 1 excludes and Model 2 includes body size at early old age.</w:t>
            </w:r>
          </w:p>
        </w:tc>
      </w:tr>
    </w:tbl>
    <w:p w14:paraId="7CEADA0B" w14:textId="77777777" w:rsidR="0055435C" w:rsidRPr="0055435C" w:rsidRDefault="0055435C" w:rsidP="00AB7918">
      <w:pPr>
        <w:spacing w:line="480" w:lineRule="auto"/>
        <w:rPr>
          <w:lang w:val="en-US"/>
        </w:rPr>
      </w:pPr>
    </w:p>
    <w:p w14:paraId="7E20D5CC" w14:textId="77777777" w:rsidR="0055435C" w:rsidRPr="0055435C" w:rsidRDefault="0055435C" w:rsidP="00AB7918">
      <w:pPr>
        <w:spacing w:line="480" w:lineRule="auto"/>
        <w:rPr>
          <w:lang w:val="en-US"/>
        </w:rPr>
      </w:pPr>
    </w:p>
    <w:p w14:paraId="4CB6E779" w14:textId="77777777" w:rsidR="0055435C" w:rsidRPr="0055435C" w:rsidRDefault="0055435C" w:rsidP="00AB7918">
      <w:pPr>
        <w:spacing w:line="480" w:lineRule="auto"/>
        <w:rPr>
          <w:lang w:val="en-US"/>
        </w:rPr>
      </w:pPr>
    </w:p>
    <w:p w14:paraId="1FDAEA3F" w14:textId="77777777" w:rsidR="0055435C" w:rsidRPr="0055435C" w:rsidRDefault="0055435C" w:rsidP="00AB7918">
      <w:pPr>
        <w:spacing w:line="480" w:lineRule="auto"/>
        <w:rPr>
          <w:lang w:val="en-US"/>
        </w:rPr>
      </w:pPr>
    </w:p>
    <w:tbl>
      <w:tblPr>
        <w:tblW w:w="9520" w:type="dxa"/>
        <w:tblInd w:w="55" w:type="dxa"/>
        <w:tblCellMar>
          <w:left w:w="70" w:type="dxa"/>
          <w:right w:w="70" w:type="dxa"/>
        </w:tblCellMar>
        <w:tblLook w:val="04A0" w:firstRow="1" w:lastRow="0" w:firstColumn="1" w:lastColumn="0" w:noHBand="0" w:noVBand="1"/>
      </w:tblPr>
      <w:tblGrid>
        <w:gridCol w:w="1917"/>
        <w:gridCol w:w="1638"/>
        <w:gridCol w:w="738"/>
        <w:gridCol w:w="1299"/>
        <w:gridCol w:w="890"/>
        <w:gridCol w:w="195"/>
        <w:gridCol w:w="738"/>
        <w:gridCol w:w="1299"/>
        <w:gridCol w:w="890"/>
      </w:tblGrid>
      <w:tr w:rsidR="0055435C" w:rsidRPr="0055435C" w14:paraId="5210B23E" w14:textId="77777777" w:rsidTr="00677BF5">
        <w:trPr>
          <w:trHeight w:val="1048"/>
        </w:trPr>
        <w:tc>
          <w:tcPr>
            <w:tcW w:w="9520" w:type="dxa"/>
            <w:gridSpan w:val="9"/>
            <w:tcBorders>
              <w:top w:val="nil"/>
              <w:left w:val="nil"/>
              <w:bottom w:val="single" w:sz="4" w:space="0" w:color="auto"/>
              <w:right w:val="nil"/>
            </w:tcBorders>
            <w:shd w:val="clear" w:color="auto" w:fill="auto"/>
            <w:vAlign w:val="bottom"/>
            <w:hideMark/>
          </w:tcPr>
          <w:p w14:paraId="504A6BA6"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lastRenderedPageBreak/>
              <w:t>Supplementary Table 3. Length at birth and conditional growth in height explaining spine (L2-L4) bone area, bone mineral content (BMC), and areal bone mineral density (aBMD) in early old age in a subgroup of women (n=178) from the Helsinki Birth Cohort Study.</w:t>
            </w:r>
          </w:p>
        </w:tc>
      </w:tr>
      <w:tr w:rsidR="0055435C" w:rsidRPr="0055435C" w14:paraId="4840809A" w14:textId="77777777" w:rsidTr="00677BF5">
        <w:trPr>
          <w:trHeight w:val="301"/>
        </w:trPr>
        <w:tc>
          <w:tcPr>
            <w:tcW w:w="1917" w:type="dxa"/>
            <w:tcBorders>
              <w:top w:val="nil"/>
              <w:left w:val="nil"/>
              <w:bottom w:val="nil"/>
              <w:right w:val="nil"/>
            </w:tcBorders>
            <w:shd w:val="clear" w:color="auto" w:fill="auto"/>
            <w:noWrap/>
            <w:vAlign w:val="bottom"/>
            <w:hideMark/>
          </w:tcPr>
          <w:p w14:paraId="6592E6CA"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1638" w:type="dxa"/>
            <w:tcBorders>
              <w:top w:val="nil"/>
              <w:left w:val="nil"/>
              <w:bottom w:val="nil"/>
              <w:right w:val="nil"/>
            </w:tcBorders>
            <w:shd w:val="clear" w:color="auto" w:fill="auto"/>
            <w:noWrap/>
            <w:vAlign w:val="bottom"/>
            <w:hideMark/>
          </w:tcPr>
          <w:p w14:paraId="4FACAD4C"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2927" w:type="dxa"/>
            <w:gridSpan w:val="3"/>
            <w:tcBorders>
              <w:top w:val="single" w:sz="4" w:space="0" w:color="auto"/>
              <w:left w:val="nil"/>
              <w:bottom w:val="single" w:sz="4" w:space="0" w:color="auto"/>
              <w:right w:val="nil"/>
            </w:tcBorders>
            <w:shd w:val="clear" w:color="auto" w:fill="auto"/>
            <w:noWrap/>
            <w:vAlign w:val="bottom"/>
            <w:hideMark/>
          </w:tcPr>
          <w:p w14:paraId="2E81154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1</w:t>
            </w:r>
          </w:p>
        </w:tc>
        <w:tc>
          <w:tcPr>
            <w:tcW w:w="111" w:type="dxa"/>
            <w:tcBorders>
              <w:top w:val="nil"/>
              <w:left w:val="nil"/>
              <w:bottom w:val="nil"/>
              <w:right w:val="nil"/>
            </w:tcBorders>
            <w:shd w:val="clear" w:color="auto" w:fill="auto"/>
            <w:noWrap/>
            <w:vAlign w:val="bottom"/>
            <w:hideMark/>
          </w:tcPr>
          <w:p w14:paraId="29190D85"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2927" w:type="dxa"/>
            <w:gridSpan w:val="3"/>
            <w:tcBorders>
              <w:top w:val="single" w:sz="4" w:space="0" w:color="auto"/>
              <w:left w:val="nil"/>
              <w:bottom w:val="single" w:sz="4" w:space="0" w:color="auto"/>
              <w:right w:val="nil"/>
            </w:tcBorders>
            <w:shd w:val="clear" w:color="auto" w:fill="auto"/>
            <w:noWrap/>
            <w:vAlign w:val="bottom"/>
            <w:hideMark/>
          </w:tcPr>
          <w:p w14:paraId="412875EB"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2</w:t>
            </w:r>
          </w:p>
        </w:tc>
      </w:tr>
      <w:tr w:rsidR="0055435C" w:rsidRPr="0055435C" w14:paraId="549601C2" w14:textId="77777777" w:rsidTr="00677BF5">
        <w:trPr>
          <w:trHeight w:val="301"/>
        </w:trPr>
        <w:tc>
          <w:tcPr>
            <w:tcW w:w="1917" w:type="dxa"/>
            <w:tcBorders>
              <w:top w:val="nil"/>
              <w:left w:val="nil"/>
              <w:bottom w:val="single" w:sz="4" w:space="0" w:color="auto"/>
              <w:right w:val="nil"/>
            </w:tcBorders>
            <w:shd w:val="clear" w:color="auto" w:fill="auto"/>
            <w:noWrap/>
            <w:vAlign w:val="bottom"/>
            <w:hideMark/>
          </w:tcPr>
          <w:p w14:paraId="6D9271A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638" w:type="dxa"/>
            <w:tcBorders>
              <w:top w:val="nil"/>
              <w:left w:val="nil"/>
              <w:bottom w:val="single" w:sz="4" w:space="0" w:color="auto"/>
              <w:right w:val="nil"/>
            </w:tcBorders>
            <w:shd w:val="clear" w:color="auto" w:fill="auto"/>
            <w:noWrap/>
            <w:vAlign w:val="bottom"/>
            <w:hideMark/>
          </w:tcPr>
          <w:p w14:paraId="262002F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single" w:sz="4" w:space="0" w:color="auto"/>
              <w:right w:val="nil"/>
            </w:tcBorders>
            <w:shd w:val="clear" w:color="auto" w:fill="auto"/>
            <w:noWrap/>
            <w:vAlign w:val="bottom"/>
            <w:hideMark/>
          </w:tcPr>
          <w:p w14:paraId="351EA72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299" w:type="dxa"/>
            <w:tcBorders>
              <w:top w:val="nil"/>
              <w:left w:val="nil"/>
              <w:bottom w:val="single" w:sz="4" w:space="0" w:color="auto"/>
              <w:right w:val="nil"/>
            </w:tcBorders>
            <w:shd w:val="clear" w:color="auto" w:fill="auto"/>
            <w:noWrap/>
            <w:vAlign w:val="bottom"/>
            <w:hideMark/>
          </w:tcPr>
          <w:p w14:paraId="73FF72C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890" w:type="dxa"/>
            <w:tcBorders>
              <w:top w:val="nil"/>
              <w:left w:val="nil"/>
              <w:bottom w:val="single" w:sz="4" w:space="0" w:color="auto"/>
              <w:right w:val="nil"/>
            </w:tcBorders>
            <w:shd w:val="clear" w:color="auto" w:fill="auto"/>
            <w:noWrap/>
            <w:vAlign w:val="bottom"/>
            <w:hideMark/>
          </w:tcPr>
          <w:p w14:paraId="29E461C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c>
          <w:tcPr>
            <w:tcW w:w="111" w:type="dxa"/>
            <w:tcBorders>
              <w:top w:val="nil"/>
              <w:left w:val="nil"/>
              <w:bottom w:val="single" w:sz="4" w:space="0" w:color="auto"/>
              <w:right w:val="nil"/>
            </w:tcBorders>
            <w:shd w:val="clear" w:color="auto" w:fill="auto"/>
            <w:noWrap/>
            <w:vAlign w:val="bottom"/>
            <w:hideMark/>
          </w:tcPr>
          <w:p w14:paraId="39876BB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single" w:sz="4" w:space="0" w:color="auto"/>
              <w:right w:val="nil"/>
            </w:tcBorders>
            <w:shd w:val="clear" w:color="auto" w:fill="auto"/>
            <w:noWrap/>
            <w:vAlign w:val="bottom"/>
            <w:hideMark/>
          </w:tcPr>
          <w:p w14:paraId="1B3BA78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299" w:type="dxa"/>
            <w:tcBorders>
              <w:top w:val="nil"/>
              <w:left w:val="nil"/>
              <w:bottom w:val="single" w:sz="4" w:space="0" w:color="auto"/>
              <w:right w:val="nil"/>
            </w:tcBorders>
            <w:shd w:val="clear" w:color="auto" w:fill="auto"/>
            <w:noWrap/>
            <w:vAlign w:val="bottom"/>
            <w:hideMark/>
          </w:tcPr>
          <w:p w14:paraId="5A96459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890" w:type="dxa"/>
            <w:tcBorders>
              <w:top w:val="nil"/>
              <w:left w:val="nil"/>
              <w:bottom w:val="single" w:sz="4" w:space="0" w:color="auto"/>
              <w:right w:val="nil"/>
            </w:tcBorders>
            <w:shd w:val="clear" w:color="auto" w:fill="auto"/>
            <w:noWrap/>
            <w:vAlign w:val="bottom"/>
            <w:hideMark/>
          </w:tcPr>
          <w:p w14:paraId="51F8E5D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r>
      <w:tr w:rsidR="0055435C" w:rsidRPr="0055435C" w14:paraId="384C4AF4" w14:textId="77777777" w:rsidTr="00677BF5">
        <w:trPr>
          <w:trHeight w:val="328"/>
        </w:trPr>
        <w:tc>
          <w:tcPr>
            <w:tcW w:w="1917" w:type="dxa"/>
            <w:tcBorders>
              <w:top w:val="nil"/>
              <w:left w:val="nil"/>
              <w:bottom w:val="nil"/>
              <w:right w:val="nil"/>
            </w:tcBorders>
            <w:shd w:val="clear" w:color="auto" w:fill="auto"/>
            <w:noWrap/>
            <w:vAlign w:val="bottom"/>
            <w:hideMark/>
          </w:tcPr>
          <w:p w14:paraId="19CE401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Bone area, cm</w:t>
            </w:r>
            <w:r w:rsidRPr="0055435C">
              <w:rPr>
                <w:rFonts w:ascii="Calibri" w:eastAsia="Times New Roman" w:hAnsi="Calibri" w:cs="Times New Roman"/>
                <w:color w:val="000000"/>
                <w:vertAlign w:val="superscript"/>
                <w:lang w:eastAsia="sv-FI"/>
              </w:rPr>
              <w:t>2</w:t>
            </w:r>
          </w:p>
        </w:tc>
        <w:tc>
          <w:tcPr>
            <w:tcW w:w="1638" w:type="dxa"/>
            <w:tcBorders>
              <w:top w:val="nil"/>
              <w:left w:val="nil"/>
              <w:bottom w:val="nil"/>
              <w:right w:val="nil"/>
            </w:tcBorders>
            <w:shd w:val="clear" w:color="auto" w:fill="auto"/>
            <w:noWrap/>
            <w:vAlign w:val="bottom"/>
            <w:hideMark/>
          </w:tcPr>
          <w:p w14:paraId="187DEA0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nil"/>
              <w:right w:val="nil"/>
            </w:tcBorders>
            <w:shd w:val="clear" w:color="auto" w:fill="auto"/>
            <w:noWrap/>
            <w:vAlign w:val="bottom"/>
            <w:hideMark/>
          </w:tcPr>
          <w:p w14:paraId="318709E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299" w:type="dxa"/>
            <w:tcBorders>
              <w:top w:val="nil"/>
              <w:left w:val="nil"/>
              <w:bottom w:val="nil"/>
              <w:right w:val="nil"/>
            </w:tcBorders>
            <w:shd w:val="clear" w:color="auto" w:fill="auto"/>
            <w:noWrap/>
            <w:vAlign w:val="bottom"/>
            <w:hideMark/>
          </w:tcPr>
          <w:p w14:paraId="2494693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90" w:type="dxa"/>
            <w:tcBorders>
              <w:top w:val="nil"/>
              <w:left w:val="nil"/>
              <w:bottom w:val="nil"/>
              <w:right w:val="nil"/>
            </w:tcBorders>
            <w:shd w:val="clear" w:color="auto" w:fill="auto"/>
            <w:noWrap/>
            <w:vAlign w:val="bottom"/>
            <w:hideMark/>
          </w:tcPr>
          <w:p w14:paraId="6C96467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11" w:type="dxa"/>
            <w:tcBorders>
              <w:top w:val="nil"/>
              <w:left w:val="nil"/>
              <w:bottom w:val="nil"/>
              <w:right w:val="nil"/>
            </w:tcBorders>
            <w:shd w:val="clear" w:color="auto" w:fill="auto"/>
            <w:noWrap/>
            <w:vAlign w:val="bottom"/>
            <w:hideMark/>
          </w:tcPr>
          <w:p w14:paraId="5C192B8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nil"/>
              <w:right w:val="nil"/>
            </w:tcBorders>
            <w:shd w:val="clear" w:color="auto" w:fill="auto"/>
            <w:noWrap/>
            <w:vAlign w:val="bottom"/>
            <w:hideMark/>
          </w:tcPr>
          <w:p w14:paraId="4CA6AE3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299" w:type="dxa"/>
            <w:tcBorders>
              <w:top w:val="nil"/>
              <w:left w:val="nil"/>
              <w:bottom w:val="nil"/>
              <w:right w:val="nil"/>
            </w:tcBorders>
            <w:shd w:val="clear" w:color="auto" w:fill="auto"/>
            <w:noWrap/>
            <w:vAlign w:val="bottom"/>
            <w:hideMark/>
          </w:tcPr>
          <w:p w14:paraId="3176FA6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90" w:type="dxa"/>
            <w:tcBorders>
              <w:top w:val="nil"/>
              <w:left w:val="nil"/>
              <w:bottom w:val="nil"/>
              <w:right w:val="nil"/>
            </w:tcBorders>
            <w:shd w:val="clear" w:color="auto" w:fill="auto"/>
            <w:noWrap/>
            <w:vAlign w:val="bottom"/>
            <w:hideMark/>
          </w:tcPr>
          <w:p w14:paraId="3C70392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r>
      <w:tr w:rsidR="0055435C" w:rsidRPr="0055435C" w14:paraId="0668DAD3" w14:textId="77777777" w:rsidTr="00677BF5">
        <w:trPr>
          <w:trHeight w:val="301"/>
        </w:trPr>
        <w:tc>
          <w:tcPr>
            <w:tcW w:w="1917" w:type="dxa"/>
            <w:tcBorders>
              <w:top w:val="nil"/>
              <w:left w:val="nil"/>
              <w:bottom w:val="nil"/>
              <w:right w:val="nil"/>
            </w:tcBorders>
            <w:shd w:val="clear" w:color="auto" w:fill="auto"/>
            <w:noWrap/>
            <w:vAlign w:val="bottom"/>
            <w:hideMark/>
          </w:tcPr>
          <w:p w14:paraId="61E453A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0F6ACFF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738" w:type="dxa"/>
            <w:tcBorders>
              <w:top w:val="nil"/>
              <w:left w:val="nil"/>
              <w:bottom w:val="nil"/>
              <w:right w:val="nil"/>
            </w:tcBorders>
            <w:shd w:val="clear" w:color="auto" w:fill="auto"/>
            <w:noWrap/>
            <w:vAlign w:val="bottom"/>
            <w:hideMark/>
          </w:tcPr>
          <w:p w14:paraId="0FB81DF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1.09</w:t>
            </w:r>
          </w:p>
        </w:tc>
        <w:tc>
          <w:tcPr>
            <w:tcW w:w="1299" w:type="dxa"/>
            <w:tcBorders>
              <w:top w:val="nil"/>
              <w:left w:val="nil"/>
              <w:bottom w:val="nil"/>
              <w:right w:val="nil"/>
            </w:tcBorders>
            <w:shd w:val="clear" w:color="auto" w:fill="auto"/>
            <w:noWrap/>
            <w:vAlign w:val="bottom"/>
            <w:hideMark/>
          </w:tcPr>
          <w:p w14:paraId="2561E57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0.58;1.60</w:t>
            </w:r>
          </w:p>
        </w:tc>
        <w:tc>
          <w:tcPr>
            <w:tcW w:w="890" w:type="dxa"/>
            <w:tcBorders>
              <w:top w:val="nil"/>
              <w:left w:val="nil"/>
              <w:bottom w:val="nil"/>
              <w:right w:val="nil"/>
            </w:tcBorders>
            <w:shd w:val="clear" w:color="auto" w:fill="auto"/>
            <w:noWrap/>
            <w:vAlign w:val="bottom"/>
            <w:hideMark/>
          </w:tcPr>
          <w:p w14:paraId="37ACFF8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&gt;0.001</w:t>
            </w:r>
          </w:p>
        </w:tc>
        <w:tc>
          <w:tcPr>
            <w:tcW w:w="111" w:type="dxa"/>
            <w:tcBorders>
              <w:top w:val="nil"/>
              <w:left w:val="nil"/>
              <w:bottom w:val="nil"/>
              <w:right w:val="nil"/>
            </w:tcBorders>
            <w:shd w:val="clear" w:color="auto" w:fill="auto"/>
            <w:noWrap/>
            <w:vAlign w:val="bottom"/>
            <w:hideMark/>
          </w:tcPr>
          <w:p w14:paraId="02D42DE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20F17F1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0.37</w:t>
            </w:r>
          </w:p>
        </w:tc>
        <w:tc>
          <w:tcPr>
            <w:tcW w:w="1299" w:type="dxa"/>
            <w:tcBorders>
              <w:top w:val="nil"/>
              <w:left w:val="nil"/>
              <w:bottom w:val="nil"/>
              <w:right w:val="nil"/>
            </w:tcBorders>
            <w:shd w:val="clear" w:color="auto" w:fill="auto"/>
            <w:noWrap/>
            <w:vAlign w:val="bottom"/>
            <w:hideMark/>
          </w:tcPr>
          <w:p w14:paraId="6BA5411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-0.16;0.89</w:t>
            </w:r>
          </w:p>
        </w:tc>
        <w:tc>
          <w:tcPr>
            <w:tcW w:w="890" w:type="dxa"/>
            <w:tcBorders>
              <w:top w:val="nil"/>
              <w:left w:val="nil"/>
              <w:bottom w:val="nil"/>
              <w:right w:val="nil"/>
            </w:tcBorders>
            <w:shd w:val="clear" w:color="auto" w:fill="auto"/>
            <w:noWrap/>
            <w:vAlign w:val="bottom"/>
            <w:hideMark/>
          </w:tcPr>
          <w:p w14:paraId="3DBFE96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0.17</w:t>
            </w:r>
          </w:p>
        </w:tc>
      </w:tr>
      <w:tr w:rsidR="0055435C" w:rsidRPr="0055435C" w14:paraId="162C4442" w14:textId="77777777" w:rsidTr="00677BF5">
        <w:trPr>
          <w:trHeight w:val="301"/>
        </w:trPr>
        <w:tc>
          <w:tcPr>
            <w:tcW w:w="1917" w:type="dxa"/>
            <w:tcBorders>
              <w:top w:val="nil"/>
              <w:left w:val="nil"/>
              <w:bottom w:val="nil"/>
              <w:right w:val="nil"/>
            </w:tcBorders>
            <w:shd w:val="clear" w:color="auto" w:fill="auto"/>
            <w:noWrap/>
            <w:vAlign w:val="bottom"/>
            <w:hideMark/>
          </w:tcPr>
          <w:p w14:paraId="7F9F870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260CD29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738" w:type="dxa"/>
            <w:tcBorders>
              <w:top w:val="nil"/>
              <w:left w:val="nil"/>
              <w:bottom w:val="nil"/>
              <w:right w:val="nil"/>
            </w:tcBorders>
            <w:shd w:val="clear" w:color="auto" w:fill="auto"/>
            <w:noWrap/>
            <w:vAlign w:val="bottom"/>
            <w:hideMark/>
          </w:tcPr>
          <w:p w14:paraId="54F8C99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1.53</w:t>
            </w:r>
          </w:p>
        </w:tc>
        <w:tc>
          <w:tcPr>
            <w:tcW w:w="1299" w:type="dxa"/>
            <w:tcBorders>
              <w:top w:val="nil"/>
              <w:left w:val="nil"/>
              <w:bottom w:val="nil"/>
              <w:right w:val="nil"/>
            </w:tcBorders>
            <w:shd w:val="clear" w:color="auto" w:fill="auto"/>
            <w:noWrap/>
            <w:vAlign w:val="bottom"/>
            <w:hideMark/>
          </w:tcPr>
          <w:p w14:paraId="675AB00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1.05;2.01</w:t>
            </w:r>
          </w:p>
        </w:tc>
        <w:tc>
          <w:tcPr>
            <w:tcW w:w="890" w:type="dxa"/>
            <w:tcBorders>
              <w:top w:val="nil"/>
              <w:left w:val="nil"/>
              <w:bottom w:val="nil"/>
              <w:right w:val="nil"/>
            </w:tcBorders>
            <w:shd w:val="clear" w:color="auto" w:fill="auto"/>
            <w:noWrap/>
            <w:vAlign w:val="bottom"/>
            <w:hideMark/>
          </w:tcPr>
          <w:p w14:paraId="1D1FADE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&gt;0.001</w:t>
            </w:r>
          </w:p>
        </w:tc>
        <w:tc>
          <w:tcPr>
            <w:tcW w:w="111" w:type="dxa"/>
            <w:tcBorders>
              <w:top w:val="nil"/>
              <w:left w:val="nil"/>
              <w:bottom w:val="nil"/>
              <w:right w:val="nil"/>
            </w:tcBorders>
            <w:shd w:val="clear" w:color="auto" w:fill="auto"/>
            <w:noWrap/>
            <w:vAlign w:val="bottom"/>
            <w:hideMark/>
          </w:tcPr>
          <w:p w14:paraId="6360051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75B0DCD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0.53</w:t>
            </w:r>
          </w:p>
        </w:tc>
        <w:tc>
          <w:tcPr>
            <w:tcW w:w="1299" w:type="dxa"/>
            <w:tcBorders>
              <w:top w:val="nil"/>
              <w:left w:val="nil"/>
              <w:bottom w:val="nil"/>
              <w:right w:val="nil"/>
            </w:tcBorders>
            <w:shd w:val="clear" w:color="auto" w:fill="auto"/>
            <w:noWrap/>
            <w:vAlign w:val="bottom"/>
            <w:hideMark/>
          </w:tcPr>
          <w:p w14:paraId="1D15CE0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-0.03;1.09</w:t>
            </w:r>
          </w:p>
        </w:tc>
        <w:tc>
          <w:tcPr>
            <w:tcW w:w="890" w:type="dxa"/>
            <w:tcBorders>
              <w:top w:val="nil"/>
              <w:left w:val="nil"/>
              <w:bottom w:val="nil"/>
              <w:right w:val="nil"/>
            </w:tcBorders>
            <w:shd w:val="clear" w:color="auto" w:fill="auto"/>
            <w:noWrap/>
            <w:vAlign w:val="bottom"/>
            <w:hideMark/>
          </w:tcPr>
          <w:p w14:paraId="688D777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0.062</w:t>
            </w:r>
          </w:p>
        </w:tc>
      </w:tr>
      <w:tr w:rsidR="0055435C" w:rsidRPr="0055435C" w14:paraId="17AECF00" w14:textId="77777777" w:rsidTr="00677BF5">
        <w:trPr>
          <w:trHeight w:val="301"/>
        </w:trPr>
        <w:tc>
          <w:tcPr>
            <w:tcW w:w="1917" w:type="dxa"/>
            <w:tcBorders>
              <w:top w:val="nil"/>
              <w:left w:val="nil"/>
              <w:bottom w:val="nil"/>
              <w:right w:val="nil"/>
            </w:tcBorders>
            <w:shd w:val="clear" w:color="auto" w:fill="auto"/>
            <w:noWrap/>
            <w:vAlign w:val="bottom"/>
            <w:hideMark/>
          </w:tcPr>
          <w:p w14:paraId="3B434469"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1EA43EF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8" w:type="dxa"/>
            <w:tcBorders>
              <w:top w:val="nil"/>
              <w:left w:val="nil"/>
              <w:bottom w:val="nil"/>
              <w:right w:val="nil"/>
            </w:tcBorders>
            <w:shd w:val="clear" w:color="auto" w:fill="auto"/>
            <w:noWrap/>
            <w:vAlign w:val="bottom"/>
            <w:hideMark/>
          </w:tcPr>
          <w:p w14:paraId="1E108D3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0.81</w:t>
            </w:r>
          </w:p>
        </w:tc>
        <w:tc>
          <w:tcPr>
            <w:tcW w:w="1299" w:type="dxa"/>
            <w:tcBorders>
              <w:top w:val="nil"/>
              <w:left w:val="nil"/>
              <w:bottom w:val="nil"/>
              <w:right w:val="nil"/>
            </w:tcBorders>
            <w:shd w:val="clear" w:color="auto" w:fill="auto"/>
            <w:noWrap/>
            <w:vAlign w:val="bottom"/>
            <w:hideMark/>
          </w:tcPr>
          <w:p w14:paraId="7C06E1C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0.32;1.29</w:t>
            </w:r>
          </w:p>
        </w:tc>
        <w:tc>
          <w:tcPr>
            <w:tcW w:w="890" w:type="dxa"/>
            <w:tcBorders>
              <w:top w:val="nil"/>
              <w:left w:val="nil"/>
              <w:bottom w:val="nil"/>
              <w:right w:val="nil"/>
            </w:tcBorders>
            <w:shd w:val="clear" w:color="auto" w:fill="auto"/>
            <w:noWrap/>
            <w:vAlign w:val="bottom"/>
            <w:hideMark/>
          </w:tcPr>
          <w:p w14:paraId="2F117FB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11" w:type="dxa"/>
            <w:tcBorders>
              <w:top w:val="nil"/>
              <w:left w:val="nil"/>
              <w:bottom w:val="nil"/>
              <w:right w:val="nil"/>
            </w:tcBorders>
            <w:shd w:val="clear" w:color="auto" w:fill="auto"/>
            <w:noWrap/>
            <w:vAlign w:val="bottom"/>
            <w:hideMark/>
          </w:tcPr>
          <w:p w14:paraId="4D5D6E4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145BF7E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-0.11</w:t>
            </w:r>
          </w:p>
        </w:tc>
        <w:tc>
          <w:tcPr>
            <w:tcW w:w="1299" w:type="dxa"/>
            <w:tcBorders>
              <w:top w:val="nil"/>
              <w:left w:val="nil"/>
              <w:bottom w:val="nil"/>
              <w:right w:val="nil"/>
            </w:tcBorders>
            <w:shd w:val="clear" w:color="auto" w:fill="auto"/>
            <w:noWrap/>
            <w:vAlign w:val="bottom"/>
            <w:hideMark/>
          </w:tcPr>
          <w:p w14:paraId="2743150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-0.65;0.43</w:t>
            </w:r>
          </w:p>
        </w:tc>
        <w:tc>
          <w:tcPr>
            <w:tcW w:w="890" w:type="dxa"/>
            <w:tcBorders>
              <w:top w:val="nil"/>
              <w:left w:val="nil"/>
              <w:bottom w:val="nil"/>
              <w:right w:val="nil"/>
            </w:tcBorders>
            <w:shd w:val="clear" w:color="auto" w:fill="auto"/>
            <w:noWrap/>
            <w:vAlign w:val="bottom"/>
            <w:hideMark/>
          </w:tcPr>
          <w:p w14:paraId="538B079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0.683</w:t>
            </w:r>
          </w:p>
        </w:tc>
      </w:tr>
      <w:tr w:rsidR="0055435C" w:rsidRPr="0055435C" w14:paraId="10651891" w14:textId="77777777" w:rsidTr="00677BF5">
        <w:trPr>
          <w:trHeight w:val="301"/>
        </w:trPr>
        <w:tc>
          <w:tcPr>
            <w:tcW w:w="1917" w:type="dxa"/>
            <w:tcBorders>
              <w:top w:val="nil"/>
              <w:left w:val="nil"/>
              <w:bottom w:val="nil"/>
              <w:right w:val="nil"/>
            </w:tcBorders>
            <w:shd w:val="clear" w:color="auto" w:fill="auto"/>
            <w:noWrap/>
            <w:vAlign w:val="bottom"/>
            <w:hideMark/>
          </w:tcPr>
          <w:p w14:paraId="2847EDB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6A787B7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8" w:type="dxa"/>
            <w:tcBorders>
              <w:top w:val="nil"/>
              <w:left w:val="nil"/>
              <w:bottom w:val="nil"/>
              <w:right w:val="nil"/>
            </w:tcBorders>
            <w:shd w:val="clear" w:color="auto" w:fill="auto"/>
            <w:noWrap/>
            <w:vAlign w:val="bottom"/>
            <w:hideMark/>
          </w:tcPr>
          <w:p w14:paraId="2B24B40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0.67</w:t>
            </w:r>
          </w:p>
        </w:tc>
        <w:tc>
          <w:tcPr>
            <w:tcW w:w="1299" w:type="dxa"/>
            <w:tcBorders>
              <w:top w:val="nil"/>
              <w:left w:val="nil"/>
              <w:bottom w:val="nil"/>
              <w:right w:val="nil"/>
            </w:tcBorders>
            <w:shd w:val="clear" w:color="auto" w:fill="auto"/>
            <w:noWrap/>
            <w:vAlign w:val="bottom"/>
            <w:hideMark/>
          </w:tcPr>
          <w:p w14:paraId="3A1C6FA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0.19;1.15</w:t>
            </w:r>
          </w:p>
        </w:tc>
        <w:tc>
          <w:tcPr>
            <w:tcW w:w="890" w:type="dxa"/>
            <w:tcBorders>
              <w:top w:val="nil"/>
              <w:left w:val="nil"/>
              <w:bottom w:val="nil"/>
              <w:right w:val="nil"/>
            </w:tcBorders>
            <w:shd w:val="clear" w:color="auto" w:fill="auto"/>
            <w:noWrap/>
            <w:vAlign w:val="bottom"/>
            <w:hideMark/>
          </w:tcPr>
          <w:p w14:paraId="6FF4291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0.006</w:t>
            </w:r>
          </w:p>
        </w:tc>
        <w:tc>
          <w:tcPr>
            <w:tcW w:w="111" w:type="dxa"/>
            <w:tcBorders>
              <w:top w:val="nil"/>
              <w:left w:val="nil"/>
              <w:bottom w:val="nil"/>
              <w:right w:val="nil"/>
            </w:tcBorders>
            <w:shd w:val="clear" w:color="auto" w:fill="auto"/>
            <w:noWrap/>
            <w:vAlign w:val="bottom"/>
            <w:hideMark/>
          </w:tcPr>
          <w:p w14:paraId="04D945E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1E5A793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0.64</w:t>
            </w:r>
          </w:p>
        </w:tc>
        <w:tc>
          <w:tcPr>
            <w:tcW w:w="1299" w:type="dxa"/>
            <w:tcBorders>
              <w:top w:val="nil"/>
              <w:left w:val="nil"/>
              <w:bottom w:val="nil"/>
              <w:right w:val="nil"/>
            </w:tcBorders>
            <w:shd w:val="clear" w:color="auto" w:fill="auto"/>
            <w:noWrap/>
            <w:vAlign w:val="bottom"/>
            <w:hideMark/>
          </w:tcPr>
          <w:p w14:paraId="0FE920D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0.21;1.07</w:t>
            </w:r>
          </w:p>
        </w:tc>
        <w:tc>
          <w:tcPr>
            <w:tcW w:w="890" w:type="dxa"/>
            <w:tcBorders>
              <w:top w:val="nil"/>
              <w:left w:val="nil"/>
              <w:bottom w:val="nil"/>
              <w:right w:val="nil"/>
            </w:tcBorders>
            <w:shd w:val="clear" w:color="auto" w:fill="auto"/>
            <w:noWrap/>
            <w:vAlign w:val="bottom"/>
            <w:hideMark/>
          </w:tcPr>
          <w:p w14:paraId="7D9D236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0.004</w:t>
            </w:r>
          </w:p>
        </w:tc>
      </w:tr>
      <w:tr w:rsidR="0055435C" w:rsidRPr="0055435C" w14:paraId="2B86780A" w14:textId="77777777" w:rsidTr="00677BF5">
        <w:trPr>
          <w:trHeight w:val="301"/>
        </w:trPr>
        <w:tc>
          <w:tcPr>
            <w:tcW w:w="1917" w:type="dxa"/>
            <w:tcBorders>
              <w:top w:val="nil"/>
              <w:left w:val="nil"/>
              <w:bottom w:val="nil"/>
              <w:right w:val="nil"/>
            </w:tcBorders>
            <w:shd w:val="clear" w:color="auto" w:fill="auto"/>
            <w:noWrap/>
            <w:vAlign w:val="bottom"/>
            <w:hideMark/>
          </w:tcPr>
          <w:p w14:paraId="116C31D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7EC0E3A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8" w:type="dxa"/>
            <w:tcBorders>
              <w:top w:val="nil"/>
              <w:left w:val="nil"/>
              <w:bottom w:val="nil"/>
              <w:right w:val="nil"/>
            </w:tcBorders>
            <w:shd w:val="clear" w:color="auto" w:fill="auto"/>
            <w:noWrap/>
            <w:vAlign w:val="bottom"/>
            <w:hideMark/>
          </w:tcPr>
          <w:p w14:paraId="48EAD37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73BE521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675F42F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4C991A6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2896DA5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1.99</w:t>
            </w:r>
          </w:p>
        </w:tc>
        <w:tc>
          <w:tcPr>
            <w:tcW w:w="1299" w:type="dxa"/>
            <w:tcBorders>
              <w:top w:val="nil"/>
              <w:left w:val="nil"/>
              <w:bottom w:val="nil"/>
              <w:right w:val="nil"/>
            </w:tcBorders>
            <w:shd w:val="clear" w:color="auto" w:fill="auto"/>
            <w:noWrap/>
            <w:vAlign w:val="bottom"/>
            <w:hideMark/>
          </w:tcPr>
          <w:p w14:paraId="3E438EF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1.30;2.67</w:t>
            </w:r>
          </w:p>
        </w:tc>
        <w:tc>
          <w:tcPr>
            <w:tcW w:w="890" w:type="dxa"/>
            <w:tcBorders>
              <w:top w:val="nil"/>
              <w:left w:val="nil"/>
              <w:bottom w:val="nil"/>
              <w:right w:val="nil"/>
            </w:tcBorders>
            <w:shd w:val="clear" w:color="auto" w:fill="auto"/>
            <w:noWrap/>
            <w:vAlign w:val="bottom"/>
            <w:hideMark/>
          </w:tcPr>
          <w:p w14:paraId="40D0F65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&gt;0.001</w:t>
            </w:r>
          </w:p>
        </w:tc>
      </w:tr>
      <w:tr w:rsidR="0055435C" w:rsidRPr="0055435C" w14:paraId="4BA8255F" w14:textId="77777777" w:rsidTr="00677BF5">
        <w:trPr>
          <w:trHeight w:val="301"/>
        </w:trPr>
        <w:tc>
          <w:tcPr>
            <w:tcW w:w="1917" w:type="dxa"/>
            <w:tcBorders>
              <w:top w:val="nil"/>
              <w:left w:val="nil"/>
              <w:bottom w:val="nil"/>
              <w:right w:val="nil"/>
            </w:tcBorders>
            <w:shd w:val="clear" w:color="auto" w:fill="auto"/>
            <w:noWrap/>
            <w:vAlign w:val="bottom"/>
            <w:hideMark/>
          </w:tcPr>
          <w:p w14:paraId="60B7DFB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090E3F4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nil"/>
              <w:right w:val="nil"/>
            </w:tcBorders>
            <w:shd w:val="clear" w:color="auto" w:fill="auto"/>
            <w:noWrap/>
            <w:vAlign w:val="bottom"/>
            <w:hideMark/>
          </w:tcPr>
          <w:p w14:paraId="029E71C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13803AE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3960BF0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4F8D843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031580C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6AF938F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760C29A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1E79347A" w14:textId="77777777" w:rsidTr="00677BF5">
        <w:trPr>
          <w:trHeight w:val="301"/>
        </w:trPr>
        <w:tc>
          <w:tcPr>
            <w:tcW w:w="1917" w:type="dxa"/>
            <w:tcBorders>
              <w:top w:val="nil"/>
              <w:left w:val="nil"/>
              <w:bottom w:val="nil"/>
              <w:right w:val="nil"/>
            </w:tcBorders>
            <w:shd w:val="clear" w:color="auto" w:fill="auto"/>
            <w:noWrap/>
            <w:vAlign w:val="bottom"/>
            <w:hideMark/>
          </w:tcPr>
          <w:p w14:paraId="0CAE7EA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BMC, g</w:t>
            </w:r>
          </w:p>
        </w:tc>
        <w:tc>
          <w:tcPr>
            <w:tcW w:w="1638" w:type="dxa"/>
            <w:tcBorders>
              <w:top w:val="nil"/>
              <w:left w:val="nil"/>
              <w:bottom w:val="nil"/>
              <w:right w:val="nil"/>
            </w:tcBorders>
            <w:shd w:val="clear" w:color="auto" w:fill="auto"/>
            <w:noWrap/>
            <w:vAlign w:val="bottom"/>
            <w:hideMark/>
          </w:tcPr>
          <w:p w14:paraId="1D3DE85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nil"/>
              <w:right w:val="nil"/>
            </w:tcBorders>
            <w:shd w:val="clear" w:color="auto" w:fill="auto"/>
            <w:noWrap/>
            <w:vAlign w:val="bottom"/>
            <w:hideMark/>
          </w:tcPr>
          <w:p w14:paraId="6B08493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37EDD8D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3AA46E5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512B0A2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7B324E1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53EBB2B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1433B37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3D0897A8" w14:textId="77777777" w:rsidTr="00677BF5">
        <w:trPr>
          <w:trHeight w:val="301"/>
        </w:trPr>
        <w:tc>
          <w:tcPr>
            <w:tcW w:w="1917" w:type="dxa"/>
            <w:tcBorders>
              <w:top w:val="nil"/>
              <w:left w:val="nil"/>
              <w:bottom w:val="nil"/>
              <w:right w:val="nil"/>
            </w:tcBorders>
            <w:shd w:val="clear" w:color="auto" w:fill="auto"/>
            <w:noWrap/>
            <w:vAlign w:val="bottom"/>
            <w:hideMark/>
          </w:tcPr>
          <w:p w14:paraId="2ADEE80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4478988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738" w:type="dxa"/>
            <w:tcBorders>
              <w:top w:val="nil"/>
              <w:left w:val="nil"/>
              <w:bottom w:val="nil"/>
              <w:right w:val="nil"/>
            </w:tcBorders>
            <w:shd w:val="clear" w:color="auto" w:fill="auto"/>
            <w:noWrap/>
            <w:vAlign w:val="bottom"/>
            <w:hideMark/>
          </w:tcPr>
          <w:p w14:paraId="6181600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1.76</w:t>
            </w:r>
          </w:p>
        </w:tc>
        <w:tc>
          <w:tcPr>
            <w:tcW w:w="1299" w:type="dxa"/>
            <w:tcBorders>
              <w:top w:val="nil"/>
              <w:left w:val="nil"/>
              <w:bottom w:val="nil"/>
              <w:right w:val="nil"/>
            </w:tcBorders>
            <w:shd w:val="clear" w:color="auto" w:fill="auto"/>
            <w:noWrap/>
            <w:vAlign w:val="bottom"/>
            <w:hideMark/>
          </w:tcPr>
          <w:p w14:paraId="3B4D70E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0.08;3.45</w:t>
            </w:r>
          </w:p>
        </w:tc>
        <w:tc>
          <w:tcPr>
            <w:tcW w:w="890" w:type="dxa"/>
            <w:tcBorders>
              <w:top w:val="nil"/>
              <w:left w:val="nil"/>
              <w:bottom w:val="nil"/>
              <w:right w:val="nil"/>
            </w:tcBorders>
            <w:shd w:val="clear" w:color="auto" w:fill="auto"/>
            <w:noWrap/>
            <w:vAlign w:val="bottom"/>
            <w:hideMark/>
          </w:tcPr>
          <w:p w14:paraId="24F0A2D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0.04</w:t>
            </w:r>
          </w:p>
        </w:tc>
        <w:tc>
          <w:tcPr>
            <w:tcW w:w="111" w:type="dxa"/>
            <w:tcBorders>
              <w:top w:val="nil"/>
              <w:left w:val="nil"/>
              <w:bottom w:val="nil"/>
              <w:right w:val="nil"/>
            </w:tcBorders>
            <w:shd w:val="clear" w:color="auto" w:fill="auto"/>
            <w:noWrap/>
            <w:vAlign w:val="bottom"/>
            <w:hideMark/>
          </w:tcPr>
          <w:p w14:paraId="3EA3B49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2953342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0.61</w:t>
            </w:r>
          </w:p>
        </w:tc>
        <w:tc>
          <w:tcPr>
            <w:tcW w:w="1299" w:type="dxa"/>
            <w:tcBorders>
              <w:top w:val="nil"/>
              <w:left w:val="nil"/>
              <w:bottom w:val="nil"/>
              <w:right w:val="nil"/>
            </w:tcBorders>
            <w:shd w:val="clear" w:color="auto" w:fill="auto"/>
            <w:noWrap/>
            <w:vAlign w:val="bottom"/>
            <w:hideMark/>
          </w:tcPr>
          <w:p w14:paraId="7804CAA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-1.27;2.49</w:t>
            </w:r>
          </w:p>
        </w:tc>
        <w:tc>
          <w:tcPr>
            <w:tcW w:w="890" w:type="dxa"/>
            <w:tcBorders>
              <w:top w:val="nil"/>
              <w:left w:val="nil"/>
              <w:bottom w:val="nil"/>
              <w:right w:val="nil"/>
            </w:tcBorders>
            <w:shd w:val="clear" w:color="auto" w:fill="auto"/>
            <w:noWrap/>
            <w:vAlign w:val="bottom"/>
            <w:hideMark/>
          </w:tcPr>
          <w:p w14:paraId="6AE0617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0.521</w:t>
            </w:r>
          </w:p>
        </w:tc>
      </w:tr>
      <w:tr w:rsidR="0055435C" w:rsidRPr="0055435C" w14:paraId="3FD630D6" w14:textId="77777777" w:rsidTr="00677BF5">
        <w:trPr>
          <w:trHeight w:val="301"/>
        </w:trPr>
        <w:tc>
          <w:tcPr>
            <w:tcW w:w="1917" w:type="dxa"/>
            <w:tcBorders>
              <w:top w:val="nil"/>
              <w:left w:val="nil"/>
              <w:bottom w:val="nil"/>
              <w:right w:val="nil"/>
            </w:tcBorders>
            <w:shd w:val="clear" w:color="auto" w:fill="auto"/>
            <w:noWrap/>
            <w:vAlign w:val="bottom"/>
            <w:hideMark/>
          </w:tcPr>
          <w:p w14:paraId="0DAED82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07A64A8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738" w:type="dxa"/>
            <w:tcBorders>
              <w:top w:val="nil"/>
              <w:left w:val="nil"/>
              <w:bottom w:val="nil"/>
              <w:right w:val="nil"/>
            </w:tcBorders>
            <w:shd w:val="clear" w:color="auto" w:fill="auto"/>
            <w:noWrap/>
            <w:vAlign w:val="bottom"/>
            <w:hideMark/>
          </w:tcPr>
          <w:p w14:paraId="1184C22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2.54</w:t>
            </w:r>
          </w:p>
        </w:tc>
        <w:tc>
          <w:tcPr>
            <w:tcW w:w="1299" w:type="dxa"/>
            <w:tcBorders>
              <w:top w:val="nil"/>
              <w:left w:val="nil"/>
              <w:bottom w:val="nil"/>
              <w:right w:val="nil"/>
            </w:tcBorders>
            <w:shd w:val="clear" w:color="auto" w:fill="auto"/>
            <w:noWrap/>
            <w:vAlign w:val="bottom"/>
            <w:hideMark/>
          </w:tcPr>
          <w:p w14:paraId="2D1A229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0.95;4.13</w:t>
            </w:r>
          </w:p>
        </w:tc>
        <w:tc>
          <w:tcPr>
            <w:tcW w:w="890" w:type="dxa"/>
            <w:tcBorders>
              <w:top w:val="nil"/>
              <w:left w:val="nil"/>
              <w:bottom w:val="nil"/>
              <w:right w:val="nil"/>
            </w:tcBorders>
            <w:shd w:val="clear" w:color="auto" w:fill="auto"/>
            <w:noWrap/>
            <w:vAlign w:val="bottom"/>
            <w:hideMark/>
          </w:tcPr>
          <w:p w14:paraId="5EAE10C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0.002</w:t>
            </w:r>
          </w:p>
        </w:tc>
        <w:tc>
          <w:tcPr>
            <w:tcW w:w="111" w:type="dxa"/>
            <w:tcBorders>
              <w:top w:val="nil"/>
              <w:left w:val="nil"/>
              <w:bottom w:val="nil"/>
              <w:right w:val="nil"/>
            </w:tcBorders>
            <w:shd w:val="clear" w:color="auto" w:fill="auto"/>
            <w:noWrap/>
            <w:vAlign w:val="bottom"/>
            <w:hideMark/>
          </w:tcPr>
          <w:p w14:paraId="56C6DA9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25BDB2F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0.93</w:t>
            </w:r>
          </w:p>
        </w:tc>
        <w:tc>
          <w:tcPr>
            <w:tcW w:w="1299" w:type="dxa"/>
            <w:tcBorders>
              <w:top w:val="nil"/>
              <w:left w:val="nil"/>
              <w:bottom w:val="nil"/>
              <w:right w:val="nil"/>
            </w:tcBorders>
            <w:shd w:val="clear" w:color="auto" w:fill="auto"/>
            <w:noWrap/>
            <w:vAlign w:val="bottom"/>
            <w:hideMark/>
          </w:tcPr>
          <w:p w14:paraId="7986B5B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-1.06;2.93</w:t>
            </w:r>
          </w:p>
        </w:tc>
        <w:tc>
          <w:tcPr>
            <w:tcW w:w="890" w:type="dxa"/>
            <w:tcBorders>
              <w:top w:val="nil"/>
              <w:left w:val="nil"/>
              <w:bottom w:val="nil"/>
              <w:right w:val="nil"/>
            </w:tcBorders>
            <w:shd w:val="clear" w:color="auto" w:fill="auto"/>
            <w:noWrap/>
            <w:vAlign w:val="bottom"/>
            <w:hideMark/>
          </w:tcPr>
          <w:p w14:paraId="3FF547F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0.356</w:t>
            </w:r>
          </w:p>
        </w:tc>
      </w:tr>
      <w:tr w:rsidR="0055435C" w:rsidRPr="0055435C" w14:paraId="468819B4" w14:textId="77777777" w:rsidTr="00677BF5">
        <w:trPr>
          <w:trHeight w:val="301"/>
        </w:trPr>
        <w:tc>
          <w:tcPr>
            <w:tcW w:w="1917" w:type="dxa"/>
            <w:tcBorders>
              <w:top w:val="nil"/>
              <w:left w:val="nil"/>
              <w:bottom w:val="nil"/>
              <w:right w:val="nil"/>
            </w:tcBorders>
            <w:shd w:val="clear" w:color="auto" w:fill="auto"/>
            <w:noWrap/>
            <w:vAlign w:val="bottom"/>
            <w:hideMark/>
          </w:tcPr>
          <w:p w14:paraId="171C4960"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3337B43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8" w:type="dxa"/>
            <w:tcBorders>
              <w:top w:val="nil"/>
              <w:left w:val="nil"/>
              <w:bottom w:val="nil"/>
              <w:right w:val="nil"/>
            </w:tcBorders>
            <w:shd w:val="clear" w:color="auto" w:fill="auto"/>
            <w:noWrap/>
            <w:vAlign w:val="bottom"/>
            <w:hideMark/>
          </w:tcPr>
          <w:p w14:paraId="7B09F26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2.15</w:t>
            </w:r>
          </w:p>
        </w:tc>
        <w:tc>
          <w:tcPr>
            <w:tcW w:w="1299" w:type="dxa"/>
            <w:tcBorders>
              <w:top w:val="nil"/>
              <w:left w:val="nil"/>
              <w:bottom w:val="nil"/>
              <w:right w:val="nil"/>
            </w:tcBorders>
            <w:shd w:val="clear" w:color="auto" w:fill="auto"/>
            <w:noWrap/>
            <w:vAlign w:val="bottom"/>
            <w:hideMark/>
          </w:tcPr>
          <w:p w14:paraId="47A64C3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0.54;3.75</w:t>
            </w:r>
          </w:p>
        </w:tc>
        <w:tc>
          <w:tcPr>
            <w:tcW w:w="890" w:type="dxa"/>
            <w:tcBorders>
              <w:top w:val="nil"/>
              <w:left w:val="nil"/>
              <w:bottom w:val="nil"/>
              <w:right w:val="nil"/>
            </w:tcBorders>
            <w:shd w:val="clear" w:color="auto" w:fill="auto"/>
            <w:noWrap/>
            <w:vAlign w:val="bottom"/>
            <w:hideMark/>
          </w:tcPr>
          <w:p w14:paraId="51C797C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0.009</w:t>
            </w:r>
          </w:p>
        </w:tc>
        <w:tc>
          <w:tcPr>
            <w:tcW w:w="111" w:type="dxa"/>
            <w:tcBorders>
              <w:top w:val="nil"/>
              <w:left w:val="nil"/>
              <w:bottom w:val="nil"/>
              <w:right w:val="nil"/>
            </w:tcBorders>
            <w:shd w:val="clear" w:color="auto" w:fill="auto"/>
            <w:noWrap/>
            <w:vAlign w:val="bottom"/>
            <w:hideMark/>
          </w:tcPr>
          <w:p w14:paraId="7115878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61FE0E2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0.68</w:t>
            </w:r>
          </w:p>
        </w:tc>
        <w:tc>
          <w:tcPr>
            <w:tcW w:w="1299" w:type="dxa"/>
            <w:tcBorders>
              <w:top w:val="nil"/>
              <w:left w:val="nil"/>
              <w:bottom w:val="nil"/>
              <w:right w:val="nil"/>
            </w:tcBorders>
            <w:shd w:val="clear" w:color="auto" w:fill="auto"/>
            <w:noWrap/>
            <w:vAlign w:val="bottom"/>
            <w:hideMark/>
          </w:tcPr>
          <w:p w14:paraId="6A71D79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-1.27;2.62</w:t>
            </w:r>
          </w:p>
        </w:tc>
        <w:tc>
          <w:tcPr>
            <w:tcW w:w="890" w:type="dxa"/>
            <w:tcBorders>
              <w:top w:val="nil"/>
              <w:left w:val="nil"/>
              <w:bottom w:val="nil"/>
              <w:right w:val="nil"/>
            </w:tcBorders>
            <w:shd w:val="clear" w:color="auto" w:fill="auto"/>
            <w:noWrap/>
            <w:vAlign w:val="bottom"/>
            <w:hideMark/>
          </w:tcPr>
          <w:p w14:paraId="2C68AB8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0.492</w:t>
            </w:r>
          </w:p>
        </w:tc>
      </w:tr>
      <w:tr w:rsidR="0055435C" w:rsidRPr="0055435C" w14:paraId="6F52B216" w14:textId="77777777" w:rsidTr="00677BF5">
        <w:trPr>
          <w:trHeight w:val="301"/>
        </w:trPr>
        <w:tc>
          <w:tcPr>
            <w:tcW w:w="1917" w:type="dxa"/>
            <w:tcBorders>
              <w:top w:val="nil"/>
              <w:left w:val="nil"/>
              <w:bottom w:val="nil"/>
              <w:right w:val="nil"/>
            </w:tcBorders>
            <w:shd w:val="clear" w:color="auto" w:fill="auto"/>
            <w:noWrap/>
            <w:vAlign w:val="bottom"/>
            <w:hideMark/>
          </w:tcPr>
          <w:p w14:paraId="6E4EDDD0"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62A0631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8" w:type="dxa"/>
            <w:tcBorders>
              <w:top w:val="nil"/>
              <w:left w:val="nil"/>
              <w:bottom w:val="nil"/>
              <w:right w:val="nil"/>
            </w:tcBorders>
            <w:shd w:val="clear" w:color="auto" w:fill="auto"/>
            <w:noWrap/>
            <w:vAlign w:val="bottom"/>
            <w:hideMark/>
          </w:tcPr>
          <w:p w14:paraId="3E05F37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1.20</w:t>
            </w:r>
          </w:p>
        </w:tc>
        <w:tc>
          <w:tcPr>
            <w:tcW w:w="1299" w:type="dxa"/>
            <w:tcBorders>
              <w:top w:val="nil"/>
              <w:left w:val="nil"/>
              <w:bottom w:val="nil"/>
              <w:right w:val="nil"/>
            </w:tcBorders>
            <w:shd w:val="clear" w:color="auto" w:fill="auto"/>
            <w:noWrap/>
            <w:vAlign w:val="bottom"/>
            <w:hideMark/>
          </w:tcPr>
          <w:p w14:paraId="055A307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-0.38;2.78</w:t>
            </w:r>
          </w:p>
        </w:tc>
        <w:tc>
          <w:tcPr>
            <w:tcW w:w="890" w:type="dxa"/>
            <w:tcBorders>
              <w:top w:val="nil"/>
              <w:left w:val="nil"/>
              <w:bottom w:val="nil"/>
              <w:right w:val="nil"/>
            </w:tcBorders>
            <w:shd w:val="clear" w:color="auto" w:fill="auto"/>
            <w:noWrap/>
            <w:vAlign w:val="bottom"/>
            <w:hideMark/>
          </w:tcPr>
          <w:p w14:paraId="70011D7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0.136</w:t>
            </w:r>
          </w:p>
        </w:tc>
        <w:tc>
          <w:tcPr>
            <w:tcW w:w="111" w:type="dxa"/>
            <w:tcBorders>
              <w:top w:val="nil"/>
              <w:left w:val="nil"/>
              <w:bottom w:val="nil"/>
              <w:right w:val="nil"/>
            </w:tcBorders>
            <w:shd w:val="clear" w:color="auto" w:fill="auto"/>
            <w:noWrap/>
            <w:vAlign w:val="bottom"/>
            <w:hideMark/>
          </w:tcPr>
          <w:p w14:paraId="75D443D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6B3B27E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1.15</w:t>
            </w:r>
          </w:p>
        </w:tc>
        <w:tc>
          <w:tcPr>
            <w:tcW w:w="1299" w:type="dxa"/>
            <w:tcBorders>
              <w:top w:val="nil"/>
              <w:left w:val="nil"/>
              <w:bottom w:val="nil"/>
              <w:right w:val="nil"/>
            </w:tcBorders>
            <w:shd w:val="clear" w:color="auto" w:fill="auto"/>
            <w:noWrap/>
            <w:vAlign w:val="bottom"/>
            <w:hideMark/>
          </w:tcPr>
          <w:p w14:paraId="5776CDE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-0.41;2.71</w:t>
            </w:r>
          </w:p>
        </w:tc>
        <w:tc>
          <w:tcPr>
            <w:tcW w:w="890" w:type="dxa"/>
            <w:tcBorders>
              <w:top w:val="nil"/>
              <w:left w:val="nil"/>
              <w:bottom w:val="nil"/>
              <w:right w:val="nil"/>
            </w:tcBorders>
            <w:shd w:val="clear" w:color="auto" w:fill="auto"/>
            <w:noWrap/>
            <w:vAlign w:val="bottom"/>
            <w:hideMark/>
          </w:tcPr>
          <w:p w14:paraId="03C673B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0.146</w:t>
            </w:r>
          </w:p>
        </w:tc>
      </w:tr>
      <w:tr w:rsidR="0055435C" w:rsidRPr="0055435C" w14:paraId="445A5A0D" w14:textId="77777777" w:rsidTr="00677BF5">
        <w:trPr>
          <w:trHeight w:val="301"/>
        </w:trPr>
        <w:tc>
          <w:tcPr>
            <w:tcW w:w="1917" w:type="dxa"/>
            <w:tcBorders>
              <w:top w:val="nil"/>
              <w:left w:val="nil"/>
              <w:bottom w:val="nil"/>
              <w:right w:val="nil"/>
            </w:tcBorders>
            <w:shd w:val="clear" w:color="auto" w:fill="auto"/>
            <w:noWrap/>
            <w:vAlign w:val="bottom"/>
            <w:hideMark/>
          </w:tcPr>
          <w:p w14:paraId="5286D813"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1A1C21E7"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8" w:type="dxa"/>
            <w:tcBorders>
              <w:top w:val="nil"/>
              <w:left w:val="nil"/>
              <w:bottom w:val="nil"/>
              <w:right w:val="nil"/>
            </w:tcBorders>
            <w:shd w:val="clear" w:color="auto" w:fill="auto"/>
            <w:noWrap/>
            <w:vAlign w:val="bottom"/>
            <w:hideMark/>
          </w:tcPr>
          <w:p w14:paraId="444D5BF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66CD92F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778B896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3F22604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24D4380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3.18</w:t>
            </w:r>
          </w:p>
        </w:tc>
        <w:tc>
          <w:tcPr>
            <w:tcW w:w="1299" w:type="dxa"/>
            <w:tcBorders>
              <w:top w:val="nil"/>
              <w:left w:val="nil"/>
              <w:bottom w:val="nil"/>
              <w:right w:val="nil"/>
            </w:tcBorders>
            <w:shd w:val="clear" w:color="auto" w:fill="auto"/>
            <w:noWrap/>
            <w:vAlign w:val="bottom"/>
            <w:hideMark/>
          </w:tcPr>
          <w:p w14:paraId="7C75E27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0.72;5.63</w:t>
            </w:r>
          </w:p>
        </w:tc>
        <w:tc>
          <w:tcPr>
            <w:tcW w:w="890" w:type="dxa"/>
            <w:tcBorders>
              <w:top w:val="nil"/>
              <w:left w:val="nil"/>
              <w:bottom w:val="nil"/>
              <w:right w:val="nil"/>
            </w:tcBorders>
            <w:shd w:val="clear" w:color="auto" w:fill="auto"/>
            <w:noWrap/>
            <w:vAlign w:val="bottom"/>
            <w:hideMark/>
          </w:tcPr>
          <w:p w14:paraId="517D05F5"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0.012</w:t>
            </w:r>
          </w:p>
        </w:tc>
      </w:tr>
      <w:tr w:rsidR="0055435C" w:rsidRPr="0055435C" w14:paraId="432DDB4C" w14:textId="77777777" w:rsidTr="00677BF5">
        <w:trPr>
          <w:trHeight w:val="301"/>
        </w:trPr>
        <w:tc>
          <w:tcPr>
            <w:tcW w:w="1917" w:type="dxa"/>
            <w:tcBorders>
              <w:top w:val="nil"/>
              <w:left w:val="nil"/>
              <w:bottom w:val="nil"/>
              <w:right w:val="nil"/>
            </w:tcBorders>
            <w:shd w:val="clear" w:color="auto" w:fill="auto"/>
            <w:noWrap/>
            <w:vAlign w:val="bottom"/>
            <w:hideMark/>
          </w:tcPr>
          <w:p w14:paraId="593D7A9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2694D2D7"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738" w:type="dxa"/>
            <w:tcBorders>
              <w:top w:val="nil"/>
              <w:left w:val="nil"/>
              <w:bottom w:val="nil"/>
              <w:right w:val="nil"/>
            </w:tcBorders>
            <w:shd w:val="clear" w:color="auto" w:fill="auto"/>
            <w:noWrap/>
            <w:vAlign w:val="bottom"/>
            <w:hideMark/>
          </w:tcPr>
          <w:p w14:paraId="36694FB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012499A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7427FBB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3CF00647"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5F2DA7B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7588BE3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19F766C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347438B8" w14:textId="77777777" w:rsidTr="00677BF5">
        <w:trPr>
          <w:trHeight w:val="328"/>
        </w:trPr>
        <w:tc>
          <w:tcPr>
            <w:tcW w:w="1917" w:type="dxa"/>
            <w:tcBorders>
              <w:top w:val="nil"/>
              <w:left w:val="nil"/>
              <w:bottom w:val="nil"/>
              <w:right w:val="nil"/>
            </w:tcBorders>
            <w:shd w:val="clear" w:color="auto" w:fill="auto"/>
            <w:noWrap/>
            <w:vAlign w:val="bottom"/>
            <w:hideMark/>
          </w:tcPr>
          <w:p w14:paraId="5142BCA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aBMD, g/cm</w:t>
            </w:r>
            <w:r w:rsidRPr="0055435C">
              <w:rPr>
                <w:rFonts w:ascii="Calibri" w:eastAsia="Times New Roman" w:hAnsi="Calibri" w:cs="Times New Roman"/>
                <w:color w:val="000000"/>
                <w:vertAlign w:val="superscript"/>
                <w:lang w:eastAsia="sv-FI"/>
              </w:rPr>
              <w:t>2</w:t>
            </w:r>
          </w:p>
        </w:tc>
        <w:tc>
          <w:tcPr>
            <w:tcW w:w="1638" w:type="dxa"/>
            <w:tcBorders>
              <w:top w:val="nil"/>
              <w:left w:val="nil"/>
              <w:bottom w:val="nil"/>
              <w:right w:val="nil"/>
            </w:tcBorders>
            <w:shd w:val="clear" w:color="auto" w:fill="auto"/>
            <w:noWrap/>
            <w:vAlign w:val="bottom"/>
            <w:hideMark/>
          </w:tcPr>
          <w:p w14:paraId="084BA4B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58FBB33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4B17F71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716DFAB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23388A3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4B1B0EF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6819C8E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403E634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r>
      <w:tr w:rsidR="0055435C" w:rsidRPr="0055435C" w14:paraId="3C261B6A" w14:textId="77777777" w:rsidTr="00677BF5">
        <w:trPr>
          <w:trHeight w:val="301"/>
        </w:trPr>
        <w:tc>
          <w:tcPr>
            <w:tcW w:w="1917" w:type="dxa"/>
            <w:tcBorders>
              <w:top w:val="nil"/>
              <w:left w:val="nil"/>
              <w:bottom w:val="nil"/>
              <w:right w:val="nil"/>
            </w:tcBorders>
            <w:shd w:val="clear" w:color="auto" w:fill="auto"/>
            <w:noWrap/>
            <w:vAlign w:val="bottom"/>
            <w:hideMark/>
          </w:tcPr>
          <w:p w14:paraId="69B0CA13"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3E4535E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738" w:type="dxa"/>
            <w:tcBorders>
              <w:top w:val="nil"/>
              <w:left w:val="nil"/>
              <w:bottom w:val="nil"/>
              <w:right w:val="nil"/>
            </w:tcBorders>
            <w:shd w:val="clear" w:color="auto" w:fill="auto"/>
            <w:noWrap/>
            <w:vAlign w:val="bottom"/>
            <w:hideMark/>
          </w:tcPr>
          <w:p w14:paraId="0032F56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0.013</w:t>
            </w:r>
          </w:p>
        </w:tc>
        <w:tc>
          <w:tcPr>
            <w:tcW w:w="1299" w:type="dxa"/>
            <w:tcBorders>
              <w:top w:val="nil"/>
              <w:left w:val="nil"/>
              <w:bottom w:val="nil"/>
              <w:right w:val="nil"/>
            </w:tcBorders>
            <w:shd w:val="clear" w:color="auto" w:fill="auto"/>
            <w:noWrap/>
            <w:vAlign w:val="bottom"/>
            <w:hideMark/>
          </w:tcPr>
          <w:p w14:paraId="3DFD599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-0.02;0.05</w:t>
            </w:r>
          </w:p>
        </w:tc>
        <w:tc>
          <w:tcPr>
            <w:tcW w:w="890" w:type="dxa"/>
            <w:tcBorders>
              <w:top w:val="nil"/>
              <w:left w:val="nil"/>
              <w:bottom w:val="nil"/>
              <w:right w:val="nil"/>
            </w:tcBorders>
            <w:shd w:val="clear" w:color="auto" w:fill="auto"/>
            <w:noWrap/>
            <w:vAlign w:val="bottom"/>
            <w:hideMark/>
          </w:tcPr>
          <w:p w14:paraId="3B63DD2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0.427</w:t>
            </w:r>
          </w:p>
        </w:tc>
        <w:tc>
          <w:tcPr>
            <w:tcW w:w="111" w:type="dxa"/>
            <w:tcBorders>
              <w:top w:val="nil"/>
              <w:left w:val="nil"/>
              <w:bottom w:val="nil"/>
              <w:right w:val="nil"/>
            </w:tcBorders>
            <w:shd w:val="clear" w:color="auto" w:fill="auto"/>
            <w:noWrap/>
            <w:vAlign w:val="bottom"/>
            <w:hideMark/>
          </w:tcPr>
          <w:p w14:paraId="01276EA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60CD5FA0"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0.005</w:t>
            </w:r>
          </w:p>
        </w:tc>
        <w:tc>
          <w:tcPr>
            <w:tcW w:w="1299" w:type="dxa"/>
            <w:tcBorders>
              <w:top w:val="nil"/>
              <w:left w:val="nil"/>
              <w:bottom w:val="nil"/>
              <w:right w:val="nil"/>
            </w:tcBorders>
            <w:shd w:val="clear" w:color="auto" w:fill="auto"/>
            <w:noWrap/>
            <w:vAlign w:val="bottom"/>
            <w:hideMark/>
          </w:tcPr>
          <w:p w14:paraId="41DA5E3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-0.03;0.04</w:t>
            </w:r>
          </w:p>
        </w:tc>
        <w:tc>
          <w:tcPr>
            <w:tcW w:w="890" w:type="dxa"/>
            <w:tcBorders>
              <w:top w:val="nil"/>
              <w:left w:val="nil"/>
              <w:bottom w:val="nil"/>
              <w:right w:val="nil"/>
            </w:tcBorders>
            <w:shd w:val="clear" w:color="auto" w:fill="auto"/>
            <w:noWrap/>
            <w:vAlign w:val="bottom"/>
            <w:hideMark/>
          </w:tcPr>
          <w:p w14:paraId="715DF25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0.778</w:t>
            </w:r>
          </w:p>
        </w:tc>
      </w:tr>
      <w:tr w:rsidR="0055435C" w:rsidRPr="0055435C" w14:paraId="2D2B51D9" w14:textId="77777777" w:rsidTr="00677BF5">
        <w:trPr>
          <w:trHeight w:val="301"/>
        </w:trPr>
        <w:tc>
          <w:tcPr>
            <w:tcW w:w="1917" w:type="dxa"/>
            <w:tcBorders>
              <w:top w:val="nil"/>
              <w:left w:val="nil"/>
              <w:bottom w:val="nil"/>
              <w:right w:val="nil"/>
            </w:tcBorders>
            <w:shd w:val="clear" w:color="auto" w:fill="auto"/>
            <w:noWrap/>
            <w:vAlign w:val="bottom"/>
            <w:hideMark/>
          </w:tcPr>
          <w:p w14:paraId="1CF6937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3A83190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738" w:type="dxa"/>
            <w:tcBorders>
              <w:top w:val="nil"/>
              <w:left w:val="nil"/>
              <w:bottom w:val="nil"/>
              <w:right w:val="nil"/>
            </w:tcBorders>
            <w:shd w:val="clear" w:color="auto" w:fill="auto"/>
            <w:noWrap/>
            <w:vAlign w:val="bottom"/>
            <w:hideMark/>
          </w:tcPr>
          <w:p w14:paraId="526456F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0.017</w:t>
            </w:r>
          </w:p>
        </w:tc>
        <w:tc>
          <w:tcPr>
            <w:tcW w:w="1299" w:type="dxa"/>
            <w:tcBorders>
              <w:top w:val="nil"/>
              <w:left w:val="nil"/>
              <w:bottom w:val="nil"/>
              <w:right w:val="nil"/>
            </w:tcBorders>
            <w:shd w:val="clear" w:color="auto" w:fill="auto"/>
            <w:noWrap/>
            <w:vAlign w:val="bottom"/>
            <w:hideMark/>
          </w:tcPr>
          <w:p w14:paraId="6E68523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-0.01;0.05</w:t>
            </w:r>
          </w:p>
        </w:tc>
        <w:tc>
          <w:tcPr>
            <w:tcW w:w="890" w:type="dxa"/>
            <w:tcBorders>
              <w:top w:val="nil"/>
              <w:left w:val="nil"/>
              <w:bottom w:val="nil"/>
              <w:right w:val="nil"/>
            </w:tcBorders>
            <w:shd w:val="clear" w:color="auto" w:fill="auto"/>
            <w:noWrap/>
            <w:vAlign w:val="bottom"/>
            <w:hideMark/>
          </w:tcPr>
          <w:p w14:paraId="3327BD36"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0.261</w:t>
            </w:r>
          </w:p>
        </w:tc>
        <w:tc>
          <w:tcPr>
            <w:tcW w:w="111" w:type="dxa"/>
            <w:tcBorders>
              <w:top w:val="nil"/>
              <w:left w:val="nil"/>
              <w:bottom w:val="nil"/>
              <w:right w:val="nil"/>
            </w:tcBorders>
            <w:shd w:val="clear" w:color="auto" w:fill="auto"/>
            <w:noWrap/>
            <w:vAlign w:val="bottom"/>
            <w:hideMark/>
          </w:tcPr>
          <w:p w14:paraId="16928C5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0F1FE47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0.007</w:t>
            </w:r>
          </w:p>
        </w:tc>
        <w:tc>
          <w:tcPr>
            <w:tcW w:w="1299" w:type="dxa"/>
            <w:tcBorders>
              <w:top w:val="nil"/>
              <w:left w:val="nil"/>
              <w:bottom w:val="nil"/>
              <w:right w:val="nil"/>
            </w:tcBorders>
            <w:shd w:val="clear" w:color="auto" w:fill="auto"/>
            <w:noWrap/>
            <w:vAlign w:val="bottom"/>
            <w:hideMark/>
          </w:tcPr>
          <w:p w14:paraId="558D704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-0.03;0.05</w:t>
            </w:r>
          </w:p>
        </w:tc>
        <w:tc>
          <w:tcPr>
            <w:tcW w:w="890" w:type="dxa"/>
            <w:tcBorders>
              <w:top w:val="nil"/>
              <w:left w:val="nil"/>
              <w:bottom w:val="nil"/>
              <w:right w:val="nil"/>
            </w:tcBorders>
            <w:shd w:val="clear" w:color="auto" w:fill="auto"/>
            <w:noWrap/>
            <w:vAlign w:val="bottom"/>
            <w:hideMark/>
          </w:tcPr>
          <w:p w14:paraId="2E19C1C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0.738</w:t>
            </w:r>
          </w:p>
        </w:tc>
      </w:tr>
      <w:tr w:rsidR="0055435C" w:rsidRPr="0055435C" w14:paraId="31723AEE" w14:textId="77777777" w:rsidTr="00677BF5">
        <w:trPr>
          <w:trHeight w:val="301"/>
        </w:trPr>
        <w:tc>
          <w:tcPr>
            <w:tcW w:w="1917" w:type="dxa"/>
            <w:tcBorders>
              <w:top w:val="nil"/>
              <w:left w:val="nil"/>
              <w:bottom w:val="nil"/>
              <w:right w:val="nil"/>
            </w:tcBorders>
            <w:shd w:val="clear" w:color="auto" w:fill="auto"/>
            <w:noWrap/>
            <w:vAlign w:val="bottom"/>
            <w:hideMark/>
          </w:tcPr>
          <w:p w14:paraId="71EFBCE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152F10A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738" w:type="dxa"/>
            <w:tcBorders>
              <w:top w:val="nil"/>
              <w:left w:val="nil"/>
              <w:bottom w:val="nil"/>
              <w:right w:val="nil"/>
            </w:tcBorders>
            <w:shd w:val="clear" w:color="auto" w:fill="auto"/>
            <w:noWrap/>
            <w:vAlign w:val="bottom"/>
            <w:hideMark/>
          </w:tcPr>
          <w:p w14:paraId="499DF68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0.026</w:t>
            </w:r>
          </w:p>
        </w:tc>
        <w:tc>
          <w:tcPr>
            <w:tcW w:w="1299" w:type="dxa"/>
            <w:tcBorders>
              <w:top w:val="nil"/>
              <w:left w:val="nil"/>
              <w:bottom w:val="nil"/>
              <w:right w:val="nil"/>
            </w:tcBorders>
            <w:shd w:val="clear" w:color="auto" w:fill="auto"/>
            <w:noWrap/>
            <w:vAlign w:val="bottom"/>
            <w:hideMark/>
          </w:tcPr>
          <w:p w14:paraId="4C07BDE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-0.01;0.06</w:t>
            </w:r>
          </w:p>
        </w:tc>
        <w:tc>
          <w:tcPr>
            <w:tcW w:w="890" w:type="dxa"/>
            <w:tcBorders>
              <w:top w:val="nil"/>
              <w:left w:val="nil"/>
              <w:bottom w:val="nil"/>
              <w:right w:val="nil"/>
            </w:tcBorders>
            <w:shd w:val="clear" w:color="auto" w:fill="auto"/>
            <w:noWrap/>
            <w:vAlign w:val="bottom"/>
            <w:hideMark/>
          </w:tcPr>
          <w:p w14:paraId="600C785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0.095</w:t>
            </w:r>
          </w:p>
        </w:tc>
        <w:tc>
          <w:tcPr>
            <w:tcW w:w="111" w:type="dxa"/>
            <w:tcBorders>
              <w:top w:val="nil"/>
              <w:left w:val="nil"/>
              <w:bottom w:val="nil"/>
              <w:right w:val="nil"/>
            </w:tcBorders>
            <w:shd w:val="clear" w:color="auto" w:fill="auto"/>
            <w:noWrap/>
            <w:vAlign w:val="bottom"/>
            <w:hideMark/>
          </w:tcPr>
          <w:p w14:paraId="5970A6DF"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51BEA4F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0.016</w:t>
            </w:r>
          </w:p>
        </w:tc>
        <w:tc>
          <w:tcPr>
            <w:tcW w:w="1299" w:type="dxa"/>
            <w:tcBorders>
              <w:top w:val="nil"/>
              <w:left w:val="nil"/>
              <w:bottom w:val="nil"/>
              <w:right w:val="nil"/>
            </w:tcBorders>
            <w:shd w:val="clear" w:color="auto" w:fill="auto"/>
            <w:noWrap/>
            <w:vAlign w:val="bottom"/>
            <w:hideMark/>
          </w:tcPr>
          <w:p w14:paraId="19CC279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-0.02;0.05</w:t>
            </w:r>
          </w:p>
        </w:tc>
        <w:tc>
          <w:tcPr>
            <w:tcW w:w="890" w:type="dxa"/>
            <w:tcBorders>
              <w:top w:val="nil"/>
              <w:left w:val="nil"/>
              <w:bottom w:val="nil"/>
              <w:right w:val="nil"/>
            </w:tcBorders>
            <w:shd w:val="clear" w:color="auto" w:fill="auto"/>
            <w:noWrap/>
            <w:vAlign w:val="bottom"/>
            <w:hideMark/>
          </w:tcPr>
          <w:p w14:paraId="4816E59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0.398</w:t>
            </w:r>
          </w:p>
        </w:tc>
      </w:tr>
      <w:tr w:rsidR="0055435C" w:rsidRPr="0055435C" w14:paraId="38776A9A" w14:textId="77777777" w:rsidTr="00677BF5">
        <w:trPr>
          <w:trHeight w:val="301"/>
        </w:trPr>
        <w:tc>
          <w:tcPr>
            <w:tcW w:w="1917" w:type="dxa"/>
            <w:tcBorders>
              <w:top w:val="nil"/>
              <w:left w:val="nil"/>
              <w:bottom w:val="nil"/>
              <w:right w:val="nil"/>
            </w:tcBorders>
            <w:shd w:val="clear" w:color="auto" w:fill="auto"/>
            <w:noWrap/>
            <w:vAlign w:val="bottom"/>
            <w:hideMark/>
          </w:tcPr>
          <w:p w14:paraId="064B7FF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638" w:type="dxa"/>
            <w:tcBorders>
              <w:top w:val="nil"/>
              <w:left w:val="nil"/>
              <w:bottom w:val="nil"/>
              <w:right w:val="nil"/>
            </w:tcBorders>
            <w:shd w:val="clear" w:color="auto" w:fill="auto"/>
            <w:noWrap/>
            <w:vAlign w:val="bottom"/>
            <w:hideMark/>
          </w:tcPr>
          <w:p w14:paraId="1979403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738" w:type="dxa"/>
            <w:tcBorders>
              <w:top w:val="nil"/>
              <w:left w:val="nil"/>
              <w:bottom w:val="nil"/>
              <w:right w:val="nil"/>
            </w:tcBorders>
            <w:shd w:val="clear" w:color="auto" w:fill="auto"/>
            <w:noWrap/>
            <w:vAlign w:val="bottom"/>
            <w:hideMark/>
          </w:tcPr>
          <w:p w14:paraId="5BA024E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0.008</w:t>
            </w:r>
          </w:p>
        </w:tc>
        <w:tc>
          <w:tcPr>
            <w:tcW w:w="1299" w:type="dxa"/>
            <w:tcBorders>
              <w:top w:val="nil"/>
              <w:left w:val="nil"/>
              <w:bottom w:val="nil"/>
              <w:right w:val="nil"/>
            </w:tcBorders>
            <w:shd w:val="clear" w:color="auto" w:fill="auto"/>
            <w:noWrap/>
            <w:vAlign w:val="bottom"/>
            <w:hideMark/>
          </w:tcPr>
          <w:p w14:paraId="29B4F6AE"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890" w:type="dxa"/>
            <w:tcBorders>
              <w:top w:val="nil"/>
              <w:left w:val="nil"/>
              <w:bottom w:val="nil"/>
              <w:right w:val="nil"/>
            </w:tcBorders>
            <w:shd w:val="clear" w:color="auto" w:fill="auto"/>
            <w:noWrap/>
            <w:vAlign w:val="bottom"/>
            <w:hideMark/>
          </w:tcPr>
          <w:p w14:paraId="1E684A9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0.587</w:t>
            </w:r>
          </w:p>
        </w:tc>
        <w:tc>
          <w:tcPr>
            <w:tcW w:w="111" w:type="dxa"/>
            <w:tcBorders>
              <w:top w:val="nil"/>
              <w:left w:val="nil"/>
              <w:bottom w:val="nil"/>
              <w:right w:val="nil"/>
            </w:tcBorders>
            <w:shd w:val="clear" w:color="auto" w:fill="auto"/>
            <w:noWrap/>
            <w:vAlign w:val="bottom"/>
            <w:hideMark/>
          </w:tcPr>
          <w:p w14:paraId="2202C42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5F2C97BC"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0.008</w:t>
            </w:r>
          </w:p>
        </w:tc>
        <w:tc>
          <w:tcPr>
            <w:tcW w:w="1299" w:type="dxa"/>
            <w:tcBorders>
              <w:top w:val="nil"/>
              <w:left w:val="nil"/>
              <w:bottom w:val="nil"/>
              <w:right w:val="nil"/>
            </w:tcBorders>
            <w:shd w:val="clear" w:color="auto" w:fill="auto"/>
            <w:noWrap/>
            <w:vAlign w:val="bottom"/>
            <w:hideMark/>
          </w:tcPr>
          <w:p w14:paraId="4CC5F9A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890" w:type="dxa"/>
            <w:tcBorders>
              <w:top w:val="nil"/>
              <w:left w:val="nil"/>
              <w:bottom w:val="nil"/>
              <w:right w:val="nil"/>
            </w:tcBorders>
            <w:shd w:val="clear" w:color="auto" w:fill="auto"/>
            <w:noWrap/>
            <w:vAlign w:val="bottom"/>
            <w:hideMark/>
          </w:tcPr>
          <w:p w14:paraId="6206C31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0.603</w:t>
            </w:r>
          </w:p>
        </w:tc>
      </w:tr>
      <w:tr w:rsidR="0055435C" w:rsidRPr="0055435C" w14:paraId="2DBF8746" w14:textId="77777777" w:rsidTr="00677BF5">
        <w:trPr>
          <w:trHeight w:val="301"/>
        </w:trPr>
        <w:tc>
          <w:tcPr>
            <w:tcW w:w="1917" w:type="dxa"/>
            <w:tcBorders>
              <w:top w:val="nil"/>
              <w:left w:val="nil"/>
              <w:bottom w:val="single" w:sz="4" w:space="0" w:color="auto"/>
              <w:right w:val="nil"/>
            </w:tcBorders>
            <w:shd w:val="clear" w:color="auto" w:fill="auto"/>
            <w:noWrap/>
            <w:vAlign w:val="bottom"/>
            <w:hideMark/>
          </w:tcPr>
          <w:p w14:paraId="58416B96"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638" w:type="dxa"/>
            <w:tcBorders>
              <w:top w:val="nil"/>
              <w:left w:val="nil"/>
              <w:bottom w:val="single" w:sz="4" w:space="0" w:color="auto"/>
              <w:right w:val="nil"/>
            </w:tcBorders>
            <w:shd w:val="clear" w:color="auto" w:fill="auto"/>
            <w:noWrap/>
            <w:vAlign w:val="bottom"/>
            <w:hideMark/>
          </w:tcPr>
          <w:p w14:paraId="60C94AE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738" w:type="dxa"/>
            <w:tcBorders>
              <w:top w:val="nil"/>
              <w:left w:val="nil"/>
              <w:bottom w:val="nil"/>
              <w:right w:val="nil"/>
            </w:tcBorders>
            <w:shd w:val="clear" w:color="auto" w:fill="auto"/>
            <w:noWrap/>
            <w:vAlign w:val="bottom"/>
            <w:hideMark/>
          </w:tcPr>
          <w:p w14:paraId="254C8CD1"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299" w:type="dxa"/>
            <w:tcBorders>
              <w:top w:val="nil"/>
              <w:left w:val="nil"/>
              <w:bottom w:val="nil"/>
              <w:right w:val="nil"/>
            </w:tcBorders>
            <w:shd w:val="clear" w:color="auto" w:fill="auto"/>
            <w:noWrap/>
            <w:vAlign w:val="bottom"/>
            <w:hideMark/>
          </w:tcPr>
          <w:p w14:paraId="04C2E72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890" w:type="dxa"/>
            <w:tcBorders>
              <w:top w:val="nil"/>
              <w:left w:val="nil"/>
              <w:bottom w:val="nil"/>
              <w:right w:val="nil"/>
            </w:tcBorders>
            <w:shd w:val="clear" w:color="auto" w:fill="auto"/>
            <w:noWrap/>
            <w:vAlign w:val="bottom"/>
            <w:hideMark/>
          </w:tcPr>
          <w:p w14:paraId="442B542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111" w:type="dxa"/>
            <w:tcBorders>
              <w:top w:val="nil"/>
              <w:left w:val="nil"/>
              <w:bottom w:val="nil"/>
              <w:right w:val="nil"/>
            </w:tcBorders>
            <w:shd w:val="clear" w:color="auto" w:fill="auto"/>
            <w:noWrap/>
            <w:vAlign w:val="bottom"/>
            <w:hideMark/>
          </w:tcPr>
          <w:p w14:paraId="4D476B5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p>
        </w:tc>
        <w:tc>
          <w:tcPr>
            <w:tcW w:w="738" w:type="dxa"/>
            <w:tcBorders>
              <w:top w:val="nil"/>
              <w:left w:val="nil"/>
              <w:bottom w:val="nil"/>
              <w:right w:val="nil"/>
            </w:tcBorders>
            <w:shd w:val="clear" w:color="auto" w:fill="auto"/>
            <w:noWrap/>
            <w:vAlign w:val="bottom"/>
            <w:hideMark/>
          </w:tcPr>
          <w:p w14:paraId="47ED3A3A"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0.021</w:t>
            </w:r>
          </w:p>
        </w:tc>
        <w:tc>
          <w:tcPr>
            <w:tcW w:w="1299" w:type="dxa"/>
            <w:tcBorders>
              <w:top w:val="nil"/>
              <w:left w:val="nil"/>
              <w:bottom w:val="nil"/>
              <w:right w:val="nil"/>
            </w:tcBorders>
            <w:shd w:val="clear" w:color="auto" w:fill="auto"/>
            <w:noWrap/>
            <w:vAlign w:val="bottom"/>
            <w:hideMark/>
          </w:tcPr>
          <w:p w14:paraId="72DF8C33"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-0.03;0.07</w:t>
            </w:r>
          </w:p>
        </w:tc>
        <w:tc>
          <w:tcPr>
            <w:tcW w:w="890" w:type="dxa"/>
            <w:tcBorders>
              <w:top w:val="nil"/>
              <w:left w:val="nil"/>
              <w:bottom w:val="nil"/>
              <w:right w:val="nil"/>
            </w:tcBorders>
            <w:shd w:val="clear" w:color="auto" w:fill="auto"/>
            <w:noWrap/>
            <w:vAlign w:val="bottom"/>
            <w:hideMark/>
          </w:tcPr>
          <w:p w14:paraId="05126529"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0.379</w:t>
            </w:r>
          </w:p>
        </w:tc>
      </w:tr>
      <w:tr w:rsidR="0055435C" w:rsidRPr="0055435C" w14:paraId="72CFF686" w14:textId="77777777" w:rsidTr="00677BF5">
        <w:trPr>
          <w:trHeight w:val="1314"/>
        </w:trPr>
        <w:tc>
          <w:tcPr>
            <w:tcW w:w="9520" w:type="dxa"/>
            <w:gridSpan w:val="9"/>
            <w:tcBorders>
              <w:top w:val="single" w:sz="4" w:space="0" w:color="auto"/>
              <w:left w:val="nil"/>
              <w:bottom w:val="nil"/>
              <w:right w:val="nil"/>
            </w:tcBorders>
            <w:shd w:val="clear" w:color="auto" w:fill="auto"/>
            <w:vAlign w:val="bottom"/>
            <w:hideMark/>
          </w:tcPr>
          <w:p w14:paraId="27B556CE"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 unstandardized regression coefficient. B describes increase in the outcome variable per 1-SD greater growth.</w:t>
            </w:r>
            <w:r w:rsidRPr="0055435C">
              <w:rPr>
                <w:rFonts w:ascii="Calibri" w:eastAsia="Times New Roman" w:hAnsi="Calibri" w:cs="Times New Roman"/>
                <w:color w:val="000000"/>
                <w:lang w:val="en-US" w:eastAsia="sv-FI"/>
              </w:rPr>
              <w:br/>
              <w:t>Both models are adjusted for length of gestation, age, years since menopause, childhood and adulthood socio-economic status, alcohol intake, smoking, exercise, and estrogen replacement therapy.</w:t>
            </w:r>
          </w:p>
        </w:tc>
      </w:tr>
      <w:tr w:rsidR="0055435C" w:rsidRPr="0055435C" w14:paraId="13C11FED" w14:textId="77777777" w:rsidTr="00677BF5">
        <w:trPr>
          <w:trHeight w:val="301"/>
        </w:trPr>
        <w:tc>
          <w:tcPr>
            <w:tcW w:w="9520" w:type="dxa"/>
            <w:gridSpan w:val="9"/>
            <w:tcBorders>
              <w:top w:val="nil"/>
              <w:left w:val="nil"/>
              <w:bottom w:val="nil"/>
              <w:right w:val="nil"/>
            </w:tcBorders>
            <w:shd w:val="clear" w:color="auto" w:fill="auto"/>
            <w:noWrap/>
            <w:vAlign w:val="bottom"/>
            <w:hideMark/>
          </w:tcPr>
          <w:p w14:paraId="2F315CC8"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Model 1 excludes and Model 2 includes body size at early old age.</w:t>
            </w:r>
          </w:p>
        </w:tc>
      </w:tr>
    </w:tbl>
    <w:p w14:paraId="73F36603" w14:textId="77777777" w:rsidR="0055435C" w:rsidRPr="0055435C" w:rsidRDefault="0055435C" w:rsidP="00AB7918">
      <w:pPr>
        <w:spacing w:line="480" w:lineRule="auto"/>
        <w:rPr>
          <w:lang w:val="en-US"/>
        </w:rPr>
      </w:pPr>
    </w:p>
    <w:p w14:paraId="772FC420" w14:textId="77777777" w:rsidR="0055435C" w:rsidRPr="0055435C" w:rsidRDefault="0055435C" w:rsidP="00AB7918">
      <w:pPr>
        <w:spacing w:line="480" w:lineRule="auto"/>
        <w:rPr>
          <w:lang w:val="en-US"/>
        </w:rPr>
      </w:pPr>
    </w:p>
    <w:p w14:paraId="7E84036C" w14:textId="77777777" w:rsidR="0055435C" w:rsidRPr="0055435C" w:rsidRDefault="0055435C" w:rsidP="00AB7918">
      <w:pPr>
        <w:spacing w:line="480" w:lineRule="auto"/>
        <w:rPr>
          <w:lang w:val="en-US"/>
        </w:rPr>
      </w:pPr>
    </w:p>
    <w:p w14:paraId="2984338E" w14:textId="77777777" w:rsidR="0055435C" w:rsidRPr="0055435C" w:rsidRDefault="0055435C" w:rsidP="00AB7918">
      <w:pPr>
        <w:spacing w:line="480" w:lineRule="auto"/>
        <w:rPr>
          <w:lang w:val="en-US"/>
        </w:rPr>
      </w:pPr>
    </w:p>
    <w:p w14:paraId="4FBAA906" w14:textId="77777777" w:rsidR="0055435C" w:rsidRPr="0055435C" w:rsidRDefault="0055435C" w:rsidP="00AB7918">
      <w:pPr>
        <w:spacing w:line="480" w:lineRule="auto"/>
        <w:rPr>
          <w:lang w:val="en-US"/>
        </w:rPr>
      </w:pPr>
    </w:p>
    <w:p w14:paraId="46F32E3C" w14:textId="77777777" w:rsidR="0055435C" w:rsidRPr="0055435C" w:rsidRDefault="0055435C" w:rsidP="00AB7918">
      <w:pPr>
        <w:spacing w:line="480" w:lineRule="auto"/>
        <w:rPr>
          <w:lang w:val="en-US"/>
        </w:rPr>
      </w:pPr>
    </w:p>
    <w:tbl>
      <w:tblPr>
        <w:tblW w:w="9080" w:type="dxa"/>
        <w:tblInd w:w="55" w:type="dxa"/>
        <w:tblCellMar>
          <w:left w:w="70" w:type="dxa"/>
          <w:right w:w="70" w:type="dxa"/>
        </w:tblCellMar>
        <w:tblLook w:val="04A0" w:firstRow="1" w:lastRow="0" w:firstColumn="1" w:lastColumn="0" w:noHBand="0" w:noVBand="1"/>
      </w:tblPr>
      <w:tblGrid>
        <w:gridCol w:w="970"/>
        <w:gridCol w:w="1729"/>
        <w:gridCol w:w="877"/>
        <w:gridCol w:w="1372"/>
        <w:gridCol w:w="779"/>
        <w:gridCol w:w="195"/>
        <w:gridCol w:w="877"/>
        <w:gridCol w:w="1372"/>
        <w:gridCol w:w="940"/>
      </w:tblGrid>
      <w:tr w:rsidR="0055435C" w:rsidRPr="0055435C" w14:paraId="02A265A4" w14:textId="77777777" w:rsidTr="00677BF5">
        <w:trPr>
          <w:trHeight w:val="917"/>
        </w:trPr>
        <w:tc>
          <w:tcPr>
            <w:tcW w:w="9080" w:type="dxa"/>
            <w:gridSpan w:val="9"/>
            <w:tcBorders>
              <w:top w:val="nil"/>
              <w:left w:val="nil"/>
              <w:bottom w:val="single" w:sz="4" w:space="0" w:color="auto"/>
              <w:right w:val="nil"/>
            </w:tcBorders>
            <w:shd w:val="clear" w:color="auto" w:fill="auto"/>
            <w:vAlign w:val="bottom"/>
            <w:hideMark/>
          </w:tcPr>
          <w:p w14:paraId="40A12F5A"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lastRenderedPageBreak/>
              <w:t xml:space="preserve">Supplementary Table 4. Relative birth weight and conditional growth in weight </w:t>
            </w:r>
            <w:r w:rsidRPr="0055435C">
              <w:rPr>
                <w:noProof/>
                <w:lang w:val="en-US"/>
              </w:rPr>
              <w:t xml:space="preserve">explaining spine (L2-L4) bone area, bone mineral content (BMC), and areal bone mineral density (aBMD) in </w:t>
            </w:r>
            <w:r w:rsidRPr="0055435C">
              <w:rPr>
                <w:lang w:val="en-US"/>
              </w:rPr>
              <w:t>early old age</w:t>
            </w:r>
            <w:r w:rsidRPr="0055435C">
              <w:rPr>
                <w:noProof/>
                <w:lang w:val="en-US"/>
              </w:rPr>
              <w:t xml:space="preserve"> in a subgroup of women (n=178) from the Helsinki Birth Cohort Study</w:t>
            </w:r>
          </w:p>
        </w:tc>
      </w:tr>
      <w:tr w:rsidR="0055435C" w:rsidRPr="0055435C" w14:paraId="57E8E3D8" w14:textId="77777777" w:rsidTr="00677BF5">
        <w:trPr>
          <w:trHeight w:val="301"/>
        </w:trPr>
        <w:tc>
          <w:tcPr>
            <w:tcW w:w="976" w:type="dxa"/>
            <w:tcBorders>
              <w:top w:val="nil"/>
              <w:left w:val="nil"/>
              <w:bottom w:val="nil"/>
              <w:right w:val="nil"/>
            </w:tcBorders>
            <w:shd w:val="clear" w:color="auto" w:fill="auto"/>
            <w:noWrap/>
            <w:vAlign w:val="bottom"/>
            <w:hideMark/>
          </w:tcPr>
          <w:p w14:paraId="2B22052B"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1738" w:type="dxa"/>
            <w:tcBorders>
              <w:top w:val="nil"/>
              <w:left w:val="nil"/>
              <w:bottom w:val="nil"/>
              <w:right w:val="nil"/>
            </w:tcBorders>
            <w:shd w:val="clear" w:color="auto" w:fill="auto"/>
            <w:noWrap/>
            <w:vAlign w:val="bottom"/>
            <w:hideMark/>
          </w:tcPr>
          <w:p w14:paraId="532D0C21"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 </w:t>
            </w:r>
          </w:p>
        </w:tc>
        <w:tc>
          <w:tcPr>
            <w:tcW w:w="3043" w:type="dxa"/>
            <w:gridSpan w:val="3"/>
            <w:tcBorders>
              <w:top w:val="single" w:sz="4" w:space="0" w:color="auto"/>
              <w:left w:val="nil"/>
              <w:bottom w:val="single" w:sz="4" w:space="0" w:color="auto"/>
              <w:right w:val="nil"/>
            </w:tcBorders>
            <w:shd w:val="clear" w:color="auto" w:fill="auto"/>
            <w:noWrap/>
            <w:vAlign w:val="bottom"/>
            <w:hideMark/>
          </w:tcPr>
          <w:p w14:paraId="02371FB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1</w:t>
            </w:r>
          </w:p>
        </w:tc>
        <w:tc>
          <w:tcPr>
            <w:tcW w:w="118" w:type="dxa"/>
            <w:tcBorders>
              <w:top w:val="nil"/>
              <w:left w:val="nil"/>
              <w:bottom w:val="nil"/>
              <w:right w:val="nil"/>
            </w:tcBorders>
            <w:shd w:val="clear" w:color="auto" w:fill="auto"/>
            <w:noWrap/>
            <w:vAlign w:val="bottom"/>
            <w:hideMark/>
          </w:tcPr>
          <w:p w14:paraId="17C94FA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3205" w:type="dxa"/>
            <w:gridSpan w:val="3"/>
            <w:tcBorders>
              <w:top w:val="single" w:sz="4" w:space="0" w:color="auto"/>
              <w:left w:val="nil"/>
              <w:bottom w:val="single" w:sz="4" w:space="0" w:color="auto"/>
              <w:right w:val="nil"/>
            </w:tcBorders>
            <w:shd w:val="clear" w:color="auto" w:fill="auto"/>
            <w:noWrap/>
            <w:vAlign w:val="bottom"/>
            <w:hideMark/>
          </w:tcPr>
          <w:p w14:paraId="2101AA2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Model 2</w:t>
            </w:r>
          </w:p>
        </w:tc>
      </w:tr>
      <w:tr w:rsidR="0055435C" w:rsidRPr="0055435C" w14:paraId="3915260B" w14:textId="77777777" w:rsidTr="00677BF5">
        <w:trPr>
          <w:trHeight w:val="301"/>
        </w:trPr>
        <w:tc>
          <w:tcPr>
            <w:tcW w:w="976" w:type="dxa"/>
            <w:tcBorders>
              <w:top w:val="nil"/>
              <w:left w:val="nil"/>
              <w:bottom w:val="single" w:sz="4" w:space="0" w:color="auto"/>
              <w:right w:val="nil"/>
            </w:tcBorders>
            <w:shd w:val="clear" w:color="auto" w:fill="auto"/>
            <w:noWrap/>
            <w:vAlign w:val="bottom"/>
            <w:hideMark/>
          </w:tcPr>
          <w:p w14:paraId="1C79BB3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738" w:type="dxa"/>
            <w:tcBorders>
              <w:top w:val="nil"/>
              <w:left w:val="nil"/>
              <w:bottom w:val="single" w:sz="4" w:space="0" w:color="auto"/>
              <w:right w:val="nil"/>
            </w:tcBorders>
            <w:shd w:val="clear" w:color="auto" w:fill="auto"/>
            <w:noWrap/>
            <w:vAlign w:val="bottom"/>
            <w:hideMark/>
          </w:tcPr>
          <w:p w14:paraId="051046D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81" w:type="dxa"/>
            <w:tcBorders>
              <w:top w:val="nil"/>
              <w:left w:val="nil"/>
              <w:bottom w:val="single" w:sz="4" w:space="0" w:color="auto"/>
              <w:right w:val="nil"/>
            </w:tcBorders>
            <w:shd w:val="clear" w:color="auto" w:fill="auto"/>
            <w:noWrap/>
            <w:vAlign w:val="bottom"/>
            <w:hideMark/>
          </w:tcPr>
          <w:p w14:paraId="5C79498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379" w:type="dxa"/>
            <w:tcBorders>
              <w:top w:val="nil"/>
              <w:left w:val="nil"/>
              <w:bottom w:val="single" w:sz="4" w:space="0" w:color="auto"/>
              <w:right w:val="nil"/>
            </w:tcBorders>
            <w:shd w:val="clear" w:color="auto" w:fill="auto"/>
            <w:noWrap/>
            <w:vAlign w:val="bottom"/>
            <w:hideMark/>
          </w:tcPr>
          <w:p w14:paraId="34063062"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783" w:type="dxa"/>
            <w:tcBorders>
              <w:top w:val="nil"/>
              <w:left w:val="nil"/>
              <w:bottom w:val="single" w:sz="4" w:space="0" w:color="auto"/>
              <w:right w:val="nil"/>
            </w:tcBorders>
            <w:shd w:val="clear" w:color="auto" w:fill="auto"/>
            <w:noWrap/>
            <w:vAlign w:val="bottom"/>
            <w:hideMark/>
          </w:tcPr>
          <w:p w14:paraId="6C7AFADD"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c>
          <w:tcPr>
            <w:tcW w:w="118" w:type="dxa"/>
            <w:tcBorders>
              <w:top w:val="nil"/>
              <w:left w:val="nil"/>
              <w:bottom w:val="single" w:sz="4" w:space="0" w:color="auto"/>
              <w:right w:val="nil"/>
            </w:tcBorders>
            <w:shd w:val="clear" w:color="auto" w:fill="auto"/>
            <w:noWrap/>
            <w:vAlign w:val="bottom"/>
            <w:hideMark/>
          </w:tcPr>
          <w:p w14:paraId="44F6D344"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81" w:type="dxa"/>
            <w:tcBorders>
              <w:top w:val="nil"/>
              <w:left w:val="nil"/>
              <w:bottom w:val="single" w:sz="4" w:space="0" w:color="auto"/>
              <w:right w:val="nil"/>
            </w:tcBorders>
            <w:shd w:val="clear" w:color="auto" w:fill="auto"/>
            <w:noWrap/>
            <w:vAlign w:val="bottom"/>
            <w:hideMark/>
          </w:tcPr>
          <w:p w14:paraId="4C13AF9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w:t>
            </w:r>
          </w:p>
        </w:tc>
        <w:tc>
          <w:tcPr>
            <w:tcW w:w="1379" w:type="dxa"/>
            <w:tcBorders>
              <w:top w:val="nil"/>
              <w:left w:val="nil"/>
              <w:bottom w:val="single" w:sz="4" w:space="0" w:color="auto"/>
              <w:right w:val="nil"/>
            </w:tcBorders>
            <w:shd w:val="clear" w:color="auto" w:fill="auto"/>
            <w:noWrap/>
            <w:vAlign w:val="bottom"/>
            <w:hideMark/>
          </w:tcPr>
          <w:p w14:paraId="2A443688"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95% CI</w:t>
            </w:r>
          </w:p>
        </w:tc>
        <w:tc>
          <w:tcPr>
            <w:tcW w:w="945" w:type="dxa"/>
            <w:tcBorders>
              <w:top w:val="nil"/>
              <w:left w:val="nil"/>
              <w:bottom w:val="single" w:sz="4" w:space="0" w:color="auto"/>
              <w:right w:val="nil"/>
            </w:tcBorders>
            <w:shd w:val="clear" w:color="auto" w:fill="auto"/>
            <w:noWrap/>
            <w:vAlign w:val="bottom"/>
            <w:hideMark/>
          </w:tcPr>
          <w:p w14:paraId="15ECD0DB" w14:textId="77777777" w:rsidR="0055435C" w:rsidRPr="0055435C" w:rsidRDefault="0055435C" w:rsidP="00677BF5">
            <w:pPr>
              <w:spacing w:after="0" w:line="240" w:lineRule="auto"/>
              <w:jc w:val="center"/>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p</w:t>
            </w:r>
          </w:p>
        </w:tc>
      </w:tr>
      <w:tr w:rsidR="0055435C" w:rsidRPr="0055435C" w14:paraId="0CF041FE" w14:textId="77777777" w:rsidTr="00677BF5">
        <w:trPr>
          <w:trHeight w:val="328"/>
        </w:trPr>
        <w:tc>
          <w:tcPr>
            <w:tcW w:w="2714" w:type="dxa"/>
            <w:gridSpan w:val="2"/>
            <w:tcBorders>
              <w:top w:val="nil"/>
              <w:left w:val="nil"/>
              <w:bottom w:val="nil"/>
              <w:right w:val="nil"/>
            </w:tcBorders>
            <w:shd w:val="clear" w:color="auto" w:fill="auto"/>
            <w:noWrap/>
            <w:vAlign w:val="bottom"/>
            <w:hideMark/>
          </w:tcPr>
          <w:p w14:paraId="7B614E95"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Bone area, cm</w:t>
            </w:r>
            <w:r w:rsidRPr="0055435C">
              <w:rPr>
                <w:rFonts w:ascii="Calibri" w:eastAsia="Times New Roman" w:hAnsi="Calibri" w:cs="Times New Roman"/>
                <w:color w:val="000000"/>
                <w:vertAlign w:val="superscript"/>
                <w:lang w:eastAsia="sv-FI"/>
              </w:rPr>
              <w:t>2</w:t>
            </w:r>
          </w:p>
        </w:tc>
        <w:tc>
          <w:tcPr>
            <w:tcW w:w="881" w:type="dxa"/>
            <w:tcBorders>
              <w:top w:val="nil"/>
              <w:left w:val="nil"/>
              <w:bottom w:val="nil"/>
              <w:right w:val="nil"/>
            </w:tcBorders>
            <w:shd w:val="clear" w:color="auto" w:fill="auto"/>
            <w:noWrap/>
            <w:vAlign w:val="bottom"/>
            <w:hideMark/>
          </w:tcPr>
          <w:p w14:paraId="5F109B1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1B1BCAC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144012C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791E5E1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1D0CC930"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0E8F03B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45" w:type="dxa"/>
            <w:tcBorders>
              <w:top w:val="nil"/>
              <w:left w:val="nil"/>
              <w:bottom w:val="nil"/>
              <w:right w:val="nil"/>
            </w:tcBorders>
            <w:shd w:val="clear" w:color="auto" w:fill="auto"/>
            <w:noWrap/>
            <w:vAlign w:val="bottom"/>
            <w:hideMark/>
          </w:tcPr>
          <w:p w14:paraId="1F8D5B32"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7361EEF2" w14:textId="77777777" w:rsidTr="00677BF5">
        <w:trPr>
          <w:trHeight w:val="301"/>
        </w:trPr>
        <w:tc>
          <w:tcPr>
            <w:tcW w:w="976" w:type="dxa"/>
            <w:tcBorders>
              <w:top w:val="nil"/>
              <w:left w:val="nil"/>
              <w:bottom w:val="nil"/>
              <w:right w:val="nil"/>
            </w:tcBorders>
            <w:shd w:val="clear" w:color="auto" w:fill="auto"/>
            <w:noWrap/>
            <w:vAlign w:val="bottom"/>
            <w:hideMark/>
          </w:tcPr>
          <w:p w14:paraId="782062E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0D7FD3A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881" w:type="dxa"/>
            <w:tcBorders>
              <w:top w:val="nil"/>
              <w:left w:val="nil"/>
              <w:bottom w:val="nil"/>
              <w:right w:val="nil"/>
            </w:tcBorders>
            <w:shd w:val="clear" w:color="auto" w:fill="auto"/>
            <w:noWrap/>
            <w:vAlign w:val="bottom"/>
            <w:hideMark/>
          </w:tcPr>
          <w:p w14:paraId="7BE84286"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-0.207</w:t>
            </w:r>
          </w:p>
        </w:tc>
        <w:tc>
          <w:tcPr>
            <w:tcW w:w="1379" w:type="dxa"/>
            <w:tcBorders>
              <w:top w:val="nil"/>
              <w:left w:val="nil"/>
              <w:bottom w:val="nil"/>
              <w:right w:val="nil"/>
            </w:tcBorders>
            <w:shd w:val="clear" w:color="auto" w:fill="auto"/>
            <w:noWrap/>
            <w:vAlign w:val="bottom"/>
            <w:hideMark/>
          </w:tcPr>
          <w:p w14:paraId="184D151B"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-0.79;0.38</w:t>
            </w:r>
          </w:p>
        </w:tc>
        <w:tc>
          <w:tcPr>
            <w:tcW w:w="783" w:type="dxa"/>
            <w:tcBorders>
              <w:top w:val="nil"/>
              <w:left w:val="nil"/>
              <w:bottom w:val="nil"/>
              <w:right w:val="nil"/>
            </w:tcBorders>
            <w:shd w:val="clear" w:color="auto" w:fill="auto"/>
            <w:noWrap/>
            <w:vAlign w:val="bottom"/>
            <w:hideMark/>
          </w:tcPr>
          <w:p w14:paraId="602F5B30"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0.487</w:t>
            </w:r>
          </w:p>
        </w:tc>
        <w:tc>
          <w:tcPr>
            <w:tcW w:w="118" w:type="dxa"/>
            <w:tcBorders>
              <w:top w:val="nil"/>
              <w:left w:val="nil"/>
              <w:bottom w:val="nil"/>
              <w:right w:val="nil"/>
            </w:tcBorders>
            <w:shd w:val="clear" w:color="auto" w:fill="auto"/>
            <w:noWrap/>
            <w:vAlign w:val="bottom"/>
            <w:hideMark/>
          </w:tcPr>
          <w:p w14:paraId="13CA2AF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4DDFEAA0"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-0.302</w:t>
            </w:r>
          </w:p>
        </w:tc>
        <w:tc>
          <w:tcPr>
            <w:tcW w:w="1379" w:type="dxa"/>
            <w:tcBorders>
              <w:top w:val="nil"/>
              <w:left w:val="nil"/>
              <w:bottom w:val="nil"/>
              <w:right w:val="nil"/>
            </w:tcBorders>
            <w:shd w:val="clear" w:color="auto" w:fill="auto"/>
            <w:noWrap/>
            <w:vAlign w:val="bottom"/>
            <w:hideMark/>
          </w:tcPr>
          <w:p w14:paraId="2238D73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-0.87;0.26</w:t>
            </w:r>
          </w:p>
        </w:tc>
        <w:tc>
          <w:tcPr>
            <w:tcW w:w="945" w:type="dxa"/>
            <w:tcBorders>
              <w:top w:val="nil"/>
              <w:left w:val="nil"/>
              <w:bottom w:val="nil"/>
              <w:right w:val="nil"/>
            </w:tcBorders>
            <w:shd w:val="clear" w:color="auto" w:fill="auto"/>
            <w:noWrap/>
            <w:vAlign w:val="bottom"/>
            <w:hideMark/>
          </w:tcPr>
          <w:p w14:paraId="79A61433"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0.293</w:t>
            </w:r>
          </w:p>
        </w:tc>
      </w:tr>
      <w:tr w:rsidR="0055435C" w:rsidRPr="0055435C" w14:paraId="117A7AAB" w14:textId="77777777" w:rsidTr="00677BF5">
        <w:trPr>
          <w:trHeight w:val="301"/>
        </w:trPr>
        <w:tc>
          <w:tcPr>
            <w:tcW w:w="976" w:type="dxa"/>
            <w:tcBorders>
              <w:top w:val="nil"/>
              <w:left w:val="nil"/>
              <w:bottom w:val="nil"/>
              <w:right w:val="nil"/>
            </w:tcBorders>
            <w:shd w:val="clear" w:color="auto" w:fill="auto"/>
            <w:noWrap/>
            <w:vAlign w:val="bottom"/>
            <w:hideMark/>
          </w:tcPr>
          <w:p w14:paraId="0F18B50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41E56B71"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881" w:type="dxa"/>
            <w:tcBorders>
              <w:top w:val="nil"/>
              <w:left w:val="nil"/>
              <w:bottom w:val="nil"/>
              <w:right w:val="nil"/>
            </w:tcBorders>
            <w:shd w:val="clear" w:color="auto" w:fill="auto"/>
            <w:noWrap/>
            <w:vAlign w:val="bottom"/>
            <w:hideMark/>
          </w:tcPr>
          <w:p w14:paraId="195793B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-0.306</w:t>
            </w:r>
          </w:p>
        </w:tc>
        <w:tc>
          <w:tcPr>
            <w:tcW w:w="1379" w:type="dxa"/>
            <w:tcBorders>
              <w:top w:val="nil"/>
              <w:left w:val="nil"/>
              <w:bottom w:val="nil"/>
              <w:right w:val="nil"/>
            </w:tcBorders>
            <w:shd w:val="clear" w:color="auto" w:fill="auto"/>
            <w:noWrap/>
            <w:vAlign w:val="bottom"/>
            <w:hideMark/>
          </w:tcPr>
          <w:p w14:paraId="4FCB6A4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-0.89;0.28</w:t>
            </w:r>
          </w:p>
        </w:tc>
        <w:tc>
          <w:tcPr>
            <w:tcW w:w="783" w:type="dxa"/>
            <w:tcBorders>
              <w:top w:val="nil"/>
              <w:left w:val="nil"/>
              <w:bottom w:val="nil"/>
              <w:right w:val="nil"/>
            </w:tcBorders>
            <w:shd w:val="clear" w:color="auto" w:fill="auto"/>
            <w:noWrap/>
            <w:vAlign w:val="bottom"/>
            <w:hideMark/>
          </w:tcPr>
          <w:p w14:paraId="49B96E4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0.303</w:t>
            </w:r>
          </w:p>
        </w:tc>
        <w:tc>
          <w:tcPr>
            <w:tcW w:w="118" w:type="dxa"/>
            <w:tcBorders>
              <w:top w:val="nil"/>
              <w:left w:val="nil"/>
              <w:bottom w:val="nil"/>
              <w:right w:val="nil"/>
            </w:tcBorders>
            <w:shd w:val="clear" w:color="auto" w:fill="auto"/>
            <w:noWrap/>
            <w:vAlign w:val="bottom"/>
            <w:hideMark/>
          </w:tcPr>
          <w:p w14:paraId="69C95C8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6CEECD94"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-0.409</w:t>
            </w:r>
          </w:p>
        </w:tc>
        <w:tc>
          <w:tcPr>
            <w:tcW w:w="1379" w:type="dxa"/>
            <w:tcBorders>
              <w:top w:val="nil"/>
              <w:left w:val="nil"/>
              <w:bottom w:val="nil"/>
              <w:right w:val="nil"/>
            </w:tcBorders>
            <w:shd w:val="clear" w:color="auto" w:fill="auto"/>
            <w:noWrap/>
            <w:vAlign w:val="bottom"/>
            <w:hideMark/>
          </w:tcPr>
          <w:p w14:paraId="20518541"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-0.97;0.16</w:t>
            </w:r>
          </w:p>
        </w:tc>
        <w:tc>
          <w:tcPr>
            <w:tcW w:w="945" w:type="dxa"/>
            <w:tcBorders>
              <w:top w:val="nil"/>
              <w:left w:val="nil"/>
              <w:bottom w:val="nil"/>
              <w:right w:val="nil"/>
            </w:tcBorders>
            <w:shd w:val="clear" w:color="auto" w:fill="auto"/>
            <w:noWrap/>
            <w:vAlign w:val="bottom"/>
            <w:hideMark/>
          </w:tcPr>
          <w:p w14:paraId="7271C40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0.154</w:t>
            </w:r>
          </w:p>
        </w:tc>
      </w:tr>
      <w:tr w:rsidR="0055435C" w:rsidRPr="0055435C" w14:paraId="759E0F7E" w14:textId="77777777" w:rsidTr="00677BF5">
        <w:trPr>
          <w:trHeight w:val="301"/>
        </w:trPr>
        <w:tc>
          <w:tcPr>
            <w:tcW w:w="976" w:type="dxa"/>
            <w:tcBorders>
              <w:top w:val="nil"/>
              <w:left w:val="nil"/>
              <w:bottom w:val="nil"/>
              <w:right w:val="nil"/>
            </w:tcBorders>
            <w:shd w:val="clear" w:color="auto" w:fill="auto"/>
            <w:noWrap/>
            <w:vAlign w:val="bottom"/>
            <w:hideMark/>
          </w:tcPr>
          <w:p w14:paraId="22C0AD1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54BD235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881" w:type="dxa"/>
            <w:tcBorders>
              <w:top w:val="nil"/>
              <w:left w:val="nil"/>
              <w:bottom w:val="nil"/>
              <w:right w:val="nil"/>
            </w:tcBorders>
            <w:shd w:val="clear" w:color="auto" w:fill="auto"/>
            <w:noWrap/>
            <w:vAlign w:val="bottom"/>
            <w:hideMark/>
          </w:tcPr>
          <w:p w14:paraId="7700E411"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-0.206</w:t>
            </w:r>
          </w:p>
        </w:tc>
        <w:tc>
          <w:tcPr>
            <w:tcW w:w="1379" w:type="dxa"/>
            <w:tcBorders>
              <w:top w:val="nil"/>
              <w:left w:val="nil"/>
              <w:bottom w:val="nil"/>
              <w:right w:val="nil"/>
            </w:tcBorders>
            <w:shd w:val="clear" w:color="auto" w:fill="auto"/>
            <w:noWrap/>
            <w:vAlign w:val="bottom"/>
            <w:hideMark/>
          </w:tcPr>
          <w:p w14:paraId="783A53D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-0.8;0.39</w:t>
            </w:r>
          </w:p>
        </w:tc>
        <w:tc>
          <w:tcPr>
            <w:tcW w:w="783" w:type="dxa"/>
            <w:tcBorders>
              <w:top w:val="nil"/>
              <w:left w:val="nil"/>
              <w:bottom w:val="nil"/>
              <w:right w:val="nil"/>
            </w:tcBorders>
            <w:shd w:val="clear" w:color="auto" w:fill="auto"/>
            <w:noWrap/>
            <w:vAlign w:val="bottom"/>
            <w:hideMark/>
          </w:tcPr>
          <w:p w14:paraId="70B03081"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0.494</w:t>
            </w:r>
          </w:p>
        </w:tc>
        <w:tc>
          <w:tcPr>
            <w:tcW w:w="118" w:type="dxa"/>
            <w:tcBorders>
              <w:top w:val="nil"/>
              <w:left w:val="nil"/>
              <w:bottom w:val="nil"/>
              <w:right w:val="nil"/>
            </w:tcBorders>
            <w:shd w:val="clear" w:color="auto" w:fill="auto"/>
            <w:noWrap/>
            <w:vAlign w:val="bottom"/>
            <w:hideMark/>
          </w:tcPr>
          <w:p w14:paraId="3241C25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1FCA739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-0.366</w:t>
            </w:r>
          </w:p>
        </w:tc>
        <w:tc>
          <w:tcPr>
            <w:tcW w:w="1379" w:type="dxa"/>
            <w:tcBorders>
              <w:top w:val="nil"/>
              <w:left w:val="nil"/>
              <w:bottom w:val="nil"/>
              <w:right w:val="nil"/>
            </w:tcBorders>
            <w:shd w:val="clear" w:color="auto" w:fill="auto"/>
            <w:noWrap/>
            <w:vAlign w:val="bottom"/>
            <w:hideMark/>
          </w:tcPr>
          <w:p w14:paraId="34C0D007"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-0.94;0.21</w:t>
            </w:r>
          </w:p>
        </w:tc>
        <w:tc>
          <w:tcPr>
            <w:tcW w:w="945" w:type="dxa"/>
            <w:tcBorders>
              <w:top w:val="nil"/>
              <w:left w:val="nil"/>
              <w:bottom w:val="nil"/>
              <w:right w:val="nil"/>
            </w:tcBorders>
            <w:shd w:val="clear" w:color="auto" w:fill="auto"/>
            <w:noWrap/>
            <w:vAlign w:val="bottom"/>
            <w:hideMark/>
          </w:tcPr>
          <w:p w14:paraId="63F97F8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0.21</w:t>
            </w:r>
          </w:p>
        </w:tc>
      </w:tr>
      <w:tr w:rsidR="0055435C" w:rsidRPr="0055435C" w14:paraId="5393FF4F" w14:textId="77777777" w:rsidTr="00677BF5">
        <w:trPr>
          <w:trHeight w:val="301"/>
        </w:trPr>
        <w:tc>
          <w:tcPr>
            <w:tcW w:w="976" w:type="dxa"/>
            <w:tcBorders>
              <w:top w:val="nil"/>
              <w:left w:val="nil"/>
              <w:bottom w:val="nil"/>
              <w:right w:val="nil"/>
            </w:tcBorders>
            <w:shd w:val="clear" w:color="auto" w:fill="auto"/>
            <w:noWrap/>
            <w:vAlign w:val="bottom"/>
            <w:hideMark/>
          </w:tcPr>
          <w:p w14:paraId="4BC5507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6BAD545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881" w:type="dxa"/>
            <w:tcBorders>
              <w:top w:val="nil"/>
              <w:left w:val="nil"/>
              <w:bottom w:val="nil"/>
              <w:right w:val="nil"/>
            </w:tcBorders>
            <w:shd w:val="clear" w:color="auto" w:fill="auto"/>
            <w:noWrap/>
            <w:vAlign w:val="bottom"/>
            <w:hideMark/>
          </w:tcPr>
          <w:p w14:paraId="7388E597"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-0.101</w:t>
            </w:r>
          </w:p>
        </w:tc>
        <w:tc>
          <w:tcPr>
            <w:tcW w:w="1379" w:type="dxa"/>
            <w:tcBorders>
              <w:top w:val="nil"/>
              <w:left w:val="nil"/>
              <w:bottom w:val="nil"/>
              <w:right w:val="nil"/>
            </w:tcBorders>
            <w:shd w:val="clear" w:color="auto" w:fill="auto"/>
            <w:noWrap/>
            <w:vAlign w:val="bottom"/>
            <w:hideMark/>
          </w:tcPr>
          <w:p w14:paraId="65DCD25B"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-0.69;0.49</w:t>
            </w:r>
          </w:p>
        </w:tc>
        <w:tc>
          <w:tcPr>
            <w:tcW w:w="783" w:type="dxa"/>
            <w:tcBorders>
              <w:top w:val="nil"/>
              <w:left w:val="nil"/>
              <w:bottom w:val="nil"/>
              <w:right w:val="nil"/>
            </w:tcBorders>
            <w:shd w:val="clear" w:color="auto" w:fill="auto"/>
            <w:noWrap/>
            <w:vAlign w:val="bottom"/>
            <w:hideMark/>
          </w:tcPr>
          <w:p w14:paraId="637EDAA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0.734</w:t>
            </w:r>
          </w:p>
        </w:tc>
        <w:tc>
          <w:tcPr>
            <w:tcW w:w="118" w:type="dxa"/>
            <w:tcBorders>
              <w:top w:val="nil"/>
              <w:left w:val="nil"/>
              <w:bottom w:val="nil"/>
              <w:right w:val="nil"/>
            </w:tcBorders>
            <w:shd w:val="clear" w:color="auto" w:fill="auto"/>
            <w:noWrap/>
            <w:vAlign w:val="bottom"/>
            <w:hideMark/>
          </w:tcPr>
          <w:p w14:paraId="1498151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296DB89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-0.243</w:t>
            </w:r>
          </w:p>
        </w:tc>
        <w:tc>
          <w:tcPr>
            <w:tcW w:w="1379" w:type="dxa"/>
            <w:tcBorders>
              <w:top w:val="nil"/>
              <w:left w:val="nil"/>
              <w:bottom w:val="nil"/>
              <w:right w:val="nil"/>
            </w:tcBorders>
            <w:shd w:val="clear" w:color="auto" w:fill="auto"/>
            <w:noWrap/>
            <w:vAlign w:val="bottom"/>
            <w:hideMark/>
          </w:tcPr>
          <w:p w14:paraId="714F839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-0.81;0.33</w:t>
            </w:r>
          </w:p>
        </w:tc>
        <w:tc>
          <w:tcPr>
            <w:tcW w:w="945" w:type="dxa"/>
            <w:tcBorders>
              <w:top w:val="nil"/>
              <w:left w:val="nil"/>
              <w:bottom w:val="nil"/>
              <w:right w:val="nil"/>
            </w:tcBorders>
            <w:shd w:val="clear" w:color="auto" w:fill="auto"/>
            <w:noWrap/>
            <w:vAlign w:val="bottom"/>
            <w:hideMark/>
          </w:tcPr>
          <w:p w14:paraId="127953E4"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w:t>
            </w:r>
          </w:p>
        </w:tc>
      </w:tr>
      <w:tr w:rsidR="0055435C" w:rsidRPr="0055435C" w14:paraId="1F5735A2" w14:textId="77777777" w:rsidTr="00677BF5">
        <w:trPr>
          <w:trHeight w:val="301"/>
        </w:trPr>
        <w:tc>
          <w:tcPr>
            <w:tcW w:w="976" w:type="dxa"/>
            <w:tcBorders>
              <w:top w:val="nil"/>
              <w:left w:val="nil"/>
              <w:bottom w:val="nil"/>
              <w:right w:val="nil"/>
            </w:tcBorders>
            <w:shd w:val="clear" w:color="auto" w:fill="auto"/>
            <w:noWrap/>
            <w:vAlign w:val="bottom"/>
            <w:hideMark/>
          </w:tcPr>
          <w:p w14:paraId="6FB65D5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422835D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881" w:type="dxa"/>
            <w:tcBorders>
              <w:top w:val="nil"/>
              <w:left w:val="nil"/>
              <w:bottom w:val="nil"/>
              <w:right w:val="nil"/>
            </w:tcBorders>
            <w:shd w:val="clear" w:color="auto" w:fill="auto"/>
            <w:noWrap/>
            <w:vAlign w:val="bottom"/>
            <w:hideMark/>
          </w:tcPr>
          <w:p w14:paraId="1BA735F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78CE97B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289FA79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0FED30C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19755C33"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1.102</w:t>
            </w:r>
          </w:p>
        </w:tc>
        <w:tc>
          <w:tcPr>
            <w:tcW w:w="1379" w:type="dxa"/>
            <w:tcBorders>
              <w:top w:val="nil"/>
              <w:left w:val="nil"/>
              <w:bottom w:val="nil"/>
              <w:right w:val="nil"/>
            </w:tcBorders>
            <w:shd w:val="clear" w:color="auto" w:fill="auto"/>
            <w:noWrap/>
            <w:vAlign w:val="bottom"/>
            <w:hideMark/>
          </w:tcPr>
          <w:p w14:paraId="465EC77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0.52;1.69</w:t>
            </w:r>
          </w:p>
        </w:tc>
        <w:tc>
          <w:tcPr>
            <w:tcW w:w="945" w:type="dxa"/>
            <w:tcBorders>
              <w:top w:val="nil"/>
              <w:left w:val="nil"/>
              <w:bottom w:val="nil"/>
              <w:right w:val="nil"/>
            </w:tcBorders>
            <w:shd w:val="clear" w:color="auto" w:fill="auto"/>
            <w:noWrap/>
            <w:vAlign w:val="bottom"/>
            <w:hideMark/>
          </w:tcPr>
          <w:p w14:paraId="3D166616"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&gt;0.001</w:t>
            </w:r>
          </w:p>
        </w:tc>
      </w:tr>
      <w:tr w:rsidR="0055435C" w:rsidRPr="0055435C" w14:paraId="7D59915E" w14:textId="77777777" w:rsidTr="00677BF5">
        <w:trPr>
          <w:trHeight w:val="301"/>
        </w:trPr>
        <w:tc>
          <w:tcPr>
            <w:tcW w:w="976" w:type="dxa"/>
            <w:tcBorders>
              <w:top w:val="nil"/>
              <w:left w:val="nil"/>
              <w:bottom w:val="nil"/>
              <w:right w:val="nil"/>
            </w:tcBorders>
            <w:shd w:val="clear" w:color="auto" w:fill="auto"/>
            <w:noWrap/>
            <w:vAlign w:val="bottom"/>
            <w:hideMark/>
          </w:tcPr>
          <w:p w14:paraId="6FB140F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7E156D7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81" w:type="dxa"/>
            <w:tcBorders>
              <w:top w:val="nil"/>
              <w:left w:val="nil"/>
              <w:bottom w:val="nil"/>
              <w:right w:val="nil"/>
            </w:tcBorders>
            <w:shd w:val="clear" w:color="auto" w:fill="auto"/>
            <w:noWrap/>
            <w:vAlign w:val="bottom"/>
            <w:hideMark/>
          </w:tcPr>
          <w:p w14:paraId="17162BB4"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48976365"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72CCECB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3AA1E5D9"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6FFB86A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1F6A9AA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45" w:type="dxa"/>
            <w:tcBorders>
              <w:top w:val="nil"/>
              <w:left w:val="nil"/>
              <w:bottom w:val="nil"/>
              <w:right w:val="nil"/>
            </w:tcBorders>
            <w:shd w:val="clear" w:color="auto" w:fill="auto"/>
            <w:noWrap/>
            <w:vAlign w:val="bottom"/>
            <w:hideMark/>
          </w:tcPr>
          <w:p w14:paraId="57BCB431"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0DCA187A" w14:textId="77777777" w:rsidTr="00677BF5">
        <w:trPr>
          <w:trHeight w:val="301"/>
        </w:trPr>
        <w:tc>
          <w:tcPr>
            <w:tcW w:w="976" w:type="dxa"/>
            <w:tcBorders>
              <w:top w:val="nil"/>
              <w:left w:val="nil"/>
              <w:bottom w:val="nil"/>
              <w:right w:val="nil"/>
            </w:tcBorders>
            <w:shd w:val="clear" w:color="auto" w:fill="auto"/>
            <w:noWrap/>
            <w:vAlign w:val="bottom"/>
            <w:hideMark/>
          </w:tcPr>
          <w:p w14:paraId="702AAD9E"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BMC, g</w:t>
            </w:r>
          </w:p>
        </w:tc>
        <w:tc>
          <w:tcPr>
            <w:tcW w:w="1738" w:type="dxa"/>
            <w:tcBorders>
              <w:top w:val="nil"/>
              <w:left w:val="nil"/>
              <w:bottom w:val="nil"/>
              <w:right w:val="nil"/>
            </w:tcBorders>
            <w:shd w:val="clear" w:color="auto" w:fill="auto"/>
            <w:noWrap/>
            <w:vAlign w:val="bottom"/>
            <w:hideMark/>
          </w:tcPr>
          <w:p w14:paraId="30538AF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81" w:type="dxa"/>
            <w:tcBorders>
              <w:top w:val="nil"/>
              <w:left w:val="nil"/>
              <w:bottom w:val="nil"/>
              <w:right w:val="nil"/>
            </w:tcBorders>
            <w:shd w:val="clear" w:color="auto" w:fill="auto"/>
            <w:noWrap/>
            <w:vAlign w:val="bottom"/>
            <w:hideMark/>
          </w:tcPr>
          <w:p w14:paraId="10064C3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5CA5CB5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5F75C24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43AA440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7600A984"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1274192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45" w:type="dxa"/>
            <w:tcBorders>
              <w:top w:val="nil"/>
              <w:left w:val="nil"/>
              <w:bottom w:val="nil"/>
              <w:right w:val="nil"/>
            </w:tcBorders>
            <w:shd w:val="clear" w:color="auto" w:fill="auto"/>
            <w:noWrap/>
            <w:vAlign w:val="bottom"/>
            <w:hideMark/>
          </w:tcPr>
          <w:p w14:paraId="0AF5ABBD"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11C69D2F" w14:textId="77777777" w:rsidTr="00677BF5">
        <w:trPr>
          <w:trHeight w:val="301"/>
        </w:trPr>
        <w:tc>
          <w:tcPr>
            <w:tcW w:w="976" w:type="dxa"/>
            <w:tcBorders>
              <w:top w:val="nil"/>
              <w:left w:val="nil"/>
              <w:bottom w:val="nil"/>
              <w:right w:val="nil"/>
            </w:tcBorders>
            <w:shd w:val="clear" w:color="auto" w:fill="auto"/>
            <w:noWrap/>
            <w:vAlign w:val="bottom"/>
            <w:hideMark/>
          </w:tcPr>
          <w:p w14:paraId="1D19B73F"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7E97A4D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881" w:type="dxa"/>
            <w:tcBorders>
              <w:top w:val="nil"/>
              <w:left w:val="nil"/>
              <w:bottom w:val="nil"/>
              <w:right w:val="nil"/>
            </w:tcBorders>
            <w:shd w:val="clear" w:color="auto" w:fill="auto"/>
            <w:noWrap/>
            <w:vAlign w:val="bottom"/>
            <w:hideMark/>
          </w:tcPr>
          <w:p w14:paraId="1A9B5B0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0.315</w:t>
            </w:r>
          </w:p>
        </w:tc>
        <w:tc>
          <w:tcPr>
            <w:tcW w:w="1379" w:type="dxa"/>
            <w:tcBorders>
              <w:top w:val="nil"/>
              <w:left w:val="nil"/>
              <w:bottom w:val="nil"/>
              <w:right w:val="nil"/>
            </w:tcBorders>
            <w:shd w:val="clear" w:color="auto" w:fill="auto"/>
            <w:noWrap/>
            <w:vAlign w:val="bottom"/>
            <w:hideMark/>
          </w:tcPr>
          <w:p w14:paraId="54FF87F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-1.39;2.02</w:t>
            </w:r>
          </w:p>
        </w:tc>
        <w:tc>
          <w:tcPr>
            <w:tcW w:w="783" w:type="dxa"/>
            <w:tcBorders>
              <w:top w:val="nil"/>
              <w:left w:val="nil"/>
              <w:bottom w:val="nil"/>
              <w:right w:val="nil"/>
            </w:tcBorders>
            <w:shd w:val="clear" w:color="auto" w:fill="auto"/>
            <w:noWrap/>
            <w:vAlign w:val="bottom"/>
            <w:hideMark/>
          </w:tcPr>
          <w:p w14:paraId="6A10BF16"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0.715</w:t>
            </w:r>
          </w:p>
        </w:tc>
        <w:tc>
          <w:tcPr>
            <w:tcW w:w="118" w:type="dxa"/>
            <w:tcBorders>
              <w:top w:val="nil"/>
              <w:left w:val="nil"/>
              <w:bottom w:val="nil"/>
              <w:right w:val="nil"/>
            </w:tcBorders>
            <w:shd w:val="clear" w:color="auto" w:fill="auto"/>
            <w:noWrap/>
            <w:vAlign w:val="bottom"/>
            <w:hideMark/>
          </w:tcPr>
          <w:p w14:paraId="1F7FA874"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7F6E2E7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0.009</w:t>
            </w:r>
          </w:p>
        </w:tc>
        <w:tc>
          <w:tcPr>
            <w:tcW w:w="1379" w:type="dxa"/>
            <w:tcBorders>
              <w:top w:val="nil"/>
              <w:left w:val="nil"/>
              <w:bottom w:val="nil"/>
              <w:right w:val="nil"/>
            </w:tcBorders>
            <w:shd w:val="clear" w:color="auto" w:fill="auto"/>
            <w:noWrap/>
            <w:vAlign w:val="bottom"/>
            <w:hideMark/>
          </w:tcPr>
          <w:p w14:paraId="40F9CAF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-1.61;1.63</w:t>
            </w:r>
          </w:p>
        </w:tc>
        <w:tc>
          <w:tcPr>
            <w:tcW w:w="945" w:type="dxa"/>
            <w:tcBorders>
              <w:top w:val="nil"/>
              <w:left w:val="nil"/>
              <w:bottom w:val="nil"/>
              <w:right w:val="nil"/>
            </w:tcBorders>
            <w:shd w:val="clear" w:color="auto" w:fill="auto"/>
            <w:noWrap/>
            <w:vAlign w:val="bottom"/>
            <w:hideMark/>
          </w:tcPr>
          <w:p w14:paraId="49EC8567"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0.991</w:t>
            </w:r>
          </w:p>
        </w:tc>
      </w:tr>
      <w:tr w:rsidR="0055435C" w:rsidRPr="0055435C" w14:paraId="6987C526" w14:textId="77777777" w:rsidTr="00677BF5">
        <w:trPr>
          <w:trHeight w:val="301"/>
        </w:trPr>
        <w:tc>
          <w:tcPr>
            <w:tcW w:w="976" w:type="dxa"/>
            <w:tcBorders>
              <w:top w:val="nil"/>
              <w:left w:val="nil"/>
              <w:bottom w:val="nil"/>
              <w:right w:val="nil"/>
            </w:tcBorders>
            <w:shd w:val="clear" w:color="auto" w:fill="auto"/>
            <w:noWrap/>
            <w:vAlign w:val="bottom"/>
            <w:hideMark/>
          </w:tcPr>
          <w:p w14:paraId="0B88C29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189E866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881" w:type="dxa"/>
            <w:tcBorders>
              <w:top w:val="nil"/>
              <w:left w:val="nil"/>
              <w:bottom w:val="nil"/>
              <w:right w:val="nil"/>
            </w:tcBorders>
            <w:shd w:val="clear" w:color="auto" w:fill="auto"/>
            <w:noWrap/>
            <w:vAlign w:val="bottom"/>
            <w:hideMark/>
          </w:tcPr>
          <w:p w14:paraId="149806C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-0.271</w:t>
            </w:r>
          </w:p>
        </w:tc>
        <w:tc>
          <w:tcPr>
            <w:tcW w:w="1379" w:type="dxa"/>
            <w:tcBorders>
              <w:top w:val="nil"/>
              <w:left w:val="nil"/>
              <w:bottom w:val="nil"/>
              <w:right w:val="nil"/>
            </w:tcBorders>
            <w:shd w:val="clear" w:color="auto" w:fill="auto"/>
            <w:noWrap/>
            <w:vAlign w:val="bottom"/>
            <w:hideMark/>
          </w:tcPr>
          <w:p w14:paraId="27499BF9"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-1.97;1.43</w:t>
            </w:r>
          </w:p>
        </w:tc>
        <w:tc>
          <w:tcPr>
            <w:tcW w:w="783" w:type="dxa"/>
            <w:tcBorders>
              <w:top w:val="nil"/>
              <w:left w:val="nil"/>
              <w:bottom w:val="nil"/>
              <w:right w:val="nil"/>
            </w:tcBorders>
            <w:shd w:val="clear" w:color="auto" w:fill="auto"/>
            <w:noWrap/>
            <w:vAlign w:val="bottom"/>
            <w:hideMark/>
          </w:tcPr>
          <w:p w14:paraId="4DF16D7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0.753</w:t>
            </w:r>
          </w:p>
        </w:tc>
        <w:tc>
          <w:tcPr>
            <w:tcW w:w="118" w:type="dxa"/>
            <w:tcBorders>
              <w:top w:val="nil"/>
              <w:left w:val="nil"/>
              <w:bottom w:val="nil"/>
              <w:right w:val="nil"/>
            </w:tcBorders>
            <w:shd w:val="clear" w:color="auto" w:fill="auto"/>
            <w:noWrap/>
            <w:vAlign w:val="bottom"/>
            <w:hideMark/>
          </w:tcPr>
          <w:p w14:paraId="4200FEB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3B388AD2"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-0.602</w:t>
            </w:r>
          </w:p>
        </w:tc>
        <w:tc>
          <w:tcPr>
            <w:tcW w:w="1379" w:type="dxa"/>
            <w:tcBorders>
              <w:top w:val="nil"/>
              <w:left w:val="nil"/>
              <w:bottom w:val="nil"/>
              <w:right w:val="nil"/>
            </w:tcBorders>
            <w:shd w:val="clear" w:color="auto" w:fill="auto"/>
            <w:noWrap/>
            <w:vAlign w:val="bottom"/>
            <w:hideMark/>
          </w:tcPr>
          <w:p w14:paraId="03327A0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-2.22;1.02</w:t>
            </w:r>
          </w:p>
        </w:tc>
        <w:tc>
          <w:tcPr>
            <w:tcW w:w="945" w:type="dxa"/>
            <w:tcBorders>
              <w:top w:val="nil"/>
              <w:left w:val="nil"/>
              <w:bottom w:val="nil"/>
              <w:right w:val="nil"/>
            </w:tcBorders>
            <w:shd w:val="clear" w:color="auto" w:fill="auto"/>
            <w:noWrap/>
            <w:vAlign w:val="bottom"/>
            <w:hideMark/>
          </w:tcPr>
          <w:p w14:paraId="4280FD72"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0.464</w:t>
            </w:r>
          </w:p>
        </w:tc>
      </w:tr>
      <w:tr w:rsidR="0055435C" w:rsidRPr="0055435C" w14:paraId="69A93DE1" w14:textId="77777777" w:rsidTr="00677BF5">
        <w:trPr>
          <w:trHeight w:val="301"/>
        </w:trPr>
        <w:tc>
          <w:tcPr>
            <w:tcW w:w="976" w:type="dxa"/>
            <w:tcBorders>
              <w:top w:val="nil"/>
              <w:left w:val="nil"/>
              <w:bottom w:val="nil"/>
              <w:right w:val="nil"/>
            </w:tcBorders>
            <w:shd w:val="clear" w:color="auto" w:fill="auto"/>
            <w:noWrap/>
            <w:vAlign w:val="bottom"/>
            <w:hideMark/>
          </w:tcPr>
          <w:p w14:paraId="18A31F45"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44F35316"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881" w:type="dxa"/>
            <w:tcBorders>
              <w:top w:val="nil"/>
              <w:left w:val="nil"/>
              <w:bottom w:val="nil"/>
              <w:right w:val="nil"/>
            </w:tcBorders>
            <w:shd w:val="clear" w:color="auto" w:fill="auto"/>
            <w:noWrap/>
            <w:vAlign w:val="bottom"/>
            <w:hideMark/>
          </w:tcPr>
          <w:p w14:paraId="45C7559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0.228</w:t>
            </w:r>
          </w:p>
        </w:tc>
        <w:tc>
          <w:tcPr>
            <w:tcW w:w="1379" w:type="dxa"/>
            <w:tcBorders>
              <w:top w:val="nil"/>
              <w:left w:val="nil"/>
              <w:bottom w:val="nil"/>
              <w:right w:val="nil"/>
            </w:tcBorders>
            <w:shd w:val="clear" w:color="auto" w:fill="auto"/>
            <w:noWrap/>
            <w:vAlign w:val="bottom"/>
            <w:hideMark/>
          </w:tcPr>
          <w:p w14:paraId="0B2BA9E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-1.49;1.95</w:t>
            </w:r>
          </w:p>
        </w:tc>
        <w:tc>
          <w:tcPr>
            <w:tcW w:w="783" w:type="dxa"/>
            <w:tcBorders>
              <w:top w:val="nil"/>
              <w:left w:val="nil"/>
              <w:bottom w:val="nil"/>
              <w:right w:val="nil"/>
            </w:tcBorders>
            <w:shd w:val="clear" w:color="auto" w:fill="auto"/>
            <w:noWrap/>
            <w:vAlign w:val="bottom"/>
            <w:hideMark/>
          </w:tcPr>
          <w:p w14:paraId="25228652"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0.794</w:t>
            </w:r>
          </w:p>
        </w:tc>
        <w:tc>
          <w:tcPr>
            <w:tcW w:w="118" w:type="dxa"/>
            <w:tcBorders>
              <w:top w:val="nil"/>
              <w:left w:val="nil"/>
              <w:bottom w:val="nil"/>
              <w:right w:val="nil"/>
            </w:tcBorders>
            <w:shd w:val="clear" w:color="auto" w:fill="auto"/>
            <w:noWrap/>
            <w:vAlign w:val="bottom"/>
            <w:hideMark/>
          </w:tcPr>
          <w:p w14:paraId="3887CB7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4C9629C4"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-0.288</w:t>
            </w:r>
          </w:p>
        </w:tc>
        <w:tc>
          <w:tcPr>
            <w:tcW w:w="1379" w:type="dxa"/>
            <w:tcBorders>
              <w:top w:val="nil"/>
              <w:left w:val="nil"/>
              <w:bottom w:val="nil"/>
              <w:right w:val="nil"/>
            </w:tcBorders>
            <w:shd w:val="clear" w:color="auto" w:fill="auto"/>
            <w:noWrap/>
            <w:vAlign w:val="bottom"/>
            <w:hideMark/>
          </w:tcPr>
          <w:p w14:paraId="37CD164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-1.94;1.36</w:t>
            </w:r>
          </w:p>
        </w:tc>
        <w:tc>
          <w:tcPr>
            <w:tcW w:w="945" w:type="dxa"/>
            <w:tcBorders>
              <w:top w:val="nil"/>
              <w:left w:val="nil"/>
              <w:bottom w:val="nil"/>
              <w:right w:val="nil"/>
            </w:tcBorders>
            <w:shd w:val="clear" w:color="auto" w:fill="auto"/>
            <w:noWrap/>
            <w:vAlign w:val="bottom"/>
            <w:hideMark/>
          </w:tcPr>
          <w:p w14:paraId="51DB6B1E"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0.731</w:t>
            </w:r>
          </w:p>
        </w:tc>
      </w:tr>
      <w:tr w:rsidR="0055435C" w:rsidRPr="0055435C" w14:paraId="4B4ABDA8" w14:textId="77777777" w:rsidTr="00677BF5">
        <w:trPr>
          <w:trHeight w:val="301"/>
        </w:trPr>
        <w:tc>
          <w:tcPr>
            <w:tcW w:w="976" w:type="dxa"/>
            <w:tcBorders>
              <w:top w:val="nil"/>
              <w:left w:val="nil"/>
              <w:bottom w:val="nil"/>
              <w:right w:val="nil"/>
            </w:tcBorders>
            <w:shd w:val="clear" w:color="auto" w:fill="auto"/>
            <w:noWrap/>
            <w:vAlign w:val="bottom"/>
            <w:hideMark/>
          </w:tcPr>
          <w:p w14:paraId="1CB7D4B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5368C44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881" w:type="dxa"/>
            <w:tcBorders>
              <w:top w:val="nil"/>
              <w:left w:val="nil"/>
              <w:bottom w:val="nil"/>
              <w:right w:val="nil"/>
            </w:tcBorders>
            <w:shd w:val="clear" w:color="auto" w:fill="auto"/>
            <w:noWrap/>
            <w:vAlign w:val="bottom"/>
            <w:hideMark/>
          </w:tcPr>
          <w:p w14:paraId="753FAAEA"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0.282</w:t>
            </w:r>
          </w:p>
        </w:tc>
        <w:tc>
          <w:tcPr>
            <w:tcW w:w="1379" w:type="dxa"/>
            <w:tcBorders>
              <w:top w:val="nil"/>
              <w:left w:val="nil"/>
              <w:bottom w:val="nil"/>
              <w:right w:val="nil"/>
            </w:tcBorders>
            <w:shd w:val="clear" w:color="auto" w:fill="auto"/>
            <w:noWrap/>
            <w:vAlign w:val="bottom"/>
            <w:hideMark/>
          </w:tcPr>
          <w:p w14:paraId="268CD74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-1.42;1.99</w:t>
            </w:r>
          </w:p>
        </w:tc>
        <w:tc>
          <w:tcPr>
            <w:tcW w:w="783" w:type="dxa"/>
            <w:tcBorders>
              <w:top w:val="nil"/>
              <w:left w:val="nil"/>
              <w:bottom w:val="nil"/>
              <w:right w:val="nil"/>
            </w:tcBorders>
            <w:shd w:val="clear" w:color="auto" w:fill="auto"/>
            <w:noWrap/>
            <w:vAlign w:val="bottom"/>
            <w:hideMark/>
          </w:tcPr>
          <w:p w14:paraId="042AC962"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0.744</w:t>
            </w:r>
          </w:p>
        </w:tc>
        <w:tc>
          <w:tcPr>
            <w:tcW w:w="118" w:type="dxa"/>
            <w:tcBorders>
              <w:top w:val="nil"/>
              <w:left w:val="nil"/>
              <w:bottom w:val="nil"/>
              <w:right w:val="nil"/>
            </w:tcBorders>
            <w:shd w:val="clear" w:color="auto" w:fill="auto"/>
            <w:noWrap/>
            <w:vAlign w:val="bottom"/>
            <w:hideMark/>
          </w:tcPr>
          <w:p w14:paraId="787C763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59D0E07E"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-0.174</w:t>
            </w:r>
          </w:p>
        </w:tc>
        <w:tc>
          <w:tcPr>
            <w:tcW w:w="1379" w:type="dxa"/>
            <w:tcBorders>
              <w:top w:val="nil"/>
              <w:left w:val="nil"/>
              <w:bottom w:val="nil"/>
              <w:right w:val="nil"/>
            </w:tcBorders>
            <w:shd w:val="clear" w:color="auto" w:fill="auto"/>
            <w:noWrap/>
            <w:vAlign w:val="bottom"/>
            <w:hideMark/>
          </w:tcPr>
          <w:p w14:paraId="3D4135FD"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-1.8;1.46</w:t>
            </w:r>
          </w:p>
        </w:tc>
        <w:tc>
          <w:tcPr>
            <w:tcW w:w="945" w:type="dxa"/>
            <w:tcBorders>
              <w:top w:val="nil"/>
              <w:left w:val="nil"/>
              <w:bottom w:val="nil"/>
              <w:right w:val="nil"/>
            </w:tcBorders>
            <w:shd w:val="clear" w:color="auto" w:fill="auto"/>
            <w:noWrap/>
            <w:vAlign w:val="bottom"/>
            <w:hideMark/>
          </w:tcPr>
          <w:p w14:paraId="09C0FA30"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0.834</w:t>
            </w:r>
          </w:p>
        </w:tc>
      </w:tr>
      <w:tr w:rsidR="0055435C" w:rsidRPr="0055435C" w14:paraId="4912198C" w14:textId="77777777" w:rsidTr="00677BF5">
        <w:trPr>
          <w:trHeight w:val="301"/>
        </w:trPr>
        <w:tc>
          <w:tcPr>
            <w:tcW w:w="976" w:type="dxa"/>
            <w:tcBorders>
              <w:top w:val="nil"/>
              <w:left w:val="nil"/>
              <w:bottom w:val="nil"/>
              <w:right w:val="nil"/>
            </w:tcBorders>
            <w:shd w:val="clear" w:color="auto" w:fill="auto"/>
            <w:noWrap/>
            <w:vAlign w:val="bottom"/>
            <w:hideMark/>
          </w:tcPr>
          <w:p w14:paraId="0D5AB50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6BE026C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881" w:type="dxa"/>
            <w:tcBorders>
              <w:top w:val="nil"/>
              <w:left w:val="nil"/>
              <w:bottom w:val="nil"/>
              <w:right w:val="nil"/>
            </w:tcBorders>
            <w:shd w:val="clear" w:color="auto" w:fill="auto"/>
            <w:noWrap/>
            <w:vAlign w:val="bottom"/>
            <w:hideMark/>
          </w:tcPr>
          <w:p w14:paraId="113BD06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3EB78119"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20E068F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5C2766C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6E9ED01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3.542</w:t>
            </w:r>
          </w:p>
        </w:tc>
        <w:tc>
          <w:tcPr>
            <w:tcW w:w="1379" w:type="dxa"/>
            <w:tcBorders>
              <w:top w:val="nil"/>
              <w:left w:val="nil"/>
              <w:bottom w:val="nil"/>
              <w:right w:val="nil"/>
            </w:tcBorders>
            <w:shd w:val="clear" w:color="auto" w:fill="auto"/>
            <w:noWrap/>
            <w:vAlign w:val="bottom"/>
            <w:hideMark/>
          </w:tcPr>
          <w:p w14:paraId="5DA1B621"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1.87;5.22</w:t>
            </w:r>
          </w:p>
        </w:tc>
        <w:tc>
          <w:tcPr>
            <w:tcW w:w="945" w:type="dxa"/>
            <w:tcBorders>
              <w:top w:val="nil"/>
              <w:left w:val="nil"/>
              <w:bottom w:val="nil"/>
              <w:right w:val="nil"/>
            </w:tcBorders>
            <w:shd w:val="clear" w:color="auto" w:fill="auto"/>
            <w:noWrap/>
            <w:vAlign w:val="bottom"/>
            <w:hideMark/>
          </w:tcPr>
          <w:p w14:paraId="1FD4FD9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&gt;0.001</w:t>
            </w:r>
          </w:p>
        </w:tc>
      </w:tr>
      <w:tr w:rsidR="0055435C" w:rsidRPr="0055435C" w14:paraId="582A60A4" w14:textId="77777777" w:rsidTr="00677BF5">
        <w:trPr>
          <w:trHeight w:val="301"/>
        </w:trPr>
        <w:tc>
          <w:tcPr>
            <w:tcW w:w="976" w:type="dxa"/>
            <w:tcBorders>
              <w:top w:val="nil"/>
              <w:left w:val="nil"/>
              <w:bottom w:val="nil"/>
              <w:right w:val="nil"/>
            </w:tcBorders>
            <w:shd w:val="clear" w:color="auto" w:fill="auto"/>
            <w:noWrap/>
            <w:vAlign w:val="bottom"/>
            <w:hideMark/>
          </w:tcPr>
          <w:p w14:paraId="566ADB7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5C722245"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881" w:type="dxa"/>
            <w:tcBorders>
              <w:top w:val="nil"/>
              <w:left w:val="nil"/>
              <w:bottom w:val="nil"/>
              <w:right w:val="nil"/>
            </w:tcBorders>
            <w:shd w:val="clear" w:color="auto" w:fill="auto"/>
            <w:noWrap/>
            <w:vAlign w:val="bottom"/>
            <w:hideMark/>
          </w:tcPr>
          <w:p w14:paraId="21999A3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1CBD1D93"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1E2446B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70BA1B7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2EBDAD61"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3DB13EC6"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45" w:type="dxa"/>
            <w:tcBorders>
              <w:top w:val="nil"/>
              <w:left w:val="nil"/>
              <w:bottom w:val="nil"/>
              <w:right w:val="nil"/>
            </w:tcBorders>
            <w:shd w:val="clear" w:color="auto" w:fill="auto"/>
            <w:noWrap/>
            <w:vAlign w:val="bottom"/>
            <w:hideMark/>
          </w:tcPr>
          <w:p w14:paraId="53C21848"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45F1EDD1" w14:textId="77777777" w:rsidTr="00677BF5">
        <w:trPr>
          <w:trHeight w:val="328"/>
        </w:trPr>
        <w:tc>
          <w:tcPr>
            <w:tcW w:w="2714" w:type="dxa"/>
            <w:gridSpan w:val="2"/>
            <w:tcBorders>
              <w:top w:val="nil"/>
              <w:left w:val="nil"/>
              <w:bottom w:val="nil"/>
              <w:right w:val="nil"/>
            </w:tcBorders>
            <w:shd w:val="clear" w:color="auto" w:fill="auto"/>
            <w:noWrap/>
            <w:vAlign w:val="bottom"/>
            <w:hideMark/>
          </w:tcPr>
          <w:p w14:paraId="6CCA4F4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aBMD, g/cm</w:t>
            </w:r>
            <w:r w:rsidRPr="0055435C">
              <w:rPr>
                <w:rFonts w:ascii="Calibri" w:eastAsia="Times New Roman" w:hAnsi="Calibri" w:cs="Times New Roman"/>
                <w:color w:val="000000"/>
                <w:vertAlign w:val="superscript"/>
                <w:lang w:eastAsia="sv-FI"/>
              </w:rPr>
              <w:t>2</w:t>
            </w:r>
          </w:p>
        </w:tc>
        <w:tc>
          <w:tcPr>
            <w:tcW w:w="881" w:type="dxa"/>
            <w:tcBorders>
              <w:top w:val="nil"/>
              <w:left w:val="nil"/>
              <w:bottom w:val="nil"/>
              <w:right w:val="nil"/>
            </w:tcBorders>
            <w:shd w:val="clear" w:color="auto" w:fill="auto"/>
            <w:noWrap/>
            <w:vAlign w:val="bottom"/>
            <w:hideMark/>
          </w:tcPr>
          <w:p w14:paraId="2850B050"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3A88AC3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28440BA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557F022B"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04830DE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32BA22E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945" w:type="dxa"/>
            <w:tcBorders>
              <w:top w:val="nil"/>
              <w:left w:val="nil"/>
              <w:bottom w:val="nil"/>
              <w:right w:val="nil"/>
            </w:tcBorders>
            <w:shd w:val="clear" w:color="auto" w:fill="auto"/>
            <w:noWrap/>
            <w:vAlign w:val="bottom"/>
            <w:hideMark/>
          </w:tcPr>
          <w:p w14:paraId="29DAB22B" w14:textId="77777777" w:rsidR="0055435C" w:rsidRPr="0055435C" w:rsidRDefault="0055435C" w:rsidP="00677BF5">
            <w:pPr>
              <w:spacing w:after="0" w:line="240" w:lineRule="auto"/>
              <w:rPr>
                <w:rFonts w:ascii="Calibri" w:eastAsia="Times New Roman" w:hAnsi="Calibri" w:cs="Times New Roman"/>
                <w:color w:val="000000"/>
                <w:lang w:eastAsia="sv-FI"/>
              </w:rPr>
            </w:pPr>
          </w:p>
        </w:tc>
      </w:tr>
      <w:tr w:rsidR="0055435C" w:rsidRPr="0055435C" w14:paraId="7D8A3BFE" w14:textId="77777777" w:rsidTr="00677BF5">
        <w:trPr>
          <w:trHeight w:val="301"/>
        </w:trPr>
        <w:tc>
          <w:tcPr>
            <w:tcW w:w="976" w:type="dxa"/>
            <w:tcBorders>
              <w:top w:val="nil"/>
              <w:left w:val="nil"/>
              <w:bottom w:val="nil"/>
              <w:right w:val="nil"/>
            </w:tcBorders>
            <w:shd w:val="clear" w:color="auto" w:fill="auto"/>
            <w:noWrap/>
            <w:vAlign w:val="bottom"/>
            <w:hideMark/>
          </w:tcPr>
          <w:p w14:paraId="6D3D4EB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640233AC"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Birth</w:t>
            </w:r>
          </w:p>
        </w:tc>
        <w:tc>
          <w:tcPr>
            <w:tcW w:w="881" w:type="dxa"/>
            <w:tcBorders>
              <w:top w:val="nil"/>
              <w:left w:val="nil"/>
              <w:bottom w:val="nil"/>
              <w:right w:val="nil"/>
            </w:tcBorders>
            <w:shd w:val="clear" w:color="auto" w:fill="auto"/>
            <w:noWrap/>
            <w:vAlign w:val="bottom"/>
            <w:hideMark/>
          </w:tcPr>
          <w:p w14:paraId="4385424C"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0.012</w:t>
            </w:r>
          </w:p>
        </w:tc>
        <w:tc>
          <w:tcPr>
            <w:tcW w:w="1379" w:type="dxa"/>
            <w:tcBorders>
              <w:top w:val="nil"/>
              <w:left w:val="nil"/>
              <w:bottom w:val="nil"/>
              <w:right w:val="nil"/>
            </w:tcBorders>
            <w:shd w:val="clear" w:color="auto" w:fill="auto"/>
            <w:noWrap/>
            <w:vAlign w:val="bottom"/>
            <w:hideMark/>
          </w:tcPr>
          <w:p w14:paraId="6A4D3E4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783" w:type="dxa"/>
            <w:tcBorders>
              <w:top w:val="nil"/>
              <w:left w:val="nil"/>
              <w:bottom w:val="nil"/>
              <w:right w:val="nil"/>
            </w:tcBorders>
            <w:shd w:val="clear" w:color="auto" w:fill="auto"/>
            <w:noWrap/>
            <w:vAlign w:val="bottom"/>
            <w:hideMark/>
          </w:tcPr>
          <w:p w14:paraId="305A9CAF"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0.42</w:t>
            </w:r>
          </w:p>
        </w:tc>
        <w:tc>
          <w:tcPr>
            <w:tcW w:w="118" w:type="dxa"/>
            <w:tcBorders>
              <w:top w:val="nil"/>
              <w:left w:val="nil"/>
              <w:bottom w:val="nil"/>
              <w:right w:val="nil"/>
            </w:tcBorders>
            <w:shd w:val="clear" w:color="auto" w:fill="auto"/>
            <w:noWrap/>
            <w:vAlign w:val="bottom"/>
            <w:hideMark/>
          </w:tcPr>
          <w:p w14:paraId="1F39A13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00EAAB4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0.008</w:t>
            </w:r>
          </w:p>
        </w:tc>
        <w:tc>
          <w:tcPr>
            <w:tcW w:w="1379" w:type="dxa"/>
            <w:tcBorders>
              <w:top w:val="nil"/>
              <w:left w:val="nil"/>
              <w:bottom w:val="nil"/>
              <w:right w:val="nil"/>
            </w:tcBorders>
            <w:shd w:val="clear" w:color="auto" w:fill="auto"/>
            <w:noWrap/>
            <w:vAlign w:val="bottom"/>
            <w:hideMark/>
          </w:tcPr>
          <w:p w14:paraId="45BA672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945" w:type="dxa"/>
            <w:tcBorders>
              <w:top w:val="nil"/>
              <w:left w:val="nil"/>
              <w:bottom w:val="nil"/>
              <w:right w:val="nil"/>
            </w:tcBorders>
            <w:shd w:val="clear" w:color="auto" w:fill="auto"/>
            <w:noWrap/>
            <w:vAlign w:val="bottom"/>
            <w:hideMark/>
          </w:tcPr>
          <w:p w14:paraId="1B1486F6"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0.594</w:t>
            </w:r>
          </w:p>
        </w:tc>
      </w:tr>
      <w:tr w:rsidR="0055435C" w:rsidRPr="0055435C" w14:paraId="7DEB3365" w14:textId="77777777" w:rsidTr="00677BF5">
        <w:trPr>
          <w:trHeight w:val="301"/>
        </w:trPr>
        <w:tc>
          <w:tcPr>
            <w:tcW w:w="976" w:type="dxa"/>
            <w:tcBorders>
              <w:top w:val="nil"/>
              <w:left w:val="nil"/>
              <w:bottom w:val="nil"/>
              <w:right w:val="nil"/>
            </w:tcBorders>
            <w:shd w:val="clear" w:color="auto" w:fill="auto"/>
            <w:noWrap/>
            <w:vAlign w:val="bottom"/>
            <w:hideMark/>
          </w:tcPr>
          <w:p w14:paraId="3B2C7B0E"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3479A4A0"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 to 2 years</w:t>
            </w:r>
          </w:p>
        </w:tc>
        <w:tc>
          <w:tcPr>
            <w:tcW w:w="881" w:type="dxa"/>
            <w:tcBorders>
              <w:top w:val="nil"/>
              <w:left w:val="nil"/>
              <w:bottom w:val="nil"/>
              <w:right w:val="nil"/>
            </w:tcBorders>
            <w:shd w:val="clear" w:color="auto" w:fill="auto"/>
            <w:noWrap/>
            <w:vAlign w:val="bottom"/>
            <w:hideMark/>
          </w:tcPr>
          <w:p w14:paraId="39AD4E1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c>
          <w:tcPr>
            <w:tcW w:w="1379" w:type="dxa"/>
            <w:tcBorders>
              <w:top w:val="nil"/>
              <w:left w:val="nil"/>
              <w:bottom w:val="nil"/>
              <w:right w:val="nil"/>
            </w:tcBorders>
            <w:shd w:val="clear" w:color="auto" w:fill="auto"/>
            <w:noWrap/>
            <w:vAlign w:val="bottom"/>
            <w:hideMark/>
          </w:tcPr>
          <w:p w14:paraId="489A8D05"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-0.03;0.03</w:t>
            </w:r>
          </w:p>
        </w:tc>
        <w:tc>
          <w:tcPr>
            <w:tcW w:w="783" w:type="dxa"/>
            <w:tcBorders>
              <w:top w:val="nil"/>
              <w:left w:val="nil"/>
              <w:bottom w:val="nil"/>
              <w:right w:val="nil"/>
            </w:tcBorders>
            <w:shd w:val="clear" w:color="auto" w:fill="auto"/>
            <w:noWrap/>
            <w:vAlign w:val="bottom"/>
            <w:hideMark/>
          </w:tcPr>
          <w:p w14:paraId="6C20D487"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0.929</w:t>
            </w:r>
          </w:p>
        </w:tc>
        <w:tc>
          <w:tcPr>
            <w:tcW w:w="118" w:type="dxa"/>
            <w:tcBorders>
              <w:top w:val="nil"/>
              <w:left w:val="nil"/>
              <w:bottom w:val="nil"/>
              <w:right w:val="nil"/>
            </w:tcBorders>
            <w:shd w:val="clear" w:color="auto" w:fill="auto"/>
            <w:noWrap/>
            <w:vAlign w:val="bottom"/>
            <w:hideMark/>
          </w:tcPr>
          <w:p w14:paraId="4286257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2F58521F"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-0.003</w:t>
            </w:r>
          </w:p>
        </w:tc>
        <w:tc>
          <w:tcPr>
            <w:tcW w:w="1379" w:type="dxa"/>
            <w:tcBorders>
              <w:top w:val="nil"/>
              <w:left w:val="nil"/>
              <w:bottom w:val="nil"/>
              <w:right w:val="nil"/>
            </w:tcBorders>
            <w:shd w:val="clear" w:color="auto" w:fill="auto"/>
            <w:noWrap/>
            <w:vAlign w:val="bottom"/>
            <w:hideMark/>
          </w:tcPr>
          <w:p w14:paraId="6A534DD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-0.03;0.03</w:t>
            </w:r>
          </w:p>
        </w:tc>
        <w:tc>
          <w:tcPr>
            <w:tcW w:w="945" w:type="dxa"/>
            <w:tcBorders>
              <w:top w:val="nil"/>
              <w:left w:val="nil"/>
              <w:bottom w:val="nil"/>
              <w:right w:val="nil"/>
            </w:tcBorders>
            <w:shd w:val="clear" w:color="auto" w:fill="auto"/>
            <w:noWrap/>
            <w:vAlign w:val="bottom"/>
            <w:hideMark/>
          </w:tcPr>
          <w:p w14:paraId="18DD53F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0.816</w:t>
            </w:r>
          </w:p>
        </w:tc>
      </w:tr>
      <w:tr w:rsidR="0055435C" w:rsidRPr="0055435C" w14:paraId="7C14438E" w14:textId="77777777" w:rsidTr="00677BF5">
        <w:trPr>
          <w:trHeight w:val="301"/>
        </w:trPr>
        <w:tc>
          <w:tcPr>
            <w:tcW w:w="976" w:type="dxa"/>
            <w:tcBorders>
              <w:top w:val="nil"/>
              <w:left w:val="nil"/>
              <w:bottom w:val="nil"/>
              <w:right w:val="nil"/>
            </w:tcBorders>
            <w:shd w:val="clear" w:color="auto" w:fill="auto"/>
            <w:noWrap/>
            <w:vAlign w:val="bottom"/>
            <w:hideMark/>
          </w:tcPr>
          <w:p w14:paraId="431FB5E2"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3291733F"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2 to 7 years</w:t>
            </w:r>
          </w:p>
        </w:tc>
        <w:tc>
          <w:tcPr>
            <w:tcW w:w="881" w:type="dxa"/>
            <w:tcBorders>
              <w:top w:val="nil"/>
              <w:left w:val="nil"/>
              <w:bottom w:val="nil"/>
              <w:right w:val="nil"/>
            </w:tcBorders>
            <w:shd w:val="clear" w:color="auto" w:fill="auto"/>
            <w:noWrap/>
            <w:vAlign w:val="bottom"/>
            <w:hideMark/>
          </w:tcPr>
          <w:p w14:paraId="10FF110E"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0.011</w:t>
            </w:r>
          </w:p>
        </w:tc>
        <w:tc>
          <w:tcPr>
            <w:tcW w:w="1379" w:type="dxa"/>
            <w:tcBorders>
              <w:top w:val="nil"/>
              <w:left w:val="nil"/>
              <w:bottom w:val="nil"/>
              <w:right w:val="nil"/>
            </w:tcBorders>
            <w:shd w:val="clear" w:color="auto" w:fill="auto"/>
            <w:noWrap/>
            <w:vAlign w:val="bottom"/>
            <w:hideMark/>
          </w:tcPr>
          <w:p w14:paraId="243DFF68"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783" w:type="dxa"/>
            <w:tcBorders>
              <w:top w:val="nil"/>
              <w:left w:val="nil"/>
              <w:bottom w:val="nil"/>
              <w:right w:val="nil"/>
            </w:tcBorders>
            <w:shd w:val="clear" w:color="auto" w:fill="auto"/>
            <w:noWrap/>
            <w:vAlign w:val="bottom"/>
            <w:hideMark/>
          </w:tcPr>
          <w:p w14:paraId="797C10E5"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0.474</w:t>
            </w:r>
          </w:p>
        </w:tc>
        <w:tc>
          <w:tcPr>
            <w:tcW w:w="118" w:type="dxa"/>
            <w:tcBorders>
              <w:top w:val="nil"/>
              <w:left w:val="nil"/>
              <w:bottom w:val="nil"/>
              <w:right w:val="nil"/>
            </w:tcBorders>
            <w:shd w:val="clear" w:color="auto" w:fill="auto"/>
            <w:noWrap/>
            <w:vAlign w:val="bottom"/>
            <w:hideMark/>
          </w:tcPr>
          <w:p w14:paraId="27A11269"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694C0B4D"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0.004</w:t>
            </w:r>
          </w:p>
        </w:tc>
        <w:tc>
          <w:tcPr>
            <w:tcW w:w="1379" w:type="dxa"/>
            <w:tcBorders>
              <w:top w:val="nil"/>
              <w:left w:val="nil"/>
              <w:bottom w:val="nil"/>
              <w:right w:val="nil"/>
            </w:tcBorders>
            <w:shd w:val="clear" w:color="auto" w:fill="auto"/>
            <w:noWrap/>
            <w:vAlign w:val="bottom"/>
            <w:hideMark/>
          </w:tcPr>
          <w:p w14:paraId="255A7BE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-0.03;0.03</w:t>
            </w:r>
          </w:p>
        </w:tc>
        <w:tc>
          <w:tcPr>
            <w:tcW w:w="945" w:type="dxa"/>
            <w:tcBorders>
              <w:top w:val="nil"/>
              <w:left w:val="nil"/>
              <w:bottom w:val="nil"/>
              <w:right w:val="nil"/>
            </w:tcBorders>
            <w:shd w:val="clear" w:color="auto" w:fill="auto"/>
            <w:noWrap/>
            <w:vAlign w:val="bottom"/>
            <w:hideMark/>
          </w:tcPr>
          <w:p w14:paraId="1B508BEA"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0.811</w:t>
            </w:r>
          </w:p>
        </w:tc>
      </w:tr>
      <w:tr w:rsidR="0055435C" w:rsidRPr="0055435C" w14:paraId="685E4BAD" w14:textId="77777777" w:rsidTr="00677BF5">
        <w:trPr>
          <w:trHeight w:val="301"/>
        </w:trPr>
        <w:tc>
          <w:tcPr>
            <w:tcW w:w="976" w:type="dxa"/>
            <w:tcBorders>
              <w:top w:val="nil"/>
              <w:left w:val="nil"/>
              <w:bottom w:val="nil"/>
              <w:right w:val="nil"/>
            </w:tcBorders>
            <w:shd w:val="clear" w:color="auto" w:fill="auto"/>
            <w:noWrap/>
            <w:vAlign w:val="bottom"/>
            <w:hideMark/>
          </w:tcPr>
          <w:p w14:paraId="30709D97"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738" w:type="dxa"/>
            <w:tcBorders>
              <w:top w:val="nil"/>
              <w:left w:val="nil"/>
              <w:bottom w:val="nil"/>
              <w:right w:val="nil"/>
            </w:tcBorders>
            <w:shd w:val="clear" w:color="auto" w:fill="auto"/>
            <w:noWrap/>
            <w:vAlign w:val="bottom"/>
            <w:hideMark/>
          </w:tcPr>
          <w:p w14:paraId="6B5A7F32"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7 to 11 years</w:t>
            </w:r>
          </w:p>
        </w:tc>
        <w:tc>
          <w:tcPr>
            <w:tcW w:w="881" w:type="dxa"/>
            <w:tcBorders>
              <w:top w:val="nil"/>
              <w:left w:val="nil"/>
              <w:bottom w:val="nil"/>
              <w:right w:val="nil"/>
            </w:tcBorders>
            <w:shd w:val="clear" w:color="auto" w:fill="auto"/>
            <w:noWrap/>
            <w:vAlign w:val="bottom"/>
            <w:hideMark/>
          </w:tcPr>
          <w:p w14:paraId="09CE9D19"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0.01</w:t>
            </w:r>
          </w:p>
        </w:tc>
        <w:tc>
          <w:tcPr>
            <w:tcW w:w="1379" w:type="dxa"/>
            <w:tcBorders>
              <w:top w:val="nil"/>
              <w:left w:val="nil"/>
              <w:bottom w:val="nil"/>
              <w:right w:val="nil"/>
            </w:tcBorders>
            <w:shd w:val="clear" w:color="auto" w:fill="auto"/>
            <w:noWrap/>
            <w:vAlign w:val="bottom"/>
            <w:hideMark/>
          </w:tcPr>
          <w:p w14:paraId="566D8C57"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-0.02;0.04</w:t>
            </w:r>
          </w:p>
        </w:tc>
        <w:tc>
          <w:tcPr>
            <w:tcW w:w="783" w:type="dxa"/>
            <w:tcBorders>
              <w:top w:val="nil"/>
              <w:left w:val="nil"/>
              <w:bottom w:val="nil"/>
              <w:right w:val="nil"/>
            </w:tcBorders>
            <w:shd w:val="clear" w:color="auto" w:fill="auto"/>
            <w:noWrap/>
            <w:vAlign w:val="bottom"/>
            <w:hideMark/>
          </w:tcPr>
          <w:p w14:paraId="43ADD1A7"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0.531</w:t>
            </w:r>
          </w:p>
        </w:tc>
        <w:tc>
          <w:tcPr>
            <w:tcW w:w="118" w:type="dxa"/>
            <w:tcBorders>
              <w:top w:val="nil"/>
              <w:left w:val="nil"/>
              <w:bottom w:val="nil"/>
              <w:right w:val="nil"/>
            </w:tcBorders>
            <w:shd w:val="clear" w:color="auto" w:fill="auto"/>
            <w:noWrap/>
            <w:vAlign w:val="bottom"/>
            <w:hideMark/>
          </w:tcPr>
          <w:p w14:paraId="7E50CAA8"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7C7B8ACF"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0.003</w:t>
            </w:r>
          </w:p>
        </w:tc>
        <w:tc>
          <w:tcPr>
            <w:tcW w:w="1379" w:type="dxa"/>
            <w:tcBorders>
              <w:top w:val="nil"/>
              <w:left w:val="nil"/>
              <w:bottom w:val="nil"/>
              <w:right w:val="nil"/>
            </w:tcBorders>
            <w:shd w:val="clear" w:color="auto" w:fill="auto"/>
            <w:noWrap/>
            <w:vAlign w:val="bottom"/>
            <w:hideMark/>
          </w:tcPr>
          <w:p w14:paraId="2A892A1A"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-0.03;0.03</w:t>
            </w:r>
          </w:p>
        </w:tc>
        <w:tc>
          <w:tcPr>
            <w:tcW w:w="945" w:type="dxa"/>
            <w:tcBorders>
              <w:top w:val="nil"/>
              <w:left w:val="nil"/>
              <w:bottom w:val="nil"/>
              <w:right w:val="nil"/>
            </w:tcBorders>
            <w:shd w:val="clear" w:color="auto" w:fill="auto"/>
            <w:noWrap/>
            <w:vAlign w:val="bottom"/>
            <w:hideMark/>
          </w:tcPr>
          <w:p w14:paraId="6B20E782"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0.841</w:t>
            </w:r>
          </w:p>
        </w:tc>
      </w:tr>
      <w:tr w:rsidR="0055435C" w:rsidRPr="0055435C" w14:paraId="60EF5948" w14:textId="77777777" w:rsidTr="00677BF5">
        <w:trPr>
          <w:trHeight w:val="301"/>
        </w:trPr>
        <w:tc>
          <w:tcPr>
            <w:tcW w:w="976" w:type="dxa"/>
            <w:tcBorders>
              <w:top w:val="nil"/>
              <w:left w:val="nil"/>
              <w:bottom w:val="single" w:sz="4" w:space="0" w:color="auto"/>
              <w:right w:val="nil"/>
            </w:tcBorders>
            <w:shd w:val="clear" w:color="auto" w:fill="auto"/>
            <w:noWrap/>
            <w:vAlign w:val="bottom"/>
            <w:hideMark/>
          </w:tcPr>
          <w:p w14:paraId="048A29F5"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 </w:t>
            </w:r>
          </w:p>
        </w:tc>
        <w:tc>
          <w:tcPr>
            <w:tcW w:w="1738" w:type="dxa"/>
            <w:tcBorders>
              <w:top w:val="nil"/>
              <w:left w:val="nil"/>
              <w:bottom w:val="single" w:sz="4" w:space="0" w:color="auto"/>
              <w:right w:val="nil"/>
            </w:tcBorders>
            <w:shd w:val="clear" w:color="auto" w:fill="auto"/>
            <w:noWrap/>
            <w:vAlign w:val="bottom"/>
            <w:hideMark/>
          </w:tcPr>
          <w:p w14:paraId="43784404"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Early old age</w:t>
            </w:r>
          </w:p>
        </w:tc>
        <w:tc>
          <w:tcPr>
            <w:tcW w:w="881" w:type="dxa"/>
            <w:tcBorders>
              <w:top w:val="nil"/>
              <w:left w:val="nil"/>
              <w:bottom w:val="nil"/>
              <w:right w:val="nil"/>
            </w:tcBorders>
            <w:shd w:val="clear" w:color="auto" w:fill="auto"/>
            <w:noWrap/>
            <w:vAlign w:val="bottom"/>
            <w:hideMark/>
          </w:tcPr>
          <w:p w14:paraId="77D62724"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379" w:type="dxa"/>
            <w:tcBorders>
              <w:top w:val="nil"/>
              <w:left w:val="nil"/>
              <w:bottom w:val="nil"/>
              <w:right w:val="nil"/>
            </w:tcBorders>
            <w:shd w:val="clear" w:color="auto" w:fill="auto"/>
            <w:noWrap/>
            <w:vAlign w:val="bottom"/>
            <w:hideMark/>
          </w:tcPr>
          <w:p w14:paraId="6DA87A2D"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783" w:type="dxa"/>
            <w:tcBorders>
              <w:top w:val="nil"/>
              <w:left w:val="nil"/>
              <w:bottom w:val="nil"/>
              <w:right w:val="nil"/>
            </w:tcBorders>
            <w:shd w:val="clear" w:color="auto" w:fill="auto"/>
            <w:noWrap/>
            <w:vAlign w:val="bottom"/>
            <w:hideMark/>
          </w:tcPr>
          <w:p w14:paraId="7363F1FA"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118" w:type="dxa"/>
            <w:tcBorders>
              <w:top w:val="nil"/>
              <w:left w:val="nil"/>
              <w:bottom w:val="nil"/>
              <w:right w:val="nil"/>
            </w:tcBorders>
            <w:shd w:val="clear" w:color="auto" w:fill="auto"/>
            <w:noWrap/>
            <w:vAlign w:val="bottom"/>
            <w:hideMark/>
          </w:tcPr>
          <w:p w14:paraId="5C46F7BC" w14:textId="77777777" w:rsidR="0055435C" w:rsidRPr="0055435C" w:rsidRDefault="0055435C" w:rsidP="00677BF5">
            <w:pPr>
              <w:spacing w:after="0" w:line="240" w:lineRule="auto"/>
              <w:rPr>
                <w:rFonts w:ascii="Calibri" w:eastAsia="Times New Roman" w:hAnsi="Calibri" w:cs="Times New Roman"/>
                <w:color w:val="000000"/>
                <w:lang w:eastAsia="sv-FI"/>
              </w:rPr>
            </w:pPr>
          </w:p>
        </w:tc>
        <w:tc>
          <w:tcPr>
            <w:tcW w:w="881" w:type="dxa"/>
            <w:tcBorders>
              <w:top w:val="nil"/>
              <w:left w:val="nil"/>
              <w:bottom w:val="nil"/>
              <w:right w:val="nil"/>
            </w:tcBorders>
            <w:shd w:val="clear" w:color="auto" w:fill="auto"/>
            <w:noWrap/>
            <w:vAlign w:val="bottom"/>
            <w:hideMark/>
          </w:tcPr>
          <w:p w14:paraId="299AC123"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0.052</w:t>
            </w:r>
          </w:p>
        </w:tc>
        <w:tc>
          <w:tcPr>
            <w:tcW w:w="1379" w:type="dxa"/>
            <w:tcBorders>
              <w:top w:val="nil"/>
              <w:left w:val="nil"/>
              <w:bottom w:val="nil"/>
              <w:right w:val="nil"/>
            </w:tcBorders>
            <w:shd w:val="clear" w:color="auto" w:fill="auto"/>
            <w:noWrap/>
            <w:vAlign w:val="bottom"/>
            <w:hideMark/>
          </w:tcPr>
          <w:p w14:paraId="30F02D63" w14:textId="77777777" w:rsidR="0055435C" w:rsidRPr="0055435C" w:rsidRDefault="0055435C" w:rsidP="00677BF5">
            <w:pPr>
              <w:spacing w:after="0" w:line="240" w:lineRule="auto"/>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0.02;0.08</w:t>
            </w:r>
          </w:p>
        </w:tc>
        <w:tc>
          <w:tcPr>
            <w:tcW w:w="945" w:type="dxa"/>
            <w:tcBorders>
              <w:top w:val="nil"/>
              <w:left w:val="nil"/>
              <w:bottom w:val="nil"/>
              <w:right w:val="nil"/>
            </w:tcBorders>
            <w:shd w:val="clear" w:color="auto" w:fill="auto"/>
            <w:noWrap/>
            <w:vAlign w:val="bottom"/>
            <w:hideMark/>
          </w:tcPr>
          <w:p w14:paraId="090A085C" w14:textId="77777777" w:rsidR="0055435C" w:rsidRPr="0055435C" w:rsidRDefault="0055435C" w:rsidP="00677BF5">
            <w:pPr>
              <w:spacing w:after="0" w:line="240" w:lineRule="auto"/>
              <w:jc w:val="right"/>
              <w:rPr>
                <w:rFonts w:ascii="Calibri" w:eastAsia="Times New Roman" w:hAnsi="Calibri" w:cs="Times New Roman"/>
                <w:color w:val="000000"/>
                <w:lang w:eastAsia="sv-FI"/>
              </w:rPr>
            </w:pPr>
            <w:r w:rsidRPr="0055435C">
              <w:rPr>
                <w:rFonts w:ascii="Calibri" w:eastAsia="Times New Roman" w:hAnsi="Calibri" w:cs="Times New Roman"/>
                <w:color w:val="000000"/>
                <w:lang w:eastAsia="sv-FI"/>
              </w:rPr>
              <w:t>0.001</w:t>
            </w:r>
          </w:p>
        </w:tc>
      </w:tr>
      <w:tr w:rsidR="0055435C" w:rsidRPr="0055435C" w14:paraId="30407669" w14:textId="77777777" w:rsidTr="00677BF5">
        <w:trPr>
          <w:trHeight w:val="1558"/>
        </w:trPr>
        <w:tc>
          <w:tcPr>
            <w:tcW w:w="9080" w:type="dxa"/>
            <w:gridSpan w:val="9"/>
            <w:tcBorders>
              <w:top w:val="single" w:sz="4" w:space="0" w:color="auto"/>
              <w:left w:val="nil"/>
              <w:bottom w:val="nil"/>
              <w:right w:val="nil"/>
            </w:tcBorders>
            <w:shd w:val="clear" w:color="auto" w:fill="auto"/>
            <w:vAlign w:val="bottom"/>
            <w:hideMark/>
          </w:tcPr>
          <w:p w14:paraId="59411145" w14:textId="77777777" w:rsidR="0055435C" w:rsidRPr="0055435C"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B, unstandardized regression coefficient. B describes increase in the outcome variable per 1-SD greater growth.</w:t>
            </w:r>
            <w:r w:rsidRPr="0055435C">
              <w:rPr>
                <w:rFonts w:ascii="Calibri" w:eastAsia="Times New Roman" w:hAnsi="Calibri" w:cs="Times New Roman"/>
                <w:color w:val="000000"/>
                <w:lang w:val="en-US" w:eastAsia="sv-FI"/>
              </w:rPr>
              <w:br/>
              <w:t>Both models are adjusted for length of gestation, age, years since menopause, childhood and adulthood socio-economic status, alcohol intake, smoking, exercise, and estrogen replacement therapy.</w:t>
            </w:r>
          </w:p>
        </w:tc>
      </w:tr>
      <w:tr w:rsidR="0055435C" w:rsidRPr="0055435C" w14:paraId="31BBD247" w14:textId="77777777" w:rsidTr="00677BF5">
        <w:trPr>
          <w:trHeight w:val="301"/>
        </w:trPr>
        <w:tc>
          <w:tcPr>
            <w:tcW w:w="9080" w:type="dxa"/>
            <w:gridSpan w:val="9"/>
            <w:tcBorders>
              <w:top w:val="nil"/>
              <w:left w:val="nil"/>
              <w:bottom w:val="nil"/>
              <w:right w:val="nil"/>
            </w:tcBorders>
            <w:shd w:val="clear" w:color="auto" w:fill="auto"/>
            <w:noWrap/>
            <w:vAlign w:val="bottom"/>
            <w:hideMark/>
          </w:tcPr>
          <w:p w14:paraId="340B54AA" w14:textId="77777777" w:rsidR="0055435C" w:rsidRPr="005C12A2" w:rsidRDefault="0055435C" w:rsidP="00677BF5">
            <w:pPr>
              <w:spacing w:after="0" w:line="240" w:lineRule="auto"/>
              <w:rPr>
                <w:rFonts w:ascii="Calibri" w:eastAsia="Times New Roman" w:hAnsi="Calibri" w:cs="Times New Roman"/>
                <w:color w:val="000000"/>
                <w:lang w:val="en-US" w:eastAsia="sv-FI"/>
              </w:rPr>
            </w:pPr>
            <w:r w:rsidRPr="0055435C">
              <w:rPr>
                <w:rFonts w:ascii="Calibri" w:eastAsia="Times New Roman" w:hAnsi="Calibri" w:cs="Times New Roman"/>
                <w:color w:val="000000"/>
                <w:lang w:val="en-US" w:eastAsia="sv-FI"/>
              </w:rPr>
              <w:t>Model 1 excludes and Model 2 includes body size at early old age.</w:t>
            </w:r>
          </w:p>
        </w:tc>
      </w:tr>
    </w:tbl>
    <w:p w14:paraId="7A419294" w14:textId="77777777" w:rsidR="0055435C" w:rsidRPr="00C27DF3" w:rsidRDefault="0055435C" w:rsidP="00AB7918">
      <w:pPr>
        <w:spacing w:line="480" w:lineRule="auto"/>
        <w:rPr>
          <w:lang w:val="en-US"/>
        </w:rPr>
      </w:pPr>
    </w:p>
    <w:sectPr w:rsidR="0055435C" w:rsidRPr="00C27DF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C654C" w14:textId="77777777" w:rsidR="00C76C0D" w:rsidRDefault="00C76C0D" w:rsidP="000B4D77">
      <w:pPr>
        <w:spacing w:after="0" w:line="240" w:lineRule="auto"/>
      </w:pPr>
      <w:r>
        <w:separator/>
      </w:r>
    </w:p>
  </w:endnote>
  <w:endnote w:type="continuationSeparator" w:id="0">
    <w:p w14:paraId="26E3F659" w14:textId="77777777" w:rsidR="00C76C0D" w:rsidRDefault="00C76C0D" w:rsidP="000B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FBBE5" w14:textId="77777777" w:rsidR="0055435C" w:rsidRDefault="005543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259844"/>
      <w:docPartObj>
        <w:docPartGallery w:val="Page Numbers (Bottom of Page)"/>
        <w:docPartUnique/>
      </w:docPartObj>
    </w:sdtPr>
    <w:sdtEndPr>
      <w:rPr>
        <w:noProof/>
      </w:rPr>
    </w:sdtEndPr>
    <w:sdtContent>
      <w:p w14:paraId="1B8AF929" w14:textId="77777777" w:rsidR="00EE04A2" w:rsidRDefault="00EE04A2">
        <w:pPr>
          <w:pStyle w:val="Footer"/>
          <w:jc w:val="right"/>
        </w:pPr>
        <w:r>
          <w:fldChar w:fldCharType="begin"/>
        </w:r>
        <w:r>
          <w:instrText xml:space="preserve"> PAGE   \* MERGEFORMAT </w:instrText>
        </w:r>
        <w:r>
          <w:fldChar w:fldCharType="separate"/>
        </w:r>
        <w:r w:rsidR="004C3F98">
          <w:rPr>
            <w:noProof/>
          </w:rPr>
          <w:t>1</w:t>
        </w:r>
        <w:r>
          <w:rPr>
            <w:noProof/>
          </w:rPr>
          <w:fldChar w:fldCharType="end"/>
        </w:r>
      </w:p>
    </w:sdtContent>
  </w:sdt>
  <w:p w14:paraId="3D85517E" w14:textId="77777777" w:rsidR="00EE04A2" w:rsidRDefault="00EE0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1EBF3" w14:textId="77777777" w:rsidR="0055435C" w:rsidRDefault="005543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CD70A" w14:textId="77777777" w:rsidR="00C76C0D" w:rsidRDefault="00C76C0D" w:rsidP="000B4D77">
      <w:pPr>
        <w:spacing w:after="0" w:line="240" w:lineRule="auto"/>
      </w:pPr>
      <w:r>
        <w:separator/>
      </w:r>
    </w:p>
  </w:footnote>
  <w:footnote w:type="continuationSeparator" w:id="0">
    <w:p w14:paraId="3FB24C95" w14:textId="77777777" w:rsidR="00C76C0D" w:rsidRDefault="00C76C0D" w:rsidP="000B4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F2C46" w14:textId="77777777" w:rsidR="0055435C" w:rsidRDefault="005543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E32A49" w14:textId="77777777" w:rsidR="0055435C" w:rsidRDefault="005543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4AD87" w14:textId="77777777" w:rsidR="0055435C" w:rsidRDefault="00554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6ADC"/>
    <w:multiLevelType w:val="hybridMultilevel"/>
    <w:tmpl w:val="61824940"/>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nsid w:val="38A95A57"/>
    <w:multiLevelType w:val="hybridMultilevel"/>
    <w:tmpl w:val="99A6F82C"/>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E15"/>
    <w:rsid w:val="00001374"/>
    <w:rsid w:val="00003854"/>
    <w:rsid w:val="0000628D"/>
    <w:rsid w:val="0000686C"/>
    <w:rsid w:val="00006C02"/>
    <w:rsid w:val="00006C73"/>
    <w:rsid w:val="00007BA7"/>
    <w:rsid w:val="00011600"/>
    <w:rsid w:val="0001211C"/>
    <w:rsid w:val="00013100"/>
    <w:rsid w:val="00015ED7"/>
    <w:rsid w:val="00015F54"/>
    <w:rsid w:val="000233F8"/>
    <w:rsid w:val="0002438D"/>
    <w:rsid w:val="0002611F"/>
    <w:rsid w:val="000268FA"/>
    <w:rsid w:val="00027743"/>
    <w:rsid w:val="00032495"/>
    <w:rsid w:val="00033962"/>
    <w:rsid w:val="00033A37"/>
    <w:rsid w:val="000344AC"/>
    <w:rsid w:val="00040F09"/>
    <w:rsid w:val="00040F34"/>
    <w:rsid w:val="00041218"/>
    <w:rsid w:val="00042058"/>
    <w:rsid w:val="00043C7C"/>
    <w:rsid w:val="00043CAA"/>
    <w:rsid w:val="00045253"/>
    <w:rsid w:val="00046598"/>
    <w:rsid w:val="00046714"/>
    <w:rsid w:val="000472CC"/>
    <w:rsid w:val="000472EC"/>
    <w:rsid w:val="00047612"/>
    <w:rsid w:val="0005233A"/>
    <w:rsid w:val="000528F3"/>
    <w:rsid w:val="00052BD3"/>
    <w:rsid w:val="00053123"/>
    <w:rsid w:val="0005347E"/>
    <w:rsid w:val="000542D6"/>
    <w:rsid w:val="0005465C"/>
    <w:rsid w:val="00057F78"/>
    <w:rsid w:val="00061D23"/>
    <w:rsid w:val="000638C7"/>
    <w:rsid w:val="000665C5"/>
    <w:rsid w:val="00066E40"/>
    <w:rsid w:val="00066F77"/>
    <w:rsid w:val="000678B6"/>
    <w:rsid w:val="00070FF3"/>
    <w:rsid w:val="000711DC"/>
    <w:rsid w:val="00074236"/>
    <w:rsid w:val="00077042"/>
    <w:rsid w:val="00080012"/>
    <w:rsid w:val="0008159B"/>
    <w:rsid w:val="00082CBB"/>
    <w:rsid w:val="00084039"/>
    <w:rsid w:val="000964CA"/>
    <w:rsid w:val="000A61FE"/>
    <w:rsid w:val="000A6ED3"/>
    <w:rsid w:val="000A77E1"/>
    <w:rsid w:val="000A7E84"/>
    <w:rsid w:val="000B36F4"/>
    <w:rsid w:val="000B4D77"/>
    <w:rsid w:val="000B512C"/>
    <w:rsid w:val="000B660B"/>
    <w:rsid w:val="000C4EAB"/>
    <w:rsid w:val="000C6AEA"/>
    <w:rsid w:val="000D0112"/>
    <w:rsid w:val="000D277A"/>
    <w:rsid w:val="000D4EAD"/>
    <w:rsid w:val="000D7268"/>
    <w:rsid w:val="000E3F2C"/>
    <w:rsid w:val="000E5115"/>
    <w:rsid w:val="000E6CB5"/>
    <w:rsid w:val="000F2468"/>
    <w:rsid w:val="000F2784"/>
    <w:rsid w:val="000F3D82"/>
    <w:rsid w:val="000F7A6C"/>
    <w:rsid w:val="00102D2E"/>
    <w:rsid w:val="001035EE"/>
    <w:rsid w:val="00103F6A"/>
    <w:rsid w:val="001044F3"/>
    <w:rsid w:val="0010457B"/>
    <w:rsid w:val="00107306"/>
    <w:rsid w:val="00107F78"/>
    <w:rsid w:val="001149E4"/>
    <w:rsid w:val="00116337"/>
    <w:rsid w:val="001172FE"/>
    <w:rsid w:val="00117663"/>
    <w:rsid w:val="001239D0"/>
    <w:rsid w:val="00125F82"/>
    <w:rsid w:val="001268DE"/>
    <w:rsid w:val="00130C73"/>
    <w:rsid w:val="00132ED9"/>
    <w:rsid w:val="00133739"/>
    <w:rsid w:val="00133964"/>
    <w:rsid w:val="001405FD"/>
    <w:rsid w:val="00143EF0"/>
    <w:rsid w:val="00144FDB"/>
    <w:rsid w:val="00145322"/>
    <w:rsid w:val="001513E0"/>
    <w:rsid w:val="00151890"/>
    <w:rsid w:val="00152B3F"/>
    <w:rsid w:val="00154801"/>
    <w:rsid w:val="001551F5"/>
    <w:rsid w:val="001568C0"/>
    <w:rsid w:val="0015691A"/>
    <w:rsid w:val="00157E8C"/>
    <w:rsid w:val="00160416"/>
    <w:rsid w:val="00161D5F"/>
    <w:rsid w:val="001673D2"/>
    <w:rsid w:val="00167B7D"/>
    <w:rsid w:val="00170D4E"/>
    <w:rsid w:val="001714ED"/>
    <w:rsid w:val="001729E3"/>
    <w:rsid w:val="00180C3E"/>
    <w:rsid w:val="00187535"/>
    <w:rsid w:val="00187701"/>
    <w:rsid w:val="001877C4"/>
    <w:rsid w:val="001901C3"/>
    <w:rsid w:val="0019024F"/>
    <w:rsid w:val="00193B2D"/>
    <w:rsid w:val="00194E02"/>
    <w:rsid w:val="0019527B"/>
    <w:rsid w:val="001965B7"/>
    <w:rsid w:val="00197914"/>
    <w:rsid w:val="001A0136"/>
    <w:rsid w:val="001A0991"/>
    <w:rsid w:val="001A0BF4"/>
    <w:rsid w:val="001A197D"/>
    <w:rsid w:val="001A614B"/>
    <w:rsid w:val="001A6948"/>
    <w:rsid w:val="001A6C28"/>
    <w:rsid w:val="001A702C"/>
    <w:rsid w:val="001A704C"/>
    <w:rsid w:val="001A7F2A"/>
    <w:rsid w:val="001B0366"/>
    <w:rsid w:val="001B05A6"/>
    <w:rsid w:val="001B1BCD"/>
    <w:rsid w:val="001B1C4B"/>
    <w:rsid w:val="001B3AFD"/>
    <w:rsid w:val="001B3B5C"/>
    <w:rsid w:val="001C07AA"/>
    <w:rsid w:val="001C13E1"/>
    <w:rsid w:val="001C6FF3"/>
    <w:rsid w:val="001E29D5"/>
    <w:rsid w:val="001E3F4F"/>
    <w:rsid w:val="001E6E49"/>
    <w:rsid w:val="001E74FA"/>
    <w:rsid w:val="001F1520"/>
    <w:rsid w:val="001F38C2"/>
    <w:rsid w:val="001F3DAB"/>
    <w:rsid w:val="001F4EC9"/>
    <w:rsid w:val="001F7B32"/>
    <w:rsid w:val="0020010B"/>
    <w:rsid w:val="00201C8A"/>
    <w:rsid w:val="002028D3"/>
    <w:rsid w:val="00207172"/>
    <w:rsid w:val="0020793F"/>
    <w:rsid w:val="00210905"/>
    <w:rsid w:val="002113C3"/>
    <w:rsid w:val="00216D57"/>
    <w:rsid w:val="0022122E"/>
    <w:rsid w:val="00223DAD"/>
    <w:rsid w:val="00225639"/>
    <w:rsid w:val="00225A2C"/>
    <w:rsid w:val="0022727A"/>
    <w:rsid w:val="002277F0"/>
    <w:rsid w:val="002309E9"/>
    <w:rsid w:val="002335BD"/>
    <w:rsid w:val="00233F0A"/>
    <w:rsid w:val="00240099"/>
    <w:rsid w:val="002408A9"/>
    <w:rsid w:val="002415E7"/>
    <w:rsid w:val="00250831"/>
    <w:rsid w:val="002600D5"/>
    <w:rsid w:val="00262060"/>
    <w:rsid w:val="002622FA"/>
    <w:rsid w:val="002633FE"/>
    <w:rsid w:val="0026476C"/>
    <w:rsid w:val="00267ECD"/>
    <w:rsid w:val="00271691"/>
    <w:rsid w:val="002729D5"/>
    <w:rsid w:val="002741A5"/>
    <w:rsid w:val="0027422B"/>
    <w:rsid w:val="00280EC0"/>
    <w:rsid w:val="00281FF5"/>
    <w:rsid w:val="0028288B"/>
    <w:rsid w:val="00286AA0"/>
    <w:rsid w:val="00287AE0"/>
    <w:rsid w:val="0029006A"/>
    <w:rsid w:val="00291D66"/>
    <w:rsid w:val="00292DBA"/>
    <w:rsid w:val="00293E15"/>
    <w:rsid w:val="0029604F"/>
    <w:rsid w:val="002A129F"/>
    <w:rsid w:val="002A1353"/>
    <w:rsid w:val="002A35CF"/>
    <w:rsid w:val="002B233D"/>
    <w:rsid w:val="002B337A"/>
    <w:rsid w:val="002B43C8"/>
    <w:rsid w:val="002B6FCE"/>
    <w:rsid w:val="002C27C2"/>
    <w:rsid w:val="002C2DD2"/>
    <w:rsid w:val="002C2FA0"/>
    <w:rsid w:val="002C4B71"/>
    <w:rsid w:val="002C7368"/>
    <w:rsid w:val="002D2963"/>
    <w:rsid w:val="002D29C8"/>
    <w:rsid w:val="002D587E"/>
    <w:rsid w:val="002D63A4"/>
    <w:rsid w:val="002E0291"/>
    <w:rsid w:val="002E1099"/>
    <w:rsid w:val="002E50C1"/>
    <w:rsid w:val="00300439"/>
    <w:rsid w:val="0030051F"/>
    <w:rsid w:val="00302E7E"/>
    <w:rsid w:val="00307FDB"/>
    <w:rsid w:val="00310EE3"/>
    <w:rsid w:val="003117FF"/>
    <w:rsid w:val="003163A0"/>
    <w:rsid w:val="00316BD4"/>
    <w:rsid w:val="00316C93"/>
    <w:rsid w:val="00317255"/>
    <w:rsid w:val="00317BE8"/>
    <w:rsid w:val="00320DBF"/>
    <w:rsid w:val="0032272B"/>
    <w:rsid w:val="003242E9"/>
    <w:rsid w:val="003253F6"/>
    <w:rsid w:val="003265AB"/>
    <w:rsid w:val="003271AB"/>
    <w:rsid w:val="003274DB"/>
    <w:rsid w:val="0032762C"/>
    <w:rsid w:val="00330E6F"/>
    <w:rsid w:val="00331C59"/>
    <w:rsid w:val="00332358"/>
    <w:rsid w:val="00340CB6"/>
    <w:rsid w:val="0034166B"/>
    <w:rsid w:val="00342E4B"/>
    <w:rsid w:val="00346256"/>
    <w:rsid w:val="00351343"/>
    <w:rsid w:val="00357ABB"/>
    <w:rsid w:val="00357CC4"/>
    <w:rsid w:val="00357D18"/>
    <w:rsid w:val="00357E1D"/>
    <w:rsid w:val="00361D44"/>
    <w:rsid w:val="00361FF6"/>
    <w:rsid w:val="0036349A"/>
    <w:rsid w:val="0036464E"/>
    <w:rsid w:val="003646E8"/>
    <w:rsid w:val="00366346"/>
    <w:rsid w:val="0037100E"/>
    <w:rsid w:val="00372FD5"/>
    <w:rsid w:val="00374BA0"/>
    <w:rsid w:val="003768BB"/>
    <w:rsid w:val="00376A94"/>
    <w:rsid w:val="00390CCE"/>
    <w:rsid w:val="00391BC5"/>
    <w:rsid w:val="00391D42"/>
    <w:rsid w:val="00394386"/>
    <w:rsid w:val="003961B4"/>
    <w:rsid w:val="00396D15"/>
    <w:rsid w:val="003A0A14"/>
    <w:rsid w:val="003A0D65"/>
    <w:rsid w:val="003A23AB"/>
    <w:rsid w:val="003A2940"/>
    <w:rsid w:val="003A32DC"/>
    <w:rsid w:val="003A4CCC"/>
    <w:rsid w:val="003B1AD5"/>
    <w:rsid w:val="003B59A6"/>
    <w:rsid w:val="003C15A3"/>
    <w:rsid w:val="003C2166"/>
    <w:rsid w:val="003C4270"/>
    <w:rsid w:val="003C7765"/>
    <w:rsid w:val="003D3C96"/>
    <w:rsid w:val="003D401A"/>
    <w:rsid w:val="003D582D"/>
    <w:rsid w:val="003E3932"/>
    <w:rsid w:val="003E3B14"/>
    <w:rsid w:val="003E4DCC"/>
    <w:rsid w:val="003E5A36"/>
    <w:rsid w:val="003E5B8A"/>
    <w:rsid w:val="003E6CE4"/>
    <w:rsid w:val="003E79CE"/>
    <w:rsid w:val="003F067C"/>
    <w:rsid w:val="003F08E8"/>
    <w:rsid w:val="003F1725"/>
    <w:rsid w:val="003F1928"/>
    <w:rsid w:val="003F2184"/>
    <w:rsid w:val="00401D79"/>
    <w:rsid w:val="00402F7F"/>
    <w:rsid w:val="0040435D"/>
    <w:rsid w:val="00404871"/>
    <w:rsid w:val="00411876"/>
    <w:rsid w:val="00416CA6"/>
    <w:rsid w:val="0041797B"/>
    <w:rsid w:val="00423BC1"/>
    <w:rsid w:val="00423BEA"/>
    <w:rsid w:val="00423DB4"/>
    <w:rsid w:val="00425BE5"/>
    <w:rsid w:val="004324CE"/>
    <w:rsid w:val="00434A5C"/>
    <w:rsid w:val="00434D0D"/>
    <w:rsid w:val="00437A9B"/>
    <w:rsid w:val="0044111B"/>
    <w:rsid w:val="00443F53"/>
    <w:rsid w:val="00447E41"/>
    <w:rsid w:val="004502C8"/>
    <w:rsid w:val="00450608"/>
    <w:rsid w:val="00452376"/>
    <w:rsid w:val="00456A4C"/>
    <w:rsid w:val="00457269"/>
    <w:rsid w:val="0045764F"/>
    <w:rsid w:val="00460F94"/>
    <w:rsid w:val="00463BD8"/>
    <w:rsid w:val="004643E0"/>
    <w:rsid w:val="00467344"/>
    <w:rsid w:val="004717E0"/>
    <w:rsid w:val="00472FE7"/>
    <w:rsid w:val="00482E9B"/>
    <w:rsid w:val="004843CA"/>
    <w:rsid w:val="0048540C"/>
    <w:rsid w:val="00491781"/>
    <w:rsid w:val="00494EF8"/>
    <w:rsid w:val="00495677"/>
    <w:rsid w:val="00495DFE"/>
    <w:rsid w:val="004A63C8"/>
    <w:rsid w:val="004A71F9"/>
    <w:rsid w:val="004A73C8"/>
    <w:rsid w:val="004B0FB7"/>
    <w:rsid w:val="004B55C9"/>
    <w:rsid w:val="004B5BBE"/>
    <w:rsid w:val="004B64C1"/>
    <w:rsid w:val="004C0C72"/>
    <w:rsid w:val="004C3523"/>
    <w:rsid w:val="004C3E03"/>
    <w:rsid w:val="004C3F3F"/>
    <w:rsid w:val="004C3F98"/>
    <w:rsid w:val="004C74BF"/>
    <w:rsid w:val="004D048D"/>
    <w:rsid w:val="004D061A"/>
    <w:rsid w:val="004D1AFD"/>
    <w:rsid w:val="004D300C"/>
    <w:rsid w:val="004D357F"/>
    <w:rsid w:val="004E004D"/>
    <w:rsid w:val="004E021D"/>
    <w:rsid w:val="004E18B1"/>
    <w:rsid w:val="004E449F"/>
    <w:rsid w:val="004F27C5"/>
    <w:rsid w:val="004F29E6"/>
    <w:rsid w:val="004F6A77"/>
    <w:rsid w:val="004F7ED8"/>
    <w:rsid w:val="00501234"/>
    <w:rsid w:val="005014E9"/>
    <w:rsid w:val="00501AB6"/>
    <w:rsid w:val="00502BE9"/>
    <w:rsid w:val="00502C2A"/>
    <w:rsid w:val="00504DD0"/>
    <w:rsid w:val="00505077"/>
    <w:rsid w:val="005062AA"/>
    <w:rsid w:val="00511214"/>
    <w:rsid w:val="0051130B"/>
    <w:rsid w:val="00514AF0"/>
    <w:rsid w:val="00517C21"/>
    <w:rsid w:val="0052638D"/>
    <w:rsid w:val="00527015"/>
    <w:rsid w:val="00527EAF"/>
    <w:rsid w:val="005302F8"/>
    <w:rsid w:val="00530F31"/>
    <w:rsid w:val="00534B62"/>
    <w:rsid w:val="00536E40"/>
    <w:rsid w:val="005406F8"/>
    <w:rsid w:val="00541209"/>
    <w:rsid w:val="00542603"/>
    <w:rsid w:val="005432A2"/>
    <w:rsid w:val="00543E77"/>
    <w:rsid w:val="00545516"/>
    <w:rsid w:val="00545D6E"/>
    <w:rsid w:val="00545DF0"/>
    <w:rsid w:val="00547690"/>
    <w:rsid w:val="005517FF"/>
    <w:rsid w:val="00552494"/>
    <w:rsid w:val="0055435C"/>
    <w:rsid w:val="0055501B"/>
    <w:rsid w:val="0055763B"/>
    <w:rsid w:val="00557F61"/>
    <w:rsid w:val="00561F64"/>
    <w:rsid w:val="0056473D"/>
    <w:rsid w:val="00564B2B"/>
    <w:rsid w:val="0056517E"/>
    <w:rsid w:val="005652F2"/>
    <w:rsid w:val="0056645F"/>
    <w:rsid w:val="00566C55"/>
    <w:rsid w:val="00566CC4"/>
    <w:rsid w:val="00567176"/>
    <w:rsid w:val="00570503"/>
    <w:rsid w:val="00571A71"/>
    <w:rsid w:val="00573E75"/>
    <w:rsid w:val="00573FF9"/>
    <w:rsid w:val="00576011"/>
    <w:rsid w:val="005775FF"/>
    <w:rsid w:val="005834F9"/>
    <w:rsid w:val="00583AEA"/>
    <w:rsid w:val="00583E35"/>
    <w:rsid w:val="00584E48"/>
    <w:rsid w:val="00586497"/>
    <w:rsid w:val="00591739"/>
    <w:rsid w:val="00591D6E"/>
    <w:rsid w:val="005952B8"/>
    <w:rsid w:val="00595344"/>
    <w:rsid w:val="00595C20"/>
    <w:rsid w:val="005A0AD5"/>
    <w:rsid w:val="005A587D"/>
    <w:rsid w:val="005B1523"/>
    <w:rsid w:val="005B1715"/>
    <w:rsid w:val="005B1C85"/>
    <w:rsid w:val="005B26C7"/>
    <w:rsid w:val="005B4E87"/>
    <w:rsid w:val="005C0DFF"/>
    <w:rsid w:val="005C12CD"/>
    <w:rsid w:val="005C1385"/>
    <w:rsid w:val="005C419B"/>
    <w:rsid w:val="005C52A5"/>
    <w:rsid w:val="005D7EF5"/>
    <w:rsid w:val="005E0605"/>
    <w:rsid w:val="005E1202"/>
    <w:rsid w:val="005E19E3"/>
    <w:rsid w:val="005E4BB6"/>
    <w:rsid w:val="005E5B1C"/>
    <w:rsid w:val="005E69CA"/>
    <w:rsid w:val="005E7250"/>
    <w:rsid w:val="005F00C7"/>
    <w:rsid w:val="005F47E0"/>
    <w:rsid w:val="005F7CA4"/>
    <w:rsid w:val="006037C0"/>
    <w:rsid w:val="00607ACE"/>
    <w:rsid w:val="00613523"/>
    <w:rsid w:val="00620E4C"/>
    <w:rsid w:val="006216C4"/>
    <w:rsid w:val="00622658"/>
    <w:rsid w:val="006237A9"/>
    <w:rsid w:val="0062615D"/>
    <w:rsid w:val="00632CDE"/>
    <w:rsid w:val="0063317D"/>
    <w:rsid w:val="00637F10"/>
    <w:rsid w:val="006434F0"/>
    <w:rsid w:val="00650328"/>
    <w:rsid w:val="006549CE"/>
    <w:rsid w:val="00654B22"/>
    <w:rsid w:val="00656B3D"/>
    <w:rsid w:val="006737C1"/>
    <w:rsid w:val="006743A3"/>
    <w:rsid w:val="0067519E"/>
    <w:rsid w:val="00675BAB"/>
    <w:rsid w:val="00683C85"/>
    <w:rsid w:val="00683D3C"/>
    <w:rsid w:val="0068581C"/>
    <w:rsid w:val="00691044"/>
    <w:rsid w:val="00691B59"/>
    <w:rsid w:val="0069428F"/>
    <w:rsid w:val="006950D0"/>
    <w:rsid w:val="00695CFD"/>
    <w:rsid w:val="0069681E"/>
    <w:rsid w:val="006973A9"/>
    <w:rsid w:val="006973BD"/>
    <w:rsid w:val="006A45A6"/>
    <w:rsid w:val="006B10A1"/>
    <w:rsid w:val="006B1CB5"/>
    <w:rsid w:val="006B282B"/>
    <w:rsid w:val="006B4E80"/>
    <w:rsid w:val="006C24A7"/>
    <w:rsid w:val="006C5ABA"/>
    <w:rsid w:val="006D3314"/>
    <w:rsid w:val="006D40C6"/>
    <w:rsid w:val="006D6816"/>
    <w:rsid w:val="006E1D42"/>
    <w:rsid w:val="006E24DA"/>
    <w:rsid w:val="006E3190"/>
    <w:rsid w:val="006E3550"/>
    <w:rsid w:val="006E5893"/>
    <w:rsid w:val="006E73E5"/>
    <w:rsid w:val="006F30AF"/>
    <w:rsid w:val="006F5CB9"/>
    <w:rsid w:val="006F6472"/>
    <w:rsid w:val="00703858"/>
    <w:rsid w:val="007215A1"/>
    <w:rsid w:val="00722042"/>
    <w:rsid w:val="00722648"/>
    <w:rsid w:val="007229E9"/>
    <w:rsid w:val="007265A3"/>
    <w:rsid w:val="007354A2"/>
    <w:rsid w:val="007404E6"/>
    <w:rsid w:val="007421F6"/>
    <w:rsid w:val="007434D2"/>
    <w:rsid w:val="007438E6"/>
    <w:rsid w:val="00743B6B"/>
    <w:rsid w:val="00743E1B"/>
    <w:rsid w:val="00744807"/>
    <w:rsid w:val="00745E82"/>
    <w:rsid w:val="007474A3"/>
    <w:rsid w:val="00750C19"/>
    <w:rsid w:val="00752492"/>
    <w:rsid w:val="00753DAA"/>
    <w:rsid w:val="00755CB7"/>
    <w:rsid w:val="00757552"/>
    <w:rsid w:val="00761C74"/>
    <w:rsid w:val="007708A8"/>
    <w:rsid w:val="0077300A"/>
    <w:rsid w:val="00780E71"/>
    <w:rsid w:val="00780F21"/>
    <w:rsid w:val="00781447"/>
    <w:rsid w:val="00781529"/>
    <w:rsid w:val="0078169B"/>
    <w:rsid w:val="007823FA"/>
    <w:rsid w:val="00783A07"/>
    <w:rsid w:val="00785ABD"/>
    <w:rsid w:val="00787E64"/>
    <w:rsid w:val="00790032"/>
    <w:rsid w:val="00790189"/>
    <w:rsid w:val="007904A3"/>
    <w:rsid w:val="00791F57"/>
    <w:rsid w:val="007933E7"/>
    <w:rsid w:val="00793A42"/>
    <w:rsid w:val="00793B6F"/>
    <w:rsid w:val="00793D4F"/>
    <w:rsid w:val="00793E17"/>
    <w:rsid w:val="00794D83"/>
    <w:rsid w:val="00795E3B"/>
    <w:rsid w:val="007A034C"/>
    <w:rsid w:val="007A1079"/>
    <w:rsid w:val="007A1F50"/>
    <w:rsid w:val="007A293F"/>
    <w:rsid w:val="007A495C"/>
    <w:rsid w:val="007A4F2F"/>
    <w:rsid w:val="007B0566"/>
    <w:rsid w:val="007B173B"/>
    <w:rsid w:val="007B2F50"/>
    <w:rsid w:val="007B36DB"/>
    <w:rsid w:val="007B521B"/>
    <w:rsid w:val="007B79CC"/>
    <w:rsid w:val="007B7FA4"/>
    <w:rsid w:val="007C12ED"/>
    <w:rsid w:val="007C169F"/>
    <w:rsid w:val="007C1CBF"/>
    <w:rsid w:val="007C5AC3"/>
    <w:rsid w:val="007D09F8"/>
    <w:rsid w:val="007D12A6"/>
    <w:rsid w:val="007D27E8"/>
    <w:rsid w:val="007D3D76"/>
    <w:rsid w:val="007D50D0"/>
    <w:rsid w:val="007D597C"/>
    <w:rsid w:val="007D59DD"/>
    <w:rsid w:val="007D5A17"/>
    <w:rsid w:val="007D653D"/>
    <w:rsid w:val="007D79CE"/>
    <w:rsid w:val="007E0724"/>
    <w:rsid w:val="007F397F"/>
    <w:rsid w:val="007F557D"/>
    <w:rsid w:val="00807316"/>
    <w:rsid w:val="00807796"/>
    <w:rsid w:val="00810E1D"/>
    <w:rsid w:val="00814C77"/>
    <w:rsid w:val="00816056"/>
    <w:rsid w:val="00820041"/>
    <w:rsid w:val="008234F0"/>
    <w:rsid w:val="00825B06"/>
    <w:rsid w:val="00830C31"/>
    <w:rsid w:val="00835F6F"/>
    <w:rsid w:val="0083666A"/>
    <w:rsid w:val="00841327"/>
    <w:rsid w:val="00842179"/>
    <w:rsid w:val="008453B3"/>
    <w:rsid w:val="00852315"/>
    <w:rsid w:val="0085251B"/>
    <w:rsid w:val="0085267D"/>
    <w:rsid w:val="00853AEF"/>
    <w:rsid w:val="00855913"/>
    <w:rsid w:val="008567D5"/>
    <w:rsid w:val="00857692"/>
    <w:rsid w:val="0086072E"/>
    <w:rsid w:val="00861AD4"/>
    <w:rsid w:val="00862234"/>
    <w:rsid w:val="00863FEC"/>
    <w:rsid w:val="00866B4C"/>
    <w:rsid w:val="00867098"/>
    <w:rsid w:val="00870CA9"/>
    <w:rsid w:val="00871187"/>
    <w:rsid w:val="00872058"/>
    <w:rsid w:val="00873653"/>
    <w:rsid w:val="008744E0"/>
    <w:rsid w:val="00874C3C"/>
    <w:rsid w:val="00880310"/>
    <w:rsid w:val="008804DB"/>
    <w:rsid w:val="00881EED"/>
    <w:rsid w:val="00882640"/>
    <w:rsid w:val="00883D75"/>
    <w:rsid w:val="00886E5B"/>
    <w:rsid w:val="008900A5"/>
    <w:rsid w:val="00890ED6"/>
    <w:rsid w:val="00891318"/>
    <w:rsid w:val="0089280B"/>
    <w:rsid w:val="008A0496"/>
    <w:rsid w:val="008A383D"/>
    <w:rsid w:val="008A4667"/>
    <w:rsid w:val="008B234E"/>
    <w:rsid w:val="008B3461"/>
    <w:rsid w:val="008B3EF4"/>
    <w:rsid w:val="008B44CE"/>
    <w:rsid w:val="008B6360"/>
    <w:rsid w:val="008C031E"/>
    <w:rsid w:val="008C0945"/>
    <w:rsid w:val="008C1613"/>
    <w:rsid w:val="008C1F3A"/>
    <w:rsid w:val="008C23D5"/>
    <w:rsid w:val="008C3724"/>
    <w:rsid w:val="008C6127"/>
    <w:rsid w:val="008D0185"/>
    <w:rsid w:val="008D1F2B"/>
    <w:rsid w:val="008D5EC0"/>
    <w:rsid w:val="008D6FDE"/>
    <w:rsid w:val="008E24B0"/>
    <w:rsid w:val="008E6C93"/>
    <w:rsid w:val="008F1CF0"/>
    <w:rsid w:val="008F6D5E"/>
    <w:rsid w:val="008F6DF6"/>
    <w:rsid w:val="008F796D"/>
    <w:rsid w:val="008F7DE8"/>
    <w:rsid w:val="008F7FEB"/>
    <w:rsid w:val="00904AFF"/>
    <w:rsid w:val="0090553D"/>
    <w:rsid w:val="0090633F"/>
    <w:rsid w:val="00906D73"/>
    <w:rsid w:val="00910E4E"/>
    <w:rsid w:val="0091163F"/>
    <w:rsid w:val="0091400E"/>
    <w:rsid w:val="0091425C"/>
    <w:rsid w:val="00925446"/>
    <w:rsid w:val="009268CD"/>
    <w:rsid w:val="00926ACC"/>
    <w:rsid w:val="00927DE3"/>
    <w:rsid w:val="0093064C"/>
    <w:rsid w:val="00931237"/>
    <w:rsid w:val="009318F2"/>
    <w:rsid w:val="00935B30"/>
    <w:rsid w:val="009366DE"/>
    <w:rsid w:val="00936EB1"/>
    <w:rsid w:val="009410B2"/>
    <w:rsid w:val="009426FE"/>
    <w:rsid w:val="00943275"/>
    <w:rsid w:val="00944983"/>
    <w:rsid w:val="0094545B"/>
    <w:rsid w:val="00945EF2"/>
    <w:rsid w:val="00945FF3"/>
    <w:rsid w:val="009476A1"/>
    <w:rsid w:val="009476DB"/>
    <w:rsid w:val="00953EBE"/>
    <w:rsid w:val="00955BB9"/>
    <w:rsid w:val="00962FD0"/>
    <w:rsid w:val="00963720"/>
    <w:rsid w:val="009654FD"/>
    <w:rsid w:val="00966244"/>
    <w:rsid w:val="0096740E"/>
    <w:rsid w:val="00967E00"/>
    <w:rsid w:val="0097053D"/>
    <w:rsid w:val="009715F7"/>
    <w:rsid w:val="00971670"/>
    <w:rsid w:val="009722B9"/>
    <w:rsid w:val="00972C93"/>
    <w:rsid w:val="00974E37"/>
    <w:rsid w:val="00975C42"/>
    <w:rsid w:val="00976066"/>
    <w:rsid w:val="009762E9"/>
    <w:rsid w:val="0097768B"/>
    <w:rsid w:val="00977C97"/>
    <w:rsid w:val="00982101"/>
    <w:rsid w:val="00983970"/>
    <w:rsid w:val="00983A22"/>
    <w:rsid w:val="00983C30"/>
    <w:rsid w:val="0098476B"/>
    <w:rsid w:val="00984A5C"/>
    <w:rsid w:val="0098586A"/>
    <w:rsid w:val="009858B4"/>
    <w:rsid w:val="00986CD1"/>
    <w:rsid w:val="00987E30"/>
    <w:rsid w:val="00990A21"/>
    <w:rsid w:val="00991964"/>
    <w:rsid w:val="00993B0C"/>
    <w:rsid w:val="00994E89"/>
    <w:rsid w:val="00996142"/>
    <w:rsid w:val="00996158"/>
    <w:rsid w:val="00996964"/>
    <w:rsid w:val="009A28E2"/>
    <w:rsid w:val="009A295B"/>
    <w:rsid w:val="009A54F3"/>
    <w:rsid w:val="009A55BE"/>
    <w:rsid w:val="009A60FC"/>
    <w:rsid w:val="009A69A8"/>
    <w:rsid w:val="009B16A0"/>
    <w:rsid w:val="009B52CF"/>
    <w:rsid w:val="009C25F1"/>
    <w:rsid w:val="009C2936"/>
    <w:rsid w:val="009C29D5"/>
    <w:rsid w:val="009C3D66"/>
    <w:rsid w:val="009C6482"/>
    <w:rsid w:val="009C671C"/>
    <w:rsid w:val="009C6C7C"/>
    <w:rsid w:val="009D4586"/>
    <w:rsid w:val="009D7A04"/>
    <w:rsid w:val="009E2FA9"/>
    <w:rsid w:val="009E330D"/>
    <w:rsid w:val="009E432C"/>
    <w:rsid w:val="009E464B"/>
    <w:rsid w:val="009E7619"/>
    <w:rsid w:val="009E7D65"/>
    <w:rsid w:val="009F2B86"/>
    <w:rsid w:val="009F77E0"/>
    <w:rsid w:val="009F77F2"/>
    <w:rsid w:val="00A0002E"/>
    <w:rsid w:val="00A01D5D"/>
    <w:rsid w:val="00A0562F"/>
    <w:rsid w:val="00A074DF"/>
    <w:rsid w:val="00A07EFE"/>
    <w:rsid w:val="00A14BA2"/>
    <w:rsid w:val="00A20417"/>
    <w:rsid w:val="00A2046F"/>
    <w:rsid w:val="00A213B4"/>
    <w:rsid w:val="00A222E9"/>
    <w:rsid w:val="00A233BF"/>
    <w:rsid w:val="00A25962"/>
    <w:rsid w:val="00A25ABB"/>
    <w:rsid w:val="00A262D7"/>
    <w:rsid w:val="00A33F85"/>
    <w:rsid w:val="00A374F5"/>
    <w:rsid w:val="00A37CAD"/>
    <w:rsid w:val="00A550C0"/>
    <w:rsid w:val="00A55ED4"/>
    <w:rsid w:val="00A57485"/>
    <w:rsid w:val="00A57F52"/>
    <w:rsid w:val="00A6260C"/>
    <w:rsid w:val="00A62B1F"/>
    <w:rsid w:val="00A63791"/>
    <w:rsid w:val="00A63B3B"/>
    <w:rsid w:val="00A663E5"/>
    <w:rsid w:val="00A7238B"/>
    <w:rsid w:val="00A73B1D"/>
    <w:rsid w:val="00A76FE9"/>
    <w:rsid w:val="00A8028D"/>
    <w:rsid w:val="00A80B1C"/>
    <w:rsid w:val="00A822D4"/>
    <w:rsid w:val="00A836FD"/>
    <w:rsid w:val="00A869E7"/>
    <w:rsid w:val="00A902A5"/>
    <w:rsid w:val="00A9151C"/>
    <w:rsid w:val="00A9252C"/>
    <w:rsid w:val="00A9489E"/>
    <w:rsid w:val="00AA0F41"/>
    <w:rsid w:val="00AA1822"/>
    <w:rsid w:val="00AA18BE"/>
    <w:rsid w:val="00AB30DC"/>
    <w:rsid w:val="00AB5607"/>
    <w:rsid w:val="00AB5F25"/>
    <w:rsid w:val="00AB7918"/>
    <w:rsid w:val="00AC0718"/>
    <w:rsid w:val="00AC2C11"/>
    <w:rsid w:val="00AC3711"/>
    <w:rsid w:val="00AC410C"/>
    <w:rsid w:val="00AC5E45"/>
    <w:rsid w:val="00AD10FA"/>
    <w:rsid w:val="00AD2E8C"/>
    <w:rsid w:val="00AD2FF8"/>
    <w:rsid w:val="00AD341B"/>
    <w:rsid w:val="00AD4883"/>
    <w:rsid w:val="00AD6E1B"/>
    <w:rsid w:val="00AE006C"/>
    <w:rsid w:val="00AE0790"/>
    <w:rsid w:val="00AE1AE3"/>
    <w:rsid w:val="00AE2937"/>
    <w:rsid w:val="00AE2E84"/>
    <w:rsid w:val="00AE4F0F"/>
    <w:rsid w:val="00AE60D1"/>
    <w:rsid w:val="00AF11E8"/>
    <w:rsid w:val="00AF2AC5"/>
    <w:rsid w:val="00AF2F77"/>
    <w:rsid w:val="00B00C35"/>
    <w:rsid w:val="00B01782"/>
    <w:rsid w:val="00B01D8B"/>
    <w:rsid w:val="00B03E27"/>
    <w:rsid w:val="00B0567C"/>
    <w:rsid w:val="00B1335D"/>
    <w:rsid w:val="00B151B1"/>
    <w:rsid w:val="00B16039"/>
    <w:rsid w:val="00B16F95"/>
    <w:rsid w:val="00B179BB"/>
    <w:rsid w:val="00B2000F"/>
    <w:rsid w:val="00B20973"/>
    <w:rsid w:val="00B23ACD"/>
    <w:rsid w:val="00B25DC7"/>
    <w:rsid w:val="00B32A2A"/>
    <w:rsid w:val="00B344A6"/>
    <w:rsid w:val="00B3522C"/>
    <w:rsid w:val="00B36631"/>
    <w:rsid w:val="00B409D0"/>
    <w:rsid w:val="00B427D4"/>
    <w:rsid w:val="00B46726"/>
    <w:rsid w:val="00B4688E"/>
    <w:rsid w:val="00B52903"/>
    <w:rsid w:val="00B53758"/>
    <w:rsid w:val="00B54098"/>
    <w:rsid w:val="00B55172"/>
    <w:rsid w:val="00B55A1B"/>
    <w:rsid w:val="00B55A35"/>
    <w:rsid w:val="00B55C06"/>
    <w:rsid w:val="00B55D65"/>
    <w:rsid w:val="00B57BDE"/>
    <w:rsid w:val="00B60549"/>
    <w:rsid w:val="00B62EF4"/>
    <w:rsid w:val="00B63A8A"/>
    <w:rsid w:val="00B710E8"/>
    <w:rsid w:val="00B72F85"/>
    <w:rsid w:val="00B73A78"/>
    <w:rsid w:val="00B80383"/>
    <w:rsid w:val="00B80858"/>
    <w:rsid w:val="00B817CE"/>
    <w:rsid w:val="00B83062"/>
    <w:rsid w:val="00B90B11"/>
    <w:rsid w:val="00B93E71"/>
    <w:rsid w:val="00B9785F"/>
    <w:rsid w:val="00BA3EFC"/>
    <w:rsid w:val="00BA3FB0"/>
    <w:rsid w:val="00BA7C4B"/>
    <w:rsid w:val="00BB18FA"/>
    <w:rsid w:val="00BB21EC"/>
    <w:rsid w:val="00BB3B94"/>
    <w:rsid w:val="00BB46C4"/>
    <w:rsid w:val="00BB7703"/>
    <w:rsid w:val="00BC3A70"/>
    <w:rsid w:val="00BC4DA3"/>
    <w:rsid w:val="00BD6309"/>
    <w:rsid w:val="00BD65F4"/>
    <w:rsid w:val="00BD73DC"/>
    <w:rsid w:val="00BE0355"/>
    <w:rsid w:val="00BE0BE6"/>
    <w:rsid w:val="00BE10AF"/>
    <w:rsid w:val="00BE16AE"/>
    <w:rsid w:val="00BE3C9F"/>
    <w:rsid w:val="00BE3F69"/>
    <w:rsid w:val="00BF4B6C"/>
    <w:rsid w:val="00BF4EFC"/>
    <w:rsid w:val="00BF6718"/>
    <w:rsid w:val="00BF6D0E"/>
    <w:rsid w:val="00BF77B7"/>
    <w:rsid w:val="00C0007E"/>
    <w:rsid w:val="00C009E0"/>
    <w:rsid w:val="00C01A9F"/>
    <w:rsid w:val="00C0319B"/>
    <w:rsid w:val="00C04B5C"/>
    <w:rsid w:val="00C06362"/>
    <w:rsid w:val="00C11616"/>
    <w:rsid w:val="00C1192B"/>
    <w:rsid w:val="00C14EF2"/>
    <w:rsid w:val="00C2151F"/>
    <w:rsid w:val="00C23028"/>
    <w:rsid w:val="00C23E2B"/>
    <w:rsid w:val="00C24170"/>
    <w:rsid w:val="00C25729"/>
    <w:rsid w:val="00C27DF3"/>
    <w:rsid w:val="00C343EB"/>
    <w:rsid w:val="00C35DEA"/>
    <w:rsid w:val="00C36774"/>
    <w:rsid w:val="00C37437"/>
    <w:rsid w:val="00C378AD"/>
    <w:rsid w:val="00C4502D"/>
    <w:rsid w:val="00C45696"/>
    <w:rsid w:val="00C461BF"/>
    <w:rsid w:val="00C46D88"/>
    <w:rsid w:val="00C515B0"/>
    <w:rsid w:val="00C530C7"/>
    <w:rsid w:val="00C54560"/>
    <w:rsid w:val="00C555E2"/>
    <w:rsid w:val="00C56AA6"/>
    <w:rsid w:val="00C57060"/>
    <w:rsid w:val="00C57681"/>
    <w:rsid w:val="00C60B66"/>
    <w:rsid w:val="00C60E29"/>
    <w:rsid w:val="00C6208D"/>
    <w:rsid w:val="00C63F34"/>
    <w:rsid w:val="00C64328"/>
    <w:rsid w:val="00C6470F"/>
    <w:rsid w:val="00C679CC"/>
    <w:rsid w:val="00C7184E"/>
    <w:rsid w:val="00C76C0D"/>
    <w:rsid w:val="00C8025D"/>
    <w:rsid w:val="00C84EE0"/>
    <w:rsid w:val="00C85A50"/>
    <w:rsid w:val="00C874A3"/>
    <w:rsid w:val="00C87E03"/>
    <w:rsid w:val="00C913A1"/>
    <w:rsid w:val="00C91D5B"/>
    <w:rsid w:val="00C93A55"/>
    <w:rsid w:val="00CA0201"/>
    <w:rsid w:val="00CA09A0"/>
    <w:rsid w:val="00CA1032"/>
    <w:rsid w:val="00CA2416"/>
    <w:rsid w:val="00CA2452"/>
    <w:rsid w:val="00CA2E7F"/>
    <w:rsid w:val="00CA3813"/>
    <w:rsid w:val="00CA4F03"/>
    <w:rsid w:val="00CA5C6A"/>
    <w:rsid w:val="00CB0FE2"/>
    <w:rsid w:val="00CB5403"/>
    <w:rsid w:val="00CB57C5"/>
    <w:rsid w:val="00CB780F"/>
    <w:rsid w:val="00CC0E1F"/>
    <w:rsid w:val="00CC2D56"/>
    <w:rsid w:val="00CC2F12"/>
    <w:rsid w:val="00CC3055"/>
    <w:rsid w:val="00CC4FFB"/>
    <w:rsid w:val="00CC607A"/>
    <w:rsid w:val="00CC64D9"/>
    <w:rsid w:val="00CD040E"/>
    <w:rsid w:val="00CD0A44"/>
    <w:rsid w:val="00CD32CC"/>
    <w:rsid w:val="00CD6A36"/>
    <w:rsid w:val="00CD706B"/>
    <w:rsid w:val="00CD7EAB"/>
    <w:rsid w:val="00CE08EA"/>
    <w:rsid w:val="00CE3C74"/>
    <w:rsid w:val="00CE3E7C"/>
    <w:rsid w:val="00CE4561"/>
    <w:rsid w:val="00CE7AA7"/>
    <w:rsid w:val="00CF18D0"/>
    <w:rsid w:val="00CF6EDB"/>
    <w:rsid w:val="00CF705F"/>
    <w:rsid w:val="00D00512"/>
    <w:rsid w:val="00D029F8"/>
    <w:rsid w:val="00D04C1F"/>
    <w:rsid w:val="00D1008C"/>
    <w:rsid w:val="00D10609"/>
    <w:rsid w:val="00D1207A"/>
    <w:rsid w:val="00D1333A"/>
    <w:rsid w:val="00D13B8F"/>
    <w:rsid w:val="00D13D0B"/>
    <w:rsid w:val="00D14E0C"/>
    <w:rsid w:val="00D14FB4"/>
    <w:rsid w:val="00D17443"/>
    <w:rsid w:val="00D17FCB"/>
    <w:rsid w:val="00D20147"/>
    <w:rsid w:val="00D22429"/>
    <w:rsid w:val="00D22CA0"/>
    <w:rsid w:val="00D25E6A"/>
    <w:rsid w:val="00D27E5F"/>
    <w:rsid w:val="00D324C2"/>
    <w:rsid w:val="00D36481"/>
    <w:rsid w:val="00D42890"/>
    <w:rsid w:val="00D44558"/>
    <w:rsid w:val="00D4456E"/>
    <w:rsid w:val="00D47653"/>
    <w:rsid w:val="00D51145"/>
    <w:rsid w:val="00D5163F"/>
    <w:rsid w:val="00D53EB6"/>
    <w:rsid w:val="00D53F28"/>
    <w:rsid w:val="00D55FE5"/>
    <w:rsid w:val="00D56081"/>
    <w:rsid w:val="00D56689"/>
    <w:rsid w:val="00D65CE6"/>
    <w:rsid w:val="00D6681E"/>
    <w:rsid w:val="00D66D68"/>
    <w:rsid w:val="00D73E79"/>
    <w:rsid w:val="00D74052"/>
    <w:rsid w:val="00D7493F"/>
    <w:rsid w:val="00D74DF0"/>
    <w:rsid w:val="00D77788"/>
    <w:rsid w:val="00D778F7"/>
    <w:rsid w:val="00D80251"/>
    <w:rsid w:val="00D908F2"/>
    <w:rsid w:val="00D90AEC"/>
    <w:rsid w:val="00D91B74"/>
    <w:rsid w:val="00D923E2"/>
    <w:rsid w:val="00D93558"/>
    <w:rsid w:val="00D93605"/>
    <w:rsid w:val="00D93725"/>
    <w:rsid w:val="00D94322"/>
    <w:rsid w:val="00D95C8F"/>
    <w:rsid w:val="00D9651C"/>
    <w:rsid w:val="00DA19AC"/>
    <w:rsid w:val="00DA33C6"/>
    <w:rsid w:val="00DA49E8"/>
    <w:rsid w:val="00DA54B0"/>
    <w:rsid w:val="00DA5CBB"/>
    <w:rsid w:val="00DA6880"/>
    <w:rsid w:val="00DA6AB1"/>
    <w:rsid w:val="00DB3FAD"/>
    <w:rsid w:val="00DB5050"/>
    <w:rsid w:val="00DB6287"/>
    <w:rsid w:val="00DB6F50"/>
    <w:rsid w:val="00DB79A3"/>
    <w:rsid w:val="00DC1203"/>
    <w:rsid w:val="00DC129E"/>
    <w:rsid w:val="00DC2769"/>
    <w:rsid w:val="00DC4474"/>
    <w:rsid w:val="00DC5DC1"/>
    <w:rsid w:val="00DD0F37"/>
    <w:rsid w:val="00DD0F3C"/>
    <w:rsid w:val="00DD1A4E"/>
    <w:rsid w:val="00DE0C18"/>
    <w:rsid w:val="00DE198D"/>
    <w:rsid w:val="00DE3C9C"/>
    <w:rsid w:val="00DF1679"/>
    <w:rsid w:val="00DF1F70"/>
    <w:rsid w:val="00DF436F"/>
    <w:rsid w:val="00DF51EE"/>
    <w:rsid w:val="00E00B6E"/>
    <w:rsid w:val="00E00C64"/>
    <w:rsid w:val="00E019D6"/>
    <w:rsid w:val="00E01CF1"/>
    <w:rsid w:val="00E02963"/>
    <w:rsid w:val="00E07634"/>
    <w:rsid w:val="00E103FF"/>
    <w:rsid w:val="00E12720"/>
    <w:rsid w:val="00E12C39"/>
    <w:rsid w:val="00E148FA"/>
    <w:rsid w:val="00E16784"/>
    <w:rsid w:val="00E20D1E"/>
    <w:rsid w:val="00E216AE"/>
    <w:rsid w:val="00E22CA4"/>
    <w:rsid w:val="00E23CF9"/>
    <w:rsid w:val="00E26B05"/>
    <w:rsid w:val="00E276EC"/>
    <w:rsid w:val="00E2785F"/>
    <w:rsid w:val="00E30199"/>
    <w:rsid w:val="00E32B8E"/>
    <w:rsid w:val="00E3315A"/>
    <w:rsid w:val="00E35615"/>
    <w:rsid w:val="00E35EC3"/>
    <w:rsid w:val="00E36E96"/>
    <w:rsid w:val="00E37985"/>
    <w:rsid w:val="00E37D14"/>
    <w:rsid w:val="00E4034A"/>
    <w:rsid w:val="00E40AEA"/>
    <w:rsid w:val="00E42D0C"/>
    <w:rsid w:val="00E45A49"/>
    <w:rsid w:val="00E4627C"/>
    <w:rsid w:val="00E50EA0"/>
    <w:rsid w:val="00E51570"/>
    <w:rsid w:val="00E554D2"/>
    <w:rsid w:val="00E562DF"/>
    <w:rsid w:val="00E5659B"/>
    <w:rsid w:val="00E61434"/>
    <w:rsid w:val="00E6227A"/>
    <w:rsid w:val="00E644AE"/>
    <w:rsid w:val="00E70641"/>
    <w:rsid w:val="00E73D83"/>
    <w:rsid w:val="00E75123"/>
    <w:rsid w:val="00E754D7"/>
    <w:rsid w:val="00E756F0"/>
    <w:rsid w:val="00E810C2"/>
    <w:rsid w:val="00E83D06"/>
    <w:rsid w:val="00E85748"/>
    <w:rsid w:val="00E85B82"/>
    <w:rsid w:val="00E963C4"/>
    <w:rsid w:val="00E97051"/>
    <w:rsid w:val="00EA0B42"/>
    <w:rsid w:val="00EA243D"/>
    <w:rsid w:val="00EA2489"/>
    <w:rsid w:val="00EA2E8A"/>
    <w:rsid w:val="00EA336C"/>
    <w:rsid w:val="00EA52AA"/>
    <w:rsid w:val="00EA5343"/>
    <w:rsid w:val="00EA5BD1"/>
    <w:rsid w:val="00EA6C03"/>
    <w:rsid w:val="00EB3D39"/>
    <w:rsid w:val="00EB45CA"/>
    <w:rsid w:val="00EB4BE9"/>
    <w:rsid w:val="00EB4DCE"/>
    <w:rsid w:val="00EB6802"/>
    <w:rsid w:val="00EB778B"/>
    <w:rsid w:val="00EB7B47"/>
    <w:rsid w:val="00EC04A5"/>
    <w:rsid w:val="00EC06C3"/>
    <w:rsid w:val="00EC5458"/>
    <w:rsid w:val="00EC7F74"/>
    <w:rsid w:val="00ED08CF"/>
    <w:rsid w:val="00ED12C9"/>
    <w:rsid w:val="00ED1424"/>
    <w:rsid w:val="00ED247C"/>
    <w:rsid w:val="00ED43CB"/>
    <w:rsid w:val="00ED4C3F"/>
    <w:rsid w:val="00ED4C9F"/>
    <w:rsid w:val="00ED5923"/>
    <w:rsid w:val="00ED5B0F"/>
    <w:rsid w:val="00ED60C3"/>
    <w:rsid w:val="00EE04A2"/>
    <w:rsid w:val="00EE1233"/>
    <w:rsid w:val="00EE180A"/>
    <w:rsid w:val="00EE4F80"/>
    <w:rsid w:val="00EF7884"/>
    <w:rsid w:val="00F00E2C"/>
    <w:rsid w:val="00F056A8"/>
    <w:rsid w:val="00F05AD5"/>
    <w:rsid w:val="00F07C3B"/>
    <w:rsid w:val="00F100A1"/>
    <w:rsid w:val="00F10FC6"/>
    <w:rsid w:val="00F117FD"/>
    <w:rsid w:val="00F1377B"/>
    <w:rsid w:val="00F20235"/>
    <w:rsid w:val="00F2050E"/>
    <w:rsid w:val="00F25BA3"/>
    <w:rsid w:val="00F26813"/>
    <w:rsid w:val="00F36E58"/>
    <w:rsid w:val="00F36E89"/>
    <w:rsid w:val="00F417E0"/>
    <w:rsid w:val="00F447A2"/>
    <w:rsid w:val="00F51797"/>
    <w:rsid w:val="00F5541B"/>
    <w:rsid w:val="00F55A12"/>
    <w:rsid w:val="00F5690F"/>
    <w:rsid w:val="00F60F9E"/>
    <w:rsid w:val="00F6261C"/>
    <w:rsid w:val="00F635D5"/>
    <w:rsid w:val="00F638C1"/>
    <w:rsid w:val="00F72BE1"/>
    <w:rsid w:val="00F732ED"/>
    <w:rsid w:val="00F748E3"/>
    <w:rsid w:val="00F771BC"/>
    <w:rsid w:val="00F77DCF"/>
    <w:rsid w:val="00F80BB7"/>
    <w:rsid w:val="00F81339"/>
    <w:rsid w:val="00F850AB"/>
    <w:rsid w:val="00F85E83"/>
    <w:rsid w:val="00F90A2F"/>
    <w:rsid w:val="00F90C59"/>
    <w:rsid w:val="00F90D59"/>
    <w:rsid w:val="00F90E48"/>
    <w:rsid w:val="00F93B5B"/>
    <w:rsid w:val="00F94AF7"/>
    <w:rsid w:val="00F96736"/>
    <w:rsid w:val="00F96834"/>
    <w:rsid w:val="00F96B1A"/>
    <w:rsid w:val="00FA0869"/>
    <w:rsid w:val="00FA3271"/>
    <w:rsid w:val="00FA330D"/>
    <w:rsid w:val="00FA4E44"/>
    <w:rsid w:val="00FA5BB1"/>
    <w:rsid w:val="00FA74EA"/>
    <w:rsid w:val="00FB01EF"/>
    <w:rsid w:val="00FB0EAC"/>
    <w:rsid w:val="00FB2F54"/>
    <w:rsid w:val="00FB30F5"/>
    <w:rsid w:val="00FB4243"/>
    <w:rsid w:val="00FB71D1"/>
    <w:rsid w:val="00FC00D2"/>
    <w:rsid w:val="00FC102E"/>
    <w:rsid w:val="00FC2FDA"/>
    <w:rsid w:val="00FC3CA0"/>
    <w:rsid w:val="00FC56C4"/>
    <w:rsid w:val="00FC571E"/>
    <w:rsid w:val="00FC597F"/>
    <w:rsid w:val="00FD2822"/>
    <w:rsid w:val="00FD6038"/>
    <w:rsid w:val="00FD60DD"/>
    <w:rsid w:val="00FD6E9D"/>
    <w:rsid w:val="00FE0FC2"/>
    <w:rsid w:val="00FE3D15"/>
    <w:rsid w:val="00FF1DEB"/>
    <w:rsid w:val="00FF30BC"/>
    <w:rsid w:val="00FF426A"/>
    <w:rsid w:val="00FF7515"/>
    <w:rsid w:val="00FF79A9"/>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7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2D"/>
    <w:rPr>
      <w:rFonts w:ascii="Times New Roman" w:hAnsi="Times New Roman"/>
      <w:sz w:val="24"/>
    </w:rPr>
  </w:style>
  <w:style w:type="paragraph" w:styleId="Heading1">
    <w:name w:val="heading 1"/>
    <w:basedOn w:val="Normal"/>
    <w:next w:val="Normal"/>
    <w:link w:val="Heading1Char"/>
    <w:uiPriority w:val="9"/>
    <w:qFormat/>
    <w:rsid w:val="00C4502D"/>
    <w:pPr>
      <w:keepNext/>
      <w:keepLines/>
      <w:spacing w:before="480" w:after="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unhideWhenUsed/>
    <w:qFormat/>
    <w:rsid w:val="00B151B1"/>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E15"/>
    <w:rPr>
      <w:sz w:val="16"/>
      <w:szCs w:val="16"/>
    </w:rPr>
  </w:style>
  <w:style w:type="paragraph" w:styleId="CommentText">
    <w:name w:val="annotation text"/>
    <w:basedOn w:val="Normal"/>
    <w:link w:val="CommentTextChar"/>
    <w:uiPriority w:val="99"/>
    <w:semiHidden/>
    <w:unhideWhenUsed/>
    <w:rsid w:val="00293E15"/>
    <w:pPr>
      <w:spacing w:line="240" w:lineRule="auto"/>
    </w:pPr>
    <w:rPr>
      <w:sz w:val="20"/>
      <w:szCs w:val="20"/>
    </w:rPr>
  </w:style>
  <w:style w:type="character" w:customStyle="1" w:styleId="CommentTextChar">
    <w:name w:val="Comment Text Char"/>
    <w:basedOn w:val="DefaultParagraphFont"/>
    <w:link w:val="CommentText"/>
    <w:uiPriority w:val="99"/>
    <w:semiHidden/>
    <w:rsid w:val="00293E15"/>
    <w:rPr>
      <w:sz w:val="20"/>
      <w:szCs w:val="20"/>
    </w:rPr>
  </w:style>
  <w:style w:type="paragraph" w:styleId="CommentSubject">
    <w:name w:val="annotation subject"/>
    <w:basedOn w:val="CommentText"/>
    <w:next w:val="CommentText"/>
    <w:link w:val="CommentSubjectChar"/>
    <w:uiPriority w:val="99"/>
    <w:semiHidden/>
    <w:unhideWhenUsed/>
    <w:rsid w:val="00293E15"/>
    <w:rPr>
      <w:b/>
      <w:bCs/>
    </w:rPr>
  </w:style>
  <w:style w:type="character" w:customStyle="1" w:styleId="CommentSubjectChar">
    <w:name w:val="Comment Subject Char"/>
    <w:basedOn w:val="CommentTextChar"/>
    <w:link w:val="CommentSubject"/>
    <w:uiPriority w:val="99"/>
    <w:semiHidden/>
    <w:rsid w:val="00293E15"/>
    <w:rPr>
      <w:b/>
      <w:bCs/>
      <w:sz w:val="20"/>
      <w:szCs w:val="20"/>
    </w:rPr>
  </w:style>
  <w:style w:type="paragraph" w:styleId="BalloonText">
    <w:name w:val="Balloon Text"/>
    <w:basedOn w:val="Normal"/>
    <w:link w:val="BalloonTextChar"/>
    <w:uiPriority w:val="99"/>
    <w:semiHidden/>
    <w:unhideWhenUsed/>
    <w:rsid w:val="0029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15"/>
    <w:rPr>
      <w:rFonts w:ascii="Tahoma" w:hAnsi="Tahoma" w:cs="Tahoma"/>
      <w:sz w:val="16"/>
      <w:szCs w:val="16"/>
    </w:rPr>
  </w:style>
  <w:style w:type="paragraph" w:styleId="Header">
    <w:name w:val="header"/>
    <w:basedOn w:val="Normal"/>
    <w:link w:val="HeaderChar"/>
    <w:uiPriority w:val="99"/>
    <w:unhideWhenUsed/>
    <w:rsid w:val="000B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D77"/>
  </w:style>
  <w:style w:type="paragraph" w:styleId="Footer">
    <w:name w:val="footer"/>
    <w:basedOn w:val="Normal"/>
    <w:link w:val="FooterChar"/>
    <w:uiPriority w:val="99"/>
    <w:unhideWhenUsed/>
    <w:rsid w:val="000B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D77"/>
  </w:style>
  <w:style w:type="character" w:customStyle="1" w:styleId="Heading1Char">
    <w:name w:val="Heading 1 Char"/>
    <w:basedOn w:val="DefaultParagraphFont"/>
    <w:link w:val="Heading1"/>
    <w:uiPriority w:val="9"/>
    <w:rsid w:val="00C4502D"/>
    <w:rPr>
      <w:rFonts w:ascii="Times New Roman" w:eastAsiaTheme="majorEastAsia" w:hAnsi="Times New Roman" w:cstheme="majorBidi"/>
      <w:b/>
      <w:bCs/>
      <w:caps/>
      <w:color w:val="000000" w:themeColor="text1"/>
      <w:sz w:val="24"/>
      <w:szCs w:val="28"/>
    </w:rPr>
  </w:style>
  <w:style w:type="table" w:styleId="TableGrid">
    <w:name w:val="Table Grid"/>
    <w:basedOn w:val="TableNormal"/>
    <w:uiPriority w:val="59"/>
    <w:rsid w:val="0074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51B1"/>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A25962"/>
    <w:pPr>
      <w:spacing w:before="100" w:beforeAutospacing="1" w:after="100" w:afterAutospacing="1" w:line="240" w:lineRule="auto"/>
    </w:pPr>
    <w:rPr>
      <w:rFonts w:eastAsiaTheme="minorEastAsia" w:cs="Times New Roman"/>
      <w:szCs w:val="24"/>
      <w:lang w:val="en-US"/>
    </w:rPr>
  </w:style>
  <w:style w:type="character" w:customStyle="1" w:styleId="apple-converted-space">
    <w:name w:val="apple-converted-space"/>
    <w:basedOn w:val="DefaultParagraphFont"/>
    <w:rsid w:val="00291D66"/>
  </w:style>
  <w:style w:type="paragraph" w:styleId="PlainText">
    <w:name w:val="Plain Text"/>
    <w:basedOn w:val="Normal"/>
    <w:link w:val="PlainTextChar"/>
    <w:uiPriority w:val="99"/>
    <w:semiHidden/>
    <w:unhideWhenUsed/>
    <w:rsid w:val="00F07C3B"/>
    <w:pPr>
      <w:spacing w:after="0" w:line="240" w:lineRule="auto"/>
    </w:pPr>
    <w:rPr>
      <w:rFonts w:ascii="Calibri" w:hAnsi="Calibri"/>
      <w:sz w:val="22"/>
      <w:szCs w:val="21"/>
      <w:lang w:val="en-US"/>
    </w:rPr>
  </w:style>
  <w:style w:type="character" w:customStyle="1" w:styleId="PlainTextChar">
    <w:name w:val="Plain Text Char"/>
    <w:basedOn w:val="DefaultParagraphFont"/>
    <w:link w:val="PlainText"/>
    <w:uiPriority w:val="99"/>
    <w:semiHidden/>
    <w:rsid w:val="00F07C3B"/>
    <w:rPr>
      <w:rFonts w:ascii="Calibri" w:hAnsi="Calibri"/>
      <w:szCs w:val="21"/>
      <w:lang w:val="en-US"/>
    </w:rPr>
  </w:style>
  <w:style w:type="character" w:styleId="Hyperlink">
    <w:name w:val="Hyperlink"/>
    <w:basedOn w:val="DefaultParagraphFont"/>
    <w:uiPriority w:val="99"/>
    <w:unhideWhenUsed/>
    <w:rsid w:val="007814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02D"/>
    <w:rPr>
      <w:rFonts w:ascii="Times New Roman" w:hAnsi="Times New Roman"/>
      <w:sz w:val="24"/>
    </w:rPr>
  </w:style>
  <w:style w:type="paragraph" w:styleId="Heading1">
    <w:name w:val="heading 1"/>
    <w:basedOn w:val="Normal"/>
    <w:next w:val="Normal"/>
    <w:link w:val="Heading1Char"/>
    <w:uiPriority w:val="9"/>
    <w:qFormat/>
    <w:rsid w:val="00C4502D"/>
    <w:pPr>
      <w:keepNext/>
      <w:keepLines/>
      <w:spacing w:before="480" w:after="0"/>
      <w:outlineLvl w:val="0"/>
    </w:pPr>
    <w:rPr>
      <w:rFonts w:eastAsiaTheme="majorEastAsia" w:cstheme="majorBidi"/>
      <w:b/>
      <w:bCs/>
      <w:caps/>
      <w:color w:val="000000" w:themeColor="text1"/>
      <w:szCs w:val="28"/>
    </w:rPr>
  </w:style>
  <w:style w:type="paragraph" w:styleId="Heading2">
    <w:name w:val="heading 2"/>
    <w:basedOn w:val="Normal"/>
    <w:next w:val="Normal"/>
    <w:link w:val="Heading2Char"/>
    <w:uiPriority w:val="9"/>
    <w:unhideWhenUsed/>
    <w:qFormat/>
    <w:rsid w:val="00B151B1"/>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E15"/>
    <w:rPr>
      <w:sz w:val="16"/>
      <w:szCs w:val="16"/>
    </w:rPr>
  </w:style>
  <w:style w:type="paragraph" w:styleId="CommentText">
    <w:name w:val="annotation text"/>
    <w:basedOn w:val="Normal"/>
    <w:link w:val="CommentTextChar"/>
    <w:uiPriority w:val="99"/>
    <w:semiHidden/>
    <w:unhideWhenUsed/>
    <w:rsid w:val="00293E15"/>
    <w:pPr>
      <w:spacing w:line="240" w:lineRule="auto"/>
    </w:pPr>
    <w:rPr>
      <w:sz w:val="20"/>
      <w:szCs w:val="20"/>
    </w:rPr>
  </w:style>
  <w:style w:type="character" w:customStyle="1" w:styleId="CommentTextChar">
    <w:name w:val="Comment Text Char"/>
    <w:basedOn w:val="DefaultParagraphFont"/>
    <w:link w:val="CommentText"/>
    <w:uiPriority w:val="99"/>
    <w:semiHidden/>
    <w:rsid w:val="00293E15"/>
    <w:rPr>
      <w:sz w:val="20"/>
      <w:szCs w:val="20"/>
    </w:rPr>
  </w:style>
  <w:style w:type="paragraph" w:styleId="CommentSubject">
    <w:name w:val="annotation subject"/>
    <w:basedOn w:val="CommentText"/>
    <w:next w:val="CommentText"/>
    <w:link w:val="CommentSubjectChar"/>
    <w:uiPriority w:val="99"/>
    <w:semiHidden/>
    <w:unhideWhenUsed/>
    <w:rsid w:val="00293E15"/>
    <w:rPr>
      <w:b/>
      <w:bCs/>
    </w:rPr>
  </w:style>
  <w:style w:type="character" w:customStyle="1" w:styleId="CommentSubjectChar">
    <w:name w:val="Comment Subject Char"/>
    <w:basedOn w:val="CommentTextChar"/>
    <w:link w:val="CommentSubject"/>
    <w:uiPriority w:val="99"/>
    <w:semiHidden/>
    <w:rsid w:val="00293E15"/>
    <w:rPr>
      <w:b/>
      <w:bCs/>
      <w:sz w:val="20"/>
      <w:szCs w:val="20"/>
    </w:rPr>
  </w:style>
  <w:style w:type="paragraph" w:styleId="BalloonText">
    <w:name w:val="Balloon Text"/>
    <w:basedOn w:val="Normal"/>
    <w:link w:val="BalloonTextChar"/>
    <w:uiPriority w:val="99"/>
    <w:semiHidden/>
    <w:unhideWhenUsed/>
    <w:rsid w:val="00293E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15"/>
    <w:rPr>
      <w:rFonts w:ascii="Tahoma" w:hAnsi="Tahoma" w:cs="Tahoma"/>
      <w:sz w:val="16"/>
      <w:szCs w:val="16"/>
    </w:rPr>
  </w:style>
  <w:style w:type="paragraph" w:styleId="Header">
    <w:name w:val="header"/>
    <w:basedOn w:val="Normal"/>
    <w:link w:val="HeaderChar"/>
    <w:uiPriority w:val="99"/>
    <w:unhideWhenUsed/>
    <w:rsid w:val="000B4D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4D77"/>
  </w:style>
  <w:style w:type="paragraph" w:styleId="Footer">
    <w:name w:val="footer"/>
    <w:basedOn w:val="Normal"/>
    <w:link w:val="FooterChar"/>
    <w:uiPriority w:val="99"/>
    <w:unhideWhenUsed/>
    <w:rsid w:val="000B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4D77"/>
  </w:style>
  <w:style w:type="character" w:customStyle="1" w:styleId="Heading1Char">
    <w:name w:val="Heading 1 Char"/>
    <w:basedOn w:val="DefaultParagraphFont"/>
    <w:link w:val="Heading1"/>
    <w:uiPriority w:val="9"/>
    <w:rsid w:val="00C4502D"/>
    <w:rPr>
      <w:rFonts w:ascii="Times New Roman" w:eastAsiaTheme="majorEastAsia" w:hAnsi="Times New Roman" w:cstheme="majorBidi"/>
      <w:b/>
      <w:bCs/>
      <w:caps/>
      <w:color w:val="000000" w:themeColor="text1"/>
      <w:sz w:val="24"/>
      <w:szCs w:val="28"/>
    </w:rPr>
  </w:style>
  <w:style w:type="table" w:styleId="TableGrid">
    <w:name w:val="Table Grid"/>
    <w:basedOn w:val="TableNormal"/>
    <w:uiPriority w:val="59"/>
    <w:rsid w:val="0074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151B1"/>
    <w:rPr>
      <w:rFonts w:ascii="Times New Roman" w:eastAsiaTheme="majorEastAsia" w:hAnsi="Times New Roman" w:cstheme="majorBidi"/>
      <w:b/>
      <w:bCs/>
      <w:sz w:val="24"/>
      <w:szCs w:val="26"/>
    </w:rPr>
  </w:style>
  <w:style w:type="paragraph" w:styleId="NormalWeb">
    <w:name w:val="Normal (Web)"/>
    <w:basedOn w:val="Normal"/>
    <w:uiPriority w:val="99"/>
    <w:semiHidden/>
    <w:unhideWhenUsed/>
    <w:rsid w:val="00A25962"/>
    <w:pPr>
      <w:spacing w:before="100" w:beforeAutospacing="1" w:after="100" w:afterAutospacing="1" w:line="240" w:lineRule="auto"/>
    </w:pPr>
    <w:rPr>
      <w:rFonts w:eastAsiaTheme="minorEastAsia" w:cs="Times New Roman"/>
      <w:szCs w:val="24"/>
      <w:lang w:val="en-US"/>
    </w:rPr>
  </w:style>
  <w:style w:type="character" w:customStyle="1" w:styleId="apple-converted-space">
    <w:name w:val="apple-converted-space"/>
    <w:basedOn w:val="DefaultParagraphFont"/>
    <w:rsid w:val="00291D66"/>
  </w:style>
  <w:style w:type="paragraph" w:styleId="PlainText">
    <w:name w:val="Plain Text"/>
    <w:basedOn w:val="Normal"/>
    <w:link w:val="PlainTextChar"/>
    <w:uiPriority w:val="99"/>
    <w:semiHidden/>
    <w:unhideWhenUsed/>
    <w:rsid w:val="00F07C3B"/>
    <w:pPr>
      <w:spacing w:after="0" w:line="240" w:lineRule="auto"/>
    </w:pPr>
    <w:rPr>
      <w:rFonts w:ascii="Calibri" w:hAnsi="Calibri"/>
      <w:sz w:val="22"/>
      <w:szCs w:val="21"/>
      <w:lang w:val="en-US"/>
    </w:rPr>
  </w:style>
  <w:style w:type="character" w:customStyle="1" w:styleId="PlainTextChar">
    <w:name w:val="Plain Text Char"/>
    <w:basedOn w:val="DefaultParagraphFont"/>
    <w:link w:val="PlainText"/>
    <w:uiPriority w:val="99"/>
    <w:semiHidden/>
    <w:rsid w:val="00F07C3B"/>
    <w:rPr>
      <w:rFonts w:ascii="Calibri" w:hAnsi="Calibri"/>
      <w:szCs w:val="21"/>
      <w:lang w:val="en-US"/>
    </w:rPr>
  </w:style>
  <w:style w:type="character" w:styleId="Hyperlink">
    <w:name w:val="Hyperlink"/>
    <w:basedOn w:val="DefaultParagraphFont"/>
    <w:uiPriority w:val="99"/>
    <w:unhideWhenUsed/>
    <w:rsid w:val="007814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3638">
      <w:bodyDiv w:val="1"/>
      <w:marLeft w:val="0"/>
      <w:marRight w:val="0"/>
      <w:marTop w:val="0"/>
      <w:marBottom w:val="0"/>
      <w:divBdr>
        <w:top w:val="none" w:sz="0" w:space="0" w:color="auto"/>
        <w:left w:val="none" w:sz="0" w:space="0" w:color="auto"/>
        <w:bottom w:val="none" w:sz="0" w:space="0" w:color="auto"/>
        <w:right w:val="none" w:sz="0" w:space="0" w:color="auto"/>
      </w:divBdr>
    </w:div>
    <w:div w:id="109666626">
      <w:bodyDiv w:val="1"/>
      <w:marLeft w:val="0"/>
      <w:marRight w:val="0"/>
      <w:marTop w:val="0"/>
      <w:marBottom w:val="0"/>
      <w:divBdr>
        <w:top w:val="none" w:sz="0" w:space="0" w:color="auto"/>
        <w:left w:val="none" w:sz="0" w:space="0" w:color="auto"/>
        <w:bottom w:val="none" w:sz="0" w:space="0" w:color="auto"/>
        <w:right w:val="none" w:sz="0" w:space="0" w:color="auto"/>
      </w:divBdr>
    </w:div>
    <w:div w:id="116728552">
      <w:bodyDiv w:val="1"/>
      <w:marLeft w:val="0"/>
      <w:marRight w:val="0"/>
      <w:marTop w:val="0"/>
      <w:marBottom w:val="0"/>
      <w:divBdr>
        <w:top w:val="none" w:sz="0" w:space="0" w:color="auto"/>
        <w:left w:val="none" w:sz="0" w:space="0" w:color="auto"/>
        <w:bottom w:val="none" w:sz="0" w:space="0" w:color="auto"/>
        <w:right w:val="none" w:sz="0" w:space="0" w:color="auto"/>
      </w:divBdr>
    </w:div>
    <w:div w:id="160705804">
      <w:bodyDiv w:val="1"/>
      <w:marLeft w:val="0"/>
      <w:marRight w:val="0"/>
      <w:marTop w:val="0"/>
      <w:marBottom w:val="0"/>
      <w:divBdr>
        <w:top w:val="none" w:sz="0" w:space="0" w:color="auto"/>
        <w:left w:val="none" w:sz="0" w:space="0" w:color="auto"/>
        <w:bottom w:val="none" w:sz="0" w:space="0" w:color="auto"/>
        <w:right w:val="none" w:sz="0" w:space="0" w:color="auto"/>
      </w:divBdr>
    </w:div>
    <w:div w:id="185560973">
      <w:bodyDiv w:val="1"/>
      <w:marLeft w:val="0"/>
      <w:marRight w:val="0"/>
      <w:marTop w:val="0"/>
      <w:marBottom w:val="0"/>
      <w:divBdr>
        <w:top w:val="none" w:sz="0" w:space="0" w:color="auto"/>
        <w:left w:val="none" w:sz="0" w:space="0" w:color="auto"/>
        <w:bottom w:val="none" w:sz="0" w:space="0" w:color="auto"/>
        <w:right w:val="none" w:sz="0" w:space="0" w:color="auto"/>
      </w:divBdr>
    </w:div>
    <w:div w:id="222182530">
      <w:bodyDiv w:val="1"/>
      <w:marLeft w:val="0"/>
      <w:marRight w:val="0"/>
      <w:marTop w:val="0"/>
      <w:marBottom w:val="0"/>
      <w:divBdr>
        <w:top w:val="none" w:sz="0" w:space="0" w:color="auto"/>
        <w:left w:val="none" w:sz="0" w:space="0" w:color="auto"/>
        <w:bottom w:val="none" w:sz="0" w:space="0" w:color="auto"/>
        <w:right w:val="none" w:sz="0" w:space="0" w:color="auto"/>
      </w:divBdr>
    </w:div>
    <w:div w:id="255288170">
      <w:bodyDiv w:val="1"/>
      <w:marLeft w:val="0"/>
      <w:marRight w:val="0"/>
      <w:marTop w:val="0"/>
      <w:marBottom w:val="0"/>
      <w:divBdr>
        <w:top w:val="none" w:sz="0" w:space="0" w:color="auto"/>
        <w:left w:val="none" w:sz="0" w:space="0" w:color="auto"/>
        <w:bottom w:val="none" w:sz="0" w:space="0" w:color="auto"/>
        <w:right w:val="none" w:sz="0" w:space="0" w:color="auto"/>
      </w:divBdr>
    </w:div>
    <w:div w:id="257835433">
      <w:bodyDiv w:val="1"/>
      <w:marLeft w:val="0"/>
      <w:marRight w:val="0"/>
      <w:marTop w:val="0"/>
      <w:marBottom w:val="0"/>
      <w:divBdr>
        <w:top w:val="none" w:sz="0" w:space="0" w:color="auto"/>
        <w:left w:val="none" w:sz="0" w:space="0" w:color="auto"/>
        <w:bottom w:val="none" w:sz="0" w:space="0" w:color="auto"/>
        <w:right w:val="none" w:sz="0" w:space="0" w:color="auto"/>
      </w:divBdr>
    </w:div>
    <w:div w:id="365832920">
      <w:bodyDiv w:val="1"/>
      <w:marLeft w:val="0"/>
      <w:marRight w:val="0"/>
      <w:marTop w:val="0"/>
      <w:marBottom w:val="0"/>
      <w:divBdr>
        <w:top w:val="none" w:sz="0" w:space="0" w:color="auto"/>
        <w:left w:val="none" w:sz="0" w:space="0" w:color="auto"/>
        <w:bottom w:val="none" w:sz="0" w:space="0" w:color="auto"/>
        <w:right w:val="none" w:sz="0" w:space="0" w:color="auto"/>
      </w:divBdr>
    </w:div>
    <w:div w:id="470176909">
      <w:bodyDiv w:val="1"/>
      <w:marLeft w:val="0"/>
      <w:marRight w:val="0"/>
      <w:marTop w:val="0"/>
      <w:marBottom w:val="0"/>
      <w:divBdr>
        <w:top w:val="none" w:sz="0" w:space="0" w:color="auto"/>
        <w:left w:val="none" w:sz="0" w:space="0" w:color="auto"/>
        <w:bottom w:val="none" w:sz="0" w:space="0" w:color="auto"/>
        <w:right w:val="none" w:sz="0" w:space="0" w:color="auto"/>
      </w:divBdr>
    </w:div>
    <w:div w:id="536354767">
      <w:bodyDiv w:val="1"/>
      <w:marLeft w:val="0"/>
      <w:marRight w:val="0"/>
      <w:marTop w:val="0"/>
      <w:marBottom w:val="0"/>
      <w:divBdr>
        <w:top w:val="none" w:sz="0" w:space="0" w:color="auto"/>
        <w:left w:val="none" w:sz="0" w:space="0" w:color="auto"/>
        <w:bottom w:val="none" w:sz="0" w:space="0" w:color="auto"/>
        <w:right w:val="none" w:sz="0" w:space="0" w:color="auto"/>
      </w:divBdr>
    </w:div>
    <w:div w:id="545214347">
      <w:bodyDiv w:val="1"/>
      <w:marLeft w:val="0"/>
      <w:marRight w:val="0"/>
      <w:marTop w:val="0"/>
      <w:marBottom w:val="0"/>
      <w:divBdr>
        <w:top w:val="none" w:sz="0" w:space="0" w:color="auto"/>
        <w:left w:val="none" w:sz="0" w:space="0" w:color="auto"/>
        <w:bottom w:val="none" w:sz="0" w:space="0" w:color="auto"/>
        <w:right w:val="none" w:sz="0" w:space="0" w:color="auto"/>
      </w:divBdr>
    </w:div>
    <w:div w:id="559825476">
      <w:bodyDiv w:val="1"/>
      <w:marLeft w:val="0"/>
      <w:marRight w:val="0"/>
      <w:marTop w:val="0"/>
      <w:marBottom w:val="0"/>
      <w:divBdr>
        <w:top w:val="none" w:sz="0" w:space="0" w:color="auto"/>
        <w:left w:val="none" w:sz="0" w:space="0" w:color="auto"/>
        <w:bottom w:val="none" w:sz="0" w:space="0" w:color="auto"/>
        <w:right w:val="none" w:sz="0" w:space="0" w:color="auto"/>
      </w:divBdr>
    </w:div>
    <w:div w:id="560797008">
      <w:bodyDiv w:val="1"/>
      <w:marLeft w:val="0"/>
      <w:marRight w:val="0"/>
      <w:marTop w:val="0"/>
      <w:marBottom w:val="0"/>
      <w:divBdr>
        <w:top w:val="none" w:sz="0" w:space="0" w:color="auto"/>
        <w:left w:val="none" w:sz="0" w:space="0" w:color="auto"/>
        <w:bottom w:val="none" w:sz="0" w:space="0" w:color="auto"/>
        <w:right w:val="none" w:sz="0" w:space="0" w:color="auto"/>
      </w:divBdr>
    </w:div>
    <w:div w:id="581451871">
      <w:bodyDiv w:val="1"/>
      <w:marLeft w:val="0"/>
      <w:marRight w:val="0"/>
      <w:marTop w:val="0"/>
      <w:marBottom w:val="0"/>
      <w:divBdr>
        <w:top w:val="none" w:sz="0" w:space="0" w:color="auto"/>
        <w:left w:val="none" w:sz="0" w:space="0" w:color="auto"/>
        <w:bottom w:val="none" w:sz="0" w:space="0" w:color="auto"/>
        <w:right w:val="none" w:sz="0" w:space="0" w:color="auto"/>
      </w:divBdr>
    </w:div>
    <w:div w:id="591087974">
      <w:bodyDiv w:val="1"/>
      <w:marLeft w:val="0"/>
      <w:marRight w:val="0"/>
      <w:marTop w:val="0"/>
      <w:marBottom w:val="0"/>
      <w:divBdr>
        <w:top w:val="none" w:sz="0" w:space="0" w:color="auto"/>
        <w:left w:val="none" w:sz="0" w:space="0" w:color="auto"/>
        <w:bottom w:val="none" w:sz="0" w:space="0" w:color="auto"/>
        <w:right w:val="none" w:sz="0" w:space="0" w:color="auto"/>
      </w:divBdr>
    </w:div>
    <w:div w:id="596602276">
      <w:bodyDiv w:val="1"/>
      <w:marLeft w:val="0"/>
      <w:marRight w:val="0"/>
      <w:marTop w:val="0"/>
      <w:marBottom w:val="0"/>
      <w:divBdr>
        <w:top w:val="none" w:sz="0" w:space="0" w:color="auto"/>
        <w:left w:val="none" w:sz="0" w:space="0" w:color="auto"/>
        <w:bottom w:val="none" w:sz="0" w:space="0" w:color="auto"/>
        <w:right w:val="none" w:sz="0" w:space="0" w:color="auto"/>
      </w:divBdr>
    </w:div>
    <w:div w:id="596644921">
      <w:bodyDiv w:val="1"/>
      <w:marLeft w:val="0"/>
      <w:marRight w:val="0"/>
      <w:marTop w:val="0"/>
      <w:marBottom w:val="0"/>
      <w:divBdr>
        <w:top w:val="none" w:sz="0" w:space="0" w:color="auto"/>
        <w:left w:val="none" w:sz="0" w:space="0" w:color="auto"/>
        <w:bottom w:val="none" w:sz="0" w:space="0" w:color="auto"/>
        <w:right w:val="none" w:sz="0" w:space="0" w:color="auto"/>
      </w:divBdr>
    </w:div>
    <w:div w:id="614483786">
      <w:bodyDiv w:val="1"/>
      <w:marLeft w:val="0"/>
      <w:marRight w:val="0"/>
      <w:marTop w:val="0"/>
      <w:marBottom w:val="0"/>
      <w:divBdr>
        <w:top w:val="none" w:sz="0" w:space="0" w:color="auto"/>
        <w:left w:val="none" w:sz="0" w:space="0" w:color="auto"/>
        <w:bottom w:val="none" w:sz="0" w:space="0" w:color="auto"/>
        <w:right w:val="none" w:sz="0" w:space="0" w:color="auto"/>
      </w:divBdr>
    </w:div>
    <w:div w:id="744885708">
      <w:bodyDiv w:val="1"/>
      <w:marLeft w:val="0"/>
      <w:marRight w:val="0"/>
      <w:marTop w:val="0"/>
      <w:marBottom w:val="0"/>
      <w:divBdr>
        <w:top w:val="none" w:sz="0" w:space="0" w:color="auto"/>
        <w:left w:val="none" w:sz="0" w:space="0" w:color="auto"/>
        <w:bottom w:val="none" w:sz="0" w:space="0" w:color="auto"/>
        <w:right w:val="none" w:sz="0" w:space="0" w:color="auto"/>
      </w:divBdr>
    </w:div>
    <w:div w:id="785344237">
      <w:bodyDiv w:val="1"/>
      <w:marLeft w:val="0"/>
      <w:marRight w:val="0"/>
      <w:marTop w:val="0"/>
      <w:marBottom w:val="0"/>
      <w:divBdr>
        <w:top w:val="none" w:sz="0" w:space="0" w:color="auto"/>
        <w:left w:val="none" w:sz="0" w:space="0" w:color="auto"/>
        <w:bottom w:val="none" w:sz="0" w:space="0" w:color="auto"/>
        <w:right w:val="none" w:sz="0" w:space="0" w:color="auto"/>
      </w:divBdr>
    </w:div>
    <w:div w:id="786463683">
      <w:bodyDiv w:val="1"/>
      <w:marLeft w:val="0"/>
      <w:marRight w:val="0"/>
      <w:marTop w:val="0"/>
      <w:marBottom w:val="0"/>
      <w:divBdr>
        <w:top w:val="none" w:sz="0" w:space="0" w:color="auto"/>
        <w:left w:val="none" w:sz="0" w:space="0" w:color="auto"/>
        <w:bottom w:val="none" w:sz="0" w:space="0" w:color="auto"/>
        <w:right w:val="none" w:sz="0" w:space="0" w:color="auto"/>
      </w:divBdr>
    </w:div>
    <w:div w:id="806507085">
      <w:bodyDiv w:val="1"/>
      <w:marLeft w:val="0"/>
      <w:marRight w:val="0"/>
      <w:marTop w:val="0"/>
      <w:marBottom w:val="0"/>
      <w:divBdr>
        <w:top w:val="none" w:sz="0" w:space="0" w:color="auto"/>
        <w:left w:val="none" w:sz="0" w:space="0" w:color="auto"/>
        <w:bottom w:val="none" w:sz="0" w:space="0" w:color="auto"/>
        <w:right w:val="none" w:sz="0" w:space="0" w:color="auto"/>
      </w:divBdr>
    </w:div>
    <w:div w:id="882181147">
      <w:bodyDiv w:val="1"/>
      <w:marLeft w:val="0"/>
      <w:marRight w:val="0"/>
      <w:marTop w:val="0"/>
      <w:marBottom w:val="0"/>
      <w:divBdr>
        <w:top w:val="none" w:sz="0" w:space="0" w:color="auto"/>
        <w:left w:val="none" w:sz="0" w:space="0" w:color="auto"/>
        <w:bottom w:val="none" w:sz="0" w:space="0" w:color="auto"/>
        <w:right w:val="none" w:sz="0" w:space="0" w:color="auto"/>
      </w:divBdr>
    </w:div>
    <w:div w:id="915744164">
      <w:bodyDiv w:val="1"/>
      <w:marLeft w:val="0"/>
      <w:marRight w:val="0"/>
      <w:marTop w:val="0"/>
      <w:marBottom w:val="0"/>
      <w:divBdr>
        <w:top w:val="none" w:sz="0" w:space="0" w:color="auto"/>
        <w:left w:val="none" w:sz="0" w:space="0" w:color="auto"/>
        <w:bottom w:val="none" w:sz="0" w:space="0" w:color="auto"/>
        <w:right w:val="none" w:sz="0" w:space="0" w:color="auto"/>
      </w:divBdr>
    </w:div>
    <w:div w:id="977026430">
      <w:bodyDiv w:val="1"/>
      <w:marLeft w:val="0"/>
      <w:marRight w:val="0"/>
      <w:marTop w:val="0"/>
      <w:marBottom w:val="0"/>
      <w:divBdr>
        <w:top w:val="none" w:sz="0" w:space="0" w:color="auto"/>
        <w:left w:val="none" w:sz="0" w:space="0" w:color="auto"/>
        <w:bottom w:val="none" w:sz="0" w:space="0" w:color="auto"/>
        <w:right w:val="none" w:sz="0" w:space="0" w:color="auto"/>
      </w:divBdr>
    </w:div>
    <w:div w:id="1019937350">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2026302">
      <w:bodyDiv w:val="1"/>
      <w:marLeft w:val="0"/>
      <w:marRight w:val="0"/>
      <w:marTop w:val="0"/>
      <w:marBottom w:val="0"/>
      <w:divBdr>
        <w:top w:val="none" w:sz="0" w:space="0" w:color="auto"/>
        <w:left w:val="none" w:sz="0" w:space="0" w:color="auto"/>
        <w:bottom w:val="none" w:sz="0" w:space="0" w:color="auto"/>
        <w:right w:val="none" w:sz="0" w:space="0" w:color="auto"/>
      </w:divBdr>
    </w:div>
    <w:div w:id="1103840503">
      <w:bodyDiv w:val="1"/>
      <w:marLeft w:val="0"/>
      <w:marRight w:val="0"/>
      <w:marTop w:val="0"/>
      <w:marBottom w:val="0"/>
      <w:divBdr>
        <w:top w:val="none" w:sz="0" w:space="0" w:color="auto"/>
        <w:left w:val="none" w:sz="0" w:space="0" w:color="auto"/>
        <w:bottom w:val="none" w:sz="0" w:space="0" w:color="auto"/>
        <w:right w:val="none" w:sz="0" w:space="0" w:color="auto"/>
      </w:divBdr>
    </w:div>
    <w:div w:id="1147867409">
      <w:bodyDiv w:val="1"/>
      <w:marLeft w:val="0"/>
      <w:marRight w:val="0"/>
      <w:marTop w:val="0"/>
      <w:marBottom w:val="0"/>
      <w:divBdr>
        <w:top w:val="none" w:sz="0" w:space="0" w:color="auto"/>
        <w:left w:val="none" w:sz="0" w:space="0" w:color="auto"/>
        <w:bottom w:val="none" w:sz="0" w:space="0" w:color="auto"/>
        <w:right w:val="none" w:sz="0" w:space="0" w:color="auto"/>
      </w:divBdr>
    </w:div>
    <w:div w:id="1262572244">
      <w:bodyDiv w:val="1"/>
      <w:marLeft w:val="0"/>
      <w:marRight w:val="0"/>
      <w:marTop w:val="0"/>
      <w:marBottom w:val="0"/>
      <w:divBdr>
        <w:top w:val="none" w:sz="0" w:space="0" w:color="auto"/>
        <w:left w:val="none" w:sz="0" w:space="0" w:color="auto"/>
        <w:bottom w:val="none" w:sz="0" w:space="0" w:color="auto"/>
        <w:right w:val="none" w:sz="0" w:space="0" w:color="auto"/>
      </w:divBdr>
    </w:div>
    <w:div w:id="1295865284">
      <w:bodyDiv w:val="1"/>
      <w:marLeft w:val="0"/>
      <w:marRight w:val="0"/>
      <w:marTop w:val="0"/>
      <w:marBottom w:val="0"/>
      <w:divBdr>
        <w:top w:val="none" w:sz="0" w:space="0" w:color="auto"/>
        <w:left w:val="none" w:sz="0" w:space="0" w:color="auto"/>
        <w:bottom w:val="none" w:sz="0" w:space="0" w:color="auto"/>
        <w:right w:val="none" w:sz="0" w:space="0" w:color="auto"/>
      </w:divBdr>
    </w:div>
    <w:div w:id="1344823185">
      <w:bodyDiv w:val="1"/>
      <w:marLeft w:val="0"/>
      <w:marRight w:val="0"/>
      <w:marTop w:val="0"/>
      <w:marBottom w:val="0"/>
      <w:divBdr>
        <w:top w:val="none" w:sz="0" w:space="0" w:color="auto"/>
        <w:left w:val="none" w:sz="0" w:space="0" w:color="auto"/>
        <w:bottom w:val="none" w:sz="0" w:space="0" w:color="auto"/>
        <w:right w:val="none" w:sz="0" w:space="0" w:color="auto"/>
      </w:divBdr>
    </w:div>
    <w:div w:id="1356465409">
      <w:bodyDiv w:val="1"/>
      <w:marLeft w:val="0"/>
      <w:marRight w:val="0"/>
      <w:marTop w:val="0"/>
      <w:marBottom w:val="0"/>
      <w:divBdr>
        <w:top w:val="none" w:sz="0" w:space="0" w:color="auto"/>
        <w:left w:val="none" w:sz="0" w:space="0" w:color="auto"/>
        <w:bottom w:val="none" w:sz="0" w:space="0" w:color="auto"/>
        <w:right w:val="none" w:sz="0" w:space="0" w:color="auto"/>
      </w:divBdr>
    </w:div>
    <w:div w:id="1391079469">
      <w:bodyDiv w:val="1"/>
      <w:marLeft w:val="0"/>
      <w:marRight w:val="0"/>
      <w:marTop w:val="0"/>
      <w:marBottom w:val="0"/>
      <w:divBdr>
        <w:top w:val="none" w:sz="0" w:space="0" w:color="auto"/>
        <w:left w:val="none" w:sz="0" w:space="0" w:color="auto"/>
        <w:bottom w:val="none" w:sz="0" w:space="0" w:color="auto"/>
        <w:right w:val="none" w:sz="0" w:space="0" w:color="auto"/>
      </w:divBdr>
    </w:div>
    <w:div w:id="1552033919">
      <w:bodyDiv w:val="1"/>
      <w:marLeft w:val="0"/>
      <w:marRight w:val="0"/>
      <w:marTop w:val="0"/>
      <w:marBottom w:val="0"/>
      <w:divBdr>
        <w:top w:val="none" w:sz="0" w:space="0" w:color="auto"/>
        <w:left w:val="none" w:sz="0" w:space="0" w:color="auto"/>
        <w:bottom w:val="none" w:sz="0" w:space="0" w:color="auto"/>
        <w:right w:val="none" w:sz="0" w:space="0" w:color="auto"/>
      </w:divBdr>
    </w:div>
    <w:div w:id="1573467261">
      <w:bodyDiv w:val="1"/>
      <w:marLeft w:val="0"/>
      <w:marRight w:val="0"/>
      <w:marTop w:val="0"/>
      <w:marBottom w:val="0"/>
      <w:divBdr>
        <w:top w:val="none" w:sz="0" w:space="0" w:color="auto"/>
        <w:left w:val="none" w:sz="0" w:space="0" w:color="auto"/>
        <w:bottom w:val="none" w:sz="0" w:space="0" w:color="auto"/>
        <w:right w:val="none" w:sz="0" w:space="0" w:color="auto"/>
      </w:divBdr>
    </w:div>
    <w:div w:id="1666129329">
      <w:bodyDiv w:val="1"/>
      <w:marLeft w:val="0"/>
      <w:marRight w:val="0"/>
      <w:marTop w:val="0"/>
      <w:marBottom w:val="0"/>
      <w:divBdr>
        <w:top w:val="none" w:sz="0" w:space="0" w:color="auto"/>
        <w:left w:val="none" w:sz="0" w:space="0" w:color="auto"/>
        <w:bottom w:val="none" w:sz="0" w:space="0" w:color="auto"/>
        <w:right w:val="none" w:sz="0" w:space="0" w:color="auto"/>
      </w:divBdr>
    </w:div>
    <w:div w:id="1745564281">
      <w:bodyDiv w:val="1"/>
      <w:marLeft w:val="0"/>
      <w:marRight w:val="0"/>
      <w:marTop w:val="0"/>
      <w:marBottom w:val="0"/>
      <w:divBdr>
        <w:top w:val="none" w:sz="0" w:space="0" w:color="auto"/>
        <w:left w:val="none" w:sz="0" w:space="0" w:color="auto"/>
        <w:bottom w:val="none" w:sz="0" w:space="0" w:color="auto"/>
        <w:right w:val="none" w:sz="0" w:space="0" w:color="auto"/>
      </w:divBdr>
    </w:div>
    <w:div w:id="1755010029">
      <w:bodyDiv w:val="1"/>
      <w:marLeft w:val="0"/>
      <w:marRight w:val="0"/>
      <w:marTop w:val="0"/>
      <w:marBottom w:val="0"/>
      <w:divBdr>
        <w:top w:val="none" w:sz="0" w:space="0" w:color="auto"/>
        <w:left w:val="none" w:sz="0" w:space="0" w:color="auto"/>
        <w:bottom w:val="none" w:sz="0" w:space="0" w:color="auto"/>
        <w:right w:val="none" w:sz="0" w:space="0" w:color="auto"/>
      </w:divBdr>
    </w:div>
    <w:div w:id="1776753107">
      <w:bodyDiv w:val="1"/>
      <w:marLeft w:val="0"/>
      <w:marRight w:val="0"/>
      <w:marTop w:val="0"/>
      <w:marBottom w:val="0"/>
      <w:divBdr>
        <w:top w:val="none" w:sz="0" w:space="0" w:color="auto"/>
        <w:left w:val="none" w:sz="0" w:space="0" w:color="auto"/>
        <w:bottom w:val="none" w:sz="0" w:space="0" w:color="auto"/>
        <w:right w:val="none" w:sz="0" w:space="0" w:color="auto"/>
      </w:divBdr>
    </w:div>
    <w:div w:id="1815639761">
      <w:bodyDiv w:val="1"/>
      <w:marLeft w:val="0"/>
      <w:marRight w:val="0"/>
      <w:marTop w:val="0"/>
      <w:marBottom w:val="0"/>
      <w:divBdr>
        <w:top w:val="none" w:sz="0" w:space="0" w:color="auto"/>
        <w:left w:val="none" w:sz="0" w:space="0" w:color="auto"/>
        <w:bottom w:val="none" w:sz="0" w:space="0" w:color="auto"/>
        <w:right w:val="none" w:sz="0" w:space="0" w:color="auto"/>
      </w:divBdr>
    </w:div>
    <w:div w:id="1829010986">
      <w:bodyDiv w:val="1"/>
      <w:marLeft w:val="0"/>
      <w:marRight w:val="0"/>
      <w:marTop w:val="0"/>
      <w:marBottom w:val="0"/>
      <w:divBdr>
        <w:top w:val="none" w:sz="0" w:space="0" w:color="auto"/>
        <w:left w:val="none" w:sz="0" w:space="0" w:color="auto"/>
        <w:bottom w:val="none" w:sz="0" w:space="0" w:color="auto"/>
        <w:right w:val="none" w:sz="0" w:space="0" w:color="auto"/>
      </w:divBdr>
    </w:div>
    <w:div w:id="1849632059">
      <w:bodyDiv w:val="1"/>
      <w:marLeft w:val="0"/>
      <w:marRight w:val="0"/>
      <w:marTop w:val="0"/>
      <w:marBottom w:val="0"/>
      <w:divBdr>
        <w:top w:val="none" w:sz="0" w:space="0" w:color="auto"/>
        <w:left w:val="none" w:sz="0" w:space="0" w:color="auto"/>
        <w:bottom w:val="none" w:sz="0" w:space="0" w:color="auto"/>
        <w:right w:val="none" w:sz="0" w:space="0" w:color="auto"/>
      </w:divBdr>
    </w:div>
    <w:div w:id="1876386341">
      <w:bodyDiv w:val="1"/>
      <w:marLeft w:val="0"/>
      <w:marRight w:val="0"/>
      <w:marTop w:val="0"/>
      <w:marBottom w:val="0"/>
      <w:divBdr>
        <w:top w:val="none" w:sz="0" w:space="0" w:color="auto"/>
        <w:left w:val="none" w:sz="0" w:space="0" w:color="auto"/>
        <w:bottom w:val="none" w:sz="0" w:space="0" w:color="auto"/>
        <w:right w:val="none" w:sz="0" w:space="0" w:color="auto"/>
      </w:divBdr>
    </w:div>
    <w:div w:id="1936548065">
      <w:bodyDiv w:val="1"/>
      <w:marLeft w:val="0"/>
      <w:marRight w:val="0"/>
      <w:marTop w:val="0"/>
      <w:marBottom w:val="0"/>
      <w:divBdr>
        <w:top w:val="none" w:sz="0" w:space="0" w:color="auto"/>
        <w:left w:val="none" w:sz="0" w:space="0" w:color="auto"/>
        <w:bottom w:val="none" w:sz="0" w:space="0" w:color="auto"/>
        <w:right w:val="none" w:sz="0" w:space="0" w:color="auto"/>
      </w:divBdr>
    </w:div>
    <w:div w:id="1953897445">
      <w:bodyDiv w:val="1"/>
      <w:marLeft w:val="0"/>
      <w:marRight w:val="0"/>
      <w:marTop w:val="0"/>
      <w:marBottom w:val="0"/>
      <w:divBdr>
        <w:top w:val="none" w:sz="0" w:space="0" w:color="auto"/>
        <w:left w:val="none" w:sz="0" w:space="0" w:color="auto"/>
        <w:bottom w:val="none" w:sz="0" w:space="0" w:color="auto"/>
        <w:right w:val="none" w:sz="0" w:space="0" w:color="auto"/>
      </w:divBdr>
    </w:div>
    <w:div w:id="1976986524">
      <w:bodyDiv w:val="1"/>
      <w:marLeft w:val="0"/>
      <w:marRight w:val="0"/>
      <w:marTop w:val="0"/>
      <w:marBottom w:val="0"/>
      <w:divBdr>
        <w:top w:val="none" w:sz="0" w:space="0" w:color="auto"/>
        <w:left w:val="none" w:sz="0" w:space="0" w:color="auto"/>
        <w:bottom w:val="none" w:sz="0" w:space="0" w:color="auto"/>
        <w:right w:val="none" w:sz="0" w:space="0" w:color="auto"/>
      </w:divBdr>
    </w:div>
    <w:div w:id="1980262045">
      <w:bodyDiv w:val="1"/>
      <w:marLeft w:val="0"/>
      <w:marRight w:val="0"/>
      <w:marTop w:val="0"/>
      <w:marBottom w:val="0"/>
      <w:divBdr>
        <w:top w:val="none" w:sz="0" w:space="0" w:color="auto"/>
        <w:left w:val="none" w:sz="0" w:space="0" w:color="auto"/>
        <w:bottom w:val="none" w:sz="0" w:space="0" w:color="auto"/>
        <w:right w:val="none" w:sz="0" w:space="0" w:color="auto"/>
      </w:divBdr>
    </w:div>
    <w:div w:id="1986857901">
      <w:bodyDiv w:val="1"/>
      <w:marLeft w:val="0"/>
      <w:marRight w:val="0"/>
      <w:marTop w:val="0"/>
      <w:marBottom w:val="0"/>
      <w:divBdr>
        <w:top w:val="none" w:sz="0" w:space="0" w:color="auto"/>
        <w:left w:val="none" w:sz="0" w:space="0" w:color="auto"/>
        <w:bottom w:val="none" w:sz="0" w:space="0" w:color="auto"/>
        <w:right w:val="none" w:sz="0" w:space="0" w:color="auto"/>
      </w:divBdr>
    </w:div>
    <w:div w:id="1999649704">
      <w:bodyDiv w:val="1"/>
      <w:marLeft w:val="0"/>
      <w:marRight w:val="0"/>
      <w:marTop w:val="0"/>
      <w:marBottom w:val="0"/>
      <w:divBdr>
        <w:top w:val="none" w:sz="0" w:space="0" w:color="auto"/>
        <w:left w:val="none" w:sz="0" w:space="0" w:color="auto"/>
        <w:bottom w:val="none" w:sz="0" w:space="0" w:color="auto"/>
        <w:right w:val="none" w:sz="0" w:space="0" w:color="auto"/>
      </w:divBdr>
    </w:div>
    <w:div w:id="2034915456">
      <w:bodyDiv w:val="1"/>
      <w:marLeft w:val="0"/>
      <w:marRight w:val="0"/>
      <w:marTop w:val="0"/>
      <w:marBottom w:val="0"/>
      <w:divBdr>
        <w:top w:val="none" w:sz="0" w:space="0" w:color="auto"/>
        <w:left w:val="none" w:sz="0" w:space="0" w:color="auto"/>
        <w:bottom w:val="none" w:sz="0" w:space="0" w:color="auto"/>
        <w:right w:val="none" w:sz="0" w:space="0" w:color="auto"/>
      </w:divBdr>
    </w:div>
    <w:div w:id="20682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D3745-D46F-4680-A568-B3E722420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5470</Words>
  <Characters>31179</Characters>
  <Application>Microsoft Office Word</Application>
  <DocSecurity>4</DocSecurity>
  <Lines>259</Lines>
  <Paragraphs>73</Paragraphs>
  <ScaleCrop>false</ScaleCrop>
  <HeadingPairs>
    <vt:vector size="2" baseType="variant">
      <vt:variant>
        <vt:lpstr>Title</vt:lpstr>
      </vt:variant>
      <vt:variant>
        <vt:i4>1</vt:i4>
      </vt:variant>
    </vt:vector>
  </HeadingPairs>
  <TitlesOfParts>
    <vt:vector size="1" baseType="lpstr">
      <vt:lpstr>_</vt:lpstr>
    </vt:vector>
  </TitlesOfParts>
  <Company>University of Jyväskylä</Company>
  <LinksUpToDate>false</LinksUpToDate>
  <CharactersWithSpaces>36576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Mikkola Tuija</dc:creator>
  <cp:lastModifiedBy>Karen Drake</cp:lastModifiedBy>
  <cp:revision>2</cp:revision>
  <cp:lastPrinted>2016-06-23T11:35:00Z</cp:lastPrinted>
  <dcterms:created xsi:type="dcterms:W3CDTF">2017-04-11T07:52:00Z</dcterms:created>
  <dcterms:modified xsi:type="dcterms:W3CDTF">2017-04-11T07:52:00Z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491</vt:lpwstr>
  </property>
  <property fmtid="{D5CDD505-2E9C-101B-9397-08002B2CF9AE}" pid="3" name="WnCSubscriberId">
    <vt:lpwstr>2195</vt:lpwstr>
  </property>
  <property fmtid="{D5CDD505-2E9C-101B-9397-08002B2CF9AE}" pid="4" name="WnCOutputStyleId">
    <vt:lpwstr>750</vt:lpwstr>
  </property>
  <property fmtid="{D5CDD505-2E9C-101B-9397-08002B2CF9AE}" pid="5" name="RWProductId">
    <vt:lpwstr>WnC</vt:lpwstr>
  </property>
  <property fmtid="{D5CDD505-2E9C-101B-9397-08002B2CF9AE}" pid="6" name="WnC4Folder">
    <vt:lpwstr/>
  </property>
</Properties>
</file>