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846788" w14:textId="77777777" w:rsidR="00CE6144" w:rsidRPr="00A9281B" w:rsidRDefault="005836C2" w:rsidP="00C534F4">
      <w:pPr>
        <w:rPr>
          <w:rFonts w:asciiTheme="majorBidi" w:hAnsiTheme="majorBidi" w:cstheme="majorBidi"/>
          <w:b/>
          <w:bCs/>
          <w:sz w:val="32"/>
          <w:szCs w:val="32"/>
        </w:rPr>
      </w:pPr>
      <w:r w:rsidRPr="00A9281B">
        <w:rPr>
          <w:rFonts w:asciiTheme="majorBidi" w:hAnsiTheme="majorBidi" w:cstheme="majorBidi"/>
          <w:b/>
          <w:bCs/>
          <w:sz w:val="32"/>
          <w:szCs w:val="32"/>
        </w:rPr>
        <w:t>Postgraduate student experiences: a multilevel approach of PTES data</w:t>
      </w:r>
    </w:p>
    <w:p w14:paraId="438486B3" w14:textId="77777777" w:rsidR="00CE6144" w:rsidRPr="00A9281B" w:rsidRDefault="00CE6144" w:rsidP="00CE6144">
      <w:pPr>
        <w:rPr>
          <w:rFonts w:asciiTheme="majorBidi" w:hAnsiTheme="majorBidi" w:cstheme="majorBidi"/>
        </w:rPr>
      </w:pPr>
    </w:p>
    <w:p w14:paraId="3475735F" w14:textId="77777777" w:rsidR="00CE6144" w:rsidRPr="00A9281B" w:rsidRDefault="00CE6144" w:rsidP="00CE6144">
      <w:pPr>
        <w:rPr>
          <w:rFonts w:asciiTheme="majorBidi" w:hAnsiTheme="majorBidi" w:cstheme="majorBidi"/>
        </w:rPr>
      </w:pPr>
    </w:p>
    <w:p w14:paraId="18D7E0F3" w14:textId="77777777" w:rsidR="00CE6144" w:rsidRPr="00A9281B" w:rsidRDefault="00CE6144" w:rsidP="005836C2">
      <w:pPr>
        <w:pStyle w:val="Heading2"/>
        <w:rPr>
          <w:rFonts w:asciiTheme="majorBidi" w:hAnsiTheme="majorBidi" w:cstheme="majorBidi"/>
          <w:sz w:val="22"/>
          <w:szCs w:val="22"/>
        </w:rPr>
      </w:pPr>
      <w:r w:rsidRPr="00A9281B">
        <w:rPr>
          <w:rFonts w:asciiTheme="majorBidi" w:hAnsiTheme="majorBidi" w:cstheme="majorBidi"/>
          <w:sz w:val="22"/>
          <w:szCs w:val="22"/>
        </w:rPr>
        <w:t>Introduction</w:t>
      </w:r>
    </w:p>
    <w:p w14:paraId="553C2E41" w14:textId="77777777" w:rsidR="00A9281B" w:rsidRPr="00A9281B" w:rsidRDefault="00A9281B" w:rsidP="00A9281B"/>
    <w:p w14:paraId="77131743" w14:textId="74366E1D" w:rsidR="003C12F3" w:rsidRPr="00A9281B" w:rsidRDefault="00CA1ECF" w:rsidP="00174F2C">
      <w:pPr>
        <w:rPr>
          <w:rFonts w:asciiTheme="majorBidi" w:hAnsiTheme="majorBidi" w:cstheme="majorBidi"/>
          <w:sz w:val="22"/>
          <w:szCs w:val="22"/>
        </w:rPr>
      </w:pPr>
      <w:r w:rsidRPr="00A9281B">
        <w:rPr>
          <w:rFonts w:asciiTheme="majorBidi" w:hAnsiTheme="majorBidi" w:cstheme="majorBidi"/>
          <w:sz w:val="22"/>
          <w:szCs w:val="22"/>
        </w:rPr>
        <w:t xml:space="preserve">There has been an increasing interest in student satisfaction and engagement recently, both in the UK and internationally. In part this is undoubtedly linked to the </w:t>
      </w:r>
      <w:r w:rsidR="00035751" w:rsidRPr="00A9281B">
        <w:rPr>
          <w:rFonts w:asciiTheme="majorBidi" w:hAnsiTheme="majorBidi" w:cstheme="majorBidi"/>
          <w:sz w:val="22"/>
          <w:szCs w:val="22"/>
        </w:rPr>
        <w:t>growing</w:t>
      </w:r>
      <w:r w:rsidRPr="00A9281B">
        <w:rPr>
          <w:rFonts w:asciiTheme="majorBidi" w:hAnsiTheme="majorBidi" w:cstheme="majorBidi"/>
          <w:sz w:val="22"/>
          <w:szCs w:val="22"/>
        </w:rPr>
        <w:t xml:space="preserve"> prevalence of tuition funded by students themselves, and its </w:t>
      </w:r>
      <w:r w:rsidR="00035751" w:rsidRPr="00A9281B">
        <w:rPr>
          <w:rFonts w:asciiTheme="majorBidi" w:hAnsiTheme="majorBidi" w:cstheme="majorBidi"/>
          <w:sz w:val="22"/>
          <w:szCs w:val="22"/>
        </w:rPr>
        <w:t>rising</w:t>
      </w:r>
      <w:r w:rsidRPr="00A9281B">
        <w:rPr>
          <w:rFonts w:asciiTheme="majorBidi" w:hAnsiTheme="majorBidi" w:cstheme="majorBidi"/>
          <w:sz w:val="22"/>
          <w:szCs w:val="22"/>
        </w:rPr>
        <w:t xml:space="preserve"> cost in HE systems such as the UK and the US. This has increasingly positioned students as consumers whose satisfaction is an important systemic and organisational outcome in itself (</w:t>
      </w:r>
      <w:r w:rsidR="005A0EE1" w:rsidRPr="00A9281B">
        <w:rPr>
          <w:rFonts w:asciiTheme="majorBidi" w:hAnsiTheme="majorBidi" w:cstheme="majorBidi"/>
          <w:sz w:val="22"/>
          <w:szCs w:val="22"/>
        </w:rPr>
        <w:t>Gruber et al, 2010).</w:t>
      </w:r>
      <w:r w:rsidRPr="00A9281B">
        <w:rPr>
          <w:rFonts w:asciiTheme="majorBidi" w:hAnsiTheme="majorBidi" w:cstheme="majorBidi"/>
          <w:sz w:val="22"/>
          <w:szCs w:val="22"/>
        </w:rPr>
        <w:t xml:space="preserve"> </w:t>
      </w:r>
      <w:r w:rsidR="005A0EE1" w:rsidRPr="00A9281B">
        <w:rPr>
          <w:rFonts w:asciiTheme="majorBidi" w:hAnsiTheme="majorBidi" w:cstheme="majorBidi"/>
          <w:sz w:val="22"/>
          <w:szCs w:val="22"/>
        </w:rPr>
        <w:t>In</w:t>
      </w:r>
      <w:r w:rsidRPr="00A9281B">
        <w:rPr>
          <w:rFonts w:asciiTheme="majorBidi" w:hAnsiTheme="majorBidi" w:cstheme="majorBidi"/>
          <w:sz w:val="22"/>
          <w:szCs w:val="22"/>
        </w:rPr>
        <w:t xml:space="preserve"> </w:t>
      </w:r>
      <w:r w:rsidR="008803D6" w:rsidRPr="00A9281B">
        <w:rPr>
          <w:rFonts w:asciiTheme="majorBidi" w:hAnsiTheme="majorBidi" w:cstheme="majorBidi"/>
          <w:sz w:val="22"/>
          <w:szCs w:val="22"/>
        </w:rPr>
        <w:t>addition</w:t>
      </w:r>
      <w:r w:rsidR="00035751" w:rsidRPr="00A9281B">
        <w:rPr>
          <w:rFonts w:asciiTheme="majorBidi" w:hAnsiTheme="majorBidi" w:cstheme="majorBidi"/>
          <w:sz w:val="22"/>
          <w:szCs w:val="22"/>
        </w:rPr>
        <w:t xml:space="preserve"> student satisfaction has</w:t>
      </w:r>
      <w:r w:rsidRPr="00A9281B">
        <w:rPr>
          <w:rFonts w:asciiTheme="majorBidi" w:hAnsiTheme="majorBidi" w:cstheme="majorBidi"/>
          <w:sz w:val="22"/>
          <w:szCs w:val="22"/>
        </w:rPr>
        <w:t xml:space="preserve"> been seen as a correlate </w:t>
      </w:r>
      <w:r w:rsidR="00035751" w:rsidRPr="00A9281B">
        <w:rPr>
          <w:rFonts w:asciiTheme="majorBidi" w:hAnsiTheme="majorBidi" w:cstheme="majorBidi"/>
          <w:sz w:val="22"/>
          <w:szCs w:val="22"/>
        </w:rPr>
        <w:t xml:space="preserve">of </w:t>
      </w:r>
      <w:r w:rsidRPr="00A9281B">
        <w:rPr>
          <w:rFonts w:asciiTheme="majorBidi" w:hAnsiTheme="majorBidi" w:cstheme="majorBidi"/>
          <w:sz w:val="22"/>
          <w:szCs w:val="22"/>
        </w:rPr>
        <w:t xml:space="preserve">or even </w:t>
      </w:r>
      <w:r w:rsidR="00035751" w:rsidRPr="00A9281B">
        <w:rPr>
          <w:rFonts w:asciiTheme="majorBidi" w:hAnsiTheme="majorBidi" w:cstheme="majorBidi"/>
          <w:sz w:val="22"/>
          <w:szCs w:val="22"/>
        </w:rPr>
        <w:t xml:space="preserve">as a </w:t>
      </w:r>
      <w:r w:rsidRPr="00A9281B">
        <w:rPr>
          <w:rFonts w:asciiTheme="majorBidi" w:hAnsiTheme="majorBidi" w:cstheme="majorBidi"/>
          <w:sz w:val="22"/>
          <w:szCs w:val="22"/>
        </w:rPr>
        <w:t>precursor to learning (Carini et al, 2006). This reposi</w:t>
      </w:r>
      <w:r w:rsidR="00035751" w:rsidRPr="00A9281B">
        <w:rPr>
          <w:rFonts w:asciiTheme="majorBidi" w:hAnsiTheme="majorBidi" w:cstheme="majorBidi"/>
          <w:sz w:val="22"/>
          <w:szCs w:val="22"/>
        </w:rPr>
        <w:t>tioning of students as consumers has been mirrored</w:t>
      </w:r>
      <w:r w:rsidRPr="00A9281B">
        <w:rPr>
          <w:rFonts w:asciiTheme="majorBidi" w:hAnsiTheme="majorBidi" w:cstheme="majorBidi"/>
          <w:sz w:val="22"/>
          <w:szCs w:val="22"/>
        </w:rPr>
        <w:t xml:space="preserve"> in HE accountability regimes where governments increasingly aim to measure ‘customer satisfaction’ in the HE sector they directly or indirectly (through loans for student tuition, for example) fund. In the UK, this has led to the introduction of student satisfaction surveys, the most well-know of which is the National Student Survey of </w:t>
      </w:r>
      <w:r w:rsidR="00035751" w:rsidRPr="00A9281B">
        <w:rPr>
          <w:rFonts w:asciiTheme="majorBidi" w:hAnsiTheme="majorBidi" w:cstheme="majorBidi"/>
          <w:sz w:val="22"/>
          <w:szCs w:val="22"/>
        </w:rPr>
        <w:t>final</w:t>
      </w:r>
      <w:r w:rsidRPr="00A9281B">
        <w:rPr>
          <w:rFonts w:asciiTheme="majorBidi" w:hAnsiTheme="majorBidi" w:cstheme="majorBidi"/>
          <w:sz w:val="22"/>
          <w:szCs w:val="22"/>
        </w:rPr>
        <w:t xml:space="preserve"> year undergraduates</w:t>
      </w:r>
      <w:r w:rsidR="000C5E64" w:rsidRPr="00A9281B">
        <w:rPr>
          <w:rFonts w:asciiTheme="majorBidi" w:hAnsiTheme="majorBidi" w:cstheme="majorBidi"/>
          <w:sz w:val="22"/>
          <w:szCs w:val="22"/>
        </w:rPr>
        <w:t xml:space="preserve">. </w:t>
      </w:r>
    </w:p>
    <w:p w14:paraId="1C0B81A5" w14:textId="77777777" w:rsidR="003C12F3" w:rsidRPr="00A9281B" w:rsidRDefault="003C12F3" w:rsidP="003C12F3">
      <w:pPr>
        <w:rPr>
          <w:rFonts w:asciiTheme="majorBidi" w:hAnsiTheme="majorBidi" w:cstheme="majorBidi"/>
          <w:sz w:val="22"/>
          <w:szCs w:val="22"/>
        </w:rPr>
      </w:pPr>
    </w:p>
    <w:p w14:paraId="6AAA8CE5" w14:textId="00B1974A" w:rsidR="00035751" w:rsidRPr="00A9281B" w:rsidRDefault="00035751" w:rsidP="003C12F3">
      <w:pPr>
        <w:rPr>
          <w:rFonts w:asciiTheme="majorBidi" w:hAnsiTheme="majorBidi" w:cstheme="majorBidi"/>
          <w:sz w:val="22"/>
          <w:szCs w:val="22"/>
        </w:rPr>
      </w:pPr>
      <w:r w:rsidRPr="00A9281B">
        <w:rPr>
          <w:rFonts w:asciiTheme="majorBidi" w:hAnsiTheme="majorBidi" w:cstheme="majorBidi"/>
          <w:sz w:val="22"/>
          <w:szCs w:val="22"/>
        </w:rPr>
        <w:t xml:space="preserve">In November 2015 a </w:t>
      </w:r>
      <w:r w:rsidR="00174F2C" w:rsidRPr="00A9281B">
        <w:rPr>
          <w:rFonts w:asciiTheme="majorBidi" w:hAnsiTheme="majorBidi" w:cstheme="majorBidi"/>
          <w:sz w:val="22"/>
          <w:szCs w:val="22"/>
        </w:rPr>
        <w:t>government consultation document (known as a ‘</w:t>
      </w:r>
      <w:r w:rsidRPr="00A9281B">
        <w:rPr>
          <w:rFonts w:asciiTheme="majorBidi" w:hAnsiTheme="majorBidi" w:cstheme="majorBidi"/>
          <w:sz w:val="22"/>
          <w:szCs w:val="22"/>
        </w:rPr>
        <w:t>Green Paper</w:t>
      </w:r>
      <w:r w:rsidR="00174F2C" w:rsidRPr="00A9281B">
        <w:rPr>
          <w:rFonts w:asciiTheme="majorBidi" w:hAnsiTheme="majorBidi" w:cstheme="majorBidi"/>
          <w:sz w:val="22"/>
          <w:szCs w:val="22"/>
        </w:rPr>
        <w:t>’)</w:t>
      </w:r>
      <w:r w:rsidRPr="00A9281B">
        <w:rPr>
          <w:rFonts w:asciiTheme="majorBidi" w:hAnsiTheme="majorBidi" w:cstheme="majorBidi"/>
          <w:sz w:val="22"/>
          <w:szCs w:val="22"/>
        </w:rPr>
        <w:t xml:space="preserve"> (DfE, 2015) was released</w:t>
      </w:r>
      <w:r w:rsidR="00174F2C" w:rsidRPr="00A9281B">
        <w:rPr>
          <w:rFonts w:asciiTheme="majorBidi" w:hAnsiTheme="majorBidi" w:cstheme="majorBidi"/>
          <w:sz w:val="22"/>
          <w:szCs w:val="22"/>
        </w:rPr>
        <w:t xml:space="preserve"> by the UK government</w:t>
      </w:r>
      <w:r w:rsidRPr="00A9281B">
        <w:rPr>
          <w:rFonts w:asciiTheme="majorBidi" w:hAnsiTheme="majorBidi" w:cstheme="majorBidi"/>
          <w:sz w:val="22"/>
          <w:szCs w:val="22"/>
        </w:rPr>
        <w:t xml:space="preserve"> that formulated proposals around:</w:t>
      </w:r>
    </w:p>
    <w:p w14:paraId="2BEC2168" w14:textId="77777777" w:rsidR="00035751" w:rsidRPr="00A9281B" w:rsidRDefault="00035751" w:rsidP="00035751">
      <w:pPr>
        <w:pStyle w:val="ListParagraph"/>
        <w:numPr>
          <w:ilvl w:val="0"/>
          <w:numId w:val="8"/>
        </w:numPr>
        <w:rPr>
          <w:rFonts w:asciiTheme="majorBidi" w:hAnsiTheme="majorBidi"/>
        </w:rPr>
      </w:pPr>
      <w:r w:rsidRPr="00A9281B">
        <w:rPr>
          <w:rFonts w:asciiTheme="majorBidi" w:hAnsiTheme="majorBidi"/>
        </w:rPr>
        <w:t>The introduction of a Teaching Excellence Framework that “will deliver better value for money for students, employers and taxpayers”;</w:t>
      </w:r>
    </w:p>
    <w:p w14:paraId="1CCA620F" w14:textId="7891C862" w:rsidR="00035751" w:rsidRPr="00A9281B" w:rsidRDefault="00035751" w:rsidP="00035751">
      <w:pPr>
        <w:pStyle w:val="ListParagraph"/>
        <w:numPr>
          <w:ilvl w:val="0"/>
          <w:numId w:val="8"/>
        </w:numPr>
        <w:rPr>
          <w:rFonts w:asciiTheme="majorBidi" w:hAnsiTheme="majorBidi"/>
        </w:rPr>
      </w:pPr>
      <w:r w:rsidRPr="00A9281B">
        <w:rPr>
          <w:rFonts w:asciiTheme="majorBidi" w:hAnsiTheme="majorBidi"/>
        </w:rPr>
        <w:t>Increasing access and success in higher education participation for those from disadvantaged and under-represented groups</w:t>
      </w:r>
      <w:r w:rsidR="00660B1C" w:rsidRPr="00A9281B">
        <w:rPr>
          <w:rFonts w:asciiTheme="majorBidi" w:hAnsiTheme="majorBidi"/>
        </w:rPr>
        <w:t>;</w:t>
      </w:r>
    </w:p>
    <w:p w14:paraId="515BC252" w14:textId="77777777" w:rsidR="00660B1C" w:rsidRPr="00A9281B" w:rsidRDefault="00035751" w:rsidP="00660B1C">
      <w:pPr>
        <w:pStyle w:val="ListParagraph"/>
        <w:numPr>
          <w:ilvl w:val="0"/>
          <w:numId w:val="8"/>
        </w:numPr>
        <w:rPr>
          <w:rFonts w:asciiTheme="majorBidi" w:hAnsiTheme="majorBidi"/>
        </w:rPr>
      </w:pPr>
      <w:r w:rsidRPr="00A9281B">
        <w:rPr>
          <w:rFonts w:asciiTheme="majorBidi" w:hAnsiTheme="majorBidi"/>
        </w:rPr>
        <w:t>Creating a new single gateway for entry and a common system for all providers</w:t>
      </w:r>
      <w:r w:rsidR="00660B1C" w:rsidRPr="00A9281B">
        <w:rPr>
          <w:rFonts w:asciiTheme="majorBidi" w:hAnsiTheme="majorBidi"/>
        </w:rPr>
        <w:t>; and</w:t>
      </w:r>
    </w:p>
    <w:p w14:paraId="4BCDE621" w14:textId="483AAA11" w:rsidR="00035751" w:rsidRPr="00A9281B" w:rsidRDefault="00660B1C" w:rsidP="00660B1C">
      <w:pPr>
        <w:pStyle w:val="ListParagraph"/>
        <w:numPr>
          <w:ilvl w:val="0"/>
          <w:numId w:val="8"/>
        </w:numPr>
        <w:rPr>
          <w:rFonts w:asciiTheme="majorBidi" w:hAnsiTheme="majorBidi"/>
        </w:rPr>
      </w:pPr>
      <w:r w:rsidRPr="00A9281B">
        <w:rPr>
          <w:rFonts w:asciiTheme="majorBidi" w:hAnsiTheme="majorBidi"/>
        </w:rPr>
        <w:t>E</w:t>
      </w:r>
      <w:r w:rsidR="00035751" w:rsidRPr="00A9281B">
        <w:rPr>
          <w:rFonts w:asciiTheme="majorBidi" w:hAnsiTheme="majorBidi"/>
        </w:rPr>
        <w:t>stablishing a new Office for Students to promote the student interest and ensure value for money, and to reduce the regulatory burden on the sector</w:t>
      </w:r>
    </w:p>
    <w:p w14:paraId="716670B6" w14:textId="36933EB1" w:rsidR="00043B78" w:rsidRPr="00A9281B" w:rsidRDefault="00035751" w:rsidP="00043B78">
      <w:pPr>
        <w:rPr>
          <w:rFonts w:asciiTheme="majorBidi" w:hAnsiTheme="majorBidi" w:cstheme="majorBidi"/>
          <w:sz w:val="22"/>
          <w:szCs w:val="22"/>
        </w:rPr>
      </w:pPr>
      <w:r w:rsidRPr="00A9281B">
        <w:rPr>
          <w:rFonts w:asciiTheme="majorBidi" w:hAnsiTheme="majorBidi" w:cstheme="majorBidi"/>
          <w:sz w:val="22"/>
          <w:szCs w:val="22"/>
        </w:rPr>
        <w:t>Student</w:t>
      </w:r>
      <w:r w:rsidR="000C5E64" w:rsidRPr="00A9281B">
        <w:rPr>
          <w:rFonts w:asciiTheme="majorBidi" w:hAnsiTheme="majorBidi" w:cstheme="majorBidi"/>
          <w:sz w:val="22"/>
          <w:szCs w:val="22"/>
        </w:rPr>
        <w:t xml:space="preserve"> </w:t>
      </w:r>
      <w:r w:rsidRPr="00A9281B">
        <w:rPr>
          <w:rFonts w:asciiTheme="majorBidi" w:hAnsiTheme="majorBidi" w:cstheme="majorBidi"/>
          <w:sz w:val="22"/>
          <w:szCs w:val="22"/>
        </w:rPr>
        <w:t>s</w:t>
      </w:r>
      <w:r w:rsidR="000C5E64" w:rsidRPr="00A9281B">
        <w:rPr>
          <w:rFonts w:asciiTheme="majorBidi" w:hAnsiTheme="majorBidi" w:cstheme="majorBidi"/>
          <w:sz w:val="22"/>
          <w:szCs w:val="22"/>
        </w:rPr>
        <w:t>atisfaction</w:t>
      </w:r>
      <w:r w:rsidRPr="00A9281B">
        <w:rPr>
          <w:rFonts w:asciiTheme="majorBidi" w:hAnsiTheme="majorBidi" w:cstheme="majorBidi"/>
          <w:sz w:val="22"/>
          <w:szCs w:val="22"/>
        </w:rPr>
        <w:t xml:space="preserve"> play</w:t>
      </w:r>
      <w:r w:rsidR="000C5E64" w:rsidRPr="00A9281B">
        <w:rPr>
          <w:rFonts w:asciiTheme="majorBidi" w:hAnsiTheme="majorBidi" w:cstheme="majorBidi"/>
          <w:sz w:val="22"/>
          <w:szCs w:val="22"/>
        </w:rPr>
        <w:t>s</w:t>
      </w:r>
      <w:r w:rsidRPr="00A9281B">
        <w:rPr>
          <w:rFonts w:asciiTheme="majorBidi" w:hAnsiTheme="majorBidi" w:cstheme="majorBidi"/>
          <w:sz w:val="22"/>
          <w:szCs w:val="22"/>
        </w:rPr>
        <w:t xml:space="preserve"> a key role in the proposals. Point 12 in the Introduction and Executive Summary of the Green Paper describes it thus: “Course quality, teaching intensity and contact hours are all examples of information that are relevant to students.  Information from the National Student Survey (NSS) (involving around 300,000 final-year undergraduates each year since 2004) and the annual, Higher Education Policy Institute surveys (undertaken with Higher Education Academy in 2015), gives some insight.” (p. 11). </w:t>
      </w:r>
      <w:r w:rsidR="00043B78" w:rsidRPr="00A9281B">
        <w:rPr>
          <w:rFonts w:asciiTheme="majorBidi" w:hAnsiTheme="majorBidi" w:cstheme="majorBidi"/>
          <w:sz w:val="22"/>
          <w:szCs w:val="22"/>
        </w:rPr>
        <w:t xml:space="preserve">This growing role of student satisfaction in both accountability measures and various university league tables of course supposes that HEI’s themselves </w:t>
      </w:r>
      <w:r w:rsidR="00570F32" w:rsidRPr="00A9281B">
        <w:rPr>
          <w:rFonts w:asciiTheme="majorBidi" w:hAnsiTheme="majorBidi" w:cstheme="majorBidi"/>
          <w:sz w:val="22"/>
          <w:szCs w:val="22"/>
        </w:rPr>
        <w:t>are key influencers of student satisfaction, which is not necessarily borne out by the evidence (Marsh &amp; Cheng, 2008).</w:t>
      </w:r>
      <w:r w:rsidR="00043B78" w:rsidRPr="00A9281B">
        <w:rPr>
          <w:rFonts w:asciiTheme="majorBidi" w:hAnsiTheme="majorBidi" w:cstheme="majorBidi"/>
          <w:sz w:val="22"/>
          <w:szCs w:val="22"/>
        </w:rPr>
        <w:t xml:space="preserve"> </w:t>
      </w:r>
    </w:p>
    <w:p w14:paraId="2E8EF9A5" w14:textId="77777777" w:rsidR="00043B78" w:rsidRPr="00A9281B" w:rsidRDefault="00043B78" w:rsidP="00035751">
      <w:pPr>
        <w:rPr>
          <w:rFonts w:asciiTheme="majorBidi" w:hAnsiTheme="majorBidi" w:cstheme="majorBidi"/>
          <w:sz w:val="22"/>
          <w:szCs w:val="22"/>
        </w:rPr>
      </w:pPr>
    </w:p>
    <w:p w14:paraId="3502661E" w14:textId="176AB94A" w:rsidR="00035751" w:rsidRDefault="00035751" w:rsidP="003C12F3">
      <w:pPr>
        <w:rPr>
          <w:rFonts w:asciiTheme="majorBidi" w:hAnsiTheme="majorBidi" w:cstheme="majorBidi"/>
          <w:sz w:val="22"/>
          <w:szCs w:val="22"/>
        </w:rPr>
      </w:pPr>
      <w:r w:rsidRPr="00A9281B">
        <w:rPr>
          <w:rFonts w:asciiTheme="majorBidi" w:hAnsiTheme="majorBidi" w:cstheme="majorBidi"/>
          <w:sz w:val="22"/>
          <w:szCs w:val="22"/>
        </w:rPr>
        <w:t>Given the</w:t>
      </w:r>
      <w:r w:rsidR="00570F32" w:rsidRPr="00A9281B">
        <w:rPr>
          <w:rFonts w:asciiTheme="majorBidi" w:hAnsiTheme="majorBidi" w:cstheme="majorBidi"/>
          <w:sz w:val="22"/>
          <w:szCs w:val="22"/>
        </w:rPr>
        <w:t>se issues</w:t>
      </w:r>
      <w:r w:rsidRPr="00A9281B">
        <w:rPr>
          <w:rFonts w:asciiTheme="majorBidi" w:hAnsiTheme="majorBidi" w:cstheme="majorBidi"/>
          <w:sz w:val="22"/>
          <w:szCs w:val="22"/>
        </w:rPr>
        <w:t xml:space="preserve"> </w:t>
      </w:r>
      <w:r w:rsidR="003C12F3" w:rsidRPr="00A9281B">
        <w:rPr>
          <w:rFonts w:asciiTheme="majorBidi" w:hAnsiTheme="majorBidi" w:cstheme="majorBidi"/>
          <w:sz w:val="22"/>
          <w:szCs w:val="22"/>
        </w:rPr>
        <w:t xml:space="preserve">in the </w:t>
      </w:r>
      <w:r w:rsidRPr="00A9281B">
        <w:rPr>
          <w:rFonts w:asciiTheme="majorBidi" w:hAnsiTheme="majorBidi" w:cstheme="majorBidi"/>
          <w:sz w:val="22"/>
          <w:szCs w:val="22"/>
        </w:rPr>
        <w:t>changing landscape of HE it seems pertinent to look more closely at the way students perceive HE in the UK</w:t>
      </w:r>
      <w:r w:rsidR="007508CE" w:rsidRPr="00A9281B">
        <w:rPr>
          <w:rFonts w:asciiTheme="majorBidi" w:hAnsiTheme="majorBidi" w:cstheme="majorBidi"/>
          <w:sz w:val="22"/>
          <w:szCs w:val="22"/>
        </w:rPr>
        <w:t>, not just in terms of the widely publicised undergraduate measures, but also in the less widely studied but no less important postgraduate sector. Postgraduate taught education has benefits to the individual in terms of income and employment, and to society in terms of the development of analytical thinking, problem solving, and specialised skills (Universities UK, 2014). The total number of postgraduate taught students in the U</w:t>
      </w:r>
      <w:r w:rsidR="003C12F3" w:rsidRPr="00A9281B">
        <w:rPr>
          <w:rFonts w:asciiTheme="majorBidi" w:hAnsiTheme="majorBidi" w:cstheme="majorBidi"/>
          <w:sz w:val="22"/>
          <w:szCs w:val="22"/>
        </w:rPr>
        <w:t>K</w:t>
      </w:r>
      <w:r w:rsidR="007508CE" w:rsidRPr="00A9281B">
        <w:rPr>
          <w:rFonts w:asciiTheme="majorBidi" w:hAnsiTheme="majorBidi" w:cstheme="majorBidi"/>
          <w:sz w:val="22"/>
          <w:szCs w:val="22"/>
        </w:rPr>
        <w:t xml:space="preserve"> number</w:t>
      </w:r>
      <w:r w:rsidR="00043B78" w:rsidRPr="00A9281B">
        <w:rPr>
          <w:rFonts w:asciiTheme="majorBidi" w:hAnsiTheme="majorBidi" w:cstheme="majorBidi"/>
          <w:sz w:val="22"/>
          <w:szCs w:val="22"/>
        </w:rPr>
        <w:t>ed</w:t>
      </w:r>
      <w:r w:rsidR="007508CE" w:rsidRPr="00A9281B">
        <w:rPr>
          <w:rFonts w:asciiTheme="majorBidi" w:hAnsiTheme="majorBidi" w:cstheme="majorBidi"/>
          <w:sz w:val="22"/>
          <w:szCs w:val="22"/>
        </w:rPr>
        <w:t xml:space="preserve"> over 420.000, though this represents a significant decrease since the high point of PGT student recruitment in 2011 when over 480.000 PGT students studie</w:t>
      </w:r>
      <w:r w:rsidR="00043B78" w:rsidRPr="00A9281B">
        <w:rPr>
          <w:rFonts w:asciiTheme="majorBidi" w:hAnsiTheme="majorBidi" w:cstheme="majorBidi"/>
          <w:sz w:val="22"/>
          <w:szCs w:val="22"/>
        </w:rPr>
        <w:t>d</w:t>
      </w:r>
      <w:r w:rsidR="007508CE" w:rsidRPr="00A9281B">
        <w:rPr>
          <w:rFonts w:asciiTheme="majorBidi" w:hAnsiTheme="majorBidi" w:cstheme="majorBidi"/>
          <w:sz w:val="22"/>
          <w:szCs w:val="22"/>
        </w:rPr>
        <w:t xml:space="preserve"> at UK universities. </w:t>
      </w:r>
      <w:r w:rsidR="00043B78" w:rsidRPr="00A9281B">
        <w:rPr>
          <w:rFonts w:asciiTheme="majorBidi" w:hAnsiTheme="majorBidi" w:cstheme="majorBidi"/>
          <w:sz w:val="22"/>
          <w:szCs w:val="22"/>
        </w:rPr>
        <w:t>This makes</w:t>
      </w:r>
      <w:r w:rsidR="007508CE" w:rsidRPr="00A9281B">
        <w:rPr>
          <w:rFonts w:asciiTheme="majorBidi" w:hAnsiTheme="majorBidi" w:cstheme="majorBidi"/>
          <w:sz w:val="22"/>
          <w:szCs w:val="22"/>
        </w:rPr>
        <w:t xml:space="preserve"> </w:t>
      </w:r>
      <w:r w:rsidR="00043B78" w:rsidRPr="00A9281B">
        <w:rPr>
          <w:rFonts w:asciiTheme="majorBidi" w:hAnsiTheme="majorBidi" w:cstheme="majorBidi"/>
          <w:sz w:val="22"/>
          <w:szCs w:val="22"/>
        </w:rPr>
        <w:t>the study of student satisfaction among postgraduate taught students timely. To this end, this paper looks at data from t</w:t>
      </w:r>
      <w:r w:rsidRPr="00A9281B">
        <w:rPr>
          <w:rFonts w:asciiTheme="majorBidi" w:hAnsiTheme="majorBidi" w:cstheme="majorBidi"/>
          <w:sz w:val="22"/>
          <w:szCs w:val="22"/>
        </w:rPr>
        <w:t>he Postgraduate Taught St</w:t>
      </w:r>
      <w:r w:rsidR="00043B78" w:rsidRPr="00A9281B">
        <w:rPr>
          <w:rFonts w:asciiTheme="majorBidi" w:hAnsiTheme="majorBidi" w:cstheme="majorBidi"/>
          <w:sz w:val="22"/>
          <w:szCs w:val="22"/>
        </w:rPr>
        <w:t>udent Experience Survey (PTES),</w:t>
      </w:r>
      <w:r w:rsidRPr="00A9281B">
        <w:rPr>
          <w:rFonts w:asciiTheme="majorBidi" w:hAnsiTheme="majorBidi" w:cstheme="majorBidi"/>
          <w:sz w:val="22"/>
          <w:szCs w:val="22"/>
        </w:rPr>
        <w:t xml:space="preserve"> a national survey of PGT student satisfaction, in which 100 HEI’s and almost 70000 students particip</w:t>
      </w:r>
      <w:r w:rsidR="00660B1C" w:rsidRPr="00A9281B">
        <w:rPr>
          <w:rFonts w:asciiTheme="majorBidi" w:hAnsiTheme="majorBidi" w:cstheme="majorBidi"/>
          <w:sz w:val="22"/>
          <w:szCs w:val="22"/>
        </w:rPr>
        <w:t>ated in the most recent (2015) wave</w:t>
      </w:r>
      <w:r w:rsidRPr="00A9281B">
        <w:rPr>
          <w:rFonts w:asciiTheme="majorBidi" w:hAnsiTheme="majorBidi" w:cstheme="majorBidi"/>
          <w:sz w:val="22"/>
          <w:szCs w:val="22"/>
        </w:rPr>
        <w:t>.</w:t>
      </w:r>
    </w:p>
    <w:p w14:paraId="77947C96" w14:textId="77777777" w:rsidR="00A9281B" w:rsidRPr="00A9281B" w:rsidRDefault="00A9281B" w:rsidP="003C12F3">
      <w:pPr>
        <w:rPr>
          <w:rFonts w:asciiTheme="majorBidi" w:hAnsiTheme="majorBidi" w:cstheme="majorBidi"/>
          <w:sz w:val="22"/>
          <w:szCs w:val="22"/>
        </w:rPr>
      </w:pPr>
    </w:p>
    <w:p w14:paraId="3814567B" w14:textId="77777777" w:rsidR="00035751" w:rsidRDefault="00035751" w:rsidP="00035751">
      <w:pPr>
        <w:rPr>
          <w:rFonts w:asciiTheme="majorBidi" w:hAnsiTheme="majorBidi" w:cstheme="majorBidi"/>
          <w:sz w:val="22"/>
          <w:szCs w:val="22"/>
        </w:rPr>
      </w:pPr>
    </w:p>
    <w:p w14:paraId="10F6FDD5" w14:textId="77777777" w:rsidR="00A9281B" w:rsidRDefault="00A9281B" w:rsidP="00035751">
      <w:pPr>
        <w:rPr>
          <w:rFonts w:asciiTheme="majorBidi" w:hAnsiTheme="majorBidi" w:cstheme="majorBidi"/>
          <w:sz w:val="22"/>
          <w:szCs w:val="22"/>
        </w:rPr>
      </w:pPr>
    </w:p>
    <w:p w14:paraId="6E748441" w14:textId="77777777" w:rsidR="00A9281B" w:rsidRDefault="00A9281B" w:rsidP="00035751">
      <w:pPr>
        <w:rPr>
          <w:rFonts w:asciiTheme="majorBidi" w:hAnsiTheme="majorBidi" w:cstheme="majorBidi"/>
          <w:sz w:val="22"/>
          <w:szCs w:val="22"/>
        </w:rPr>
      </w:pPr>
    </w:p>
    <w:p w14:paraId="0702B471" w14:textId="77777777" w:rsidR="00A9281B" w:rsidRPr="00A9281B" w:rsidRDefault="00A9281B" w:rsidP="00035751">
      <w:pPr>
        <w:rPr>
          <w:rFonts w:asciiTheme="majorBidi" w:hAnsiTheme="majorBidi" w:cstheme="majorBidi"/>
          <w:sz w:val="22"/>
          <w:szCs w:val="22"/>
        </w:rPr>
      </w:pPr>
    </w:p>
    <w:p w14:paraId="08EC3BFA" w14:textId="4BA9CC62" w:rsidR="00CA1ECF" w:rsidRPr="00A9281B" w:rsidRDefault="00570F32" w:rsidP="003C12F3">
      <w:pPr>
        <w:pStyle w:val="Heading3"/>
        <w:rPr>
          <w:rFonts w:asciiTheme="majorBidi" w:hAnsiTheme="majorBidi" w:cstheme="majorBidi"/>
          <w:sz w:val="22"/>
          <w:szCs w:val="22"/>
        </w:rPr>
      </w:pPr>
      <w:r w:rsidRPr="00A9281B">
        <w:rPr>
          <w:rFonts w:asciiTheme="majorBidi" w:hAnsiTheme="majorBidi" w:cstheme="majorBidi"/>
          <w:sz w:val="22"/>
          <w:szCs w:val="22"/>
        </w:rPr>
        <w:lastRenderedPageBreak/>
        <w:t xml:space="preserve">Defining student satisfaction </w:t>
      </w:r>
    </w:p>
    <w:p w14:paraId="00C74451" w14:textId="77777777" w:rsidR="00A9281B" w:rsidRPr="00A9281B" w:rsidRDefault="00A9281B" w:rsidP="00A9281B"/>
    <w:p w14:paraId="1A615CE6" w14:textId="2DEDB2B6" w:rsidR="004552BC" w:rsidRPr="00A9281B" w:rsidRDefault="00CA1ECF" w:rsidP="00CA1ECF">
      <w:pPr>
        <w:rPr>
          <w:rFonts w:asciiTheme="majorBidi" w:hAnsiTheme="majorBidi" w:cstheme="majorBidi"/>
          <w:sz w:val="22"/>
          <w:szCs w:val="22"/>
        </w:rPr>
      </w:pPr>
      <w:r w:rsidRPr="00A9281B">
        <w:rPr>
          <w:rFonts w:asciiTheme="majorBidi" w:hAnsiTheme="majorBidi" w:cstheme="majorBidi"/>
          <w:sz w:val="22"/>
          <w:szCs w:val="22"/>
        </w:rPr>
        <w:t xml:space="preserve">Student satisfaction is a concept ultimately derived from business marketing, </w:t>
      </w:r>
      <w:r w:rsidR="001E3F48" w:rsidRPr="00A9281B">
        <w:rPr>
          <w:rFonts w:asciiTheme="majorBidi" w:hAnsiTheme="majorBidi" w:cstheme="majorBidi"/>
          <w:sz w:val="22"/>
          <w:szCs w:val="22"/>
        </w:rPr>
        <w:t>and it is</w:t>
      </w:r>
      <w:r w:rsidRPr="00A9281B">
        <w:rPr>
          <w:rFonts w:asciiTheme="majorBidi" w:hAnsiTheme="majorBidi" w:cstheme="majorBidi"/>
          <w:sz w:val="22"/>
          <w:szCs w:val="22"/>
        </w:rPr>
        <w:t xml:space="preserve"> often seen as poorly articulated in HE (Garcia-Aracil, 2009). A commonly used definition in the field is that of Elliott and Shin (2002, p. 198), who define student satisfaction as “the favourability of a student’s subjective evaluation of the various outcomes and experiences associated with education. Student satisfaction is being shaped continually by repeated experiences in campus life”. Most commonly in this perspective, universities are seen as service providers, with satisfaction hypothesised to be both a cognitive and affective process,</w:t>
      </w:r>
      <w:r w:rsidR="004552BC" w:rsidRPr="00A9281B">
        <w:rPr>
          <w:rFonts w:asciiTheme="majorBidi" w:hAnsiTheme="majorBidi" w:cstheme="majorBidi"/>
          <w:sz w:val="22"/>
          <w:szCs w:val="22"/>
        </w:rPr>
        <w:t xml:space="preserve"> and derived to a large extent b</w:t>
      </w:r>
      <w:r w:rsidRPr="00A9281B">
        <w:rPr>
          <w:rFonts w:asciiTheme="majorBidi" w:hAnsiTheme="majorBidi" w:cstheme="majorBidi"/>
          <w:sz w:val="22"/>
          <w:szCs w:val="22"/>
        </w:rPr>
        <w:t>ut not e</w:t>
      </w:r>
      <w:r w:rsidR="001E3F48" w:rsidRPr="00A9281B">
        <w:rPr>
          <w:rFonts w:asciiTheme="majorBidi" w:hAnsiTheme="majorBidi" w:cstheme="majorBidi"/>
          <w:sz w:val="22"/>
          <w:szCs w:val="22"/>
        </w:rPr>
        <w:t>xclusively from service quality. Service quality</w:t>
      </w:r>
      <w:r w:rsidRPr="00A9281B">
        <w:rPr>
          <w:rFonts w:asciiTheme="majorBidi" w:hAnsiTheme="majorBidi" w:cstheme="majorBidi"/>
          <w:sz w:val="22"/>
          <w:szCs w:val="22"/>
        </w:rPr>
        <w:t xml:space="preserve"> in HE </w:t>
      </w:r>
      <w:r w:rsidR="001E3F48" w:rsidRPr="00A9281B">
        <w:rPr>
          <w:rFonts w:asciiTheme="majorBidi" w:hAnsiTheme="majorBidi" w:cstheme="majorBidi"/>
          <w:sz w:val="22"/>
          <w:szCs w:val="22"/>
        </w:rPr>
        <w:t xml:space="preserve">is in turn </w:t>
      </w:r>
      <w:r w:rsidRPr="00A9281B">
        <w:rPr>
          <w:rFonts w:asciiTheme="majorBidi" w:hAnsiTheme="majorBidi" w:cstheme="majorBidi"/>
          <w:sz w:val="22"/>
          <w:szCs w:val="22"/>
        </w:rPr>
        <w:t xml:space="preserve">typically </w:t>
      </w:r>
      <w:r w:rsidR="004552BC" w:rsidRPr="00A9281B">
        <w:rPr>
          <w:rFonts w:asciiTheme="majorBidi" w:hAnsiTheme="majorBidi" w:cstheme="majorBidi"/>
          <w:sz w:val="22"/>
          <w:szCs w:val="22"/>
        </w:rPr>
        <w:t xml:space="preserve">derived </w:t>
      </w:r>
      <w:r w:rsidRPr="00A9281B">
        <w:rPr>
          <w:rFonts w:asciiTheme="majorBidi" w:hAnsiTheme="majorBidi" w:cstheme="majorBidi"/>
          <w:sz w:val="22"/>
          <w:szCs w:val="22"/>
        </w:rPr>
        <w:t>from factors such as quality of teaching, facilities, social aspects and work experience (Clemes et al</w:t>
      </w:r>
      <w:r w:rsidR="003C12F3" w:rsidRPr="00A9281B">
        <w:rPr>
          <w:rFonts w:asciiTheme="majorBidi" w:hAnsiTheme="majorBidi" w:cstheme="majorBidi"/>
          <w:sz w:val="22"/>
          <w:szCs w:val="22"/>
        </w:rPr>
        <w:t>.</w:t>
      </w:r>
      <w:r w:rsidRPr="00A9281B">
        <w:rPr>
          <w:rFonts w:asciiTheme="majorBidi" w:hAnsiTheme="majorBidi" w:cstheme="majorBidi"/>
          <w:sz w:val="22"/>
          <w:szCs w:val="22"/>
        </w:rPr>
        <w:t xml:space="preserve">, 2008). Other factors that may influence satisfaction are price, convenience and availability, though these are </w:t>
      </w:r>
      <w:r w:rsidR="001E3F48" w:rsidRPr="00A9281B">
        <w:rPr>
          <w:rFonts w:asciiTheme="majorBidi" w:hAnsiTheme="majorBidi" w:cstheme="majorBidi"/>
          <w:sz w:val="22"/>
          <w:szCs w:val="22"/>
        </w:rPr>
        <w:t>often</w:t>
      </w:r>
      <w:r w:rsidRPr="00A9281B">
        <w:rPr>
          <w:rFonts w:asciiTheme="majorBidi" w:hAnsiTheme="majorBidi" w:cstheme="majorBidi"/>
          <w:sz w:val="22"/>
          <w:szCs w:val="22"/>
        </w:rPr>
        <w:t xml:space="preserve"> not as clearly differentiated in HE as in other service industries. </w:t>
      </w:r>
      <w:r w:rsidR="00352E7B" w:rsidRPr="00A9281B">
        <w:rPr>
          <w:rFonts w:asciiTheme="majorBidi" w:hAnsiTheme="majorBidi" w:cstheme="majorBidi"/>
          <w:sz w:val="22"/>
          <w:szCs w:val="22"/>
        </w:rPr>
        <w:t xml:space="preserve">Satisfaction is seen as important in service industries, and in HE in particular has been found to be related to factors such as continuing at the university, recommending the university to other (potential) students, and retention on programmes (Douglass et al, 2014; Cownie, 2014). US studies point to a significant relationship between student ratings of their teaching and their grades, though the direction of causality is brought into question by the finding that this relationship is stronger when students already know their final grade (Richardson, 2005). </w:t>
      </w:r>
    </w:p>
    <w:p w14:paraId="55BDAD78" w14:textId="68B4C5BC" w:rsidR="00C52603" w:rsidRPr="00A9281B" w:rsidRDefault="00C52603" w:rsidP="00CA1ECF">
      <w:pPr>
        <w:rPr>
          <w:rFonts w:asciiTheme="majorBidi" w:hAnsiTheme="majorBidi" w:cstheme="majorBidi"/>
          <w:sz w:val="22"/>
          <w:szCs w:val="22"/>
        </w:rPr>
      </w:pPr>
    </w:p>
    <w:p w14:paraId="2AB20F18" w14:textId="0979AC88" w:rsidR="0058642B" w:rsidRPr="00A9281B" w:rsidRDefault="00C52603" w:rsidP="00985E04">
      <w:pPr>
        <w:rPr>
          <w:rFonts w:asciiTheme="majorBidi" w:hAnsiTheme="majorBidi" w:cstheme="majorBidi"/>
          <w:sz w:val="22"/>
          <w:szCs w:val="22"/>
        </w:rPr>
      </w:pPr>
      <w:r w:rsidRPr="00A9281B">
        <w:rPr>
          <w:rFonts w:asciiTheme="majorBidi" w:hAnsiTheme="majorBidi" w:cstheme="majorBidi"/>
          <w:sz w:val="22"/>
          <w:szCs w:val="22"/>
        </w:rPr>
        <w:t xml:space="preserve">Satisfaction is seen as a multifaceted construct </w:t>
      </w:r>
      <w:r w:rsidR="00B865A5" w:rsidRPr="00A9281B">
        <w:rPr>
          <w:rFonts w:asciiTheme="majorBidi" w:hAnsiTheme="majorBidi" w:cstheme="majorBidi"/>
          <w:sz w:val="22"/>
          <w:szCs w:val="22"/>
        </w:rPr>
        <w:t>in the business literature, and this perspective has carried over into the study of student satisfaction</w:t>
      </w:r>
      <w:r w:rsidR="001E3F48" w:rsidRPr="00A9281B">
        <w:rPr>
          <w:rFonts w:asciiTheme="majorBidi" w:hAnsiTheme="majorBidi" w:cstheme="majorBidi"/>
          <w:sz w:val="22"/>
          <w:szCs w:val="22"/>
        </w:rPr>
        <w:t xml:space="preserve"> w</w:t>
      </w:r>
      <w:r w:rsidR="004B739A" w:rsidRPr="00A9281B">
        <w:rPr>
          <w:rFonts w:asciiTheme="majorBidi" w:hAnsiTheme="majorBidi" w:cstheme="majorBidi"/>
          <w:sz w:val="22"/>
          <w:szCs w:val="22"/>
        </w:rPr>
        <w:t>here student satisfaction is seen as reflecting the variety of services experienced</w:t>
      </w:r>
      <w:r w:rsidR="001E3F48" w:rsidRPr="00A9281B">
        <w:rPr>
          <w:rFonts w:asciiTheme="majorBidi" w:hAnsiTheme="majorBidi" w:cstheme="majorBidi"/>
          <w:sz w:val="22"/>
          <w:szCs w:val="22"/>
        </w:rPr>
        <w:t xml:space="preserve"> (Gruber et al, 2010).</w:t>
      </w:r>
      <w:r w:rsidR="00B865A5" w:rsidRPr="00A9281B">
        <w:rPr>
          <w:rFonts w:asciiTheme="majorBidi" w:hAnsiTheme="majorBidi" w:cstheme="majorBidi"/>
          <w:sz w:val="22"/>
          <w:szCs w:val="22"/>
        </w:rPr>
        <w:t xml:space="preserve"> </w:t>
      </w:r>
      <w:r w:rsidR="004B739A" w:rsidRPr="00A9281B">
        <w:rPr>
          <w:rFonts w:asciiTheme="majorBidi" w:hAnsiTheme="majorBidi" w:cstheme="majorBidi"/>
          <w:sz w:val="22"/>
          <w:szCs w:val="22"/>
        </w:rPr>
        <w:t>Wiers-Jensen et al (2002), for example, see student satisfaction as enc</w:t>
      </w:r>
      <w:r w:rsidR="001E3F48" w:rsidRPr="00A9281B">
        <w:rPr>
          <w:rFonts w:asciiTheme="majorBidi" w:hAnsiTheme="majorBidi" w:cstheme="majorBidi"/>
          <w:sz w:val="22"/>
          <w:szCs w:val="22"/>
        </w:rPr>
        <w:t>ompassing several subcategories</w:t>
      </w:r>
      <w:r w:rsidR="004B739A" w:rsidRPr="00A9281B">
        <w:rPr>
          <w:rFonts w:asciiTheme="majorBidi" w:hAnsiTheme="majorBidi" w:cstheme="majorBidi"/>
          <w:sz w:val="22"/>
          <w:szCs w:val="22"/>
        </w:rPr>
        <w:t xml:space="preserve"> including quality of tea</w:t>
      </w:r>
      <w:r w:rsidR="001E3F48" w:rsidRPr="00A9281B">
        <w:rPr>
          <w:rFonts w:asciiTheme="majorBidi" w:hAnsiTheme="majorBidi" w:cstheme="majorBidi"/>
          <w:sz w:val="22"/>
          <w:szCs w:val="22"/>
        </w:rPr>
        <w:t>ching, quality of supervision,</w:t>
      </w:r>
      <w:r w:rsidR="004B739A" w:rsidRPr="00A9281B">
        <w:rPr>
          <w:rFonts w:asciiTheme="majorBidi" w:hAnsiTheme="majorBidi" w:cstheme="majorBidi"/>
          <w:sz w:val="22"/>
          <w:szCs w:val="22"/>
        </w:rPr>
        <w:t xml:space="preserve"> cont</w:t>
      </w:r>
      <w:r w:rsidR="001E3F48" w:rsidRPr="00A9281B">
        <w:rPr>
          <w:rFonts w:asciiTheme="majorBidi" w:hAnsiTheme="majorBidi" w:cstheme="majorBidi"/>
          <w:sz w:val="22"/>
          <w:szCs w:val="22"/>
        </w:rPr>
        <w:t>ent and relevance of curriculum,</w:t>
      </w:r>
      <w:r w:rsidR="004B739A" w:rsidRPr="00A9281B">
        <w:rPr>
          <w:rFonts w:asciiTheme="majorBidi" w:hAnsiTheme="majorBidi" w:cstheme="majorBidi"/>
          <w:sz w:val="22"/>
          <w:szCs w:val="22"/>
        </w:rPr>
        <w:t xml:space="preserve"> balance be</w:t>
      </w:r>
      <w:r w:rsidR="001E3F48" w:rsidRPr="00A9281B">
        <w:rPr>
          <w:rFonts w:asciiTheme="majorBidi" w:hAnsiTheme="majorBidi" w:cstheme="majorBidi"/>
          <w:sz w:val="22"/>
          <w:szCs w:val="22"/>
        </w:rPr>
        <w:t xml:space="preserve">tween teaching and self-tuition, </w:t>
      </w:r>
      <w:r w:rsidR="004B739A" w:rsidRPr="00A9281B">
        <w:rPr>
          <w:rFonts w:asciiTheme="majorBidi" w:hAnsiTheme="majorBidi" w:cstheme="majorBidi"/>
          <w:sz w:val="22"/>
          <w:szCs w:val="22"/>
        </w:rPr>
        <w:t>quality of support facilities</w:t>
      </w:r>
      <w:r w:rsidR="001E3F48" w:rsidRPr="00A9281B">
        <w:rPr>
          <w:rFonts w:asciiTheme="majorBidi" w:hAnsiTheme="majorBidi" w:cstheme="majorBidi"/>
          <w:sz w:val="22"/>
          <w:szCs w:val="22"/>
        </w:rPr>
        <w:t>,</w:t>
      </w:r>
      <w:r w:rsidR="004B739A" w:rsidRPr="00A9281B">
        <w:rPr>
          <w:rFonts w:asciiTheme="majorBidi" w:hAnsiTheme="majorBidi" w:cstheme="majorBidi"/>
          <w:sz w:val="22"/>
          <w:szCs w:val="22"/>
        </w:rPr>
        <w:t xml:space="preserve"> and quality of physical infrastructure</w:t>
      </w:r>
      <w:r w:rsidR="001E3F48" w:rsidRPr="00A9281B">
        <w:rPr>
          <w:rFonts w:asciiTheme="majorBidi" w:hAnsiTheme="majorBidi" w:cstheme="majorBidi"/>
          <w:sz w:val="22"/>
          <w:szCs w:val="22"/>
        </w:rPr>
        <w:t>,</w:t>
      </w:r>
      <w:r w:rsidR="004B739A" w:rsidRPr="00A9281B">
        <w:rPr>
          <w:rFonts w:asciiTheme="majorBidi" w:hAnsiTheme="majorBidi" w:cstheme="majorBidi"/>
          <w:sz w:val="22"/>
          <w:szCs w:val="22"/>
        </w:rPr>
        <w:t xml:space="preserve"> while Elliott &amp; Healy (2008) discern eleven</w:t>
      </w:r>
      <w:r w:rsidR="001E3F48" w:rsidRPr="00A9281B">
        <w:rPr>
          <w:rFonts w:asciiTheme="majorBidi" w:hAnsiTheme="majorBidi" w:cstheme="majorBidi"/>
          <w:sz w:val="22"/>
          <w:szCs w:val="22"/>
        </w:rPr>
        <w:t xml:space="preserve"> subscales</w:t>
      </w:r>
      <w:r w:rsidR="004B739A" w:rsidRPr="00A9281B">
        <w:rPr>
          <w:rFonts w:asciiTheme="majorBidi" w:hAnsiTheme="majorBidi" w:cstheme="majorBidi"/>
          <w:sz w:val="22"/>
          <w:szCs w:val="22"/>
        </w:rPr>
        <w:t>, these being academic advising effectiveness</w:t>
      </w:r>
      <w:r w:rsidR="001E3F48" w:rsidRPr="00A9281B">
        <w:rPr>
          <w:rFonts w:asciiTheme="majorBidi" w:hAnsiTheme="majorBidi" w:cstheme="majorBidi"/>
          <w:sz w:val="22"/>
          <w:szCs w:val="22"/>
        </w:rPr>
        <w:t>,</w:t>
      </w:r>
      <w:r w:rsidR="004B739A" w:rsidRPr="00A9281B">
        <w:rPr>
          <w:rFonts w:asciiTheme="majorBidi" w:hAnsiTheme="majorBidi" w:cstheme="majorBidi"/>
          <w:sz w:val="22"/>
          <w:szCs w:val="22"/>
        </w:rPr>
        <w:t xml:space="preserve"> campus climate</w:t>
      </w:r>
      <w:r w:rsidR="001E3F48" w:rsidRPr="00A9281B">
        <w:rPr>
          <w:rFonts w:asciiTheme="majorBidi" w:hAnsiTheme="majorBidi" w:cstheme="majorBidi"/>
          <w:sz w:val="22"/>
          <w:szCs w:val="22"/>
        </w:rPr>
        <w:t>,</w:t>
      </w:r>
      <w:r w:rsidR="004B739A" w:rsidRPr="00A9281B">
        <w:rPr>
          <w:rFonts w:asciiTheme="majorBidi" w:hAnsiTheme="majorBidi" w:cstheme="majorBidi"/>
          <w:sz w:val="22"/>
          <w:szCs w:val="22"/>
        </w:rPr>
        <w:t xml:space="preserve"> campus life, campus support services, concern for the individual, instructional effectiveness, recruitment and financial aid effectiveness, registration effectiveness, campus safety and security, service excellence and student centeredness. </w:t>
      </w:r>
      <w:r w:rsidR="00985E04" w:rsidRPr="00A9281B">
        <w:rPr>
          <w:rFonts w:asciiTheme="majorBidi" w:hAnsiTheme="majorBidi" w:cstheme="majorBidi"/>
          <w:sz w:val="22"/>
          <w:szCs w:val="22"/>
        </w:rPr>
        <w:t>In the UK, t</w:t>
      </w:r>
      <w:r w:rsidR="004B739A" w:rsidRPr="00A9281B">
        <w:rPr>
          <w:rFonts w:asciiTheme="majorBidi" w:hAnsiTheme="majorBidi" w:cstheme="majorBidi"/>
          <w:sz w:val="22"/>
          <w:szCs w:val="22"/>
        </w:rPr>
        <w:t>he</w:t>
      </w:r>
      <w:r w:rsidR="0058642B" w:rsidRPr="00A9281B">
        <w:rPr>
          <w:rFonts w:asciiTheme="majorBidi" w:hAnsiTheme="majorBidi" w:cstheme="majorBidi"/>
          <w:sz w:val="22"/>
          <w:szCs w:val="22"/>
        </w:rPr>
        <w:t xml:space="preserve"> National Student Survey also takes</w:t>
      </w:r>
      <w:r w:rsidR="001E3F48" w:rsidRPr="00A9281B">
        <w:rPr>
          <w:rFonts w:asciiTheme="majorBidi" w:hAnsiTheme="majorBidi" w:cstheme="majorBidi"/>
          <w:sz w:val="22"/>
          <w:szCs w:val="22"/>
        </w:rPr>
        <w:t xml:space="preserve"> this multidimensional approach</w:t>
      </w:r>
      <w:r w:rsidR="0058642B" w:rsidRPr="00A9281B">
        <w:rPr>
          <w:rFonts w:asciiTheme="majorBidi" w:hAnsiTheme="majorBidi" w:cstheme="majorBidi"/>
          <w:sz w:val="22"/>
          <w:szCs w:val="22"/>
        </w:rPr>
        <w:t xml:space="preserve"> and aims to measure six dim</w:t>
      </w:r>
      <w:r w:rsidR="000C7E8E" w:rsidRPr="00A9281B">
        <w:rPr>
          <w:rFonts w:asciiTheme="majorBidi" w:hAnsiTheme="majorBidi" w:cstheme="majorBidi"/>
          <w:sz w:val="22"/>
          <w:szCs w:val="22"/>
        </w:rPr>
        <w:t>ensions of student satisfaction:</w:t>
      </w:r>
      <w:r w:rsidR="0058642B" w:rsidRPr="00A9281B">
        <w:rPr>
          <w:rFonts w:asciiTheme="majorBidi" w:hAnsiTheme="majorBidi" w:cstheme="majorBidi"/>
          <w:sz w:val="22"/>
          <w:szCs w:val="22"/>
        </w:rPr>
        <w:t xml:space="preserve"> </w:t>
      </w:r>
      <w:r w:rsidR="000C7E8E" w:rsidRPr="00A9281B">
        <w:rPr>
          <w:rFonts w:asciiTheme="majorBidi" w:hAnsiTheme="majorBidi" w:cstheme="majorBidi"/>
          <w:sz w:val="22"/>
          <w:szCs w:val="22"/>
        </w:rPr>
        <w:t>teaching</w:t>
      </w:r>
      <w:r w:rsidR="001E3F48" w:rsidRPr="00A9281B">
        <w:rPr>
          <w:rFonts w:asciiTheme="majorBidi" w:hAnsiTheme="majorBidi" w:cstheme="majorBidi"/>
          <w:sz w:val="22"/>
          <w:szCs w:val="22"/>
        </w:rPr>
        <w:t>,</w:t>
      </w:r>
      <w:r w:rsidR="000C7E8E" w:rsidRPr="00A9281B">
        <w:rPr>
          <w:rFonts w:asciiTheme="majorBidi" w:hAnsiTheme="majorBidi" w:cstheme="majorBidi"/>
          <w:sz w:val="22"/>
          <w:szCs w:val="22"/>
        </w:rPr>
        <w:t xml:space="preserve"> assessment &amp; feedback</w:t>
      </w:r>
      <w:r w:rsidR="001E3F48" w:rsidRPr="00A9281B">
        <w:rPr>
          <w:rFonts w:asciiTheme="majorBidi" w:hAnsiTheme="majorBidi" w:cstheme="majorBidi"/>
          <w:sz w:val="22"/>
          <w:szCs w:val="22"/>
        </w:rPr>
        <w:t>,</w:t>
      </w:r>
      <w:r w:rsidR="000C7E8E" w:rsidRPr="00A9281B">
        <w:rPr>
          <w:rFonts w:asciiTheme="majorBidi" w:hAnsiTheme="majorBidi" w:cstheme="majorBidi"/>
          <w:sz w:val="22"/>
          <w:szCs w:val="22"/>
        </w:rPr>
        <w:t xml:space="preserve"> support</w:t>
      </w:r>
      <w:r w:rsidR="001E3F48" w:rsidRPr="00A9281B">
        <w:rPr>
          <w:rFonts w:asciiTheme="majorBidi" w:hAnsiTheme="majorBidi" w:cstheme="majorBidi"/>
          <w:sz w:val="22"/>
          <w:szCs w:val="22"/>
        </w:rPr>
        <w:t>, organisation,</w:t>
      </w:r>
      <w:r w:rsidR="000C7E8E" w:rsidRPr="00A9281B">
        <w:rPr>
          <w:rFonts w:asciiTheme="majorBidi" w:hAnsiTheme="majorBidi" w:cstheme="majorBidi"/>
          <w:sz w:val="22"/>
          <w:szCs w:val="22"/>
        </w:rPr>
        <w:t xml:space="preserve"> r</w:t>
      </w:r>
      <w:r w:rsidR="0058642B" w:rsidRPr="00A9281B">
        <w:rPr>
          <w:rFonts w:asciiTheme="majorBidi" w:hAnsiTheme="majorBidi" w:cstheme="majorBidi"/>
          <w:sz w:val="22"/>
          <w:szCs w:val="22"/>
        </w:rPr>
        <w:t>esources</w:t>
      </w:r>
      <w:r w:rsidR="000C7E8E" w:rsidRPr="00A9281B">
        <w:rPr>
          <w:rFonts w:asciiTheme="majorBidi" w:hAnsiTheme="majorBidi" w:cstheme="majorBidi"/>
          <w:sz w:val="22"/>
          <w:szCs w:val="22"/>
        </w:rPr>
        <w:t xml:space="preserve"> and personal d</w:t>
      </w:r>
      <w:r w:rsidR="0058642B" w:rsidRPr="00A9281B">
        <w:rPr>
          <w:rFonts w:asciiTheme="majorBidi" w:hAnsiTheme="majorBidi" w:cstheme="majorBidi"/>
          <w:sz w:val="22"/>
          <w:szCs w:val="22"/>
        </w:rPr>
        <w:t>evelopment</w:t>
      </w:r>
      <w:r w:rsidR="001E3F48" w:rsidRPr="00A9281B">
        <w:rPr>
          <w:rFonts w:asciiTheme="majorBidi" w:hAnsiTheme="majorBidi" w:cstheme="majorBidi"/>
          <w:sz w:val="22"/>
          <w:szCs w:val="22"/>
        </w:rPr>
        <w:t>;</w:t>
      </w:r>
      <w:r w:rsidR="000C7E8E" w:rsidRPr="00A9281B">
        <w:rPr>
          <w:rFonts w:asciiTheme="majorBidi" w:hAnsiTheme="majorBidi" w:cstheme="majorBidi"/>
          <w:sz w:val="22"/>
          <w:szCs w:val="22"/>
        </w:rPr>
        <w:t xml:space="preserve"> though Marsh &amp; Cheng’s (2008) analysis of the 2005 and 2006 data suggested that assessment and feedback formed separate constructs.</w:t>
      </w:r>
      <w:r w:rsidR="00985E04" w:rsidRPr="00A9281B">
        <w:rPr>
          <w:rFonts w:asciiTheme="majorBidi" w:hAnsiTheme="majorBidi" w:cstheme="majorBidi"/>
          <w:sz w:val="22"/>
          <w:szCs w:val="22"/>
        </w:rPr>
        <w:t xml:space="preserve"> The Postgraduate Taught Experience Survey aims to measure seven dimensions: teaching and learning, engagement, assessment and feedback, dissertation or major project, organisation and management, resources and services and skills developme</w:t>
      </w:r>
      <w:r w:rsidR="00E148C3" w:rsidRPr="00A9281B">
        <w:rPr>
          <w:rFonts w:asciiTheme="majorBidi" w:hAnsiTheme="majorBidi" w:cstheme="majorBidi"/>
          <w:sz w:val="22"/>
          <w:szCs w:val="22"/>
        </w:rPr>
        <w:t xml:space="preserve">nt (Soilemetzidis et al, 2014). Teaching, student support and infrastructure are common to these different </w:t>
      </w:r>
      <w:r w:rsidR="00352E7B" w:rsidRPr="00A9281B">
        <w:rPr>
          <w:rFonts w:asciiTheme="majorBidi" w:hAnsiTheme="majorBidi" w:cstheme="majorBidi"/>
          <w:sz w:val="22"/>
          <w:szCs w:val="22"/>
        </w:rPr>
        <w:t>frameworks</w:t>
      </w:r>
      <w:r w:rsidR="00E148C3" w:rsidRPr="00A9281B">
        <w:rPr>
          <w:rFonts w:asciiTheme="majorBidi" w:hAnsiTheme="majorBidi" w:cstheme="majorBidi"/>
          <w:sz w:val="22"/>
          <w:szCs w:val="22"/>
        </w:rPr>
        <w:t xml:space="preserve">, with each </w:t>
      </w:r>
      <w:r w:rsidR="00352E7B" w:rsidRPr="00A9281B">
        <w:rPr>
          <w:rFonts w:asciiTheme="majorBidi" w:hAnsiTheme="majorBidi" w:cstheme="majorBidi"/>
          <w:sz w:val="22"/>
          <w:szCs w:val="22"/>
        </w:rPr>
        <w:t>divided</w:t>
      </w:r>
      <w:r w:rsidR="00E148C3" w:rsidRPr="00A9281B">
        <w:rPr>
          <w:rFonts w:asciiTheme="majorBidi" w:hAnsiTheme="majorBidi" w:cstheme="majorBidi"/>
          <w:sz w:val="22"/>
          <w:szCs w:val="22"/>
        </w:rPr>
        <w:t xml:space="preserve"> in slightly different ways, often reflecting the specific context in which the measurements are carried out (e.g. the importance of dissertation for postgraduate taught students). </w:t>
      </w:r>
    </w:p>
    <w:p w14:paraId="3A203ADA" w14:textId="77777777" w:rsidR="004552BC" w:rsidRPr="00A9281B" w:rsidRDefault="004552BC" w:rsidP="00CA1ECF">
      <w:pPr>
        <w:rPr>
          <w:rFonts w:asciiTheme="majorBidi" w:hAnsiTheme="majorBidi" w:cstheme="majorBidi"/>
          <w:sz w:val="22"/>
          <w:szCs w:val="22"/>
        </w:rPr>
      </w:pPr>
    </w:p>
    <w:p w14:paraId="0E359A81" w14:textId="77777777" w:rsidR="00550B35" w:rsidRPr="00A9281B" w:rsidRDefault="00550B35" w:rsidP="00CE6144">
      <w:pPr>
        <w:rPr>
          <w:rFonts w:asciiTheme="majorBidi" w:hAnsiTheme="majorBidi" w:cstheme="majorBidi"/>
          <w:sz w:val="22"/>
          <w:szCs w:val="22"/>
        </w:rPr>
      </w:pPr>
    </w:p>
    <w:p w14:paraId="24BEFDA3" w14:textId="5114AE26" w:rsidR="007B56CF" w:rsidRPr="00A9281B" w:rsidRDefault="007B56CF" w:rsidP="00CE6144">
      <w:pPr>
        <w:rPr>
          <w:rFonts w:asciiTheme="majorBidi" w:hAnsiTheme="majorBidi" w:cstheme="majorBidi"/>
          <w:sz w:val="22"/>
          <w:szCs w:val="22"/>
        </w:rPr>
      </w:pPr>
    </w:p>
    <w:p w14:paraId="2169B79B" w14:textId="75902733" w:rsidR="001F19F0" w:rsidRPr="00A9281B" w:rsidRDefault="001F19F0" w:rsidP="00CE6144">
      <w:pPr>
        <w:rPr>
          <w:rFonts w:asciiTheme="majorBidi" w:hAnsiTheme="majorBidi" w:cstheme="majorBidi"/>
          <w:b/>
          <w:sz w:val="22"/>
          <w:szCs w:val="22"/>
        </w:rPr>
      </w:pPr>
      <w:r w:rsidRPr="00A9281B">
        <w:rPr>
          <w:rFonts w:asciiTheme="majorBidi" w:hAnsiTheme="majorBidi" w:cstheme="majorBidi"/>
          <w:b/>
          <w:sz w:val="22"/>
          <w:szCs w:val="22"/>
        </w:rPr>
        <w:t>Predictors of s</w:t>
      </w:r>
      <w:r w:rsidR="00C52603" w:rsidRPr="00A9281B">
        <w:rPr>
          <w:rFonts w:asciiTheme="majorBidi" w:hAnsiTheme="majorBidi" w:cstheme="majorBidi"/>
          <w:b/>
          <w:sz w:val="22"/>
          <w:szCs w:val="22"/>
        </w:rPr>
        <w:t>tudent s</w:t>
      </w:r>
      <w:r w:rsidRPr="00A9281B">
        <w:rPr>
          <w:rFonts w:asciiTheme="majorBidi" w:hAnsiTheme="majorBidi" w:cstheme="majorBidi"/>
          <w:b/>
          <w:sz w:val="22"/>
          <w:szCs w:val="22"/>
        </w:rPr>
        <w:t xml:space="preserve">atisfaction </w:t>
      </w:r>
    </w:p>
    <w:p w14:paraId="2013FB14" w14:textId="77777777" w:rsidR="001F19F0" w:rsidRPr="00A9281B" w:rsidRDefault="001F19F0" w:rsidP="00CE6144">
      <w:pPr>
        <w:rPr>
          <w:rFonts w:asciiTheme="majorBidi" w:hAnsiTheme="majorBidi" w:cstheme="majorBidi"/>
          <w:sz w:val="22"/>
          <w:szCs w:val="22"/>
        </w:rPr>
      </w:pPr>
    </w:p>
    <w:p w14:paraId="30AC59AC" w14:textId="34334A0D" w:rsidR="001F19F0" w:rsidRPr="00A9281B" w:rsidRDefault="001F19F0" w:rsidP="00464F62">
      <w:pPr>
        <w:rPr>
          <w:rFonts w:asciiTheme="majorBidi" w:hAnsiTheme="majorBidi" w:cstheme="majorBidi"/>
          <w:sz w:val="22"/>
          <w:szCs w:val="22"/>
        </w:rPr>
      </w:pPr>
      <w:r w:rsidRPr="00A9281B">
        <w:rPr>
          <w:rFonts w:asciiTheme="majorBidi" w:hAnsiTheme="majorBidi" w:cstheme="majorBidi"/>
          <w:sz w:val="22"/>
          <w:szCs w:val="22"/>
        </w:rPr>
        <w:t xml:space="preserve">Whether satisfaction </w:t>
      </w:r>
      <w:r w:rsidR="00CE72DA" w:rsidRPr="00A9281B">
        <w:rPr>
          <w:rFonts w:asciiTheme="majorBidi" w:hAnsiTheme="majorBidi" w:cstheme="majorBidi"/>
          <w:sz w:val="22"/>
          <w:szCs w:val="22"/>
        </w:rPr>
        <w:t>is</w:t>
      </w:r>
      <w:r w:rsidRPr="00A9281B">
        <w:rPr>
          <w:rFonts w:asciiTheme="majorBidi" w:hAnsiTheme="majorBidi" w:cstheme="majorBidi"/>
          <w:sz w:val="22"/>
          <w:szCs w:val="22"/>
        </w:rPr>
        <w:t xml:space="preserve"> seen as </w:t>
      </w:r>
      <w:r w:rsidR="00226F17" w:rsidRPr="00A9281B">
        <w:rPr>
          <w:rFonts w:asciiTheme="majorBidi" w:hAnsiTheme="majorBidi" w:cstheme="majorBidi"/>
          <w:sz w:val="22"/>
          <w:szCs w:val="22"/>
        </w:rPr>
        <w:t xml:space="preserve">a valuable outcome in its </w:t>
      </w:r>
      <w:r w:rsidR="00352E7B" w:rsidRPr="00A9281B">
        <w:rPr>
          <w:rFonts w:asciiTheme="majorBidi" w:hAnsiTheme="majorBidi" w:cstheme="majorBidi"/>
          <w:sz w:val="22"/>
          <w:szCs w:val="22"/>
        </w:rPr>
        <w:t>own right</w:t>
      </w:r>
      <w:r w:rsidRPr="00A9281B">
        <w:rPr>
          <w:rFonts w:asciiTheme="majorBidi" w:hAnsiTheme="majorBidi" w:cstheme="majorBidi"/>
          <w:sz w:val="22"/>
          <w:szCs w:val="22"/>
        </w:rPr>
        <w:t xml:space="preserve"> as </w:t>
      </w:r>
      <w:r w:rsidR="00226F17" w:rsidRPr="00A9281B">
        <w:rPr>
          <w:rFonts w:asciiTheme="majorBidi" w:hAnsiTheme="majorBidi" w:cstheme="majorBidi"/>
          <w:sz w:val="22"/>
          <w:szCs w:val="22"/>
        </w:rPr>
        <w:t>a correlate</w:t>
      </w:r>
      <w:r w:rsidRPr="00A9281B">
        <w:rPr>
          <w:rFonts w:asciiTheme="majorBidi" w:hAnsiTheme="majorBidi" w:cstheme="majorBidi"/>
          <w:sz w:val="22"/>
          <w:szCs w:val="22"/>
        </w:rPr>
        <w:t xml:space="preserve"> </w:t>
      </w:r>
      <w:r w:rsidR="00464F62" w:rsidRPr="00A9281B">
        <w:rPr>
          <w:rFonts w:asciiTheme="majorBidi" w:hAnsiTheme="majorBidi" w:cstheme="majorBidi"/>
          <w:sz w:val="22"/>
          <w:szCs w:val="22"/>
        </w:rPr>
        <w:t xml:space="preserve">of </w:t>
      </w:r>
      <w:r w:rsidRPr="00A9281B">
        <w:rPr>
          <w:rFonts w:asciiTheme="majorBidi" w:hAnsiTheme="majorBidi" w:cstheme="majorBidi"/>
          <w:sz w:val="22"/>
          <w:szCs w:val="22"/>
        </w:rPr>
        <w:t>learning,</w:t>
      </w:r>
      <w:r w:rsidR="00226F17" w:rsidRPr="00A9281B">
        <w:rPr>
          <w:rFonts w:asciiTheme="majorBidi" w:hAnsiTheme="majorBidi" w:cstheme="majorBidi"/>
          <w:sz w:val="22"/>
          <w:szCs w:val="22"/>
        </w:rPr>
        <w:t xml:space="preserve"> whe</w:t>
      </w:r>
      <w:r w:rsidR="00352E7B" w:rsidRPr="00A9281B">
        <w:rPr>
          <w:rFonts w:asciiTheme="majorBidi" w:hAnsiTheme="majorBidi" w:cstheme="majorBidi"/>
          <w:sz w:val="22"/>
          <w:szCs w:val="22"/>
        </w:rPr>
        <w:t>n</w:t>
      </w:r>
      <w:r w:rsidR="00226F17" w:rsidRPr="00A9281B">
        <w:rPr>
          <w:rFonts w:asciiTheme="majorBidi" w:hAnsiTheme="majorBidi" w:cstheme="majorBidi"/>
          <w:sz w:val="22"/>
          <w:szCs w:val="22"/>
        </w:rPr>
        <w:t xml:space="preserve"> it becomes both a key component of external accountability and an internal driver of university policy</w:t>
      </w:r>
      <w:r w:rsidRPr="00A9281B">
        <w:rPr>
          <w:rFonts w:asciiTheme="majorBidi" w:hAnsiTheme="majorBidi" w:cstheme="majorBidi"/>
          <w:sz w:val="22"/>
          <w:szCs w:val="22"/>
        </w:rPr>
        <w:t xml:space="preserve"> it become</w:t>
      </w:r>
      <w:r w:rsidR="00226F17" w:rsidRPr="00A9281B">
        <w:rPr>
          <w:rFonts w:asciiTheme="majorBidi" w:hAnsiTheme="majorBidi" w:cstheme="majorBidi"/>
          <w:sz w:val="22"/>
          <w:szCs w:val="22"/>
        </w:rPr>
        <w:t>s</w:t>
      </w:r>
      <w:r w:rsidRPr="00A9281B">
        <w:rPr>
          <w:rFonts w:asciiTheme="majorBidi" w:hAnsiTheme="majorBidi" w:cstheme="majorBidi"/>
          <w:sz w:val="22"/>
          <w:szCs w:val="22"/>
        </w:rPr>
        <w:t xml:space="preserve"> important to look at what factors may influence </w:t>
      </w:r>
      <w:r w:rsidR="00226F17" w:rsidRPr="00A9281B">
        <w:rPr>
          <w:rFonts w:asciiTheme="majorBidi" w:hAnsiTheme="majorBidi" w:cstheme="majorBidi"/>
          <w:sz w:val="22"/>
          <w:szCs w:val="22"/>
        </w:rPr>
        <w:t>it</w:t>
      </w:r>
      <w:r w:rsidRPr="00A9281B">
        <w:rPr>
          <w:rFonts w:asciiTheme="majorBidi" w:hAnsiTheme="majorBidi" w:cstheme="majorBidi"/>
          <w:sz w:val="22"/>
          <w:szCs w:val="22"/>
        </w:rPr>
        <w:t>.</w:t>
      </w:r>
      <w:r w:rsidR="00352E7B" w:rsidRPr="00A9281B">
        <w:rPr>
          <w:rFonts w:asciiTheme="majorBidi" w:hAnsiTheme="majorBidi" w:cstheme="majorBidi"/>
          <w:sz w:val="22"/>
          <w:szCs w:val="22"/>
        </w:rPr>
        <w:t xml:space="preserve"> </w:t>
      </w:r>
      <w:r w:rsidR="00845B18" w:rsidRPr="00A9281B">
        <w:rPr>
          <w:rFonts w:asciiTheme="majorBidi" w:hAnsiTheme="majorBidi" w:cstheme="majorBidi"/>
          <w:sz w:val="22"/>
          <w:szCs w:val="22"/>
        </w:rPr>
        <w:t xml:space="preserve">Key questions here </w:t>
      </w:r>
      <w:r w:rsidR="00352E7B" w:rsidRPr="00A9281B">
        <w:rPr>
          <w:rFonts w:asciiTheme="majorBidi" w:hAnsiTheme="majorBidi" w:cstheme="majorBidi"/>
          <w:sz w:val="22"/>
          <w:szCs w:val="22"/>
        </w:rPr>
        <w:t>are whether and what</w:t>
      </w:r>
      <w:r w:rsidR="00845B18" w:rsidRPr="00A9281B">
        <w:rPr>
          <w:rFonts w:asciiTheme="majorBidi" w:hAnsiTheme="majorBidi" w:cstheme="majorBidi"/>
          <w:sz w:val="22"/>
          <w:szCs w:val="22"/>
        </w:rPr>
        <w:t xml:space="preserve"> student characteristics influence student satisfaction, which can provide HEI’s and policymakers with key information on what they can and cannot affect. Educational effectiveness research in other phases of education has pointed to the importance of student intake and background in determining outcomes, </w:t>
      </w:r>
      <w:r w:rsidR="00352E7B" w:rsidRPr="00A9281B">
        <w:rPr>
          <w:rFonts w:asciiTheme="majorBidi" w:hAnsiTheme="majorBidi" w:cstheme="majorBidi"/>
          <w:sz w:val="22"/>
          <w:szCs w:val="22"/>
        </w:rPr>
        <w:t>though</w:t>
      </w:r>
      <w:r w:rsidR="00845B18" w:rsidRPr="00A9281B">
        <w:rPr>
          <w:rFonts w:asciiTheme="majorBidi" w:hAnsiTheme="majorBidi" w:cstheme="majorBidi"/>
          <w:sz w:val="22"/>
          <w:szCs w:val="22"/>
        </w:rPr>
        <w:t xml:space="preserve"> the impact of schools and colleges remains significant and important (Chapman et al, 2016), but studies on student satisfaction in Higher Education which typically have taken an approac</w:t>
      </w:r>
      <w:r w:rsidR="00352E7B" w:rsidRPr="00A9281B">
        <w:rPr>
          <w:rFonts w:asciiTheme="majorBidi" w:hAnsiTheme="majorBidi" w:cstheme="majorBidi"/>
          <w:sz w:val="22"/>
          <w:szCs w:val="22"/>
        </w:rPr>
        <w:t>h derived from Business Studies</w:t>
      </w:r>
      <w:r w:rsidR="00845B18" w:rsidRPr="00A9281B">
        <w:rPr>
          <w:rFonts w:asciiTheme="majorBidi" w:hAnsiTheme="majorBidi" w:cstheme="majorBidi"/>
          <w:sz w:val="22"/>
          <w:szCs w:val="22"/>
        </w:rPr>
        <w:t xml:space="preserve"> don’t necessarily take such factors into account.</w:t>
      </w:r>
    </w:p>
    <w:p w14:paraId="33F18A9D" w14:textId="545F7FBA" w:rsidR="00845B18" w:rsidRPr="00A9281B" w:rsidRDefault="00845B18" w:rsidP="00CE6144">
      <w:pPr>
        <w:rPr>
          <w:rFonts w:asciiTheme="majorBidi" w:hAnsiTheme="majorBidi" w:cstheme="majorBidi"/>
          <w:sz w:val="22"/>
          <w:szCs w:val="22"/>
        </w:rPr>
      </w:pPr>
    </w:p>
    <w:p w14:paraId="1B9F3BB3" w14:textId="2554C9A9" w:rsidR="001D2C5E" w:rsidRPr="00A9281B" w:rsidRDefault="00352E7B" w:rsidP="00174F2C">
      <w:pPr>
        <w:rPr>
          <w:rFonts w:asciiTheme="majorBidi" w:hAnsiTheme="majorBidi" w:cstheme="majorBidi"/>
          <w:sz w:val="22"/>
          <w:szCs w:val="22"/>
        </w:rPr>
      </w:pPr>
      <w:r w:rsidRPr="00A9281B">
        <w:rPr>
          <w:rFonts w:asciiTheme="majorBidi" w:hAnsiTheme="majorBidi" w:cstheme="majorBidi"/>
          <w:sz w:val="22"/>
          <w:szCs w:val="22"/>
        </w:rPr>
        <w:t>T</w:t>
      </w:r>
      <w:r w:rsidR="00845B18" w:rsidRPr="00A9281B">
        <w:rPr>
          <w:rFonts w:asciiTheme="majorBidi" w:hAnsiTheme="majorBidi" w:cstheme="majorBidi"/>
          <w:sz w:val="22"/>
          <w:szCs w:val="22"/>
        </w:rPr>
        <w:t xml:space="preserve">he majority of studies </w:t>
      </w:r>
      <w:r w:rsidRPr="00A9281B">
        <w:rPr>
          <w:rFonts w:asciiTheme="majorBidi" w:hAnsiTheme="majorBidi" w:cstheme="majorBidi"/>
          <w:sz w:val="22"/>
          <w:szCs w:val="22"/>
        </w:rPr>
        <w:t xml:space="preserve">on student satisfaction </w:t>
      </w:r>
      <w:r w:rsidR="00845B18" w:rsidRPr="00A9281B">
        <w:rPr>
          <w:rFonts w:asciiTheme="majorBidi" w:hAnsiTheme="majorBidi" w:cstheme="majorBidi"/>
          <w:sz w:val="22"/>
          <w:szCs w:val="22"/>
        </w:rPr>
        <w:t>have looked at undergraduate</w:t>
      </w:r>
      <w:r w:rsidR="00265CE8" w:rsidRPr="00A9281B">
        <w:rPr>
          <w:rFonts w:asciiTheme="majorBidi" w:hAnsiTheme="majorBidi" w:cstheme="majorBidi"/>
          <w:sz w:val="22"/>
          <w:szCs w:val="22"/>
        </w:rPr>
        <w:t xml:space="preserve"> rather than postgraduate</w:t>
      </w:r>
      <w:r w:rsidR="00845B18" w:rsidRPr="00A9281B">
        <w:rPr>
          <w:rFonts w:asciiTheme="majorBidi" w:hAnsiTheme="majorBidi" w:cstheme="majorBidi"/>
          <w:sz w:val="22"/>
          <w:szCs w:val="22"/>
        </w:rPr>
        <w:t xml:space="preserve"> populations. </w:t>
      </w:r>
      <w:r w:rsidR="001D2C5E" w:rsidRPr="00A9281B">
        <w:rPr>
          <w:rFonts w:asciiTheme="majorBidi" w:hAnsiTheme="majorBidi" w:cstheme="majorBidi"/>
          <w:sz w:val="22"/>
          <w:szCs w:val="22"/>
        </w:rPr>
        <w:t xml:space="preserve">One study that did look specifically at </w:t>
      </w:r>
      <w:r w:rsidR="00265CE8" w:rsidRPr="00A9281B">
        <w:rPr>
          <w:rFonts w:asciiTheme="majorBidi" w:hAnsiTheme="majorBidi" w:cstheme="majorBidi"/>
          <w:sz w:val="22"/>
          <w:szCs w:val="22"/>
        </w:rPr>
        <w:t>this population</w:t>
      </w:r>
      <w:r w:rsidR="001D2C5E" w:rsidRPr="00A9281B">
        <w:rPr>
          <w:rFonts w:asciiTheme="majorBidi" w:hAnsiTheme="majorBidi" w:cstheme="majorBidi"/>
          <w:sz w:val="22"/>
          <w:szCs w:val="22"/>
        </w:rPr>
        <w:t xml:space="preserve"> focussed on postgraduate taught </w:t>
      </w:r>
      <w:r w:rsidR="001D2C5E" w:rsidRPr="00A9281B">
        <w:rPr>
          <w:rFonts w:asciiTheme="majorBidi" w:hAnsiTheme="majorBidi" w:cstheme="majorBidi"/>
          <w:sz w:val="22"/>
          <w:szCs w:val="22"/>
        </w:rPr>
        <w:lastRenderedPageBreak/>
        <w:t xml:space="preserve">students from Asia at two Australian universities. Factors such as perceived quality of education and social services were found to be related to overall satisfaction, but the sample and method did not allow meaningful measurement of differences between HEI’s and there was no control for demographic characteristics or course taken (Arambewela &amp; Hall, 2007). A follow-up study did distinguish between students from different Asian countries, and found some significant differences, with students from India generally expressing lower levels of satisfaction than those from Indonesia, China or Thailand (Arambewela &amp; Hall, 2009). </w:t>
      </w:r>
      <w:r w:rsidR="00071948" w:rsidRPr="00A9281B">
        <w:rPr>
          <w:rFonts w:asciiTheme="majorBidi" w:hAnsiTheme="majorBidi" w:cstheme="majorBidi"/>
          <w:sz w:val="22"/>
          <w:szCs w:val="22"/>
        </w:rPr>
        <w:t xml:space="preserve">A </w:t>
      </w:r>
      <w:r w:rsidR="00B81056" w:rsidRPr="00A9281B">
        <w:rPr>
          <w:rFonts w:asciiTheme="majorBidi" w:hAnsiTheme="majorBidi" w:cstheme="majorBidi"/>
          <w:sz w:val="22"/>
          <w:szCs w:val="22"/>
        </w:rPr>
        <w:t>study</w:t>
      </w:r>
      <w:r w:rsidR="00071948" w:rsidRPr="00A9281B">
        <w:rPr>
          <w:rFonts w:asciiTheme="majorBidi" w:hAnsiTheme="majorBidi" w:cstheme="majorBidi"/>
          <w:sz w:val="22"/>
          <w:szCs w:val="22"/>
        </w:rPr>
        <w:t xml:space="preserve"> specifically employing the notion of service quality </w:t>
      </w:r>
      <w:r w:rsidR="00B81056" w:rsidRPr="00A9281B">
        <w:rPr>
          <w:rFonts w:asciiTheme="majorBidi" w:hAnsiTheme="majorBidi" w:cstheme="majorBidi"/>
          <w:sz w:val="22"/>
          <w:szCs w:val="22"/>
        </w:rPr>
        <w:t>mentioned</w:t>
      </w:r>
      <w:r w:rsidR="00071948" w:rsidRPr="00A9281B">
        <w:rPr>
          <w:rFonts w:asciiTheme="majorBidi" w:hAnsiTheme="majorBidi" w:cstheme="majorBidi"/>
          <w:sz w:val="22"/>
          <w:szCs w:val="22"/>
        </w:rPr>
        <w:t xml:space="preserve"> above examined student satisfaction of postgraduate taught</w:t>
      </w:r>
      <w:r w:rsidR="00B81056" w:rsidRPr="00A9281B">
        <w:rPr>
          <w:rFonts w:asciiTheme="majorBidi" w:hAnsiTheme="majorBidi" w:cstheme="majorBidi"/>
          <w:sz w:val="22"/>
          <w:szCs w:val="22"/>
        </w:rPr>
        <w:t xml:space="preserve"> business</w:t>
      </w:r>
      <w:r w:rsidR="00071948" w:rsidRPr="00A9281B">
        <w:rPr>
          <w:rFonts w:asciiTheme="majorBidi" w:hAnsiTheme="majorBidi" w:cstheme="majorBidi"/>
          <w:sz w:val="22"/>
          <w:szCs w:val="22"/>
        </w:rPr>
        <w:t xml:space="preserve"> students in </w:t>
      </w:r>
      <w:r w:rsidR="00B81056" w:rsidRPr="00A9281B">
        <w:rPr>
          <w:rFonts w:asciiTheme="majorBidi" w:hAnsiTheme="majorBidi" w:cstheme="majorBidi"/>
          <w:sz w:val="22"/>
          <w:szCs w:val="22"/>
        </w:rPr>
        <w:t>the UK and the US</w:t>
      </w:r>
      <w:r w:rsidR="00265CE8" w:rsidRPr="00A9281B">
        <w:rPr>
          <w:rFonts w:asciiTheme="majorBidi" w:hAnsiTheme="majorBidi" w:cstheme="majorBidi"/>
          <w:sz w:val="22"/>
          <w:szCs w:val="22"/>
        </w:rPr>
        <w:t>, and</w:t>
      </w:r>
      <w:r w:rsidR="00B81056" w:rsidRPr="00A9281B">
        <w:rPr>
          <w:rFonts w:asciiTheme="majorBidi" w:hAnsiTheme="majorBidi" w:cstheme="majorBidi"/>
          <w:sz w:val="22"/>
          <w:szCs w:val="22"/>
        </w:rPr>
        <w:t xml:space="preserve"> found overall satisfaction to be higher in the US, and predicted primarily by overall impressions of the school and the quality of education. Home students expressed higher levels of satisfaction than overseas students (</w:t>
      </w:r>
      <w:r w:rsidR="00174F2C" w:rsidRPr="00A9281B">
        <w:rPr>
          <w:rFonts w:asciiTheme="majorBidi" w:hAnsiTheme="majorBidi" w:cstheme="majorBidi"/>
          <w:sz w:val="22"/>
          <w:szCs w:val="22"/>
        </w:rPr>
        <w:t>Mai</w:t>
      </w:r>
      <w:r w:rsidR="00B81056" w:rsidRPr="00A9281B">
        <w:rPr>
          <w:rFonts w:asciiTheme="majorBidi" w:hAnsiTheme="majorBidi" w:cstheme="majorBidi"/>
          <w:sz w:val="22"/>
          <w:szCs w:val="22"/>
        </w:rPr>
        <w:t>, 2005).</w:t>
      </w:r>
    </w:p>
    <w:p w14:paraId="1A109029" w14:textId="08773650" w:rsidR="00615C7B" w:rsidRPr="00A9281B" w:rsidRDefault="00615C7B" w:rsidP="00CE6144">
      <w:pPr>
        <w:rPr>
          <w:rFonts w:asciiTheme="majorBidi" w:hAnsiTheme="majorBidi" w:cstheme="majorBidi"/>
          <w:sz w:val="22"/>
          <w:szCs w:val="22"/>
        </w:rPr>
      </w:pPr>
    </w:p>
    <w:p w14:paraId="606B3E21" w14:textId="1142F8B7" w:rsidR="00615C7B" w:rsidRPr="00A9281B" w:rsidRDefault="00716B51" w:rsidP="00716B51">
      <w:pPr>
        <w:rPr>
          <w:rFonts w:asciiTheme="majorBidi" w:hAnsiTheme="majorBidi" w:cstheme="majorBidi"/>
          <w:sz w:val="22"/>
          <w:szCs w:val="22"/>
        </w:rPr>
      </w:pPr>
      <w:r w:rsidRPr="00A9281B">
        <w:rPr>
          <w:rFonts w:asciiTheme="majorBidi" w:hAnsiTheme="majorBidi" w:cstheme="majorBidi"/>
          <w:sz w:val="22"/>
          <w:szCs w:val="22"/>
        </w:rPr>
        <w:t>Studies</w:t>
      </w:r>
      <w:r w:rsidR="00615C7B" w:rsidRPr="00A9281B">
        <w:rPr>
          <w:rFonts w:asciiTheme="majorBidi" w:hAnsiTheme="majorBidi" w:cstheme="majorBidi"/>
          <w:sz w:val="22"/>
          <w:szCs w:val="22"/>
        </w:rPr>
        <w:t xml:space="preserve"> on undergraduate populations</w:t>
      </w:r>
      <w:r w:rsidRPr="00A9281B">
        <w:rPr>
          <w:rFonts w:asciiTheme="majorBidi" w:hAnsiTheme="majorBidi" w:cstheme="majorBidi"/>
          <w:sz w:val="22"/>
          <w:szCs w:val="22"/>
        </w:rPr>
        <w:t xml:space="preserve"> have</w:t>
      </w:r>
      <w:r w:rsidR="00D7567B" w:rsidRPr="00A9281B">
        <w:rPr>
          <w:rFonts w:asciiTheme="majorBidi" w:hAnsiTheme="majorBidi" w:cstheme="majorBidi"/>
          <w:sz w:val="22"/>
          <w:szCs w:val="22"/>
        </w:rPr>
        <w:t xml:space="preserve"> primarily</w:t>
      </w:r>
      <w:r w:rsidRPr="00A9281B">
        <w:rPr>
          <w:rFonts w:asciiTheme="majorBidi" w:hAnsiTheme="majorBidi" w:cstheme="majorBidi"/>
          <w:sz w:val="22"/>
          <w:szCs w:val="22"/>
        </w:rPr>
        <w:t xml:space="preserve"> attempted</w:t>
      </w:r>
      <w:r w:rsidR="00615C7B" w:rsidRPr="00A9281B">
        <w:rPr>
          <w:rFonts w:asciiTheme="majorBidi" w:hAnsiTheme="majorBidi" w:cstheme="majorBidi"/>
          <w:sz w:val="22"/>
          <w:szCs w:val="22"/>
        </w:rPr>
        <w:t xml:space="preserve"> to look at HE factors that can influence satisfaction. C</w:t>
      </w:r>
      <w:r w:rsidR="00ED685B" w:rsidRPr="00A9281B">
        <w:rPr>
          <w:rFonts w:asciiTheme="majorBidi" w:hAnsiTheme="majorBidi" w:cstheme="majorBidi"/>
          <w:sz w:val="22"/>
          <w:szCs w:val="22"/>
        </w:rPr>
        <w:t>lemes et al (2008), for example</w:t>
      </w:r>
      <w:r w:rsidR="00615C7B" w:rsidRPr="00A9281B">
        <w:rPr>
          <w:rFonts w:asciiTheme="majorBidi" w:hAnsiTheme="majorBidi" w:cstheme="majorBidi"/>
          <w:sz w:val="22"/>
          <w:szCs w:val="22"/>
        </w:rPr>
        <w:t xml:space="preserve">, </w:t>
      </w:r>
      <w:r w:rsidR="00ED685B" w:rsidRPr="00A9281B">
        <w:rPr>
          <w:rFonts w:asciiTheme="majorBidi" w:hAnsiTheme="majorBidi" w:cstheme="majorBidi"/>
          <w:sz w:val="22"/>
          <w:szCs w:val="22"/>
        </w:rPr>
        <w:t>studied the relationship between service quality and student satisfaction, f</w:t>
      </w:r>
      <w:r w:rsidR="0058642B" w:rsidRPr="00A9281B">
        <w:rPr>
          <w:rFonts w:asciiTheme="majorBidi" w:hAnsiTheme="majorBidi" w:cstheme="majorBidi"/>
          <w:sz w:val="22"/>
          <w:szCs w:val="22"/>
        </w:rPr>
        <w:t>inding a positive correlation with</w:t>
      </w:r>
      <w:r w:rsidR="00ED685B" w:rsidRPr="00A9281B">
        <w:rPr>
          <w:rFonts w:asciiTheme="majorBidi" w:hAnsiTheme="majorBidi" w:cstheme="majorBidi"/>
          <w:sz w:val="22"/>
          <w:szCs w:val="22"/>
        </w:rPr>
        <w:t xml:space="preserve"> a service quality construct made up of three dimensions: interaction quality (e.g. interaction with staff), physical environment quality, and outcome quality (e.g. career development). The analyses did not look at the relative impact of HEI attended, course or demograph</w:t>
      </w:r>
      <w:r w:rsidR="00A1287B" w:rsidRPr="00A9281B">
        <w:rPr>
          <w:rFonts w:asciiTheme="majorBidi" w:hAnsiTheme="majorBidi" w:cstheme="majorBidi"/>
          <w:sz w:val="22"/>
          <w:szCs w:val="22"/>
        </w:rPr>
        <w:t xml:space="preserve">ic characteristics.  </w:t>
      </w:r>
      <w:r w:rsidR="0058642B" w:rsidRPr="00A9281B">
        <w:rPr>
          <w:rFonts w:asciiTheme="majorBidi" w:hAnsiTheme="majorBidi" w:cstheme="majorBidi"/>
          <w:sz w:val="22"/>
          <w:szCs w:val="22"/>
        </w:rPr>
        <w:t>In general, w</w:t>
      </w:r>
      <w:r w:rsidR="00A1287B" w:rsidRPr="00A9281B">
        <w:rPr>
          <w:rFonts w:asciiTheme="majorBidi" w:hAnsiTheme="majorBidi" w:cstheme="majorBidi"/>
          <w:sz w:val="22"/>
          <w:szCs w:val="22"/>
        </w:rPr>
        <w:t xml:space="preserve">hen looking at different aspects of service quality, teaching quality </w:t>
      </w:r>
      <w:r w:rsidR="00D30739" w:rsidRPr="00A9281B">
        <w:rPr>
          <w:rFonts w:asciiTheme="majorBidi" w:hAnsiTheme="majorBidi" w:cstheme="majorBidi"/>
          <w:sz w:val="22"/>
          <w:szCs w:val="22"/>
        </w:rPr>
        <w:t>and extent of student centredness are</w:t>
      </w:r>
      <w:r w:rsidR="00A1287B" w:rsidRPr="00A9281B">
        <w:rPr>
          <w:rFonts w:asciiTheme="majorBidi" w:hAnsiTheme="majorBidi" w:cstheme="majorBidi"/>
          <w:sz w:val="22"/>
          <w:szCs w:val="22"/>
        </w:rPr>
        <w:t xml:space="preserve"> </w:t>
      </w:r>
      <w:r w:rsidR="0058642B" w:rsidRPr="00A9281B">
        <w:rPr>
          <w:rFonts w:asciiTheme="majorBidi" w:hAnsiTheme="majorBidi" w:cstheme="majorBidi"/>
          <w:sz w:val="22"/>
          <w:szCs w:val="22"/>
        </w:rPr>
        <w:t xml:space="preserve">typically </w:t>
      </w:r>
      <w:r w:rsidR="00A1287B" w:rsidRPr="00A9281B">
        <w:rPr>
          <w:rFonts w:asciiTheme="majorBidi" w:hAnsiTheme="majorBidi" w:cstheme="majorBidi"/>
          <w:sz w:val="22"/>
          <w:szCs w:val="22"/>
        </w:rPr>
        <w:t>found to be key determinant</w:t>
      </w:r>
      <w:r w:rsidR="00D30739" w:rsidRPr="00A9281B">
        <w:rPr>
          <w:rFonts w:asciiTheme="majorBidi" w:hAnsiTheme="majorBidi" w:cstheme="majorBidi"/>
          <w:sz w:val="22"/>
          <w:szCs w:val="22"/>
        </w:rPr>
        <w:t>s</w:t>
      </w:r>
      <w:r w:rsidR="00A1287B" w:rsidRPr="00A9281B">
        <w:rPr>
          <w:rFonts w:asciiTheme="majorBidi" w:hAnsiTheme="majorBidi" w:cstheme="majorBidi"/>
          <w:sz w:val="22"/>
          <w:szCs w:val="22"/>
        </w:rPr>
        <w:t xml:space="preserve"> of overall service quality and in turn satisfaction, and this more so than elements such as </w:t>
      </w:r>
      <w:r w:rsidR="00A1287B" w:rsidRPr="00A9281B">
        <w:rPr>
          <w:rFonts w:asciiTheme="majorBidi" w:hAnsiTheme="majorBidi" w:cstheme="majorBidi"/>
          <w:iCs/>
          <w:sz w:val="22"/>
          <w:szCs w:val="22"/>
        </w:rPr>
        <w:t>social</w:t>
      </w:r>
      <w:r w:rsidR="00D30739" w:rsidRPr="00A9281B">
        <w:rPr>
          <w:rFonts w:asciiTheme="majorBidi" w:hAnsiTheme="majorBidi" w:cstheme="majorBidi"/>
          <w:iCs/>
          <w:sz w:val="22"/>
          <w:szCs w:val="22"/>
        </w:rPr>
        <w:t xml:space="preserve"> </w:t>
      </w:r>
      <w:r w:rsidR="00A1287B" w:rsidRPr="00A9281B">
        <w:rPr>
          <w:rFonts w:asciiTheme="majorBidi" w:hAnsiTheme="majorBidi" w:cstheme="majorBidi"/>
          <w:iCs/>
          <w:sz w:val="22"/>
          <w:szCs w:val="22"/>
        </w:rPr>
        <w:t>climate, physical infrastructure and the quality of services from administrative staff, though the latter are also significan</w:t>
      </w:r>
      <w:r w:rsidR="0058642B" w:rsidRPr="00A9281B">
        <w:rPr>
          <w:rFonts w:asciiTheme="majorBidi" w:hAnsiTheme="majorBidi" w:cstheme="majorBidi"/>
          <w:iCs/>
          <w:sz w:val="22"/>
          <w:szCs w:val="22"/>
        </w:rPr>
        <w:t xml:space="preserve">t. Responsiveness, </w:t>
      </w:r>
      <w:r w:rsidR="00A1287B" w:rsidRPr="00A9281B">
        <w:rPr>
          <w:rFonts w:asciiTheme="majorBidi" w:hAnsiTheme="majorBidi" w:cstheme="majorBidi"/>
          <w:iCs/>
          <w:sz w:val="22"/>
          <w:szCs w:val="22"/>
        </w:rPr>
        <w:t xml:space="preserve"> level of contact with </w:t>
      </w:r>
      <w:r w:rsidR="001C7DB3" w:rsidRPr="00A9281B">
        <w:rPr>
          <w:rFonts w:asciiTheme="majorBidi" w:hAnsiTheme="majorBidi" w:cstheme="majorBidi"/>
          <w:iCs/>
          <w:sz w:val="22"/>
          <w:szCs w:val="22"/>
        </w:rPr>
        <w:t xml:space="preserve">and access to </w:t>
      </w:r>
      <w:r w:rsidR="00A1287B" w:rsidRPr="00A9281B">
        <w:rPr>
          <w:rFonts w:asciiTheme="majorBidi" w:hAnsiTheme="majorBidi" w:cstheme="majorBidi"/>
          <w:iCs/>
          <w:sz w:val="22"/>
          <w:szCs w:val="22"/>
        </w:rPr>
        <w:t>academic staff have also been found to be significant in a number of studies (Wiers-Jensen et al, 2002; Douglas et al, 2007</w:t>
      </w:r>
      <w:r w:rsidR="00D30739" w:rsidRPr="00A9281B">
        <w:rPr>
          <w:rFonts w:asciiTheme="majorBidi" w:hAnsiTheme="majorBidi" w:cstheme="majorBidi"/>
          <w:iCs/>
          <w:sz w:val="22"/>
          <w:szCs w:val="22"/>
        </w:rPr>
        <w:t>; Elliott &amp; Healey, 2008</w:t>
      </w:r>
      <w:r w:rsidR="001C7DB3" w:rsidRPr="00A9281B">
        <w:rPr>
          <w:rFonts w:asciiTheme="majorBidi" w:hAnsiTheme="majorBidi" w:cstheme="majorBidi"/>
          <w:iCs/>
          <w:sz w:val="22"/>
          <w:szCs w:val="22"/>
        </w:rPr>
        <w:t>; DeShields et al, 2005; Ali et al, 2014</w:t>
      </w:r>
      <w:r w:rsidR="007877F0" w:rsidRPr="00A9281B">
        <w:rPr>
          <w:rFonts w:asciiTheme="majorBidi" w:hAnsiTheme="majorBidi" w:cstheme="majorBidi"/>
          <w:iCs/>
          <w:sz w:val="22"/>
          <w:szCs w:val="22"/>
        </w:rPr>
        <w:t>; Douglass et al, 2014</w:t>
      </w:r>
      <w:r w:rsidR="00A1287B" w:rsidRPr="00A9281B">
        <w:rPr>
          <w:rFonts w:asciiTheme="majorBidi" w:hAnsiTheme="majorBidi" w:cstheme="majorBidi"/>
          <w:iCs/>
          <w:sz w:val="22"/>
          <w:szCs w:val="22"/>
        </w:rPr>
        <w:t>)</w:t>
      </w:r>
      <w:r w:rsidR="001C7DB3" w:rsidRPr="00A9281B">
        <w:rPr>
          <w:rFonts w:asciiTheme="majorBidi" w:hAnsiTheme="majorBidi" w:cstheme="majorBidi"/>
          <w:iCs/>
          <w:sz w:val="22"/>
          <w:szCs w:val="22"/>
        </w:rPr>
        <w:t xml:space="preserve">. These findings appear to be replicated across contexts, with studies in </w:t>
      </w:r>
      <w:r w:rsidR="007877F0" w:rsidRPr="00A9281B">
        <w:rPr>
          <w:rFonts w:asciiTheme="majorBidi" w:hAnsiTheme="majorBidi" w:cstheme="majorBidi"/>
          <w:iCs/>
          <w:sz w:val="22"/>
          <w:szCs w:val="22"/>
        </w:rPr>
        <w:t xml:space="preserve">the UK, </w:t>
      </w:r>
      <w:r w:rsidR="001C7DB3" w:rsidRPr="00A9281B">
        <w:rPr>
          <w:rFonts w:asciiTheme="majorBidi" w:hAnsiTheme="majorBidi" w:cstheme="majorBidi"/>
          <w:iCs/>
          <w:sz w:val="22"/>
          <w:szCs w:val="22"/>
        </w:rPr>
        <w:t>Europe, North America and Asia showing similar results.</w:t>
      </w:r>
    </w:p>
    <w:p w14:paraId="7257B26B" w14:textId="2964A3CA" w:rsidR="001F19F0" w:rsidRPr="00A9281B" w:rsidRDefault="001F19F0" w:rsidP="00CE6144">
      <w:pPr>
        <w:rPr>
          <w:rFonts w:asciiTheme="majorBidi" w:hAnsiTheme="majorBidi" w:cstheme="majorBidi"/>
          <w:sz w:val="22"/>
          <w:szCs w:val="22"/>
        </w:rPr>
      </w:pPr>
    </w:p>
    <w:p w14:paraId="14EC4C09" w14:textId="5C534F68" w:rsidR="001F19F0" w:rsidRPr="00A9281B" w:rsidRDefault="00B97BC2" w:rsidP="00CE6144">
      <w:pPr>
        <w:rPr>
          <w:rFonts w:asciiTheme="majorBidi" w:hAnsiTheme="majorBidi" w:cstheme="majorBidi"/>
          <w:sz w:val="22"/>
          <w:szCs w:val="22"/>
        </w:rPr>
      </w:pPr>
      <w:r w:rsidRPr="00A9281B">
        <w:rPr>
          <w:rFonts w:asciiTheme="majorBidi" w:hAnsiTheme="majorBidi" w:cstheme="majorBidi"/>
          <w:sz w:val="22"/>
          <w:szCs w:val="22"/>
        </w:rPr>
        <w:t xml:space="preserve">Of course, while most satisfaction surveys have focussed on students still at university, it may </w:t>
      </w:r>
      <w:r w:rsidR="00265CE8" w:rsidRPr="00A9281B">
        <w:rPr>
          <w:rFonts w:asciiTheme="majorBidi" w:hAnsiTheme="majorBidi" w:cstheme="majorBidi"/>
          <w:sz w:val="22"/>
          <w:szCs w:val="22"/>
        </w:rPr>
        <w:t xml:space="preserve">also </w:t>
      </w:r>
      <w:r w:rsidRPr="00A9281B">
        <w:rPr>
          <w:rFonts w:asciiTheme="majorBidi" w:hAnsiTheme="majorBidi" w:cstheme="majorBidi"/>
          <w:sz w:val="22"/>
          <w:szCs w:val="22"/>
        </w:rPr>
        <w:t xml:space="preserve">be helpful to gain an account once they have left and can make a retrospective judgement. </w:t>
      </w:r>
      <w:r w:rsidR="001D3F66" w:rsidRPr="00A9281B">
        <w:rPr>
          <w:rFonts w:asciiTheme="majorBidi" w:hAnsiTheme="majorBidi" w:cstheme="majorBidi"/>
          <w:sz w:val="22"/>
          <w:szCs w:val="22"/>
        </w:rPr>
        <w:t>One pan-European study of students four years after graduating showed overall high levels of satisfaction, though levels of satisfaction were somewhat lower with regards to opportunities to participate in research, supply of teaching materials, provision of work experience opportunities, testing/grading and opportunities to interact with staff outside of the classroom. Interestingly, differences between countries (11 participated) were small, but there were significant relationships with demographic characteristics, with older and male respondents expressing greater levels of satisfaction, as did those studying mathematics-related subjects an</w:t>
      </w:r>
      <w:r w:rsidR="0058642B" w:rsidRPr="00A9281B">
        <w:rPr>
          <w:rFonts w:asciiTheme="majorBidi" w:hAnsiTheme="majorBidi" w:cstheme="majorBidi"/>
          <w:sz w:val="22"/>
          <w:szCs w:val="22"/>
        </w:rPr>
        <w:t>d</w:t>
      </w:r>
      <w:r w:rsidR="001D3F66" w:rsidRPr="00A9281B">
        <w:rPr>
          <w:rFonts w:asciiTheme="majorBidi" w:hAnsiTheme="majorBidi" w:cstheme="majorBidi"/>
          <w:sz w:val="22"/>
          <w:szCs w:val="22"/>
        </w:rPr>
        <w:t xml:space="preserve"> those stating they were applying their learning in their current work environment (Garcia-Aracil, 2009).</w:t>
      </w:r>
      <w:r w:rsidR="00F84E24" w:rsidRPr="00A9281B">
        <w:rPr>
          <w:rFonts w:asciiTheme="majorBidi" w:hAnsiTheme="majorBidi" w:cstheme="majorBidi"/>
          <w:sz w:val="22"/>
          <w:szCs w:val="22"/>
        </w:rPr>
        <w:t xml:space="preserve"> </w:t>
      </w:r>
      <w:r w:rsidR="00A321A8" w:rsidRPr="00A9281B">
        <w:rPr>
          <w:rFonts w:asciiTheme="majorBidi" w:hAnsiTheme="majorBidi" w:cstheme="majorBidi"/>
          <w:sz w:val="22"/>
          <w:szCs w:val="22"/>
        </w:rPr>
        <w:t xml:space="preserve">As well as demographic characteristics, a few studies have looked at other individual student characteristics, DeWitz &amp; Walsh (2002) </w:t>
      </w:r>
      <w:r w:rsidR="00A1287B" w:rsidRPr="00A9281B">
        <w:rPr>
          <w:rFonts w:asciiTheme="majorBidi" w:hAnsiTheme="majorBidi" w:cstheme="majorBidi"/>
          <w:sz w:val="22"/>
          <w:szCs w:val="22"/>
        </w:rPr>
        <w:t xml:space="preserve">and Arambela &amp; Hall (2013) </w:t>
      </w:r>
      <w:r w:rsidR="00A321A8" w:rsidRPr="00A9281B">
        <w:rPr>
          <w:rFonts w:asciiTheme="majorBidi" w:hAnsiTheme="majorBidi" w:cstheme="majorBidi"/>
          <w:sz w:val="22"/>
          <w:szCs w:val="22"/>
        </w:rPr>
        <w:t xml:space="preserve">finding a significant </w:t>
      </w:r>
      <w:r w:rsidR="0058642B" w:rsidRPr="00A9281B">
        <w:rPr>
          <w:rFonts w:asciiTheme="majorBidi" w:hAnsiTheme="majorBidi" w:cstheme="majorBidi"/>
          <w:sz w:val="22"/>
          <w:szCs w:val="22"/>
        </w:rPr>
        <w:t xml:space="preserve">relationship with self-efficacy, </w:t>
      </w:r>
      <w:r w:rsidR="00A1287B" w:rsidRPr="00A9281B">
        <w:rPr>
          <w:rFonts w:asciiTheme="majorBidi" w:hAnsiTheme="majorBidi" w:cstheme="majorBidi"/>
          <w:sz w:val="22"/>
          <w:szCs w:val="22"/>
        </w:rPr>
        <w:t>and the latter reporting a negative relationship between personal hedonism and satisfaction among Asian postgraduate students, though effect sizes in all cases were weak or modest</w:t>
      </w:r>
      <w:r w:rsidR="00A321A8" w:rsidRPr="00A9281B">
        <w:rPr>
          <w:rFonts w:asciiTheme="majorBidi" w:hAnsiTheme="majorBidi" w:cstheme="majorBidi"/>
          <w:sz w:val="22"/>
          <w:szCs w:val="22"/>
        </w:rPr>
        <w:t>.</w:t>
      </w:r>
    </w:p>
    <w:p w14:paraId="78B79DA3" w14:textId="37276662" w:rsidR="001D3F66" w:rsidRPr="00A9281B" w:rsidRDefault="001D3F66" w:rsidP="00CE6144">
      <w:pPr>
        <w:rPr>
          <w:rFonts w:asciiTheme="majorBidi" w:hAnsiTheme="majorBidi" w:cstheme="majorBidi"/>
          <w:sz w:val="22"/>
          <w:szCs w:val="22"/>
        </w:rPr>
      </w:pPr>
    </w:p>
    <w:p w14:paraId="30D0C657" w14:textId="49D76F4E" w:rsidR="001D3F66" w:rsidRPr="00A9281B" w:rsidRDefault="001D3F66" w:rsidP="00CE6144">
      <w:pPr>
        <w:rPr>
          <w:rFonts w:asciiTheme="majorBidi" w:hAnsiTheme="majorBidi" w:cstheme="majorBidi"/>
          <w:sz w:val="22"/>
          <w:szCs w:val="22"/>
        </w:rPr>
      </w:pPr>
      <w:r w:rsidRPr="00A9281B">
        <w:rPr>
          <w:rFonts w:asciiTheme="majorBidi" w:hAnsiTheme="majorBidi" w:cstheme="majorBidi"/>
          <w:sz w:val="22"/>
          <w:szCs w:val="22"/>
        </w:rPr>
        <w:t>What is notable in the papers reviewed is that hardly any use analytical methods that account for the stratified nature of their samples, with students nested in HE institutions, which makes accurate estimation of the actual institutional effect</w:t>
      </w:r>
      <w:r w:rsidR="0058642B" w:rsidRPr="00A9281B">
        <w:rPr>
          <w:rFonts w:asciiTheme="majorBidi" w:hAnsiTheme="majorBidi" w:cstheme="majorBidi"/>
          <w:sz w:val="22"/>
          <w:szCs w:val="22"/>
        </w:rPr>
        <w:t>s</w:t>
      </w:r>
      <w:r w:rsidRPr="00A9281B">
        <w:rPr>
          <w:rFonts w:asciiTheme="majorBidi" w:hAnsiTheme="majorBidi" w:cstheme="majorBidi"/>
          <w:sz w:val="22"/>
          <w:szCs w:val="22"/>
        </w:rPr>
        <w:t xml:space="preserve"> on satisfaction and engagement problematic. </w:t>
      </w:r>
      <w:r w:rsidR="00BA52AC" w:rsidRPr="00A9281B">
        <w:rPr>
          <w:rFonts w:asciiTheme="majorBidi" w:hAnsiTheme="majorBidi" w:cstheme="majorBidi"/>
          <w:sz w:val="22"/>
          <w:szCs w:val="22"/>
        </w:rPr>
        <w:t xml:space="preserve">Typically, structural equation models are used, which in most cases do not control for either stratification or student demographic characteristics. </w:t>
      </w:r>
      <w:r w:rsidRPr="00A9281B">
        <w:rPr>
          <w:rFonts w:asciiTheme="majorBidi" w:hAnsiTheme="majorBidi" w:cstheme="majorBidi"/>
          <w:sz w:val="22"/>
          <w:szCs w:val="22"/>
        </w:rPr>
        <w:t>One study that did use multilevel modelling to account for the structure of the sample was Mars</w:t>
      </w:r>
      <w:r w:rsidR="007A69F1" w:rsidRPr="00A9281B">
        <w:rPr>
          <w:rFonts w:asciiTheme="majorBidi" w:hAnsiTheme="majorBidi" w:cstheme="majorBidi"/>
          <w:sz w:val="22"/>
          <w:szCs w:val="22"/>
        </w:rPr>
        <w:t xml:space="preserve">h </w:t>
      </w:r>
      <w:r w:rsidR="0058642B" w:rsidRPr="00A9281B">
        <w:rPr>
          <w:rFonts w:asciiTheme="majorBidi" w:hAnsiTheme="majorBidi" w:cstheme="majorBidi"/>
          <w:sz w:val="22"/>
          <w:szCs w:val="22"/>
        </w:rPr>
        <w:t xml:space="preserve">&amp; Cheng’s (2008) study </w:t>
      </w:r>
      <w:r w:rsidR="007A69F1" w:rsidRPr="00A9281B">
        <w:rPr>
          <w:rFonts w:asciiTheme="majorBidi" w:hAnsiTheme="majorBidi" w:cstheme="majorBidi"/>
          <w:sz w:val="22"/>
          <w:szCs w:val="22"/>
        </w:rPr>
        <w:t>on undergraduate students in the UK, analysing data from the National Students Survey.</w:t>
      </w:r>
      <w:r w:rsidR="000C7E8E" w:rsidRPr="00A9281B">
        <w:rPr>
          <w:rFonts w:asciiTheme="majorBidi" w:hAnsiTheme="majorBidi" w:cstheme="majorBidi"/>
          <w:sz w:val="22"/>
          <w:szCs w:val="22"/>
        </w:rPr>
        <w:t xml:space="preserve"> Using multilevel modelling to look at two years of data, they found that university attended explained only 2.5% of the variance in overall student satisfaction, though institutional rankings were stable over the two years.</w:t>
      </w:r>
      <w:r w:rsidR="007A69F1" w:rsidRPr="00A9281B">
        <w:rPr>
          <w:rFonts w:asciiTheme="majorBidi" w:hAnsiTheme="majorBidi" w:cstheme="majorBidi"/>
          <w:sz w:val="22"/>
          <w:szCs w:val="22"/>
        </w:rPr>
        <w:t xml:space="preserve"> </w:t>
      </w:r>
      <w:r w:rsidR="000C7E8E" w:rsidRPr="00A9281B">
        <w:rPr>
          <w:rFonts w:asciiTheme="majorBidi" w:hAnsiTheme="majorBidi" w:cstheme="majorBidi"/>
          <w:sz w:val="22"/>
          <w:szCs w:val="22"/>
        </w:rPr>
        <w:t xml:space="preserve">Around 4.5% of variance was explained by discipline. </w:t>
      </w:r>
      <w:r w:rsidR="00F84E24" w:rsidRPr="00A9281B">
        <w:rPr>
          <w:rFonts w:asciiTheme="majorBidi" w:hAnsiTheme="majorBidi" w:cstheme="majorBidi"/>
          <w:sz w:val="22"/>
          <w:szCs w:val="22"/>
        </w:rPr>
        <w:t xml:space="preserve">Similar findings of limited HE effects are found in studies using the Course Experience Questionnaire in Australia, which likewise does not distinguish strongly between HEI’s or courses taken (Richardson, 2005). </w:t>
      </w:r>
    </w:p>
    <w:p w14:paraId="7B90113D" w14:textId="77777777" w:rsidR="001D3F66" w:rsidRPr="00A9281B" w:rsidRDefault="001D3F66" w:rsidP="00CE6144">
      <w:pPr>
        <w:rPr>
          <w:rFonts w:asciiTheme="majorBidi" w:hAnsiTheme="majorBidi" w:cstheme="majorBidi"/>
          <w:sz w:val="22"/>
          <w:szCs w:val="22"/>
        </w:rPr>
      </w:pPr>
    </w:p>
    <w:p w14:paraId="0D532093" w14:textId="77777777" w:rsidR="001F19F0" w:rsidRDefault="001F19F0" w:rsidP="00CE6144">
      <w:pPr>
        <w:rPr>
          <w:rFonts w:asciiTheme="majorBidi" w:hAnsiTheme="majorBidi" w:cstheme="majorBidi"/>
          <w:sz w:val="22"/>
          <w:szCs w:val="22"/>
        </w:rPr>
      </w:pPr>
    </w:p>
    <w:p w14:paraId="167C8A4C" w14:textId="77777777" w:rsidR="00A9281B" w:rsidRPr="00A9281B" w:rsidRDefault="00A9281B" w:rsidP="00CE6144">
      <w:pPr>
        <w:rPr>
          <w:rFonts w:asciiTheme="majorBidi" w:hAnsiTheme="majorBidi" w:cstheme="majorBidi"/>
          <w:sz w:val="22"/>
          <w:szCs w:val="22"/>
        </w:rPr>
      </w:pPr>
    </w:p>
    <w:p w14:paraId="152144FA" w14:textId="0B45A3BB" w:rsidR="00066F2E" w:rsidRPr="00A9281B" w:rsidRDefault="00066F2E" w:rsidP="00E148C3">
      <w:pPr>
        <w:rPr>
          <w:rFonts w:asciiTheme="majorBidi" w:hAnsiTheme="majorBidi" w:cstheme="majorBidi"/>
          <w:b/>
          <w:sz w:val="22"/>
          <w:szCs w:val="22"/>
        </w:rPr>
      </w:pPr>
      <w:r w:rsidRPr="00A9281B">
        <w:rPr>
          <w:rFonts w:asciiTheme="majorBidi" w:hAnsiTheme="majorBidi" w:cstheme="majorBidi"/>
          <w:b/>
          <w:sz w:val="22"/>
          <w:szCs w:val="22"/>
        </w:rPr>
        <w:t>The Postgraduate Taught Experience Survey</w:t>
      </w:r>
    </w:p>
    <w:p w14:paraId="50F3FA60" w14:textId="77777777" w:rsidR="00066F2E" w:rsidRPr="00A9281B" w:rsidRDefault="00066F2E" w:rsidP="00CE6144">
      <w:pPr>
        <w:rPr>
          <w:rFonts w:asciiTheme="majorBidi" w:hAnsiTheme="majorBidi" w:cstheme="majorBidi"/>
          <w:color w:val="FF0000"/>
          <w:sz w:val="22"/>
          <w:szCs w:val="22"/>
        </w:rPr>
      </w:pPr>
    </w:p>
    <w:p w14:paraId="5B2F9681" w14:textId="79B2698E" w:rsidR="00D34C39" w:rsidRPr="00A9281B" w:rsidRDefault="00CE6144" w:rsidP="00464F62">
      <w:pPr>
        <w:rPr>
          <w:rFonts w:asciiTheme="majorBidi" w:eastAsiaTheme="minorEastAsia" w:hAnsiTheme="majorBidi" w:cstheme="majorBidi"/>
          <w:sz w:val="22"/>
          <w:szCs w:val="22"/>
          <w:lang w:eastAsia="zh-CN"/>
        </w:rPr>
      </w:pPr>
      <w:r w:rsidRPr="00A9281B">
        <w:rPr>
          <w:rFonts w:asciiTheme="majorBidi" w:hAnsiTheme="majorBidi" w:cstheme="majorBidi"/>
          <w:sz w:val="22"/>
          <w:szCs w:val="22"/>
        </w:rPr>
        <w:t>The Postgraduate Taught Experience Survey (PTES) is a national survey of PGT student satisfaction</w:t>
      </w:r>
      <w:r w:rsidR="00484FBB" w:rsidRPr="00A9281B">
        <w:rPr>
          <w:rFonts w:asciiTheme="majorBidi" w:hAnsiTheme="majorBidi" w:cstheme="majorBidi"/>
          <w:sz w:val="22"/>
          <w:szCs w:val="22"/>
        </w:rPr>
        <w:t xml:space="preserve"> </w:t>
      </w:r>
      <w:r w:rsidR="00245D17" w:rsidRPr="00A9281B">
        <w:rPr>
          <w:rFonts w:asciiTheme="majorBidi" w:hAnsiTheme="majorBidi" w:cstheme="majorBidi"/>
          <w:sz w:val="22"/>
          <w:szCs w:val="22"/>
        </w:rPr>
        <w:t>conducted</w:t>
      </w:r>
      <w:r w:rsidR="00484FBB" w:rsidRPr="00A9281B">
        <w:rPr>
          <w:rFonts w:asciiTheme="majorBidi" w:hAnsiTheme="majorBidi" w:cstheme="majorBidi"/>
          <w:sz w:val="22"/>
          <w:szCs w:val="22"/>
        </w:rPr>
        <w:t xml:space="preserve"> in the UK</w:t>
      </w:r>
      <w:r w:rsidRPr="00A9281B">
        <w:rPr>
          <w:rFonts w:asciiTheme="majorBidi" w:hAnsiTheme="majorBidi" w:cstheme="majorBidi"/>
          <w:sz w:val="22"/>
          <w:szCs w:val="22"/>
        </w:rPr>
        <w:t xml:space="preserve">. 100 HEI’s and almost 70000 students participated in the most recent (2015) survey. The instrument consists of 39 questions, designed to elicit views of students on their experiences regarding </w:t>
      </w:r>
      <w:r w:rsidRPr="00A9281B">
        <w:rPr>
          <w:rFonts w:asciiTheme="majorBidi" w:hAnsiTheme="majorBidi" w:cstheme="majorBidi"/>
          <w:sz w:val="22"/>
          <w:szCs w:val="22"/>
          <w:lang w:val="en-AU"/>
        </w:rPr>
        <w:t>Teaching and Learning, Engagement, Assessment and Feedback, Dissertation or Major Project, Organisation and Management, Resources and Services</w:t>
      </w:r>
      <w:r w:rsidR="00245D17" w:rsidRPr="00A9281B">
        <w:rPr>
          <w:rFonts w:asciiTheme="majorBidi" w:hAnsiTheme="majorBidi" w:cstheme="majorBidi"/>
          <w:sz w:val="22"/>
          <w:szCs w:val="22"/>
          <w:lang w:val="en-AU"/>
        </w:rPr>
        <w:t>,</w:t>
      </w:r>
      <w:r w:rsidRPr="00A9281B">
        <w:rPr>
          <w:rFonts w:asciiTheme="majorBidi" w:hAnsiTheme="majorBidi" w:cstheme="majorBidi"/>
          <w:sz w:val="22"/>
          <w:szCs w:val="22"/>
          <w:lang w:val="en-AU"/>
        </w:rPr>
        <w:t xml:space="preserve"> Skills Development and a range of socio-demographic variables, as well as motivations for choosing their course and views on </w:t>
      </w:r>
      <w:r w:rsidR="00245D17" w:rsidRPr="00A9281B">
        <w:rPr>
          <w:rFonts w:asciiTheme="majorBidi" w:hAnsiTheme="majorBidi" w:cstheme="majorBidi"/>
          <w:sz w:val="22"/>
          <w:szCs w:val="22"/>
          <w:lang w:val="en-AU"/>
        </w:rPr>
        <w:t xml:space="preserve">the </w:t>
      </w:r>
      <w:r w:rsidRPr="00A9281B">
        <w:rPr>
          <w:rFonts w:asciiTheme="majorBidi" w:hAnsiTheme="majorBidi" w:cstheme="majorBidi"/>
          <w:sz w:val="22"/>
          <w:szCs w:val="22"/>
          <w:lang w:val="en-AU"/>
        </w:rPr>
        <w:t>information provided by their HEI.</w:t>
      </w:r>
      <w:r w:rsidR="002F70A9" w:rsidRPr="00A9281B">
        <w:rPr>
          <w:rFonts w:asciiTheme="majorBidi" w:hAnsiTheme="majorBidi" w:cstheme="majorBidi"/>
          <w:sz w:val="22"/>
          <w:szCs w:val="22"/>
          <w:lang w:val="en-AU"/>
        </w:rPr>
        <w:t xml:space="preserve"> The scales were developed using principal components methods, and show good internal consistency (Soilemetzidis et al, 2014).</w:t>
      </w:r>
      <w:r w:rsidRPr="00A9281B">
        <w:rPr>
          <w:rFonts w:asciiTheme="majorBidi" w:hAnsiTheme="majorBidi" w:cstheme="majorBidi"/>
          <w:sz w:val="22"/>
          <w:szCs w:val="22"/>
          <w:lang w:val="en-AU"/>
        </w:rPr>
        <w:t xml:space="preserve"> The profile of respondents is broadly in line with the national PGT population, </w:t>
      </w:r>
      <w:r w:rsidR="00245D17" w:rsidRPr="00A9281B">
        <w:rPr>
          <w:rFonts w:asciiTheme="majorBidi" w:eastAsiaTheme="minorEastAsia" w:hAnsiTheme="majorBidi" w:cstheme="majorBidi"/>
          <w:sz w:val="22"/>
          <w:szCs w:val="22"/>
          <w:lang w:val="en-AU" w:eastAsia="zh-CN"/>
        </w:rPr>
        <w:t>though there is a slight underrepresentation of part time students,</w:t>
      </w:r>
      <w:r w:rsidR="00245D17" w:rsidRPr="00A9281B">
        <w:rPr>
          <w:rFonts w:asciiTheme="majorBidi" w:hAnsiTheme="majorBidi" w:cstheme="majorBidi"/>
          <w:sz w:val="22"/>
          <w:szCs w:val="22"/>
          <w:lang w:val="en-AU"/>
        </w:rPr>
        <w:t xml:space="preserve"> </w:t>
      </w:r>
      <w:r w:rsidRPr="00A9281B">
        <w:rPr>
          <w:rFonts w:asciiTheme="majorBidi" w:hAnsiTheme="majorBidi" w:cstheme="majorBidi"/>
          <w:sz w:val="22"/>
          <w:szCs w:val="22"/>
          <w:lang w:val="en-AU"/>
        </w:rPr>
        <w:t>and the surveys typically get a response rate of just under 30%</w:t>
      </w:r>
      <w:r w:rsidR="00245D17" w:rsidRPr="00A9281B">
        <w:rPr>
          <w:rFonts w:asciiTheme="majorBidi" w:hAnsiTheme="majorBidi" w:cstheme="majorBidi"/>
          <w:sz w:val="22"/>
          <w:szCs w:val="22"/>
          <w:lang w:val="en-AU"/>
        </w:rPr>
        <w:t xml:space="preserve"> </w:t>
      </w:r>
      <w:r w:rsidRPr="00A9281B">
        <w:rPr>
          <w:rFonts w:asciiTheme="majorBidi" w:hAnsiTheme="majorBidi" w:cstheme="majorBidi"/>
          <w:sz w:val="22"/>
          <w:szCs w:val="22"/>
          <w:lang w:val="en-AU"/>
        </w:rPr>
        <w:t>(Soilemetzidis et al, 2014).</w:t>
      </w:r>
      <w:r w:rsidRPr="00A9281B">
        <w:rPr>
          <w:rFonts w:asciiTheme="majorBidi" w:eastAsiaTheme="minorEastAsia" w:hAnsiTheme="majorBidi" w:cstheme="majorBidi"/>
          <w:sz w:val="22"/>
          <w:szCs w:val="22"/>
          <w:lang w:val="en-AU" w:eastAsia="zh-CN"/>
        </w:rPr>
        <w:t xml:space="preserve"> </w:t>
      </w:r>
      <w:r w:rsidRPr="00A9281B">
        <w:rPr>
          <w:rFonts w:asciiTheme="majorBidi" w:eastAsiaTheme="minorEastAsia" w:hAnsiTheme="majorBidi" w:cstheme="majorBidi"/>
          <w:sz w:val="22"/>
          <w:szCs w:val="22"/>
          <w:lang w:eastAsia="zh-CN"/>
        </w:rPr>
        <w:t xml:space="preserve">The items included in the scales consist of Likert style items, going from 1 (definitely disagree) to 5 (definitely agree). </w:t>
      </w:r>
      <w:r w:rsidR="002F70A9" w:rsidRPr="00A9281B">
        <w:rPr>
          <w:rFonts w:asciiTheme="majorBidi" w:eastAsiaTheme="minorEastAsia" w:hAnsiTheme="majorBidi" w:cstheme="majorBidi"/>
          <w:sz w:val="22"/>
          <w:szCs w:val="22"/>
          <w:lang w:eastAsia="zh-CN"/>
        </w:rPr>
        <w:t xml:space="preserve">The seven scales are significantly correlated, with coefficients ranging from .35 (resources and assessment) to .75 (teaching and assessment). The scale developers also posit an overall satisfaction scale. This appears justified on the basis of the </w:t>
      </w:r>
      <w:r w:rsidR="00514F61" w:rsidRPr="00A9281B">
        <w:rPr>
          <w:rFonts w:asciiTheme="majorBidi" w:eastAsiaTheme="minorEastAsia" w:hAnsiTheme="majorBidi" w:cstheme="majorBidi"/>
          <w:sz w:val="22"/>
          <w:szCs w:val="22"/>
          <w:lang w:eastAsia="zh-CN"/>
        </w:rPr>
        <w:t>correlations</w:t>
      </w:r>
      <w:r w:rsidR="002F70A9" w:rsidRPr="00A9281B">
        <w:rPr>
          <w:rFonts w:asciiTheme="majorBidi" w:eastAsiaTheme="minorEastAsia" w:hAnsiTheme="majorBidi" w:cstheme="majorBidi"/>
          <w:sz w:val="22"/>
          <w:szCs w:val="22"/>
          <w:lang w:eastAsia="zh-CN"/>
        </w:rPr>
        <w:t xml:space="preserve">, but has not been explicitly tested in the analyses. </w:t>
      </w:r>
      <w:r w:rsidRPr="00A9281B">
        <w:rPr>
          <w:rFonts w:asciiTheme="majorBidi" w:eastAsiaTheme="minorEastAsia" w:hAnsiTheme="majorBidi" w:cstheme="majorBidi"/>
          <w:sz w:val="22"/>
          <w:szCs w:val="22"/>
          <w:lang w:eastAsia="zh-CN"/>
        </w:rPr>
        <w:t>For more information on the structure of the instruments we refer to the PTES reports</w:t>
      </w:r>
      <w:r w:rsidR="00514F61" w:rsidRPr="00A9281B">
        <w:rPr>
          <w:rFonts w:asciiTheme="majorBidi" w:eastAsiaTheme="minorEastAsia" w:hAnsiTheme="majorBidi" w:cstheme="majorBidi"/>
          <w:sz w:val="22"/>
          <w:szCs w:val="22"/>
          <w:lang w:eastAsia="zh-CN"/>
        </w:rPr>
        <w:t xml:space="preserve"> (Soilemetzidis et al, 2014), which provide detailed information on levels of student satisfaction in the different domains. For this study, we will use the </w:t>
      </w:r>
      <w:r w:rsidRPr="00A9281B">
        <w:rPr>
          <w:rFonts w:asciiTheme="majorBidi" w:eastAsiaTheme="minorEastAsia" w:hAnsiTheme="majorBidi" w:cstheme="majorBidi"/>
          <w:sz w:val="22"/>
          <w:szCs w:val="22"/>
          <w:lang w:eastAsia="zh-CN"/>
        </w:rPr>
        <w:t xml:space="preserve">data from </w:t>
      </w:r>
      <w:r w:rsidR="00514F61" w:rsidRPr="00A9281B">
        <w:rPr>
          <w:rFonts w:asciiTheme="majorBidi" w:eastAsiaTheme="minorEastAsia" w:hAnsiTheme="majorBidi" w:cstheme="majorBidi"/>
          <w:sz w:val="22"/>
          <w:szCs w:val="22"/>
          <w:lang w:eastAsia="zh-CN"/>
        </w:rPr>
        <w:t xml:space="preserve">the </w:t>
      </w:r>
      <w:r w:rsidRPr="00A9281B">
        <w:rPr>
          <w:rFonts w:asciiTheme="majorBidi" w:eastAsiaTheme="minorEastAsia" w:hAnsiTheme="majorBidi" w:cstheme="majorBidi"/>
          <w:sz w:val="22"/>
          <w:szCs w:val="22"/>
          <w:lang w:eastAsia="zh-CN"/>
        </w:rPr>
        <w:t>2014 and 2015 PTES editions</w:t>
      </w:r>
      <w:r w:rsidR="00514F61" w:rsidRPr="00A9281B">
        <w:rPr>
          <w:rFonts w:asciiTheme="majorBidi" w:eastAsiaTheme="minorEastAsia" w:hAnsiTheme="majorBidi" w:cstheme="majorBidi"/>
          <w:sz w:val="22"/>
          <w:szCs w:val="22"/>
          <w:lang w:eastAsia="zh-CN"/>
        </w:rPr>
        <w:t xml:space="preserve"> to answer three key research questions that relate to the overarch</w:t>
      </w:r>
      <w:r w:rsidR="00245D17" w:rsidRPr="00A9281B">
        <w:rPr>
          <w:rFonts w:asciiTheme="majorBidi" w:eastAsiaTheme="minorEastAsia" w:hAnsiTheme="majorBidi" w:cstheme="majorBidi"/>
          <w:sz w:val="22"/>
          <w:szCs w:val="22"/>
          <w:lang w:eastAsia="zh-CN"/>
        </w:rPr>
        <w:t>ing question</w:t>
      </w:r>
      <w:r w:rsidR="00514F61" w:rsidRPr="00A9281B">
        <w:rPr>
          <w:rFonts w:asciiTheme="majorBidi" w:eastAsiaTheme="minorEastAsia" w:hAnsiTheme="majorBidi" w:cstheme="majorBidi"/>
          <w:sz w:val="22"/>
          <w:szCs w:val="22"/>
          <w:lang w:eastAsia="zh-CN"/>
        </w:rPr>
        <w:t xml:space="preserve"> of determinants of student satisfaction, and in particular the </w:t>
      </w:r>
      <w:r w:rsidR="00245D17" w:rsidRPr="00A9281B">
        <w:rPr>
          <w:rFonts w:asciiTheme="majorBidi" w:eastAsiaTheme="minorEastAsia" w:hAnsiTheme="majorBidi" w:cstheme="majorBidi"/>
          <w:sz w:val="22"/>
          <w:szCs w:val="22"/>
          <w:lang w:eastAsia="zh-CN"/>
        </w:rPr>
        <w:t>respective importance of</w:t>
      </w:r>
      <w:r w:rsidR="00514F61" w:rsidRPr="00A9281B">
        <w:rPr>
          <w:rFonts w:asciiTheme="majorBidi" w:eastAsiaTheme="minorEastAsia" w:hAnsiTheme="majorBidi" w:cstheme="majorBidi"/>
          <w:sz w:val="22"/>
          <w:szCs w:val="22"/>
          <w:lang w:eastAsia="zh-CN"/>
        </w:rPr>
        <w:t xml:space="preserve"> individual and institutional factors:</w:t>
      </w:r>
    </w:p>
    <w:p w14:paraId="4BADC2A8" w14:textId="686888B0" w:rsidR="00D34C39" w:rsidRPr="00A9281B" w:rsidRDefault="003B7134" w:rsidP="00D34C39">
      <w:pPr>
        <w:pStyle w:val="ListParagraph"/>
        <w:numPr>
          <w:ilvl w:val="0"/>
          <w:numId w:val="9"/>
        </w:numPr>
        <w:rPr>
          <w:rFonts w:asciiTheme="majorBidi" w:eastAsiaTheme="minorEastAsia" w:hAnsiTheme="majorBidi"/>
          <w:lang w:eastAsia="zh-CN"/>
        </w:rPr>
      </w:pPr>
      <w:r w:rsidRPr="00A9281B">
        <w:rPr>
          <w:rFonts w:asciiTheme="majorBidi" w:eastAsiaTheme="minorEastAsia" w:hAnsiTheme="majorBidi"/>
          <w:lang w:eastAsia="zh-CN"/>
        </w:rPr>
        <w:t>Is postgraduate student satisfaction a hierarchical multidimensional construct?</w:t>
      </w:r>
    </w:p>
    <w:p w14:paraId="6F108424" w14:textId="6A3201C8" w:rsidR="00D34C39" w:rsidRPr="00A9281B" w:rsidRDefault="003B7134" w:rsidP="003B7134">
      <w:pPr>
        <w:pStyle w:val="ListParagraph"/>
        <w:numPr>
          <w:ilvl w:val="0"/>
          <w:numId w:val="9"/>
        </w:numPr>
        <w:rPr>
          <w:rFonts w:asciiTheme="majorBidi" w:hAnsiTheme="majorBidi"/>
        </w:rPr>
      </w:pPr>
      <w:r w:rsidRPr="00A9281B">
        <w:rPr>
          <w:rFonts w:asciiTheme="majorBidi" w:hAnsiTheme="majorBidi"/>
        </w:rPr>
        <w:t>W</w:t>
      </w:r>
      <w:r w:rsidR="00D34C39" w:rsidRPr="00A9281B">
        <w:rPr>
          <w:rFonts w:asciiTheme="majorBidi" w:hAnsiTheme="majorBidi"/>
        </w:rPr>
        <w:t xml:space="preserve">hat proportion of the variance in </w:t>
      </w:r>
      <w:r w:rsidRPr="00A9281B">
        <w:rPr>
          <w:rFonts w:asciiTheme="majorBidi" w:hAnsiTheme="majorBidi"/>
        </w:rPr>
        <w:t>satisfaction</w:t>
      </w:r>
      <w:r w:rsidR="00D34C39" w:rsidRPr="00A9281B">
        <w:rPr>
          <w:rFonts w:asciiTheme="majorBidi" w:hAnsiTheme="majorBidi"/>
        </w:rPr>
        <w:t xml:space="preserve"> is explained by student and institutional characteristics</w:t>
      </w:r>
      <w:r w:rsidR="00D34C39" w:rsidRPr="00A9281B">
        <w:rPr>
          <w:rFonts w:asciiTheme="majorBidi" w:eastAsiaTheme="minorEastAsia" w:hAnsiTheme="majorBidi"/>
          <w:lang w:eastAsia="zh-CN"/>
        </w:rPr>
        <w:t xml:space="preserve">, thereby </w:t>
      </w:r>
      <w:r w:rsidR="00D34C39" w:rsidRPr="00A9281B">
        <w:rPr>
          <w:rFonts w:asciiTheme="majorBidi" w:hAnsiTheme="majorBidi"/>
        </w:rPr>
        <w:t>determin</w:t>
      </w:r>
      <w:r w:rsidR="00D34C39" w:rsidRPr="00A9281B">
        <w:rPr>
          <w:rFonts w:asciiTheme="majorBidi" w:eastAsiaTheme="minorEastAsia" w:hAnsiTheme="majorBidi"/>
          <w:lang w:eastAsia="zh-CN"/>
        </w:rPr>
        <w:t>ing</w:t>
      </w:r>
      <w:r w:rsidR="00D34C39" w:rsidRPr="00A9281B">
        <w:rPr>
          <w:rFonts w:asciiTheme="majorBidi" w:hAnsiTheme="majorBidi"/>
        </w:rPr>
        <w:t xml:space="preserve"> whether the PTES surveys can reliably distinguish between instit</w:t>
      </w:r>
      <w:r w:rsidRPr="00A9281B">
        <w:rPr>
          <w:rFonts w:asciiTheme="majorBidi" w:hAnsiTheme="majorBidi"/>
        </w:rPr>
        <w:t>utions, and between disciplines?</w:t>
      </w:r>
    </w:p>
    <w:p w14:paraId="502309F9" w14:textId="410A70AD" w:rsidR="00D34C39" w:rsidRDefault="003B7134" w:rsidP="003B7134">
      <w:pPr>
        <w:pStyle w:val="ListParagraph"/>
        <w:numPr>
          <w:ilvl w:val="0"/>
          <w:numId w:val="9"/>
        </w:numPr>
        <w:rPr>
          <w:rFonts w:asciiTheme="majorBidi" w:hAnsiTheme="majorBidi"/>
        </w:rPr>
      </w:pPr>
      <w:r w:rsidRPr="00A9281B">
        <w:rPr>
          <w:rFonts w:asciiTheme="majorBidi" w:hAnsiTheme="majorBidi"/>
        </w:rPr>
        <w:t xml:space="preserve">What is the relationship between key </w:t>
      </w:r>
      <w:r w:rsidR="00D34C39" w:rsidRPr="00A9281B">
        <w:rPr>
          <w:rFonts w:asciiTheme="majorBidi" w:hAnsiTheme="majorBidi"/>
        </w:rPr>
        <w:t xml:space="preserve">student and institutional variables </w:t>
      </w:r>
      <w:r w:rsidRPr="00A9281B">
        <w:rPr>
          <w:rFonts w:asciiTheme="majorBidi" w:hAnsiTheme="majorBidi"/>
        </w:rPr>
        <w:t>and satisfaction</w:t>
      </w:r>
      <w:r w:rsidR="00D34C39" w:rsidRPr="00A9281B">
        <w:rPr>
          <w:rFonts w:asciiTheme="majorBidi" w:hAnsiTheme="majorBidi"/>
        </w:rPr>
        <w:t xml:space="preserve"> of PGT students</w:t>
      </w:r>
      <w:r w:rsidRPr="00A9281B">
        <w:rPr>
          <w:rFonts w:asciiTheme="majorBidi" w:hAnsiTheme="majorBidi"/>
        </w:rPr>
        <w:t>?</w:t>
      </w:r>
    </w:p>
    <w:p w14:paraId="42D231BE" w14:textId="77777777" w:rsidR="00A9281B" w:rsidRDefault="00A9281B" w:rsidP="00A9281B">
      <w:pPr>
        <w:pStyle w:val="ListParagraph"/>
        <w:rPr>
          <w:rFonts w:asciiTheme="majorBidi" w:hAnsiTheme="majorBidi"/>
        </w:rPr>
      </w:pPr>
    </w:p>
    <w:p w14:paraId="27CEB0E3" w14:textId="77777777" w:rsidR="00A9281B" w:rsidRPr="00A9281B" w:rsidRDefault="00A9281B" w:rsidP="00A9281B">
      <w:pPr>
        <w:pStyle w:val="ListParagraph"/>
        <w:rPr>
          <w:rFonts w:asciiTheme="majorBidi" w:hAnsiTheme="majorBidi"/>
        </w:rPr>
      </w:pPr>
    </w:p>
    <w:p w14:paraId="0DC93A46" w14:textId="77777777" w:rsidR="00CE6144" w:rsidRDefault="00FA3F9E" w:rsidP="00FA3F9E">
      <w:pPr>
        <w:pStyle w:val="Heading2"/>
        <w:rPr>
          <w:rFonts w:asciiTheme="majorBidi" w:hAnsiTheme="majorBidi" w:cstheme="majorBidi"/>
          <w:sz w:val="22"/>
          <w:szCs w:val="22"/>
        </w:rPr>
      </w:pPr>
      <w:r w:rsidRPr="00A9281B">
        <w:rPr>
          <w:rFonts w:asciiTheme="majorBidi" w:hAnsiTheme="majorBidi" w:cstheme="majorBidi"/>
          <w:sz w:val="22"/>
          <w:szCs w:val="22"/>
        </w:rPr>
        <w:t>Methodology</w:t>
      </w:r>
    </w:p>
    <w:p w14:paraId="0DD10C39" w14:textId="77777777" w:rsidR="00A9281B" w:rsidRPr="00A9281B" w:rsidRDefault="00A9281B" w:rsidP="00A9281B"/>
    <w:p w14:paraId="7BCD4FCA" w14:textId="2CA4B6B9" w:rsidR="00FA3F9E" w:rsidRDefault="00D34C39" w:rsidP="008E6B84">
      <w:pPr>
        <w:rPr>
          <w:rFonts w:asciiTheme="majorBidi" w:hAnsiTheme="majorBidi" w:cstheme="majorBidi"/>
          <w:sz w:val="22"/>
          <w:szCs w:val="22"/>
        </w:rPr>
      </w:pPr>
      <w:r w:rsidRPr="00A9281B">
        <w:rPr>
          <w:rFonts w:asciiTheme="majorBidi" w:hAnsiTheme="majorBidi" w:cstheme="majorBidi"/>
          <w:sz w:val="22"/>
          <w:szCs w:val="22"/>
        </w:rPr>
        <w:t xml:space="preserve">To answer the research questions described previously two approaches were adopted. </w:t>
      </w:r>
      <w:r w:rsidR="008E6B84" w:rsidRPr="00A9281B">
        <w:rPr>
          <w:rFonts w:asciiTheme="majorBidi" w:hAnsiTheme="majorBidi" w:cstheme="majorBidi"/>
          <w:sz w:val="22"/>
          <w:szCs w:val="22"/>
        </w:rPr>
        <w:t xml:space="preserve">To answer research </w:t>
      </w:r>
      <w:bookmarkStart w:id="0" w:name="_GoBack"/>
      <w:bookmarkEnd w:id="0"/>
      <w:r w:rsidR="008E6B84" w:rsidRPr="00A9281B">
        <w:rPr>
          <w:rFonts w:asciiTheme="majorBidi" w:hAnsiTheme="majorBidi" w:cstheme="majorBidi"/>
          <w:sz w:val="22"/>
          <w:szCs w:val="22"/>
        </w:rPr>
        <w:t xml:space="preserve">question 1, </w:t>
      </w:r>
      <w:r w:rsidRPr="00A9281B">
        <w:rPr>
          <w:rFonts w:asciiTheme="majorBidi" w:hAnsiTheme="majorBidi" w:cstheme="majorBidi"/>
          <w:sz w:val="22"/>
          <w:szCs w:val="22"/>
        </w:rPr>
        <w:t xml:space="preserve">a Confirmatory Factor Analysis </w:t>
      </w:r>
      <w:r w:rsidR="008E6B84" w:rsidRPr="00A9281B">
        <w:rPr>
          <w:rFonts w:asciiTheme="majorBidi" w:hAnsiTheme="majorBidi" w:cstheme="majorBidi"/>
          <w:sz w:val="22"/>
          <w:szCs w:val="22"/>
        </w:rPr>
        <w:t xml:space="preserve">was conducted </w:t>
      </w:r>
      <w:r w:rsidRPr="00A9281B">
        <w:rPr>
          <w:rFonts w:asciiTheme="majorBidi" w:hAnsiTheme="majorBidi" w:cstheme="majorBidi"/>
          <w:sz w:val="22"/>
          <w:szCs w:val="22"/>
        </w:rPr>
        <w:t xml:space="preserve">to test the fit of a factor structure. </w:t>
      </w:r>
      <w:r w:rsidR="008E6B84" w:rsidRPr="00A9281B">
        <w:rPr>
          <w:rFonts w:asciiTheme="majorBidi" w:hAnsiTheme="majorBidi" w:cstheme="majorBidi"/>
          <w:sz w:val="22"/>
          <w:szCs w:val="22"/>
        </w:rPr>
        <w:t>To answer research questions 2 and 3 we</w:t>
      </w:r>
      <w:r w:rsidRPr="00A9281B">
        <w:rPr>
          <w:rFonts w:asciiTheme="majorBidi" w:hAnsiTheme="majorBidi" w:cstheme="majorBidi"/>
          <w:sz w:val="22"/>
          <w:szCs w:val="22"/>
        </w:rPr>
        <w:t xml:space="preserve"> conduct</w:t>
      </w:r>
      <w:r w:rsidR="008E6B84" w:rsidRPr="00A9281B">
        <w:rPr>
          <w:rFonts w:asciiTheme="majorBidi" w:hAnsiTheme="majorBidi" w:cstheme="majorBidi"/>
          <w:sz w:val="22"/>
          <w:szCs w:val="22"/>
        </w:rPr>
        <w:t>ed</w:t>
      </w:r>
      <w:r w:rsidRPr="00A9281B">
        <w:rPr>
          <w:rFonts w:asciiTheme="majorBidi" w:hAnsiTheme="majorBidi" w:cstheme="majorBidi"/>
          <w:sz w:val="22"/>
          <w:szCs w:val="22"/>
        </w:rPr>
        <w:t xml:space="preserve"> multilevel analyses. The following paragraphs will give a justification of these choices.</w:t>
      </w:r>
    </w:p>
    <w:p w14:paraId="2D2DB311" w14:textId="77777777" w:rsidR="00A9281B" w:rsidRPr="00A9281B" w:rsidRDefault="00A9281B" w:rsidP="008E6B84">
      <w:pPr>
        <w:rPr>
          <w:rFonts w:asciiTheme="majorBidi" w:hAnsiTheme="majorBidi" w:cstheme="majorBidi"/>
          <w:sz w:val="22"/>
          <w:szCs w:val="22"/>
        </w:rPr>
      </w:pPr>
    </w:p>
    <w:p w14:paraId="40A688F9" w14:textId="77777777" w:rsidR="00563AEB" w:rsidRPr="00A9281B" w:rsidRDefault="00563AEB" w:rsidP="00D34C39">
      <w:pPr>
        <w:rPr>
          <w:rFonts w:asciiTheme="majorBidi" w:hAnsiTheme="majorBidi" w:cstheme="majorBidi"/>
          <w:sz w:val="22"/>
          <w:szCs w:val="22"/>
        </w:rPr>
      </w:pPr>
    </w:p>
    <w:p w14:paraId="5CD6672B" w14:textId="77777777" w:rsidR="00A9281B" w:rsidRDefault="00563AEB" w:rsidP="00593FD4">
      <w:pPr>
        <w:rPr>
          <w:rStyle w:val="Heading3Char"/>
          <w:rFonts w:asciiTheme="majorBidi" w:hAnsiTheme="majorBidi" w:cstheme="majorBidi"/>
        </w:rPr>
      </w:pPr>
      <w:r w:rsidRPr="00A9281B">
        <w:rPr>
          <w:rStyle w:val="Heading3Char"/>
          <w:rFonts w:asciiTheme="majorBidi" w:hAnsiTheme="majorBidi" w:cstheme="majorBidi"/>
          <w:b w:val="0"/>
          <w:bCs/>
          <w:i/>
          <w:iCs/>
          <w:sz w:val="22"/>
          <w:szCs w:val="22"/>
        </w:rPr>
        <w:t>Description of the dataset</w:t>
      </w:r>
    </w:p>
    <w:p w14:paraId="4FE19764" w14:textId="2840B5A3" w:rsidR="00563AEB" w:rsidRPr="00A9281B" w:rsidRDefault="00563AEB" w:rsidP="00593FD4">
      <w:pPr>
        <w:rPr>
          <w:rFonts w:asciiTheme="majorBidi" w:hAnsiTheme="majorBidi" w:cstheme="majorBidi"/>
          <w:sz w:val="22"/>
          <w:szCs w:val="22"/>
        </w:rPr>
      </w:pPr>
      <w:r w:rsidRPr="00A9281B">
        <w:rPr>
          <w:rStyle w:val="Heading3Char"/>
          <w:rFonts w:asciiTheme="majorBidi" w:hAnsiTheme="majorBidi" w:cstheme="majorBidi"/>
        </w:rPr>
        <w:br/>
      </w:r>
      <w:r w:rsidR="00D56BC7" w:rsidRPr="00A9281B">
        <w:rPr>
          <w:rFonts w:asciiTheme="majorBidi" w:hAnsiTheme="majorBidi" w:cstheme="majorBidi"/>
          <w:sz w:val="22"/>
          <w:szCs w:val="22"/>
        </w:rPr>
        <w:t xml:space="preserve">For these analyses we utilised the 2014 and 2015 PTES surveys. </w:t>
      </w:r>
      <w:r w:rsidR="00343910" w:rsidRPr="00A9281B">
        <w:rPr>
          <w:rFonts w:asciiTheme="majorBidi" w:hAnsiTheme="majorBidi" w:cstheme="majorBidi"/>
          <w:sz w:val="22"/>
          <w:szCs w:val="22"/>
        </w:rPr>
        <w:t>61683 responses were recorded for PTES 2014, and 69187 responses were recorded for PTES</w:t>
      </w:r>
      <w:r w:rsidR="008273FD" w:rsidRPr="00A9281B">
        <w:rPr>
          <w:rFonts w:asciiTheme="majorBidi" w:hAnsiTheme="majorBidi" w:cstheme="majorBidi"/>
          <w:sz w:val="22"/>
          <w:szCs w:val="22"/>
        </w:rPr>
        <w:t xml:space="preserve"> </w:t>
      </w:r>
      <w:r w:rsidR="00343910" w:rsidRPr="00A9281B">
        <w:rPr>
          <w:rFonts w:asciiTheme="majorBidi" w:hAnsiTheme="majorBidi" w:cstheme="majorBidi"/>
          <w:sz w:val="22"/>
          <w:szCs w:val="22"/>
        </w:rPr>
        <w:t>2015. In both cases th</w:t>
      </w:r>
      <w:r w:rsidR="00464F62" w:rsidRPr="00A9281B">
        <w:rPr>
          <w:rFonts w:asciiTheme="majorBidi" w:hAnsiTheme="majorBidi" w:cstheme="majorBidi"/>
          <w:sz w:val="22"/>
          <w:szCs w:val="22"/>
        </w:rPr>
        <w:t>e</w:t>
      </w:r>
      <w:r w:rsidR="00343910" w:rsidRPr="00A9281B">
        <w:rPr>
          <w:rFonts w:asciiTheme="majorBidi" w:hAnsiTheme="majorBidi" w:cstheme="majorBidi"/>
          <w:sz w:val="22"/>
          <w:szCs w:val="22"/>
        </w:rPr>
        <w:t>y came from 100 HEI’s. Missing value analyses were carried out for both years. In both years missing value percentages were below 5% for all variables on all seven scales except for dissertation/major project, were they were between 30</w:t>
      </w:r>
      <w:r w:rsidR="008273FD" w:rsidRPr="00A9281B">
        <w:rPr>
          <w:rFonts w:asciiTheme="majorBidi" w:hAnsiTheme="majorBidi" w:cstheme="majorBidi"/>
          <w:sz w:val="22"/>
          <w:szCs w:val="22"/>
        </w:rPr>
        <w:t>%</w:t>
      </w:r>
      <w:r w:rsidR="00343910" w:rsidRPr="00A9281B">
        <w:rPr>
          <w:rFonts w:asciiTheme="majorBidi" w:hAnsiTheme="majorBidi" w:cstheme="majorBidi"/>
          <w:sz w:val="22"/>
          <w:szCs w:val="22"/>
        </w:rPr>
        <w:t xml:space="preserve"> and 45% due to respondents not all having reached the dissertation phase of their studies at the time of survey completion, and for a few variables in the resources scale where they reached 8.2% in 2014. </w:t>
      </w:r>
      <w:r w:rsidR="00593FD4" w:rsidRPr="00A9281B">
        <w:rPr>
          <w:rFonts w:asciiTheme="majorBidi" w:hAnsiTheme="majorBidi" w:cstheme="majorBidi"/>
          <w:sz w:val="22"/>
          <w:szCs w:val="22"/>
        </w:rPr>
        <w:t xml:space="preserve">In order to check whether imputation would be an option, Little’s MCAR test was conducted for each scale in each year, but was found to be highly significant, and therefore no imputation was employed. Missingness was not found to be systematically related to demographic student characteristics or institution. </w:t>
      </w:r>
    </w:p>
    <w:p w14:paraId="11097298" w14:textId="77777777" w:rsidR="00684197" w:rsidRPr="00A9281B" w:rsidRDefault="00684197" w:rsidP="00D56BC7">
      <w:pPr>
        <w:rPr>
          <w:rFonts w:asciiTheme="majorBidi" w:hAnsiTheme="majorBidi" w:cstheme="majorBidi"/>
          <w:sz w:val="22"/>
          <w:szCs w:val="22"/>
        </w:rPr>
      </w:pPr>
    </w:p>
    <w:p w14:paraId="73CC4E78" w14:textId="77F537F9" w:rsidR="00D56BC7" w:rsidRPr="00A9281B" w:rsidRDefault="00D56BC7" w:rsidP="00B271FB">
      <w:pPr>
        <w:rPr>
          <w:rFonts w:asciiTheme="majorBidi" w:hAnsiTheme="majorBidi" w:cstheme="majorBidi"/>
          <w:sz w:val="22"/>
          <w:szCs w:val="22"/>
          <w:lang w:val="en-AU"/>
        </w:rPr>
      </w:pPr>
      <w:r w:rsidRPr="00A9281B">
        <w:rPr>
          <w:rFonts w:asciiTheme="majorBidi" w:hAnsiTheme="majorBidi" w:cstheme="majorBidi"/>
          <w:sz w:val="22"/>
          <w:szCs w:val="22"/>
          <w:lang w:val="en-AU"/>
        </w:rPr>
        <w:lastRenderedPageBreak/>
        <w:t>The dependent variables for the analysis of PTES were the 6 scales for Teaching and Learning, Engagement, Assessment and Feedback, Dissertation or Major Project, Organisation and Management, Resources and Services and Skills Development, and the overall satisfaction scale</w:t>
      </w:r>
      <w:r w:rsidR="008273FD" w:rsidRPr="00A9281B">
        <w:rPr>
          <w:rFonts w:asciiTheme="majorBidi" w:hAnsiTheme="majorBidi" w:cstheme="majorBidi"/>
          <w:sz w:val="22"/>
          <w:szCs w:val="22"/>
          <w:lang w:val="en-AU"/>
        </w:rPr>
        <w:t xml:space="preserve"> which is the sum of the individual scales</w:t>
      </w:r>
      <w:r w:rsidRPr="00A9281B">
        <w:rPr>
          <w:rFonts w:asciiTheme="majorBidi" w:hAnsiTheme="majorBidi" w:cstheme="majorBidi"/>
          <w:sz w:val="22"/>
          <w:szCs w:val="22"/>
          <w:lang w:val="en-AU"/>
        </w:rPr>
        <w:t xml:space="preserve">. </w:t>
      </w:r>
      <w:r w:rsidR="00B271FB" w:rsidRPr="00A9281B">
        <w:rPr>
          <w:rFonts w:asciiTheme="majorBidi" w:hAnsiTheme="majorBidi" w:cstheme="majorBidi"/>
          <w:sz w:val="22"/>
          <w:szCs w:val="22"/>
          <w:lang w:val="en-AU"/>
        </w:rPr>
        <w:t>T</w:t>
      </w:r>
      <w:r w:rsidR="00E936DE" w:rsidRPr="00A9281B">
        <w:rPr>
          <w:rFonts w:asciiTheme="majorBidi" w:hAnsiTheme="majorBidi" w:cstheme="majorBidi"/>
          <w:sz w:val="22"/>
          <w:szCs w:val="22"/>
          <w:lang w:val="en-AU"/>
        </w:rPr>
        <w:t>he full scales and items</w:t>
      </w:r>
      <w:r w:rsidR="00B271FB" w:rsidRPr="00A9281B">
        <w:rPr>
          <w:rFonts w:asciiTheme="majorBidi" w:hAnsiTheme="majorBidi" w:cstheme="majorBidi"/>
          <w:sz w:val="22"/>
          <w:szCs w:val="22"/>
          <w:lang w:val="en-AU"/>
        </w:rPr>
        <w:t xml:space="preserve"> can be found in Soilemetzidis et al (2014)</w:t>
      </w:r>
      <w:r w:rsidR="00E936DE" w:rsidRPr="00A9281B">
        <w:rPr>
          <w:rFonts w:asciiTheme="majorBidi" w:hAnsiTheme="majorBidi" w:cstheme="majorBidi"/>
          <w:sz w:val="22"/>
          <w:szCs w:val="22"/>
          <w:lang w:val="en-AU"/>
        </w:rPr>
        <w:t xml:space="preserve">. </w:t>
      </w:r>
    </w:p>
    <w:p w14:paraId="46E671BF" w14:textId="77777777" w:rsidR="00593FD4" w:rsidRPr="00A9281B" w:rsidRDefault="00593FD4" w:rsidP="00D56BC7">
      <w:pPr>
        <w:rPr>
          <w:rFonts w:asciiTheme="majorBidi" w:hAnsiTheme="majorBidi" w:cstheme="majorBidi"/>
          <w:sz w:val="22"/>
          <w:szCs w:val="22"/>
          <w:lang w:val="en-AU"/>
        </w:rPr>
      </w:pPr>
    </w:p>
    <w:p w14:paraId="02A505BD" w14:textId="77777777" w:rsidR="00D56BC7" w:rsidRPr="00A9281B" w:rsidRDefault="00D56BC7" w:rsidP="00D56BC7">
      <w:pPr>
        <w:rPr>
          <w:rFonts w:asciiTheme="majorBidi" w:hAnsiTheme="majorBidi" w:cstheme="majorBidi"/>
          <w:sz w:val="22"/>
          <w:szCs w:val="22"/>
          <w:lang w:val="en-AU"/>
        </w:rPr>
      </w:pPr>
      <w:r w:rsidRPr="00A9281B">
        <w:rPr>
          <w:rFonts w:asciiTheme="majorBidi" w:hAnsiTheme="majorBidi" w:cstheme="majorBidi"/>
          <w:sz w:val="22"/>
          <w:szCs w:val="22"/>
          <w:lang w:val="en-AU"/>
        </w:rPr>
        <w:t xml:space="preserve">The independent variables can be divided into respondent characteristics and institutional characteristics. Respondent characteristics taken from the PTES survey were: </w:t>
      </w:r>
    </w:p>
    <w:p w14:paraId="0FD9D497" w14:textId="77777777" w:rsidR="00D56BC7" w:rsidRPr="00A9281B" w:rsidRDefault="00D56BC7" w:rsidP="00D56BC7">
      <w:pPr>
        <w:numPr>
          <w:ilvl w:val="0"/>
          <w:numId w:val="3"/>
        </w:numPr>
        <w:rPr>
          <w:rFonts w:asciiTheme="majorBidi" w:hAnsiTheme="majorBidi" w:cstheme="majorBidi"/>
          <w:sz w:val="22"/>
          <w:szCs w:val="22"/>
          <w:lang w:val="en-AU"/>
        </w:rPr>
      </w:pPr>
      <w:r w:rsidRPr="00A9281B">
        <w:rPr>
          <w:rFonts w:asciiTheme="majorBidi" w:hAnsiTheme="majorBidi" w:cstheme="majorBidi"/>
          <w:sz w:val="22"/>
          <w:szCs w:val="22"/>
          <w:lang w:val="en-AU"/>
        </w:rPr>
        <w:t>Age, an ordinal variable in which ages are grouped, with 18-23 as the reference category;</w:t>
      </w:r>
    </w:p>
    <w:p w14:paraId="32BD6FCA" w14:textId="77777777" w:rsidR="00D56BC7" w:rsidRPr="00A9281B" w:rsidRDefault="00D56BC7" w:rsidP="00D56BC7">
      <w:pPr>
        <w:numPr>
          <w:ilvl w:val="0"/>
          <w:numId w:val="3"/>
        </w:numPr>
        <w:rPr>
          <w:rFonts w:asciiTheme="majorBidi" w:hAnsiTheme="majorBidi" w:cstheme="majorBidi"/>
          <w:sz w:val="22"/>
          <w:szCs w:val="22"/>
          <w:lang w:val="en-AU"/>
        </w:rPr>
      </w:pPr>
      <w:r w:rsidRPr="00A9281B">
        <w:rPr>
          <w:rFonts w:asciiTheme="majorBidi" w:hAnsiTheme="majorBidi" w:cstheme="majorBidi"/>
          <w:sz w:val="22"/>
          <w:szCs w:val="22"/>
          <w:lang w:val="en-AU"/>
        </w:rPr>
        <w:t>Gender, a categorical variable with Male as the reference category;</w:t>
      </w:r>
    </w:p>
    <w:p w14:paraId="28765514" w14:textId="77777777" w:rsidR="00D56BC7" w:rsidRPr="00A9281B" w:rsidRDefault="00D56BC7" w:rsidP="00D56BC7">
      <w:pPr>
        <w:numPr>
          <w:ilvl w:val="0"/>
          <w:numId w:val="3"/>
        </w:numPr>
        <w:rPr>
          <w:rFonts w:asciiTheme="majorBidi" w:hAnsiTheme="majorBidi" w:cstheme="majorBidi"/>
          <w:sz w:val="22"/>
          <w:szCs w:val="22"/>
          <w:lang w:val="en-AU"/>
        </w:rPr>
      </w:pPr>
      <w:r w:rsidRPr="00A9281B">
        <w:rPr>
          <w:rFonts w:asciiTheme="majorBidi" w:hAnsiTheme="majorBidi" w:cstheme="majorBidi"/>
          <w:sz w:val="22"/>
          <w:szCs w:val="22"/>
          <w:lang w:val="en-AU"/>
        </w:rPr>
        <w:t>Disability, a categorical variable with disabled (yes) as the reference category;</w:t>
      </w:r>
    </w:p>
    <w:p w14:paraId="5EAA98AF" w14:textId="77777777" w:rsidR="00D56BC7" w:rsidRPr="00A9281B" w:rsidRDefault="00D56BC7" w:rsidP="00D56BC7">
      <w:pPr>
        <w:numPr>
          <w:ilvl w:val="0"/>
          <w:numId w:val="3"/>
        </w:numPr>
        <w:rPr>
          <w:rFonts w:asciiTheme="majorBidi" w:hAnsiTheme="majorBidi" w:cstheme="majorBidi"/>
          <w:sz w:val="22"/>
          <w:szCs w:val="22"/>
          <w:lang w:val="en-AU"/>
        </w:rPr>
      </w:pPr>
      <w:r w:rsidRPr="00A9281B">
        <w:rPr>
          <w:rFonts w:asciiTheme="majorBidi" w:hAnsiTheme="majorBidi" w:cstheme="majorBidi"/>
          <w:sz w:val="22"/>
          <w:szCs w:val="22"/>
          <w:lang w:val="en-AU"/>
        </w:rPr>
        <w:t>Country of origin, grouped, a categorical variable with UK as the reference category;</w:t>
      </w:r>
    </w:p>
    <w:p w14:paraId="51B06929" w14:textId="77777777" w:rsidR="00D56BC7" w:rsidRPr="00A9281B" w:rsidRDefault="00D56BC7" w:rsidP="00D56BC7">
      <w:pPr>
        <w:numPr>
          <w:ilvl w:val="0"/>
          <w:numId w:val="3"/>
        </w:numPr>
        <w:rPr>
          <w:rFonts w:asciiTheme="majorBidi" w:hAnsiTheme="majorBidi" w:cstheme="majorBidi"/>
          <w:sz w:val="22"/>
          <w:szCs w:val="22"/>
          <w:lang w:val="en-AU"/>
        </w:rPr>
      </w:pPr>
      <w:r w:rsidRPr="00A9281B">
        <w:rPr>
          <w:rFonts w:asciiTheme="majorBidi" w:hAnsiTheme="majorBidi" w:cstheme="majorBidi"/>
          <w:sz w:val="22"/>
          <w:szCs w:val="22"/>
          <w:lang w:val="en-AU"/>
        </w:rPr>
        <w:t>Ethnic background, grouped, a categorical variable with non-BME as the reference category;</w:t>
      </w:r>
    </w:p>
    <w:p w14:paraId="77BF1FD6" w14:textId="77777777" w:rsidR="00D56BC7" w:rsidRPr="00A9281B" w:rsidRDefault="00D56BC7" w:rsidP="00D56BC7">
      <w:pPr>
        <w:numPr>
          <w:ilvl w:val="0"/>
          <w:numId w:val="3"/>
        </w:numPr>
        <w:rPr>
          <w:rFonts w:asciiTheme="majorBidi" w:hAnsiTheme="majorBidi" w:cstheme="majorBidi"/>
          <w:sz w:val="22"/>
          <w:szCs w:val="22"/>
          <w:lang w:val="en-AU"/>
        </w:rPr>
      </w:pPr>
      <w:r w:rsidRPr="00A9281B">
        <w:rPr>
          <w:rFonts w:asciiTheme="majorBidi" w:hAnsiTheme="majorBidi" w:cstheme="majorBidi"/>
          <w:sz w:val="22"/>
          <w:szCs w:val="22"/>
          <w:lang w:val="en-AU"/>
        </w:rPr>
        <w:t>Student status (full or part time), a categorical variable with full time as the reference category.</w:t>
      </w:r>
    </w:p>
    <w:p w14:paraId="7A353BB1" w14:textId="77777777" w:rsidR="00D56BC7" w:rsidRPr="00A9281B" w:rsidRDefault="00D56BC7" w:rsidP="00D56BC7">
      <w:pPr>
        <w:rPr>
          <w:rFonts w:asciiTheme="majorBidi" w:hAnsiTheme="majorBidi" w:cstheme="majorBidi"/>
          <w:sz w:val="22"/>
          <w:szCs w:val="22"/>
          <w:lang w:val="en-AU"/>
        </w:rPr>
      </w:pPr>
      <w:r w:rsidRPr="00A9281B">
        <w:rPr>
          <w:rFonts w:asciiTheme="majorBidi" w:hAnsiTheme="majorBidi" w:cstheme="majorBidi"/>
          <w:sz w:val="22"/>
          <w:szCs w:val="22"/>
          <w:lang w:val="en-AU"/>
        </w:rPr>
        <w:t>Institutional characteristics in the PTES dataset were:</w:t>
      </w:r>
    </w:p>
    <w:p w14:paraId="673FE551" w14:textId="77777777" w:rsidR="00D56BC7" w:rsidRPr="00A9281B" w:rsidRDefault="00D56BC7" w:rsidP="00D56BC7">
      <w:pPr>
        <w:numPr>
          <w:ilvl w:val="0"/>
          <w:numId w:val="3"/>
        </w:numPr>
        <w:rPr>
          <w:rFonts w:asciiTheme="majorBidi" w:hAnsiTheme="majorBidi" w:cstheme="majorBidi"/>
          <w:sz w:val="22"/>
          <w:szCs w:val="22"/>
          <w:lang w:val="en-AU"/>
        </w:rPr>
      </w:pPr>
      <w:r w:rsidRPr="00A9281B">
        <w:rPr>
          <w:rFonts w:asciiTheme="majorBidi" w:hAnsiTheme="majorBidi" w:cstheme="majorBidi"/>
          <w:sz w:val="22"/>
          <w:szCs w:val="22"/>
          <w:lang w:val="en-AU"/>
        </w:rPr>
        <w:t>Type of university, a categorical variable with 1994 group as the reference category</w:t>
      </w:r>
    </w:p>
    <w:p w14:paraId="194D438C" w14:textId="76C75173" w:rsidR="00D56BC7" w:rsidRPr="00A9281B" w:rsidRDefault="00D56BC7" w:rsidP="00D56BC7">
      <w:pPr>
        <w:numPr>
          <w:ilvl w:val="0"/>
          <w:numId w:val="3"/>
        </w:numPr>
        <w:rPr>
          <w:rFonts w:asciiTheme="majorBidi" w:hAnsiTheme="majorBidi" w:cstheme="majorBidi"/>
          <w:sz w:val="22"/>
          <w:szCs w:val="22"/>
          <w:lang w:val="en-AU"/>
        </w:rPr>
      </w:pPr>
      <w:r w:rsidRPr="00A9281B">
        <w:rPr>
          <w:rFonts w:asciiTheme="majorBidi" w:hAnsiTheme="majorBidi" w:cstheme="majorBidi"/>
          <w:sz w:val="22"/>
          <w:szCs w:val="22"/>
          <w:lang w:val="en-AU"/>
        </w:rPr>
        <w:t xml:space="preserve">Country, a categorical variable with Scotland as the reference category. </w:t>
      </w:r>
      <w:r w:rsidR="008D4C54" w:rsidRPr="00A9281B">
        <w:rPr>
          <w:rFonts w:asciiTheme="majorBidi" w:hAnsiTheme="majorBidi" w:cstheme="majorBidi"/>
          <w:sz w:val="22"/>
          <w:szCs w:val="22"/>
          <w:lang w:val="en-AU"/>
        </w:rPr>
        <w:t xml:space="preserve">In 2015 London was added as a separate category to this variable. </w:t>
      </w:r>
    </w:p>
    <w:p w14:paraId="442513A6" w14:textId="77777777" w:rsidR="00D56BC7" w:rsidRDefault="00D56BC7" w:rsidP="00D56BC7">
      <w:pPr>
        <w:rPr>
          <w:rFonts w:asciiTheme="majorBidi" w:hAnsiTheme="majorBidi" w:cstheme="majorBidi"/>
          <w:sz w:val="22"/>
          <w:szCs w:val="22"/>
          <w:lang w:val="en-AU"/>
        </w:rPr>
      </w:pPr>
      <w:r w:rsidRPr="00A9281B">
        <w:rPr>
          <w:rFonts w:asciiTheme="majorBidi" w:hAnsiTheme="majorBidi" w:cstheme="majorBidi"/>
          <w:sz w:val="22"/>
          <w:szCs w:val="22"/>
          <w:lang w:val="en-AU"/>
        </w:rPr>
        <w:t>These independent variables were selected as they were the main potential predictors available in the PTES datasets.</w:t>
      </w:r>
    </w:p>
    <w:p w14:paraId="05B934DD" w14:textId="77777777" w:rsidR="00A9281B" w:rsidRPr="00A9281B" w:rsidRDefault="00A9281B" w:rsidP="00D56BC7">
      <w:pPr>
        <w:rPr>
          <w:rFonts w:asciiTheme="majorBidi" w:hAnsiTheme="majorBidi" w:cstheme="majorBidi"/>
          <w:sz w:val="22"/>
          <w:szCs w:val="22"/>
          <w:lang w:val="en-AU"/>
        </w:rPr>
      </w:pPr>
    </w:p>
    <w:p w14:paraId="6AF1B7B8" w14:textId="77777777" w:rsidR="00D56BC7" w:rsidRPr="00A9281B" w:rsidRDefault="00D56BC7" w:rsidP="00D56BC7">
      <w:pPr>
        <w:rPr>
          <w:rFonts w:asciiTheme="majorBidi" w:hAnsiTheme="majorBidi" w:cstheme="majorBidi"/>
          <w:sz w:val="22"/>
          <w:szCs w:val="22"/>
          <w:lang w:val="en-AU"/>
        </w:rPr>
      </w:pPr>
    </w:p>
    <w:p w14:paraId="1ECA8260" w14:textId="77777777" w:rsidR="00FA3F9E" w:rsidRDefault="00FA3F9E" w:rsidP="003C12F3">
      <w:pPr>
        <w:pStyle w:val="Heading3"/>
        <w:rPr>
          <w:rFonts w:asciiTheme="majorBidi" w:hAnsiTheme="majorBidi" w:cstheme="majorBidi"/>
          <w:b w:val="0"/>
          <w:bCs/>
          <w:i/>
          <w:iCs/>
          <w:sz w:val="22"/>
          <w:szCs w:val="22"/>
        </w:rPr>
      </w:pPr>
      <w:r w:rsidRPr="00A9281B">
        <w:rPr>
          <w:rFonts w:asciiTheme="majorBidi" w:hAnsiTheme="majorBidi" w:cstheme="majorBidi"/>
          <w:b w:val="0"/>
          <w:bCs/>
          <w:i/>
          <w:iCs/>
          <w:sz w:val="22"/>
          <w:szCs w:val="22"/>
        </w:rPr>
        <w:t>Confirmatory Factor Analyses</w:t>
      </w:r>
    </w:p>
    <w:p w14:paraId="06E120EF" w14:textId="77777777" w:rsidR="00A9281B" w:rsidRPr="00A9281B" w:rsidRDefault="00A9281B" w:rsidP="00A9281B"/>
    <w:p w14:paraId="59F86CBF" w14:textId="08E83C56" w:rsidR="00FA3F9E" w:rsidRPr="00A9281B" w:rsidRDefault="00FA3F9E" w:rsidP="008D4C54">
      <w:pPr>
        <w:rPr>
          <w:rFonts w:asciiTheme="majorBidi" w:hAnsiTheme="majorBidi" w:cstheme="majorBidi"/>
          <w:sz w:val="22"/>
          <w:szCs w:val="22"/>
        </w:rPr>
      </w:pPr>
      <w:r w:rsidRPr="00A9281B">
        <w:rPr>
          <w:rFonts w:asciiTheme="majorBidi" w:hAnsiTheme="majorBidi" w:cstheme="majorBidi"/>
          <w:sz w:val="22"/>
          <w:szCs w:val="22"/>
        </w:rPr>
        <w:t xml:space="preserve">In order to test the validity of the proposed scales, Confirmatory Factor Analyses (CFA) were undertaken. CFA is a method used to test the fit of a hypothesised factor structure to a data matrix, and is therefore a suitable method in cases such as these where variables are hypothesised to form specific predetermined scales. CFA is a so-called ‘latent variable’ model, where responses to individual items are seen as resulting from underlying traits (e.g. agreement with the item ‘assessment arrangements in marking have been fair’ are seen as reflecting broader satisfaction with assessment). The hypothesised scales therefore form the underlying latent traits that determine responses to the individual items. CFA allows us to test our hypothesised scale structure, by looking both at overall fit of the model to the data matrix, and the relationship of the latent traits to the individual variables. </w:t>
      </w:r>
    </w:p>
    <w:p w14:paraId="2A70CD5B" w14:textId="13FCA191" w:rsidR="00FA3F9E" w:rsidRDefault="00FA3F9E" w:rsidP="00174F2C">
      <w:pPr>
        <w:rPr>
          <w:rFonts w:asciiTheme="majorBidi" w:eastAsiaTheme="minorEastAsia" w:hAnsiTheme="majorBidi" w:cstheme="majorBidi"/>
          <w:sz w:val="22"/>
          <w:szCs w:val="22"/>
          <w:lang w:eastAsia="zh-CN"/>
        </w:rPr>
      </w:pPr>
      <w:r w:rsidRPr="00A9281B">
        <w:rPr>
          <w:rFonts w:asciiTheme="majorBidi" w:hAnsiTheme="majorBidi" w:cstheme="majorBidi"/>
          <w:sz w:val="22"/>
          <w:szCs w:val="22"/>
        </w:rPr>
        <w:t xml:space="preserve">Overall model fit is tested using a range of indices which have been developed in the context of structural equation modelling (of which </w:t>
      </w:r>
      <w:r w:rsidR="008D4C54" w:rsidRPr="00A9281B">
        <w:rPr>
          <w:rFonts w:asciiTheme="majorBidi" w:hAnsiTheme="majorBidi" w:cstheme="majorBidi"/>
          <w:sz w:val="22"/>
          <w:szCs w:val="22"/>
        </w:rPr>
        <w:t>C</w:t>
      </w:r>
      <w:r w:rsidRPr="00A9281B">
        <w:rPr>
          <w:rFonts w:asciiTheme="majorBidi" w:hAnsiTheme="majorBidi" w:cstheme="majorBidi"/>
          <w:sz w:val="22"/>
          <w:szCs w:val="22"/>
        </w:rPr>
        <w:t>FA is a part) over time. The most venerable is the Chi Square test, which tests whether or not there is a significant difference between covariances predicted by our model and those present in the actual data matrix. A non-significant Chi Square, signalling no significant difference between our model and the data, indicates good fit. However, this test (like all significance tests) is highly sensitive to sample size, such that in large samples like this one a non-significant Chi Square is not readily obtainable. As a result alternative fit indices have been designed. In this set of analyses we have used the Goodness of Fit Index (GFI), an absolute fit index, the Comparative Fit Index (CFI), as the name implies a comparative fit index, and the Root Mean Square Error of Approximation (RMSEA), to cover a range of approaches (see Byrne, 2013 for full description of the indices). GFI and CFI are said to show good fit when over .9, RMSEA when below .8 (Byrne, 20</w:t>
      </w:r>
      <w:r w:rsidR="00174F2C" w:rsidRPr="00A9281B">
        <w:rPr>
          <w:rFonts w:asciiTheme="majorBidi" w:hAnsiTheme="majorBidi" w:cstheme="majorBidi"/>
          <w:sz w:val="22"/>
          <w:szCs w:val="22"/>
        </w:rPr>
        <w:t>09</w:t>
      </w:r>
      <w:r w:rsidRPr="00A9281B">
        <w:rPr>
          <w:rFonts w:asciiTheme="majorBidi" w:hAnsiTheme="majorBidi" w:cstheme="majorBidi"/>
          <w:sz w:val="22"/>
          <w:szCs w:val="22"/>
        </w:rPr>
        <w:t xml:space="preserve">). As the method does not allow any missing values in the data matrix, EM </w:t>
      </w:r>
      <w:r w:rsidR="00847229" w:rsidRPr="00A9281B">
        <w:rPr>
          <w:rFonts w:asciiTheme="majorBidi" w:hAnsiTheme="majorBidi" w:cstheme="majorBidi"/>
          <w:sz w:val="22"/>
          <w:szCs w:val="22"/>
        </w:rPr>
        <w:t xml:space="preserve">imputation </w:t>
      </w:r>
      <w:r w:rsidRPr="00A9281B">
        <w:rPr>
          <w:rFonts w:asciiTheme="majorBidi" w:hAnsiTheme="majorBidi" w:cstheme="majorBidi"/>
          <w:sz w:val="22"/>
          <w:szCs w:val="22"/>
        </w:rPr>
        <w:t>was used to replace missing values in these analyses</w:t>
      </w:r>
      <w:r w:rsidR="00847229" w:rsidRPr="00A9281B">
        <w:rPr>
          <w:rFonts w:asciiTheme="majorBidi" w:hAnsiTheme="majorBidi" w:cstheme="majorBidi"/>
          <w:sz w:val="22"/>
          <w:szCs w:val="22"/>
        </w:rPr>
        <w:t xml:space="preserve"> (though, as mentioned above, not for the full multilevel analyses reported below)</w:t>
      </w:r>
      <w:r w:rsidRPr="00A9281B">
        <w:rPr>
          <w:rFonts w:asciiTheme="majorBidi" w:eastAsiaTheme="minorEastAsia" w:hAnsiTheme="majorBidi" w:cstheme="majorBidi"/>
          <w:sz w:val="22"/>
          <w:szCs w:val="22"/>
          <w:lang w:eastAsia="zh-CN"/>
        </w:rPr>
        <w:t>.</w:t>
      </w:r>
    </w:p>
    <w:p w14:paraId="4D3B502B" w14:textId="77777777" w:rsidR="00A9281B" w:rsidRPr="00A9281B" w:rsidRDefault="00A9281B" w:rsidP="00174F2C">
      <w:pPr>
        <w:rPr>
          <w:rFonts w:asciiTheme="majorBidi" w:eastAsiaTheme="minorEastAsia" w:hAnsiTheme="majorBidi" w:cstheme="majorBidi"/>
          <w:sz w:val="22"/>
          <w:szCs w:val="22"/>
          <w:lang w:eastAsia="zh-CN"/>
        </w:rPr>
      </w:pPr>
    </w:p>
    <w:p w14:paraId="4482DA19" w14:textId="77777777" w:rsidR="00FA3F9E" w:rsidRPr="00A9281B" w:rsidRDefault="00FA3F9E" w:rsidP="00CE6144">
      <w:pPr>
        <w:rPr>
          <w:rFonts w:asciiTheme="majorBidi" w:hAnsiTheme="majorBidi" w:cstheme="majorBidi"/>
          <w:sz w:val="22"/>
          <w:szCs w:val="22"/>
        </w:rPr>
      </w:pPr>
    </w:p>
    <w:p w14:paraId="6AF5DA34" w14:textId="77777777" w:rsidR="00FA3F9E" w:rsidRDefault="00FA3F9E" w:rsidP="003C12F3">
      <w:pPr>
        <w:pStyle w:val="Heading3"/>
        <w:rPr>
          <w:rFonts w:asciiTheme="majorBidi" w:hAnsiTheme="majorBidi" w:cstheme="majorBidi"/>
          <w:b w:val="0"/>
          <w:bCs/>
          <w:i/>
          <w:iCs/>
          <w:sz w:val="22"/>
          <w:szCs w:val="22"/>
        </w:rPr>
      </w:pPr>
      <w:r w:rsidRPr="00A9281B">
        <w:rPr>
          <w:rFonts w:asciiTheme="majorBidi" w:hAnsiTheme="majorBidi" w:cstheme="majorBidi"/>
          <w:b w:val="0"/>
          <w:bCs/>
          <w:i/>
          <w:iCs/>
          <w:sz w:val="22"/>
          <w:szCs w:val="22"/>
        </w:rPr>
        <w:t>Multilevel models</w:t>
      </w:r>
    </w:p>
    <w:p w14:paraId="5A08DE9D" w14:textId="77777777" w:rsidR="00A9281B" w:rsidRPr="00A9281B" w:rsidRDefault="00A9281B" w:rsidP="00A9281B"/>
    <w:p w14:paraId="74C0F705" w14:textId="5A883E68" w:rsidR="005836C2" w:rsidRPr="00A9281B" w:rsidRDefault="00CE6144" w:rsidP="00CB7A44">
      <w:pPr>
        <w:rPr>
          <w:rFonts w:asciiTheme="majorBidi" w:hAnsiTheme="majorBidi" w:cstheme="majorBidi"/>
          <w:sz w:val="22"/>
          <w:szCs w:val="22"/>
          <w:lang w:val="en-AU"/>
        </w:rPr>
      </w:pPr>
      <w:r w:rsidRPr="00A9281B">
        <w:rPr>
          <w:rFonts w:asciiTheme="majorBidi" w:hAnsiTheme="majorBidi" w:cstheme="majorBidi"/>
          <w:sz w:val="22"/>
          <w:szCs w:val="22"/>
        </w:rPr>
        <w:t xml:space="preserve">Data from the PTES </w:t>
      </w:r>
      <w:r w:rsidR="00CB7A44" w:rsidRPr="00A9281B">
        <w:rPr>
          <w:rFonts w:asciiTheme="majorBidi" w:hAnsiTheme="majorBidi" w:cstheme="majorBidi"/>
          <w:sz w:val="22"/>
          <w:szCs w:val="22"/>
        </w:rPr>
        <w:t>is</w:t>
      </w:r>
      <w:r w:rsidRPr="00A9281B">
        <w:rPr>
          <w:rFonts w:asciiTheme="majorBidi" w:hAnsiTheme="majorBidi" w:cstheme="majorBidi"/>
          <w:sz w:val="22"/>
          <w:szCs w:val="22"/>
        </w:rPr>
        <w:t xml:space="preserve"> hierarchical in structure. Each of the </w:t>
      </w:r>
      <w:r w:rsidRPr="00A9281B">
        <w:rPr>
          <w:rFonts w:asciiTheme="majorBidi" w:hAnsiTheme="majorBidi" w:cstheme="majorBidi"/>
          <w:i/>
          <w:iCs/>
          <w:sz w:val="22"/>
          <w:szCs w:val="22"/>
        </w:rPr>
        <w:t>student</w:t>
      </w:r>
      <w:r w:rsidR="00847229" w:rsidRPr="00A9281B">
        <w:rPr>
          <w:rFonts w:asciiTheme="majorBidi" w:hAnsiTheme="majorBidi" w:cstheme="majorBidi"/>
          <w:i/>
          <w:iCs/>
          <w:sz w:val="22"/>
          <w:szCs w:val="22"/>
        </w:rPr>
        <w:t>s</w:t>
      </w:r>
      <w:r w:rsidRPr="00A9281B">
        <w:rPr>
          <w:rFonts w:asciiTheme="majorBidi" w:hAnsiTheme="majorBidi" w:cstheme="majorBidi"/>
          <w:sz w:val="22"/>
          <w:szCs w:val="22"/>
        </w:rPr>
        <w:t xml:space="preserve"> surveyed studies a certain </w:t>
      </w:r>
      <w:r w:rsidRPr="00A9281B">
        <w:rPr>
          <w:rFonts w:asciiTheme="majorBidi" w:hAnsiTheme="majorBidi" w:cstheme="majorBidi"/>
          <w:i/>
          <w:iCs/>
          <w:sz w:val="22"/>
          <w:szCs w:val="22"/>
        </w:rPr>
        <w:t>discipline, a discipline</w:t>
      </w:r>
      <w:r w:rsidRPr="00A9281B">
        <w:rPr>
          <w:rFonts w:asciiTheme="majorBidi" w:hAnsiTheme="majorBidi" w:cstheme="majorBidi"/>
          <w:sz w:val="22"/>
          <w:szCs w:val="22"/>
        </w:rPr>
        <w:t xml:space="preserve"> can be said to be nested in an </w:t>
      </w:r>
      <w:r w:rsidRPr="00A9281B">
        <w:rPr>
          <w:rFonts w:asciiTheme="majorBidi" w:hAnsiTheme="majorBidi" w:cstheme="majorBidi"/>
          <w:i/>
          <w:iCs/>
          <w:sz w:val="22"/>
          <w:szCs w:val="22"/>
        </w:rPr>
        <w:t>institution</w:t>
      </w:r>
      <w:r w:rsidRPr="00A9281B">
        <w:rPr>
          <w:rFonts w:asciiTheme="majorBidi" w:hAnsiTheme="majorBidi" w:cstheme="majorBidi"/>
          <w:sz w:val="22"/>
          <w:szCs w:val="22"/>
        </w:rPr>
        <w:t xml:space="preserve">. This nesting suggests that two </w:t>
      </w:r>
      <w:r w:rsidRPr="00A9281B">
        <w:rPr>
          <w:rFonts w:asciiTheme="majorBidi" w:hAnsiTheme="majorBidi" w:cstheme="majorBidi"/>
          <w:sz w:val="22"/>
          <w:szCs w:val="22"/>
        </w:rPr>
        <w:lastRenderedPageBreak/>
        <w:t xml:space="preserve">notionally identical students based at the same institution are likely to be more similar in their responses to the survey than two notionally identical students studying at two different institutions. Of course, this is an </w:t>
      </w:r>
      <w:r w:rsidRPr="00A9281B">
        <w:rPr>
          <w:rFonts w:asciiTheme="majorBidi" w:hAnsiTheme="majorBidi" w:cstheme="majorBidi"/>
          <w:i/>
          <w:iCs/>
          <w:sz w:val="22"/>
          <w:szCs w:val="22"/>
        </w:rPr>
        <w:t>assumption</w:t>
      </w:r>
      <w:r w:rsidRPr="00A9281B">
        <w:rPr>
          <w:rFonts w:asciiTheme="majorBidi" w:hAnsiTheme="majorBidi" w:cstheme="majorBidi"/>
          <w:sz w:val="22"/>
          <w:szCs w:val="22"/>
        </w:rPr>
        <w:t xml:space="preserve"> which needs to be tested. With multilevel modelling we can explore the unique impact of student, discipline and institutional characteristics upon students’ responses to items. The unique effect of different student, course and institutional characteristics are referred to in multilevel modelling terms as ‘fixed effects’.</w:t>
      </w:r>
      <w:r w:rsidR="00FA3F9E" w:rsidRPr="00A9281B">
        <w:rPr>
          <w:rFonts w:asciiTheme="majorBidi" w:hAnsiTheme="majorBidi" w:cstheme="majorBidi"/>
          <w:sz w:val="22"/>
          <w:szCs w:val="22"/>
        </w:rPr>
        <w:t xml:space="preserve"> </w:t>
      </w:r>
      <w:r w:rsidR="005836C2" w:rsidRPr="00A9281B">
        <w:rPr>
          <w:rFonts w:asciiTheme="majorBidi" w:hAnsiTheme="majorBidi" w:cstheme="majorBidi"/>
          <w:sz w:val="22"/>
          <w:szCs w:val="22"/>
        </w:rPr>
        <w:t xml:space="preserve">Multilevel modelling was used to analyse the </w:t>
      </w:r>
      <w:r w:rsidR="00FA3F9E" w:rsidRPr="00A9281B">
        <w:rPr>
          <w:rFonts w:asciiTheme="majorBidi" w:hAnsiTheme="majorBidi" w:cstheme="majorBidi"/>
          <w:sz w:val="22"/>
          <w:szCs w:val="22"/>
        </w:rPr>
        <w:t>two</w:t>
      </w:r>
      <w:r w:rsidR="005836C2" w:rsidRPr="00A9281B">
        <w:rPr>
          <w:rFonts w:asciiTheme="majorBidi" w:hAnsiTheme="majorBidi" w:cstheme="majorBidi"/>
          <w:sz w:val="22"/>
          <w:szCs w:val="22"/>
        </w:rPr>
        <w:t xml:space="preserve"> datasets. </w:t>
      </w:r>
      <w:r w:rsidR="005836C2" w:rsidRPr="00A9281B">
        <w:rPr>
          <w:rFonts w:asciiTheme="majorBidi" w:hAnsiTheme="majorBidi" w:cstheme="majorBidi"/>
          <w:sz w:val="22"/>
          <w:szCs w:val="22"/>
          <w:lang w:val="en-AU"/>
        </w:rPr>
        <w:t>Multilevel modelling is an adaptation of the general linear model for hierarchical datasets, which partitions the variance in the dependent vari</w:t>
      </w:r>
      <w:r w:rsidR="00885DD1" w:rsidRPr="00A9281B">
        <w:rPr>
          <w:rFonts w:asciiTheme="majorBidi" w:hAnsiTheme="majorBidi" w:cstheme="majorBidi"/>
          <w:sz w:val="22"/>
          <w:szCs w:val="22"/>
          <w:lang w:val="en-AU"/>
        </w:rPr>
        <w:t>able across the relevant levels</w:t>
      </w:r>
      <w:r w:rsidR="005836C2" w:rsidRPr="00A9281B">
        <w:rPr>
          <w:rFonts w:asciiTheme="majorBidi" w:hAnsiTheme="majorBidi" w:cstheme="majorBidi"/>
          <w:sz w:val="22"/>
          <w:szCs w:val="22"/>
          <w:lang w:val="en-AU"/>
        </w:rPr>
        <w:t>. This solves the problem of attenuation of standard errors in standard linear regression models, which results from hierarchical samples such as this where individuals within a subject or university may be more similar to one another than they would be to the population of students as a whole</w:t>
      </w:r>
      <w:r w:rsidR="00885DD1" w:rsidRPr="00A9281B">
        <w:rPr>
          <w:rFonts w:asciiTheme="majorBidi" w:hAnsiTheme="majorBidi" w:cstheme="majorBidi"/>
          <w:sz w:val="22"/>
          <w:szCs w:val="22"/>
          <w:lang w:val="en-AU"/>
        </w:rPr>
        <w:t xml:space="preserve"> (Snijders &amp; Bosker, 2012)</w:t>
      </w:r>
      <w:r w:rsidR="005836C2" w:rsidRPr="00A9281B">
        <w:rPr>
          <w:rFonts w:asciiTheme="majorBidi" w:hAnsiTheme="majorBidi" w:cstheme="majorBidi"/>
          <w:sz w:val="22"/>
          <w:szCs w:val="22"/>
          <w:lang w:val="en-AU"/>
        </w:rPr>
        <w:t xml:space="preserve">. Multilevel modelling also allows us to more accurately model the data by taking its structure into account, and provides answers to important substantive questions such as the research questions above.  </w:t>
      </w:r>
    </w:p>
    <w:p w14:paraId="29D17E04" w14:textId="77777777" w:rsidR="005836C2" w:rsidRPr="00A9281B" w:rsidRDefault="005836C2" w:rsidP="005836C2">
      <w:pPr>
        <w:rPr>
          <w:rFonts w:asciiTheme="majorBidi" w:hAnsiTheme="majorBidi" w:cstheme="majorBidi"/>
          <w:sz w:val="22"/>
          <w:szCs w:val="22"/>
          <w:lang w:val="en-AU"/>
        </w:rPr>
      </w:pPr>
      <w:r w:rsidRPr="00A9281B">
        <w:rPr>
          <w:rFonts w:asciiTheme="majorBidi" w:hAnsiTheme="majorBidi" w:cstheme="majorBidi"/>
          <w:sz w:val="22"/>
          <w:szCs w:val="22"/>
          <w:lang w:val="en-AU"/>
        </w:rPr>
        <w:t>The model is calculated at two levels, with the level 1 equation being:</w:t>
      </w:r>
    </w:p>
    <w:p w14:paraId="64DC3B63" w14:textId="77777777" w:rsidR="005836C2" w:rsidRPr="00A9281B" w:rsidRDefault="00440B9A" w:rsidP="005836C2">
      <w:pPr>
        <w:rPr>
          <w:rFonts w:asciiTheme="majorBidi" w:hAnsiTheme="majorBidi" w:cstheme="majorBidi"/>
          <w:b/>
          <w:bCs/>
          <w:iCs/>
          <w:sz w:val="22"/>
          <w:szCs w:val="22"/>
        </w:rPr>
      </w:pPr>
      <m:oMathPara>
        <m:oMath>
          <m:sSub>
            <m:sSubPr>
              <m:ctrlPr>
                <w:rPr>
                  <w:rFonts w:ascii="Cambria Math" w:hAnsi="Cambria Math" w:cstheme="majorBidi"/>
                  <w:b/>
                  <w:bCs/>
                  <w:sz w:val="22"/>
                  <w:szCs w:val="22"/>
                </w:rPr>
              </m:ctrlPr>
            </m:sSubPr>
            <m:e>
              <m:r>
                <m:rPr>
                  <m:sty m:val="b"/>
                </m:rPr>
                <w:rPr>
                  <w:rFonts w:ascii="Cambria Math" w:hAnsi="Cambria Math" w:cstheme="majorBidi"/>
                  <w:sz w:val="22"/>
                  <w:szCs w:val="22"/>
                </w:rPr>
                <m:t>Y</m:t>
              </m:r>
            </m:e>
            <m:sub>
              <m:r>
                <w:rPr>
                  <w:rFonts w:ascii="Cambria Math" w:hAnsi="Cambria Math" w:cstheme="majorBidi"/>
                  <w:sz w:val="22"/>
                  <w:szCs w:val="22"/>
                </w:rPr>
                <m:t>ij</m:t>
              </m:r>
            </m:sub>
          </m:sSub>
          <m:r>
            <m:rPr>
              <m:sty m:val="p"/>
            </m:rPr>
            <w:rPr>
              <w:rFonts w:ascii="Cambria Math" w:hAnsi="Cambria Math" w:cstheme="majorBidi"/>
              <w:sz w:val="22"/>
              <w:szCs w:val="22"/>
            </w:rPr>
            <m:t>=</m:t>
          </m:r>
          <m:sSub>
            <m:sSubPr>
              <m:ctrlPr>
                <w:rPr>
                  <w:rFonts w:ascii="Cambria Math" w:hAnsi="Cambria Math" w:cstheme="majorBidi"/>
                  <w:b/>
                  <w:bCs/>
                  <w:iCs/>
                  <w:sz w:val="22"/>
                  <w:szCs w:val="22"/>
                </w:rPr>
              </m:ctrlPr>
            </m:sSubPr>
            <m:e>
              <m:r>
                <m:rPr>
                  <m:sty m:val="p"/>
                </m:rPr>
                <w:rPr>
                  <w:rFonts w:ascii="Cambria Math" w:hAnsi="Cambria Math" w:cstheme="majorBidi"/>
                  <w:sz w:val="22"/>
                  <w:szCs w:val="22"/>
                </w:rPr>
                <m:t>β</m:t>
              </m:r>
            </m:e>
            <m:sub>
              <m:r>
                <w:rPr>
                  <w:rFonts w:ascii="Cambria Math" w:hAnsi="Cambria Math" w:cstheme="majorBidi"/>
                  <w:sz w:val="22"/>
                  <w:szCs w:val="22"/>
                </w:rPr>
                <m:t>oj</m:t>
              </m:r>
            </m:sub>
          </m:sSub>
          <m:r>
            <m:rPr>
              <m:sty m:val="p"/>
            </m:rPr>
            <w:rPr>
              <w:rFonts w:ascii="Cambria Math" w:hAnsi="Cambria Math" w:cstheme="majorBidi"/>
              <w:sz w:val="22"/>
              <w:szCs w:val="22"/>
            </w:rPr>
            <m:t>+</m:t>
          </m:r>
          <m:sSub>
            <m:sSubPr>
              <m:ctrlPr>
                <w:rPr>
                  <w:rFonts w:ascii="Cambria Math" w:hAnsi="Cambria Math" w:cstheme="majorBidi"/>
                  <w:b/>
                  <w:bCs/>
                  <w:iCs/>
                  <w:sz w:val="22"/>
                  <w:szCs w:val="22"/>
                </w:rPr>
              </m:ctrlPr>
            </m:sSubPr>
            <m:e>
              <m:r>
                <m:rPr>
                  <m:sty m:val="p"/>
                </m:rPr>
                <w:rPr>
                  <w:rFonts w:ascii="Cambria Math" w:hAnsi="Cambria Math" w:cstheme="majorBidi"/>
                  <w:sz w:val="22"/>
                  <w:szCs w:val="22"/>
                </w:rPr>
                <m:t>β</m:t>
              </m:r>
            </m:e>
            <m:sub>
              <m:r>
                <m:rPr>
                  <m:sty m:val="p"/>
                </m:rPr>
                <w:rPr>
                  <w:rFonts w:ascii="Cambria Math" w:hAnsi="Cambria Math" w:cstheme="majorBidi"/>
                  <w:sz w:val="22"/>
                  <w:szCs w:val="22"/>
                </w:rPr>
                <m:t>1</m:t>
              </m:r>
              <m:r>
                <w:rPr>
                  <w:rFonts w:ascii="Cambria Math" w:hAnsi="Cambria Math" w:cstheme="majorBidi"/>
                  <w:sz w:val="22"/>
                  <w:szCs w:val="22"/>
                </w:rPr>
                <m:t>j</m:t>
              </m:r>
            </m:sub>
          </m:sSub>
          <m:d>
            <m:dPr>
              <m:ctrlPr>
                <w:rPr>
                  <w:rFonts w:ascii="Cambria Math" w:hAnsi="Cambria Math" w:cstheme="majorBidi"/>
                  <w:b/>
                  <w:bCs/>
                  <w:iCs/>
                  <w:sz w:val="22"/>
                  <w:szCs w:val="22"/>
                </w:rPr>
              </m:ctrlPr>
            </m:dPr>
            <m:e>
              <m:sSub>
                <m:sSubPr>
                  <m:ctrlPr>
                    <w:rPr>
                      <w:rFonts w:ascii="Cambria Math" w:hAnsi="Cambria Math" w:cstheme="majorBidi"/>
                      <w:b/>
                      <w:bCs/>
                      <w:sz w:val="22"/>
                      <w:szCs w:val="22"/>
                    </w:rPr>
                  </m:ctrlPr>
                </m:sSubPr>
                <m:e>
                  <m:r>
                    <m:rPr>
                      <m:sty m:val="b"/>
                    </m:rPr>
                    <w:rPr>
                      <w:rFonts w:ascii="Cambria Math" w:hAnsi="Cambria Math" w:cstheme="majorBidi"/>
                      <w:sz w:val="22"/>
                      <w:szCs w:val="22"/>
                    </w:rPr>
                    <m:t>X1</m:t>
                  </m:r>
                </m:e>
                <m:sub>
                  <m:r>
                    <w:rPr>
                      <w:rFonts w:ascii="Cambria Math" w:hAnsi="Cambria Math" w:cstheme="majorBidi"/>
                      <w:sz w:val="22"/>
                      <w:szCs w:val="22"/>
                    </w:rPr>
                    <m:t>ij</m:t>
                  </m:r>
                </m:sub>
              </m:sSub>
              <m:ctrlPr>
                <w:rPr>
                  <w:rFonts w:ascii="Cambria Math" w:hAnsi="Cambria Math" w:cstheme="majorBidi"/>
                  <w:sz w:val="22"/>
                  <w:szCs w:val="22"/>
                </w:rPr>
              </m:ctrlPr>
            </m:e>
          </m:d>
          <m:r>
            <m:rPr>
              <m:sty m:val="p"/>
            </m:rPr>
            <w:rPr>
              <w:rFonts w:ascii="Cambria Math" w:hAnsi="Cambria Math" w:cstheme="majorBidi"/>
              <w:sz w:val="22"/>
              <w:szCs w:val="22"/>
            </w:rPr>
            <m:t>+</m:t>
          </m:r>
          <m:sSub>
            <m:sSubPr>
              <m:ctrlPr>
                <w:rPr>
                  <w:rFonts w:ascii="Cambria Math" w:hAnsi="Cambria Math" w:cstheme="majorBidi"/>
                  <w:b/>
                  <w:bCs/>
                  <w:iCs/>
                  <w:sz w:val="22"/>
                  <w:szCs w:val="22"/>
                </w:rPr>
              </m:ctrlPr>
            </m:sSubPr>
            <m:e>
              <m:r>
                <m:rPr>
                  <m:sty m:val="p"/>
                </m:rPr>
                <w:rPr>
                  <w:rFonts w:ascii="Cambria Math" w:hAnsi="Cambria Math" w:cstheme="majorBidi"/>
                  <w:sz w:val="22"/>
                  <w:szCs w:val="22"/>
                </w:rPr>
                <m:t>β</m:t>
              </m:r>
            </m:e>
            <m:sub>
              <m:r>
                <m:rPr>
                  <m:sty m:val="p"/>
                </m:rPr>
                <w:rPr>
                  <w:rFonts w:ascii="Cambria Math" w:hAnsi="Cambria Math" w:cstheme="majorBidi"/>
                  <w:sz w:val="22"/>
                  <w:szCs w:val="22"/>
                </w:rPr>
                <m:t>2</m:t>
              </m:r>
              <m:r>
                <w:rPr>
                  <w:rFonts w:ascii="Cambria Math" w:hAnsi="Cambria Math" w:cstheme="majorBidi"/>
                  <w:sz w:val="22"/>
                  <w:szCs w:val="22"/>
                </w:rPr>
                <m:t>j</m:t>
              </m:r>
            </m:sub>
          </m:sSub>
          <m:d>
            <m:dPr>
              <m:ctrlPr>
                <w:rPr>
                  <w:rFonts w:ascii="Cambria Math" w:hAnsi="Cambria Math" w:cstheme="majorBidi"/>
                  <w:b/>
                  <w:bCs/>
                  <w:iCs/>
                  <w:sz w:val="22"/>
                  <w:szCs w:val="22"/>
                </w:rPr>
              </m:ctrlPr>
            </m:dPr>
            <m:e>
              <m:sSub>
                <m:sSubPr>
                  <m:ctrlPr>
                    <w:rPr>
                      <w:rFonts w:ascii="Cambria Math" w:hAnsi="Cambria Math" w:cstheme="majorBidi"/>
                      <w:b/>
                      <w:bCs/>
                      <w:sz w:val="22"/>
                      <w:szCs w:val="22"/>
                    </w:rPr>
                  </m:ctrlPr>
                </m:sSubPr>
                <m:e>
                  <m:r>
                    <m:rPr>
                      <m:sty m:val="b"/>
                    </m:rPr>
                    <w:rPr>
                      <w:rFonts w:ascii="Cambria Math" w:hAnsi="Cambria Math" w:cstheme="majorBidi"/>
                      <w:sz w:val="22"/>
                      <w:szCs w:val="22"/>
                    </w:rPr>
                    <m:t>X2</m:t>
                  </m:r>
                </m:e>
                <m:sub>
                  <m:r>
                    <w:rPr>
                      <w:rFonts w:ascii="Cambria Math" w:hAnsi="Cambria Math" w:cstheme="majorBidi"/>
                      <w:sz w:val="22"/>
                      <w:szCs w:val="22"/>
                    </w:rPr>
                    <m:t>ij</m:t>
                  </m:r>
                </m:sub>
              </m:sSub>
              <m:ctrlPr>
                <w:rPr>
                  <w:rFonts w:ascii="Cambria Math" w:hAnsi="Cambria Math" w:cstheme="majorBidi"/>
                  <w:sz w:val="22"/>
                  <w:szCs w:val="22"/>
                </w:rPr>
              </m:ctrlPr>
            </m:e>
          </m:d>
          <m:r>
            <m:rPr>
              <m:sty m:val="p"/>
            </m:rPr>
            <w:rPr>
              <w:rFonts w:ascii="Cambria Math" w:hAnsi="Cambria Math" w:cstheme="majorBidi"/>
              <w:sz w:val="22"/>
              <w:szCs w:val="22"/>
            </w:rPr>
            <m:t>+</m:t>
          </m:r>
          <m:sSub>
            <m:sSubPr>
              <m:ctrlPr>
                <w:rPr>
                  <w:rFonts w:ascii="Cambria Math" w:hAnsi="Cambria Math" w:cstheme="majorBidi"/>
                  <w:sz w:val="22"/>
                  <w:szCs w:val="22"/>
                </w:rPr>
              </m:ctrlPr>
            </m:sSubPr>
            <m:e>
              <m:r>
                <m:rPr>
                  <m:sty m:val="bi"/>
                </m:rPr>
                <w:rPr>
                  <w:rFonts w:ascii="Cambria Math" w:hAnsi="Cambria Math" w:cstheme="majorBidi"/>
                  <w:sz w:val="22"/>
                  <w:szCs w:val="22"/>
                </w:rPr>
                <m:t>e</m:t>
              </m:r>
            </m:e>
            <m:sub>
              <m:r>
                <m:rPr>
                  <m:sty m:val="bi"/>
                </m:rPr>
                <w:rPr>
                  <w:rFonts w:ascii="Cambria Math" w:hAnsi="Cambria Math" w:cstheme="majorBidi"/>
                  <w:sz w:val="22"/>
                  <w:szCs w:val="22"/>
                </w:rPr>
                <m:t>ij</m:t>
              </m:r>
            </m:sub>
          </m:sSub>
        </m:oMath>
      </m:oMathPara>
    </w:p>
    <w:p w14:paraId="6FDF404B" w14:textId="77777777" w:rsidR="005836C2" w:rsidRPr="00A9281B" w:rsidRDefault="005836C2" w:rsidP="005836C2">
      <w:pPr>
        <w:rPr>
          <w:rFonts w:asciiTheme="majorBidi" w:hAnsiTheme="majorBidi" w:cstheme="majorBidi"/>
          <w:sz w:val="22"/>
          <w:szCs w:val="22"/>
          <w:lang w:val="en-AU"/>
        </w:rPr>
      </w:pPr>
      <w:r w:rsidRPr="00A9281B">
        <w:rPr>
          <w:rFonts w:asciiTheme="majorBidi" w:hAnsiTheme="majorBidi" w:cstheme="majorBidi"/>
          <w:sz w:val="22"/>
          <w:szCs w:val="22"/>
          <w:lang w:val="en-AU"/>
        </w:rPr>
        <w:t>where</w:t>
      </w:r>
    </w:p>
    <w:p w14:paraId="62B27CB3" w14:textId="77777777" w:rsidR="005836C2" w:rsidRPr="00A9281B" w:rsidRDefault="00440B9A" w:rsidP="00D34C39">
      <w:pPr>
        <w:ind w:left="720"/>
        <w:rPr>
          <w:rFonts w:asciiTheme="majorBidi" w:hAnsiTheme="majorBidi" w:cstheme="majorBidi"/>
          <w:sz w:val="22"/>
          <w:szCs w:val="22"/>
          <w:lang w:val="en-AU"/>
        </w:rPr>
      </w:pPr>
      <m:oMath>
        <m:sSub>
          <m:sSubPr>
            <m:ctrlPr>
              <w:rPr>
                <w:rFonts w:ascii="Cambria Math" w:hAnsi="Cambria Math" w:cstheme="majorBidi"/>
                <w:sz w:val="22"/>
                <w:szCs w:val="22"/>
              </w:rPr>
            </m:ctrlPr>
          </m:sSubPr>
          <m:e>
            <m:r>
              <m:rPr>
                <m:sty m:val="p"/>
              </m:rPr>
              <w:rPr>
                <w:rFonts w:ascii="Cambria Math" w:hAnsi="Cambria Math" w:cstheme="majorBidi"/>
                <w:sz w:val="22"/>
                <w:szCs w:val="22"/>
              </w:rPr>
              <m:t>Y</m:t>
            </m:r>
          </m:e>
          <m:sub>
            <m:r>
              <w:rPr>
                <w:rFonts w:ascii="Cambria Math" w:hAnsi="Cambria Math" w:cstheme="majorBidi"/>
                <w:sz w:val="22"/>
                <w:szCs w:val="22"/>
              </w:rPr>
              <m:t>ij</m:t>
            </m:r>
          </m:sub>
        </m:sSub>
      </m:oMath>
      <w:r w:rsidR="005836C2" w:rsidRPr="00A9281B">
        <w:rPr>
          <w:rFonts w:asciiTheme="majorBidi" w:hAnsiTheme="majorBidi" w:cstheme="majorBidi"/>
          <w:sz w:val="22"/>
          <w:szCs w:val="22"/>
          <w:lang w:val="en-AU"/>
        </w:rPr>
        <w:t> refers to the score on the dependent variable for an individual observation at Level 1 (subscript i refers to individual case, subscript j refers to the group).</w:t>
      </w:r>
    </w:p>
    <w:p w14:paraId="7466B7D1" w14:textId="77777777" w:rsidR="005836C2" w:rsidRPr="00A9281B" w:rsidRDefault="00440B9A" w:rsidP="00D34C39">
      <w:pPr>
        <w:ind w:left="720"/>
        <w:rPr>
          <w:rFonts w:asciiTheme="majorBidi" w:hAnsiTheme="majorBidi" w:cstheme="majorBidi"/>
          <w:sz w:val="22"/>
          <w:szCs w:val="22"/>
          <w:lang w:val="en-AU"/>
        </w:rPr>
      </w:pPr>
      <m:oMath>
        <m:sSub>
          <m:sSubPr>
            <m:ctrlPr>
              <w:rPr>
                <w:rFonts w:ascii="Cambria Math" w:hAnsi="Cambria Math" w:cstheme="majorBidi"/>
                <w:sz w:val="22"/>
                <w:szCs w:val="22"/>
              </w:rPr>
            </m:ctrlPr>
          </m:sSubPr>
          <m:e>
            <m:r>
              <m:rPr>
                <m:sty m:val="p"/>
              </m:rPr>
              <w:rPr>
                <w:rFonts w:ascii="Cambria Math" w:hAnsi="Cambria Math" w:cstheme="majorBidi"/>
                <w:sz w:val="22"/>
                <w:szCs w:val="22"/>
              </w:rPr>
              <m:t>X</m:t>
            </m:r>
          </m:e>
          <m:sub>
            <m:r>
              <w:rPr>
                <w:rFonts w:ascii="Cambria Math" w:hAnsi="Cambria Math" w:cstheme="majorBidi"/>
                <w:sz w:val="22"/>
                <w:szCs w:val="22"/>
              </w:rPr>
              <m:t>ij</m:t>
            </m:r>
          </m:sub>
        </m:sSub>
      </m:oMath>
      <w:r w:rsidR="005836C2" w:rsidRPr="00A9281B">
        <w:rPr>
          <w:rFonts w:asciiTheme="majorBidi" w:hAnsiTheme="majorBidi" w:cstheme="majorBidi"/>
          <w:sz w:val="22"/>
          <w:szCs w:val="22"/>
          <w:lang w:val="en-AU"/>
        </w:rPr>
        <w:t> refers to the Level 1 predictor.</w:t>
      </w:r>
    </w:p>
    <w:p w14:paraId="23A6B022" w14:textId="77777777" w:rsidR="005836C2" w:rsidRPr="00A9281B" w:rsidRDefault="00440B9A" w:rsidP="00D34C39">
      <w:pPr>
        <w:ind w:left="720"/>
        <w:rPr>
          <w:rFonts w:asciiTheme="majorBidi" w:hAnsiTheme="majorBidi" w:cstheme="majorBidi"/>
          <w:sz w:val="22"/>
          <w:szCs w:val="22"/>
          <w:lang w:val="en-AU"/>
        </w:rPr>
      </w:pPr>
      <m:oMath>
        <m:sSub>
          <m:sSubPr>
            <m:ctrlPr>
              <w:rPr>
                <w:rFonts w:ascii="Cambria Math" w:hAnsi="Cambria Math" w:cstheme="majorBidi"/>
                <w:iCs/>
                <w:sz w:val="22"/>
                <w:szCs w:val="22"/>
              </w:rPr>
            </m:ctrlPr>
          </m:sSubPr>
          <m:e>
            <m:r>
              <m:rPr>
                <m:sty m:val="p"/>
              </m:rPr>
              <w:rPr>
                <w:rFonts w:ascii="Cambria Math" w:hAnsi="Cambria Math" w:cstheme="majorBidi"/>
                <w:sz w:val="22"/>
                <w:szCs w:val="22"/>
              </w:rPr>
              <m:t>β</m:t>
            </m:r>
          </m:e>
          <m:sub>
            <m:r>
              <w:rPr>
                <w:rFonts w:ascii="Cambria Math" w:hAnsi="Cambria Math" w:cstheme="majorBidi"/>
                <w:sz w:val="22"/>
                <w:szCs w:val="22"/>
              </w:rPr>
              <m:t>oj</m:t>
            </m:r>
          </m:sub>
        </m:sSub>
      </m:oMath>
      <w:r w:rsidR="005836C2" w:rsidRPr="00A9281B">
        <w:rPr>
          <w:rFonts w:asciiTheme="majorBidi" w:hAnsiTheme="majorBidi" w:cstheme="majorBidi"/>
          <w:sz w:val="22"/>
          <w:szCs w:val="22"/>
          <w:lang w:val="en-AU"/>
        </w:rPr>
        <w:t> refers to the intercept of the dependent variable in group j (Level 2).</w:t>
      </w:r>
    </w:p>
    <w:p w14:paraId="4CBFCEB5" w14:textId="77777777" w:rsidR="005836C2" w:rsidRPr="00A9281B" w:rsidRDefault="00440B9A" w:rsidP="00D34C39">
      <w:pPr>
        <w:ind w:left="720"/>
        <w:rPr>
          <w:rFonts w:asciiTheme="majorBidi" w:hAnsiTheme="majorBidi" w:cstheme="majorBidi"/>
          <w:sz w:val="22"/>
          <w:szCs w:val="22"/>
          <w:lang w:val="en-AU"/>
        </w:rPr>
      </w:pPr>
      <m:oMath>
        <m:sSub>
          <m:sSubPr>
            <m:ctrlPr>
              <w:rPr>
                <w:rFonts w:ascii="Cambria Math" w:hAnsi="Cambria Math" w:cstheme="majorBidi"/>
                <w:iCs/>
                <w:sz w:val="22"/>
                <w:szCs w:val="22"/>
              </w:rPr>
            </m:ctrlPr>
          </m:sSubPr>
          <m:e>
            <m:r>
              <m:rPr>
                <m:sty m:val="p"/>
              </m:rPr>
              <w:rPr>
                <w:rFonts w:ascii="Cambria Math" w:hAnsi="Cambria Math" w:cstheme="majorBidi"/>
                <w:sz w:val="22"/>
                <w:szCs w:val="22"/>
              </w:rPr>
              <m:t>β</m:t>
            </m:r>
          </m:e>
          <m:sub>
            <m:r>
              <w:rPr>
                <w:rFonts w:ascii="Cambria Math" w:hAnsi="Cambria Math" w:cstheme="majorBidi"/>
                <w:sz w:val="22"/>
                <w:szCs w:val="22"/>
              </w:rPr>
              <m:t>1j</m:t>
            </m:r>
          </m:sub>
        </m:sSub>
      </m:oMath>
      <w:r w:rsidR="005836C2" w:rsidRPr="00A9281B">
        <w:rPr>
          <w:rFonts w:asciiTheme="majorBidi" w:hAnsiTheme="majorBidi" w:cstheme="majorBidi"/>
          <w:sz w:val="22"/>
          <w:szCs w:val="22"/>
          <w:lang w:val="en-AU"/>
        </w:rPr>
        <w:t> refers to the slope for the relationship in group j (Level 2) between the Level 1 predictor and the dependent variable.</w:t>
      </w:r>
    </w:p>
    <w:p w14:paraId="7569E518" w14:textId="77777777" w:rsidR="005836C2" w:rsidRPr="00A9281B" w:rsidRDefault="00440B9A" w:rsidP="00D34C39">
      <w:pPr>
        <w:ind w:left="720"/>
        <w:rPr>
          <w:rFonts w:asciiTheme="majorBidi" w:hAnsiTheme="majorBidi" w:cstheme="majorBidi"/>
          <w:sz w:val="22"/>
          <w:szCs w:val="22"/>
          <w:lang w:val="en-AU"/>
        </w:rPr>
      </w:pPr>
      <m:oMath>
        <m:sSub>
          <m:sSubPr>
            <m:ctrlPr>
              <w:rPr>
                <w:rFonts w:ascii="Cambria Math" w:hAnsi="Cambria Math" w:cstheme="majorBidi"/>
                <w:b/>
                <w:bCs/>
                <w:i/>
                <w:sz w:val="22"/>
                <w:szCs w:val="22"/>
              </w:rPr>
            </m:ctrlPr>
          </m:sSubPr>
          <m:e>
            <m:r>
              <w:rPr>
                <w:rFonts w:ascii="Cambria Math" w:hAnsi="Cambria Math" w:cstheme="majorBidi"/>
                <w:sz w:val="22"/>
                <w:szCs w:val="22"/>
              </w:rPr>
              <m:t>e</m:t>
            </m:r>
          </m:e>
          <m:sub>
            <m:r>
              <w:rPr>
                <w:rFonts w:ascii="Cambria Math" w:hAnsi="Cambria Math" w:cstheme="majorBidi"/>
                <w:sz w:val="22"/>
                <w:szCs w:val="22"/>
              </w:rPr>
              <m:t>ij</m:t>
            </m:r>
          </m:sub>
        </m:sSub>
      </m:oMath>
      <w:r w:rsidR="005836C2" w:rsidRPr="00A9281B">
        <w:rPr>
          <w:rFonts w:asciiTheme="majorBidi" w:hAnsiTheme="majorBidi" w:cstheme="majorBidi"/>
          <w:b/>
          <w:bCs/>
          <w:sz w:val="22"/>
          <w:szCs w:val="22"/>
        </w:rPr>
        <w:t xml:space="preserve"> </w:t>
      </w:r>
      <w:r w:rsidR="005836C2" w:rsidRPr="00A9281B">
        <w:rPr>
          <w:rFonts w:asciiTheme="majorBidi" w:hAnsiTheme="majorBidi" w:cstheme="majorBidi"/>
          <w:sz w:val="22"/>
          <w:szCs w:val="22"/>
          <w:lang w:val="en-AU"/>
        </w:rPr>
        <w:t>refers to the random errors of prediction for the Level 1 equation (it is also sometimes referred to as </w:t>
      </w:r>
      <m:oMath>
        <m:sSub>
          <m:sSubPr>
            <m:ctrlPr>
              <w:rPr>
                <w:rFonts w:ascii="Cambria Math" w:hAnsi="Cambria Math" w:cstheme="majorBidi"/>
                <w:b/>
                <w:bCs/>
                <w:i/>
                <w:sz w:val="22"/>
                <w:szCs w:val="22"/>
              </w:rPr>
            </m:ctrlPr>
          </m:sSubPr>
          <m:e>
            <m:r>
              <w:rPr>
                <w:rFonts w:ascii="Cambria Math" w:hAnsi="Cambria Math" w:cstheme="majorBidi"/>
                <w:sz w:val="22"/>
                <w:szCs w:val="22"/>
              </w:rPr>
              <m:t>r</m:t>
            </m:r>
          </m:e>
          <m:sub>
            <m:r>
              <w:rPr>
                <w:rFonts w:ascii="Cambria Math" w:hAnsi="Cambria Math" w:cstheme="majorBidi"/>
                <w:sz w:val="22"/>
                <w:szCs w:val="22"/>
              </w:rPr>
              <m:t>ij</m:t>
            </m:r>
          </m:sub>
        </m:sSub>
      </m:oMath>
      <w:r w:rsidR="005836C2" w:rsidRPr="00A9281B">
        <w:rPr>
          <w:rFonts w:asciiTheme="majorBidi" w:hAnsiTheme="majorBidi" w:cstheme="majorBidi"/>
          <w:sz w:val="22"/>
          <w:szCs w:val="22"/>
          <w:lang w:val="en-AU"/>
        </w:rPr>
        <w:t xml:space="preserve">). </w:t>
      </w:r>
    </w:p>
    <w:p w14:paraId="7A86C6C5" w14:textId="77777777" w:rsidR="005836C2" w:rsidRPr="00A9281B" w:rsidRDefault="005836C2" w:rsidP="005836C2">
      <w:pPr>
        <w:rPr>
          <w:rFonts w:asciiTheme="majorBidi" w:hAnsiTheme="majorBidi" w:cstheme="majorBidi"/>
          <w:sz w:val="22"/>
          <w:szCs w:val="22"/>
          <w:lang w:val="en-AU"/>
        </w:rPr>
      </w:pPr>
      <w:r w:rsidRPr="00A9281B">
        <w:rPr>
          <w:rFonts w:asciiTheme="majorBidi" w:hAnsiTheme="majorBidi" w:cstheme="majorBidi"/>
          <w:sz w:val="22"/>
          <w:szCs w:val="22"/>
          <w:lang w:val="en-AU"/>
        </w:rPr>
        <w:t>And the level 2 equation is given as:</w:t>
      </w:r>
    </w:p>
    <w:p w14:paraId="1F8479EA" w14:textId="77777777" w:rsidR="005836C2" w:rsidRPr="00A9281B" w:rsidRDefault="00440B9A" w:rsidP="005836C2">
      <w:pPr>
        <w:rPr>
          <w:rFonts w:asciiTheme="majorBidi" w:hAnsiTheme="majorBidi" w:cstheme="majorBidi"/>
          <w:sz w:val="22"/>
          <w:szCs w:val="22"/>
          <w:lang w:val="en-AU"/>
        </w:rPr>
      </w:pPr>
      <m:oMathPara>
        <m:oMath>
          <m:sSub>
            <m:sSubPr>
              <m:ctrlPr>
                <w:rPr>
                  <w:rFonts w:ascii="Cambria Math" w:hAnsi="Cambria Math" w:cstheme="majorBidi"/>
                  <w:iCs/>
                  <w:sz w:val="22"/>
                  <w:szCs w:val="22"/>
                </w:rPr>
              </m:ctrlPr>
            </m:sSubPr>
            <m:e>
              <m:r>
                <m:rPr>
                  <m:sty m:val="p"/>
                </m:rPr>
                <w:rPr>
                  <w:rFonts w:ascii="Cambria Math" w:hAnsi="Cambria Math" w:cstheme="majorBidi"/>
                  <w:sz w:val="22"/>
                  <w:szCs w:val="22"/>
                </w:rPr>
                <m:t>β</m:t>
              </m:r>
            </m:e>
            <m:sub>
              <m:r>
                <w:rPr>
                  <w:rFonts w:ascii="Cambria Math" w:hAnsi="Cambria Math" w:cstheme="majorBidi"/>
                  <w:sz w:val="22"/>
                  <w:szCs w:val="22"/>
                </w:rPr>
                <m:t>oj</m:t>
              </m:r>
            </m:sub>
          </m:sSub>
          <m:r>
            <w:rPr>
              <w:rFonts w:ascii="Cambria Math" w:hAnsi="Cambria Math" w:cstheme="majorBidi"/>
              <w:sz w:val="22"/>
              <w:szCs w:val="22"/>
            </w:rPr>
            <m:t>=</m:t>
          </m:r>
          <m:sSub>
            <m:sSubPr>
              <m:ctrlPr>
                <w:rPr>
                  <w:rFonts w:ascii="Cambria Math" w:hAnsi="Cambria Math" w:cstheme="majorBidi"/>
                  <w:i/>
                  <w:iCs/>
                  <w:sz w:val="22"/>
                  <w:szCs w:val="22"/>
                </w:rPr>
              </m:ctrlPr>
            </m:sSubPr>
            <m:e>
              <m:r>
                <w:rPr>
                  <w:rFonts w:ascii="Cambria Math" w:hAnsi="Cambria Math" w:cstheme="majorBidi"/>
                  <w:sz w:val="22"/>
                  <w:szCs w:val="22"/>
                </w:rPr>
                <m:t>γ</m:t>
              </m:r>
            </m:e>
            <m:sub>
              <m:r>
                <w:rPr>
                  <w:rFonts w:ascii="Cambria Math" w:hAnsi="Cambria Math" w:cstheme="majorBidi"/>
                  <w:sz w:val="22"/>
                  <w:szCs w:val="22"/>
                </w:rPr>
                <m:t>00</m:t>
              </m:r>
            </m:sub>
          </m:sSub>
          <m:r>
            <w:rPr>
              <w:rFonts w:ascii="Cambria Math" w:hAnsi="Cambria Math" w:cstheme="majorBidi"/>
              <w:sz w:val="22"/>
              <w:szCs w:val="22"/>
            </w:rPr>
            <m:t>+</m:t>
          </m:r>
          <m:sSub>
            <m:sSubPr>
              <m:ctrlPr>
                <w:rPr>
                  <w:rFonts w:ascii="Cambria Math" w:hAnsi="Cambria Math" w:cstheme="majorBidi"/>
                  <w:i/>
                  <w:iCs/>
                  <w:sz w:val="22"/>
                  <w:szCs w:val="22"/>
                </w:rPr>
              </m:ctrlPr>
            </m:sSubPr>
            <m:e>
              <m:r>
                <w:rPr>
                  <w:rFonts w:ascii="Cambria Math" w:hAnsi="Cambria Math" w:cstheme="majorBidi"/>
                  <w:sz w:val="22"/>
                  <w:szCs w:val="22"/>
                </w:rPr>
                <m:t>γ</m:t>
              </m:r>
            </m:e>
            <m:sub>
              <m:r>
                <w:rPr>
                  <w:rFonts w:ascii="Cambria Math" w:hAnsi="Cambria Math" w:cstheme="majorBidi"/>
                  <w:sz w:val="22"/>
                  <w:szCs w:val="22"/>
                </w:rPr>
                <m:t>01</m:t>
              </m:r>
            </m:sub>
          </m:sSub>
          <m:sSub>
            <m:sSubPr>
              <m:ctrlPr>
                <w:rPr>
                  <w:rFonts w:ascii="Cambria Math" w:hAnsi="Cambria Math" w:cstheme="majorBidi"/>
                  <w:sz w:val="22"/>
                  <w:szCs w:val="22"/>
                </w:rPr>
              </m:ctrlPr>
            </m:sSubPr>
            <m:e>
              <m:r>
                <m:rPr>
                  <m:sty m:val="p"/>
                </m:rPr>
                <w:rPr>
                  <w:rFonts w:ascii="Cambria Math" w:hAnsi="Cambria Math" w:cstheme="majorBidi"/>
                  <w:sz w:val="22"/>
                  <w:szCs w:val="22"/>
                </w:rPr>
                <m:t>W</m:t>
              </m:r>
            </m:e>
            <m:sub>
              <m:r>
                <m:rPr>
                  <m:sty m:val="p"/>
                </m:rPr>
                <w:rPr>
                  <w:rFonts w:ascii="Cambria Math" w:hAnsi="Cambria Math" w:cstheme="majorBidi"/>
                  <w:sz w:val="22"/>
                  <w:szCs w:val="22"/>
                </w:rPr>
                <m:t>j</m:t>
              </m:r>
            </m:sub>
          </m:sSub>
          <m:r>
            <w:rPr>
              <w:rFonts w:ascii="Cambria Math" w:hAnsi="Cambria Math" w:cstheme="majorBidi"/>
              <w:sz w:val="22"/>
              <w:szCs w:val="22"/>
            </w:rPr>
            <m:t>+</m:t>
          </m:r>
          <m:sSub>
            <m:sSubPr>
              <m:ctrlPr>
                <w:rPr>
                  <w:rFonts w:ascii="Cambria Math" w:hAnsi="Cambria Math" w:cstheme="majorBidi"/>
                  <w:i/>
                  <w:iCs/>
                  <w:sz w:val="22"/>
                  <w:szCs w:val="22"/>
                </w:rPr>
              </m:ctrlPr>
            </m:sSubPr>
            <m:e>
              <m:r>
                <w:rPr>
                  <w:rFonts w:ascii="Cambria Math" w:hAnsi="Cambria Math" w:cstheme="majorBidi"/>
                  <w:sz w:val="22"/>
                  <w:szCs w:val="22"/>
                </w:rPr>
                <m:t>u</m:t>
              </m:r>
            </m:e>
            <m:sub>
              <m:r>
                <w:rPr>
                  <w:rFonts w:ascii="Cambria Math" w:hAnsi="Cambria Math" w:cstheme="majorBidi"/>
                  <w:sz w:val="22"/>
                  <w:szCs w:val="22"/>
                </w:rPr>
                <m:t>0j</m:t>
              </m:r>
            </m:sub>
          </m:sSub>
        </m:oMath>
      </m:oMathPara>
    </w:p>
    <w:p w14:paraId="3845D3B6" w14:textId="77777777" w:rsidR="005836C2" w:rsidRPr="00A9281B" w:rsidRDefault="00440B9A" w:rsidP="00D34C39">
      <w:pPr>
        <w:ind w:left="720"/>
        <w:rPr>
          <w:rFonts w:asciiTheme="majorBidi" w:hAnsiTheme="majorBidi" w:cstheme="majorBidi"/>
          <w:sz w:val="22"/>
          <w:szCs w:val="22"/>
          <w:lang w:val="en-AU"/>
        </w:rPr>
      </w:pPr>
      <m:oMath>
        <m:sSub>
          <m:sSubPr>
            <m:ctrlPr>
              <w:rPr>
                <w:rFonts w:ascii="Cambria Math" w:hAnsi="Cambria Math" w:cstheme="majorBidi"/>
                <w:i/>
                <w:iCs/>
                <w:sz w:val="22"/>
                <w:szCs w:val="22"/>
              </w:rPr>
            </m:ctrlPr>
          </m:sSubPr>
          <m:e>
            <m:r>
              <w:rPr>
                <w:rFonts w:ascii="Cambria Math" w:hAnsi="Cambria Math" w:cstheme="majorBidi"/>
                <w:sz w:val="22"/>
                <w:szCs w:val="22"/>
              </w:rPr>
              <m:t>γ</m:t>
            </m:r>
          </m:e>
          <m:sub>
            <m:r>
              <w:rPr>
                <w:rFonts w:ascii="Cambria Math" w:hAnsi="Cambria Math" w:cstheme="majorBidi"/>
                <w:sz w:val="22"/>
                <w:szCs w:val="22"/>
              </w:rPr>
              <m:t>00</m:t>
            </m:r>
          </m:sub>
        </m:sSub>
      </m:oMath>
      <w:r w:rsidR="005836C2" w:rsidRPr="00A9281B">
        <w:rPr>
          <w:rFonts w:asciiTheme="majorBidi" w:hAnsiTheme="majorBidi" w:cstheme="majorBidi"/>
          <w:sz w:val="22"/>
          <w:szCs w:val="22"/>
          <w:lang w:val="en-AU"/>
        </w:rPr>
        <w:t> refers to the overall intercept. This is the grand mean of the scores on the dependent variable across all the groups when all the predictors are equal to 0.</w:t>
      </w:r>
    </w:p>
    <w:p w14:paraId="69D7AE74" w14:textId="77777777" w:rsidR="005836C2" w:rsidRPr="00A9281B" w:rsidRDefault="00440B9A" w:rsidP="00D34C39">
      <w:pPr>
        <w:ind w:left="720"/>
        <w:rPr>
          <w:rFonts w:asciiTheme="majorBidi" w:hAnsiTheme="majorBidi" w:cstheme="majorBidi"/>
          <w:sz w:val="22"/>
          <w:szCs w:val="22"/>
          <w:lang w:val="en-AU"/>
        </w:rPr>
      </w:pPr>
      <m:oMath>
        <m:sSub>
          <m:sSubPr>
            <m:ctrlPr>
              <w:rPr>
                <w:rFonts w:ascii="Cambria Math" w:hAnsi="Cambria Math" w:cstheme="majorBidi"/>
                <w:sz w:val="22"/>
                <w:szCs w:val="22"/>
              </w:rPr>
            </m:ctrlPr>
          </m:sSubPr>
          <m:e>
            <m:r>
              <m:rPr>
                <m:sty m:val="p"/>
              </m:rPr>
              <w:rPr>
                <w:rFonts w:ascii="Cambria Math" w:hAnsi="Cambria Math" w:cstheme="majorBidi"/>
                <w:sz w:val="22"/>
                <w:szCs w:val="22"/>
              </w:rPr>
              <m:t>W</m:t>
            </m:r>
          </m:e>
          <m:sub>
            <m:r>
              <m:rPr>
                <m:sty m:val="p"/>
              </m:rPr>
              <w:rPr>
                <w:rFonts w:ascii="Cambria Math" w:hAnsi="Cambria Math" w:cstheme="majorBidi"/>
                <w:sz w:val="22"/>
                <w:szCs w:val="22"/>
              </w:rPr>
              <m:t>j</m:t>
            </m:r>
          </m:sub>
        </m:sSub>
      </m:oMath>
      <w:r w:rsidR="005836C2" w:rsidRPr="00A9281B">
        <w:rPr>
          <w:rFonts w:asciiTheme="majorBidi" w:hAnsiTheme="majorBidi" w:cstheme="majorBidi"/>
          <w:sz w:val="22"/>
          <w:szCs w:val="22"/>
          <w:lang w:val="en-AU"/>
        </w:rPr>
        <w:t> refers to the Level 2 predictor.</w:t>
      </w:r>
    </w:p>
    <w:p w14:paraId="124C80F8" w14:textId="77777777" w:rsidR="005836C2" w:rsidRPr="00A9281B" w:rsidRDefault="00440B9A" w:rsidP="00D34C39">
      <w:pPr>
        <w:ind w:left="720"/>
        <w:rPr>
          <w:rFonts w:asciiTheme="majorBidi" w:hAnsiTheme="majorBidi" w:cstheme="majorBidi"/>
          <w:sz w:val="22"/>
          <w:szCs w:val="22"/>
          <w:lang w:val="en-AU"/>
        </w:rPr>
      </w:pPr>
      <m:oMath>
        <m:sSub>
          <m:sSubPr>
            <m:ctrlPr>
              <w:rPr>
                <w:rFonts w:ascii="Cambria Math" w:hAnsi="Cambria Math" w:cstheme="majorBidi"/>
                <w:i/>
                <w:iCs/>
                <w:sz w:val="22"/>
                <w:szCs w:val="22"/>
              </w:rPr>
            </m:ctrlPr>
          </m:sSubPr>
          <m:e>
            <m:r>
              <w:rPr>
                <w:rFonts w:ascii="Cambria Math" w:hAnsi="Cambria Math" w:cstheme="majorBidi"/>
                <w:sz w:val="22"/>
                <w:szCs w:val="22"/>
              </w:rPr>
              <m:t>γ</m:t>
            </m:r>
          </m:e>
          <m:sub>
            <m:r>
              <w:rPr>
                <w:rFonts w:ascii="Cambria Math" w:hAnsi="Cambria Math" w:cstheme="majorBidi"/>
                <w:sz w:val="22"/>
                <w:szCs w:val="22"/>
              </w:rPr>
              <m:t>01</m:t>
            </m:r>
          </m:sub>
        </m:sSub>
      </m:oMath>
      <w:r w:rsidR="005836C2" w:rsidRPr="00A9281B">
        <w:rPr>
          <w:rFonts w:asciiTheme="majorBidi" w:hAnsiTheme="majorBidi" w:cstheme="majorBidi"/>
          <w:sz w:val="22"/>
          <w:szCs w:val="22"/>
          <w:lang w:val="en-AU"/>
        </w:rPr>
        <w:t> refers to the overall regression coefficient, or the slope, between the dependent variable and the Level 2 predictor.</w:t>
      </w:r>
    </w:p>
    <w:p w14:paraId="1BFC61FE" w14:textId="77777777" w:rsidR="005836C2" w:rsidRPr="00A9281B" w:rsidRDefault="00440B9A" w:rsidP="00D34C39">
      <w:pPr>
        <w:ind w:left="720"/>
        <w:rPr>
          <w:rFonts w:asciiTheme="majorBidi" w:hAnsiTheme="majorBidi" w:cstheme="majorBidi"/>
          <w:sz w:val="22"/>
          <w:szCs w:val="22"/>
          <w:lang w:val="en-AU"/>
        </w:rPr>
      </w:pPr>
      <m:oMath>
        <m:sSub>
          <m:sSubPr>
            <m:ctrlPr>
              <w:rPr>
                <w:rFonts w:ascii="Cambria Math" w:hAnsi="Cambria Math" w:cstheme="majorBidi"/>
                <w:i/>
                <w:iCs/>
                <w:sz w:val="22"/>
                <w:szCs w:val="22"/>
              </w:rPr>
            </m:ctrlPr>
          </m:sSubPr>
          <m:e>
            <m:r>
              <w:rPr>
                <w:rFonts w:ascii="Cambria Math" w:hAnsi="Cambria Math" w:cstheme="majorBidi"/>
                <w:sz w:val="22"/>
                <w:szCs w:val="22"/>
              </w:rPr>
              <m:t>u</m:t>
            </m:r>
          </m:e>
          <m:sub>
            <m:r>
              <w:rPr>
                <w:rFonts w:ascii="Cambria Math" w:hAnsi="Cambria Math" w:cstheme="majorBidi"/>
                <w:sz w:val="22"/>
                <w:szCs w:val="22"/>
              </w:rPr>
              <m:t>0j</m:t>
            </m:r>
          </m:sub>
        </m:sSub>
      </m:oMath>
      <w:r w:rsidR="005836C2" w:rsidRPr="00A9281B">
        <w:rPr>
          <w:rFonts w:asciiTheme="majorBidi" w:hAnsiTheme="majorBidi" w:cstheme="majorBidi"/>
          <w:sz w:val="22"/>
          <w:szCs w:val="22"/>
          <w:lang w:val="en-AU"/>
        </w:rPr>
        <w:t> refers to the random error component for the deviation of the intercept of a group from the overall intercept.</w:t>
      </w:r>
    </w:p>
    <w:p w14:paraId="3437360F" w14:textId="2C764B97" w:rsidR="00CE6144" w:rsidRDefault="005836C2" w:rsidP="00CB7A44">
      <w:pPr>
        <w:ind w:left="720"/>
        <w:rPr>
          <w:rFonts w:asciiTheme="majorBidi" w:hAnsiTheme="majorBidi" w:cstheme="majorBidi"/>
          <w:sz w:val="22"/>
          <w:szCs w:val="22"/>
          <w:lang w:val="en-AU"/>
        </w:rPr>
      </w:pPr>
      <w:r w:rsidRPr="00A9281B">
        <w:rPr>
          <w:rFonts w:asciiTheme="majorBidi" w:hAnsiTheme="majorBidi" w:cstheme="majorBidi"/>
          <w:sz w:val="22"/>
          <w:szCs w:val="22"/>
          <w:lang w:val="en-AU"/>
        </w:rPr>
        <w:t>And in which the dependent variables are the intercepts and the slopes for the independent variables at Lev</w:t>
      </w:r>
      <w:r w:rsidR="00FA3F9E" w:rsidRPr="00A9281B">
        <w:rPr>
          <w:rFonts w:asciiTheme="majorBidi" w:hAnsiTheme="majorBidi" w:cstheme="majorBidi"/>
          <w:sz w:val="22"/>
          <w:szCs w:val="22"/>
          <w:lang w:val="en-AU"/>
        </w:rPr>
        <w:t xml:space="preserve">el 1 in the groups of Level 2. </w:t>
      </w:r>
    </w:p>
    <w:p w14:paraId="215105FA" w14:textId="77777777" w:rsidR="00A9281B" w:rsidRPr="00A9281B" w:rsidRDefault="00A9281B" w:rsidP="00CB7A44">
      <w:pPr>
        <w:ind w:left="720"/>
        <w:rPr>
          <w:rFonts w:asciiTheme="majorBidi" w:hAnsiTheme="majorBidi" w:cstheme="majorBidi"/>
          <w:sz w:val="22"/>
          <w:szCs w:val="22"/>
          <w:lang w:val="en-AU"/>
        </w:rPr>
      </w:pPr>
    </w:p>
    <w:p w14:paraId="35B60A13" w14:textId="77777777" w:rsidR="00563AEB" w:rsidRPr="00A9281B" w:rsidRDefault="00563AEB" w:rsidP="00563AEB">
      <w:pPr>
        <w:rPr>
          <w:rFonts w:asciiTheme="majorBidi" w:hAnsiTheme="majorBidi" w:cstheme="majorBidi"/>
        </w:rPr>
      </w:pPr>
    </w:p>
    <w:p w14:paraId="23AD43A9" w14:textId="49096C2E" w:rsidR="00563AEB" w:rsidRPr="00A9281B" w:rsidRDefault="00563AEB" w:rsidP="003C12F3">
      <w:pPr>
        <w:pStyle w:val="Heading3"/>
        <w:rPr>
          <w:rFonts w:asciiTheme="majorBidi" w:hAnsiTheme="majorBidi" w:cstheme="majorBidi"/>
          <w:b w:val="0"/>
          <w:bCs/>
          <w:i/>
          <w:iCs/>
          <w:sz w:val="22"/>
          <w:szCs w:val="22"/>
        </w:rPr>
      </w:pPr>
      <w:r w:rsidRPr="00A9281B">
        <w:rPr>
          <w:rFonts w:asciiTheme="majorBidi" w:hAnsiTheme="majorBidi" w:cstheme="majorBidi"/>
          <w:b w:val="0"/>
          <w:bCs/>
          <w:i/>
          <w:iCs/>
          <w:sz w:val="22"/>
          <w:szCs w:val="22"/>
        </w:rPr>
        <w:t>Model building</w:t>
      </w:r>
    </w:p>
    <w:p w14:paraId="3C5F1299" w14:textId="77777777" w:rsidR="00A9281B" w:rsidRPr="00A9281B" w:rsidRDefault="00A9281B" w:rsidP="00A9281B"/>
    <w:p w14:paraId="355413AA" w14:textId="7CABC5DD" w:rsidR="00CE6144" w:rsidRPr="00A9281B" w:rsidRDefault="00CE6144" w:rsidP="008D4C54">
      <w:pPr>
        <w:rPr>
          <w:rFonts w:asciiTheme="majorBidi" w:hAnsiTheme="majorBidi" w:cstheme="majorBidi"/>
          <w:sz w:val="22"/>
          <w:szCs w:val="22"/>
        </w:rPr>
      </w:pPr>
      <w:r w:rsidRPr="00A9281B">
        <w:rPr>
          <w:rFonts w:asciiTheme="majorBidi" w:hAnsiTheme="majorBidi" w:cstheme="majorBidi"/>
          <w:sz w:val="22"/>
          <w:szCs w:val="22"/>
        </w:rPr>
        <w:t xml:space="preserve">We </w:t>
      </w:r>
      <w:r w:rsidR="00563AEB" w:rsidRPr="00A9281B">
        <w:rPr>
          <w:rFonts w:asciiTheme="majorBidi" w:hAnsiTheme="majorBidi" w:cstheme="majorBidi"/>
          <w:sz w:val="22"/>
          <w:szCs w:val="22"/>
        </w:rPr>
        <w:t>constructed</w:t>
      </w:r>
      <w:r w:rsidRPr="00A9281B">
        <w:rPr>
          <w:rFonts w:asciiTheme="majorBidi" w:hAnsiTheme="majorBidi" w:cstheme="majorBidi"/>
          <w:sz w:val="22"/>
          <w:szCs w:val="22"/>
        </w:rPr>
        <w:t xml:space="preserve"> three models which were created using the previously described multilevel approach. These are three-level models (students within d</w:t>
      </w:r>
      <w:r w:rsidR="008D4C54" w:rsidRPr="00A9281B">
        <w:rPr>
          <w:rFonts w:asciiTheme="majorBidi" w:hAnsiTheme="majorBidi" w:cstheme="majorBidi"/>
          <w:sz w:val="22"/>
          <w:szCs w:val="22"/>
        </w:rPr>
        <w:t>isciplines within universities)</w:t>
      </w:r>
      <w:r w:rsidRPr="00A9281B">
        <w:rPr>
          <w:rFonts w:asciiTheme="majorBidi" w:hAnsiTheme="majorBidi" w:cstheme="majorBidi"/>
          <w:sz w:val="22"/>
          <w:szCs w:val="22"/>
        </w:rPr>
        <w:t>:</w:t>
      </w:r>
    </w:p>
    <w:p w14:paraId="758338A5" w14:textId="77777777" w:rsidR="00CE6144" w:rsidRPr="00A9281B" w:rsidRDefault="00CE6144" w:rsidP="00563AEB">
      <w:pPr>
        <w:pStyle w:val="ListParagraph"/>
        <w:numPr>
          <w:ilvl w:val="0"/>
          <w:numId w:val="2"/>
        </w:numPr>
        <w:rPr>
          <w:rFonts w:asciiTheme="majorBidi" w:hAnsiTheme="majorBidi"/>
        </w:rPr>
      </w:pPr>
      <w:r w:rsidRPr="00A9281B">
        <w:rPr>
          <w:rFonts w:asciiTheme="majorBidi" w:hAnsiTheme="majorBidi"/>
        </w:rPr>
        <w:t>Model 0: the null model.</w:t>
      </w:r>
    </w:p>
    <w:p w14:paraId="4621149E" w14:textId="77777777" w:rsidR="00CE6144" w:rsidRPr="00A9281B" w:rsidRDefault="00CE6144" w:rsidP="00563AEB">
      <w:pPr>
        <w:pStyle w:val="ListParagraph"/>
        <w:numPr>
          <w:ilvl w:val="0"/>
          <w:numId w:val="2"/>
        </w:numPr>
        <w:rPr>
          <w:rFonts w:asciiTheme="majorBidi" w:hAnsiTheme="majorBidi"/>
        </w:rPr>
      </w:pPr>
      <w:r w:rsidRPr="00A9281B">
        <w:rPr>
          <w:rFonts w:asciiTheme="majorBidi" w:hAnsiTheme="majorBidi"/>
        </w:rPr>
        <w:t>Model 1: a model with institutional characteristics included.</w:t>
      </w:r>
    </w:p>
    <w:p w14:paraId="7E20C2D8" w14:textId="77777777" w:rsidR="00CE6144" w:rsidRPr="00A9281B" w:rsidRDefault="00CE6144" w:rsidP="00563AEB">
      <w:pPr>
        <w:pStyle w:val="ListParagraph"/>
        <w:numPr>
          <w:ilvl w:val="0"/>
          <w:numId w:val="2"/>
        </w:numPr>
        <w:rPr>
          <w:rFonts w:asciiTheme="majorBidi" w:hAnsiTheme="majorBidi"/>
        </w:rPr>
      </w:pPr>
      <w:r w:rsidRPr="00A9281B">
        <w:rPr>
          <w:rFonts w:asciiTheme="majorBidi" w:hAnsiTheme="majorBidi"/>
        </w:rPr>
        <w:t>Model 2: a model with both student and institutional characteristics included.</w:t>
      </w:r>
    </w:p>
    <w:p w14:paraId="7F2E60F3" w14:textId="2CB0587E" w:rsidR="005836C2" w:rsidRPr="00A9281B" w:rsidRDefault="00CE6144" w:rsidP="00563AEB">
      <w:pPr>
        <w:rPr>
          <w:rFonts w:asciiTheme="majorBidi" w:hAnsiTheme="majorBidi" w:cstheme="majorBidi"/>
          <w:sz w:val="22"/>
          <w:szCs w:val="22"/>
        </w:rPr>
      </w:pPr>
      <w:r w:rsidRPr="00A9281B">
        <w:rPr>
          <w:rFonts w:asciiTheme="majorBidi" w:hAnsiTheme="majorBidi" w:cstheme="majorBidi"/>
          <w:sz w:val="22"/>
          <w:szCs w:val="22"/>
        </w:rPr>
        <w:t>The</w:t>
      </w:r>
      <w:r w:rsidRPr="00A9281B">
        <w:rPr>
          <w:rFonts w:asciiTheme="majorBidi" w:eastAsiaTheme="minorEastAsia" w:hAnsiTheme="majorBidi" w:cstheme="majorBidi"/>
          <w:sz w:val="22"/>
          <w:szCs w:val="22"/>
          <w:lang w:eastAsia="zh-CN"/>
        </w:rPr>
        <w:t xml:space="preserve"> full </w:t>
      </w:r>
      <w:r w:rsidR="00CB7A44" w:rsidRPr="00A9281B">
        <w:rPr>
          <w:rFonts w:asciiTheme="majorBidi" w:eastAsiaTheme="minorEastAsia" w:hAnsiTheme="majorBidi" w:cstheme="majorBidi"/>
          <w:sz w:val="22"/>
          <w:szCs w:val="22"/>
          <w:lang w:eastAsia="zh-CN"/>
        </w:rPr>
        <w:t xml:space="preserve">model </w:t>
      </w:r>
      <w:r w:rsidRPr="00A9281B">
        <w:rPr>
          <w:rFonts w:asciiTheme="majorBidi" w:hAnsiTheme="majorBidi" w:cstheme="majorBidi"/>
          <w:sz w:val="22"/>
          <w:szCs w:val="22"/>
        </w:rPr>
        <w:t>tables report estimates with standard errors and model fit. Significant values at the p&lt;.05 level are indicated in italics.</w:t>
      </w:r>
      <w:r w:rsidR="00563AEB" w:rsidRPr="00A9281B">
        <w:rPr>
          <w:rFonts w:asciiTheme="majorBidi" w:hAnsiTheme="majorBidi" w:cstheme="majorBidi"/>
          <w:sz w:val="22"/>
          <w:szCs w:val="22"/>
        </w:rPr>
        <w:t xml:space="preserve"> </w:t>
      </w:r>
      <w:r w:rsidRPr="00A9281B">
        <w:rPr>
          <w:rFonts w:asciiTheme="majorBidi" w:hAnsiTheme="majorBidi" w:cstheme="majorBidi"/>
          <w:sz w:val="22"/>
          <w:szCs w:val="22"/>
        </w:rPr>
        <w:t>The models are conducted with several dependent variables</w:t>
      </w:r>
      <w:r w:rsidRPr="00A9281B">
        <w:rPr>
          <w:rFonts w:asciiTheme="majorBidi" w:eastAsiaTheme="minorEastAsia" w:hAnsiTheme="majorBidi" w:cstheme="majorBidi"/>
          <w:sz w:val="22"/>
          <w:szCs w:val="22"/>
          <w:lang w:eastAsia="zh-CN"/>
        </w:rPr>
        <w:t>, being the scales that could be calculated from the data</w:t>
      </w:r>
      <w:r w:rsidRPr="00A9281B">
        <w:rPr>
          <w:rFonts w:asciiTheme="majorBidi" w:hAnsiTheme="majorBidi" w:cstheme="majorBidi"/>
          <w:sz w:val="22"/>
          <w:szCs w:val="22"/>
        </w:rPr>
        <w:t>.</w:t>
      </w:r>
      <w:r w:rsidR="00563AEB" w:rsidRPr="00A9281B">
        <w:rPr>
          <w:rFonts w:asciiTheme="majorBidi" w:hAnsiTheme="majorBidi" w:cstheme="majorBidi"/>
          <w:sz w:val="22"/>
          <w:szCs w:val="22"/>
        </w:rPr>
        <w:t xml:space="preserve"> </w:t>
      </w:r>
      <w:r w:rsidR="005836C2" w:rsidRPr="00A9281B">
        <w:rPr>
          <w:rFonts w:asciiTheme="majorBidi" w:hAnsiTheme="majorBidi" w:cstheme="majorBidi"/>
          <w:sz w:val="22"/>
          <w:szCs w:val="22"/>
          <w:lang w:val="en-AU"/>
        </w:rPr>
        <w:t>The models were run i</w:t>
      </w:r>
      <w:r w:rsidR="00CB7A44" w:rsidRPr="00A9281B">
        <w:rPr>
          <w:rFonts w:asciiTheme="majorBidi" w:hAnsiTheme="majorBidi" w:cstheme="majorBidi"/>
          <w:sz w:val="22"/>
          <w:szCs w:val="22"/>
          <w:lang w:val="en-AU"/>
        </w:rPr>
        <w:t>n three phases. In phase 1 we ra</w:t>
      </w:r>
      <w:r w:rsidR="005836C2" w:rsidRPr="00A9281B">
        <w:rPr>
          <w:rFonts w:asciiTheme="majorBidi" w:hAnsiTheme="majorBidi" w:cstheme="majorBidi"/>
          <w:sz w:val="22"/>
          <w:szCs w:val="22"/>
          <w:lang w:val="en-AU"/>
        </w:rPr>
        <w:t>n an empty model</w:t>
      </w:r>
      <w:r w:rsidR="008D4C54" w:rsidRPr="00A9281B">
        <w:rPr>
          <w:rFonts w:asciiTheme="majorBidi" w:hAnsiTheme="majorBidi" w:cstheme="majorBidi"/>
          <w:sz w:val="22"/>
          <w:szCs w:val="22"/>
          <w:lang w:val="en-AU"/>
        </w:rPr>
        <w:t xml:space="preserve"> (Model 0)</w:t>
      </w:r>
      <w:r w:rsidR="005836C2" w:rsidRPr="00A9281B">
        <w:rPr>
          <w:rFonts w:asciiTheme="majorBidi" w:hAnsiTheme="majorBidi" w:cstheme="majorBidi"/>
          <w:sz w:val="22"/>
          <w:szCs w:val="22"/>
          <w:lang w:val="en-AU"/>
        </w:rPr>
        <w:t xml:space="preserve">, with only a constant as predictor as a baseline model which will provide us with a partition of the variance in the outcomes to be explained at each of the three levels. In the second phase, the organisational characteristics </w:t>
      </w:r>
      <w:r w:rsidR="001E771F" w:rsidRPr="00A9281B">
        <w:rPr>
          <w:rFonts w:asciiTheme="majorBidi" w:hAnsiTheme="majorBidi" w:cstheme="majorBidi"/>
          <w:sz w:val="22"/>
          <w:szCs w:val="22"/>
          <w:lang w:val="en-AU"/>
        </w:rPr>
        <w:t>were</w:t>
      </w:r>
      <w:r w:rsidR="005836C2" w:rsidRPr="00A9281B">
        <w:rPr>
          <w:rFonts w:asciiTheme="majorBidi" w:hAnsiTheme="majorBidi" w:cstheme="majorBidi"/>
          <w:sz w:val="22"/>
          <w:szCs w:val="22"/>
          <w:lang w:val="en-AU"/>
        </w:rPr>
        <w:t xml:space="preserve"> added to the model to test their relationship to outcomes</w:t>
      </w:r>
      <w:r w:rsidR="008D4C54" w:rsidRPr="00A9281B">
        <w:rPr>
          <w:rFonts w:asciiTheme="majorBidi" w:hAnsiTheme="majorBidi" w:cstheme="majorBidi"/>
          <w:sz w:val="22"/>
          <w:szCs w:val="22"/>
          <w:lang w:val="en-AU"/>
        </w:rPr>
        <w:t xml:space="preserve"> (Model 1)</w:t>
      </w:r>
      <w:r w:rsidR="005836C2" w:rsidRPr="00A9281B">
        <w:rPr>
          <w:rFonts w:asciiTheme="majorBidi" w:hAnsiTheme="majorBidi" w:cstheme="majorBidi"/>
          <w:sz w:val="22"/>
          <w:szCs w:val="22"/>
          <w:lang w:val="en-AU"/>
        </w:rPr>
        <w:t>, while in the third phas</w:t>
      </w:r>
      <w:r w:rsidR="001E771F" w:rsidRPr="00A9281B">
        <w:rPr>
          <w:rFonts w:asciiTheme="majorBidi" w:hAnsiTheme="majorBidi" w:cstheme="majorBidi"/>
          <w:sz w:val="22"/>
          <w:szCs w:val="22"/>
          <w:lang w:val="en-AU"/>
        </w:rPr>
        <w:t>e student characteristics will wer</w:t>
      </w:r>
      <w:r w:rsidR="005836C2" w:rsidRPr="00A9281B">
        <w:rPr>
          <w:rFonts w:asciiTheme="majorBidi" w:hAnsiTheme="majorBidi" w:cstheme="majorBidi"/>
          <w:sz w:val="22"/>
          <w:szCs w:val="22"/>
          <w:lang w:val="en-AU"/>
        </w:rPr>
        <w:t xml:space="preserve">e added to </w:t>
      </w:r>
      <w:r w:rsidR="005836C2" w:rsidRPr="00A9281B">
        <w:rPr>
          <w:rFonts w:asciiTheme="majorBidi" w:hAnsiTheme="majorBidi" w:cstheme="majorBidi"/>
          <w:sz w:val="22"/>
          <w:szCs w:val="22"/>
          <w:lang w:val="en-AU"/>
        </w:rPr>
        <w:lastRenderedPageBreak/>
        <w:t>the models</w:t>
      </w:r>
      <w:r w:rsidR="008D4C54" w:rsidRPr="00A9281B">
        <w:rPr>
          <w:rFonts w:asciiTheme="majorBidi" w:hAnsiTheme="majorBidi" w:cstheme="majorBidi"/>
          <w:sz w:val="22"/>
          <w:szCs w:val="22"/>
          <w:lang w:val="en-AU"/>
        </w:rPr>
        <w:t xml:space="preserve"> (Model 2)</w:t>
      </w:r>
      <w:r w:rsidR="005836C2" w:rsidRPr="00A9281B">
        <w:rPr>
          <w:rFonts w:asciiTheme="majorBidi" w:hAnsiTheme="majorBidi" w:cstheme="majorBidi"/>
          <w:sz w:val="22"/>
          <w:szCs w:val="22"/>
          <w:lang w:val="en-AU"/>
        </w:rPr>
        <w:t>.</w:t>
      </w:r>
      <w:r w:rsidR="00563AEB" w:rsidRPr="00A9281B">
        <w:rPr>
          <w:rFonts w:asciiTheme="majorBidi" w:hAnsiTheme="majorBidi" w:cstheme="majorBidi"/>
          <w:sz w:val="22"/>
          <w:szCs w:val="22"/>
          <w:lang w:val="en-AU"/>
        </w:rPr>
        <w:t xml:space="preserve"> </w:t>
      </w:r>
      <w:r w:rsidR="005836C2" w:rsidRPr="00A9281B">
        <w:rPr>
          <w:rFonts w:asciiTheme="majorBidi" w:hAnsiTheme="majorBidi" w:cstheme="majorBidi"/>
          <w:sz w:val="22"/>
          <w:szCs w:val="22"/>
          <w:lang w:val="en-AU"/>
        </w:rPr>
        <w:t>Data were analysed using the MLWin software programme. IGLS estimation</w:t>
      </w:r>
      <w:r w:rsidR="005836C2" w:rsidRPr="00A9281B">
        <w:rPr>
          <w:rStyle w:val="FootnoteReference"/>
          <w:rFonts w:asciiTheme="majorBidi" w:hAnsiTheme="majorBidi" w:cstheme="majorBidi"/>
          <w:sz w:val="22"/>
          <w:szCs w:val="22"/>
          <w:lang w:val="en-AU"/>
        </w:rPr>
        <w:footnoteReference w:id="1"/>
      </w:r>
      <w:r w:rsidR="005836C2" w:rsidRPr="00A9281B">
        <w:rPr>
          <w:rFonts w:asciiTheme="majorBidi" w:hAnsiTheme="majorBidi" w:cstheme="majorBidi"/>
          <w:sz w:val="22"/>
          <w:szCs w:val="22"/>
          <w:lang w:val="en-AU"/>
        </w:rPr>
        <w:t xml:space="preserve"> was used, all models converged and no non-admissible parameters were generated. As the independent variables were mainly categorical and ordinal, no cent</w:t>
      </w:r>
      <w:r w:rsidR="001E771F" w:rsidRPr="00A9281B">
        <w:rPr>
          <w:rFonts w:asciiTheme="majorBidi" w:hAnsiTheme="majorBidi" w:cstheme="majorBidi"/>
          <w:sz w:val="22"/>
          <w:szCs w:val="22"/>
          <w:lang w:val="en-AU"/>
        </w:rPr>
        <w:t>e</w:t>
      </w:r>
      <w:r w:rsidR="005836C2" w:rsidRPr="00A9281B">
        <w:rPr>
          <w:rFonts w:asciiTheme="majorBidi" w:hAnsiTheme="majorBidi" w:cstheme="majorBidi"/>
          <w:sz w:val="22"/>
          <w:szCs w:val="22"/>
          <w:lang w:val="en-AU"/>
        </w:rPr>
        <w:t xml:space="preserve">ring was used. </w:t>
      </w:r>
      <w:r w:rsidR="005836C2" w:rsidRPr="00A9281B">
        <w:rPr>
          <w:rFonts w:asciiTheme="majorBidi" w:hAnsiTheme="majorBidi" w:cstheme="majorBidi"/>
          <w:sz w:val="22"/>
          <w:szCs w:val="22"/>
        </w:rPr>
        <w:t>In conducting the analyses we tried to adhere to the recommendations Dedrick et al. (2009) formulated with regard to multilevel analyses:</w:t>
      </w:r>
    </w:p>
    <w:p w14:paraId="314A435D" w14:textId="77777777" w:rsidR="005836C2" w:rsidRPr="00A9281B" w:rsidRDefault="005836C2" w:rsidP="005836C2">
      <w:pPr>
        <w:pStyle w:val="ListParagraph"/>
        <w:numPr>
          <w:ilvl w:val="0"/>
          <w:numId w:val="6"/>
        </w:numPr>
        <w:rPr>
          <w:rFonts w:asciiTheme="majorBidi" w:hAnsiTheme="majorBidi"/>
        </w:rPr>
      </w:pPr>
      <w:r w:rsidRPr="00A9281B">
        <w:rPr>
          <w:rFonts w:asciiTheme="majorBidi" w:hAnsiTheme="majorBidi"/>
        </w:rPr>
        <w:t>We try to provide a clear description of the process used to arrive at the model(s) presented. We describe how the predictors were selected (although this is partly constrained by the available variables in the HEA datasets), and how many models were examined.</w:t>
      </w:r>
    </w:p>
    <w:p w14:paraId="09070EA5" w14:textId="723D9924" w:rsidR="005836C2" w:rsidRPr="00A9281B" w:rsidRDefault="005836C2" w:rsidP="005836C2">
      <w:pPr>
        <w:pStyle w:val="ListParagraph"/>
        <w:numPr>
          <w:ilvl w:val="0"/>
          <w:numId w:val="6"/>
        </w:numPr>
        <w:rPr>
          <w:rFonts w:asciiTheme="majorBidi" w:hAnsiTheme="majorBidi"/>
        </w:rPr>
      </w:pPr>
      <w:r w:rsidRPr="00A9281B">
        <w:rPr>
          <w:rFonts w:asciiTheme="majorBidi" w:hAnsiTheme="majorBidi"/>
        </w:rPr>
        <w:t>Throughout the analyses we did not use cent</w:t>
      </w:r>
      <w:r w:rsidR="006A1D37" w:rsidRPr="00A9281B">
        <w:rPr>
          <w:rFonts w:asciiTheme="majorBidi" w:hAnsiTheme="majorBidi"/>
        </w:rPr>
        <w:t>e</w:t>
      </w:r>
      <w:r w:rsidRPr="00A9281B">
        <w:rPr>
          <w:rFonts w:asciiTheme="majorBidi" w:hAnsiTheme="majorBidi"/>
        </w:rPr>
        <w:t>ring, as we contend that the interpretation of regression coefficients and variance estimates will be more meaningful without.</w:t>
      </w:r>
    </w:p>
    <w:p w14:paraId="6EC98AD5" w14:textId="77777777" w:rsidR="005836C2" w:rsidRPr="00A9281B" w:rsidRDefault="005836C2" w:rsidP="005836C2">
      <w:pPr>
        <w:pStyle w:val="ListParagraph"/>
        <w:numPr>
          <w:ilvl w:val="0"/>
          <w:numId w:val="6"/>
        </w:numPr>
        <w:rPr>
          <w:rFonts w:asciiTheme="majorBidi" w:hAnsiTheme="majorBidi"/>
        </w:rPr>
      </w:pPr>
      <w:r w:rsidRPr="00A9281B">
        <w:rPr>
          <w:rFonts w:asciiTheme="majorBidi" w:hAnsiTheme="majorBidi"/>
        </w:rPr>
        <w:t>We have assumed normally distributed dependent variables. Because of the nature of the data no outliers were assumed.</w:t>
      </w:r>
    </w:p>
    <w:p w14:paraId="44E004BD" w14:textId="691AB313" w:rsidR="005836C2" w:rsidRPr="00A9281B" w:rsidRDefault="005836C2" w:rsidP="005836C2">
      <w:pPr>
        <w:pStyle w:val="ListParagraph"/>
        <w:numPr>
          <w:ilvl w:val="0"/>
          <w:numId w:val="6"/>
        </w:numPr>
        <w:rPr>
          <w:rFonts w:asciiTheme="majorBidi" w:hAnsiTheme="majorBidi"/>
        </w:rPr>
      </w:pPr>
      <w:r w:rsidRPr="00A9281B">
        <w:rPr>
          <w:rFonts w:asciiTheme="majorBidi" w:hAnsiTheme="majorBidi"/>
        </w:rPr>
        <w:t xml:space="preserve">There was missing data. The section on Missing Value Analysis (MVA) explains how we dealt with it. In sum, we proceeded with list-wise deletion for model building but then checked the final model with EM-imputed data. </w:t>
      </w:r>
    </w:p>
    <w:p w14:paraId="6122AE22" w14:textId="295190A4" w:rsidR="005836C2" w:rsidRPr="00A9281B" w:rsidRDefault="005836C2" w:rsidP="008D4C54">
      <w:pPr>
        <w:pStyle w:val="ListParagraph"/>
        <w:numPr>
          <w:ilvl w:val="0"/>
          <w:numId w:val="6"/>
        </w:numPr>
        <w:rPr>
          <w:rFonts w:asciiTheme="majorBidi" w:hAnsiTheme="majorBidi"/>
        </w:rPr>
      </w:pPr>
      <w:r w:rsidRPr="00A9281B">
        <w:rPr>
          <w:rFonts w:asciiTheme="majorBidi" w:hAnsiTheme="majorBidi"/>
        </w:rPr>
        <w:t>Analyses were conducted with MLwin version 2.34. We used IGLS estimation and obtained convergence on the results.</w:t>
      </w:r>
    </w:p>
    <w:p w14:paraId="0A7F48A3" w14:textId="3764B913" w:rsidR="005836C2" w:rsidRPr="00A9281B" w:rsidRDefault="005836C2" w:rsidP="00B271FB">
      <w:pPr>
        <w:pStyle w:val="ListParagraph"/>
        <w:numPr>
          <w:ilvl w:val="0"/>
          <w:numId w:val="6"/>
        </w:numPr>
        <w:rPr>
          <w:rFonts w:asciiTheme="majorBidi" w:hAnsiTheme="majorBidi"/>
        </w:rPr>
      </w:pPr>
      <w:r w:rsidRPr="00A9281B">
        <w:rPr>
          <w:rFonts w:asciiTheme="majorBidi" w:hAnsiTheme="majorBidi"/>
        </w:rPr>
        <w:t>The results of the models, including parameter estimates and model fit, are fully reported in the result tables</w:t>
      </w:r>
      <w:r w:rsidR="006A1D37" w:rsidRPr="00A9281B">
        <w:rPr>
          <w:rFonts w:asciiTheme="majorBidi" w:hAnsiTheme="majorBidi"/>
        </w:rPr>
        <w:t xml:space="preserve"> in</w:t>
      </w:r>
      <w:r w:rsidR="00256B35" w:rsidRPr="00A9281B">
        <w:rPr>
          <w:rFonts w:asciiTheme="majorBidi" w:hAnsiTheme="majorBidi"/>
        </w:rPr>
        <w:t xml:space="preserve"> the full text and in appendix </w:t>
      </w:r>
      <w:r w:rsidR="00B271FB" w:rsidRPr="00A9281B">
        <w:rPr>
          <w:rFonts w:asciiTheme="majorBidi" w:hAnsiTheme="majorBidi"/>
        </w:rPr>
        <w:t>A</w:t>
      </w:r>
      <w:r w:rsidRPr="00A9281B">
        <w:rPr>
          <w:rFonts w:asciiTheme="majorBidi" w:hAnsiTheme="majorBidi"/>
        </w:rPr>
        <w:t xml:space="preserve">. </w:t>
      </w:r>
    </w:p>
    <w:p w14:paraId="50125979" w14:textId="77777777" w:rsidR="005836C2" w:rsidRPr="00A9281B" w:rsidRDefault="005836C2" w:rsidP="005836C2">
      <w:pPr>
        <w:pStyle w:val="ListParagraph"/>
        <w:numPr>
          <w:ilvl w:val="0"/>
          <w:numId w:val="6"/>
        </w:numPr>
        <w:rPr>
          <w:rFonts w:asciiTheme="majorBidi" w:hAnsiTheme="majorBidi"/>
        </w:rPr>
      </w:pPr>
      <w:r w:rsidRPr="00A9281B">
        <w:rPr>
          <w:rFonts w:asciiTheme="majorBidi" w:hAnsiTheme="majorBidi"/>
        </w:rPr>
        <w:t>In addition, standard errors for the parameters of interest are provided, consistent with the general reporting guidelines provided by the APA Task Force on Statistical Inference (Wilkinson &amp; Task Force on Statistical Inference, 1999). We are aware of the limitations of statistical significance tests but are confident these elements provide insight in the findings.</w:t>
      </w:r>
    </w:p>
    <w:p w14:paraId="6AFF6300" w14:textId="7CA191DB" w:rsidR="005836C2" w:rsidRPr="00A9281B" w:rsidRDefault="009E5606" w:rsidP="00453700">
      <w:pPr>
        <w:rPr>
          <w:rFonts w:asciiTheme="majorBidi" w:eastAsiaTheme="minorEastAsia" w:hAnsiTheme="majorBidi" w:cstheme="majorBidi"/>
          <w:sz w:val="22"/>
          <w:szCs w:val="22"/>
          <w:lang w:eastAsia="zh-CN"/>
        </w:rPr>
      </w:pPr>
      <w:r w:rsidRPr="00A9281B">
        <w:rPr>
          <w:rFonts w:asciiTheme="majorBidi" w:hAnsiTheme="majorBidi" w:cstheme="majorBidi"/>
          <w:sz w:val="22"/>
          <w:szCs w:val="22"/>
        </w:rPr>
        <w:t xml:space="preserve">We used three-level multilevel models, with students nested in disciplines, and disciplines in HEI’s. The discipline classification used was the JACS-1 classification, which identified 20 discipline clusters (https://www.hediip.ac.uk/wp-content/uploads/JACS_Report_2013-07.pdf). </w:t>
      </w:r>
      <w:r w:rsidR="005836C2" w:rsidRPr="00A9281B">
        <w:rPr>
          <w:rFonts w:asciiTheme="majorBidi" w:hAnsiTheme="majorBidi" w:cstheme="majorBidi"/>
          <w:sz w:val="22"/>
          <w:szCs w:val="22"/>
        </w:rPr>
        <w:t xml:space="preserve">As the study concerns secondary data analysis, ethical Approval from the University of Southampton was sought and obtained (number 16933). </w:t>
      </w:r>
    </w:p>
    <w:p w14:paraId="6285F45A" w14:textId="77777777" w:rsidR="00CE6144" w:rsidRPr="00A9281B" w:rsidRDefault="00CE6144" w:rsidP="00CE6144">
      <w:pPr>
        <w:rPr>
          <w:rFonts w:asciiTheme="majorBidi" w:hAnsiTheme="majorBidi" w:cstheme="majorBidi"/>
          <w:sz w:val="22"/>
          <w:szCs w:val="22"/>
        </w:rPr>
      </w:pPr>
    </w:p>
    <w:p w14:paraId="100C25B9" w14:textId="77777777" w:rsidR="00CE6144" w:rsidRPr="00A9281B" w:rsidRDefault="00CE6144" w:rsidP="00CE6144">
      <w:pPr>
        <w:rPr>
          <w:rFonts w:asciiTheme="majorBidi" w:hAnsiTheme="majorBidi" w:cstheme="majorBidi"/>
          <w:sz w:val="22"/>
          <w:szCs w:val="22"/>
        </w:rPr>
      </w:pPr>
    </w:p>
    <w:p w14:paraId="3D0FEE78" w14:textId="77777777" w:rsidR="005836C2" w:rsidRDefault="00FA3F9E" w:rsidP="00FA3F9E">
      <w:pPr>
        <w:pStyle w:val="Heading2"/>
        <w:rPr>
          <w:rFonts w:asciiTheme="majorBidi" w:hAnsiTheme="majorBidi" w:cstheme="majorBidi"/>
          <w:sz w:val="22"/>
          <w:szCs w:val="22"/>
        </w:rPr>
      </w:pPr>
      <w:r w:rsidRPr="00A9281B">
        <w:rPr>
          <w:rFonts w:asciiTheme="majorBidi" w:hAnsiTheme="majorBidi" w:cstheme="majorBidi"/>
          <w:sz w:val="22"/>
          <w:szCs w:val="22"/>
        </w:rPr>
        <w:t>Results</w:t>
      </w:r>
    </w:p>
    <w:p w14:paraId="4EFD90A3" w14:textId="77777777" w:rsidR="00A9281B" w:rsidRPr="00A9281B" w:rsidRDefault="00A9281B" w:rsidP="00A9281B"/>
    <w:p w14:paraId="5E5FAA2C" w14:textId="138CFCE8" w:rsidR="00445741" w:rsidRPr="00A9281B" w:rsidRDefault="00563AEB" w:rsidP="00563AEB">
      <w:pPr>
        <w:rPr>
          <w:rFonts w:asciiTheme="majorBidi" w:hAnsiTheme="majorBidi" w:cstheme="majorBidi"/>
          <w:sz w:val="22"/>
          <w:szCs w:val="22"/>
        </w:rPr>
      </w:pPr>
      <w:r w:rsidRPr="00A9281B">
        <w:rPr>
          <w:rFonts w:asciiTheme="majorBidi" w:hAnsiTheme="majorBidi" w:cstheme="majorBidi"/>
          <w:sz w:val="22"/>
          <w:szCs w:val="22"/>
        </w:rPr>
        <w:t>We report the descriptive statistics, the results of the confirmatory factor analyses, and the multilevel models respectively.</w:t>
      </w:r>
    </w:p>
    <w:p w14:paraId="6B9287D6" w14:textId="77777777" w:rsidR="00563AEB" w:rsidRDefault="00563AEB" w:rsidP="003C12F3">
      <w:pPr>
        <w:pStyle w:val="Heading3"/>
        <w:rPr>
          <w:rFonts w:asciiTheme="majorBidi" w:hAnsiTheme="majorBidi" w:cstheme="majorBidi"/>
        </w:rPr>
      </w:pPr>
    </w:p>
    <w:p w14:paraId="2616D661" w14:textId="77777777" w:rsidR="00A9281B" w:rsidRPr="00A9281B" w:rsidRDefault="00A9281B" w:rsidP="00A9281B"/>
    <w:p w14:paraId="22CF1EF5" w14:textId="7EE36C33" w:rsidR="00563AEB" w:rsidRDefault="00563AEB" w:rsidP="003C12F3">
      <w:pPr>
        <w:pStyle w:val="Heading3"/>
        <w:rPr>
          <w:rFonts w:asciiTheme="majorBidi" w:hAnsiTheme="majorBidi" w:cstheme="majorBidi"/>
          <w:b w:val="0"/>
          <w:bCs/>
          <w:i/>
          <w:iCs/>
          <w:sz w:val="22"/>
          <w:szCs w:val="22"/>
        </w:rPr>
      </w:pPr>
      <w:r w:rsidRPr="00A9281B">
        <w:rPr>
          <w:rFonts w:asciiTheme="majorBidi" w:hAnsiTheme="majorBidi" w:cstheme="majorBidi"/>
          <w:b w:val="0"/>
          <w:bCs/>
          <w:i/>
          <w:iCs/>
          <w:sz w:val="22"/>
          <w:szCs w:val="22"/>
        </w:rPr>
        <w:t>Descriptives</w:t>
      </w:r>
    </w:p>
    <w:p w14:paraId="552B184F" w14:textId="77777777" w:rsidR="00A9281B" w:rsidRPr="00A9281B" w:rsidRDefault="00A9281B" w:rsidP="00A9281B"/>
    <w:p w14:paraId="641F71A2" w14:textId="39C82754" w:rsidR="00445741" w:rsidRPr="00A9281B" w:rsidRDefault="00904683" w:rsidP="003C12F3">
      <w:pPr>
        <w:pStyle w:val="Heading3"/>
        <w:rPr>
          <w:rFonts w:asciiTheme="majorBidi" w:hAnsiTheme="majorBidi" w:cstheme="majorBidi"/>
          <w:b w:val="0"/>
          <w:bCs/>
          <w:sz w:val="22"/>
          <w:szCs w:val="22"/>
        </w:rPr>
      </w:pPr>
      <w:r w:rsidRPr="00A9281B">
        <w:rPr>
          <w:rFonts w:asciiTheme="majorBidi" w:hAnsiTheme="majorBidi" w:cstheme="majorBidi"/>
          <w:b w:val="0"/>
          <w:bCs/>
          <w:sz w:val="22"/>
          <w:szCs w:val="22"/>
        </w:rPr>
        <w:t>TABLE 1 ABOUT HERE</w:t>
      </w:r>
    </w:p>
    <w:p w14:paraId="01CD3DCA" w14:textId="77777777" w:rsidR="00904683" w:rsidRPr="00A9281B" w:rsidRDefault="00904683" w:rsidP="00904683">
      <w:pPr>
        <w:rPr>
          <w:rFonts w:asciiTheme="majorBidi" w:hAnsiTheme="majorBidi" w:cstheme="majorBidi"/>
        </w:rPr>
      </w:pPr>
    </w:p>
    <w:p w14:paraId="79FC0D20" w14:textId="0A77215F" w:rsidR="004824ED" w:rsidRPr="00A9281B" w:rsidRDefault="004824ED" w:rsidP="00E85DCB">
      <w:pPr>
        <w:rPr>
          <w:rFonts w:asciiTheme="majorBidi" w:hAnsiTheme="majorBidi" w:cstheme="majorBidi"/>
        </w:rPr>
      </w:pPr>
      <w:r w:rsidRPr="00A9281B">
        <w:rPr>
          <w:rFonts w:asciiTheme="majorBidi" w:hAnsiTheme="majorBidi" w:cstheme="majorBidi"/>
        </w:rPr>
        <w:t xml:space="preserve">Table 1 shows that satisfaction was similar across the two years (with overall satisfaction somewhat higher in 2015). On the subscales </w:t>
      </w:r>
      <w:r w:rsidR="00B6099A" w:rsidRPr="00A9281B">
        <w:rPr>
          <w:rFonts w:asciiTheme="majorBidi" w:hAnsiTheme="majorBidi" w:cstheme="majorBidi"/>
        </w:rPr>
        <w:t xml:space="preserve">the </w:t>
      </w:r>
      <w:r w:rsidRPr="00A9281B">
        <w:rPr>
          <w:rFonts w:asciiTheme="majorBidi" w:hAnsiTheme="majorBidi" w:cstheme="majorBidi"/>
        </w:rPr>
        <w:t>highest levels of satisfaction were recorded for resources and services, the lowest for organisation and management and assessment and feedback.</w:t>
      </w:r>
      <w:r w:rsidR="008B34C8" w:rsidRPr="00A9281B">
        <w:rPr>
          <w:rFonts w:asciiTheme="majorBidi" w:hAnsiTheme="majorBidi" w:cstheme="majorBidi"/>
        </w:rPr>
        <w:t xml:space="preserve"> Table 2 shows the frequencies for the independent variables over the two years. </w:t>
      </w:r>
    </w:p>
    <w:p w14:paraId="55907EAF" w14:textId="77777777" w:rsidR="004824ED" w:rsidRPr="00A9281B" w:rsidRDefault="004824ED" w:rsidP="00E85DCB">
      <w:pPr>
        <w:rPr>
          <w:rFonts w:asciiTheme="majorBidi" w:hAnsiTheme="majorBidi" w:cstheme="majorBidi"/>
        </w:rPr>
      </w:pPr>
    </w:p>
    <w:p w14:paraId="518C8995" w14:textId="3E25DDAE" w:rsidR="00563AEB" w:rsidRPr="00A9281B" w:rsidRDefault="00904683" w:rsidP="00EA4BE8">
      <w:pPr>
        <w:rPr>
          <w:rFonts w:asciiTheme="majorBidi" w:hAnsiTheme="majorBidi" w:cstheme="majorBidi"/>
          <w:sz w:val="22"/>
          <w:szCs w:val="22"/>
        </w:rPr>
      </w:pPr>
      <w:r w:rsidRPr="00A9281B">
        <w:rPr>
          <w:rFonts w:asciiTheme="majorBidi" w:hAnsiTheme="majorBidi" w:cstheme="majorBidi"/>
          <w:sz w:val="22"/>
          <w:szCs w:val="22"/>
        </w:rPr>
        <w:t>TABLE 2 ABOUT HERE</w:t>
      </w:r>
    </w:p>
    <w:p w14:paraId="1786EA34" w14:textId="77777777" w:rsidR="00563AEB" w:rsidRPr="00A9281B" w:rsidRDefault="00563AEB" w:rsidP="00563AEB">
      <w:pPr>
        <w:rPr>
          <w:rFonts w:asciiTheme="majorBidi" w:hAnsiTheme="majorBidi" w:cstheme="majorBidi"/>
        </w:rPr>
      </w:pPr>
    </w:p>
    <w:p w14:paraId="7495C90B" w14:textId="77777777" w:rsidR="008B34C8" w:rsidRPr="00A9281B" w:rsidRDefault="008B34C8" w:rsidP="003C12F3">
      <w:pPr>
        <w:pStyle w:val="Heading3"/>
        <w:rPr>
          <w:rFonts w:asciiTheme="majorBidi" w:hAnsiTheme="majorBidi" w:cstheme="majorBidi"/>
        </w:rPr>
      </w:pPr>
    </w:p>
    <w:p w14:paraId="273C3747" w14:textId="71507D11" w:rsidR="00FA3F9E" w:rsidRPr="00A9281B" w:rsidRDefault="00453700" w:rsidP="00A9281B">
      <w:pPr>
        <w:spacing w:after="160" w:line="259" w:lineRule="auto"/>
        <w:rPr>
          <w:rFonts w:asciiTheme="majorBidi" w:hAnsiTheme="majorBidi" w:cstheme="majorBidi"/>
          <w:i/>
          <w:iCs/>
          <w:sz w:val="22"/>
          <w:szCs w:val="22"/>
        </w:rPr>
      </w:pPr>
      <w:r w:rsidRPr="00A9281B">
        <w:rPr>
          <w:rFonts w:asciiTheme="majorBidi" w:hAnsiTheme="majorBidi" w:cstheme="majorBidi"/>
        </w:rPr>
        <w:br w:type="page"/>
      </w:r>
      <w:r w:rsidR="00FA3F9E" w:rsidRPr="00A9281B">
        <w:rPr>
          <w:rFonts w:asciiTheme="majorBidi" w:hAnsiTheme="majorBidi" w:cstheme="majorBidi"/>
          <w:i/>
          <w:iCs/>
          <w:sz w:val="22"/>
          <w:szCs w:val="22"/>
        </w:rPr>
        <w:lastRenderedPageBreak/>
        <w:t>Confirmatory Factor Analyses</w:t>
      </w:r>
    </w:p>
    <w:p w14:paraId="320FBA10" w14:textId="4232FB2F" w:rsidR="008B34C8" w:rsidRPr="00A9281B" w:rsidRDefault="008B34C8" w:rsidP="00D8185A">
      <w:pPr>
        <w:spacing w:after="200"/>
        <w:rPr>
          <w:rFonts w:asciiTheme="majorBidi" w:eastAsia="SimSun" w:hAnsiTheme="majorBidi" w:cstheme="majorBidi"/>
          <w:sz w:val="22"/>
          <w:szCs w:val="22"/>
          <w:lang w:eastAsia="zh-CN"/>
        </w:rPr>
      </w:pPr>
      <w:r w:rsidRPr="00A9281B">
        <w:rPr>
          <w:rFonts w:asciiTheme="majorBidi" w:eastAsia="SimSun" w:hAnsiTheme="majorBidi" w:cstheme="majorBidi"/>
          <w:sz w:val="22"/>
          <w:szCs w:val="22"/>
          <w:lang w:eastAsia="zh-CN"/>
        </w:rPr>
        <w:t xml:space="preserve">The models were run for five out of the six scales, as the Dissertation or Major Project factor contains too many missing values to impute missing values. The first model tested followed precisely the hypothesised 6 scales as depicted </w:t>
      </w:r>
      <w:r w:rsidR="00D8185A" w:rsidRPr="00A9281B">
        <w:rPr>
          <w:rFonts w:asciiTheme="majorBidi" w:eastAsia="SimSun" w:hAnsiTheme="majorBidi" w:cstheme="majorBidi"/>
          <w:sz w:val="22"/>
          <w:szCs w:val="22"/>
          <w:lang w:eastAsia="zh-CN"/>
        </w:rPr>
        <w:t>in Figure 1</w:t>
      </w:r>
      <w:r w:rsidRPr="00A9281B">
        <w:rPr>
          <w:rFonts w:asciiTheme="majorBidi" w:eastAsia="SimSun" w:hAnsiTheme="majorBidi" w:cstheme="majorBidi"/>
          <w:sz w:val="22"/>
          <w:szCs w:val="22"/>
          <w:lang w:eastAsia="zh-CN"/>
        </w:rPr>
        <w:t xml:space="preserve">, with each scale treated as an underlying latent variable that predicts item responses. Each item is also associated with an error term. </w:t>
      </w:r>
    </w:p>
    <w:p w14:paraId="78EFB543" w14:textId="52800290" w:rsidR="008B34C8" w:rsidRPr="00A9281B" w:rsidRDefault="00904683" w:rsidP="00904683">
      <w:pPr>
        <w:spacing w:after="200"/>
        <w:rPr>
          <w:rFonts w:asciiTheme="majorBidi" w:eastAsia="SimSun" w:hAnsiTheme="majorBidi" w:cstheme="majorBidi"/>
          <w:sz w:val="22"/>
          <w:szCs w:val="22"/>
          <w:lang w:eastAsia="zh-CN"/>
        </w:rPr>
      </w:pPr>
      <w:r w:rsidRPr="00A9281B">
        <w:rPr>
          <w:rFonts w:asciiTheme="majorBidi" w:eastAsia="SimSun" w:hAnsiTheme="majorBidi" w:cstheme="majorBidi"/>
          <w:sz w:val="22"/>
          <w:szCs w:val="22"/>
          <w:lang w:eastAsia="zh-CN"/>
        </w:rPr>
        <w:t>FIGURE 1 ABOUT HERE</w:t>
      </w:r>
    </w:p>
    <w:p w14:paraId="7EC14139" w14:textId="5DD7273F" w:rsidR="008B34C8" w:rsidRPr="00A9281B" w:rsidRDefault="008B34C8" w:rsidP="00904683">
      <w:pPr>
        <w:spacing w:after="200"/>
        <w:rPr>
          <w:rFonts w:asciiTheme="majorBidi" w:eastAsia="SimSun" w:hAnsiTheme="majorBidi" w:cstheme="majorBidi"/>
          <w:sz w:val="22"/>
          <w:szCs w:val="22"/>
          <w:lang w:eastAsia="zh-CN"/>
        </w:rPr>
      </w:pPr>
      <w:r w:rsidRPr="00A9281B">
        <w:rPr>
          <w:rFonts w:asciiTheme="majorBidi" w:eastAsia="SimSun" w:hAnsiTheme="majorBidi" w:cstheme="majorBidi"/>
          <w:sz w:val="22"/>
          <w:szCs w:val="22"/>
          <w:lang w:eastAsia="zh-CN"/>
        </w:rPr>
        <w:t xml:space="preserve">The fit indices for this model in both years are depicted in </w:t>
      </w:r>
      <w:r w:rsidR="00D8185A" w:rsidRPr="00A9281B">
        <w:rPr>
          <w:rFonts w:asciiTheme="majorBidi" w:eastAsia="SimSun" w:hAnsiTheme="majorBidi" w:cstheme="majorBidi"/>
          <w:sz w:val="22"/>
          <w:szCs w:val="22"/>
          <w:lang w:eastAsia="zh-CN"/>
        </w:rPr>
        <w:t>T</w:t>
      </w:r>
      <w:r w:rsidRPr="00A9281B">
        <w:rPr>
          <w:rFonts w:asciiTheme="majorBidi" w:eastAsia="SimSun" w:hAnsiTheme="majorBidi" w:cstheme="majorBidi"/>
          <w:sz w:val="22"/>
          <w:szCs w:val="22"/>
          <w:lang w:eastAsia="zh-CN"/>
        </w:rPr>
        <w:t xml:space="preserve">able </w:t>
      </w:r>
      <w:r w:rsidR="00453700" w:rsidRPr="00A9281B">
        <w:rPr>
          <w:rFonts w:asciiTheme="majorBidi" w:eastAsia="SimSun" w:hAnsiTheme="majorBidi" w:cstheme="majorBidi"/>
          <w:sz w:val="22"/>
          <w:szCs w:val="22"/>
          <w:lang w:eastAsia="zh-CN"/>
        </w:rPr>
        <w:t>3</w:t>
      </w:r>
      <w:r w:rsidR="00D8185A" w:rsidRPr="00A9281B">
        <w:rPr>
          <w:rFonts w:asciiTheme="majorBidi" w:eastAsia="SimSun" w:hAnsiTheme="majorBidi" w:cstheme="majorBidi"/>
          <w:sz w:val="22"/>
          <w:szCs w:val="22"/>
          <w:lang w:eastAsia="zh-CN"/>
        </w:rPr>
        <w:t>.</w:t>
      </w:r>
    </w:p>
    <w:p w14:paraId="2209737B" w14:textId="5F9FF61F" w:rsidR="00904683" w:rsidRPr="00A9281B" w:rsidRDefault="00904683" w:rsidP="00904683">
      <w:pPr>
        <w:spacing w:after="200"/>
        <w:rPr>
          <w:rFonts w:asciiTheme="majorBidi" w:eastAsia="SimSun" w:hAnsiTheme="majorBidi" w:cstheme="majorBidi"/>
          <w:sz w:val="22"/>
          <w:szCs w:val="22"/>
          <w:lang w:eastAsia="zh-CN"/>
        </w:rPr>
      </w:pPr>
      <w:r w:rsidRPr="00A9281B">
        <w:rPr>
          <w:rFonts w:asciiTheme="majorBidi" w:eastAsia="SimSun" w:hAnsiTheme="majorBidi" w:cstheme="majorBidi"/>
          <w:sz w:val="22"/>
          <w:szCs w:val="22"/>
          <w:lang w:eastAsia="zh-CN"/>
        </w:rPr>
        <w:t>TABLE 3 ABOUT HERE</w:t>
      </w:r>
    </w:p>
    <w:p w14:paraId="56F02D14" w14:textId="4B359100" w:rsidR="008B34C8" w:rsidRPr="00A9281B" w:rsidRDefault="00453700" w:rsidP="00D8185A">
      <w:pPr>
        <w:spacing w:after="200"/>
        <w:rPr>
          <w:rFonts w:asciiTheme="majorBidi" w:eastAsia="SimSun" w:hAnsiTheme="majorBidi" w:cstheme="majorBidi"/>
          <w:sz w:val="22"/>
          <w:szCs w:val="22"/>
          <w:lang w:eastAsia="zh-CN"/>
        </w:rPr>
      </w:pPr>
      <w:r w:rsidRPr="00A9281B">
        <w:rPr>
          <w:rFonts w:asciiTheme="majorBidi" w:eastAsia="SimSun" w:hAnsiTheme="majorBidi" w:cstheme="majorBidi"/>
          <w:sz w:val="22"/>
          <w:szCs w:val="22"/>
          <w:lang w:eastAsia="zh-CN"/>
        </w:rPr>
        <w:t>As can be seen in T</w:t>
      </w:r>
      <w:r w:rsidR="008B34C8" w:rsidRPr="00A9281B">
        <w:rPr>
          <w:rFonts w:asciiTheme="majorBidi" w:eastAsia="SimSun" w:hAnsiTheme="majorBidi" w:cstheme="majorBidi"/>
          <w:sz w:val="22"/>
          <w:szCs w:val="22"/>
          <w:lang w:eastAsia="zh-CN"/>
        </w:rPr>
        <w:t xml:space="preserve">able </w:t>
      </w:r>
      <w:r w:rsidRPr="00A9281B">
        <w:rPr>
          <w:rFonts w:asciiTheme="majorBidi" w:eastAsia="SimSun" w:hAnsiTheme="majorBidi" w:cstheme="majorBidi"/>
          <w:sz w:val="22"/>
          <w:szCs w:val="22"/>
          <w:lang w:eastAsia="zh-CN"/>
        </w:rPr>
        <w:t>3</w:t>
      </w:r>
      <w:r w:rsidR="008B34C8" w:rsidRPr="00A9281B">
        <w:rPr>
          <w:rFonts w:asciiTheme="majorBidi" w:eastAsia="SimSun" w:hAnsiTheme="majorBidi" w:cstheme="majorBidi"/>
          <w:sz w:val="22"/>
          <w:szCs w:val="22"/>
          <w:lang w:eastAsia="zh-CN"/>
        </w:rPr>
        <w:t>, this model showed poor fit with the data. Exploration of the path coefficients, however, indicated that this was not due to poor fit of the items with their respective factor. Rather, there appeared to be strong correlations between the latent variable, leading us to hypothesise the existence of an underlying higher order latent variable we could term overall</w:t>
      </w:r>
      <w:r w:rsidR="00B6099A" w:rsidRPr="00A9281B">
        <w:rPr>
          <w:rFonts w:asciiTheme="majorBidi" w:eastAsia="SimSun" w:hAnsiTheme="majorBidi" w:cstheme="majorBidi"/>
          <w:sz w:val="22"/>
          <w:szCs w:val="22"/>
          <w:lang w:eastAsia="zh-CN"/>
        </w:rPr>
        <w:t xml:space="preserve"> satisfaction. This was added to</w:t>
      </w:r>
      <w:r w:rsidR="008B34C8" w:rsidRPr="00A9281B">
        <w:rPr>
          <w:rFonts w:asciiTheme="majorBidi" w:eastAsia="SimSun" w:hAnsiTheme="majorBidi" w:cstheme="majorBidi"/>
          <w:sz w:val="22"/>
          <w:szCs w:val="22"/>
          <w:lang w:eastAsia="zh-CN"/>
        </w:rPr>
        <w:t xml:space="preserve"> the model</w:t>
      </w:r>
      <w:r w:rsidR="00D8185A" w:rsidRPr="00A9281B">
        <w:rPr>
          <w:rFonts w:asciiTheme="majorBidi" w:eastAsia="SimSun" w:hAnsiTheme="majorBidi" w:cstheme="majorBidi"/>
          <w:sz w:val="22"/>
          <w:szCs w:val="22"/>
          <w:lang w:eastAsia="zh-CN"/>
        </w:rPr>
        <w:t xml:space="preserve"> in Figure 2</w:t>
      </w:r>
      <w:r w:rsidR="008B34C8" w:rsidRPr="00A9281B">
        <w:rPr>
          <w:rFonts w:asciiTheme="majorBidi" w:eastAsia="SimSun" w:hAnsiTheme="majorBidi" w:cstheme="majorBidi"/>
          <w:sz w:val="22"/>
          <w:szCs w:val="22"/>
          <w:lang w:eastAsia="zh-CN"/>
        </w:rPr>
        <w:t xml:space="preserve">. In addition, error covariances were freed for those manifest variables (question items) measuring the same construct where modification indices indicated a strong relationship. </w:t>
      </w:r>
    </w:p>
    <w:p w14:paraId="16B1E532" w14:textId="41B27226" w:rsidR="00904683" w:rsidRPr="00A9281B" w:rsidRDefault="00904683" w:rsidP="00D8185A">
      <w:pPr>
        <w:spacing w:after="200"/>
        <w:rPr>
          <w:rFonts w:asciiTheme="majorBidi" w:eastAsia="SimSun" w:hAnsiTheme="majorBidi" w:cstheme="majorBidi"/>
          <w:sz w:val="22"/>
          <w:szCs w:val="22"/>
          <w:lang w:eastAsia="zh-CN"/>
        </w:rPr>
      </w:pPr>
      <w:r w:rsidRPr="00A9281B">
        <w:rPr>
          <w:rFonts w:asciiTheme="majorBidi" w:eastAsia="SimSun" w:hAnsiTheme="majorBidi" w:cstheme="majorBidi"/>
          <w:sz w:val="22"/>
          <w:szCs w:val="22"/>
          <w:lang w:eastAsia="zh-CN"/>
        </w:rPr>
        <w:t>FIGURE 2 ABOUT HERE</w:t>
      </w:r>
    </w:p>
    <w:p w14:paraId="73F8935F" w14:textId="64048ED5" w:rsidR="008B34C8" w:rsidRPr="00A9281B" w:rsidRDefault="008B34C8" w:rsidP="0063337B">
      <w:pPr>
        <w:spacing w:after="200"/>
        <w:rPr>
          <w:rFonts w:asciiTheme="majorBidi" w:eastAsia="SimSun" w:hAnsiTheme="majorBidi" w:cstheme="majorBidi"/>
          <w:sz w:val="22"/>
          <w:szCs w:val="22"/>
          <w:lang w:eastAsia="zh-CN"/>
        </w:rPr>
      </w:pPr>
      <w:r w:rsidRPr="00A9281B">
        <w:rPr>
          <w:rFonts w:asciiTheme="majorBidi" w:eastAsia="SimSun" w:hAnsiTheme="majorBidi" w:cstheme="majorBidi"/>
          <w:sz w:val="22"/>
          <w:szCs w:val="22"/>
          <w:lang w:eastAsia="zh-CN"/>
        </w:rPr>
        <w:t>The fit indices for this model in bo</w:t>
      </w:r>
      <w:r w:rsidR="005130D8" w:rsidRPr="00A9281B">
        <w:rPr>
          <w:rFonts w:asciiTheme="majorBidi" w:eastAsia="SimSun" w:hAnsiTheme="majorBidi" w:cstheme="majorBidi"/>
          <w:sz w:val="22"/>
          <w:szCs w:val="22"/>
          <w:lang w:eastAsia="zh-CN"/>
        </w:rPr>
        <w:t>th years are depicted in table 4</w:t>
      </w:r>
    </w:p>
    <w:p w14:paraId="1DE85CA5" w14:textId="7636E28E" w:rsidR="0063337B" w:rsidRPr="00A9281B" w:rsidRDefault="0063337B" w:rsidP="0063337B">
      <w:pPr>
        <w:spacing w:after="200"/>
        <w:rPr>
          <w:rFonts w:asciiTheme="majorBidi" w:eastAsia="SimSun" w:hAnsiTheme="majorBidi" w:cstheme="majorBidi"/>
          <w:sz w:val="22"/>
          <w:szCs w:val="22"/>
          <w:lang w:eastAsia="zh-CN"/>
        </w:rPr>
      </w:pPr>
      <w:r w:rsidRPr="00A9281B">
        <w:rPr>
          <w:rFonts w:asciiTheme="majorBidi" w:eastAsia="SimSun" w:hAnsiTheme="majorBidi" w:cstheme="majorBidi"/>
          <w:sz w:val="22"/>
          <w:szCs w:val="22"/>
          <w:lang w:eastAsia="zh-CN"/>
        </w:rPr>
        <w:t>TABLE 4 ABOUT HERE</w:t>
      </w:r>
    </w:p>
    <w:p w14:paraId="223A95C8" w14:textId="35D5B19B" w:rsidR="008B34C8" w:rsidRPr="00A9281B" w:rsidRDefault="008B34C8" w:rsidP="008B34C8">
      <w:pPr>
        <w:spacing w:after="200"/>
        <w:rPr>
          <w:rFonts w:asciiTheme="majorBidi" w:eastAsia="SimSun" w:hAnsiTheme="majorBidi" w:cstheme="majorBidi"/>
          <w:sz w:val="22"/>
          <w:szCs w:val="22"/>
          <w:lang w:eastAsia="zh-CN"/>
        </w:rPr>
      </w:pPr>
      <w:r w:rsidRPr="00A9281B">
        <w:rPr>
          <w:rFonts w:asciiTheme="majorBidi" w:eastAsia="SimSun" w:hAnsiTheme="majorBidi" w:cstheme="majorBidi"/>
          <w:sz w:val="22"/>
          <w:szCs w:val="22"/>
          <w:lang w:eastAsia="zh-CN"/>
        </w:rPr>
        <w:t>This model achieved far better fit than the original, showing moderate fit in 2014 (reasonable GFI, poor CFI, good RMSEA) and good fit in 2015 on GFI, CFI and RMSEA.</w:t>
      </w:r>
      <w:r w:rsidR="00B6099A" w:rsidRPr="00A9281B">
        <w:rPr>
          <w:rFonts w:asciiTheme="majorBidi" w:eastAsia="SimSun" w:hAnsiTheme="majorBidi" w:cstheme="majorBidi"/>
          <w:sz w:val="22"/>
          <w:szCs w:val="22"/>
          <w:lang w:eastAsia="zh-CN"/>
        </w:rPr>
        <w:t xml:space="preserve"> In order to avoid capitalising on chance we did not add any error covariances suggested by the modification indices.</w:t>
      </w:r>
    </w:p>
    <w:p w14:paraId="3C90D8D2" w14:textId="4439031F" w:rsidR="008B34C8" w:rsidRPr="00A9281B" w:rsidRDefault="008B34C8" w:rsidP="008B34C8">
      <w:pPr>
        <w:spacing w:after="200"/>
        <w:rPr>
          <w:rFonts w:asciiTheme="majorBidi" w:eastAsia="SimSun" w:hAnsiTheme="majorBidi" w:cstheme="majorBidi"/>
          <w:sz w:val="22"/>
          <w:szCs w:val="22"/>
          <w:lang w:eastAsia="zh-CN"/>
        </w:rPr>
      </w:pPr>
      <w:r w:rsidRPr="00A9281B">
        <w:rPr>
          <w:rFonts w:asciiTheme="majorBidi" w:eastAsia="SimSun" w:hAnsiTheme="majorBidi" w:cstheme="majorBidi"/>
          <w:sz w:val="22"/>
          <w:szCs w:val="22"/>
          <w:lang w:eastAsia="zh-CN"/>
        </w:rPr>
        <w:t>Therefore, in the multilevel analyses we used the 7 original scales (the Dissertation/Major Project scale, though not used in these analyses</w:t>
      </w:r>
      <w:r w:rsidR="005130D8" w:rsidRPr="00A9281B">
        <w:rPr>
          <w:rFonts w:asciiTheme="majorBidi" w:eastAsia="SimSun" w:hAnsiTheme="majorBidi" w:cstheme="majorBidi"/>
          <w:sz w:val="22"/>
          <w:szCs w:val="22"/>
          <w:lang w:eastAsia="zh-CN"/>
        </w:rPr>
        <w:t>,</w:t>
      </w:r>
      <w:r w:rsidRPr="00A9281B">
        <w:rPr>
          <w:rFonts w:asciiTheme="majorBidi" w:eastAsia="SimSun" w:hAnsiTheme="majorBidi" w:cstheme="majorBidi"/>
          <w:sz w:val="22"/>
          <w:szCs w:val="22"/>
          <w:lang w:eastAsia="zh-CN"/>
        </w:rPr>
        <w:t xml:space="preserve"> was used in the multilevel models) but in addition calculate</w:t>
      </w:r>
      <w:r w:rsidR="007F4FC3" w:rsidRPr="00A9281B">
        <w:rPr>
          <w:rFonts w:asciiTheme="majorBidi" w:eastAsia="SimSun" w:hAnsiTheme="majorBidi" w:cstheme="majorBidi"/>
          <w:sz w:val="22"/>
          <w:szCs w:val="22"/>
          <w:lang w:eastAsia="zh-CN"/>
        </w:rPr>
        <w:t>d</w:t>
      </w:r>
      <w:r w:rsidRPr="00A9281B">
        <w:rPr>
          <w:rFonts w:asciiTheme="majorBidi" w:eastAsia="SimSun" w:hAnsiTheme="majorBidi" w:cstheme="majorBidi"/>
          <w:sz w:val="22"/>
          <w:szCs w:val="22"/>
          <w:lang w:eastAsia="zh-CN"/>
        </w:rPr>
        <w:t xml:space="preserve"> an overall satisfaction scale from the six scales above which will also be included. </w:t>
      </w:r>
    </w:p>
    <w:p w14:paraId="160CC86D" w14:textId="77777777" w:rsidR="005836C2" w:rsidRPr="00A9281B" w:rsidRDefault="005836C2" w:rsidP="00CE6144">
      <w:pPr>
        <w:rPr>
          <w:rFonts w:asciiTheme="majorBidi" w:hAnsiTheme="majorBidi" w:cstheme="majorBidi"/>
          <w:sz w:val="22"/>
          <w:szCs w:val="22"/>
        </w:rPr>
      </w:pPr>
    </w:p>
    <w:p w14:paraId="0371B366" w14:textId="77777777" w:rsidR="00FA3F9E" w:rsidRDefault="00FA3F9E" w:rsidP="003C12F3">
      <w:pPr>
        <w:pStyle w:val="Heading3"/>
        <w:rPr>
          <w:rFonts w:asciiTheme="majorBidi" w:hAnsiTheme="majorBidi" w:cstheme="majorBidi"/>
          <w:b w:val="0"/>
          <w:bCs/>
          <w:i/>
          <w:iCs/>
          <w:sz w:val="22"/>
          <w:szCs w:val="22"/>
        </w:rPr>
      </w:pPr>
      <w:r w:rsidRPr="00A9281B">
        <w:rPr>
          <w:rFonts w:asciiTheme="majorBidi" w:hAnsiTheme="majorBidi" w:cstheme="majorBidi"/>
          <w:b w:val="0"/>
          <w:bCs/>
          <w:i/>
          <w:iCs/>
          <w:sz w:val="22"/>
          <w:szCs w:val="22"/>
        </w:rPr>
        <w:t>Multilevel models</w:t>
      </w:r>
    </w:p>
    <w:p w14:paraId="2B926BA8" w14:textId="77777777" w:rsidR="00A9281B" w:rsidRPr="00A9281B" w:rsidRDefault="00A9281B" w:rsidP="00A9281B"/>
    <w:p w14:paraId="50876E67" w14:textId="25215F23" w:rsidR="00CE6144" w:rsidRPr="00A9281B" w:rsidRDefault="00CE6144" w:rsidP="00B271FB">
      <w:pPr>
        <w:rPr>
          <w:rFonts w:asciiTheme="majorBidi" w:hAnsiTheme="majorBidi" w:cstheme="majorBidi"/>
          <w:sz w:val="22"/>
          <w:szCs w:val="22"/>
        </w:rPr>
      </w:pPr>
      <w:r w:rsidRPr="00A9281B">
        <w:rPr>
          <w:rFonts w:asciiTheme="majorBidi" w:hAnsiTheme="majorBidi" w:cstheme="majorBidi"/>
          <w:sz w:val="22"/>
          <w:szCs w:val="22"/>
        </w:rPr>
        <w:t xml:space="preserve">Overall, </w:t>
      </w:r>
      <w:r w:rsidRPr="00A9281B">
        <w:rPr>
          <w:rFonts w:asciiTheme="majorBidi" w:eastAsiaTheme="minorEastAsia" w:hAnsiTheme="majorBidi" w:cstheme="majorBidi"/>
          <w:sz w:val="22"/>
          <w:szCs w:val="22"/>
          <w:lang w:eastAsia="zh-CN"/>
        </w:rPr>
        <w:t>as demonstrated in</w:t>
      </w:r>
      <w:r w:rsidR="005130D8" w:rsidRPr="00A9281B">
        <w:rPr>
          <w:rFonts w:asciiTheme="majorBidi" w:eastAsiaTheme="minorEastAsia" w:hAnsiTheme="majorBidi" w:cstheme="majorBidi"/>
          <w:sz w:val="22"/>
          <w:szCs w:val="22"/>
          <w:lang w:eastAsia="zh-CN"/>
        </w:rPr>
        <w:t xml:space="preserve"> Table 5</w:t>
      </w:r>
      <w:r w:rsidRPr="00A9281B">
        <w:rPr>
          <w:rFonts w:asciiTheme="majorBidi" w:hAnsiTheme="majorBidi" w:cstheme="majorBidi"/>
          <w:sz w:val="22"/>
          <w:szCs w:val="22"/>
        </w:rPr>
        <w:t>, the first key finding is that the vast majority of the variance is explained at the pupil level, with only about 5% of variance remaining at discipline and HEI levels. In most cases discipline explain</w:t>
      </w:r>
      <w:r w:rsidR="009E5606" w:rsidRPr="00A9281B">
        <w:rPr>
          <w:rFonts w:asciiTheme="majorBidi" w:hAnsiTheme="majorBidi" w:cstheme="majorBidi"/>
          <w:sz w:val="22"/>
          <w:szCs w:val="22"/>
        </w:rPr>
        <w:t>s</w:t>
      </w:r>
      <w:r w:rsidRPr="00A9281B">
        <w:rPr>
          <w:rFonts w:asciiTheme="majorBidi" w:hAnsiTheme="majorBidi" w:cstheme="majorBidi"/>
          <w:sz w:val="22"/>
          <w:szCs w:val="22"/>
        </w:rPr>
        <w:t xml:space="preserve"> more variance than HEI. The two institutional variables, type of university and country, are not generally very significant. Individual student characteristics matter more, explaining up to 7% of total variance</w:t>
      </w:r>
      <w:r w:rsidR="00256B35" w:rsidRPr="00A9281B">
        <w:rPr>
          <w:rFonts w:asciiTheme="majorBidi" w:hAnsiTheme="majorBidi" w:cstheme="majorBidi"/>
          <w:sz w:val="22"/>
          <w:szCs w:val="22"/>
        </w:rPr>
        <w:t xml:space="preserve"> (see appendix </w:t>
      </w:r>
      <w:r w:rsidR="00B271FB" w:rsidRPr="00A9281B">
        <w:rPr>
          <w:rFonts w:asciiTheme="majorBidi" w:hAnsiTheme="majorBidi" w:cstheme="majorBidi"/>
          <w:sz w:val="22"/>
          <w:szCs w:val="22"/>
        </w:rPr>
        <w:t>A</w:t>
      </w:r>
      <w:r w:rsidR="00EE4E87" w:rsidRPr="00A9281B">
        <w:rPr>
          <w:rFonts w:asciiTheme="majorBidi" w:hAnsiTheme="majorBidi" w:cstheme="majorBidi"/>
          <w:sz w:val="22"/>
          <w:szCs w:val="22"/>
        </w:rPr>
        <w:t>)</w:t>
      </w:r>
      <w:r w:rsidRPr="00A9281B">
        <w:rPr>
          <w:rFonts w:asciiTheme="majorBidi" w:hAnsiTheme="majorBidi" w:cstheme="majorBidi"/>
          <w:sz w:val="22"/>
          <w:szCs w:val="22"/>
        </w:rPr>
        <w:t>. BME students and students without disabilities are more positive, as are most of the time part-time and male students, those from the older age groups, and those from Africa and Asia.</w:t>
      </w:r>
    </w:p>
    <w:p w14:paraId="0B0B1F10" w14:textId="77777777" w:rsidR="00467B31" w:rsidRPr="00A9281B" w:rsidRDefault="00467B31" w:rsidP="005130D8">
      <w:pPr>
        <w:rPr>
          <w:rFonts w:asciiTheme="majorBidi" w:hAnsiTheme="majorBidi" w:cstheme="majorBidi"/>
          <w:sz w:val="22"/>
          <w:szCs w:val="22"/>
        </w:rPr>
      </w:pPr>
    </w:p>
    <w:p w14:paraId="44B34D01" w14:textId="2D9DEEF0" w:rsidR="00467B31" w:rsidRPr="00A9281B" w:rsidRDefault="00467B31" w:rsidP="005130D8">
      <w:pPr>
        <w:rPr>
          <w:rFonts w:asciiTheme="majorBidi" w:hAnsiTheme="majorBidi" w:cstheme="majorBidi"/>
          <w:sz w:val="22"/>
          <w:szCs w:val="22"/>
        </w:rPr>
      </w:pPr>
      <w:r w:rsidRPr="00A9281B">
        <w:rPr>
          <w:rFonts w:asciiTheme="majorBidi" w:hAnsiTheme="majorBidi" w:cstheme="majorBidi"/>
          <w:sz w:val="22"/>
          <w:szCs w:val="22"/>
        </w:rPr>
        <w:t>TABLE 5 ABOUT HERE</w:t>
      </w:r>
    </w:p>
    <w:p w14:paraId="2B38E7D2" w14:textId="77777777" w:rsidR="00A9281B" w:rsidRDefault="00A9281B" w:rsidP="00CE6144">
      <w:pPr>
        <w:rPr>
          <w:rFonts w:asciiTheme="majorBidi" w:hAnsiTheme="majorBidi" w:cstheme="majorBidi"/>
          <w:sz w:val="22"/>
          <w:szCs w:val="22"/>
        </w:rPr>
      </w:pPr>
    </w:p>
    <w:p w14:paraId="6F984F16" w14:textId="77777777" w:rsidR="00CE6144" w:rsidRPr="00A9281B" w:rsidRDefault="00CE6144" w:rsidP="00CE6144">
      <w:pPr>
        <w:rPr>
          <w:rFonts w:asciiTheme="majorBidi" w:hAnsiTheme="majorBidi" w:cstheme="majorBidi"/>
          <w:sz w:val="22"/>
          <w:szCs w:val="22"/>
        </w:rPr>
      </w:pPr>
      <w:r w:rsidRPr="00A9281B">
        <w:rPr>
          <w:rFonts w:asciiTheme="majorBidi" w:hAnsiTheme="majorBidi" w:cstheme="majorBidi"/>
          <w:sz w:val="22"/>
          <w:szCs w:val="22"/>
        </w:rPr>
        <w:t>The findings from the 2015 PTES survey confirm those from 2014, in that again</w:t>
      </w:r>
      <w:r w:rsidRPr="00A9281B">
        <w:rPr>
          <w:rFonts w:asciiTheme="majorBidi" w:eastAsiaTheme="minorEastAsia" w:hAnsiTheme="majorBidi" w:cstheme="majorBidi"/>
          <w:sz w:val="22"/>
          <w:szCs w:val="22"/>
          <w:lang w:eastAsia="zh-CN"/>
        </w:rPr>
        <w:t xml:space="preserve"> (see </w:t>
      </w:r>
      <w:r w:rsidRPr="00A9281B">
        <w:rPr>
          <w:rFonts w:asciiTheme="majorBidi" w:eastAsiaTheme="minorEastAsia" w:hAnsiTheme="majorBidi" w:cstheme="majorBidi"/>
          <w:sz w:val="22"/>
          <w:szCs w:val="22"/>
          <w:lang w:eastAsia="zh-CN"/>
        </w:rPr>
        <w:fldChar w:fldCharType="begin"/>
      </w:r>
      <w:r w:rsidRPr="00A9281B">
        <w:rPr>
          <w:rFonts w:asciiTheme="majorBidi" w:eastAsiaTheme="minorEastAsia" w:hAnsiTheme="majorBidi" w:cstheme="majorBidi"/>
          <w:sz w:val="22"/>
          <w:szCs w:val="22"/>
          <w:lang w:eastAsia="zh-CN"/>
        </w:rPr>
        <w:instrText xml:space="preserve"> REF _Ref430898363 \h </w:instrText>
      </w:r>
      <w:r w:rsidR="005836C2" w:rsidRPr="00A9281B">
        <w:rPr>
          <w:rFonts w:asciiTheme="majorBidi" w:eastAsiaTheme="minorEastAsia" w:hAnsiTheme="majorBidi" w:cstheme="majorBidi"/>
          <w:sz w:val="22"/>
          <w:szCs w:val="22"/>
          <w:lang w:eastAsia="zh-CN"/>
        </w:rPr>
        <w:instrText xml:space="preserve"> \* MERGEFORMAT </w:instrText>
      </w:r>
      <w:r w:rsidRPr="00A9281B">
        <w:rPr>
          <w:rFonts w:asciiTheme="majorBidi" w:eastAsiaTheme="minorEastAsia" w:hAnsiTheme="majorBidi" w:cstheme="majorBidi"/>
          <w:sz w:val="22"/>
          <w:szCs w:val="22"/>
          <w:lang w:eastAsia="zh-CN"/>
        </w:rPr>
      </w:r>
      <w:r w:rsidRPr="00A9281B">
        <w:rPr>
          <w:rFonts w:asciiTheme="majorBidi" w:eastAsiaTheme="minorEastAsia" w:hAnsiTheme="majorBidi" w:cstheme="majorBidi"/>
          <w:sz w:val="22"/>
          <w:szCs w:val="22"/>
          <w:lang w:eastAsia="zh-CN"/>
        </w:rPr>
        <w:fldChar w:fldCharType="separate"/>
      </w:r>
      <w:r w:rsidRPr="00A9281B">
        <w:rPr>
          <w:rFonts w:asciiTheme="majorBidi" w:hAnsiTheme="majorBidi" w:cstheme="majorBidi"/>
          <w:sz w:val="22"/>
          <w:szCs w:val="22"/>
        </w:rPr>
        <w:t xml:space="preserve">Table </w:t>
      </w:r>
      <w:r w:rsidRPr="00A9281B">
        <w:rPr>
          <w:rFonts w:asciiTheme="majorBidi" w:hAnsiTheme="majorBidi" w:cstheme="majorBidi"/>
          <w:noProof/>
          <w:sz w:val="22"/>
          <w:szCs w:val="22"/>
        </w:rPr>
        <w:t>7</w:t>
      </w:r>
      <w:r w:rsidRPr="00A9281B">
        <w:rPr>
          <w:rFonts w:asciiTheme="majorBidi" w:eastAsiaTheme="minorEastAsia" w:hAnsiTheme="majorBidi" w:cstheme="majorBidi"/>
          <w:sz w:val="22"/>
          <w:szCs w:val="22"/>
          <w:lang w:eastAsia="zh-CN"/>
        </w:rPr>
        <w:fldChar w:fldCharType="end"/>
      </w:r>
      <w:r w:rsidRPr="00A9281B">
        <w:rPr>
          <w:rFonts w:asciiTheme="majorBidi" w:eastAsiaTheme="minorEastAsia" w:hAnsiTheme="majorBidi" w:cstheme="majorBidi"/>
          <w:sz w:val="22"/>
          <w:szCs w:val="22"/>
          <w:lang w:eastAsia="zh-CN"/>
        </w:rPr>
        <w:t>)</w:t>
      </w:r>
      <w:r w:rsidRPr="00A9281B">
        <w:rPr>
          <w:rFonts w:asciiTheme="majorBidi" w:hAnsiTheme="majorBidi" w:cstheme="majorBidi"/>
          <w:sz w:val="22"/>
          <w:szCs w:val="22"/>
        </w:rPr>
        <w:t xml:space="preserve"> the vast bulk (over 90% on all scales) of variance is attributable to differences between individual students rather than their discipline or the HEI they attended. Discipline explain</w:t>
      </w:r>
      <w:r w:rsidRPr="00A9281B">
        <w:rPr>
          <w:rFonts w:asciiTheme="majorBidi" w:eastAsiaTheme="minorEastAsia" w:hAnsiTheme="majorBidi" w:cstheme="majorBidi"/>
          <w:sz w:val="22"/>
          <w:szCs w:val="22"/>
          <w:lang w:eastAsia="zh-CN"/>
        </w:rPr>
        <w:t>s</w:t>
      </w:r>
      <w:r w:rsidRPr="00A9281B">
        <w:rPr>
          <w:rFonts w:asciiTheme="majorBidi" w:hAnsiTheme="majorBidi" w:cstheme="majorBidi"/>
          <w:sz w:val="22"/>
          <w:szCs w:val="22"/>
        </w:rPr>
        <w:t xml:space="preserve"> more variance than HEI, with the latter never explaining more than 3%. </w:t>
      </w:r>
    </w:p>
    <w:p w14:paraId="567F3527" w14:textId="77777777" w:rsidR="00467B31" w:rsidRPr="00A9281B" w:rsidRDefault="00467B31" w:rsidP="00CE6144">
      <w:pPr>
        <w:rPr>
          <w:rFonts w:asciiTheme="majorBidi" w:hAnsiTheme="majorBidi" w:cstheme="majorBidi"/>
          <w:sz w:val="22"/>
          <w:szCs w:val="22"/>
        </w:rPr>
      </w:pPr>
    </w:p>
    <w:p w14:paraId="6926FD92" w14:textId="17DAB32B" w:rsidR="00467B31" w:rsidRPr="00A9281B" w:rsidRDefault="00467B31" w:rsidP="00CE6144">
      <w:pPr>
        <w:rPr>
          <w:rFonts w:asciiTheme="majorBidi" w:hAnsiTheme="majorBidi" w:cstheme="majorBidi"/>
          <w:sz w:val="22"/>
          <w:szCs w:val="22"/>
        </w:rPr>
      </w:pPr>
      <w:r w:rsidRPr="00A9281B">
        <w:rPr>
          <w:rFonts w:asciiTheme="majorBidi" w:hAnsiTheme="majorBidi" w:cstheme="majorBidi"/>
          <w:sz w:val="22"/>
          <w:szCs w:val="22"/>
        </w:rPr>
        <w:t>TABLE 6 ABOUT HERE</w:t>
      </w:r>
    </w:p>
    <w:p w14:paraId="411EF109" w14:textId="77777777" w:rsidR="00614A7F" w:rsidRPr="00A9281B" w:rsidRDefault="00614A7F" w:rsidP="00CE6144">
      <w:pPr>
        <w:pStyle w:val="Caption"/>
        <w:rPr>
          <w:rFonts w:asciiTheme="majorBidi" w:hAnsiTheme="majorBidi" w:cstheme="majorBidi"/>
          <w:sz w:val="22"/>
          <w:szCs w:val="22"/>
        </w:rPr>
      </w:pPr>
      <w:bookmarkStart w:id="1" w:name="_Ref430898363"/>
      <w:bookmarkStart w:id="2" w:name="_Toc430911301"/>
    </w:p>
    <w:bookmarkEnd w:id="1"/>
    <w:bookmarkEnd w:id="2"/>
    <w:p w14:paraId="49987A04" w14:textId="2A0D88E1" w:rsidR="005836C2" w:rsidRPr="00A9281B" w:rsidRDefault="00CE6144" w:rsidP="005130D8">
      <w:pPr>
        <w:rPr>
          <w:rFonts w:asciiTheme="majorBidi" w:eastAsiaTheme="minorEastAsia" w:hAnsiTheme="majorBidi" w:cstheme="majorBidi"/>
          <w:sz w:val="22"/>
          <w:szCs w:val="22"/>
          <w:lang w:eastAsia="zh-CN"/>
        </w:rPr>
      </w:pPr>
      <w:r w:rsidRPr="00A9281B">
        <w:rPr>
          <w:rFonts w:asciiTheme="majorBidi" w:hAnsiTheme="majorBidi" w:cstheme="majorBidi"/>
          <w:sz w:val="22"/>
          <w:szCs w:val="22"/>
        </w:rPr>
        <w:lastRenderedPageBreak/>
        <w:t>A difference from 2014 was that the two institutional variables, type of university and country, did explain a meaningful proportion of HEI level variance. In particular, students from Small and Specialist universities and those based in London tended to express lower levels of satisfaction.  At the individual student level, BME students and students without disabilities are more positive, as are most of the time part-time and male students, those from the older age groups, and those from Africa and Asia. These findings confirm those from 2014.</w:t>
      </w:r>
      <w:r w:rsidRPr="00A9281B">
        <w:rPr>
          <w:rFonts w:asciiTheme="majorBidi" w:eastAsiaTheme="minorEastAsia" w:hAnsiTheme="majorBidi" w:cstheme="majorBidi"/>
          <w:sz w:val="22"/>
          <w:szCs w:val="22"/>
          <w:lang w:eastAsia="zh-CN"/>
        </w:rPr>
        <w:t xml:space="preserve"> </w:t>
      </w:r>
      <w:r w:rsidRPr="00A9281B">
        <w:rPr>
          <w:rFonts w:asciiTheme="majorBidi" w:hAnsiTheme="majorBidi" w:cstheme="majorBidi"/>
          <w:sz w:val="22"/>
          <w:szCs w:val="22"/>
        </w:rPr>
        <w:t>To summarise the influence of predictors on the dependent variables</w:t>
      </w:r>
      <w:r w:rsidRPr="00A9281B">
        <w:rPr>
          <w:rFonts w:asciiTheme="majorBidi" w:eastAsiaTheme="minorEastAsia" w:hAnsiTheme="majorBidi" w:cstheme="majorBidi"/>
          <w:sz w:val="22"/>
          <w:szCs w:val="22"/>
          <w:lang w:eastAsia="zh-CN"/>
        </w:rPr>
        <w:t xml:space="preserve"> in more detail</w:t>
      </w:r>
      <w:r w:rsidRPr="00A9281B">
        <w:rPr>
          <w:rFonts w:asciiTheme="majorBidi" w:hAnsiTheme="majorBidi" w:cstheme="majorBidi"/>
          <w:sz w:val="22"/>
          <w:szCs w:val="22"/>
        </w:rPr>
        <w:t xml:space="preserve">, </w:t>
      </w:r>
      <w:r w:rsidR="00C811A6" w:rsidRPr="00A9281B">
        <w:rPr>
          <w:rFonts w:asciiTheme="majorBidi" w:hAnsiTheme="majorBidi" w:cstheme="majorBidi"/>
          <w:sz w:val="22"/>
          <w:szCs w:val="22"/>
        </w:rPr>
        <w:t>table 9</w:t>
      </w:r>
      <w:r w:rsidRPr="00A9281B">
        <w:rPr>
          <w:rFonts w:asciiTheme="majorBidi" w:eastAsiaTheme="minorEastAsia" w:hAnsiTheme="majorBidi" w:cstheme="majorBidi"/>
          <w:sz w:val="22"/>
          <w:szCs w:val="22"/>
          <w:lang w:eastAsia="zh-CN"/>
        </w:rPr>
        <w:t xml:space="preserve"> </w:t>
      </w:r>
      <w:r w:rsidRPr="00A9281B">
        <w:rPr>
          <w:rFonts w:asciiTheme="majorBidi" w:hAnsiTheme="majorBidi" w:cstheme="majorBidi"/>
          <w:sz w:val="22"/>
          <w:szCs w:val="22"/>
        </w:rPr>
        <w:t>shows significant predictors and their direction.</w:t>
      </w:r>
      <w:r w:rsidRPr="00A9281B">
        <w:rPr>
          <w:rFonts w:asciiTheme="majorBidi" w:eastAsiaTheme="minorEastAsia" w:hAnsiTheme="majorBidi" w:cstheme="majorBidi"/>
          <w:sz w:val="22"/>
          <w:szCs w:val="22"/>
          <w:lang w:eastAsia="zh-CN"/>
        </w:rPr>
        <w:t xml:space="preserve"> </w:t>
      </w:r>
      <w:r w:rsidRPr="00A9281B">
        <w:rPr>
          <w:rFonts w:asciiTheme="majorBidi" w:hAnsiTheme="majorBidi" w:cstheme="majorBidi"/>
          <w:sz w:val="22"/>
          <w:szCs w:val="22"/>
        </w:rPr>
        <w:t>On the whole the P</w:t>
      </w:r>
      <w:r w:rsidRPr="00A9281B">
        <w:rPr>
          <w:rFonts w:asciiTheme="majorBidi" w:eastAsiaTheme="minorEastAsia" w:hAnsiTheme="majorBidi" w:cstheme="majorBidi"/>
          <w:sz w:val="22"/>
          <w:szCs w:val="22"/>
          <w:lang w:eastAsia="zh-CN"/>
        </w:rPr>
        <w:t>T</w:t>
      </w:r>
      <w:r w:rsidRPr="00A9281B">
        <w:rPr>
          <w:rFonts w:asciiTheme="majorBidi" w:hAnsiTheme="majorBidi" w:cstheme="majorBidi"/>
          <w:sz w:val="22"/>
          <w:szCs w:val="22"/>
        </w:rPr>
        <w:t>ES 2013 and P</w:t>
      </w:r>
      <w:r w:rsidRPr="00A9281B">
        <w:rPr>
          <w:rFonts w:asciiTheme="majorBidi" w:eastAsiaTheme="minorEastAsia" w:hAnsiTheme="majorBidi" w:cstheme="majorBidi"/>
          <w:sz w:val="22"/>
          <w:szCs w:val="22"/>
          <w:lang w:eastAsia="zh-CN"/>
        </w:rPr>
        <w:t>T</w:t>
      </w:r>
      <w:r w:rsidRPr="00A9281B">
        <w:rPr>
          <w:rFonts w:asciiTheme="majorBidi" w:hAnsiTheme="majorBidi" w:cstheme="majorBidi"/>
          <w:sz w:val="22"/>
          <w:szCs w:val="22"/>
        </w:rPr>
        <w:t>ES 2015 showed similar patterns</w:t>
      </w:r>
      <w:r w:rsidRPr="00A9281B">
        <w:rPr>
          <w:rFonts w:asciiTheme="majorBidi" w:eastAsiaTheme="minorEastAsia" w:hAnsiTheme="majorBidi" w:cstheme="majorBidi"/>
          <w:sz w:val="22"/>
          <w:szCs w:val="22"/>
          <w:lang w:eastAsia="zh-CN"/>
        </w:rPr>
        <w:t>.</w:t>
      </w:r>
      <w:r w:rsidR="005130D8" w:rsidRPr="00A9281B">
        <w:rPr>
          <w:rFonts w:asciiTheme="majorBidi" w:eastAsiaTheme="minorEastAsia" w:hAnsiTheme="majorBidi" w:cstheme="majorBidi"/>
          <w:sz w:val="22"/>
          <w:szCs w:val="22"/>
          <w:lang w:eastAsia="zh-CN"/>
        </w:rPr>
        <w:t xml:space="preserve"> </w:t>
      </w:r>
      <w:r w:rsidR="005836C2" w:rsidRPr="00A9281B">
        <w:rPr>
          <w:rFonts w:asciiTheme="majorBidi" w:eastAsiaTheme="minorEastAsia" w:hAnsiTheme="majorBidi" w:cstheme="majorBidi"/>
          <w:sz w:val="22"/>
          <w:szCs w:val="22"/>
          <w:lang w:eastAsia="zh-CN"/>
        </w:rPr>
        <w:t>Only the ‘overall satisfaction models are presented</w:t>
      </w:r>
      <w:r w:rsidR="009E5606" w:rsidRPr="00A9281B">
        <w:rPr>
          <w:rFonts w:asciiTheme="majorBidi" w:eastAsiaTheme="minorEastAsia" w:hAnsiTheme="majorBidi" w:cstheme="majorBidi"/>
          <w:sz w:val="22"/>
          <w:szCs w:val="22"/>
          <w:lang w:eastAsia="zh-CN"/>
        </w:rPr>
        <w:t xml:space="preserve"> in detail, but tables for the other m</w:t>
      </w:r>
      <w:r w:rsidR="00B271FB" w:rsidRPr="00A9281B">
        <w:rPr>
          <w:rFonts w:asciiTheme="majorBidi" w:eastAsiaTheme="minorEastAsia" w:hAnsiTheme="majorBidi" w:cstheme="majorBidi"/>
          <w:sz w:val="22"/>
          <w:szCs w:val="22"/>
          <w:lang w:eastAsia="zh-CN"/>
        </w:rPr>
        <w:t>odels can be found in appendix A</w:t>
      </w:r>
      <w:r w:rsidR="005836C2" w:rsidRPr="00A9281B">
        <w:rPr>
          <w:rFonts w:asciiTheme="majorBidi" w:eastAsiaTheme="minorEastAsia" w:hAnsiTheme="majorBidi" w:cstheme="majorBidi"/>
          <w:sz w:val="22"/>
          <w:szCs w:val="22"/>
          <w:lang w:eastAsia="zh-CN"/>
        </w:rPr>
        <w:t>.</w:t>
      </w:r>
    </w:p>
    <w:p w14:paraId="00CD6E1A" w14:textId="77777777" w:rsidR="00440B9A" w:rsidRPr="00A9281B" w:rsidRDefault="00440B9A" w:rsidP="005130D8">
      <w:pPr>
        <w:rPr>
          <w:rFonts w:asciiTheme="majorBidi" w:eastAsiaTheme="minorEastAsia" w:hAnsiTheme="majorBidi" w:cstheme="majorBidi"/>
          <w:sz w:val="22"/>
          <w:szCs w:val="22"/>
          <w:lang w:eastAsia="zh-CN"/>
        </w:rPr>
      </w:pPr>
    </w:p>
    <w:p w14:paraId="64058541" w14:textId="42D5F617" w:rsidR="00440B9A" w:rsidRPr="00A9281B" w:rsidRDefault="00440B9A" w:rsidP="005130D8">
      <w:pPr>
        <w:rPr>
          <w:rFonts w:asciiTheme="majorBidi" w:eastAsiaTheme="minorEastAsia" w:hAnsiTheme="majorBidi" w:cstheme="majorBidi"/>
          <w:sz w:val="22"/>
          <w:szCs w:val="22"/>
          <w:lang w:eastAsia="zh-CN"/>
        </w:rPr>
      </w:pPr>
      <w:r w:rsidRPr="00A9281B">
        <w:rPr>
          <w:rFonts w:asciiTheme="majorBidi" w:eastAsiaTheme="minorEastAsia" w:hAnsiTheme="majorBidi" w:cstheme="majorBidi"/>
          <w:sz w:val="22"/>
          <w:szCs w:val="22"/>
          <w:lang w:eastAsia="zh-CN"/>
        </w:rPr>
        <w:t>TABLE 7 ABOUT HERE</w:t>
      </w:r>
    </w:p>
    <w:p w14:paraId="798DC789" w14:textId="77777777" w:rsidR="005836C2" w:rsidRPr="00A9281B" w:rsidRDefault="005836C2" w:rsidP="00CE6144">
      <w:pPr>
        <w:rPr>
          <w:rFonts w:asciiTheme="majorBidi" w:eastAsiaTheme="minorEastAsia" w:hAnsiTheme="majorBidi" w:cstheme="majorBidi"/>
          <w:sz w:val="22"/>
          <w:szCs w:val="22"/>
          <w:lang w:eastAsia="zh-CN"/>
        </w:rPr>
      </w:pPr>
    </w:p>
    <w:p w14:paraId="3647D9A1" w14:textId="3568D475" w:rsidR="005836C2" w:rsidRPr="00A9281B" w:rsidRDefault="005836C2" w:rsidP="005836C2">
      <w:pPr>
        <w:rPr>
          <w:rFonts w:asciiTheme="majorBidi" w:hAnsiTheme="majorBidi" w:cstheme="majorBidi"/>
          <w:sz w:val="22"/>
          <w:szCs w:val="22"/>
        </w:rPr>
      </w:pPr>
      <w:r w:rsidRPr="00A9281B">
        <w:rPr>
          <w:rFonts w:asciiTheme="majorBidi" w:hAnsiTheme="majorBidi" w:cstheme="majorBidi"/>
          <w:sz w:val="22"/>
          <w:szCs w:val="22"/>
        </w:rPr>
        <w:t xml:space="preserve">The overall </w:t>
      </w:r>
      <w:r w:rsidR="00EA4ED9" w:rsidRPr="00A9281B">
        <w:rPr>
          <w:rFonts w:asciiTheme="majorBidi" w:hAnsiTheme="majorBidi" w:cstheme="majorBidi"/>
          <w:sz w:val="22"/>
          <w:szCs w:val="22"/>
        </w:rPr>
        <w:t xml:space="preserve">satisfaction </w:t>
      </w:r>
      <w:r w:rsidRPr="00A9281B">
        <w:rPr>
          <w:rFonts w:asciiTheme="majorBidi" w:hAnsiTheme="majorBidi" w:cstheme="majorBidi"/>
          <w:sz w:val="22"/>
          <w:szCs w:val="22"/>
        </w:rPr>
        <w:t>scale</w:t>
      </w:r>
      <w:r w:rsidR="00EA4ED9" w:rsidRPr="00A9281B">
        <w:rPr>
          <w:rFonts w:asciiTheme="majorBidi" w:hAnsiTheme="majorBidi" w:cstheme="majorBidi"/>
          <w:sz w:val="22"/>
          <w:szCs w:val="22"/>
        </w:rPr>
        <w:t xml:space="preserve"> for 2014</w:t>
      </w:r>
      <w:r w:rsidRPr="00A9281B">
        <w:rPr>
          <w:rFonts w:asciiTheme="majorBidi" w:hAnsiTheme="majorBidi" w:cstheme="majorBidi"/>
          <w:sz w:val="22"/>
          <w:szCs w:val="22"/>
        </w:rPr>
        <w:t xml:space="preserve"> </w:t>
      </w:r>
      <w:r w:rsidR="00EA4ED9" w:rsidRPr="00A9281B">
        <w:rPr>
          <w:rFonts w:asciiTheme="majorBidi" w:hAnsiTheme="majorBidi" w:cstheme="majorBidi"/>
          <w:sz w:val="22"/>
          <w:szCs w:val="22"/>
        </w:rPr>
        <w:t>results</w:t>
      </w:r>
      <w:r w:rsidRPr="00A9281B">
        <w:rPr>
          <w:rFonts w:asciiTheme="majorBidi" w:hAnsiTheme="majorBidi" w:cstheme="majorBidi"/>
          <w:sz w:val="22"/>
          <w:szCs w:val="22"/>
        </w:rPr>
        <w:t xml:space="preserve"> confirms that the bulk of variance is explained at the individ</w:t>
      </w:r>
      <w:r w:rsidR="00111741" w:rsidRPr="00A9281B">
        <w:rPr>
          <w:rFonts w:asciiTheme="majorBidi" w:hAnsiTheme="majorBidi" w:cstheme="majorBidi"/>
          <w:sz w:val="22"/>
          <w:szCs w:val="22"/>
        </w:rPr>
        <w:t xml:space="preserve">ual student level (almost 95%, </w:t>
      </w:r>
      <w:r w:rsidRPr="00A9281B">
        <w:rPr>
          <w:rFonts w:asciiTheme="majorBidi" w:hAnsiTheme="majorBidi" w:cstheme="majorBidi"/>
          <w:sz w:val="22"/>
          <w:szCs w:val="22"/>
        </w:rPr>
        <w:t>with discipline (3.3%) explaining somewhat more variance than HEI (2%) None of the organisational variables are significant.</w:t>
      </w:r>
    </w:p>
    <w:p w14:paraId="00106B24" w14:textId="77777777" w:rsidR="00EA4ED9" w:rsidRPr="00A9281B" w:rsidRDefault="00EA4ED9" w:rsidP="005836C2">
      <w:pPr>
        <w:rPr>
          <w:rFonts w:asciiTheme="majorBidi" w:hAnsiTheme="majorBidi" w:cstheme="majorBidi"/>
          <w:sz w:val="22"/>
          <w:szCs w:val="22"/>
        </w:rPr>
      </w:pPr>
    </w:p>
    <w:p w14:paraId="7D74B792" w14:textId="11AB5483" w:rsidR="005836C2" w:rsidRPr="00A9281B" w:rsidRDefault="005836C2" w:rsidP="00EA4ED9">
      <w:pPr>
        <w:rPr>
          <w:rFonts w:asciiTheme="majorBidi" w:hAnsiTheme="majorBidi" w:cstheme="majorBidi"/>
          <w:sz w:val="22"/>
          <w:szCs w:val="22"/>
        </w:rPr>
      </w:pPr>
      <w:r w:rsidRPr="00A9281B">
        <w:rPr>
          <w:rFonts w:asciiTheme="majorBidi" w:hAnsiTheme="majorBidi" w:cstheme="majorBidi"/>
          <w:sz w:val="22"/>
          <w:szCs w:val="22"/>
        </w:rPr>
        <w:t>The student characteristics explain 6.6% of total variance.  Students without a disability, BME students and part time students are more positive, while females are less positive. Students from Africa and Asia are more positive than the UK reference group, while those from Europe, the Middle East and America are less positive. The oldest student group are more positive, while those between 26 and 30 are slightly less positive than their younger peers.</w:t>
      </w:r>
    </w:p>
    <w:p w14:paraId="40E24C1C" w14:textId="77777777" w:rsidR="00556722" w:rsidRPr="00A9281B" w:rsidRDefault="00556722" w:rsidP="00EA4ED9">
      <w:pPr>
        <w:rPr>
          <w:rFonts w:asciiTheme="majorBidi" w:hAnsiTheme="majorBidi" w:cstheme="majorBidi"/>
          <w:sz w:val="22"/>
          <w:szCs w:val="22"/>
        </w:rPr>
      </w:pPr>
    </w:p>
    <w:p w14:paraId="448EA46A" w14:textId="2F4652F8" w:rsidR="00556722" w:rsidRPr="00A9281B" w:rsidRDefault="00556722" w:rsidP="00EA4ED9">
      <w:pPr>
        <w:rPr>
          <w:rFonts w:asciiTheme="majorBidi" w:hAnsiTheme="majorBidi" w:cstheme="majorBidi"/>
          <w:sz w:val="22"/>
          <w:szCs w:val="22"/>
        </w:rPr>
      </w:pPr>
      <w:r w:rsidRPr="00A9281B">
        <w:rPr>
          <w:rFonts w:asciiTheme="majorBidi" w:hAnsiTheme="majorBidi" w:cstheme="majorBidi"/>
          <w:sz w:val="22"/>
          <w:szCs w:val="22"/>
        </w:rPr>
        <w:t>TABLE 8 ABOUT HERE</w:t>
      </w:r>
    </w:p>
    <w:p w14:paraId="01B36430" w14:textId="77777777" w:rsidR="005836C2" w:rsidRPr="00A9281B" w:rsidRDefault="005836C2" w:rsidP="00CE6144">
      <w:pPr>
        <w:rPr>
          <w:rFonts w:asciiTheme="majorBidi" w:eastAsiaTheme="minorEastAsia" w:hAnsiTheme="majorBidi" w:cstheme="majorBidi"/>
          <w:sz w:val="22"/>
          <w:szCs w:val="22"/>
          <w:lang w:eastAsia="zh-CN"/>
        </w:rPr>
      </w:pPr>
    </w:p>
    <w:p w14:paraId="34B7CA27" w14:textId="57B9FFA8" w:rsidR="005836C2" w:rsidRPr="00A9281B" w:rsidRDefault="00EA4ED9" w:rsidP="005130D8">
      <w:pPr>
        <w:rPr>
          <w:rFonts w:asciiTheme="majorBidi" w:hAnsiTheme="majorBidi" w:cstheme="majorBidi"/>
          <w:sz w:val="22"/>
          <w:szCs w:val="22"/>
        </w:rPr>
      </w:pPr>
      <w:r w:rsidRPr="00A9281B">
        <w:rPr>
          <w:rFonts w:asciiTheme="majorBidi" w:hAnsiTheme="majorBidi" w:cstheme="majorBidi"/>
          <w:sz w:val="22"/>
          <w:szCs w:val="22"/>
        </w:rPr>
        <w:t xml:space="preserve">Similar results were found in the 2015 sample. </w:t>
      </w:r>
      <w:r w:rsidR="005836C2" w:rsidRPr="00A9281B">
        <w:rPr>
          <w:rFonts w:asciiTheme="majorBidi" w:hAnsiTheme="majorBidi" w:cstheme="majorBidi"/>
          <w:sz w:val="22"/>
          <w:szCs w:val="22"/>
        </w:rPr>
        <w:t xml:space="preserve">Of the total variance in overall satisfaction, almost 94% was attributable to the individual student level, with 4.6% attributable to the discipline level, and 1.6% to the HEI level. The institutional variables explained a third of variance at the HEI level, which however represents only 0.5% of the total variance. There were two significant predictors: students at Small and Specialist Universities and students at London universities expressed lower levels of satisfaction. The individual level variables explained 3.4% of total variance. Older, part-time, BME and non-disabled students expressed significantly greater levels of satisfaction, as did students from Africa and Asia. Females and students from other EU countries, Australasia and North America show lower levels of satisfaction compared to their respective reference groups. </w:t>
      </w:r>
    </w:p>
    <w:p w14:paraId="03FC44A3" w14:textId="77777777" w:rsidR="00D7676E" w:rsidRPr="00A9281B" w:rsidRDefault="00D7676E" w:rsidP="005130D8">
      <w:pPr>
        <w:rPr>
          <w:rFonts w:asciiTheme="majorBidi" w:hAnsiTheme="majorBidi" w:cstheme="majorBidi"/>
          <w:sz w:val="22"/>
          <w:szCs w:val="22"/>
        </w:rPr>
      </w:pPr>
    </w:p>
    <w:p w14:paraId="7FE1DE21" w14:textId="17138BAE" w:rsidR="00D7676E" w:rsidRPr="00A9281B" w:rsidRDefault="00D7676E" w:rsidP="005130D8">
      <w:pPr>
        <w:rPr>
          <w:rFonts w:asciiTheme="majorBidi" w:hAnsiTheme="majorBidi" w:cstheme="majorBidi"/>
          <w:sz w:val="22"/>
          <w:szCs w:val="22"/>
        </w:rPr>
      </w:pPr>
      <w:r w:rsidRPr="00A9281B">
        <w:rPr>
          <w:rFonts w:asciiTheme="majorBidi" w:hAnsiTheme="majorBidi" w:cstheme="majorBidi"/>
          <w:sz w:val="22"/>
          <w:szCs w:val="22"/>
        </w:rPr>
        <w:t>TABLE 9 ABOUT HERE</w:t>
      </w:r>
    </w:p>
    <w:p w14:paraId="19DF650B" w14:textId="77777777" w:rsidR="00445741" w:rsidRPr="00A9281B" w:rsidRDefault="00445741" w:rsidP="00CE6144">
      <w:pPr>
        <w:rPr>
          <w:rFonts w:asciiTheme="majorBidi" w:hAnsiTheme="majorBidi" w:cstheme="majorBidi"/>
          <w:sz w:val="22"/>
          <w:szCs w:val="22"/>
        </w:rPr>
      </w:pPr>
    </w:p>
    <w:p w14:paraId="76B6D03D" w14:textId="77777777" w:rsidR="00445741" w:rsidRPr="00A9281B" w:rsidRDefault="00445741" w:rsidP="00445741">
      <w:pPr>
        <w:rPr>
          <w:rFonts w:asciiTheme="majorBidi" w:eastAsiaTheme="minorEastAsia" w:hAnsiTheme="majorBidi" w:cstheme="majorBidi"/>
          <w:lang w:eastAsia="zh-CN"/>
        </w:rPr>
        <w:sectPr w:rsidR="00445741" w:rsidRPr="00A9281B" w:rsidSect="00445741">
          <w:footerReference w:type="default" r:id="rId8"/>
          <w:pgSz w:w="11906" w:h="16838"/>
          <w:pgMar w:top="1440" w:right="1440" w:bottom="1440" w:left="1440" w:header="708" w:footer="708" w:gutter="0"/>
          <w:cols w:space="708"/>
          <w:docGrid w:linePitch="360"/>
        </w:sectPr>
      </w:pPr>
    </w:p>
    <w:p w14:paraId="43B38082" w14:textId="6C060FEC" w:rsidR="00614A7F" w:rsidRPr="00A9281B" w:rsidRDefault="00CE6144" w:rsidP="005759B6">
      <w:pPr>
        <w:pStyle w:val="Heading2"/>
        <w:rPr>
          <w:rFonts w:asciiTheme="majorBidi" w:hAnsiTheme="majorBidi" w:cstheme="majorBidi"/>
          <w:sz w:val="22"/>
          <w:szCs w:val="22"/>
        </w:rPr>
      </w:pPr>
      <w:r w:rsidRPr="00A9281B">
        <w:rPr>
          <w:rFonts w:asciiTheme="majorBidi" w:hAnsiTheme="majorBidi" w:cstheme="majorBidi"/>
          <w:sz w:val="22"/>
          <w:szCs w:val="22"/>
        </w:rPr>
        <w:lastRenderedPageBreak/>
        <w:t xml:space="preserve">Conclusions and discussion </w:t>
      </w:r>
    </w:p>
    <w:p w14:paraId="0DFA925B" w14:textId="77777777" w:rsidR="00A9281B" w:rsidRPr="00A9281B" w:rsidRDefault="00A9281B" w:rsidP="00A9281B"/>
    <w:p w14:paraId="4263C96E" w14:textId="08E2BA84" w:rsidR="00CE6144" w:rsidRPr="00A9281B" w:rsidRDefault="00400F33" w:rsidP="005130D8">
      <w:pPr>
        <w:rPr>
          <w:rFonts w:asciiTheme="majorBidi" w:hAnsiTheme="majorBidi" w:cstheme="majorBidi"/>
          <w:sz w:val="22"/>
          <w:szCs w:val="22"/>
        </w:rPr>
      </w:pPr>
      <w:r w:rsidRPr="00A9281B">
        <w:rPr>
          <w:rFonts w:asciiTheme="majorBidi" w:hAnsiTheme="majorBidi" w:cstheme="majorBidi"/>
          <w:sz w:val="22"/>
          <w:szCs w:val="22"/>
        </w:rPr>
        <w:t xml:space="preserve">The purpose of this article was to </w:t>
      </w:r>
      <w:r w:rsidR="006D06B7" w:rsidRPr="00A9281B">
        <w:rPr>
          <w:rFonts w:asciiTheme="majorBidi" w:hAnsiTheme="majorBidi" w:cstheme="majorBidi"/>
          <w:sz w:val="22"/>
          <w:szCs w:val="22"/>
        </w:rPr>
        <w:t xml:space="preserve">perform multilevel analyses of </w:t>
      </w:r>
      <w:r w:rsidR="00D75060" w:rsidRPr="00A9281B">
        <w:rPr>
          <w:rFonts w:asciiTheme="majorBidi" w:hAnsiTheme="majorBidi" w:cstheme="majorBidi"/>
          <w:sz w:val="22"/>
          <w:szCs w:val="22"/>
        </w:rPr>
        <w:t>two years of PTES data</w:t>
      </w:r>
      <w:r w:rsidR="006D06B7" w:rsidRPr="00A9281B">
        <w:rPr>
          <w:rFonts w:asciiTheme="majorBidi" w:hAnsiTheme="majorBidi" w:cstheme="majorBidi"/>
          <w:sz w:val="22"/>
          <w:szCs w:val="22"/>
        </w:rPr>
        <w:t>, 20</w:t>
      </w:r>
      <w:r w:rsidR="00264870" w:rsidRPr="00A9281B">
        <w:rPr>
          <w:rFonts w:asciiTheme="majorBidi" w:hAnsiTheme="majorBidi" w:cstheme="majorBidi"/>
          <w:sz w:val="22"/>
          <w:szCs w:val="22"/>
        </w:rPr>
        <w:t xml:space="preserve">14 and 2015, to </w:t>
      </w:r>
      <w:r w:rsidR="00176BCC" w:rsidRPr="00A9281B">
        <w:rPr>
          <w:rFonts w:asciiTheme="majorBidi" w:hAnsiTheme="majorBidi" w:cstheme="majorBidi"/>
          <w:sz w:val="22"/>
          <w:szCs w:val="22"/>
        </w:rPr>
        <w:t xml:space="preserve">obtain insight in predictors for postgraduate </w:t>
      </w:r>
      <w:r w:rsidR="008979A4" w:rsidRPr="00A9281B">
        <w:rPr>
          <w:rFonts w:asciiTheme="majorBidi" w:hAnsiTheme="majorBidi" w:cstheme="majorBidi"/>
          <w:sz w:val="22"/>
          <w:szCs w:val="22"/>
        </w:rPr>
        <w:t>student satisfaction and engagement.</w:t>
      </w:r>
      <w:r w:rsidR="00FF6A21" w:rsidRPr="00A9281B">
        <w:rPr>
          <w:rFonts w:asciiTheme="majorBidi" w:hAnsiTheme="majorBidi" w:cstheme="majorBidi"/>
          <w:sz w:val="22"/>
          <w:szCs w:val="22"/>
        </w:rPr>
        <w:t xml:space="preserve"> We need to keep in mind that overall student sat</w:t>
      </w:r>
      <w:r w:rsidR="007B18C0" w:rsidRPr="00A9281B">
        <w:rPr>
          <w:rFonts w:asciiTheme="majorBidi" w:hAnsiTheme="majorBidi" w:cstheme="majorBidi"/>
          <w:sz w:val="22"/>
          <w:szCs w:val="22"/>
        </w:rPr>
        <w:t>isfaction was high</w:t>
      </w:r>
      <w:r w:rsidR="00FF6A21" w:rsidRPr="00A9281B">
        <w:rPr>
          <w:rFonts w:asciiTheme="majorBidi" w:hAnsiTheme="majorBidi" w:cstheme="majorBidi"/>
          <w:sz w:val="22"/>
          <w:szCs w:val="22"/>
        </w:rPr>
        <w:t xml:space="preserve">, as </w:t>
      </w:r>
      <w:r w:rsidR="005130D8" w:rsidRPr="00A9281B">
        <w:rPr>
          <w:rFonts w:asciiTheme="majorBidi" w:hAnsiTheme="majorBidi" w:cstheme="majorBidi"/>
          <w:sz w:val="22"/>
          <w:szCs w:val="22"/>
        </w:rPr>
        <w:t>T</w:t>
      </w:r>
      <w:r w:rsidR="00FF6A21" w:rsidRPr="00A9281B">
        <w:rPr>
          <w:rFonts w:asciiTheme="majorBidi" w:hAnsiTheme="majorBidi" w:cstheme="majorBidi"/>
          <w:sz w:val="22"/>
          <w:szCs w:val="22"/>
        </w:rPr>
        <w:t xml:space="preserve">able </w:t>
      </w:r>
      <w:r w:rsidR="005130D8" w:rsidRPr="00A9281B">
        <w:rPr>
          <w:rFonts w:asciiTheme="majorBidi" w:hAnsiTheme="majorBidi" w:cstheme="majorBidi"/>
          <w:sz w:val="22"/>
          <w:szCs w:val="22"/>
        </w:rPr>
        <w:t>1</w:t>
      </w:r>
      <w:r w:rsidR="00FF6A21" w:rsidRPr="00A9281B">
        <w:rPr>
          <w:rFonts w:asciiTheme="majorBidi" w:hAnsiTheme="majorBidi" w:cstheme="majorBidi"/>
          <w:sz w:val="22"/>
          <w:szCs w:val="22"/>
        </w:rPr>
        <w:t xml:space="preserve"> indicates.</w:t>
      </w:r>
      <w:r w:rsidR="007D28B6" w:rsidRPr="00A9281B">
        <w:rPr>
          <w:rFonts w:asciiTheme="majorBidi" w:hAnsiTheme="majorBidi" w:cstheme="majorBidi"/>
          <w:sz w:val="22"/>
          <w:szCs w:val="22"/>
        </w:rPr>
        <w:t xml:space="preserve"> We set out to answer the following questions:</w:t>
      </w:r>
    </w:p>
    <w:p w14:paraId="5702620D" w14:textId="77777777" w:rsidR="0091311D" w:rsidRPr="00A9281B" w:rsidRDefault="0091311D" w:rsidP="0091311D">
      <w:pPr>
        <w:pStyle w:val="ListParagraph"/>
        <w:numPr>
          <w:ilvl w:val="0"/>
          <w:numId w:val="7"/>
        </w:numPr>
        <w:rPr>
          <w:rFonts w:asciiTheme="majorBidi" w:eastAsiaTheme="minorEastAsia" w:hAnsiTheme="majorBidi"/>
          <w:lang w:eastAsia="zh-CN"/>
        </w:rPr>
      </w:pPr>
      <w:r w:rsidRPr="00A9281B">
        <w:rPr>
          <w:rFonts w:asciiTheme="majorBidi" w:eastAsiaTheme="minorEastAsia" w:hAnsiTheme="majorBidi"/>
          <w:lang w:eastAsia="zh-CN"/>
        </w:rPr>
        <w:t>Is postgraduate student satisfaction a hierarchical multidimensional construct?</w:t>
      </w:r>
    </w:p>
    <w:p w14:paraId="117872A1" w14:textId="77777777" w:rsidR="0091311D" w:rsidRPr="00A9281B" w:rsidRDefault="0091311D" w:rsidP="0091311D">
      <w:pPr>
        <w:pStyle w:val="ListParagraph"/>
        <w:numPr>
          <w:ilvl w:val="0"/>
          <w:numId w:val="7"/>
        </w:numPr>
        <w:rPr>
          <w:rFonts w:asciiTheme="majorBidi" w:hAnsiTheme="majorBidi"/>
        </w:rPr>
      </w:pPr>
      <w:r w:rsidRPr="00A9281B">
        <w:rPr>
          <w:rFonts w:asciiTheme="majorBidi" w:hAnsiTheme="majorBidi"/>
        </w:rPr>
        <w:t>What proportion of the variance in satisfaction is explained by student and institutional characteristics</w:t>
      </w:r>
      <w:r w:rsidRPr="00A9281B">
        <w:rPr>
          <w:rFonts w:asciiTheme="majorBidi" w:eastAsiaTheme="minorEastAsia" w:hAnsiTheme="majorBidi"/>
          <w:lang w:eastAsia="zh-CN"/>
        </w:rPr>
        <w:t xml:space="preserve">, thereby </w:t>
      </w:r>
      <w:r w:rsidRPr="00A9281B">
        <w:rPr>
          <w:rFonts w:asciiTheme="majorBidi" w:hAnsiTheme="majorBidi"/>
        </w:rPr>
        <w:t>determin</w:t>
      </w:r>
      <w:r w:rsidRPr="00A9281B">
        <w:rPr>
          <w:rFonts w:asciiTheme="majorBidi" w:eastAsiaTheme="minorEastAsia" w:hAnsiTheme="majorBidi"/>
          <w:lang w:eastAsia="zh-CN"/>
        </w:rPr>
        <w:t>ing</w:t>
      </w:r>
      <w:r w:rsidRPr="00A9281B">
        <w:rPr>
          <w:rFonts w:asciiTheme="majorBidi" w:hAnsiTheme="majorBidi"/>
        </w:rPr>
        <w:t xml:space="preserve"> whether the PTES surveys can reliably distinguish between institutions, and between disciplines?</w:t>
      </w:r>
    </w:p>
    <w:p w14:paraId="54D23F29" w14:textId="77777777" w:rsidR="0091311D" w:rsidRPr="00A9281B" w:rsidRDefault="0091311D" w:rsidP="0091311D">
      <w:pPr>
        <w:pStyle w:val="ListParagraph"/>
        <w:numPr>
          <w:ilvl w:val="0"/>
          <w:numId w:val="7"/>
        </w:numPr>
        <w:rPr>
          <w:rFonts w:asciiTheme="majorBidi" w:hAnsiTheme="majorBidi"/>
        </w:rPr>
      </w:pPr>
      <w:r w:rsidRPr="00A9281B">
        <w:rPr>
          <w:rFonts w:asciiTheme="majorBidi" w:hAnsiTheme="majorBidi"/>
        </w:rPr>
        <w:t>What is the relationship between key student and institutional variables and satisfaction of PGT students?</w:t>
      </w:r>
    </w:p>
    <w:p w14:paraId="7837F956" w14:textId="6BC94A6F" w:rsidR="007D28B6" w:rsidRPr="00A9281B" w:rsidRDefault="0091311D" w:rsidP="0091311D">
      <w:pPr>
        <w:rPr>
          <w:rFonts w:asciiTheme="majorBidi" w:hAnsiTheme="majorBidi" w:cstheme="majorBidi"/>
          <w:sz w:val="22"/>
          <w:szCs w:val="22"/>
        </w:rPr>
      </w:pPr>
      <w:r w:rsidRPr="00A9281B">
        <w:rPr>
          <w:rFonts w:asciiTheme="majorBidi" w:eastAsiaTheme="minorEastAsia" w:hAnsiTheme="majorBidi" w:cstheme="majorBidi"/>
          <w:sz w:val="22"/>
          <w:szCs w:val="22"/>
          <w:lang w:eastAsia="zh-CN"/>
        </w:rPr>
        <w:t xml:space="preserve">In our conclusion we add a fourth: </w:t>
      </w:r>
      <w:r w:rsidR="00C2113E" w:rsidRPr="00A9281B">
        <w:rPr>
          <w:rFonts w:asciiTheme="majorBidi" w:eastAsiaTheme="minorEastAsia" w:hAnsiTheme="majorBidi" w:cstheme="majorBidi"/>
          <w:sz w:val="22"/>
          <w:szCs w:val="22"/>
          <w:lang w:eastAsia="zh-CN"/>
        </w:rPr>
        <w:t xml:space="preserve">What are the </w:t>
      </w:r>
      <w:r w:rsidR="007D28B6" w:rsidRPr="00A9281B">
        <w:rPr>
          <w:rFonts w:asciiTheme="majorBidi" w:hAnsiTheme="majorBidi" w:cstheme="majorBidi"/>
          <w:sz w:val="22"/>
          <w:szCs w:val="22"/>
        </w:rPr>
        <w:t>implications of these findings for sect</w:t>
      </w:r>
      <w:r w:rsidR="008D4395" w:rsidRPr="00A9281B">
        <w:rPr>
          <w:rFonts w:asciiTheme="majorBidi" w:hAnsiTheme="majorBidi" w:cstheme="majorBidi"/>
          <w:sz w:val="22"/>
          <w:szCs w:val="22"/>
        </w:rPr>
        <w:t>or and institutional priorities?</w:t>
      </w:r>
    </w:p>
    <w:p w14:paraId="24398188" w14:textId="77777777" w:rsidR="0091311D" w:rsidRPr="00A9281B" w:rsidRDefault="0091311D" w:rsidP="0091311D">
      <w:pPr>
        <w:rPr>
          <w:rFonts w:asciiTheme="majorBidi" w:hAnsiTheme="majorBidi" w:cstheme="majorBidi"/>
          <w:sz w:val="22"/>
          <w:szCs w:val="22"/>
        </w:rPr>
      </w:pPr>
    </w:p>
    <w:p w14:paraId="4D2B05F6" w14:textId="3E88588A" w:rsidR="0091311D" w:rsidRPr="00A9281B" w:rsidRDefault="0091311D" w:rsidP="0091311D">
      <w:pPr>
        <w:rPr>
          <w:rFonts w:asciiTheme="majorBidi" w:hAnsiTheme="majorBidi" w:cstheme="majorBidi"/>
          <w:sz w:val="22"/>
          <w:szCs w:val="22"/>
        </w:rPr>
      </w:pPr>
      <w:r w:rsidRPr="00A9281B">
        <w:rPr>
          <w:rFonts w:asciiTheme="majorBidi" w:hAnsiTheme="majorBidi" w:cstheme="majorBidi"/>
          <w:sz w:val="22"/>
          <w:szCs w:val="22"/>
        </w:rPr>
        <w:t xml:space="preserve">Firstly, in line with prior research, we find support for the multidimensional nature of the construct of student satisfaction, and for the validity of the factor structure of PTES. In addition, we find support for the notion of a hierarchical model in which the separate factors form an overarching ‘student satisfaction’ construct. </w:t>
      </w:r>
    </w:p>
    <w:p w14:paraId="744B1953" w14:textId="77777777" w:rsidR="0091311D" w:rsidRPr="00A9281B" w:rsidRDefault="0091311D" w:rsidP="0091311D">
      <w:pPr>
        <w:rPr>
          <w:rFonts w:asciiTheme="majorBidi" w:hAnsiTheme="majorBidi" w:cstheme="majorBidi"/>
          <w:sz w:val="22"/>
          <w:szCs w:val="22"/>
        </w:rPr>
      </w:pPr>
    </w:p>
    <w:p w14:paraId="1665439E" w14:textId="3409AF51" w:rsidR="007D28B6" w:rsidRPr="00A9281B" w:rsidRDefault="0091311D" w:rsidP="0091311D">
      <w:pPr>
        <w:rPr>
          <w:rFonts w:asciiTheme="majorBidi" w:hAnsiTheme="majorBidi" w:cstheme="majorBidi"/>
          <w:sz w:val="22"/>
          <w:szCs w:val="22"/>
        </w:rPr>
      </w:pPr>
      <w:r w:rsidRPr="00A9281B">
        <w:rPr>
          <w:rFonts w:asciiTheme="majorBidi" w:hAnsiTheme="majorBidi" w:cstheme="majorBidi"/>
          <w:sz w:val="22"/>
          <w:szCs w:val="22"/>
        </w:rPr>
        <w:t>Secondly, we find that t</w:t>
      </w:r>
      <w:r w:rsidR="00D451C0" w:rsidRPr="00A9281B">
        <w:rPr>
          <w:rFonts w:asciiTheme="majorBidi" w:hAnsiTheme="majorBidi" w:cstheme="majorBidi"/>
          <w:sz w:val="22"/>
          <w:szCs w:val="22"/>
        </w:rPr>
        <w:t>he overwhelming majority of variance for both PTES years is at the student level</w:t>
      </w:r>
      <w:r w:rsidR="002C227F" w:rsidRPr="00A9281B">
        <w:rPr>
          <w:rFonts w:asciiTheme="majorBidi" w:hAnsiTheme="majorBidi" w:cstheme="majorBidi"/>
          <w:sz w:val="22"/>
          <w:szCs w:val="22"/>
        </w:rPr>
        <w:t xml:space="preserve">, with at least 90% variance explained at that level for all </w:t>
      </w:r>
      <w:r w:rsidR="007F038D" w:rsidRPr="00A9281B">
        <w:rPr>
          <w:rFonts w:asciiTheme="majorBidi" w:hAnsiTheme="majorBidi" w:cstheme="majorBidi"/>
          <w:sz w:val="22"/>
          <w:szCs w:val="22"/>
        </w:rPr>
        <w:t>sub-scales and overall scores. The rest of the variance was at discipline and institutional level, with the latter being the smallest.</w:t>
      </w:r>
      <w:r w:rsidR="00F1240C" w:rsidRPr="00A9281B">
        <w:rPr>
          <w:rFonts w:asciiTheme="majorBidi" w:hAnsiTheme="majorBidi" w:cstheme="majorBidi"/>
          <w:sz w:val="22"/>
          <w:szCs w:val="22"/>
        </w:rPr>
        <w:t xml:space="preserve"> </w:t>
      </w:r>
      <w:r w:rsidR="00883CA3" w:rsidRPr="00A9281B">
        <w:rPr>
          <w:rFonts w:asciiTheme="majorBidi" w:eastAsiaTheme="minorEastAsia" w:hAnsiTheme="majorBidi" w:cstheme="majorBidi"/>
          <w:sz w:val="22"/>
          <w:szCs w:val="22"/>
          <w:lang w:eastAsia="zh-CN"/>
        </w:rPr>
        <w:t xml:space="preserve">From both sets of PTES data we can </w:t>
      </w:r>
      <w:r w:rsidR="007B18C0" w:rsidRPr="00A9281B">
        <w:rPr>
          <w:rFonts w:asciiTheme="majorBidi" w:eastAsiaTheme="minorEastAsia" w:hAnsiTheme="majorBidi" w:cstheme="majorBidi"/>
          <w:sz w:val="22"/>
          <w:szCs w:val="22"/>
          <w:lang w:eastAsia="zh-CN"/>
        </w:rPr>
        <w:t xml:space="preserve">therefore </w:t>
      </w:r>
      <w:r w:rsidR="00883CA3" w:rsidRPr="00A9281B">
        <w:rPr>
          <w:rFonts w:asciiTheme="majorBidi" w:eastAsiaTheme="minorEastAsia" w:hAnsiTheme="majorBidi" w:cstheme="majorBidi"/>
          <w:sz w:val="22"/>
          <w:szCs w:val="22"/>
          <w:lang w:eastAsia="zh-CN"/>
        </w:rPr>
        <w:t xml:space="preserve">conclude that it is not </w:t>
      </w:r>
      <w:r w:rsidR="00B97818" w:rsidRPr="00A9281B">
        <w:rPr>
          <w:rFonts w:asciiTheme="majorBidi" w:eastAsiaTheme="minorEastAsia" w:hAnsiTheme="majorBidi" w:cstheme="majorBidi"/>
          <w:sz w:val="22"/>
          <w:szCs w:val="22"/>
          <w:lang w:eastAsia="zh-CN"/>
        </w:rPr>
        <w:t>possible to</w:t>
      </w:r>
      <w:r w:rsidR="00B469DE" w:rsidRPr="00A9281B">
        <w:rPr>
          <w:rFonts w:asciiTheme="majorBidi" w:hAnsiTheme="majorBidi" w:cstheme="majorBidi"/>
          <w:sz w:val="22"/>
          <w:szCs w:val="22"/>
        </w:rPr>
        <w:t xml:space="preserve"> reliably d</w:t>
      </w:r>
      <w:r w:rsidR="007B18C0" w:rsidRPr="00A9281B">
        <w:rPr>
          <w:rFonts w:asciiTheme="majorBidi" w:hAnsiTheme="majorBidi" w:cstheme="majorBidi"/>
          <w:sz w:val="22"/>
          <w:szCs w:val="22"/>
        </w:rPr>
        <w:t>istinguish between institutions</w:t>
      </w:r>
      <w:r w:rsidR="00B469DE" w:rsidRPr="00A9281B">
        <w:rPr>
          <w:rFonts w:asciiTheme="majorBidi" w:hAnsiTheme="majorBidi" w:cstheme="majorBidi"/>
          <w:sz w:val="22"/>
          <w:szCs w:val="22"/>
        </w:rPr>
        <w:t xml:space="preserve"> and between disciplines</w:t>
      </w:r>
      <w:r w:rsidR="00B97818" w:rsidRPr="00A9281B">
        <w:rPr>
          <w:rFonts w:asciiTheme="majorBidi" w:hAnsiTheme="majorBidi" w:cstheme="majorBidi"/>
          <w:sz w:val="22"/>
          <w:szCs w:val="22"/>
        </w:rPr>
        <w:t>, as the differences between students far exceed the differences between disciplines and institutions.</w:t>
      </w:r>
      <w:r w:rsidR="0020249B" w:rsidRPr="00A9281B">
        <w:rPr>
          <w:rFonts w:asciiTheme="majorBidi" w:hAnsiTheme="majorBidi" w:cstheme="majorBidi"/>
          <w:sz w:val="22"/>
          <w:szCs w:val="22"/>
        </w:rPr>
        <w:t xml:space="preserve"> This result confirms the </w:t>
      </w:r>
      <w:r w:rsidR="00405287" w:rsidRPr="00A9281B">
        <w:rPr>
          <w:rFonts w:asciiTheme="majorBidi" w:hAnsiTheme="majorBidi" w:cstheme="majorBidi"/>
          <w:sz w:val="22"/>
          <w:szCs w:val="22"/>
        </w:rPr>
        <w:t>conclusions by Cheng and Marsh (</w:t>
      </w:r>
      <w:r w:rsidR="00FF32C8" w:rsidRPr="00A9281B">
        <w:rPr>
          <w:rFonts w:asciiTheme="majorBidi" w:hAnsiTheme="majorBidi" w:cstheme="majorBidi"/>
          <w:sz w:val="22"/>
          <w:szCs w:val="22"/>
        </w:rPr>
        <w:t xml:space="preserve">2010) with </w:t>
      </w:r>
      <w:r w:rsidR="0052133A" w:rsidRPr="00A9281B">
        <w:rPr>
          <w:rFonts w:asciiTheme="majorBidi" w:hAnsiTheme="majorBidi" w:cstheme="majorBidi"/>
          <w:sz w:val="22"/>
          <w:szCs w:val="22"/>
        </w:rPr>
        <w:t xml:space="preserve">NSS data, where there also was a substantial lack of agreement </w:t>
      </w:r>
      <w:r w:rsidR="00805834" w:rsidRPr="00A9281B">
        <w:rPr>
          <w:rFonts w:asciiTheme="majorBidi" w:hAnsiTheme="majorBidi" w:cstheme="majorBidi"/>
          <w:sz w:val="22"/>
          <w:szCs w:val="22"/>
        </w:rPr>
        <w:t>among students within each university</w:t>
      </w:r>
      <w:r w:rsidR="0018382F" w:rsidRPr="00A9281B">
        <w:rPr>
          <w:rFonts w:asciiTheme="majorBidi" w:hAnsiTheme="majorBidi" w:cstheme="majorBidi"/>
          <w:sz w:val="22"/>
          <w:szCs w:val="22"/>
        </w:rPr>
        <w:t xml:space="preserve"> in terms of satisfaction </w:t>
      </w:r>
      <w:r w:rsidR="0059797C" w:rsidRPr="00A9281B">
        <w:rPr>
          <w:rFonts w:asciiTheme="majorBidi" w:hAnsiTheme="majorBidi" w:cstheme="majorBidi"/>
          <w:sz w:val="22"/>
          <w:szCs w:val="22"/>
        </w:rPr>
        <w:t>with their educational experience.</w:t>
      </w:r>
    </w:p>
    <w:p w14:paraId="78F88784" w14:textId="77777777" w:rsidR="0091311D" w:rsidRPr="00A9281B" w:rsidRDefault="0091311D" w:rsidP="0091311D">
      <w:pPr>
        <w:rPr>
          <w:rFonts w:asciiTheme="majorBidi" w:hAnsiTheme="majorBidi" w:cstheme="majorBidi"/>
          <w:sz w:val="22"/>
          <w:szCs w:val="22"/>
        </w:rPr>
      </w:pPr>
    </w:p>
    <w:p w14:paraId="5D76F20D" w14:textId="735A829A" w:rsidR="0059797C" w:rsidRPr="00A9281B" w:rsidRDefault="0059797C" w:rsidP="005130D8">
      <w:pPr>
        <w:rPr>
          <w:rFonts w:asciiTheme="majorBidi" w:hAnsiTheme="majorBidi" w:cstheme="majorBidi"/>
          <w:sz w:val="22"/>
          <w:szCs w:val="22"/>
        </w:rPr>
      </w:pPr>
      <w:r w:rsidRPr="00A9281B">
        <w:rPr>
          <w:rFonts w:asciiTheme="majorBidi" w:hAnsiTheme="majorBidi" w:cstheme="majorBidi"/>
          <w:sz w:val="22"/>
          <w:szCs w:val="22"/>
        </w:rPr>
        <w:t xml:space="preserve">We then turned to possible predictors of </w:t>
      </w:r>
      <w:r w:rsidR="00E717AF" w:rsidRPr="00A9281B">
        <w:rPr>
          <w:rFonts w:asciiTheme="majorBidi" w:hAnsiTheme="majorBidi" w:cstheme="majorBidi"/>
          <w:sz w:val="22"/>
          <w:szCs w:val="22"/>
        </w:rPr>
        <w:t>this student satisfaction.</w:t>
      </w:r>
      <w:r w:rsidR="001524B9" w:rsidRPr="00A9281B">
        <w:rPr>
          <w:rFonts w:asciiTheme="majorBidi" w:hAnsiTheme="majorBidi" w:cstheme="majorBidi"/>
          <w:sz w:val="22"/>
          <w:szCs w:val="22"/>
        </w:rPr>
        <w:t xml:space="preserve"> Tables </w:t>
      </w:r>
      <w:r w:rsidR="005130D8" w:rsidRPr="00A9281B">
        <w:rPr>
          <w:rFonts w:asciiTheme="majorBidi" w:hAnsiTheme="majorBidi" w:cstheme="majorBidi"/>
          <w:sz w:val="22"/>
          <w:szCs w:val="22"/>
        </w:rPr>
        <w:t>7</w:t>
      </w:r>
      <w:r w:rsidR="001524B9" w:rsidRPr="00A9281B">
        <w:rPr>
          <w:rFonts w:asciiTheme="majorBidi" w:hAnsiTheme="majorBidi" w:cstheme="majorBidi"/>
          <w:sz w:val="22"/>
          <w:szCs w:val="22"/>
        </w:rPr>
        <w:t xml:space="preserve"> and </w:t>
      </w:r>
      <w:r w:rsidR="005130D8" w:rsidRPr="00A9281B">
        <w:rPr>
          <w:rFonts w:asciiTheme="majorBidi" w:hAnsiTheme="majorBidi" w:cstheme="majorBidi"/>
          <w:sz w:val="22"/>
          <w:szCs w:val="22"/>
        </w:rPr>
        <w:t>8</w:t>
      </w:r>
      <w:r w:rsidR="001524B9" w:rsidRPr="00A9281B">
        <w:rPr>
          <w:rFonts w:asciiTheme="majorBidi" w:hAnsiTheme="majorBidi" w:cstheme="majorBidi"/>
          <w:sz w:val="22"/>
          <w:szCs w:val="22"/>
        </w:rPr>
        <w:t xml:space="preserve"> showed the model building process for overall student satisfaction as dependent variable, and Table </w:t>
      </w:r>
      <w:r w:rsidR="005130D8" w:rsidRPr="00A9281B">
        <w:rPr>
          <w:rFonts w:asciiTheme="majorBidi" w:hAnsiTheme="majorBidi" w:cstheme="majorBidi"/>
          <w:sz w:val="22"/>
          <w:szCs w:val="22"/>
        </w:rPr>
        <w:t>9</w:t>
      </w:r>
      <w:r w:rsidR="001524B9" w:rsidRPr="00A9281B">
        <w:rPr>
          <w:rFonts w:asciiTheme="majorBidi" w:hAnsiTheme="majorBidi" w:cstheme="majorBidi"/>
          <w:sz w:val="22"/>
          <w:szCs w:val="22"/>
        </w:rPr>
        <w:t xml:space="preserve"> showed the direction of all </w:t>
      </w:r>
      <w:r w:rsidR="003C4404" w:rsidRPr="00A9281B">
        <w:rPr>
          <w:rFonts w:asciiTheme="majorBidi" w:hAnsiTheme="majorBidi" w:cstheme="majorBidi"/>
          <w:sz w:val="22"/>
          <w:szCs w:val="22"/>
        </w:rPr>
        <w:t>significant predictors for all the scales for both editions of the PTES survey.</w:t>
      </w:r>
      <w:r w:rsidR="00BE513B" w:rsidRPr="00A9281B">
        <w:rPr>
          <w:rFonts w:asciiTheme="majorBidi" w:hAnsiTheme="majorBidi" w:cstheme="majorBidi"/>
          <w:sz w:val="22"/>
          <w:szCs w:val="22"/>
        </w:rPr>
        <w:t xml:space="preserve"> Full results for all subsc</w:t>
      </w:r>
      <w:r w:rsidR="00B271FB" w:rsidRPr="00A9281B">
        <w:rPr>
          <w:rFonts w:asciiTheme="majorBidi" w:hAnsiTheme="majorBidi" w:cstheme="majorBidi"/>
          <w:sz w:val="22"/>
          <w:szCs w:val="22"/>
        </w:rPr>
        <w:t>ales are presented in appendix A</w:t>
      </w:r>
      <w:r w:rsidR="00BE513B" w:rsidRPr="00A9281B">
        <w:rPr>
          <w:rFonts w:asciiTheme="majorBidi" w:hAnsiTheme="majorBidi" w:cstheme="majorBidi"/>
          <w:sz w:val="22"/>
          <w:szCs w:val="22"/>
        </w:rPr>
        <w:t>.</w:t>
      </w:r>
    </w:p>
    <w:p w14:paraId="1E1C18AF" w14:textId="77777777" w:rsidR="00591EAB" w:rsidRPr="00A9281B" w:rsidRDefault="00591EAB" w:rsidP="007D28B6">
      <w:pPr>
        <w:rPr>
          <w:rFonts w:asciiTheme="majorBidi" w:hAnsiTheme="majorBidi" w:cstheme="majorBidi"/>
          <w:sz w:val="22"/>
          <w:szCs w:val="22"/>
        </w:rPr>
      </w:pPr>
    </w:p>
    <w:p w14:paraId="6D28305B" w14:textId="458CDAF1" w:rsidR="00591EAB" w:rsidRPr="00A9281B" w:rsidRDefault="00D81E5C" w:rsidP="00BE513B">
      <w:pPr>
        <w:rPr>
          <w:rFonts w:asciiTheme="majorBidi" w:hAnsiTheme="majorBidi" w:cstheme="majorBidi"/>
          <w:sz w:val="22"/>
          <w:szCs w:val="22"/>
        </w:rPr>
      </w:pPr>
      <w:r w:rsidRPr="00A9281B">
        <w:rPr>
          <w:rFonts w:asciiTheme="majorBidi" w:hAnsiTheme="majorBidi" w:cstheme="majorBidi"/>
          <w:sz w:val="22"/>
          <w:szCs w:val="22"/>
        </w:rPr>
        <w:t xml:space="preserve">For the 2014 </w:t>
      </w:r>
      <w:r w:rsidR="0091311D" w:rsidRPr="00A9281B">
        <w:rPr>
          <w:rFonts w:asciiTheme="majorBidi" w:hAnsiTheme="majorBidi" w:cstheme="majorBidi"/>
          <w:sz w:val="22"/>
          <w:szCs w:val="22"/>
        </w:rPr>
        <w:t>PTES</w:t>
      </w:r>
      <w:r w:rsidRPr="00A9281B">
        <w:rPr>
          <w:rFonts w:asciiTheme="majorBidi" w:hAnsiTheme="majorBidi" w:cstheme="majorBidi"/>
          <w:sz w:val="22"/>
          <w:szCs w:val="22"/>
        </w:rPr>
        <w:t xml:space="preserve">, </w:t>
      </w:r>
      <w:r w:rsidR="007C1795" w:rsidRPr="00A9281B">
        <w:rPr>
          <w:rFonts w:asciiTheme="majorBidi" w:hAnsiTheme="majorBidi" w:cstheme="majorBidi"/>
          <w:sz w:val="22"/>
          <w:szCs w:val="22"/>
        </w:rPr>
        <w:t>student characteristics explain 6.6% of total variance</w:t>
      </w:r>
      <w:r w:rsidR="00BE513B" w:rsidRPr="00A9281B">
        <w:rPr>
          <w:rFonts w:asciiTheme="majorBidi" w:hAnsiTheme="majorBidi" w:cstheme="majorBidi"/>
          <w:sz w:val="22"/>
          <w:szCs w:val="22"/>
        </w:rPr>
        <w:t xml:space="preserve"> in overall student satisfaction</w:t>
      </w:r>
      <w:r w:rsidR="007C1795" w:rsidRPr="00A9281B">
        <w:rPr>
          <w:rFonts w:asciiTheme="majorBidi" w:hAnsiTheme="majorBidi" w:cstheme="majorBidi"/>
          <w:sz w:val="22"/>
          <w:szCs w:val="22"/>
        </w:rPr>
        <w:t>.  Students without a disability, BME students and part time students are more positive, while females are less positive. Students from Africa and Asia are more positive than the UK reference group on resources and services, while those from Europe, the Middle East and America are less positive. The oldest student group are more positive, while those between 26 and 30 are slightly less positive than their younger peers.</w:t>
      </w:r>
      <w:r w:rsidRPr="00A9281B">
        <w:rPr>
          <w:rFonts w:asciiTheme="majorBidi" w:hAnsiTheme="majorBidi" w:cstheme="majorBidi"/>
          <w:sz w:val="22"/>
          <w:szCs w:val="22"/>
        </w:rPr>
        <w:t xml:space="preserve"> For 2015</w:t>
      </w:r>
      <w:r w:rsidR="00111741" w:rsidRPr="00A9281B">
        <w:rPr>
          <w:rFonts w:asciiTheme="majorBidi" w:hAnsiTheme="majorBidi" w:cstheme="majorBidi"/>
          <w:sz w:val="22"/>
          <w:szCs w:val="22"/>
        </w:rPr>
        <w:t xml:space="preserve">, </w:t>
      </w:r>
      <w:r w:rsidR="00591EAB" w:rsidRPr="00A9281B">
        <w:rPr>
          <w:rFonts w:asciiTheme="majorBidi" w:hAnsiTheme="majorBidi" w:cstheme="majorBidi"/>
          <w:sz w:val="22"/>
          <w:szCs w:val="22"/>
        </w:rPr>
        <w:t xml:space="preserve">institutional variables explained a third of variance at the HEI level, which however represents only 0.5% of the total variance. There were two significant predictors: students at Small and Specialist Universities and students at London universities expressed lower levels of satisfaction. The individual level variables explained 3.4% of total variance. Older, part-time, BME and non-disabled students expressed significantly greater levels of satisfaction, as did students from Africa and Asia. Females and students from other EU countries, Australasia and North America show lower levels of satisfaction compared to their respective reference groups. </w:t>
      </w:r>
    </w:p>
    <w:p w14:paraId="386D632C" w14:textId="77777777" w:rsidR="00D7637B" w:rsidRPr="00A9281B" w:rsidRDefault="00D7637B" w:rsidP="00591EAB">
      <w:pPr>
        <w:rPr>
          <w:rFonts w:asciiTheme="majorBidi" w:hAnsiTheme="majorBidi" w:cstheme="majorBidi"/>
          <w:sz w:val="22"/>
          <w:szCs w:val="22"/>
        </w:rPr>
      </w:pPr>
    </w:p>
    <w:p w14:paraId="0C01D48D" w14:textId="1F51D16A" w:rsidR="00591EAB" w:rsidRPr="00A9281B" w:rsidRDefault="00D7637B" w:rsidP="007D28B6">
      <w:pPr>
        <w:rPr>
          <w:rFonts w:asciiTheme="majorBidi" w:hAnsiTheme="majorBidi" w:cstheme="majorBidi"/>
          <w:sz w:val="22"/>
          <w:szCs w:val="22"/>
        </w:rPr>
      </w:pPr>
      <w:r w:rsidRPr="00A9281B">
        <w:rPr>
          <w:rFonts w:asciiTheme="majorBidi" w:hAnsiTheme="majorBidi" w:cstheme="majorBidi"/>
          <w:sz w:val="22"/>
          <w:szCs w:val="22"/>
        </w:rPr>
        <w:t xml:space="preserve">There was overlap in both years’ significant predictors. </w:t>
      </w:r>
      <w:r w:rsidR="001F628D" w:rsidRPr="00A9281B">
        <w:rPr>
          <w:rFonts w:asciiTheme="majorBidi" w:hAnsiTheme="majorBidi" w:cstheme="majorBidi"/>
          <w:sz w:val="22"/>
          <w:szCs w:val="22"/>
        </w:rPr>
        <w:t>If we only look at significant predictors for both years</w:t>
      </w:r>
      <w:r w:rsidR="003F2345" w:rsidRPr="00A9281B">
        <w:rPr>
          <w:rFonts w:asciiTheme="majorBidi" w:hAnsiTheme="majorBidi" w:cstheme="majorBidi"/>
          <w:sz w:val="22"/>
          <w:szCs w:val="22"/>
        </w:rPr>
        <w:t xml:space="preserve">’ overall </w:t>
      </w:r>
      <w:r w:rsidR="00F73277" w:rsidRPr="00A9281B">
        <w:rPr>
          <w:rFonts w:asciiTheme="majorBidi" w:hAnsiTheme="majorBidi" w:cstheme="majorBidi"/>
          <w:sz w:val="22"/>
          <w:szCs w:val="22"/>
        </w:rPr>
        <w:t xml:space="preserve">PGT </w:t>
      </w:r>
      <w:r w:rsidR="003F2345" w:rsidRPr="00A9281B">
        <w:rPr>
          <w:rFonts w:asciiTheme="majorBidi" w:hAnsiTheme="majorBidi" w:cstheme="majorBidi"/>
          <w:sz w:val="22"/>
          <w:szCs w:val="22"/>
        </w:rPr>
        <w:t>student satisfaction</w:t>
      </w:r>
      <w:r w:rsidR="001F628D" w:rsidRPr="00A9281B">
        <w:rPr>
          <w:rFonts w:asciiTheme="majorBidi" w:hAnsiTheme="majorBidi" w:cstheme="majorBidi"/>
          <w:sz w:val="22"/>
          <w:szCs w:val="22"/>
        </w:rPr>
        <w:t xml:space="preserve">, </w:t>
      </w:r>
      <w:r w:rsidR="003F2345" w:rsidRPr="00A9281B">
        <w:rPr>
          <w:rFonts w:asciiTheme="majorBidi" w:hAnsiTheme="majorBidi" w:cstheme="majorBidi"/>
          <w:sz w:val="22"/>
          <w:szCs w:val="22"/>
        </w:rPr>
        <w:t xml:space="preserve">we can see that positive predictors are: </w:t>
      </w:r>
      <w:r w:rsidR="00F73277" w:rsidRPr="00A9281B">
        <w:rPr>
          <w:rFonts w:asciiTheme="majorBidi" w:hAnsiTheme="majorBidi" w:cstheme="majorBidi"/>
          <w:sz w:val="22"/>
          <w:szCs w:val="22"/>
        </w:rPr>
        <w:t>being a part-time student, coming from Asia or Africa, being a BME student, having no disability</w:t>
      </w:r>
      <w:r w:rsidR="002D09BC" w:rsidRPr="00A9281B">
        <w:rPr>
          <w:rFonts w:asciiTheme="majorBidi" w:hAnsiTheme="majorBidi" w:cstheme="majorBidi"/>
          <w:sz w:val="22"/>
          <w:szCs w:val="22"/>
        </w:rPr>
        <w:t>, and being older than 46 years old. More negative predictors are: Coming from N</w:t>
      </w:r>
      <w:r w:rsidR="006666A8" w:rsidRPr="00A9281B">
        <w:rPr>
          <w:rFonts w:asciiTheme="majorBidi" w:hAnsiTheme="majorBidi" w:cstheme="majorBidi"/>
          <w:sz w:val="22"/>
          <w:szCs w:val="22"/>
        </w:rPr>
        <w:t>orth America or other EU states, and being female.</w:t>
      </w:r>
    </w:p>
    <w:p w14:paraId="47B81A67" w14:textId="77777777" w:rsidR="00BE513B" w:rsidRPr="00A9281B" w:rsidRDefault="00BE513B" w:rsidP="007D28B6">
      <w:pPr>
        <w:rPr>
          <w:rFonts w:asciiTheme="majorBidi" w:hAnsiTheme="majorBidi" w:cstheme="majorBidi"/>
          <w:sz w:val="22"/>
          <w:szCs w:val="22"/>
        </w:rPr>
      </w:pPr>
    </w:p>
    <w:p w14:paraId="2B170233" w14:textId="01DB8311" w:rsidR="006431F0" w:rsidRPr="00A9281B" w:rsidRDefault="00BE513B" w:rsidP="00E254C5">
      <w:pPr>
        <w:rPr>
          <w:rFonts w:asciiTheme="majorBidi" w:hAnsiTheme="majorBidi" w:cstheme="majorBidi"/>
          <w:sz w:val="22"/>
          <w:szCs w:val="22"/>
        </w:rPr>
      </w:pPr>
      <w:r w:rsidRPr="00A9281B">
        <w:rPr>
          <w:rFonts w:asciiTheme="majorBidi" w:hAnsiTheme="majorBidi" w:cstheme="majorBidi"/>
          <w:sz w:val="22"/>
          <w:szCs w:val="22"/>
        </w:rPr>
        <w:lastRenderedPageBreak/>
        <w:t>This study therefore has important implications for policy and practise. Firstly, as also reported by Cheng &amp; Marsh (2010) in relation to NSS, there is little evidence that institution, or indeed discipline, has much impact on student satisfaction. Rather, differences between students account for the vast majority of such differences. However, it has to be noted that the student variables included in PTES, which relate primarily to demographic characteristics, also do not explain much of the variance in student satisfaction, which suggests that other individual charac</w:t>
      </w:r>
      <w:r w:rsidR="00BF7308" w:rsidRPr="00A9281B">
        <w:rPr>
          <w:rFonts w:asciiTheme="majorBidi" w:hAnsiTheme="majorBidi" w:cstheme="majorBidi"/>
          <w:sz w:val="22"/>
          <w:szCs w:val="22"/>
        </w:rPr>
        <w:t xml:space="preserve">teristics may be more relevant. </w:t>
      </w:r>
      <w:r w:rsidR="007B7B34" w:rsidRPr="00A9281B">
        <w:rPr>
          <w:rFonts w:asciiTheme="majorBidi" w:hAnsiTheme="majorBidi" w:cstheme="majorBidi"/>
          <w:sz w:val="22"/>
          <w:szCs w:val="22"/>
        </w:rPr>
        <w:t xml:space="preserve">For example, there were no variables relating to prior attainment or SES in the datasets. </w:t>
      </w:r>
      <w:r w:rsidR="00BF7308" w:rsidRPr="00A9281B">
        <w:rPr>
          <w:rFonts w:asciiTheme="majorBidi" w:hAnsiTheme="majorBidi" w:cstheme="majorBidi"/>
          <w:sz w:val="22"/>
          <w:szCs w:val="22"/>
        </w:rPr>
        <w:t xml:space="preserve">Some results are noteworthy, however. Thus it appears that students from outside the UK but that are also in rich Western constructs (US, EU) show lower levels of satisfaction, while those from more different contexts in terms of culture and resources, in particular Asia and Africa, show higher levels of satisfaction, perhaps pointing to differential </w:t>
      </w:r>
      <w:r w:rsidR="006431F0" w:rsidRPr="00A9281B">
        <w:rPr>
          <w:rFonts w:asciiTheme="majorBidi" w:hAnsiTheme="majorBidi" w:cstheme="majorBidi"/>
          <w:sz w:val="22"/>
          <w:szCs w:val="22"/>
        </w:rPr>
        <w:t>prior</w:t>
      </w:r>
      <w:r w:rsidR="00BF7308" w:rsidRPr="00A9281B">
        <w:rPr>
          <w:rFonts w:asciiTheme="majorBidi" w:hAnsiTheme="majorBidi" w:cstheme="majorBidi"/>
          <w:sz w:val="22"/>
          <w:szCs w:val="22"/>
        </w:rPr>
        <w:t xml:space="preserve"> </w:t>
      </w:r>
      <w:r w:rsidR="006431F0" w:rsidRPr="00A9281B">
        <w:rPr>
          <w:rFonts w:asciiTheme="majorBidi" w:hAnsiTheme="majorBidi" w:cstheme="majorBidi"/>
          <w:sz w:val="22"/>
          <w:szCs w:val="22"/>
        </w:rPr>
        <w:t>experiences</w:t>
      </w:r>
      <w:r w:rsidR="00BF7308" w:rsidRPr="00A9281B">
        <w:rPr>
          <w:rFonts w:asciiTheme="majorBidi" w:hAnsiTheme="majorBidi" w:cstheme="majorBidi"/>
          <w:sz w:val="22"/>
          <w:szCs w:val="22"/>
        </w:rPr>
        <w:t xml:space="preserve"> of HE leading to differential </w:t>
      </w:r>
      <w:r w:rsidR="006431F0" w:rsidRPr="00A9281B">
        <w:rPr>
          <w:rFonts w:asciiTheme="majorBidi" w:hAnsiTheme="majorBidi" w:cstheme="majorBidi"/>
          <w:sz w:val="22"/>
          <w:szCs w:val="22"/>
        </w:rPr>
        <w:t>expectations</w:t>
      </w:r>
      <w:r w:rsidR="00BF7308" w:rsidRPr="00A9281B">
        <w:rPr>
          <w:rFonts w:asciiTheme="majorBidi" w:hAnsiTheme="majorBidi" w:cstheme="majorBidi"/>
          <w:sz w:val="22"/>
          <w:szCs w:val="22"/>
        </w:rPr>
        <w:t xml:space="preserve"> of PGT study. </w:t>
      </w:r>
      <w:r w:rsidR="006431F0" w:rsidRPr="00A9281B">
        <w:rPr>
          <w:rFonts w:asciiTheme="majorBidi" w:hAnsiTheme="majorBidi" w:cstheme="majorBidi"/>
          <w:sz w:val="22"/>
          <w:szCs w:val="22"/>
        </w:rPr>
        <w:t xml:space="preserve">The result with regard to BME is surprising </w:t>
      </w:r>
      <w:r w:rsidR="00174F2C" w:rsidRPr="00A9281B">
        <w:rPr>
          <w:rFonts w:asciiTheme="majorBidi" w:hAnsiTheme="majorBidi" w:cstheme="majorBidi"/>
          <w:sz w:val="22"/>
          <w:szCs w:val="22"/>
        </w:rPr>
        <w:t>given recent studies (Boliver, 2015</w:t>
      </w:r>
      <w:r w:rsidR="006431F0" w:rsidRPr="00A9281B">
        <w:rPr>
          <w:rFonts w:asciiTheme="majorBidi" w:hAnsiTheme="majorBidi" w:cstheme="majorBidi"/>
          <w:sz w:val="22"/>
          <w:szCs w:val="22"/>
        </w:rPr>
        <w:t>) that indicate that BME students might be disadvantaged. This might be explained by the fact that BME is one big ‘container’ category. Results from other HEA surveys seem to indicate that within the category meaningful distinction might be made between sub-categories of BME (</w:t>
      </w:r>
      <w:r w:rsidR="00E254C5" w:rsidRPr="00A9281B">
        <w:rPr>
          <w:rFonts w:asciiTheme="majorBidi" w:hAnsiTheme="majorBidi" w:cstheme="majorBidi"/>
          <w:sz w:val="22"/>
          <w:szCs w:val="22"/>
        </w:rPr>
        <w:t>Author</w:t>
      </w:r>
      <w:r w:rsidR="006431F0" w:rsidRPr="00A9281B">
        <w:rPr>
          <w:rFonts w:asciiTheme="majorBidi" w:hAnsiTheme="majorBidi" w:cstheme="majorBidi"/>
          <w:sz w:val="22"/>
          <w:szCs w:val="22"/>
        </w:rPr>
        <w:t xml:space="preserve">). However, the large sample sizes and low effect sizes should lead us to exercise caution when drawing conclusions from these findings, which brings us to the limitations of the study.  </w:t>
      </w:r>
    </w:p>
    <w:p w14:paraId="77C488AC" w14:textId="77777777" w:rsidR="006431F0" w:rsidRPr="00A9281B" w:rsidRDefault="006431F0" w:rsidP="006431F0">
      <w:pPr>
        <w:rPr>
          <w:rFonts w:asciiTheme="majorBidi" w:hAnsiTheme="majorBidi" w:cstheme="majorBidi"/>
          <w:sz w:val="22"/>
          <w:szCs w:val="22"/>
        </w:rPr>
      </w:pPr>
    </w:p>
    <w:p w14:paraId="53D38233" w14:textId="6233C88D" w:rsidR="006431F0" w:rsidRPr="00A9281B" w:rsidRDefault="006431F0" w:rsidP="006431F0">
      <w:pPr>
        <w:rPr>
          <w:rFonts w:asciiTheme="majorBidi" w:eastAsiaTheme="minorEastAsia" w:hAnsiTheme="majorBidi" w:cstheme="majorBidi"/>
          <w:sz w:val="22"/>
          <w:szCs w:val="22"/>
          <w:lang w:eastAsia="zh-CN"/>
        </w:rPr>
      </w:pPr>
      <w:r w:rsidRPr="00A9281B">
        <w:rPr>
          <w:rFonts w:asciiTheme="majorBidi" w:hAnsiTheme="majorBidi" w:cstheme="majorBidi"/>
          <w:sz w:val="22"/>
          <w:szCs w:val="22"/>
        </w:rPr>
        <w:t xml:space="preserve">As mentioned above, </w:t>
      </w:r>
      <w:r w:rsidR="007B7B34" w:rsidRPr="00A9281B">
        <w:rPr>
          <w:rFonts w:asciiTheme="majorBidi" w:hAnsiTheme="majorBidi" w:cstheme="majorBidi"/>
          <w:sz w:val="22"/>
          <w:szCs w:val="22"/>
        </w:rPr>
        <w:t xml:space="preserve">due to </w:t>
      </w:r>
      <w:r w:rsidRPr="00A9281B">
        <w:rPr>
          <w:rFonts w:asciiTheme="majorBidi" w:hAnsiTheme="majorBidi" w:cstheme="majorBidi"/>
          <w:sz w:val="22"/>
          <w:szCs w:val="22"/>
        </w:rPr>
        <w:t xml:space="preserve">the large sample size for the datasets involved, many of the results are statistically significant even where observed differences are very small. It should be noted that the surveys in this report do not use a random sample but adopt a census approach which attempts to survey every student in the relevant population. However, this means that, like many surveys (even those which attempt a random sample) the resulting data is vulnerable to non-response bias which is not accounted for in statistical significance testing. </w:t>
      </w:r>
      <w:r w:rsidRPr="00A9281B">
        <w:rPr>
          <w:rFonts w:asciiTheme="majorBidi" w:eastAsiaTheme="minorEastAsia" w:hAnsiTheme="majorBidi" w:cstheme="majorBidi"/>
          <w:sz w:val="22"/>
          <w:szCs w:val="22"/>
          <w:lang w:eastAsia="zh-CN"/>
        </w:rPr>
        <w:t xml:space="preserve">This also is the case for any missing data. In </w:t>
      </w:r>
      <w:r w:rsidRPr="00A9281B">
        <w:rPr>
          <w:rFonts w:asciiTheme="majorBidi" w:hAnsiTheme="majorBidi" w:cstheme="majorBidi"/>
          <w:sz w:val="22"/>
          <w:szCs w:val="22"/>
        </w:rPr>
        <w:t>addition, deriving continuous variables (scales) from categorical Likert scales is not without controversy given that the ‘distance’ between categories (such as ‘definitely agree’, ‘mostly agree’ and ‘neither agree nor disagree’) cannot be assumed to be the same. Finally, some categories will necessarily concern low numbers (e.g. disabled students).</w:t>
      </w:r>
      <w:r w:rsidRPr="00A9281B">
        <w:rPr>
          <w:rFonts w:asciiTheme="majorBidi" w:eastAsiaTheme="minorEastAsia" w:hAnsiTheme="majorBidi" w:cstheme="majorBidi"/>
          <w:sz w:val="22"/>
          <w:szCs w:val="22"/>
          <w:lang w:eastAsia="zh-CN"/>
        </w:rPr>
        <w:t xml:space="preserve"> It is therefore advisable to remain critical about coefficients for groups with low membership.</w:t>
      </w:r>
    </w:p>
    <w:p w14:paraId="1D7E84E6" w14:textId="77777777" w:rsidR="006431F0" w:rsidRPr="00A9281B" w:rsidRDefault="006431F0" w:rsidP="006431F0">
      <w:pPr>
        <w:rPr>
          <w:rFonts w:asciiTheme="majorBidi" w:eastAsiaTheme="minorEastAsia" w:hAnsiTheme="majorBidi" w:cstheme="majorBidi"/>
          <w:sz w:val="22"/>
          <w:szCs w:val="22"/>
          <w:lang w:eastAsia="zh-CN"/>
        </w:rPr>
      </w:pPr>
    </w:p>
    <w:p w14:paraId="03E89506" w14:textId="5AA65827" w:rsidR="006431F0" w:rsidRPr="00A9281B" w:rsidRDefault="006431F0" w:rsidP="00802A09">
      <w:pPr>
        <w:rPr>
          <w:rFonts w:asciiTheme="majorBidi" w:hAnsiTheme="majorBidi" w:cstheme="majorBidi"/>
          <w:sz w:val="22"/>
          <w:szCs w:val="22"/>
        </w:rPr>
      </w:pPr>
      <w:r w:rsidRPr="00A9281B">
        <w:rPr>
          <w:rFonts w:asciiTheme="majorBidi" w:eastAsiaTheme="minorEastAsia" w:hAnsiTheme="majorBidi" w:cstheme="majorBidi"/>
          <w:sz w:val="22"/>
          <w:szCs w:val="22"/>
          <w:lang w:eastAsia="zh-CN"/>
        </w:rPr>
        <w:t xml:space="preserve">Notwithstanding these limitations, </w:t>
      </w:r>
      <w:r w:rsidRPr="00A9281B">
        <w:rPr>
          <w:rFonts w:asciiTheme="majorBidi" w:hAnsiTheme="majorBidi" w:cstheme="majorBidi"/>
          <w:sz w:val="22"/>
          <w:szCs w:val="22"/>
        </w:rPr>
        <w:t>some key implications do arise for both research and practise, however. The first is that PTES appears to be a suitably valid measure of different dimensions of student satisfaction in terms of its dimensionality and content. What is not known from these analyses is the extent to which there is any predictor</w:t>
      </w:r>
      <w:r w:rsidR="007B7B34" w:rsidRPr="00A9281B">
        <w:rPr>
          <w:rFonts w:asciiTheme="majorBidi" w:hAnsiTheme="majorBidi" w:cstheme="majorBidi"/>
          <w:sz w:val="22"/>
          <w:szCs w:val="22"/>
        </w:rPr>
        <w:t>y</w:t>
      </w:r>
      <w:r w:rsidRPr="00A9281B">
        <w:rPr>
          <w:rFonts w:asciiTheme="majorBidi" w:hAnsiTheme="majorBidi" w:cstheme="majorBidi"/>
          <w:sz w:val="22"/>
          <w:szCs w:val="22"/>
        </w:rPr>
        <w:t xml:space="preserve"> relationship with student learning, a facet that extant literature on student satisfaction does not clarify further but that is clearly a key question in light of the importance with which such indicators are treated. This is by no means a given, and there are some indicators that the relationship may be highly problematic. Cho, Baek and Cho (2015), for example, find that students with good grades tend to highly rate the teaching quality of their instructors, in comparison with those who receive relatively poor grades. </w:t>
      </w:r>
      <w:r w:rsidR="007217FF" w:rsidRPr="00A9281B">
        <w:rPr>
          <w:rFonts w:asciiTheme="majorBidi" w:hAnsiTheme="majorBidi" w:cstheme="majorBidi"/>
          <w:sz w:val="22"/>
          <w:szCs w:val="22"/>
        </w:rPr>
        <w:t xml:space="preserve">They interpret this finding as a ‘psychological gift’ from students to their instructors, rather than as reflecting instructor performance. </w:t>
      </w:r>
      <w:r w:rsidRPr="00A9281B">
        <w:rPr>
          <w:rFonts w:asciiTheme="majorBidi" w:hAnsiTheme="majorBidi" w:cstheme="majorBidi"/>
          <w:sz w:val="22"/>
          <w:szCs w:val="22"/>
        </w:rPr>
        <w:t>Carrell &amp; West (2010)</w:t>
      </w:r>
      <w:r w:rsidR="007217FF" w:rsidRPr="00A9281B">
        <w:rPr>
          <w:rFonts w:asciiTheme="majorBidi" w:hAnsiTheme="majorBidi" w:cstheme="majorBidi"/>
          <w:sz w:val="22"/>
          <w:szCs w:val="22"/>
        </w:rPr>
        <w:t xml:space="preserve">, similarly find that </w:t>
      </w:r>
      <w:r w:rsidRPr="00A9281B">
        <w:rPr>
          <w:rFonts w:asciiTheme="majorBidi" w:hAnsiTheme="majorBidi" w:cstheme="majorBidi"/>
          <w:sz w:val="22"/>
          <w:szCs w:val="22"/>
        </w:rPr>
        <w:t>student evaluations reward professors who increase achievement in the contemporaneous course being taught, not t</w:t>
      </w:r>
      <w:r w:rsidR="007217FF" w:rsidRPr="00A9281B">
        <w:rPr>
          <w:rFonts w:asciiTheme="majorBidi" w:hAnsiTheme="majorBidi" w:cstheme="majorBidi"/>
          <w:sz w:val="22"/>
          <w:szCs w:val="22"/>
        </w:rPr>
        <w:t>hose who increase deep learning. Braga et al (2014</w:t>
      </w:r>
      <w:r w:rsidR="00802A09" w:rsidRPr="00A9281B">
        <w:rPr>
          <w:rFonts w:asciiTheme="majorBidi" w:hAnsiTheme="majorBidi" w:cstheme="majorBidi"/>
          <w:sz w:val="22"/>
          <w:szCs w:val="22"/>
        </w:rPr>
        <w:t>, p.85</w:t>
      </w:r>
      <w:r w:rsidR="007217FF" w:rsidRPr="00A9281B">
        <w:rPr>
          <w:rFonts w:asciiTheme="majorBidi" w:hAnsiTheme="majorBidi" w:cstheme="majorBidi"/>
          <w:sz w:val="22"/>
          <w:szCs w:val="22"/>
        </w:rPr>
        <w:t xml:space="preserve">) further question the relationship, by stating that it may in some cases be negative: </w:t>
      </w:r>
      <w:r w:rsidRPr="00A9281B">
        <w:rPr>
          <w:rFonts w:asciiTheme="majorBidi" w:hAnsiTheme="majorBidi" w:cstheme="majorBidi"/>
          <w:sz w:val="22"/>
          <w:szCs w:val="22"/>
        </w:rPr>
        <w:t>“These empirical findings challenge the idea that students observe the ability of the teacher in the classroom and report it to the administration when asked in the questionnaire. A more appropriate interpretation is based on the view that good teachers are those who require their students to exert effort; students dislike it, especially the least able ones, and their evaluations reflect the utility they enjoyed from the course.”</w:t>
      </w:r>
      <w:r w:rsidR="007217FF" w:rsidRPr="00A9281B">
        <w:rPr>
          <w:rFonts w:asciiTheme="majorBidi" w:hAnsiTheme="majorBidi" w:cstheme="majorBidi"/>
          <w:sz w:val="22"/>
          <w:szCs w:val="22"/>
        </w:rPr>
        <w:t xml:space="preserve"> </w:t>
      </w:r>
      <w:r w:rsidR="00802A09" w:rsidRPr="00A9281B">
        <w:rPr>
          <w:rFonts w:asciiTheme="majorBidi" w:hAnsiTheme="majorBidi" w:cstheme="majorBidi"/>
          <w:sz w:val="22"/>
          <w:szCs w:val="22"/>
        </w:rPr>
        <w:t xml:space="preserve">Finally, Bassett, Cleveland and Acorn (2015) suggested that students’ lack of motivation and attention potentially threaten the utility of course evaluations. </w:t>
      </w:r>
      <w:r w:rsidR="007217FF" w:rsidRPr="00A9281B">
        <w:rPr>
          <w:rFonts w:asciiTheme="majorBidi" w:hAnsiTheme="majorBidi" w:cstheme="majorBidi"/>
          <w:sz w:val="22"/>
          <w:szCs w:val="22"/>
        </w:rPr>
        <w:t xml:space="preserve">If </w:t>
      </w:r>
      <w:r w:rsidR="00802A09" w:rsidRPr="00A9281B">
        <w:rPr>
          <w:rFonts w:asciiTheme="majorBidi" w:hAnsiTheme="majorBidi" w:cstheme="majorBidi"/>
          <w:sz w:val="22"/>
          <w:szCs w:val="22"/>
        </w:rPr>
        <w:t xml:space="preserve">all </w:t>
      </w:r>
      <w:r w:rsidR="007217FF" w:rsidRPr="00A9281B">
        <w:rPr>
          <w:rFonts w:asciiTheme="majorBidi" w:hAnsiTheme="majorBidi" w:cstheme="majorBidi"/>
          <w:sz w:val="22"/>
          <w:szCs w:val="22"/>
        </w:rPr>
        <w:t xml:space="preserve">this is the case, than HEI’s and policymakers need to be clear that by foregrounding student satisfaction measures they are essentially positioning students as consumers rather than as learners, a position which at the least deserves some serious societal </w:t>
      </w:r>
      <w:r w:rsidR="00A66C76" w:rsidRPr="00A9281B">
        <w:rPr>
          <w:rFonts w:asciiTheme="majorBidi" w:hAnsiTheme="majorBidi" w:cstheme="majorBidi"/>
          <w:sz w:val="22"/>
          <w:szCs w:val="22"/>
        </w:rPr>
        <w:t xml:space="preserve">and </w:t>
      </w:r>
      <w:r w:rsidR="007217FF" w:rsidRPr="00A9281B">
        <w:rPr>
          <w:rFonts w:asciiTheme="majorBidi" w:hAnsiTheme="majorBidi" w:cstheme="majorBidi"/>
          <w:sz w:val="22"/>
          <w:szCs w:val="22"/>
        </w:rPr>
        <w:t>political debate.</w:t>
      </w:r>
    </w:p>
    <w:p w14:paraId="43974975" w14:textId="77777777" w:rsidR="007217FF" w:rsidRPr="00A9281B" w:rsidRDefault="007217FF" w:rsidP="007217FF">
      <w:pPr>
        <w:rPr>
          <w:rFonts w:asciiTheme="majorBidi" w:hAnsiTheme="majorBidi" w:cstheme="majorBidi"/>
          <w:sz w:val="22"/>
          <w:szCs w:val="22"/>
        </w:rPr>
      </w:pPr>
    </w:p>
    <w:p w14:paraId="4E1BD12A" w14:textId="6BC92444" w:rsidR="006431F0" w:rsidRPr="00A9281B" w:rsidRDefault="007217FF" w:rsidP="00802A09">
      <w:pPr>
        <w:rPr>
          <w:rFonts w:asciiTheme="majorBidi" w:eastAsiaTheme="minorEastAsia" w:hAnsiTheme="majorBidi" w:cstheme="majorBidi"/>
          <w:sz w:val="22"/>
          <w:szCs w:val="22"/>
          <w:lang w:eastAsia="zh-CN"/>
        </w:rPr>
      </w:pPr>
      <w:r w:rsidRPr="00A9281B">
        <w:rPr>
          <w:rFonts w:asciiTheme="majorBidi" w:hAnsiTheme="majorBidi" w:cstheme="majorBidi"/>
          <w:sz w:val="22"/>
          <w:szCs w:val="22"/>
        </w:rPr>
        <w:t xml:space="preserve">Furthermore, these results suggest that even if one accepts student satisfaction as a suitable outcome measure, it </w:t>
      </w:r>
      <w:r w:rsidR="00A66C76" w:rsidRPr="00A9281B">
        <w:rPr>
          <w:rFonts w:asciiTheme="majorBidi" w:hAnsiTheme="majorBidi" w:cstheme="majorBidi"/>
          <w:sz w:val="22"/>
          <w:szCs w:val="22"/>
        </w:rPr>
        <w:t xml:space="preserve">is </w:t>
      </w:r>
      <w:r w:rsidRPr="00A9281B">
        <w:rPr>
          <w:rFonts w:asciiTheme="majorBidi" w:hAnsiTheme="majorBidi" w:cstheme="majorBidi"/>
          <w:sz w:val="22"/>
          <w:szCs w:val="22"/>
        </w:rPr>
        <w:t xml:space="preserve">a highly problematic accountability measure for HEI’s due to the very low proportion of </w:t>
      </w:r>
      <w:r w:rsidRPr="00A9281B">
        <w:rPr>
          <w:rFonts w:asciiTheme="majorBidi" w:hAnsiTheme="majorBidi" w:cstheme="majorBidi"/>
          <w:sz w:val="22"/>
          <w:szCs w:val="22"/>
        </w:rPr>
        <w:lastRenderedPageBreak/>
        <w:t xml:space="preserve">variance explained at institutional level. What would appear somewhat more appropriate if using this type of data </w:t>
      </w:r>
      <w:r w:rsidR="006431F0" w:rsidRPr="00A9281B">
        <w:rPr>
          <w:rFonts w:asciiTheme="majorBidi" w:eastAsiaTheme="minorEastAsia" w:hAnsiTheme="majorBidi" w:cstheme="majorBidi"/>
          <w:sz w:val="22"/>
          <w:szCs w:val="22"/>
          <w:lang w:eastAsia="zh-CN"/>
        </w:rPr>
        <w:t>would be to discern teaching quality and student satisfaction in light of individual student characteristics. HEI</w:t>
      </w:r>
      <w:r w:rsidR="00A66C76" w:rsidRPr="00A9281B">
        <w:rPr>
          <w:rFonts w:asciiTheme="majorBidi" w:eastAsiaTheme="minorEastAsia" w:hAnsiTheme="majorBidi" w:cstheme="majorBidi"/>
          <w:sz w:val="22"/>
          <w:szCs w:val="22"/>
          <w:lang w:eastAsia="zh-CN"/>
        </w:rPr>
        <w:t>’s</w:t>
      </w:r>
      <w:r w:rsidR="006431F0" w:rsidRPr="00A9281B">
        <w:rPr>
          <w:rFonts w:asciiTheme="majorBidi" w:eastAsiaTheme="minorEastAsia" w:hAnsiTheme="majorBidi" w:cstheme="majorBidi"/>
          <w:sz w:val="22"/>
          <w:szCs w:val="22"/>
          <w:lang w:eastAsia="zh-CN"/>
        </w:rPr>
        <w:t xml:space="preserve"> could be asked to explain what provisions they have in place</w:t>
      </w:r>
      <w:r w:rsidR="00A66C76" w:rsidRPr="00A9281B">
        <w:rPr>
          <w:rFonts w:asciiTheme="majorBidi" w:eastAsiaTheme="minorEastAsia" w:hAnsiTheme="majorBidi" w:cstheme="majorBidi"/>
          <w:sz w:val="22"/>
          <w:szCs w:val="22"/>
          <w:lang w:eastAsia="zh-CN"/>
        </w:rPr>
        <w:t xml:space="preserve"> for</w:t>
      </w:r>
      <w:r w:rsidR="006431F0" w:rsidRPr="00A9281B">
        <w:rPr>
          <w:rFonts w:asciiTheme="majorBidi" w:eastAsiaTheme="minorEastAsia" w:hAnsiTheme="majorBidi" w:cstheme="majorBidi"/>
          <w:sz w:val="22"/>
          <w:szCs w:val="22"/>
          <w:lang w:eastAsia="zh-CN"/>
        </w:rPr>
        <w:t xml:space="preserve"> certain groups of students. Within all of this we must keep in mind that PGT students on the whole value UK higher education positively. </w:t>
      </w:r>
    </w:p>
    <w:p w14:paraId="312C3360" w14:textId="77777777" w:rsidR="007217FF" w:rsidRPr="00A9281B" w:rsidRDefault="007217FF" w:rsidP="007217FF">
      <w:pPr>
        <w:rPr>
          <w:rFonts w:asciiTheme="majorBidi" w:eastAsiaTheme="minorEastAsia" w:hAnsiTheme="majorBidi" w:cstheme="majorBidi"/>
          <w:sz w:val="22"/>
          <w:szCs w:val="22"/>
          <w:lang w:eastAsia="zh-CN"/>
        </w:rPr>
      </w:pPr>
    </w:p>
    <w:p w14:paraId="07BBB7F4" w14:textId="563AB416" w:rsidR="007217FF" w:rsidRPr="00A9281B" w:rsidRDefault="00EA79A5" w:rsidP="00EA79A5">
      <w:pPr>
        <w:rPr>
          <w:rFonts w:asciiTheme="majorBidi" w:eastAsiaTheme="minorEastAsia" w:hAnsiTheme="majorBidi" w:cstheme="majorBidi"/>
          <w:sz w:val="22"/>
          <w:szCs w:val="22"/>
          <w:lang w:eastAsia="zh-CN"/>
        </w:rPr>
      </w:pPr>
      <w:r w:rsidRPr="00A9281B">
        <w:rPr>
          <w:rFonts w:asciiTheme="majorBidi" w:eastAsiaTheme="minorEastAsia" w:hAnsiTheme="majorBidi" w:cstheme="majorBidi"/>
          <w:sz w:val="22"/>
          <w:szCs w:val="22"/>
          <w:lang w:eastAsia="zh-CN"/>
        </w:rPr>
        <w:t>Finally, what is clear from these analyses, but also from prior research, is that we are currently lacking a strong foundation regarding those factors that do predict student satisfaction. If demographic characteristics only explain a limited amount, what individual characteristics do then primarily determine outcomes? Prior research again provides only limited information, with personal characteristics such as self-efficacy also proving of limited explanatory power (DeWitz &amp; Walsh, 2002; Arambela &amp; Hall, 2013), and the most widely studied predictors in terms of perceived ‘service quality’ being somewhat circular in nature in light of their close similarity to the satisfaction measures used. Here clearly is a fruitful avenue for further study into student satisfaction, albeit not one that is ever likely to tell us much about either student learning or university quality.</w:t>
      </w:r>
    </w:p>
    <w:p w14:paraId="49BC31E9" w14:textId="77777777" w:rsidR="006431F0" w:rsidRPr="00A9281B" w:rsidRDefault="006431F0" w:rsidP="006431F0">
      <w:pPr>
        <w:rPr>
          <w:rFonts w:asciiTheme="majorBidi" w:hAnsiTheme="majorBidi" w:cstheme="majorBidi"/>
          <w:sz w:val="22"/>
          <w:szCs w:val="22"/>
        </w:rPr>
      </w:pPr>
    </w:p>
    <w:p w14:paraId="7CD9CCDD" w14:textId="0387E1CA" w:rsidR="00BE513B" w:rsidRPr="00A9281B" w:rsidRDefault="00BE513B" w:rsidP="00BF7308">
      <w:pPr>
        <w:rPr>
          <w:rFonts w:asciiTheme="majorBidi" w:hAnsiTheme="majorBidi" w:cstheme="majorBidi"/>
          <w:sz w:val="22"/>
          <w:szCs w:val="22"/>
        </w:rPr>
      </w:pPr>
    </w:p>
    <w:p w14:paraId="43221994" w14:textId="77777777" w:rsidR="00CE6144" w:rsidRDefault="00CE6144" w:rsidP="00614A7F">
      <w:pPr>
        <w:pStyle w:val="Heading2"/>
        <w:rPr>
          <w:rFonts w:asciiTheme="majorBidi" w:hAnsiTheme="majorBidi" w:cstheme="majorBidi"/>
          <w:sz w:val="22"/>
          <w:szCs w:val="22"/>
        </w:rPr>
      </w:pPr>
      <w:bookmarkStart w:id="3" w:name="_Toc430912027"/>
      <w:r w:rsidRPr="00A9281B">
        <w:rPr>
          <w:rFonts w:asciiTheme="majorBidi" w:hAnsiTheme="majorBidi" w:cstheme="majorBidi"/>
          <w:sz w:val="22"/>
          <w:szCs w:val="22"/>
        </w:rPr>
        <w:t>References</w:t>
      </w:r>
      <w:bookmarkEnd w:id="3"/>
    </w:p>
    <w:p w14:paraId="5AB4EA16" w14:textId="77777777" w:rsidR="00A9281B" w:rsidRPr="00A9281B" w:rsidRDefault="00A9281B" w:rsidP="00A9281B"/>
    <w:p w14:paraId="23458097" w14:textId="016DA5BE" w:rsidR="00E254C5" w:rsidRPr="00A9281B" w:rsidRDefault="00E254C5" w:rsidP="00E35BD1">
      <w:pPr>
        <w:ind w:left="482" w:hanging="482"/>
        <w:rPr>
          <w:rFonts w:asciiTheme="majorBidi" w:hAnsiTheme="majorBidi" w:cstheme="majorBidi"/>
          <w:sz w:val="22"/>
          <w:szCs w:val="22"/>
          <w:lang w:eastAsia="zh-CN"/>
        </w:rPr>
      </w:pPr>
      <w:r w:rsidRPr="00A9281B">
        <w:rPr>
          <w:rFonts w:asciiTheme="majorBidi" w:hAnsiTheme="majorBidi" w:cstheme="majorBidi"/>
          <w:sz w:val="22"/>
          <w:szCs w:val="22"/>
          <w:lang w:eastAsia="zh-CN"/>
        </w:rPr>
        <w:t xml:space="preserve">Ali, F., Zhou, Y., Hussain, K., Nair, P. K. &amp; Ragavan, N. A. </w:t>
      </w:r>
      <w:r w:rsidR="00A9281B" w:rsidRPr="00A9281B">
        <w:rPr>
          <w:rFonts w:asciiTheme="majorBidi" w:hAnsiTheme="majorBidi" w:cstheme="majorBidi"/>
          <w:sz w:val="22"/>
          <w:szCs w:val="22"/>
          <w:lang w:eastAsia="zh-CN"/>
        </w:rPr>
        <w:t>(2016)</w:t>
      </w:r>
      <w:r w:rsidRPr="00A9281B">
        <w:rPr>
          <w:rFonts w:asciiTheme="majorBidi" w:hAnsiTheme="majorBidi" w:cstheme="majorBidi"/>
          <w:sz w:val="22"/>
          <w:szCs w:val="22"/>
          <w:lang w:eastAsia="zh-CN"/>
        </w:rPr>
        <w:t xml:space="preserve"> Does higher education service quality effect student satisfaction, image and loyalty?</w:t>
      </w:r>
      <w:r w:rsidR="00E35BD1">
        <w:rPr>
          <w:rFonts w:asciiTheme="majorBidi" w:hAnsiTheme="majorBidi" w:cstheme="majorBidi"/>
          <w:sz w:val="22"/>
          <w:szCs w:val="22"/>
          <w:lang w:eastAsia="zh-CN"/>
        </w:rPr>
        <w:t>,</w:t>
      </w:r>
      <w:r w:rsidRPr="00A9281B">
        <w:rPr>
          <w:rFonts w:asciiTheme="majorBidi" w:hAnsiTheme="majorBidi" w:cstheme="majorBidi"/>
          <w:sz w:val="22"/>
          <w:szCs w:val="22"/>
          <w:lang w:eastAsia="zh-CN"/>
        </w:rPr>
        <w:t xml:space="preserve"> </w:t>
      </w:r>
      <w:r w:rsidRPr="00A9281B">
        <w:rPr>
          <w:rFonts w:asciiTheme="majorBidi" w:hAnsiTheme="majorBidi" w:cstheme="majorBidi"/>
          <w:i/>
          <w:iCs/>
          <w:sz w:val="22"/>
          <w:szCs w:val="22"/>
          <w:lang w:eastAsia="zh-CN"/>
        </w:rPr>
        <w:t>Quality Assurance in Education</w:t>
      </w:r>
      <w:r w:rsidRPr="00A9281B">
        <w:rPr>
          <w:rFonts w:asciiTheme="majorBidi" w:hAnsiTheme="majorBidi" w:cstheme="majorBidi"/>
          <w:sz w:val="22"/>
          <w:szCs w:val="22"/>
          <w:lang w:eastAsia="zh-CN"/>
        </w:rPr>
        <w:t xml:space="preserve">, 24(1), </w:t>
      </w:r>
      <w:r w:rsidR="00E35BD1">
        <w:rPr>
          <w:rFonts w:asciiTheme="majorBidi" w:hAnsiTheme="majorBidi" w:cstheme="majorBidi"/>
          <w:sz w:val="22"/>
          <w:szCs w:val="22"/>
          <w:lang w:eastAsia="zh-CN"/>
        </w:rPr>
        <w:t>70-</w:t>
      </w:r>
      <w:r w:rsidRPr="00A9281B">
        <w:rPr>
          <w:rFonts w:asciiTheme="majorBidi" w:hAnsiTheme="majorBidi" w:cstheme="majorBidi"/>
          <w:sz w:val="22"/>
          <w:szCs w:val="22"/>
          <w:lang w:eastAsia="zh-CN"/>
        </w:rPr>
        <w:t>94.</w:t>
      </w:r>
    </w:p>
    <w:p w14:paraId="3C62F7B3" w14:textId="63714C0D" w:rsidR="00E254C5" w:rsidRPr="00A9281B" w:rsidRDefault="00A9281B" w:rsidP="00E254C5">
      <w:pPr>
        <w:ind w:left="482" w:hanging="482"/>
        <w:rPr>
          <w:rFonts w:asciiTheme="majorBidi" w:hAnsiTheme="majorBidi" w:cstheme="majorBidi"/>
          <w:sz w:val="22"/>
          <w:szCs w:val="22"/>
          <w:lang w:eastAsia="zh-CN"/>
        </w:rPr>
      </w:pPr>
      <w:r>
        <w:rPr>
          <w:rFonts w:asciiTheme="majorBidi" w:hAnsiTheme="majorBidi" w:cstheme="majorBidi"/>
          <w:sz w:val="22"/>
          <w:szCs w:val="22"/>
          <w:lang w:eastAsia="zh-CN"/>
        </w:rPr>
        <w:t>Arambela, R. &amp; Hall, J. (2007)</w:t>
      </w:r>
      <w:r w:rsidR="00E254C5" w:rsidRPr="00A9281B">
        <w:rPr>
          <w:rFonts w:asciiTheme="majorBidi" w:hAnsiTheme="majorBidi" w:cstheme="majorBidi"/>
          <w:sz w:val="22"/>
          <w:szCs w:val="22"/>
          <w:lang w:eastAsia="zh-CN"/>
        </w:rPr>
        <w:t xml:space="preserve"> A model of student satisfaction: International postgraduate students from Asia. In Borghini, S., McGrath, M. A. &amp; Otnes, C. (Eds.). </w:t>
      </w:r>
      <w:r w:rsidR="00E254C5" w:rsidRPr="00A9281B">
        <w:rPr>
          <w:rFonts w:asciiTheme="majorBidi" w:hAnsiTheme="majorBidi" w:cstheme="majorBidi"/>
          <w:i/>
          <w:iCs/>
          <w:sz w:val="22"/>
          <w:szCs w:val="22"/>
          <w:lang w:eastAsia="zh-CN"/>
        </w:rPr>
        <w:t>European Advances in Consumer Research Volume 8</w:t>
      </w:r>
      <w:r w:rsidR="00E254C5" w:rsidRPr="00A9281B">
        <w:rPr>
          <w:rFonts w:asciiTheme="majorBidi" w:hAnsiTheme="majorBidi" w:cstheme="majorBidi"/>
          <w:sz w:val="22"/>
          <w:szCs w:val="22"/>
          <w:lang w:eastAsia="zh-CN"/>
        </w:rPr>
        <w:t>. Duluth, MN : Association for Consumer Research, Pp: 129-135.</w:t>
      </w:r>
    </w:p>
    <w:p w14:paraId="3BC55582" w14:textId="6D4A9448" w:rsidR="00E254C5" w:rsidRPr="00A9281B" w:rsidRDefault="00E254C5" w:rsidP="00E254C5">
      <w:pPr>
        <w:ind w:left="482" w:hanging="482"/>
        <w:rPr>
          <w:rFonts w:asciiTheme="majorBidi" w:hAnsiTheme="majorBidi" w:cstheme="majorBidi"/>
          <w:i/>
          <w:iCs/>
          <w:sz w:val="22"/>
          <w:szCs w:val="22"/>
          <w:lang w:eastAsia="zh-CN"/>
        </w:rPr>
      </w:pPr>
      <w:r w:rsidRPr="00A9281B">
        <w:rPr>
          <w:rFonts w:asciiTheme="majorBidi" w:hAnsiTheme="majorBidi" w:cstheme="majorBidi"/>
          <w:sz w:val="22"/>
          <w:szCs w:val="22"/>
          <w:lang w:eastAsia="zh-CN"/>
        </w:rPr>
        <w:t>Arambela, R. &amp; Hall, J. (2009</w:t>
      </w:r>
      <w:r w:rsidR="00A9281B">
        <w:rPr>
          <w:rFonts w:asciiTheme="majorBidi" w:hAnsiTheme="majorBidi" w:cstheme="majorBidi"/>
          <w:sz w:val="22"/>
          <w:szCs w:val="22"/>
          <w:lang w:eastAsia="zh-CN"/>
        </w:rPr>
        <w:t xml:space="preserve">) </w:t>
      </w:r>
      <w:r w:rsidRPr="00A9281B">
        <w:rPr>
          <w:rFonts w:asciiTheme="majorBidi" w:hAnsiTheme="majorBidi" w:cstheme="majorBidi"/>
          <w:sz w:val="22"/>
          <w:szCs w:val="22"/>
          <w:lang w:eastAsia="zh-CN"/>
        </w:rPr>
        <w:t>An empirical model of international student satisfaction</w:t>
      </w:r>
      <w:r w:rsidR="00A9281B">
        <w:rPr>
          <w:rFonts w:asciiTheme="majorBidi" w:hAnsiTheme="majorBidi" w:cstheme="majorBidi"/>
          <w:sz w:val="22"/>
          <w:szCs w:val="22"/>
          <w:lang w:eastAsia="zh-CN"/>
        </w:rPr>
        <w:t>,</w:t>
      </w:r>
      <w:r w:rsidRPr="00A9281B">
        <w:rPr>
          <w:rFonts w:asciiTheme="majorBidi" w:hAnsiTheme="majorBidi" w:cstheme="majorBidi"/>
          <w:sz w:val="22"/>
          <w:szCs w:val="22"/>
          <w:lang w:eastAsia="zh-CN"/>
        </w:rPr>
        <w:t xml:space="preserve"> </w:t>
      </w:r>
      <w:r w:rsidRPr="00A9281B">
        <w:rPr>
          <w:rFonts w:asciiTheme="majorBidi" w:hAnsiTheme="majorBidi" w:cstheme="majorBidi"/>
          <w:i/>
          <w:iCs/>
          <w:sz w:val="22"/>
          <w:szCs w:val="22"/>
          <w:lang w:eastAsia="zh-CN"/>
        </w:rPr>
        <w:t>Asia</w:t>
      </w:r>
    </w:p>
    <w:p w14:paraId="1C6E4102" w14:textId="77777777" w:rsidR="00E254C5" w:rsidRPr="00A9281B" w:rsidRDefault="00E254C5" w:rsidP="00E254C5">
      <w:pPr>
        <w:ind w:left="482"/>
        <w:rPr>
          <w:rFonts w:asciiTheme="majorBidi" w:hAnsiTheme="majorBidi" w:cstheme="majorBidi"/>
          <w:sz w:val="22"/>
          <w:szCs w:val="22"/>
          <w:lang w:eastAsia="zh-CN"/>
        </w:rPr>
      </w:pPr>
      <w:r w:rsidRPr="00A9281B">
        <w:rPr>
          <w:rFonts w:asciiTheme="majorBidi" w:hAnsiTheme="majorBidi" w:cstheme="majorBidi"/>
          <w:i/>
          <w:iCs/>
          <w:sz w:val="22"/>
          <w:szCs w:val="22"/>
          <w:lang w:eastAsia="zh-CN"/>
        </w:rPr>
        <w:t>Pacific Journal of Marketing and Logistics</w:t>
      </w:r>
      <w:r w:rsidRPr="00A9281B">
        <w:rPr>
          <w:rFonts w:asciiTheme="majorBidi" w:hAnsiTheme="majorBidi" w:cstheme="majorBidi"/>
          <w:sz w:val="22"/>
          <w:szCs w:val="22"/>
          <w:lang w:eastAsia="zh-CN"/>
        </w:rPr>
        <w:t>, 21(4), 555 – 569.</w:t>
      </w:r>
    </w:p>
    <w:p w14:paraId="4CC0A8F7" w14:textId="323F234E" w:rsidR="00E254C5" w:rsidRPr="00A9281B" w:rsidRDefault="00A9281B" w:rsidP="00E254C5">
      <w:pPr>
        <w:ind w:left="482" w:hanging="482"/>
        <w:rPr>
          <w:rFonts w:asciiTheme="majorBidi" w:hAnsiTheme="majorBidi" w:cstheme="majorBidi"/>
          <w:sz w:val="22"/>
          <w:szCs w:val="22"/>
          <w:lang w:eastAsia="zh-CN"/>
        </w:rPr>
      </w:pPr>
      <w:r>
        <w:rPr>
          <w:rFonts w:asciiTheme="majorBidi" w:hAnsiTheme="majorBidi" w:cstheme="majorBidi"/>
          <w:sz w:val="22"/>
          <w:szCs w:val="22"/>
          <w:lang w:eastAsia="zh-CN"/>
        </w:rPr>
        <w:t>Arambela, R. &amp; Hall, J. (2007)</w:t>
      </w:r>
      <w:r w:rsidR="00E254C5" w:rsidRPr="00A9281B">
        <w:rPr>
          <w:rFonts w:asciiTheme="majorBidi" w:hAnsiTheme="majorBidi" w:cstheme="majorBidi"/>
          <w:sz w:val="22"/>
          <w:szCs w:val="22"/>
          <w:lang w:eastAsia="zh-CN"/>
        </w:rPr>
        <w:t xml:space="preserve"> The interactional effects of the internal and external university environment, and the influence of personal values, on satisfaction among international postgraduate students</w:t>
      </w:r>
      <w:r>
        <w:rPr>
          <w:rFonts w:asciiTheme="majorBidi" w:hAnsiTheme="majorBidi" w:cstheme="majorBidi"/>
          <w:sz w:val="22"/>
          <w:szCs w:val="22"/>
          <w:lang w:eastAsia="zh-CN"/>
        </w:rPr>
        <w:t>,</w:t>
      </w:r>
      <w:r w:rsidR="00E254C5" w:rsidRPr="00A9281B">
        <w:rPr>
          <w:rFonts w:asciiTheme="majorBidi" w:hAnsiTheme="majorBidi" w:cstheme="majorBidi"/>
          <w:sz w:val="22"/>
          <w:szCs w:val="22"/>
          <w:lang w:eastAsia="zh-CN"/>
        </w:rPr>
        <w:t xml:space="preserve"> </w:t>
      </w:r>
      <w:r w:rsidR="00E254C5" w:rsidRPr="00A9281B">
        <w:rPr>
          <w:rFonts w:asciiTheme="majorBidi" w:hAnsiTheme="majorBidi" w:cstheme="majorBidi"/>
          <w:i/>
          <w:iCs/>
          <w:sz w:val="22"/>
          <w:szCs w:val="22"/>
          <w:lang w:eastAsia="zh-CN"/>
        </w:rPr>
        <w:t>Studies in Higher Education</w:t>
      </w:r>
      <w:r w:rsidR="00E254C5" w:rsidRPr="00A9281B">
        <w:rPr>
          <w:rFonts w:asciiTheme="majorBidi" w:hAnsiTheme="majorBidi" w:cstheme="majorBidi"/>
          <w:sz w:val="22"/>
          <w:szCs w:val="22"/>
          <w:lang w:eastAsia="zh-CN"/>
        </w:rPr>
        <w:t>, 38(7), 972-988.</w:t>
      </w:r>
    </w:p>
    <w:p w14:paraId="161EF143" w14:textId="330541B4" w:rsidR="00E254C5" w:rsidRPr="00A9281B" w:rsidRDefault="00E254C5" w:rsidP="00A9281B">
      <w:pPr>
        <w:ind w:left="482" w:hanging="482"/>
        <w:rPr>
          <w:rFonts w:asciiTheme="majorBidi" w:hAnsiTheme="majorBidi" w:cstheme="majorBidi"/>
          <w:sz w:val="22"/>
          <w:szCs w:val="22"/>
          <w:lang w:eastAsia="zh-CN"/>
        </w:rPr>
      </w:pPr>
      <w:r w:rsidRPr="00A9281B">
        <w:rPr>
          <w:rFonts w:asciiTheme="majorBidi" w:hAnsiTheme="majorBidi" w:cstheme="majorBidi"/>
          <w:sz w:val="22"/>
          <w:szCs w:val="22"/>
          <w:lang w:eastAsia="zh-CN"/>
        </w:rPr>
        <w:t>Bassett, J., Cleveland, A., Acorn, D</w:t>
      </w:r>
      <w:r w:rsidR="00A9281B">
        <w:rPr>
          <w:rFonts w:asciiTheme="majorBidi" w:hAnsiTheme="majorBidi" w:cstheme="majorBidi"/>
          <w:sz w:val="22"/>
          <w:szCs w:val="22"/>
          <w:lang w:eastAsia="zh-CN"/>
        </w:rPr>
        <w:t>., Nix, M., &amp; Snyder, T. (2015)</w:t>
      </w:r>
      <w:r w:rsidRPr="00A9281B">
        <w:rPr>
          <w:rFonts w:asciiTheme="majorBidi" w:hAnsiTheme="majorBidi" w:cstheme="majorBidi"/>
          <w:sz w:val="22"/>
          <w:szCs w:val="22"/>
          <w:lang w:eastAsia="zh-CN"/>
        </w:rPr>
        <w:t xml:space="preserve"> Are they paying attention? Students’ lack of motivation and attention potentially threaten the utility of course evaluations</w:t>
      </w:r>
      <w:r w:rsidR="00A9281B">
        <w:rPr>
          <w:rFonts w:asciiTheme="majorBidi" w:hAnsiTheme="majorBidi" w:cstheme="majorBidi"/>
          <w:sz w:val="22"/>
          <w:szCs w:val="22"/>
          <w:lang w:eastAsia="zh-CN"/>
        </w:rPr>
        <w:t>,</w:t>
      </w:r>
      <w:r w:rsidRPr="00A9281B">
        <w:rPr>
          <w:rFonts w:asciiTheme="majorBidi" w:hAnsiTheme="majorBidi" w:cstheme="majorBidi"/>
          <w:sz w:val="22"/>
          <w:szCs w:val="22"/>
          <w:lang w:eastAsia="zh-CN"/>
        </w:rPr>
        <w:t xml:space="preserve"> </w:t>
      </w:r>
      <w:r w:rsidRPr="00A9281B">
        <w:rPr>
          <w:rFonts w:asciiTheme="majorBidi" w:hAnsiTheme="majorBidi" w:cstheme="majorBidi"/>
          <w:i/>
          <w:iCs/>
          <w:sz w:val="22"/>
          <w:szCs w:val="22"/>
          <w:lang w:eastAsia="zh-CN"/>
        </w:rPr>
        <w:t>Assessment &amp; Evaluation in Higher Education</w:t>
      </w:r>
      <w:r w:rsidRPr="00A9281B">
        <w:rPr>
          <w:rFonts w:asciiTheme="majorBidi" w:hAnsiTheme="majorBidi" w:cstheme="majorBidi"/>
          <w:sz w:val="22"/>
          <w:szCs w:val="22"/>
          <w:lang w:eastAsia="zh-CN"/>
        </w:rPr>
        <w:t xml:space="preserve">, </w:t>
      </w:r>
      <w:r w:rsidRPr="00A9281B">
        <w:rPr>
          <w:rFonts w:asciiTheme="majorBidi" w:hAnsiTheme="majorBidi" w:cstheme="majorBidi"/>
          <w:i/>
          <w:iCs/>
          <w:sz w:val="22"/>
          <w:szCs w:val="22"/>
          <w:lang w:eastAsia="zh-CN"/>
        </w:rPr>
        <w:t>0</w:t>
      </w:r>
      <w:r w:rsidRPr="00A9281B">
        <w:rPr>
          <w:rFonts w:asciiTheme="majorBidi" w:hAnsiTheme="majorBidi" w:cstheme="majorBidi"/>
          <w:sz w:val="22"/>
          <w:szCs w:val="22"/>
          <w:lang w:eastAsia="zh-CN"/>
        </w:rPr>
        <w:t xml:space="preserve">(0), 1–12. </w:t>
      </w:r>
    </w:p>
    <w:p w14:paraId="3C1A4F89" w14:textId="4393B4BD" w:rsidR="00E254C5" w:rsidRPr="00A9281B" w:rsidRDefault="00E254C5" w:rsidP="00A9281B">
      <w:pPr>
        <w:ind w:left="227" w:hanging="227"/>
        <w:rPr>
          <w:rFonts w:asciiTheme="majorBidi" w:hAnsiTheme="majorBidi" w:cstheme="majorBidi"/>
          <w:sz w:val="22"/>
          <w:szCs w:val="22"/>
        </w:rPr>
      </w:pPr>
      <w:r w:rsidRPr="00A9281B">
        <w:rPr>
          <w:rFonts w:asciiTheme="majorBidi" w:hAnsiTheme="majorBidi" w:cstheme="majorBidi"/>
          <w:sz w:val="22"/>
          <w:szCs w:val="22"/>
        </w:rPr>
        <w:t xml:space="preserve">Bennet, P. &amp; Turner, G. (2014) </w:t>
      </w:r>
      <w:r w:rsidRPr="00A9281B">
        <w:rPr>
          <w:rFonts w:asciiTheme="majorBidi" w:hAnsiTheme="majorBidi" w:cstheme="majorBidi"/>
          <w:i/>
          <w:iCs/>
          <w:sz w:val="22"/>
          <w:szCs w:val="22"/>
        </w:rPr>
        <w:t>PRES 2013: Results from the Postgraduate Research Experience Survey</w:t>
      </w:r>
      <w:r w:rsidR="00A9281B">
        <w:rPr>
          <w:rFonts w:asciiTheme="majorBidi" w:hAnsiTheme="majorBidi" w:cstheme="majorBidi"/>
          <w:sz w:val="22"/>
          <w:szCs w:val="22"/>
        </w:rPr>
        <w:t xml:space="preserve"> (York,</w:t>
      </w:r>
      <w:r w:rsidRPr="00A9281B">
        <w:rPr>
          <w:rFonts w:asciiTheme="majorBidi" w:hAnsiTheme="majorBidi" w:cstheme="majorBidi"/>
          <w:sz w:val="22"/>
          <w:szCs w:val="22"/>
        </w:rPr>
        <w:t xml:space="preserve"> Higher Education Academy</w:t>
      </w:r>
      <w:r w:rsidR="00A9281B">
        <w:rPr>
          <w:rFonts w:asciiTheme="majorBidi" w:hAnsiTheme="majorBidi" w:cstheme="majorBidi"/>
          <w:sz w:val="22"/>
          <w:szCs w:val="22"/>
        </w:rPr>
        <w:t>)</w:t>
      </w:r>
      <w:r w:rsidRPr="00A9281B">
        <w:rPr>
          <w:rFonts w:asciiTheme="majorBidi" w:hAnsiTheme="majorBidi" w:cstheme="majorBidi"/>
          <w:sz w:val="22"/>
          <w:szCs w:val="22"/>
        </w:rPr>
        <w:t>.</w:t>
      </w:r>
    </w:p>
    <w:p w14:paraId="586A1D73" w14:textId="32D2AC3E" w:rsidR="00E254C5" w:rsidRPr="00A9281B" w:rsidRDefault="00E254C5" w:rsidP="00A9281B">
      <w:pPr>
        <w:ind w:left="227" w:hanging="227"/>
        <w:rPr>
          <w:rFonts w:asciiTheme="majorBidi" w:hAnsiTheme="majorBidi" w:cstheme="majorBidi"/>
          <w:sz w:val="22"/>
          <w:szCs w:val="22"/>
        </w:rPr>
      </w:pPr>
      <w:r w:rsidRPr="00A9281B">
        <w:rPr>
          <w:rFonts w:asciiTheme="majorBidi" w:hAnsiTheme="majorBidi" w:cstheme="majorBidi"/>
          <w:sz w:val="22"/>
          <w:szCs w:val="22"/>
        </w:rPr>
        <w:t>Bjork, R. A., Dunlosky, J., &amp; Kornell, N. (2013) Self-regulated learning: Bel</w:t>
      </w:r>
      <w:r w:rsidR="00A9281B">
        <w:rPr>
          <w:rFonts w:asciiTheme="majorBidi" w:hAnsiTheme="majorBidi" w:cstheme="majorBidi"/>
          <w:sz w:val="22"/>
          <w:szCs w:val="22"/>
        </w:rPr>
        <w:t>iefs, techniques, and illusions,</w:t>
      </w:r>
      <w:r w:rsidRPr="00A9281B">
        <w:rPr>
          <w:rFonts w:asciiTheme="majorBidi" w:hAnsiTheme="majorBidi" w:cstheme="majorBidi"/>
          <w:sz w:val="22"/>
          <w:szCs w:val="22"/>
        </w:rPr>
        <w:t xml:space="preserve"> </w:t>
      </w:r>
      <w:r w:rsidRPr="00A9281B">
        <w:rPr>
          <w:rFonts w:asciiTheme="majorBidi" w:hAnsiTheme="majorBidi" w:cstheme="majorBidi"/>
          <w:i/>
          <w:iCs/>
          <w:sz w:val="22"/>
          <w:szCs w:val="22"/>
        </w:rPr>
        <w:t>Annual Review of Psychology</w:t>
      </w:r>
      <w:r w:rsidRPr="00A9281B">
        <w:rPr>
          <w:rFonts w:asciiTheme="majorBidi" w:hAnsiTheme="majorBidi" w:cstheme="majorBidi"/>
          <w:sz w:val="22"/>
          <w:szCs w:val="22"/>
        </w:rPr>
        <w:t xml:space="preserve">, </w:t>
      </w:r>
      <w:r w:rsidRPr="00A9281B">
        <w:rPr>
          <w:rFonts w:asciiTheme="majorBidi" w:hAnsiTheme="majorBidi" w:cstheme="majorBidi"/>
          <w:i/>
          <w:iCs/>
          <w:sz w:val="22"/>
          <w:szCs w:val="22"/>
        </w:rPr>
        <w:t>64</w:t>
      </w:r>
      <w:r w:rsidRPr="00A9281B">
        <w:rPr>
          <w:rFonts w:asciiTheme="majorBidi" w:hAnsiTheme="majorBidi" w:cstheme="majorBidi"/>
          <w:sz w:val="22"/>
          <w:szCs w:val="22"/>
        </w:rPr>
        <w:t>, 417-444.</w:t>
      </w:r>
    </w:p>
    <w:p w14:paraId="79F8A714" w14:textId="054BD258" w:rsidR="00E254C5" w:rsidRPr="00A9281B" w:rsidRDefault="00E254C5" w:rsidP="00A9281B">
      <w:pPr>
        <w:ind w:left="227" w:hanging="227"/>
        <w:rPr>
          <w:rFonts w:asciiTheme="majorBidi" w:hAnsiTheme="majorBidi" w:cstheme="majorBidi"/>
          <w:sz w:val="22"/>
          <w:szCs w:val="22"/>
        </w:rPr>
      </w:pPr>
      <w:r w:rsidRPr="00A9281B">
        <w:rPr>
          <w:rFonts w:asciiTheme="majorBidi" w:hAnsiTheme="majorBidi" w:cstheme="majorBidi"/>
          <w:sz w:val="22"/>
          <w:szCs w:val="22"/>
        </w:rPr>
        <w:t>Boliver, V. </w:t>
      </w:r>
      <w:r w:rsidR="00A9281B">
        <w:rPr>
          <w:rFonts w:asciiTheme="majorBidi" w:hAnsiTheme="majorBidi" w:cstheme="majorBidi"/>
          <w:sz w:val="22"/>
          <w:szCs w:val="22"/>
        </w:rPr>
        <w:t>(2015)</w:t>
      </w:r>
      <w:r w:rsidRPr="00A9281B">
        <w:rPr>
          <w:rFonts w:asciiTheme="majorBidi" w:hAnsiTheme="majorBidi" w:cstheme="majorBidi"/>
          <w:sz w:val="22"/>
          <w:szCs w:val="22"/>
        </w:rPr>
        <w:t> </w:t>
      </w:r>
      <w:hyperlink r:id="rId9" w:history="1">
        <w:r w:rsidRPr="00A9281B">
          <w:rPr>
            <w:rStyle w:val="Hyperlink"/>
            <w:rFonts w:asciiTheme="majorBidi" w:hAnsiTheme="majorBidi" w:cstheme="majorBidi"/>
            <w:color w:val="auto"/>
            <w:sz w:val="22"/>
            <w:szCs w:val="22"/>
            <w:u w:val="none"/>
          </w:rPr>
          <w:t>Exploring ethnic inequalities in admission to Russell Group</w:t>
        </w:r>
        <w:r w:rsidRPr="00A9281B">
          <w:rPr>
            <w:rStyle w:val="Hyperlink"/>
            <w:rFonts w:asciiTheme="majorBidi" w:hAnsiTheme="majorBidi" w:cstheme="majorBidi"/>
            <w:sz w:val="22"/>
            <w:szCs w:val="22"/>
            <w:u w:val="none"/>
          </w:rPr>
          <w:t xml:space="preserve"> </w:t>
        </w:r>
        <w:r w:rsidRPr="00A9281B">
          <w:rPr>
            <w:rStyle w:val="Hyperlink"/>
            <w:rFonts w:asciiTheme="majorBidi" w:hAnsiTheme="majorBidi" w:cstheme="majorBidi"/>
            <w:color w:val="auto"/>
            <w:sz w:val="22"/>
            <w:szCs w:val="22"/>
            <w:u w:val="none"/>
          </w:rPr>
          <w:t>u</w:t>
        </w:r>
        <w:r w:rsidRPr="00A9281B">
          <w:rPr>
            <w:rStyle w:val="Hyperlink"/>
            <w:rFonts w:asciiTheme="majorBidi" w:hAnsiTheme="majorBidi" w:cstheme="majorBidi"/>
            <w:color w:val="auto"/>
            <w:sz w:val="22"/>
            <w:szCs w:val="22"/>
            <w:u w:val="none"/>
          </w:rPr>
          <w:t>niversities</w:t>
        </w:r>
      </w:hyperlink>
      <w:r w:rsidR="00A9281B">
        <w:rPr>
          <w:rFonts w:asciiTheme="majorBidi" w:hAnsiTheme="majorBidi" w:cstheme="majorBidi"/>
          <w:sz w:val="22"/>
          <w:szCs w:val="22"/>
        </w:rPr>
        <w:t>,</w:t>
      </w:r>
      <w:r w:rsidRPr="00A9281B">
        <w:rPr>
          <w:rFonts w:asciiTheme="majorBidi" w:hAnsiTheme="majorBidi" w:cstheme="majorBidi"/>
          <w:sz w:val="22"/>
          <w:szCs w:val="22"/>
        </w:rPr>
        <w:t> </w:t>
      </w:r>
      <w:r w:rsidRPr="00A9281B">
        <w:rPr>
          <w:rFonts w:asciiTheme="majorBidi" w:hAnsiTheme="majorBidi" w:cstheme="majorBidi"/>
          <w:i/>
          <w:iCs/>
          <w:sz w:val="22"/>
          <w:szCs w:val="22"/>
        </w:rPr>
        <w:t xml:space="preserve">Sociology, </w:t>
      </w:r>
      <w:r w:rsidRPr="00A9281B">
        <w:rPr>
          <w:rFonts w:asciiTheme="majorBidi" w:hAnsiTheme="majorBidi" w:cstheme="majorBidi"/>
          <w:sz w:val="22"/>
          <w:szCs w:val="22"/>
        </w:rPr>
        <w:t>50(2), 247-266.</w:t>
      </w:r>
    </w:p>
    <w:p w14:paraId="532EB675" w14:textId="4039819F" w:rsidR="00E254C5" w:rsidRPr="00A9281B" w:rsidRDefault="00E254C5" w:rsidP="00E70E5D">
      <w:pPr>
        <w:ind w:left="227" w:hanging="227"/>
        <w:rPr>
          <w:rFonts w:asciiTheme="majorBidi" w:hAnsiTheme="majorBidi" w:cstheme="majorBidi"/>
          <w:sz w:val="22"/>
          <w:szCs w:val="22"/>
        </w:rPr>
      </w:pPr>
      <w:r w:rsidRPr="00A9281B">
        <w:rPr>
          <w:rFonts w:asciiTheme="majorBidi" w:hAnsiTheme="majorBidi" w:cstheme="majorBidi"/>
          <w:sz w:val="22"/>
          <w:szCs w:val="22"/>
        </w:rPr>
        <w:t xml:space="preserve">Braga, M., Paccagnella, M., &amp; Pellizzari, M. (2014) Evaluating students’ evaluations of professors, </w:t>
      </w:r>
      <w:r w:rsidRPr="00A9281B">
        <w:rPr>
          <w:rFonts w:asciiTheme="majorBidi" w:hAnsiTheme="majorBidi" w:cstheme="majorBidi"/>
          <w:i/>
          <w:iCs/>
          <w:sz w:val="22"/>
          <w:szCs w:val="22"/>
        </w:rPr>
        <w:t>Economics of Education Review</w:t>
      </w:r>
      <w:r w:rsidRPr="00A9281B">
        <w:rPr>
          <w:rFonts w:asciiTheme="majorBidi" w:hAnsiTheme="majorBidi" w:cstheme="majorBidi"/>
          <w:sz w:val="22"/>
          <w:szCs w:val="22"/>
        </w:rPr>
        <w:t xml:space="preserve">, </w:t>
      </w:r>
      <w:r w:rsidRPr="00A9281B">
        <w:rPr>
          <w:rFonts w:asciiTheme="majorBidi" w:hAnsiTheme="majorBidi" w:cstheme="majorBidi"/>
          <w:i/>
          <w:iCs/>
          <w:sz w:val="22"/>
          <w:szCs w:val="22"/>
        </w:rPr>
        <w:t>41</w:t>
      </w:r>
      <w:r w:rsidRPr="00A9281B">
        <w:rPr>
          <w:rFonts w:asciiTheme="majorBidi" w:hAnsiTheme="majorBidi" w:cstheme="majorBidi"/>
          <w:sz w:val="22"/>
          <w:szCs w:val="22"/>
        </w:rPr>
        <w:t>, 71-88.</w:t>
      </w:r>
    </w:p>
    <w:p w14:paraId="421A7AA6" w14:textId="728867B1" w:rsidR="00E254C5" w:rsidRPr="00A9281B" w:rsidRDefault="00E254C5" w:rsidP="00E70E5D">
      <w:pPr>
        <w:ind w:left="227" w:hanging="227"/>
        <w:rPr>
          <w:rFonts w:asciiTheme="majorBidi" w:hAnsiTheme="majorBidi" w:cstheme="majorBidi"/>
          <w:sz w:val="22"/>
          <w:szCs w:val="22"/>
        </w:rPr>
      </w:pPr>
      <w:r w:rsidRPr="00A9281B">
        <w:rPr>
          <w:rFonts w:asciiTheme="majorBidi" w:hAnsiTheme="majorBidi" w:cstheme="majorBidi"/>
          <w:sz w:val="22"/>
          <w:szCs w:val="22"/>
        </w:rPr>
        <w:t>Buckley,</w:t>
      </w:r>
      <w:r w:rsidRPr="00A9281B">
        <w:rPr>
          <w:rFonts w:asciiTheme="majorBidi" w:eastAsiaTheme="minorEastAsia" w:hAnsiTheme="majorBidi" w:cstheme="majorBidi"/>
          <w:sz w:val="22"/>
          <w:szCs w:val="22"/>
          <w:lang w:eastAsia="zh-CN"/>
        </w:rPr>
        <w:t xml:space="preserve"> </w:t>
      </w:r>
      <w:r w:rsidRPr="00A9281B">
        <w:rPr>
          <w:rFonts w:asciiTheme="majorBidi" w:hAnsiTheme="majorBidi" w:cstheme="majorBidi"/>
          <w:sz w:val="22"/>
          <w:szCs w:val="22"/>
        </w:rPr>
        <w:t>A. (2014)</w:t>
      </w:r>
      <w:r w:rsidRPr="00A9281B">
        <w:rPr>
          <w:rFonts w:asciiTheme="majorBidi" w:eastAsiaTheme="minorEastAsia" w:hAnsiTheme="majorBidi" w:cstheme="majorBidi"/>
          <w:sz w:val="22"/>
          <w:szCs w:val="22"/>
          <w:lang w:eastAsia="zh-CN"/>
        </w:rPr>
        <w:t xml:space="preserve"> </w:t>
      </w:r>
      <w:r w:rsidRPr="00A9281B">
        <w:rPr>
          <w:rFonts w:asciiTheme="majorBidi" w:hAnsiTheme="majorBidi" w:cstheme="majorBidi"/>
          <w:i/>
          <w:iCs/>
          <w:sz w:val="22"/>
          <w:szCs w:val="22"/>
        </w:rPr>
        <w:t>UK engagement survey: The second pilot year</w:t>
      </w:r>
      <w:r w:rsidRPr="00A9281B">
        <w:rPr>
          <w:rFonts w:asciiTheme="majorBidi" w:hAnsiTheme="majorBidi" w:cstheme="majorBidi"/>
          <w:sz w:val="22"/>
          <w:szCs w:val="22"/>
        </w:rPr>
        <w:t xml:space="preserve"> </w:t>
      </w:r>
      <w:r w:rsidR="00E70E5D">
        <w:rPr>
          <w:rFonts w:asciiTheme="majorBidi" w:hAnsiTheme="majorBidi" w:cstheme="majorBidi"/>
          <w:sz w:val="22"/>
          <w:szCs w:val="22"/>
        </w:rPr>
        <w:t xml:space="preserve">(York, </w:t>
      </w:r>
      <w:r w:rsidRPr="00A9281B">
        <w:rPr>
          <w:rFonts w:asciiTheme="majorBidi" w:hAnsiTheme="majorBidi" w:cstheme="majorBidi"/>
          <w:sz w:val="22"/>
          <w:szCs w:val="22"/>
        </w:rPr>
        <w:t>The Higher Education Academy</w:t>
      </w:r>
      <w:r w:rsidR="00E70E5D">
        <w:rPr>
          <w:rFonts w:asciiTheme="majorBidi" w:hAnsiTheme="majorBidi" w:cstheme="majorBidi"/>
          <w:sz w:val="22"/>
          <w:szCs w:val="22"/>
        </w:rPr>
        <w:t>)</w:t>
      </w:r>
      <w:r w:rsidRPr="00A9281B">
        <w:rPr>
          <w:rFonts w:asciiTheme="majorBidi" w:hAnsiTheme="majorBidi" w:cstheme="majorBidi"/>
          <w:sz w:val="22"/>
          <w:szCs w:val="22"/>
        </w:rPr>
        <w:t>.</w:t>
      </w:r>
    </w:p>
    <w:p w14:paraId="0CE00B79" w14:textId="3D47022B" w:rsidR="00E254C5" w:rsidRPr="00A9281B" w:rsidRDefault="00E254C5" w:rsidP="00E254C5">
      <w:pPr>
        <w:ind w:left="227" w:hanging="227"/>
        <w:rPr>
          <w:rFonts w:asciiTheme="majorBidi" w:hAnsiTheme="majorBidi" w:cstheme="majorBidi"/>
          <w:sz w:val="22"/>
          <w:szCs w:val="22"/>
        </w:rPr>
      </w:pPr>
      <w:r w:rsidRPr="00A9281B">
        <w:rPr>
          <w:rFonts w:asciiTheme="majorBidi" w:hAnsiTheme="majorBidi" w:cstheme="majorBidi"/>
          <w:sz w:val="22"/>
          <w:szCs w:val="22"/>
        </w:rPr>
        <w:t>Byrne, B. M. (</w:t>
      </w:r>
      <w:r w:rsidR="00E70E5D">
        <w:rPr>
          <w:rFonts w:asciiTheme="majorBidi" w:hAnsiTheme="majorBidi" w:cstheme="majorBidi"/>
          <w:sz w:val="22"/>
          <w:szCs w:val="22"/>
        </w:rPr>
        <w:t>2009)</w:t>
      </w:r>
      <w:r w:rsidRPr="00A9281B">
        <w:rPr>
          <w:rFonts w:asciiTheme="majorBidi" w:hAnsiTheme="majorBidi" w:cstheme="majorBidi"/>
          <w:sz w:val="22"/>
          <w:szCs w:val="22"/>
        </w:rPr>
        <w:t xml:space="preserve"> </w:t>
      </w:r>
      <w:r w:rsidRPr="00A9281B">
        <w:rPr>
          <w:rFonts w:asciiTheme="majorBidi" w:hAnsiTheme="majorBidi" w:cstheme="majorBidi"/>
          <w:i/>
          <w:iCs/>
          <w:sz w:val="22"/>
          <w:szCs w:val="22"/>
        </w:rPr>
        <w:t>Structural Equation Mod</w:t>
      </w:r>
      <w:r w:rsidR="00E70E5D">
        <w:rPr>
          <w:rFonts w:asciiTheme="majorBidi" w:hAnsiTheme="majorBidi" w:cstheme="majorBidi"/>
          <w:i/>
          <w:iCs/>
          <w:sz w:val="22"/>
          <w:szCs w:val="22"/>
        </w:rPr>
        <w:t>eling with AMOS. Second Edition</w:t>
      </w:r>
      <w:r w:rsidRPr="00A9281B">
        <w:rPr>
          <w:rFonts w:asciiTheme="majorBidi" w:hAnsiTheme="majorBidi" w:cstheme="majorBidi"/>
          <w:i/>
          <w:iCs/>
          <w:sz w:val="22"/>
          <w:szCs w:val="22"/>
        </w:rPr>
        <w:t xml:space="preserve"> </w:t>
      </w:r>
      <w:r w:rsidR="00E70E5D">
        <w:rPr>
          <w:rFonts w:asciiTheme="majorBidi" w:hAnsiTheme="majorBidi" w:cstheme="majorBidi"/>
          <w:sz w:val="22"/>
          <w:szCs w:val="22"/>
        </w:rPr>
        <w:t>(New York,</w:t>
      </w:r>
      <w:r w:rsidRPr="00A9281B">
        <w:rPr>
          <w:rFonts w:asciiTheme="majorBidi" w:hAnsiTheme="majorBidi" w:cstheme="majorBidi"/>
          <w:sz w:val="22"/>
          <w:szCs w:val="22"/>
        </w:rPr>
        <w:t xml:space="preserve"> Routledge</w:t>
      </w:r>
      <w:r w:rsidR="00E70E5D">
        <w:rPr>
          <w:rFonts w:asciiTheme="majorBidi" w:hAnsiTheme="majorBidi" w:cstheme="majorBidi"/>
          <w:sz w:val="22"/>
          <w:szCs w:val="22"/>
        </w:rPr>
        <w:t>)</w:t>
      </w:r>
      <w:r w:rsidRPr="00A9281B">
        <w:rPr>
          <w:rFonts w:asciiTheme="majorBidi" w:hAnsiTheme="majorBidi" w:cstheme="majorBidi"/>
          <w:sz w:val="22"/>
          <w:szCs w:val="22"/>
        </w:rPr>
        <w:t>.</w:t>
      </w:r>
    </w:p>
    <w:p w14:paraId="0A24DA48" w14:textId="275CF9E4" w:rsidR="00E254C5" w:rsidRPr="00A9281B" w:rsidRDefault="00E254C5" w:rsidP="00E70E5D">
      <w:pPr>
        <w:ind w:left="227" w:hanging="227"/>
        <w:rPr>
          <w:rFonts w:asciiTheme="majorBidi" w:hAnsiTheme="majorBidi" w:cstheme="majorBidi"/>
          <w:sz w:val="22"/>
          <w:szCs w:val="22"/>
        </w:rPr>
      </w:pPr>
      <w:r w:rsidRPr="00A9281B">
        <w:rPr>
          <w:rFonts w:asciiTheme="majorBidi" w:hAnsiTheme="majorBidi" w:cstheme="majorBidi"/>
          <w:sz w:val="22"/>
          <w:szCs w:val="22"/>
        </w:rPr>
        <w:t>Carini, R. M., Kuh, G. D. &amp; Klein, S. P. (2006) Student engagement and student</w:t>
      </w:r>
      <w:r w:rsidR="00E70E5D">
        <w:rPr>
          <w:rFonts w:asciiTheme="majorBidi" w:hAnsiTheme="majorBidi" w:cstheme="majorBidi"/>
          <w:sz w:val="22"/>
          <w:szCs w:val="22"/>
        </w:rPr>
        <w:t xml:space="preserve"> learning: testing the linkages,</w:t>
      </w:r>
      <w:r w:rsidRPr="00A9281B">
        <w:rPr>
          <w:rFonts w:asciiTheme="majorBidi" w:hAnsiTheme="majorBidi" w:cstheme="majorBidi"/>
          <w:sz w:val="22"/>
          <w:szCs w:val="22"/>
        </w:rPr>
        <w:t xml:space="preserve"> </w:t>
      </w:r>
      <w:r w:rsidRPr="00A9281B">
        <w:rPr>
          <w:rFonts w:asciiTheme="majorBidi" w:hAnsiTheme="majorBidi" w:cstheme="majorBidi"/>
          <w:i/>
          <w:iCs/>
          <w:sz w:val="22"/>
          <w:szCs w:val="22"/>
        </w:rPr>
        <w:t xml:space="preserve">Research in Higher Education, </w:t>
      </w:r>
      <w:r w:rsidRPr="00A9281B">
        <w:rPr>
          <w:rFonts w:asciiTheme="majorBidi" w:hAnsiTheme="majorBidi" w:cstheme="majorBidi"/>
          <w:sz w:val="22"/>
          <w:szCs w:val="22"/>
        </w:rPr>
        <w:t>47(1), 1-32.</w:t>
      </w:r>
    </w:p>
    <w:p w14:paraId="42D6ADE9" w14:textId="6EC5CE7A" w:rsidR="00E254C5" w:rsidRPr="00A9281B" w:rsidRDefault="00E254C5" w:rsidP="00E70E5D">
      <w:pPr>
        <w:ind w:left="227" w:hanging="227"/>
        <w:rPr>
          <w:rFonts w:asciiTheme="majorBidi" w:hAnsiTheme="majorBidi" w:cstheme="majorBidi"/>
          <w:sz w:val="22"/>
          <w:szCs w:val="22"/>
        </w:rPr>
      </w:pPr>
      <w:r w:rsidRPr="00A9281B">
        <w:rPr>
          <w:rFonts w:asciiTheme="majorBidi" w:hAnsiTheme="majorBidi" w:cstheme="majorBidi"/>
          <w:sz w:val="22"/>
          <w:szCs w:val="22"/>
        </w:rPr>
        <w:t>Carrell , S.E. &amp; West, J.E. (2010) Does professor quality matter? Evidence from random assignment of students to professors</w:t>
      </w:r>
      <w:r w:rsidR="00E70E5D">
        <w:rPr>
          <w:rFonts w:asciiTheme="majorBidi" w:hAnsiTheme="majorBidi" w:cstheme="majorBidi"/>
          <w:sz w:val="22"/>
          <w:szCs w:val="22"/>
        </w:rPr>
        <w:t>,</w:t>
      </w:r>
      <w:r w:rsidRPr="00A9281B">
        <w:rPr>
          <w:rFonts w:asciiTheme="majorBidi" w:hAnsiTheme="majorBidi" w:cstheme="majorBidi"/>
          <w:sz w:val="22"/>
          <w:szCs w:val="22"/>
        </w:rPr>
        <w:t xml:space="preserve"> </w:t>
      </w:r>
      <w:r w:rsidRPr="00A9281B">
        <w:rPr>
          <w:rFonts w:asciiTheme="majorBidi" w:hAnsiTheme="majorBidi" w:cstheme="majorBidi"/>
          <w:i/>
          <w:iCs/>
          <w:sz w:val="22"/>
          <w:szCs w:val="22"/>
        </w:rPr>
        <w:t>Journal of Political Economy</w:t>
      </w:r>
      <w:r w:rsidRPr="00A9281B">
        <w:rPr>
          <w:rFonts w:asciiTheme="majorBidi" w:hAnsiTheme="majorBidi" w:cstheme="majorBidi"/>
          <w:sz w:val="22"/>
          <w:szCs w:val="22"/>
        </w:rPr>
        <w:t xml:space="preserve">, </w:t>
      </w:r>
      <w:r w:rsidRPr="00A9281B">
        <w:rPr>
          <w:rFonts w:asciiTheme="majorBidi" w:hAnsiTheme="majorBidi" w:cstheme="majorBidi"/>
          <w:i/>
          <w:iCs/>
          <w:sz w:val="22"/>
          <w:szCs w:val="22"/>
        </w:rPr>
        <w:t>118</w:t>
      </w:r>
      <w:r w:rsidRPr="00A9281B">
        <w:rPr>
          <w:rFonts w:asciiTheme="majorBidi" w:hAnsiTheme="majorBidi" w:cstheme="majorBidi"/>
          <w:sz w:val="22"/>
          <w:szCs w:val="22"/>
        </w:rPr>
        <w:t>(3), 409-432.</w:t>
      </w:r>
    </w:p>
    <w:p w14:paraId="40DA8E80" w14:textId="4AE295D6" w:rsidR="00E254C5" w:rsidRPr="00A9281B" w:rsidRDefault="00E254C5" w:rsidP="00E70E5D">
      <w:pPr>
        <w:ind w:left="227" w:hanging="227"/>
        <w:rPr>
          <w:rFonts w:asciiTheme="majorBidi" w:hAnsiTheme="majorBidi" w:cstheme="majorBidi"/>
          <w:sz w:val="22"/>
          <w:szCs w:val="22"/>
        </w:rPr>
      </w:pPr>
      <w:r w:rsidRPr="00A9281B">
        <w:rPr>
          <w:rFonts w:asciiTheme="majorBidi" w:hAnsiTheme="majorBidi" w:cstheme="majorBidi"/>
          <w:sz w:val="22"/>
          <w:szCs w:val="22"/>
          <w:lang w:val="en-US"/>
        </w:rPr>
        <w:t xml:space="preserve">Chapman, C., Muijs, D., Reynolds, D., Sammons, P &amp; Teddlie, C. (2016) </w:t>
      </w:r>
      <w:r w:rsidRPr="00A9281B">
        <w:rPr>
          <w:rFonts w:asciiTheme="majorBidi" w:hAnsiTheme="majorBidi" w:cstheme="majorBidi"/>
          <w:i/>
          <w:iCs/>
          <w:sz w:val="22"/>
          <w:szCs w:val="22"/>
        </w:rPr>
        <w:t>Routledge International Handbook of Educational Effectiveness and Improvement Research</w:t>
      </w:r>
      <w:r w:rsidRPr="00A9281B">
        <w:rPr>
          <w:rFonts w:asciiTheme="majorBidi" w:hAnsiTheme="majorBidi" w:cstheme="majorBidi"/>
          <w:sz w:val="22"/>
          <w:szCs w:val="22"/>
        </w:rPr>
        <w:t xml:space="preserve"> </w:t>
      </w:r>
      <w:r w:rsidR="00E70E5D">
        <w:rPr>
          <w:rFonts w:asciiTheme="majorBidi" w:hAnsiTheme="majorBidi" w:cstheme="majorBidi"/>
          <w:sz w:val="22"/>
          <w:szCs w:val="22"/>
        </w:rPr>
        <w:t>(London,</w:t>
      </w:r>
      <w:r w:rsidRPr="00A9281B">
        <w:rPr>
          <w:rFonts w:asciiTheme="majorBidi" w:hAnsiTheme="majorBidi" w:cstheme="majorBidi"/>
          <w:sz w:val="22"/>
          <w:szCs w:val="22"/>
        </w:rPr>
        <w:t xml:space="preserve"> Taylor and Franci</w:t>
      </w:r>
      <w:r w:rsidRPr="00A9281B">
        <w:rPr>
          <w:rFonts w:asciiTheme="majorBidi" w:hAnsiTheme="majorBidi" w:cstheme="majorBidi"/>
          <w:sz w:val="22"/>
          <w:szCs w:val="22"/>
        </w:rPr>
        <w:t>s</w:t>
      </w:r>
      <w:r w:rsidR="00E70E5D">
        <w:rPr>
          <w:rFonts w:asciiTheme="majorBidi" w:hAnsiTheme="majorBidi" w:cstheme="majorBidi"/>
          <w:sz w:val="22"/>
          <w:szCs w:val="22"/>
        </w:rPr>
        <w:t>)</w:t>
      </w:r>
      <w:r w:rsidRPr="00A9281B">
        <w:rPr>
          <w:rFonts w:asciiTheme="majorBidi" w:hAnsiTheme="majorBidi" w:cstheme="majorBidi"/>
          <w:sz w:val="22"/>
          <w:szCs w:val="22"/>
        </w:rPr>
        <w:t>.</w:t>
      </w:r>
    </w:p>
    <w:p w14:paraId="1B998996" w14:textId="66272BD0" w:rsidR="00E254C5" w:rsidRPr="00A9281B" w:rsidRDefault="00E254C5" w:rsidP="00E254C5">
      <w:pPr>
        <w:ind w:left="227" w:hanging="227"/>
        <w:rPr>
          <w:rFonts w:asciiTheme="majorBidi" w:hAnsiTheme="majorBidi" w:cstheme="majorBidi"/>
          <w:sz w:val="22"/>
          <w:szCs w:val="22"/>
        </w:rPr>
      </w:pPr>
      <w:r w:rsidRPr="00A9281B">
        <w:rPr>
          <w:rFonts w:asciiTheme="majorBidi" w:hAnsiTheme="majorBidi" w:cstheme="majorBidi"/>
          <w:sz w:val="22"/>
          <w:szCs w:val="22"/>
        </w:rPr>
        <w:t>Ch</w:t>
      </w:r>
      <w:r w:rsidR="00E70E5D">
        <w:rPr>
          <w:rFonts w:asciiTheme="majorBidi" w:hAnsiTheme="majorBidi" w:cstheme="majorBidi"/>
          <w:sz w:val="22"/>
          <w:szCs w:val="22"/>
        </w:rPr>
        <w:t>eng, J.H.S &amp; Marsh, H.W. (2010)</w:t>
      </w:r>
      <w:r w:rsidRPr="00A9281B">
        <w:rPr>
          <w:rFonts w:asciiTheme="majorBidi" w:hAnsiTheme="majorBidi" w:cstheme="majorBidi"/>
          <w:sz w:val="22"/>
          <w:szCs w:val="22"/>
        </w:rPr>
        <w:t xml:space="preserve"> National Student Survey: are differences between universities and courses reliable and meaningful? </w:t>
      </w:r>
      <w:r w:rsidRPr="00A9281B">
        <w:rPr>
          <w:rFonts w:asciiTheme="majorBidi" w:hAnsiTheme="majorBidi" w:cstheme="majorBidi"/>
          <w:i/>
          <w:sz w:val="22"/>
          <w:szCs w:val="22"/>
        </w:rPr>
        <w:t>Oxford Review of Education</w:t>
      </w:r>
      <w:r w:rsidRPr="00A9281B">
        <w:rPr>
          <w:rFonts w:asciiTheme="majorBidi" w:hAnsiTheme="majorBidi" w:cstheme="majorBidi"/>
          <w:sz w:val="22"/>
          <w:szCs w:val="22"/>
        </w:rPr>
        <w:t>, 36(6), 693-712.</w:t>
      </w:r>
    </w:p>
    <w:p w14:paraId="6C400519" w14:textId="5D52750A" w:rsidR="00E254C5" w:rsidRPr="00A9281B" w:rsidRDefault="00E254C5" w:rsidP="00E254C5">
      <w:pPr>
        <w:ind w:left="227" w:hanging="227"/>
        <w:rPr>
          <w:rFonts w:asciiTheme="majorBidi" w:hAnsiTheme="majorBidi" w:cstheme="majorBidi"/>
          <w:sz w:val="22"/>
          <w:szCs w:val="22"/>
        </w:rPr>
      </w:pPr>
      <w:r w:rsidRPr="00A9281B">
        <w:rPr>
          <w:rFonts w:asciiTheme="majorBidi" w:hAnsiTheme="majorBidi" w:cstheme="majorBidi"/>
          <w:sz w:val="22"/>
          <w:szCs w:val="22"/>
        </w:rPr>
        <w:t>Cho, D,. B</w:t>
      </w:r>
      <w:r w:rsidR="00E70E5D">
        <w:rPr>
          <w:rFonts w:asciiTheme="majorBidi" w:hAnsiTheme="majorBidi" w:cstheme="majorBidi"/>
          <w:sz w:val="22"/>
          <w:szCs w:val="22"/>
        </w:rPr>
        <w:t>aek, W., &amp; Cho, J. (2015)</w:t>
      </w:r>
      <w:r w:rsidRPr="00A9281B">
        <w:rPr>
          <w:rFonts w:asciiTheme="majorBidi" w:hAnsiTheme="majorBidi" w:cstheme="majorBidi"/>
          <w:sz w:val="22"/>
          <w:szCs w:val="22"/>
        </w:rPr>
        <w:t xml:space="preserve"> Why do good performing students highly rate their instructors? Evidence from a natural experiment</w:t>
      </w:r>
      <w:r w:rsidR="00E70E5D">
        <w:rPr>
          <w:rFonts w:asciiTheme="majorBidi" w:hAnsiTheme="majorBidi" w:cstheme="majorBidi"/>
          <w:sz w:val="22"/>
          <w:szCs w:val="22"/>
        </w:rPr>
        <w:t>,</w:t>
      </w:r>
      <w:r w:rsidRPr="00A9281B">
        <w:rPr>
          <w:rFonts w:asciiTheme="majorBidi" w:hAnsiTheme="majorBidi" w:cstheme="majorBidi"/>
          <w:sz w:val="22"/>
          <w:szCs w:val="22"/>
        </w:rPr>
        <w:t xml:space="preserve"> </w:t>
      </w:r>
      <w:r w:rsidRPr="00A9281B">
        <w:rPr>
          <w:rFonts w:asciiTheme="majorBidi" w:hAnsiTheme="majorBidi" w:cstheme="majorBidi"/>
          <w:i/>
          <w:iCs/>
          <w:sz w:val="22"/>
          <w:szCs w:val="22"/>
        </w:rPr>
        <w:t>Economics of Education Review</w:t>
      </w:r>
      <w:r w:rsidRPr="00A9281B">
        <w:rPr>
          <w:rFonts w:asciiTheme="majorBidi" w:hAnsiTheme="majorBidi" w:cstheme="majorBidi"/>
          <w:sz w:val="22"/>
          <w:szCs w:val="22"/>
        </w:rPr>
        <w:t>, 49, 172-179.</w:t>
      </w:r>
    </w:p>
    <w:p w14:paraId="6F108677" w14:textId="25BDFDFF" w:rsidR="00E254C5" w:rsidRPr="00A9281B" w:rsidRDefault="00E254C5" w:rsidP="00E254C5">
      <w:pPr>
        <w:ind w:left="227" w:hanging="227"/>
        <w:rPr>
          <w:rFonts w:asciiTheme="majorBidi" w:hAnsiTheme="majorBidi" w:cstheme="majorBidi"/>
          <w:sz w:val="22"/>
          <w:szCs w:val="22"/>
        </w:rPr>
      </w:pPr>
      <w:r w:rsidRPr="00A9281B">
        <w:rPr>
          <w:rFonts w:asciiTheme="majorBidi" w:hAnsiTheme="majorBidi" w:cstheme="majorBidi"/>
          <w:sz w:val="22"/>
          <w:szCs w:val="22"/>
        </w:rPr>
        <w:lastRenderedPageBreak/>
        <w:t>Clemes, M. D., Gan, C. E. C. &amp; Kao, T.-H. (</w:t>
      </w:r>
      <w:r w:rsidR="00E70E5D">
        <w:rPr>
          <w:rFonts w:asciiTheme="majorBidi" w:hAnsiTheme="majorBidi" w:cstheme="majorBidi"/>
          <w:sz w:val="22"/>
          <w:szCs w:val="22"/>
        </w:rPr>
        <w:t>2008)</w:t>
      </w:r>
      <w:r w:rsidRPr="00A9281B">
        <w:rPr>
          <w:rFonts w:asciiTheme="majorBidi" w:hAnsiTheme="majorBidi" w:cstheme="majorBidi"/>
          <w:sz w:val="22"/>
          <w:szCs w:val="22"/>
        </w:rPr>
        <w:t xml:space="preserve"> University student satisfaction: An empirical a</w:t>
      </w:r>
      <w:r w:rsidR="00E70E5D">
        <w:rPr>
          <w:rFonts w:asciiTheme="majorBidi" w:hAnsiTheme="majorBidi" w:cstheme="majorBidi"/>
          <w:sz w:val="22"/>
          <w:szCs w:val="22"/>
        </w:rPr>
        <w:t>nalysis,</w:t>
      </w:r>
      <w:r w:rsidRPr="00A9281B">
        <w:rPr>
          <w:rFonts w:asciiTheme="majorBidi" w:hAnsiTheme="majorBidi" w:cstheme="majorBidi"/>
          <w:sz w:val="22"/>
          <w:szCs w:val="22"/>
        </w:rPr>
        <w:t xml:space="preserve"> </w:t>
      </w:r>
      <w:r w:rsidRPr="00A9281B">
        <w:rPr>
          <w:rFonts w:asciiTheme="majorBidi" w:hAnsiTheme="majorBidi" w:cstheme="majorBidi"/>
          <w:i/>
          <w:iCs/>
          <w:sz w:val="22"/>
          <w:szCs w:val="22"/>
        </w:rPr>
        <w:t>Journal of Marketing for Higher Education</w:t>
      </w:r>
      <w:r w:rsidRPr="00A9281B">
        <w:rPr>
          <w:rFonts w:asciiTheme="majorBidi" w:hAnsiTheme="majorBidi" w:cstheme="majorBidi"/>
          <w:sz w:val="22"/>
          <w:szCs w:val="22"/>
        </w:rPr>
        <w:t>, 17(2), 292-325.</w:t>
      </w:r>
    </w:p>
    <w:p w14:paraId="68038322" w14:textId="5FD09885" w:rsidR="00E254C5" w:rsidRPr="00A9281B" w:rsidRDefault="00E254C5" w:rsidP="00E70E5D">
      <w:pPr>
        <w:ind w:left="227" w:hanging="227"/>
        <w:rPr>
          <w:rFonts w:asciiTheme="majorBidi" w:hAnsiTheme="majorBidi" w:cstheme="majorBidi"/>
          <w:i/>
          <w:iCs/>
          <w:sz w:val="22"/>
          <w:szCs w:val="22"/>
        </w:rPr>
      </w:pPr>
      <w:r w:rsidRPr="00A9281B">
        <w:rPr>
          <w:rFonts w:asciiTheme="majorBidi" w:hAnsiTheme="majorBidi" w:cstheme="majorBidi"/>
          <w:sz w:val="22"/>
          <w:szCs w:val="22"/>
        </w:rPr>
        <w:t>Cownie, F. (2014</w:t>
      </w:r>
      <w:r w:rsidR="00E70E5D">
        <w:rPr>
          <w:rFonts w:asciiTheme="majorBidi" w:hAnsiTheme="majorBidi" w:cstheme="majorBidi"/>
          <w:sz w:val="22"/>
          <w:szCs w:val="22"/>
        </w:rPr>
        <w:t>)</w:t>
      </w:r>
      <w:r w:rsidRPr="00A9281B">
        <w:rPr>
          <w:rFonts w:asciiTheme="majorBidi" w:hAnsiTheme="majorBidi" w:cstheme="majorBidi"/>
          <w:sz w:val="22"/>
          <w:szCs w:val="22"/>
        </w:rPr>
        <w:t xml:space="preserve"> </w:t>
      </w:r>
      <w:r w:rsidRPr="00A9281B">
        <w:rPr>
          <w:rFonts w:asciiTheme="majorBidi" w:hAnsiTheme="majorBidi" w:cstheme="majorBidi"/>
          <w:i/>
          <w:iCs/>
          <w:sz w:val="22"/>
          <w:szCs w:val="22"/>
        </w:rPr>
        <w:t xml:space="preserve">A Study of undergraduate students’ reported commitment within higher education and the impact of that commitment on intentions to emit word-of-mouth communication. </w:t>
      </w:r>
      <w:r w:rsidRPr="00A9281B">
        <w:rPr>
          <w:rFonts w:asciiTheme="majorBidi" w:hAnsiTheme="majorBidi" w:cstheme="majorBidi"/>
          <w:sz w:val="22"/>
          <w:szCs w:val="22"/>
        </w:rPr>
        <w:t xml:space="preserve">(Unpublished doctoral thesis). </w:t>
      </w:r>
      <w:r w:rsidR="00E70E5D">
        <w:rPr>
          <w:rFonts w:asciiTheme="majorBidi" w:hAnsiTheme="majorBidi" w:cstheme="majorBidi"/>
          <w:sz w:val="22"/>
          <w:szCs w:val="22"/>
        </w:rPr>
        <w:t xml:space="preserve">(Southampton, </w:t>
      </w:r>
      <w:r w:rsidRPr="00A9281B">
        <w:rPr>
          <w:rFonts w:asciiTheme="majorBidi" w:hAnsiTheme="majorBidi" w:cstheme="majorBidi"/>
          <w:sz w:val="22"/>
          <w:szCs w:val="22"/>
        </w:rPr>
        <w:t>University of Southampton</w:t>
      </w:r>
      <w:r w:rsidR="00E70E5D">
        <w:rPr>
          <w:rFonts w:asciiTheme="majorBidi" w:hAnsiTheme="majorBidi" w:cstheme="majorBidi"/>
          <w:sz w:val="22"/>
          <w:szCs w:val="22"/>
        </w:rPr>
        <w:t>)</w:t>
      </w:r>
      <w:r w:rsidRPr="00A9281B">
        <w:rPr>
          <w:rFonts w:asciiTheme="majorBidi" w:hAnsiTheme="majorBidi" w:cstheme="majorBidi"/>
          <w:i/>
          <w:iCs/>
          <w:sz w:val="22"/>
          <w:szCs w:val="22"/>
        </w:rPr>
        <w:t>.</w:t>
      </w:r>
    </w:p>
    <w:p w14:paraId="69CA8B96" w14:textId="16854010" w:rsidR="00E254C5" w:rsidRPr="00A9281B" w:rsidRDefault="00E70E5D" w:rsidP="00E70E5D">
      <w:pPr>
        <w:ind w:left="227" w:hanging="227"/>
        <w:rPr>
          <w:rFonts w:asciiTheme="majorBidi" w:hAnsiTheme="majorBidi" w:cstheme="majorBidi"/>
          <w:sz w:val="22"/>
          <w:szCs w:val="22"/>
        </w:rPr>
      </w:pPr>
      <w:r>
        <w:rPr>
          <w:rFonts w:asciiTheme="majorBidi" w:hAnsiTheme="majorBidi" w:cstheme="majorBidi"/>
          <w:sz w:val="22"/>
          <w:szCs w:val="22"/>
        </w:rPr>
        <w:t>Dedrick et al. (2009) Multilevel Modeling: A review of m</w:t>
      </w:r>
      <w:r w:rsidR="00E254C5" w:rsidRPr="00A9281B">
        <w:rPr>
          <w:rFonts w:asciiTheme="majorBidi" w:hAnsiTheme="majorBidi" w:cstheme="majorBidi"/>
          <w:sz w:val="22"/>
          <w:szCs w:val="22"/>
        </w:rPr>
        <w:t>ethodologica</w:t>
      </w:r>
      <w:r>
        <w:rPr>
          <w:rFonts w:asciiTheme="majorBidi" w:hAnsiTheme="majorBidi" w:cstheme="majorBidi"/>
          <w:sz w:val="22"/>
          <w:szCs w:val="22"/>
        </w:rPr>
        <w:t>l issues and a</w:t>
      </w:r>
      <w:r w:rsidR="00E254C5" w:rsidRPr="00A9281B">
        <w:rPr>
          <w:rFonts w:asciiTheme="majorBidi" w:hAnsiTheme="majorBidi" w:cstheme="majorBidi"/>
          <w:sz w:val="22"/>
          <w:szCs w:val="22"/>
        </w:rPr>
        <w:t>pplications</w:t>
      </w:r>
      <w:r>
        <w:rPr>
          <w:rFonts w:asciiTheme="majorBidi" w:hAnsiTheme="majorBidi" w:cstheme="majorBidi"/>
          <w:sz w:val="22"/>
          <w:szCs w:val="22"/>
        </w:rPr>
        <w:t>,</w:t>
      </w:r>
      <w:r w:rsidR="00E254C5" w:rsidRPr="00A9281B">
        <w:rPr>
          <w:rFonts w:asciiTheme="majorBidi" w:hAnsiTheme="majorBidi" w:cstheme="majorBidi"/>
          <w:sz w:val="22"/>
          <w:szCs w:val="22"/>
        </w:rPr>
        <w:t xml:space="preserve"> </w:t>
      </w:r>
      <w:r w:rsidR="00E254C5" w:rsidRPr="00A9281B">
        <w:rPr>
          <w:rFonts w:asciiTheme="majorBidi" w:hAnsiTheme="majorBidi" w:cstheme="majorBidi"/>
          <w:i/>
          <w:iCs/>
          <w:sz w:val="22"/>
          <w:szCs w:val="22"/>
        </w:rPr>
        <w:t>Review of Educational Research</w:t>
      </w:r>
      <w:r w:rsidR="00E254C5" w:rsidRPr="00A9281B">
        <w:rPr>
          <w:rFonts w:asciiTheme="majorBidi" w:hAnsiTheme="majorBidi" w:cstheme="majorBidi"/>
          <w:sz w:val="22"/>
          <w:szCs w:val="22"/>
        </w:rPr>
        <w:t xml:space="preserve">, </w:t>
      </w:r>
      <w:r w:rsidR="00E254C5" w:rsidRPr="00A9281B">
        <w:rPr>
          <w:rFonts w:asciiTheme="majorBidi" w:hAnsiTheme="majorBidi" w:cstheme="majorBidi"/>
          <w:i/>
          <w:sz w:val="22"/>
          <w:szCs w:val="22"/>
        </w:rPr>
        <w:t>79</w:t>
      </w:r>
      <w:r w:rsidR="00E254C5" w:rsidRPr="00A9281B">
        <w:rPr>
          <w:rFonts w:asciiTheme="majorBidi" w:hAnsiTheme="majorBidi" w:cstheme="majorBidi"/>
          <w:sz w:val="22"/>
          <w:szCs w:val="22"/>
        </w:rPr>
        <w:t>(1), 69-102</w:t>
      </w:r>
    </w:p>
    <w:p w14:paraId="1A59EA56" w14:textId="513E64BD" w:rsidR="00E254C5" w:rsidRPr="00A9281B" w:rsidRDefault="00E254C5" w:rsidP="00E70E5D">
      <w:pPr>
        <w:ind w:left="227" w:hanging="227"/>
        <w:rPr>
          <w:rFonts w:asciiTheme="majorBidi" w:hAnsiTheme="majorBidi" w:cstheme="majorBidi"/>
          <w:sz w:val="22"/>
          <w:szCs w:val="22"/>
        </w:rPr>
      </w:pPr>
      <w:r w:rsidRPr="00A9281B">
        <w:rPr>
          <w:rFonts w:asciiTheme="majorBidi" w:hAnsiTheme="majorBidi" w:cstheme="majorBidi"/>
          <w:sz w:val="22"/>
          <w:szCs w:val="22"/>
        </w:rPr>
        <w:t xml:space="preserve">Department for Education (2015) </w:t>
      </w:r>
      <w:r w:rsidRPr="00E70E5D">
        <w:rPr>
          <w:rFonts w:asciiTheme="majorBidi" w:hAnsiTheme="majorBidi" w:cstheme="majorBidi"/>
          <w:i/>
          <w:iCs/>
          <w:sz w:val="22"/>
          <w:szCs w:val="22"/>
        </w:rPr>
        <w:t>Fulfilling our Potential: Teaching Excellence, Social Mobility and Student Choice</w:t>
      </w:r>
      <w:r w:rsidRPr="00A9281B">
        <w:rPr>
          <w:rFonts w:asciiTheme="majorBidi" w:hAnsiTheme="majorBidi" w:cstheme="majorBidi"/>
          <w:sz w:val="22"/>
          <w:szCs w:val="22"/>
        </w:rPr>
        <w:t xml:space="preserve">. Green paper. </w:t>
      </w:r>
      <w:hyperlink r:id="rId10" w:history="1">
        <w:r w:rsidRPr="00A9281B">
          <w:rPr>
            <w:rStyle w:val="Hyperlink"/>
            <w:rFonts w:asciiTheme="majorBidi" w:hAnsiTheme="majorBidi" w:cstheme="majorBidi"/>
            <w:sz w:val="22"/>
            <w:szCs w:val="22"/>
          </w:rPr>
          <w:t>https://www.gov.uk/government/uploads/system/uploads/attachment_data/file/474227/BIS-15-623-fulfilling-our-potential-teaching-excellence-social-mobility-and-student-choice.pdf</w:t>
        </w:r>
      </w:hyperlink>
      <w:r w:rsidRPr="00A9281B">
        <w:rPr>
          <w:rFonts w:asciiTheme="majorBidi" w:hAnsiTheme="majorBidi" w:cstheme="majorBidi"/>
          <w:sz w:val="22"/>
          <w:szCs w:val="22"/>
        </w:rPr>
        <w:t xml:space="preserve"> </w:t>
      </w:r>
      <w:r w:rsidR="00E70E5D">
        <w:rPr>
          <w:rFonts w:asciiTheme="majorBidi" w:hAnsiTheme="majorBidi" w:cstheme="majorBidi"/>
          <w:sz w:val="22"/>
          <w:szCs w:val="22"/>
        </w:rPr>
        <w:t>Accessed 10/1/16.</w:t>
      </w:r>
    </w:p>
    <w:p w14:paraId="067FADDA" w14:textId="0F10D646" w:rsidR="00E254C5" w:rsidRPr="00A9281B" w:rsidRDefault="00E254C5" w:rsidP="00E254C5">
      <w:pPr>
        <w:ind w:left="227" w:hanging="227"/>
        <w:rPr>
          <w:rFonts w:asciiTheme="majorBidi" w:hAnsiTheme="majorBidi" w:cstheme="majorBidi"/>
          <w:sz w:val="22"/>
          <w:szCs w:val="22"/>
        </w:rPr>
      </w:pPr>
      <w:r w:rsidRPr="00E70E5D">
        <w:rPr>
          <w:rFonts w:asciiTheme="majorBidi" w:hAnsiTheme="majorBidi" w:cstheme="majorBidi"/>
          <w:sz w:val="22"/>
          <w:szCs w:val="22"/>
        </w:rPr>
        <w:t xml:space="preserve">DeShields, O. W., Kara, A. &amp; Kaynak, E. </w:t>
      </w:r>
      <w:r w:rsidR="00E70E5D" w:rsidRPr="00E70E5D">
        <w:rPr>
          <w:rFonts w:asciiTheme="majorBidi" w:hAnsiTheme="majorBidi" w:cstheme="majorBidi"/>
          <w:sz w:val="22"/>
          <w:szCs w:val="22"/>
        </w:rPr>
        <w:t>(2005)</w:t>
      </w:r>
      <w:r w:rsidRPr="00E70E5D">
        <w:rPr>
          <w:rFonts w:asciiTheme="majorBidi" w:hAnsiTheme="majorBidi" w:cstheme="majorBidi"/>
          <w:sz w:val="22"/>
          <w:szCs w:val="22"/>
        </w:rPr>
        <w:t xml:space="preserve"> </w:t>
      </w:r>
      <w:r w:rsidRPr="00A9281B">
        <w:rPr>
          <w:rFonts w:asciiTheme="majorBidi" w:hAnsiTheme="majorBidi" w:cstheme="majorBidi"/>
          <w:sz w:val="22"/>
          <w:szCs w:val="22"/>
        </w:rPr>
        <w:t>Determinants of business student satisfaction and</w:t>
      </w:r>
    </w:p>
    <w:p w14:paraId="6B3D380B" w14:textId="119C4AC1" w:rsidR="00E254C5" w:rsidRPr="00A9281B" w:rsidRDefault="00E254C5" w:rsidP="00E254C5">
      <w:pPr>
        <w:ind w:left="227"/>
        <w:rPr>
          <w:rFonts w:asciiTheme="majorBidi" w:hAnsiTheme="majorBidi" w:cstheme="majorBidi"/>
          <w:sz w:val="22"/>
          <w:szCs w:val="22"/>
        </w:rPr>
      </w:pPr>
      <w:r w:rsidRPr="00A9281B">
        <w:rPr>
          <w:rFonts w:asciiTheme="majorBidi" w:hAnsiTheme="majorBidi" w:cstheme="majorBidi"/>
          <w:sz w:val="22"/>
          <w:szCs w:val="22"/>
        </w:rPr>
        <w:t>retention in higher education: applyi</w:t>
      </w:r>
      <w:r w:rsidR="00E70E5D">
        <w:rPr>
          <w:rFonts w:asciiTheme="majorBidi" w:hAnsiTheme="majorBidi" w:cstheme="majorBidi"/>
          <w:sz w:val="22"/>
          <w:szCs w:val="22"/>
        </w:rPr>
        <w:t>ng Herzberg's two-factor theory,</w:t>
      </w:r>
      <w:r w:rsidRPr="00A9281B">
        <w:rPr>
          <w:rFonts w:asciiTheme="majorBidi" w:hAnsiTheme="majorBidi" w:cstheme="majorBidi"/>
          <w:sz w:val="22"/>
          <w:szCs w:val="22"/>
        </w:rPr>
        <w:t xml:space="preserve"> </w:t>
      </w:r>
      <w:r w:rsidRPr="00A9281B">
        <w:rPr>
          <w:rFonts w:asciiTheme="majorBidi" w:hAnsiTheme="majorBidi" w:cstheme="majorBidi"/>
          <w:i/>
          <w:iCs/>
          <w:sz w:val="22"/>
          <w:szCs w:val="22"/>
        </w:rPr>
        <w:t>International Journal of Educational Management</w:t>
      </w:r>
      <w:r w:rsidRPr="00A9281B">
        <w:rPr>
          <w:rFonts w:asciiTheme="majorBidi" w:hAnsiTheme="majorBidi" w:cstheme="majorBidi"/>
          <w:sz w:val="22"/>
          <w:szCs w:val="22"/>
        </w:rPr>
        <w:t>, 19(2), 128 – 139.</w:t>
      </w:r>
    </w:p>
    <w:p w14:paraId="269BF283" w14:textId="11656B6D" w:rsidR="00E254C5" w:rsidRPr="00A9281B" w:rsidRDefault="00E254C5" w:rsidP="00E70E5D">
      <w:pPr>
        <w:ind w:left="227" w:hanging="227"/>
        <w:rPr>
          <w:rFonts w:asciiTheme="majorBidi" w:hAnsiTheme="majorBidi" w:cstheme="majorBidi"/>
          <w:sz w:val="22"/>
          <w:szCs w:val="22"/>
        </w:rPr>
      </w:pPr>
      <w:r w:rsidRPr="00A9281B">
        <w:rPr>
          <w:rFonts w:asciiTheme="majorBidi" w:hAnsiTheme="majorBidi" w:cstheme="majorBidi"/>
          <w:sz w:val="22"/>
          <w:szCs w:val="22"/>
        </w:rPr>
        <w:t>DeWitz, S. J. &amp; Walsh, W. B. (2002</w:t>
      </w:r>
      <w:r w:rsidR="00E70E5D">
        <w:rPr>
          <w:rFonts w:asciiTheme="majorBidi" w:hAnsiTheme="majorBidi" w:cstheme="majorBidi"/>
          <w:sz w:val="22"/>
          <w:szCs w:val="22"/>
        </w:rPr>
        <w:t>)</w:t>
      </w:r>
      <w:r w:rsidRPr="00A9281B">
        <w:rPr>
          <w:rFonts w:asciiTheme="majorBidi" w:hAnsiTheme="majorBidi" w:cstheme="majorBidi"/>
          <w:sz w:val="22"/>
          <w:szCs w:val="22"/>
        </w:rPr>
        <w:t xml:space="preserve"> Self-Efficacy and college student satisfaction</w:t>
      </w:r>
      <w:r w:rsidR="00E70E5D">
        <w:rPr>
          <w:rFonts w:asciiTheme="majorBidi" w:hAnsiTheme="majorBidi" w:cstheme="majorBidi"/>
          <w:sz w:val="22"/>
          <w:szCs w:val="22"/>
        </w:rPr>
        <w:t>,</w:t>
      </w:r>
      <w:r w:rsidRPr="00A9281B">
        <w:rPr>
          <w:rFonts w:asciiTheme="majorBidi" w:hAnsiTheme="majorBidi" w:cstheme="majorBidi"/>
          <w:sz w:val="22"/>
          <w:szCs w:val="22"/>
        </w:rPr>
        <w:t xml:space="preserve"> </w:t>
      </w:r>
      <w:r w:rsidRPr="00A9281B">
        <w:rPr>
          <w:rFonts w:asciiTheme="majorBidi" w:hAnsiTheme="majorBidi" w:cstheme="majorBidi"/>
          <w:i/>
          <w:iCs/>
          <w:sz w:val="22"/>
          <w:szCs w:val="22"/>
        </w:rPr>
        <w:t xml:space="preserve">Journal of Career Assessment, </w:t>
      </w:r>
      <w:r w:rsidRPr="00A9281B">
        <w:rPr>
          <w:rFonts w:asciiTheme="majorBidi" w:hAnsiTheme="majorBidi" w:cstheme="majorBidi"/>
          <w:sz w:val="22"/>
          <w:szCs w:val="22"/>
        </w:rPr>
        <w:t>10(3), 315-326.</w:t>
      </w:r>
    </w:p>
    <w:p w14:paraId="47B35073" w14:textId="6233D898" w:rsidR="00E254C5" w:rsidRPr="00A9281B" w:rsidRDefault="00E254C5" w:rsidP="00E254C5">
      <w:pPr>
        <w:ind w:left="227" w:hanging="227"/>
        <w:rPr>
          <w:rFonts w:asciiTheme="majorBidi" w:hAnsiTheme="majorBidi" w:cstheme="majorBidi"/>
          <w:sz w:val="22"/>
          <w:szCs w:val="22"/>
        </w:rPr>
      </w:pPr>
      <w:r w:rsidRPr="00A9281B">
        <w:rPr>
          <w:rFonts w:asciiTheme="majorBidi" w:hAnsiTheme="majorBidi" w:cstheme="majorBidi"/>
          <w:sz w:val="22"/>
          <w:szCs w:val="22"/>
        </w:rPr>
        <w:t>Douglas, J. A., Douglas, A., McClel</w:t>
      </w:r>
      <w:r w:rsidR="00E70E5D">
        <w:rPr>
          <w:rFonts w:asciiTheme="majorBidi" w:hAnsiTheme="majorBidi" w:cstheme="majorBidi"/>
          <w:sz w:val="22"/>
          <w:szCs w:val="22"/>
        </w:rPr>
        <w:t>land, R. J. &amp; Davies, J. (2015)</w:t>
      </w:r>
      <w:r w:rsidRPr="00A9281B">
        <w:rPr>
          <w:rFonts w:asciiTheme="majorBidi" w:hAnsiTheme="majorBidi" w:cstheme="majorBidi"/>
          <w:sz w:val="22"/>
          <w:szCs w:val="22"/>
        </w:rPr>
        <w:t xml:space="preserve"> Understanding student satisfaction and dissatisfaction: an interpretive study in </w:t>
      </w:r>
      <w:r w:rsidR="00E70E5D">
        <w:rPr>
          <w:rFonts w:asciiTheme="majorBidi" w:hAnsiTheme="majorBidi" w:cstheme="majorBidi"/>
          <w:sz w:val="22"/>
          <w:szCs w:val="22"/>
        </w:rPr>
        <w:t>the UK higher education context,</w:t>
      </w:r>
      <w:r w:rsidRPr="00A9281B">
        <w:rPr>
          <w:rFonts w:asciiTheme="majorBidi" w:hAnsiTheme="majorBidi" w:cstheme="majorBidi"/>
          <w:sz w:val="22"/>
          <w:szCs w:val="22"/>
        </w:rPr>
        <w:t xml:space="preserve"> </w:t>
      </w:r>
      <w:r w:rsidRPr="00A9281B">
        <w:rPr>
          <w:rFonts w:asciiTheme="majorBidi" w:hAnsiTheme="majorBidi" w:cstheme="majorBidi"/>
          <w:i/>
          <w:iCs/>
          <w:sz w:val="22"/>
          <w:szCs w:val="22"/>
        </w:rPr>
        <w:t>Studies in Higher Education</w:t>
      </w:r>
      <w:r w:rsidRPr="00A9281B">
        <w:rPr>
          <w:rFonts w:asciiTheme="majorBidi" w:hAnsiTheme="majorBidi" w:cstheme="majorBidi"/>
          <w:sz w:val="22"/>
          <w:szCs w:val="22"/>
        </w:rPr>
        <w:t>, 40(2), 329-349.</w:t>
      </w:r>
    </w:p>
    <w:p w14:paraId="452222D8" w14:textId="4EDBAF07" w:rsidR="00E254C5" w:rsidRPr="00A9281B" w:rsidRDefault="00E254C5" w:rsidP="00E254C5">
      <w:pPr>
        <w:ind w:left="227" w:hanging="227"/>
        <w:rPr>
          <w:rFonts w:asciiTheme="majorBidi" w:hAnsiTheme="majorBidi" w:cstheme="majorBidi"/>
          <w:sz w:val="22"/>
          <w:szCs w:val="22"/>
        </w:rPr>
      </w:pPr>
      <w:r w:rsidRPr="00A9281B">
        <w:rPr>
          <w:rFonts w:asciiTheme="majorBidi" w:hAnsiTheme="majorBidi" w:cstheme="majorBidi"/>
          <w:sz w:val="22"/>
          <w:szCs w:val="22"/>
        </w:rPr>
        <w:t>Ellio</w:t>
      </w:r>
      <w:r w:rsidR="00E70E5D">
        <w:rPr>
          <w:rFonts w:asciiTheme="majorBidi" w:hAnsiTheme="majorBidi" w:cstheme="majorBidi"/>
          <w:sz w:val="22"/>
          <w:szCs w:val="22"/>
        </w:rPr>
        <w:t>tt, K. M. &amp; Healy, M. A. (2001)</w:t>
      </w:r>
      <w:r w:rsidRPr="00A9281B">
        <w:rPr>
          <w:rFonts w:asciiTheme="majorBidi" w:hAnsiTheme="majorBidi" w:cstheme="majorBidi"/>
          <w:sz w:val="22"/>
          <w:szCs w:val="22"/>
        </w:rPr>
        <w:t xml:space="preserve"> Key factors influencing student satisfaction related to recruitment and retention, </w:t>
      </w:r>
      <w:r w:rsidRPr="00A9281B">
        <w:rPr>
          <w:rFonts w:asciiTheme="majorBidi" w:hAnsiTheme="majorBidi" w:cstheme="majorBidi"/>
          <w:i/>
          <w:iCs/>
          <w:sz w:val="22"/>
          <w:szCs w:val="22"/>
        </w:rPr>
        <w:t>Journal of Marketing for Higher Education</w:t>
      </w:r>
      <w:r w:rsidRPr="00A9281B">
        <w:rPr>
          <w:rFonts w:asciiTheme="majorBidi" w:hAnsiTheme="majorBidi" w:cstheme="majorBidi"/>
          <w:sz w:val="22"/>
          <w:szCs w:val="22"/>
        </w:rPr>
        <w:t>, 10(4), 1-11.</w:t>
      </w:r>
    </w:p>
    <w:p w14:paraId="499F94DB" w14:textId="2C48E746" w:rsidR="00E254C5" w:rsidRPr="00A9281B" w:rsidRDefault="00E70E5D" w:rsidP="00E254C5">
      <w:pPr>
        <w:ind w:left="227" w:hanging="227"/>
        <w:rPr>
          <w:rFonts w:asciiTheme="majorBidi" w:hAnsiTheme="majorBidi" w:cstheme="majorBidi"/>
          <w:sz w:val="22"/>
          <w:szCs w:val="22"/>
        </w:rPr>
      </w:pPr>
      <w:r>
        <w:rPr>
          <w:rFonts w:asciiTheme="majorBidi" w:hAnsiTheme="majorBidi" w:cstheme="majorBidi"/>
          <w:sz w:val="22"/>
          <w:szCs w:val="22"/>
        </w:rPr>
        <w:t>Elliott, K.M. &amp; Shin D. (2002)</w:t>
      </w:r>
      <w:r w:rsidR="00E254C5" w:rsidRPr="00A9281B">
        <w:rPr>
          <w:rFonts w:asciiTheme="majorBidi" w:hAnsiTheme="majorBidi" w:cstheme="majorBidi"/>
          <w:sz w:val="22"/>
          <w:szCs w:val="22"/>
        </w:rPr>
        <w:t xml:space="preserve"> Student Satisfaction: an alternative approach to assessing this important concept, </w:t>
      </w:r>
      <w:r w:rsidR="00E254C5" w:rsidRPr="00A9281B">
        <w:rPr>
          <w:rFonts w:asciiTheme="majorBidi" w:hAnsiTheme="majorBidi" w:cstheme="majorBidi"/>
          <w:i/>
          <w:iCs/>
          <w:sz w:val="22"/>
          <w:szCs w:val="22"/>
        </w:rPr>
        <w:t>Journal of Higher Education Policy and Management</w:t>
      </w:r>
      <w:r w:rsidR="00E254C5" w:rsidRPr="00A9281B">
        <w:rPr>
          <w:rFonts w:asciiTheme="majorBidi" w:hAnsiTheme="majorBidi" w:cstheme="majorBidi"/>
          <w:sz w:val="22"/>
          <w:szCs w:val="22"/>
        </w:rPr>
        <w:t xml:space="preserve"> 24(2), 199-209.</w:t>
      </w:r>
    </w:p>
    <w:p w14:paraId="0A1E6DFA" w14:textId="628202AE" w:rsidR="00E254C5" w:rsidRPr="00A9281B" w:rsidRDefault="00E254C5" w:rsidP="00E254C5">
      <w:pPr>
        <w:ind w:left="227" w:hanging="227"/>
        <w:rPr>
          <w:rFonts w:asciiTheme="majorBidi" w:hAnsiTheme="majorBidi" w:cstheme="majorBidi"/>
          <w:sz w:val="22"/>
          <w:szCs w:val="22"/>
        </w:rPr>
      </w:pPr>
      <w:r w:rsidRPr="00A9281B">
        <w:rPr>
          <w:rFonts w:asciiTheme="majorBidi" w:hAnsiTheme="majorBidi" w:cstheme="majorBidi"/>
          <w:sz w:val="22"/>
          <w:szCs w:val="22"/>
        </w:rPr>
        <w:t>Enders, C. K. (2006) A primer on the use of modern missing-data methods in psychosomatic medicine research</w:t>
      </w:r>
      <w:r w:rsidR="00E70E5D">
        <w:rPr>
          <w:rFonts w:asciiTheme="majorBidi" w:eastAsiaTheme="minorEastAsia" w:hAnsiTheme="majorBidi" w:cstheme="majorBidi"/>
          <w:sz w:val="22"/>
          <w:szCs w:val="22"/>
          <w:lang w:eastAsia="zh-CN"/>
        </w:rPr>
        <w:t>,</w:t>
      </w:r>
      <w:r w:rsidRPr="00A9281B">
        <w:rPr>
          <w:rFonts w:asciiTheme="majorBidi" w:hAnsiTheme="majorBidi" w:cstheme="majorBidi"/>
          <w:sz w:val="22"/>
          <w:szCs w:val="22"/>
        </w:rPr>
        <w:t xml:space="preserve"> </w:t>
      </w:r>
      <w:r w:rsidRPr="00A9281B">
        <w:rPr>
          <w:rFonts w:asciiTheme="majorBidi" w:hAnsiTheme="majorBidi" w:cstheme="majorBidi"/>
          <w:i/>
          <w:iCs/>
          <w:sz w:val="22"/>
          <w:szCs w:val="22"/>
        </w:rPr>
        <w:t>Psychosomatic Medicine, 68</w:t>
      </w:r>
      <w:r w:rsidRPr="00A9281B">
        <w:rPr>
          <w:rFonts w:asciiTheme="majorBidi" w:hAnsiTheme="majorBidi" w:cstheme="majorBidi"/>
          <w:sz w:val="22"/>
          <w:szCs w:val="22"/>
        </w:rPr>
        <w:t>, 427–736.</w:t>
      </w:r>
    </w:p>
    <w:p w14:paraId="4C6DD02F" w14:textId="6C40DBC4" w:rsidR="00E254C5" w:rsidRPr="00A9281B" w:rsidRDefault="00E254C5" w:rsidP="00E254C5">
      <w:pPr>
        <w:ind w:left="227" w:hanging="227"/>
        <w:rPr>
          <w:rFonts w:asciiTheme="majorBidi" w:hAnsiTheme="majorBidi" w:cstheme="majorBidi"/>
          <w:sz w:val="22"/>
          <w:szCs w:val="22"/>
        </w:rPr>
      </w:pPr>
      <w:r w:rsidRPr="00A9281B">
        <w:rPr>
          <w:rFonts w:asciiTheme="majorBidi" w:hAnsiTheme="majorBidi" w:cstheme="majorBidi"/>
          <w:sz w:val="22"/>
          <w:szCs w:val="22"/>
        </w:rPr>
        <w:t>Garcia-Ara</w:t>
      </w:r>
      <w:r w:rsidR="00E70E5D">
        <w:rPr>
          <w:rFonts w:asciiTheme="majorBidi" w:hAnsiTheme="majorBidi" w:cstheme="majorBidi"/>
          <w:sz w:val="22"/>
          <w:szCs w:val="22"/>
        </w:rPr>
        <w:t>cil, A. (2009)</w:t>
      </w:r>
      <w:r w:rsidRPr="00A9281B">
        <w:rPr>
          <w:rFonts w:asciiTheme="majorBidi" w:hAnsiTheme="majorBidi" w:cstheme="majorBidi"/>
          <w:sz w:val="22"/>
          <w:szCs w:val="22"/>
        </w:rPr>
        <w:t xml:space="preserve"> European graduates’ level of sat</w:t>
      </w:r>
      <w:r w:rsidR="00E70E5D">
        <w:rPr>
          <w:rFonts w:asciiTheme="majorBidi" w:hAnsiTheme="majorBidi" w:cstheme="majorBidi"/>
          <w:sz w:val="22"/>
          <w:szCs w:val="22"/>
        </w:rPr>
        <w:t>isfaction with higher education,</w:t>
      </w:r>
      <w:r w:rsidRPr="00A9281B">
        <w:rPr>
          <w:rFonts w:asciiTheme="majorBidi" w:hAnsiTheme="majorBidi" w:cstheme="majorBidi"/>
          <w:sz w:val="22"/>
          <w:szCs w:val="22"/>
        </w:rPr>
        <w:t xml:space="preserve"> </w:t>
      </w:r>
      <w:r w:rsidRPr="00A9281B">
        <w:rPr>
          <w:rFonts w:asciiTheme="majorBidi" w:hAnsiTheme="majorBidi" w:cstheme="majorBidi"/>
          <w:i/>
          <w:iCs/>
          <w:sz w:val="22"/>
          <w:szCs w:val="22"/>
        </w:rPr>
        <w:t>Higher Education,</w:t>
      </w:r>
      <w:r w:rsidRPr="00A9281B">
        <w:rPr>
          <w:rFonts w:asciiTheme="majorBidi" w:hAnsiTheme="majorBidi" w:cstheme="majorBidi"/>
          <w:sz w:val="22"/>
          <w:szCs w:val="22"/>
        </w:rPr>
        <w:t xml:space="preserve"> 57(1), 1-21.</w:t>
      </w:r>
    </w:p>
    <w:p w14:paraId="2BD8760A" w14:textId="0F3BF24E" w:rsidR="00E254C5" w:rsidRPr="00A9281B" w:rsidRDefault="00E254C5" w:rsidP="00E254C5">
      <w:pPr>
        <w:ind w:left="227" w:hanging="227"/>
        <w:rPr>
          <w:rFonts w:asciiTheme="majorBidi" w:hAnsiTheme="majorBidi" w:cstheme="majorBidi"/>
          <w:i/>
          <w:iCs/>
          <w:sz w:val="22"/>
          <w:szCs w:val="22"/>
        </w:rPr>
      </w:pPr>
      <w:r w:rsidRPr="00A9281B">
        <w:rPr>
          <w:rFonts w:asciiTheme="majorBidi" w:hAnsiTheme="majorBidi" w:cstheme="majorBidi"/>
          <w:sz w:val="22"/>
          <w:szCs w:val="22"/>
        </w:rPr>
        <w:t xml:space="preserve">Graham, J. W. (2009) Missing data analysis: making it work in the real world, </w:t>
      </w:r>
      <w:r w:rsidRPr="00A9281B">
        <w:rPr>
          <w:rFonts w:asciiTheme="majorBidi" w:hAnsiTheme="majorBidi" w:cstheme="majorBidi"/>
          <w:i/>
          <w:iCs/>
          <w:sz w:val="22"/>
          <w:szCs w:val="22"/>
        </w:rPr>
        <w:t>Annual Review of Psychology, 60</w:t>
      </w:r>
      <w:r w:rsidRPr="00A9281B">
        <w:rPr>
          <w:rFonts w:asciiTheme="majorBidi" w:hAnsiTheme="majorBidi" w:cstheme="majorBidi"/>
          <w:sz w:val="22"/>
          <w:szCs w:val="22"/>
        </w:rPr>
        <w:t>, 549–576.</w:t>
      </w:r>
    </w:p>
    <w:p w14:paraId="2A3524BE" w14:textId="09CB56CF" w:rsidR="00E254C5" w:rsidRPr="00A9281B" w:rsidRDefault="00E254C5" w:rsidP="00E254C5">
      <w:pPr>
        <w:ind w:left="227" w:hanging="227"/>
        <w:rPr>
          <w:rFonts w:asciiTheme="majorBidi" w:hAnsiTheme="majorBidi" w:cstheme="majorBidi"/>
          <w:sz w:val="22"/>
          <w:szCs w:val="22"/>
        </w:rPr>
      </w:pPr>
      <w:r w:rsidRPr="00E70E5D">
        <w:rPr>
          <w:rFonts w:asciiTheme="majorBidi" w:hAnsiTheme="majorBidi" w:cstheme="majorBidi"/>
          <w:sz w:val="22"/>
          <w:szCs w:val="22"/>
        </w:rPr>
        <w:t xml:space="preserve">Graham, J. W. &amp; Hoffer, S. M. (2000) </w:t>
      </w:r>
      <w:r w:rsidRPr="00A9281B">
        <w:rPr>
          <w:rFonts w:asciiTheme="majorBidi" w:hAnsiTheme="majorBidi" w:cstheme="majorBidi"/>
          <w:sz w:val="22"/>
          <w:szCs w:val="22"/>
        </w:rPr>
        <w:t>Multiple imputation in multivariate research, in: T. D.</w:t>
      </w:r>
      <w:r w:rsidRPr="00A9281B">
        <w:rPr>
          <w:rFonts w:asciiTheme="majorBidi" w:eastAsiaTheme="minorEastAsia" w:hAnsiTheme="majorBidi" w:cstheme="majorBidi"/>
          <w:sz w:val="22"/>
          <w:szCs w:val="22"/>
          <w:lang w:eastAsia="zh-CN"/>
        </w:rPr>
        <w:t xml:space="preserve"> </w:t>
      </w:r>
      <w:r w:rsidRPr="00A9281B">
        <w:rPr>
          <w:rFonts w:asciiTheme="majorBidi" w:hAnsiTheme="majorBidi" w:cstheme="majorBidi"/>
          <w:sz w:val="22"/>
          <w:szCs w:val="22"/>
        </w:rPr>
        <w:t>Little, K. U. Schnable &amp; J. Baumert (Eds</w:t>
      </w:r>
      <w:r w:rsidRPr="00A9281B">
        <w:rPr>
          <w:rFonts w:asciiTheme="majorBidi" w:eastAsiaTheme="minorEastAsia" w:hAnsiTheme="majorBidi" w:cstheme="majorBidi"/>
          <w:sz w:val="22"/>
          <w:szCs w:val="22"/>
          <w:lang w:eastAsia="zh-CN"/>
        </w:rPr>
        <w:t>.</w:t>
      </w:r>
      <w:r w:rsidRPr="00A9281B">
        <w:rPr>
          <w:rFonts w:asciiTheme="majorBidi" w:hAnsiTheme="majorBidi" w:cstheme="majorBidi"/>
          <w:sz w:val="22"/>
          <w:szCs w:val="22"/>
        </w:rPr>
        <w:t xml:space="preserve">) </w:t>
      </w:r>
      <w:r w:rsidRPr="00A9281B">
        <w:rPr>
          <w:rFonts w:asciiTheme="majorBidi" w:hAnsiTheme="majorBidi" w:cstheme="majorBidi"/>
          <w:i/>
          <w:iCs/>
          <w:sz w:val="22"/>
          <w:szCs w:val="22"/>
        </w:rPr>
        <w:t>Modeling longitudinal and multilevel data: practical issues, applied approaches, and specific examples</w:t>
      </w:r>
      <w:r w:rsidRPr="00A9281B">
        <w:rPr>
          <w:rFonts w:asciiTheme="majorBidi" w:hAnsiTheme="majorBidi" w:cstheme="majorBidi"/>
          <w:sz w:val="22"/>
          <w:szCs w:val="22"/>
        </w:rPr>
        <w:t xml:space="preserve"> (Hillsdale NJ, Erlbaum), 201–218.</w:t>
      </w:r>
    </w:p>
    <w:p w14:paraId="53CF4EF6" w14:textId="290279CB" w:rsidR="00E254C5" w:rsidRPr="00A9281B" w:rsidRDefault="00E254C5" w:rsidP="00E70E5D">
      <w:pPr>
        <w:ind w:left="227" w:hanging="227"/>
        <w:rPr>
          <w:rFonts w:asciiTheme="majorBidi" w:hAnsiTheme="majorBidi" w:cstheme="majorBidi"/>
          <w:sz w:val="22"/>
          <w:szCs w:val="22"/>
        </w:rPr>
      </w:pPr>
      <w:r w:rsidRPr="00E70E5D">
        <w:rPr>
          <w:rFonts w:asciiTheme="majorBidi" w:hAnsiTheme="majorBidi" w:cstheme="majorBidi"/>
          <w:sz w:val="22"/>
          <w:szCs w:val="22"/>
        </w:rPr>
        <w:t>Gruber, T., Fuss, S., Voss, R., Glaeser-Zikuda, M. (201</w:t>
      </w:r>
      <w:r w:rsidR="00E70E5D" w:rsidRPr="00E70E5D">
        <w:rPr>
          <w:rFonts w:asciiTheme="majorBidi" w:hAnsiTheme="majorBidi" w:cstheme="majorBidi"/>
          <w:sz w:val="22"/>
          <w:szCs w:val="22"/>
        </w:rPr>
        <w:t>0)</w:t>
      </w:r>
      <w:r w:rsidRPr="00E70E5D">
        <w:rPr>
          <w:rFonts w:asciiTheme="majorBidi" w:hAnsiTheme="majorBidi" w:cstheme="majorBidi"/>
          <w:sz w:val="22"/>
          <w:szCs w:val="22"/>
        </w:rPr>
        <w:t xml:space="preserve"> </w:t>
      </w:r>
      <w:r w:rsidRPr="00A9281B">
        <w:rPr>
          <w:rFonts w:asciiTheme="majorBidi" w:hAnsiTheme="majorBidi" w:cstheme="majorBidi"/>
          <w:sz w:val="22"/>
          <w:szCs w:val="22"/>
        </w:rPr>
        <w:t>Examining student satisfaction with higher education services</w:t>
      </w:r>
      <w:r w:rsidR="00E70E5D">
        <w:rPr>
          <w:rFonts w:asciiTheme="majorBidi" w:hAnsiTheme="majorBidi" w:cstheme="majorBidi"/>
          <w:sz w:val="22"/>
          <w:szCs w:val="22"/>
        </w:rPr>
        <w:t>,</w:t>
      </w:r>
      <w:r w:rsidRPr="00A9281B">
        <w:rPr>
          <w:rFonts w:asciiTheme="majorBidi" w:hAnsiTheme="majorBidi" w:cstheme="majorBidi"/>
          <w:sz w:val="22"/>
          <w:szCs w:val="22"/>
        </w:rPr>
        <w:t xml:space="preserve"> </w:t>
      </w:r>
      <w:r w:rsidRPr="00A9281B">
        <w:rPr>
          <w:rFonts w:asciiTheme="majorBidi" w:hAnsiTheme="majorBidi" w:cstheme="majorBidi"/>
          <w:i/>
          <w:iCs/>
          <w:sz w:val="22"/>
          <w:szCs w:val="22"/>
        </w:rPr>
        <w:t>International Journal of Public Sector Management</w:t>
      </w:r>
      <w:r w:rsidRPr="00A9281B">
        <w:rPr>
          <w:rFonts w:asciiTheme="majorBidi" w:hAnsiTheme="majorBidi" w:cstheme="majorBidi"/>
          <w:sz w:val="22"/>
          <w:szCs w:val="22"/>
        </w:rPr>
        <w:t>, 23(2), 105 – 123.</w:t>
      </w:r>
    </w:p>
    <w:p w14:paraId="53150736" w14:textId="7F8EAC49" w:rsidR="00E254C5" w:rsidRPr="00A9281B" w:rsidRDefault="00E70E5D" w:rsidP="00E254C5">
      <w:pPr>
        <w:ind w:left="227" w:hanging="227"/>
        <w:rPr>
          <w:rFonts w:asciiTheme="majorBidi" w:hAnsiTheme="majorBidi" w:cstheme="majorBidi"/>
          <w:sz w:val="22"/>
          <w:szCs w:val="22"/>
        </w:rPr>
      </w:pPr>
      <w:r>
        <w:rPr>
          <w:rFonts w:asciiTheme="majorBidi" w:hAnsiTheme="majorBidi" w:cstheme="majorBidi"/>
          <w:sz w:val="22"/>
          <w:szCs w:val="22"/>
        </w:rPr>
        <w:t>Mai, L.-W. (2005)</w:t>
      </w:r>
      <w:r w:rsidR="00E254C5" w:rsidRPr="00A9281B">
        <w:rPr>
          <w:rFonts w:asciiTheme="majorBidi" w:hAnsiTheme="majorBidi" w:cstheme="majorBidi"/>
          <w:sz w:val="22"/>
          <w:szCs w:val="22"/>
        </w:rPr>
        <w:t xml:space="preserve"> A comparative study between UK and US: The student satisfaction in Higher Education and i</w:t>
      </w:r>
      <w:r>
        <w:rPr>
          <w:rFonts w:asciiTheme="majorBidi" w:hAnsiTheme="majorBidi" w:cstheme="majorBidi"/>
          <w:sz w:val="22"/>
          <w:szCs w:val="22"/>
        </w:rPr>
        <w:t>ts influential factors,</w:t>
      </w:r>
      <w:r w:rsidR="00E254C5" w:rsidRPr="00A9281B">
        <w:rPr>
          <w:rFonts w:asciiTheme="majorBidi" w:hAnsiTheme="majorBidi" w:cstheme="majorBidi"/>
          <w:sz w:val="22"/>
          <w:szCs w:val="22"/>
        </w:rPr>
        <w:t xml:space="preserve"> </w:t>
      </w:r>
      <w:r w:rsidR="00E254C5" w:rsidRPr="00A9281B">
        <w:rPr>
          <w:rFonts w:asciiTheme="majorBidi" w:hAnsiTheme="majorBidi" w:cstheme="majorBidi"/>
          <w:i/>
          <w:iCs/>
          <w:sz w:val="22"/>
          <w:szCs w:val="22"/>
        </w:rPr>
        <w:t>Journal of Marketing Management</w:t>
      </w:r>
      <w:r w:rsidR="00E254C5" w:rsidRPr="00A9281B">
        <w:rPr>
          <w:rFonts w:asciiTheme="majorBidi" w:hAnsiTheme="majorBidi" w:cstheme="majorBidi"/>
          <w:sz w:val="22"/>
          <w:szCs w:val="22"/>
        </w:rPr>
        <w:t>, 21(7-8), 859-878.</w:t>
      </w:r>
    </w:p>
    <w:p w14:paraId="68C28645" w14:textId="4E42A08F" w:rsidR="00E254C5" w:rsidRPr="00A9281B" w:rsidRDefault="00E254C5" w:rsidP="00E70E5D">
      <w:pPr>
        <w:ind w:left="227" w:hanging="227"/>
        <w:rPr>
          <w:rFonts w:asciiTheme="majorBidi" w:hAnsiTheme="majorBidi" w:cstheme="majorBidi"/>
          <w:sz w:val="22"/>
          <w:szCs w:val="22"/>
        </w:rPr>
      </w:pPr>
      <w:r w:rsidRPr="00A9281B">
        <w:rPr>
          <w:rFonts w:asciiTheme="majorBidi" w:hAnsiTheme="majorBidi" w:cstheme="majorBidi"/>
          <w:sz w:val="22"/>
          <w:szCs w:val="22"/>
        </w:rPr>
        <w:t xml:space="preserve">Marsh, H. &amp; Cheng, J. (2008) </w:t>
      </w:r>
      <w:r w:rsidRPr="00A9281B">
        <w:rPr>
          <w:rFonts w:asciiTheme="majorBidi" w:hAnsiTheme="majorBidi" w:cstheme="majorBidi"/>
          <w:i/>
          <w:iCs/>
          <w:sz w:val="22"/>
          <w:szCs w:val="22"/>
        </w:rPr>
        <w:t>National Student Survey of teaching in UK universities: Dimensionality, multilevel structure, and differentiation at the level of university and discipline – preliminary results</w:t>
      </w:r>
      <w:r w:rsidRPr="00A9281B">
        <w:rPr>
          <w:rFonts w:asciiTheme="majorBidi" w:hAnsiTheme="majorBidi" w:cstheme="majorBidi"/>
          <w:sz w:val="22"/>
          <w:szCs w:val="22"/>
        </w:rPr>
        <w:t xml:space="preserve"> (York, Higher Education Academy). </w:t>
      </w:r>
    </w:p>
    <w:p w14:paraId="09A5F53D" w14:textId="121F44F6" w:rsidR="00E254C5" w:rsidRPr="00A9281B" w:rsidRDefault="00E254C5" w:rsidP="00E70E5D">
      <w:pPr>
        <w:ind w:left="227" w:hanging="227"/>
        <w:rPr>
          <w:rFonts w:asciiTheme="majorBidi" w:hAnsiTheme="majorBidi" w:cstheme="majorBidi"/>
          <w:sz w:val="22"/>
          <w:szCs w:val="22"/>
        </w:rPr>
      </w:pPr>
      <w:r w:rsidRPr="00A9281B">
        <w:rPr>
          <w:rFonts w:asciiTheme="majorBidi" w:hAnsiTheme="majorBidi" w:cstheme="majorBidi"/>
          <w:sz w:val="22"/>
          <w:szCs w:val="22"/>
        </w:rPr>
        <w:t>Richardson, J.T.E. (2005) Instruments for obtaining student feedback: a review of the literature</w:t>
      </w:r>
      <w:r w:rsidR="00E70E5D">
        <w:rPr>
          <w:rFonts w:asciiTheme="majorBidi" w:hAnsiTheme="majorBidi" w:cstheme="majorBidi"/>
          <w:sz w:val="22"/>
          <w:szCs w:val="22"/>
        </w:rPr>
        <w:t>,</w:t>
      </w:r>
      <w:r w:rsidRPr="00A9281B">
        <w:rPr>
          <w:rFonts w:asciiTheme="majorBidi" w:hAnsiTheme="majorBidi" w:cstheme="majorBidi"/>
          <w:sz w:val="22"/>
          <w:szCs w:val="22"/>
        </w:rPr>
        <w:t xml:space="preserve"> </w:t>
      </w:r>
      <w:r w:rsidRPr="00A9281B">
        <w:rPr>
          <w:rFonts w:asciiTheme="majorBidi" w:hAnsiTheme="majorBidi" w:cstheme="majorBidi"/>
          <w:i/>
          <w:iCs/>
          <w:sz w:val="22"/>
          <w:szCs w:val="22"/>
        </w:rPr>
        <w:t>Assessment &amp; Evaluation in Higher Education</w:t>
      </w:r>
      <w:r w:rsidRPr="00A9281B">
        <w:rPr>
          <w:rFonts w:asciiTheme="majorBidi" w:hAnsiTheme="majorBidi" w:cstheme="majorBidi"/>
          <w:sz w:val="22"/>
          <w:szCs w:val="22"/>
        </w:rPr>
        <w:t>, 30(4), 387-415.</w:t>
      </w:r>
    </w:p>
    <w:p w14:paraId="3EBDD56A" w14:textId="62467009" w:rsidR="00E254C5" w:rsidRPr="00A9281B" w:rsidRDefault="00E254C5" w:rsidP="00E254C5">
      <w:pPr>
        <w:ind w:left="227" w:hanging="227"/>
        <w:rPr>
          <w:rFonts w:asciiTheme="majorBidi" w:eastAsiaTheme="minorEastAsia" w:hAnsiTheme="majorBidi" w:cstheme="majorBidi"/>
          <w:sz w:val="22"/>
          <w:szCs w:val="22"/>
          <w:lang w:eastAsia="zh-CN"/>
        </w:rPr>
      </w:pPr>
      <w:r w:rsidRPr="00A9281B">
        <w:rPr>
          <w:rFonts w:asciiTheme="majorBidi" w:hAnsiTheme="majorBidi" w:cstheme="majorBidi"/>
          <w:sz w:val="22"/>
          <w:szCs w:val="22"/>
        </w:rPr>
        <w:t xml:space="preserve">Schertzer, C. B. &amp; Schertzer, S. </w:t>
      </w:r>
      <w:r w:rsidR="00E70E5D">
        <w:rPr>
          <w:rFonts w:asciiTheme="majorBidi" w:hAnsiTheme="majorBidi" w:cstheme="majorBidi"/>
          <w:sz w:val="22"/>
          <w:szCs w:val="22"/>
        </w:rPr>
        <w:t>M. B. (2004)</w:t>
      </w:r>
      <w:r w:rsidRPr="00A9281B">
        <w:rPr>
          <w:rFonts w:asciiTheme="majorBidi" w:hAnsiTheme="majorBidi" w:cstheme="majorBidi"/>
          <w:sz w:val="22"/>
          <w:szCs w:val="22"/>
        </w:rPr>
        <w:t xml:space="preserve"> Satisfaction and retention: A conceptual model, </w:t>
      </w:r>
      <w:r w:rsidRPr="00A9281B">
        <w:rPr>
          <w:rFonts w:asciiTheme="majorBidi" w:hAnsiTheme="majorBidi" w:cstheme="majorBidi"/>
          <w:i/>
          <w:iCs/>
          <w:sz w:val="22"/>
          <w:szCs w:val="22"/>
        </w:rPr>
        <w:t>Journal of Marketing for Higher Education</w:t>
      </w:r>
      <w:r w:rsidRPr="00A9281B">
        <w:rPr>
          <w:rFonts w:asciiTheme="majorBidi" w:hAnsiTheme="majorBidi" w:cstheme="majorBidi"/>
          <w:sz w:val="22"/>
          <w:szCs w:val="22"/>
        </w:rPr>
        <w:t xml:space="preserve"> 14(1), 79-91.</w:t>
      </w:r>
    </w:p>
    <w:p w14:paraId="13B11C73" w14:textId="39C1D533" w:rsidR="00E254C5" w:rsidRPr="00A9281B" w:rsidRDefault="00E254C5" w:rsidP="00E254C5">
      <w:pPr>
        <w:ind w:left="227" w:hanging="227"/>
        <w:rPr>
          <w:rFonts w:asciiTheme="majorBidi" w:hAnsiTheme="majorBidi" w:cstheme="majorBidi"/>
          <w:sz w:val="22"/>
          <w:szCs w:val="22"/>
        </w:rPr>
      </w:pPr>
      <w:r w:rsidRPr="00E70E5D">
        <w:rPr>
          <w:rFonts w:asciiTheme="majorBidi" w:hAnsiTheme="majorBidi" w:cstheme="majorBidi"/>
          <w:sz w:val="22"/>
          <w:szCs w:val="22"/>
        </w:rPr>
        <w:t xml:space="preserve">Sinharay, S., Stern, H. S. &amp; Russell, D (2001) </w:t>
      </w:r>
      <w:r w:rsidRPr="00A9281B">
        <w:rPr>
          <w:rFonts w:asciiTheme="majorBidi" w:hAnsiTheme="majorBidi" w:cstheme="majorBidi"/>
          <w:sz w:val="22"/>
          <w:szCs w:val="22"/>
        </w:rPr>
        <w:t xml:space="preserve">The use of multiple imputation for the analysis of missing data, </w:t>
      </w:r>
      <w:r w:rsidRPr="00A9281B">
        <w:rPr>
          <w:rFonts w:asciiTheme="majorBidi" w:hAnsiTheme="majorBidi" w:cstheme="majorBidi"/>
          <w:i/>
          <w:iCs/>
          <w:sz w:val="22"/>
          <w:szCs w:val="22"/>
        </w:rPr>
        <w:t xml:space="preserve">Psychological Methods, </w:t>
      </w:r>
      <w:r w:rsidRPr="00E70E5D">
        <w:rPr>
          <w:rFonts w:asciiTheme="majorBidi" w:hAnsiTheme="majorBidi" w:cstheme="majorBidi"/>
          <w:sz w:val="22"/>
          <w:szCs w:val="22"/>
        </w:rPr>
        <w:t>6(</w:t>
      </w:r>
      <w:r w:rsidRPr="00A9281B">
        <w:rPr>
          <w:rFonts w:asciiTheme="majorBidi" w:hAnsiTheme="majorBidi" w:cstheme="majorBidi"/>
          <w:sz w:val="22"/>
          <w:szCs w:val="22"/>
        </w:rPr>
        <w:t>4), 317–329.</w:t>
      </w:r>
    </w:p>
    <w:p w14:paraId="0C9D328F" w14:textId="26919304" w:rsidR="00E254C5" w:rsidRPr="00A9281B" w:rsidRDefault="00E254C5" w:rsidP="00E254C5">
      <w:pPr>
        <w:ind w:left="227" w:hanging="227"/>
        <w:rPr>
          <w:rFonts w:asciiTheme="majorBidi" w:hAnsiTheme="majorBidi" w:cstheme="majorBidi"/>
          <w:i/>
          <w:iCs/>
          <w:sz w:val="22"/>
          <w:szCs w:val="22"/>
        </w:rPr>
      </w:pPr>
      <w:r w:rsidRPr="00E70E5D">
        <w:rPr>
          <w:rFonts w:asciiTheme="majorBidi" w:hAnsiTheme="majorBidi" w:cstheme="majorBidi"/>
          <w:sz w:val="22"/>
          <w:szCs w:val="22"/>
        </w:rPr>
        <w:t xml:space="preserve">Snijders, T. A. B. &amp; Bosker, R. </w:t>
      </w:r>
      <w:r w:rsidR="00E70E5D" w:rsidRPr="00E70E5D">
        <w:rPr>
          <w:rFonts w:asciiTheme="majorBidi" w:hAnsiTheme="majorBidi" w:cstheme="majorBidi"/>
          <w:sz w:val="22"/>
          <w:szCs w:val="22"/>
        </w:rPr>
        <w:t>J. (2012)</w:t>
      </w:r>
      <w:r w:rsidRPr="00E70E5D">
        <w:rPr>
          <w:rFonts w:asciiTheme="majorBidi" w:hAnsiTheme="majorBidi" w:cstheme="majorBidi"/>
          <w:sz w:val="22"/>
          <w:szCs w:val="22"/>
        </w:rPr>
        <w:t xml:space="preserve"> </w:t>
      </w:r>
      <w:r w:rsidRPr="00A9281B">
        <w:rPr>
          <w:rFonts w:asciiTheme="majorBidi" w:hAnsiTheme="majorBidi" w:cstheme="majorBidi"/>
          <w:i/>
          <w:iCs/>
          <w:sz w:val="22"/>
          <w:szCs w:val="22"/>
        </w:rPr>
        <w:t>Multilevel Analysis: An Introduction to Basic and Advanced Multilevel Modeling. Second E</w:t>
      </w:r>
      <w:r w:rsidR="00E70E5D">
        <w:rPr>
          <w:rFonts w:asciiTheme="majorBidi" w:hAnsiTheme="majorBidi" w:cstheme="majorBidi"/>
          <w:i/>
          <w:iCs/>
          <w:sz w:val="22"/>
          <w:szCs w:val="22"/>
        </w:rPr>
        <w:t xml:space="preserve">dition </w:t>
      </w:r>
      <w:r w:rsidR="00E70E5D">
        <w:rPr>
          <w:rFonts w:asciiTheme="majorBidi" w:hAnsiTheme="majorBidi" w:cstheme="majorBidi"/>
          <w:sz w:val="22"/>
          <w:szCs w:val="22"/>
        </w:rPr>
        <w:t>(</w:t>
      </w:r>
      <w:r w:rsidRPr="00A9281B">
        <w:rPr>
          <w:rFonts w:asciiTheme="majorBidi" w:hAnsiTheme="majorBidi" w:cstheme="majorBidi"/>
          <w:sz w:val="22"/>
          <w:szCs w:val="22"/>
        </w:rPr>
        <w:t>London: Sage</w:t>
      </w:r>
      <w:r w:rsidR="00E70E5D">
        <w:rPr>
          <w:rFonts w:asciiTheme="majorBidi" w:hAnsiTheme="majorBidi" w:cstheme="majorBidi"/>
          <w:sz w:val="22"/>
          <w:szCs w:val="22"/>
        </w:rPr>
        <w:t>)</w:t>
      </w:r>
      <w:r w:rsidRPr="00A9281B">
        <w:rPr>
          <w:rFonts w:asciiTheme="majorBidi" w:hAnsiTheme="majorBidi" w:cstheme="majorBidi"/>
          <w:sz w:val="22"/>
          <w:szCs w:val="22"/>
        </w:rPr>
        <w:t>.</w:t>
      </w:r>
    </w:p>
    <w:p w14:paraId="05A95612" w14:textId="0FD3958D" w:rsidR="00E254C5" w:rsidRPr="00A9281B" w:rsidRDefault="00E254C5" w:rsidP="00E70E5D">
      <w:pPr>
        <w:ind w:left="227" w:hanging="227"/>
        <w:rPr>
          <w:rFonts w:asciiTheme="majorBidi" w:hAnsiTheme="majorBidi" w:cstheme="majorBidi"/>
          <w:sz w:val="22"/>
          <w:szCs w:val="22"/>
        </w:rPr>
      </w:pPr>
      <w:r w:rsidRPr="00A9281B">
        <w:rPr>
          <w:rFonts w:asciiTheme="majorBidi" w:hAnsiTheme="majorBidi" w:cstheme="majorBidi"/>
          <w:sz w:val="22"/>
          <w:szCs w:val="22"/>
        </w:rPr>
        <w:t>Soilemetzidis, I</w:t>
      </w:r>
      <w:r w:rsidR="00E70E5D">
        <w:rPr>
          <w:rFonts w:asciiTheme="majorBidi" w:hAnsiTheme="majorBidi" w:cstheme="majorBidi"/>
          <w:sz w:val="22"/>
          <w:szCs w:val="22"/>
        </w:rPr>
        <w:t>.</w:t>
      </w:r>
      <w:r w:rsidRPr="00A9281B">
        <w:rPr>
          <w:rFonts w:asciiTheme="majorBidi" w:hAnsiTheme="majorBidi" w:cstheme="majorBidi"/>
          <w:sz w:val="22"/>
          <w:szCs w:val="22"/>
        </w:rPr>
        <w:t xml:space="preserve"> et al. (2014) </w:t>
      </w:r>
      <w:r w:rsidRPr="00E70E5D">
        <w:rPr>
          <w:rFonts w:asciiTheme="majorBidi" w:hAnsiTheme="majorBidi" w:cstheme="majorBidi"/>
          <w:i/>
          <w:iCs/>
          <w:sz w:val="22"/>
          <w:szCs w:val="22"/>
        </w:rPr>
        <w:t>The HEPI-HEA Student Academic Experience Survey 2014 . The HEPI-HEA Student Academic Experience Survey 2014</w:t>
      </w:r>
      <w:r w:rsidRPr="00A9281B">
        <w:rPr>
          <w:rFonts w:asciiTheme="majorBidi" w:hAnsiTheme="majorBidi" w:cstheme="majorBidi"/>
          <w:sz w:val="22"/>
          <w:szCs w:val="22"/>
        </w:rPr>
        <w:t xml:space="preserve"> (</w:t>
      </w:r>
      <w:r w:rsidR="00E70E5D">
        <w:rPr>
          <w:rFonts w:asciiTheme="majorBidi" w:hAnsiTheme="majorBidi" w:cstheme="majorBidi"/>
          <w:sz w:val="22"/>
          <w:szCs w:val="22"/>
        </w:rPr>
        <w:t>York, Higher Education Academy</w:t>
      </w:r>
      <w:r w:rsidRPr="00A9281B">
        <w:rPr>
          <w:rFonts w:asciiTheme="majorBidi" w:hAnsiTheme="majorBidi" w:cstheme="majorBidi"/>
          <w:sz w:val="22"/>
          <w:szCs w:val="22"/>
        </w:rPr>
        <w:t>).</w:t>
      </w:r>
    </w:p>
    <w:p w14:paraId="4C5793E8" w14:textId="024D172B" w:rsidR="00E254C5" w:rsidRPr="00A9281B" w:rsidRDefault="00E254C5" w:rsidP="00E70E5D">
      <w:pPr>
        <w:ind w:left="227" w:hanging="227"/>
        <w:rPr>
          <w:rFonts w:asciiTheme="majorBidi" w:hAnsiTheme="majorBidi" w:cstheme="majorBidi"/>
          <w:sz w:val="22"/>
          <w:szCs w:val="22"/>
        </w:rPr>
      </w:pPr>
      <w:r w:rsidRPr="00A9281B">
        <w:rPr>
          <w:rFonts w:asciiTheme="majorBidi" w:hAnsiTheme="majorBidi" w:cstheme="majorBidi"/>
          <w:sz w:val="22"/>
          <w:szCs w:val="22"/>
        </w:rPr>
        <w:t xml:space="preserve">Trowler, V &amp; Trowler, P (2010) </w:t>
      </w:r>
      <w:r w:rsidRPr="00A9281B">
        <w:rPr>
          <w:rFonts w:asciiTheme="majorBidi" w:hAnsiTheme="majorBidi" w:cstheme="majorBidi"/>
          <w:i/>
          <w:iCs/>
          <w:sz w:val="22"/>
          <w:szCs w:val="22"/>
        </w:rPr>
        <w:t>Student Engagement Executive Summary</w:t>
      </w:r>
      <w:r w:rsidRPr="00A9281B">
        <w:rPr>
          <w:rFonts w:asciiTheme="majorBidi" w:hAnsiTheme="majorBidi" w:cstheme="majorBidi"/>
          <w:sz w:val="22"/>
          <w:szCs w:val="22"/>
        </w:rPr>
        <w:t xml:space="preserve"> </w:t>
      </w:r>
      <w:r w:rsidR="00E70E5D">
        <w:rPr>
          <w:rFonts w:asciiTheme="majorBidi" w:hAnsiTheme="majorBidi" w:cstheme="majorBidi"/>
          <w:sz w:val="22"/>
          <w:szCs w:val="22"/>
        </w:rPr>
        <w:t>(York,</w:t>
      </w:r>
      <w:r w:rsidRPr="00A9281B">
        <w:rPr>
          <w:rFonts w:asciiTheme="majorBidi" w:hAnsiTheme="majorBidi" w:cstheme="majorBidi"/>
          <w:sz w:val="22"/>
          <w:szCs w:val="22"/>
        </w:rPr>
        <w:t xml:space="preserve"> Higher Education Academy</w:t>
      </w:r>
      <w:r w:rsidR="00E70E5D">
        <w:rPr>
          <w:rFonts w:asciiTheme="majorBidi" w:hAnsiTheme="majorBidi" w:cstheme="majorBidi"/>
          <w:sz w:val="22"/>
          <w:szCs w:val="22"/>
        </w:rPr>
        <w:t>)</w:t>
      </w:r>
      <w:r w:rsidRPr="00A9281B">
        <w:rPr>
          <w:rFonts w:asciiTheme="majorBidi" w:hAnsiTheme="majorBidi" w:cstheme="majorBidi"/>
          <w:sz w:val="22"/>
          <w:szCs w:val="22"/>
        </w:rPr>
        <w:t>.</w:t>
      </w:r>
    </w:p>
    <w:p w14:paraId="56D1FAEE" w14:textId="627E6BF0" w:rsidR="00E254C5" w:rsidRPr="00A9281B" w:rsidRDefault="00E254C5" w:rsidP="00E70E5D">
      <w:pPr>
        <w:ind w:left="227" w:hanging="227"/>
        <w:rPr>
          <w:rFonts w:asciiTheme="majorBidi" w:hAnsiTheme="majorBidi" w:cstheme="majorBidi"/>
          <w:sz w:val="22"/>
          <w:szCs w:val="22"/>
        </w:rPr>
      </w:pPr>
      <w:r w:rsidRPr="00A9281B">
        <w:rPr>
          <w:rFonts w:asciiTheme="majorBidi" w:hAnsiTheme="majorBidi" w:cstheme="majorBidi"/>
          <w:sz w:val="22"/>
          <w:szCs w:val="22"/>
        </w:rPr>
        <w:t xml:space="preserve">Universities UK (2014) </w:t>
      </w:r>
      <w:r w:rsidRPr="00A9281B">
        <w:rPr>
          <w:rFonts w:asciiTheme="majorBidi" w:hAnsiTheme="majorBidi" w:cstheme="majorBidi"/>
          <w:i/>
          <w:iCs/>
          <w:sz w:val="22"/>
          <w:szCs w:val="22"/>
        </w:rPr>
        <w:t xml:space="preserve">Postgraduate taught education: the funding challenge. </w:t>
      </w:r>
      <w:hyperlink r:id="rId11" w:history="1">
        <w:r w:rsidRPr="00A9281B">
          <w:rPr>
            <w:rStyle w:val="Hyperlink"/>
            <w:rFonts w:asciiTheme="majorBidi" w:hAnsiTheme="majorBidi" w:cstheme="majorBidi"/>
            <w:sz w:val="22"/>
            <w:szCs w:val="22"/>
          </w:rPr>
          <w:t>http://www.universitiesuk.ac.uk/highereducation/Documents/2014/PostgraduateTaughtEducationTheFundingChallenge.pdf</w:t>
        </w:r>
      </w:hyperlink>
      <w:r w:rsidRPr="00A9281B">
        <w:rPr>
          <w:rFonts w:asciiTheme="majorBidi" w:hAnsiTheme="majorBidi" w:cstheme="majorBidi"/>
          <w:sz w:val="22"/>
          <w:szCs w:val="22"/>
        </w:rPr>
        <w:t>. Accessed 14/2/16.</w:t>
      </w:r>
    </w:p>
    <w:p w14:paraId="50945985" w14:textId="639675D7" w:rsidR="00E254C5" w:rsidRPr="00A9281B" w:rsidRDefault="00E254C5" w:rsidP="00E70E5D">
      <w:pPr>
        <w:ind w:left="227" w:hanging="227"/>
        <w:rPr>
          <w:rFonts w:asciiTheme="majorBidi" w:eastAsiaTheme="minorEastAsia" w:hAnsiTheme="majorBidi" w:cstheme="majorBidi"/>
          <w:sz w:val="22"/>
          <w:szCs w:val="22"/>
          <w:lang w:eastAsia="zh-CN"/>
        </w:rPr>
      </w:pPr>
      <w:r w:rsidRPr="00E70E5D">
        <w:rPr>
          <w:rFonts w:asciiTheme="majorBidi" w:hAnsiTheme="majorBidi" w:cstheme="majorBidi"/>
          <w:sz w:val="22"/>
          <w:szCs w:val="22"/>
        </w:rPr>
        <w:lastRenderedPageBreak/>
        <w:t xml:space="preserve">Wiers-Jenssen, J., Stensakker, B. &amp; Grogaard, J. (2002) </w:t>
      </w:r>
      <w:r w:rsidRPr="00A9281B">
        <w:rPr>
          <w:rFonts w:asciiTheme="majorBidi" w:hAnsiTheme="majorBidi" w:cstheme="majorBidi"/>
          <w:sz w:val="22"/>
          <w:szCs w:val="22"/>
        </w:rPr>
        <w:t>Student Satisfaction: Towards an empirical deconstruction of the concept</w:t>
      </w:r>
      <w:r w:rsidR="00E70E5D">
        <w:rPr>
          <w:rFonts w:asciiTheme="majorBidi" w:hAnsiTheme="majorBidi" w:cstheme="majorBidi"/>
          <w:sz w:val="22"/>
          <w:szCs w:val="22"/>
        </w:rPr>
        <w:t>,</w:t>
      </w:r>
      <w:r w:rsidRPr="00A9281B">
        <w:rPr>
          <w:rFonts w:asciiTheme="majorBidi" w:hAnsiTheme="majorBidi" w:cstheme="majorBidi"/>
          <w:sz w:val="22"/>
          <w:szCs w:val="22"/>
        </w:rPr>
        <w:t xml:space="preserve"> </w:t>
      </w:r>
      <w:r w:rsidRPr="00A9281B">
        <w:rPr>
          <w:rFonts w:asciiTheme="majorBidi" w:hAnsiTheme="majorBidi" w:cstheme="majorBidi"/>
          <w:i/>
          <w:iCs/>
          <w:sz w:val="22"/>
          <w:szCs w:val="22"/>
        </w:rPr>
        <w:t>Quality in Higher Education</w:t>
      </w:r>
      <w:r w:rsidRPr="00A9281B">
        <w:rPr>
          <w:rFonts w:asciiTheme="majorBidi" w:hAnsiTheme="majorBidi" w:cstheme="majorBidi"/>
          <w:sz w:val="22"/>
          <w:szCs w:val="22"/>
        </w:rPr>
        <w:t>, (8)2, 183-195.</w:t>
      </w:r>
    </w:p>
    <w:p w14:paraId="663B3415" w14:textId="7881EE6A" w:rsidR="00E254C5" w:rsidRPr="00A9281B" w:rsidRDefault="00E254C5" w:rsidP="00E70E5D">
      <w:pPr>
        <w:ind w:left="227" w:hanging="227"/>
        <w:rPr>
          <w:rFonts w:asciiTheme="majorBidi" w:hAnsiTheme="majorBidi" w:cstheme="majorBidi"/>
          <w:sz w:val="22"/>
          <w:szCs w:val="22"/>
        </w:rPr>
      </w:pPr>
      <w:r w:rsidRPr="00A9281B">
        <w:rPr>
          <w:rFonts w:asciiTheme="majorBidi" w:hAnsiTheme="majorBidi" w:cstheme="majorBidi"/>
          <w:sz w:val="22"/>
          <w:szCs w:val="22"/>
        </w:rPr>
        <w:t>Wilkinson, L. &amp; Task Force on Statistical Inference, APA Boar</w:t>
      </w:r>
      <w:r w:rsidR="00E70E5D">
        <w:rPr>
          <w:rFonts w:asciiTheme="majorBidi" w:hAnsiTheme="majorBidi" w:cstheme="majorBidi"/>
          <w:sz w:val="22"/>
          <w:szCs w:val="22"/>
        </w:rPr>
        <w:t>d of Scientific Affairs. (1999)</w:t>
      </w:r>
      <w:r w:rsidRPr="00A9281B">
        <w:rPr>
          <w:rFonts w:asciiTheme="majorBidi" w:hAnsiTheme="majorBidi" w:cstheme="majorBidi"/>
          <w:sz w:val="22"/>
          <w:szCs w:val="22"/>
        </w:rPr>
        <w:t xml:space="preserve"> Statistical methods in psychology journals: Guidelines and explanations</w:t>
      </w:r>
      <w:r w:rsidR="00E70E5D">
        <w:rPr>
          <w:rFonts w:asciiTheme="majorBidi" w:hAnsiTheme="majorBidi" w:cstheme="majorBidi"/>
          <w:sz w:val="22"/>
          <w:szCs w:val="22"/>
        </w:rPr>
        <w:t>,</w:t>
      </w:r>
      <w:r w:rsidRPr="00A9281B">
        <w:rPr>
          <w:rFonts w:asciiTheme="majorBidi" w:hAnsiTheme="majorBidi" w:cstheme="majorBidi"/>
          <w:sz w:val="22"/>
          <w:szCs w:val="22"/>
        </w:rPr>
        <w:t xml:space="preserve"> </w:t>
      </w:r>
      <w:r w:rsidRPr="00A9281B">
        <w:rPr>
          <w:rFonts w:asciiTheme="majorBidi" w:hAnsiTheme="majorBidi" w:cstheme="majorBidi"/>
          <w:i/>
          <w:iCs/>
          <w:sz w:val="22"/>
          <w:szCs w:val="22"/>
        </w:rPr>
        <w:t>American Psychologist</w:t>
      </w:r>
      <w:r w:rsidRPr="00A9281B">
        <w:rPr>
          <w:rFonts w:asciiTheme="majorBidi" w:hAnsiTheme="majorBidi" w:cstheme="majorBidi"/>
          <w:sz w:val="22"/>
          <w:szCs w:val="22"/>
        </w:rPr>
        <w:t xml:space="preserve">, </w:t>
      </w:r>
      <w:r w:rsidRPr="00A9281B">
        <w:rPr>
          <w:rFonts w:asciiTheme="majorBidi" w:hAnsiTheme="majorBidi" w:cstheme="majorBidi"/>
          <w:i/>
          <w:iCs/>
          <w:sz w:val="22"/>
          <w:szCs w:val="22"/>
        </w:rPr>
        <w:t>54</w:t>
      </w:r>
      <w:r w:rsidRPr="00A9281B">
        <w:rPr>
          <w:rFonts w:asciiTheme="majorBidi" w:hAnsiTheme="majorBidi" w:cstheme="majorBidi"/>
          <w:sz w:val="22"/>
          <w:szCs w:val="22"/>
        </w:rPr>
        <w:t>(8), 594604.</w:t>
      </w:r>
    </w:p>
    <w:p w14:paraId="0849F1A2" w14:textId="77777777" w:rsidR="00E254C5" w:rsidRPr="00A9281B" w:rsidRDefault="00E254C5" w:rsidP="00E254C5">
      <w:pPr>
        <w:rPr>
          <w:rFonts w:asciiTheme="majorBidi" w:hAnsiTheme="majorBidi" w:cstheme="majorBidi"/>
        </w:rPr>
      </w:pPr>
    </w:p>
    <w:p w14:paraId="17C78BD3" w14:textId="77777777" w:rsidR="00E254C5" w:rsidRPr="00A9281B" w:rsidRDefault="00E254C5" w:rsidP="00E254C5">
      <w:pPr>
        <w:rPr>
          <w:rFonts w:asciiTheme="majorBidi" w:hAnsiTheme="majorBidi" w:cstheme="majorBidi"/>
        </w:rPr>
      </w:pPr>
    </w:p>
    <w:p w14:paraId="1B9FFCB2" w14:textId="77777777" w:rsidR="00CE6144" w:rsidRPr="00A9281B" w:rsidRDefault="00CE6144" w:rsidP="00CE6144">
      <w:pPr>
        <w:rPr>
          <w:rFonts w:asciiTheme="majorBidi" w:hAnsiTheme="majorBidi" w:cstheme="majorBidi"/>
        </w:rPr>
      </w:pPr>
    </w:p>
    <w:p w14:paraId="63ADEFA9" w14:textId="77777777" w:rsidR="007948E2" w:rsidRPr="00A9281B" w:rsidRDefault="007948E2">
      <w:pPr>
        <w:rPr>
          <w:rFonts w:asciiTheme="majorBidi" w:hAnsiTheme="majorBidi" w:cstheme="majorBidi"/>
        </w:rPr>
      </w:pPr>
    </w:p>
    <w:sectPr w:rsidR="007948E2" w:rsidRPr="00A9281B" w:rsidSect="00CE614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95210" w14:textId="77777777" w:rsidR="00881EF9" w:rsidRDefault="00881EF9" w:rsidP="005836C2">
      <w:r>
        <w:separator/>
      </w:r>
    </w:p>
  </w:endnote>
  <w:endnote w:type="continuationSeparator" w:id="0">
    <w:p w14:paraId="149B746B" w14:textId="77777777" w:rsidR="00881EF9" w:rsidRDefault="00881EF9" w:rsidP="00583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OGBBI A+ Gulliver">
    <w:altName w:val="Gulliver"/>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79116"/>
      <w:docPartObj>
        <w:docPartGallery w:val="Page Numbers (Bottom of Page)"/>
        <w:docPartUnique/>
      </w:docPartObj>
    </w:sdtPr>
    <w:sdtEndPr>
      <w:rPr>
        <w:noProof/>
      </w:rPr>
    </w:sdtEndPr>
    <w:sdtContent>
      <w:p w14:paraId="6F5C93AB" w14:textId="28C190C8" w:rsidR="008E0CFF" w:rsidRDefault="008E0CFF">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426858BF" w14:textId="77777777" w:rsidR="008E0CFF" w:rsidRDefault="008E0C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9D535" w14:textId="77777777" w:rsidR="00881EF9" w:rsidRDefault="00881EF9" w:rsidP="005836C2">
      <w:r>
        <w:separator/>
      </w:r>
    </w:p>
  </w:footnote>
  <w:footnote w:type="continuationSeparator" w:id="0">
    <w:p w14:paraId="5DA53B24" w14:textId="77777777" w:rsidR="00881EF9" w:rsidRDefault="00881EF9" w:rsidP="005836C2">
      <w:r>
        <w:continuationSeparator/>
      </w:r>
    </w:p>
  </w:footnote>
  <w:footnote w:id="1">
    <w:p w14:paraId="268795B0" w14:textId="77777777" w:rsidR="00440B9A" w:rsidRPr="00906D4D" w:rsidRDefault="00440B9A" w:rsidP="005836C2">
      <w:pPr>
        <w:pStyle w:val="FootnoteText"/>
      </w:pPr>
      <w:r>
        <w:rPr>
          <w:rStyle w:val="FootnoteReference"/>
        </w:rPr>
        <w:footnoteRef/>
      </w:r>
      <w:r>
        <w:t xml:space="preserve"> </w:t>
      </w:r>
      <w:r w:rsidRPr="00906D4D">
        <w:rPr>
          <w:rFonts w:hint="eastAsia"/>
          <w:sz w:val="16"/>
          <w:szCs w:val="16"/>
        </w:rPr>
        <w:t xml:space="preserve">IGLS </w:t>
      </w:r>
      <w:r w:rsidRPr="00906D4D">
        <w:rPr>
          <w:sz w:val="16"/>
          <w:szCs w:val="16"/>
        </w:rPr>
        <w:t>(iterative generalized least squares</w:t>
      </w:r>
      <w:r w:rsidRPr="00906D4D">
        <w:rPr>
          <w:rFonts w:hint="eastAsia"/>
          <w:sz w:val="16"/>
          <w:szCs w:val="16"/>
        </w:rPr>
        <w:t>) is</w:t>
      </w:r>
      <w:r w:rsidRPr="00906D4D">
        <w:rPr>
          <w:sz w:val="16"/>
          <w:szCs w:val="16"/>
        </w:rPr>
        <w:t xml:space="preserve"> a maximum likelihood (ML) method based on estimating the random</w:t>
      </w:r>
      <w:r w:rsidRPr="00906D4D">
        <w:rPr>
          <w:rFonts w:hint="eastAsia"/>
          <w:sz w:val="16"/>
          <w:szCs w:val="16"/>
        </w:rPr>
        <w:t xml:space="preserve"> </w:t>
      </w:r>
      <w:r w:rsidRPr="00906D4D">
        <w:rPr>
          <w:sz w:val="16"/>
          <w:szCs w:val="16"/>
        </w:rPr>
        <w:t>and fixed parts of the multilevel model alternately assuming the estimates for the other part are correct. This involves iterating between two GLS model fitting steps until the estimates converge to ML</w:t>
      </w:r>
      <w:r w:rsidRPr="00906D4D">
        <w:rPr>
          <w:rFonts w:hint="eastAsia"/>
          <w:sz w:val="16"/>
          <w:szCs w:val="16"/>
        </w:rPr>
        <w:t xml:space="preserve"> </w:t>
      </w:r>
      <w:r w:rsidRPr="00906D4D">
        <w:rPr>
          <w:sz w:val="16"/>
          <w:szCs w:val="16"/>
        </w:rPr>
        <w:t>estimates.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E4874"/>
    <w:multiLevelType w:val="hybridMultilevel"/>
    <w:tmpl w:val="B77A53A0"/>
    <w:lvl w:ilvl="0" w:tplc="84A4FBF6">
      <w:start w:val="1"/>
      <w:numFmt w:val="decimal"/>
      <w:lvlText w:val="%1."/>
      <w:lvlJc w:val="left"/>
      <w:pPr>
        <w:ind w:left="720" w:hanging="360"/>
      </w:pPr>
      <w:rPr>
        <w:rFonts w:asciiTheme="majorBidi" w:eastAsiaTheme="minorEastAsia" w:hAnsiTheme="majorBidi" w:cstheme="maj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306B5A"/>
    <w:multiLevelType w:val="hybridMultilevel"/>
    <w:tmpl w:val="91C4A3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213C15"/>
    <w:multiLevelType w:val="hybridMultilevel"/>
    <w:tmpl w:val="7A429396"/>
    <w:lvl w:ilvl="0" w:tplc="08090001">
      <w:start w:val="9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204F34"/>
    <w:multiLevelType w:val="hybridMultilevel"/>
    <w:tmpl w:val="34980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DF344C"/>
    <w:multiLevelType w:val="hybridMultilevel"/>
    <w:tmpl w:val="0638F1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D556D8C"/>
    <w:multiLevelType w:val="hybridMultilevel"/>
    <w:tmpl w:val="B6D22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D09728B"/>
    <w:multiLevelType w:val="hybridMultilevel"/>
    <w:tmpl w:val="FB081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FB40FF"/>
    <w:multiLevelType w:val="hybridMultilevel"/>
    <w:tmpl w:val="19F08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602557"/>
    <w:multiLevelType w:val="hybridMultilevel"/>
    <w:tmpl w:val="0638F1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5"/>
  </w:num>
  <w:num w:numId="2">
    <w:abstractNumId w:val="0"/>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activeWritingStyle w:appName="MSWord" w:lang="it-IT" w:vendorID="64" w:dllVersion="131078" w:nlCheck="1" w:checkStyle="0"/>
  <w:activeWritingStyle w:appName="MSWord" w:lang="en-GB" w:vendorID="64" w:dllVersion="131078" w:nlCheck="1" w:checkStyle="0"/>
  <w:activeWritingStyle w:appName="MSWord" w:lang="de-DE" w:vendorID="64" w:dllVersion="131078" w:nlCheck="1" w:checkStyle="0"/>
  <w:activeWritingStyle w:appName="MSWord" w:lang="en-AU" w:vendorID="64" w:dllVersion="131078" w:nlCheck="1" w:checkStyle="0"/>
  <w:activeWritingStyle w:appName="MSWord" w:lang="fr-FR"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144"/>
    <w:rsid w:val="00031639"/>
    <w:rsid w:val="00035751"/>
    <w:rsid w:val="00043B78"/>
    <w:rsid w:val="00044F16"/>
    <w:rsid w:val="000630C7"/>
    <w:rsid w:val="00066F2E"/>
    <w:rsid w:val="00071948"/>
    <w:rsid w:val="0007509C"/>
    <w:rsid w:val="000B1A20"/>
    <w:rsid w:val="000C5E64"/>
    <w:rsid w:val="000C7E8E"/>
    <w:rsid w:val="000E1F78"/>
    <w:rsid w:val="00111741"/>
    <w:rsid w:val="00111A7B"/>
    <w:rsid w:val="00146460"/>
    <w:rsid w:val="001524B9"/>
    <w:rsid w:val="00160CD6"/>
    <w:rsid w:val="00174F2C"/>
    <w:rsid w:val="00176BCC"/>
    <w:rsid w:val="0017750B"/>
    <w:rsid w:val="00177814"/>
    <w:rsid w:val="0018382F"/>
    <w:rsid w:val="001C2667"/>
    <w:rsid w:val="001C7DB3"/>
    <w:rsid w:val="001D2C5E"/>
    <w:rsid w:val="001D3F66"/>
    <w:rsid w:val="001E3F48"/>
    <w:rsid w:val="001E771F"/>
    <w:rsid w:val="001F19F0"/>
    <w:rsid w:val="001F5F9D"/>
    <w:rsid w:val="001F628D"/>
    <w:rsid w:val="0020249B"/>
    <w:rsid w:val="00207098"/>
    <w:rsid w:val="0022566F"/>
    <w:rsid w:val="00226F17"/>
    <w:rsid w:val="00245D17"/>
    <w:rsid w:val="00256B35"/>
    <w:rsid w:val="00264870"/>
    <w:rsid w:val="00265CE8"/>
    <w:rsid w:val="002A555A"/>
    <w:rsid w:val="002C227F"/>
    <w:rsid w:val="002D09BC"/>
    <w:rsid w:val="002E4D63"/>
    <w:rsid w:val="002E5AEF"/>
    <w:rsid w:val="002F70A9"/>
    <w:rsid w:val="00305072"/>
    <w:rsid w:val="00306324"/>
    <w:rsid w:val="00343910"/>
    <w:rsid w:val="00346218"/>
    <w:rsid w:val="00352E7B"/>
    <w:rsid w:val="003B7134"/>
    <w:rsid w:val="003C12F3"/>
    <w:rsid w:val="003C4404"/>
    <w:rsid w:val="003D3427"/>
    <w:rsid w:val="003E3DB9"/>
    <w:rsid w:val="003F2345"/>
    <w:rsid w:val="00400F33"/>
    <w:rsid w:val="00405287"/>
    <w:rsid w:val="00417AAB"/>
    <w:rsid w:val="00440B9A"/>
    <w:rsid w:val="00445741"/>
    <w:rsid w:val="00447E86"/>
    <w:rsid w:val="00453171"/>
    <w:rsid w:val="00453700"/>
    <w:rsid w:val="004552BC"/>
    <w:rsid w:val="00464F62"/>
    <w:rsid w:val="00467B31"/>
    <w:rsid w:val="004824ED"/>
    <w:rsid w:val="00484FBB"/>
    <w:rsid w:val="004B71CD"/>
    <w:rsid w:val="004B739A"/>
    <w:rsid w:val="004E665F"/>
    <w:rsid w:val="004F6331"/>
    <w:rsid w:val="005130D8"/>
    <w:rsid w:val="00514F61"/>
    <w:rsid w:val="0052133A"/>
    <w:rsid w:val="00550B35"/>
    <w:rsid w:val="00551C78"/>
    <w:rsid w:val="00556722"/>
    <w:rsid w:val="00563AEB"/>
    <w:rsid w:val="00570F32"/>
    <w:rsid w:val="005759B6"/>
    <w:rsid w:val="005836C2"/>
    <w:rsid w:val="0058642B"/>
    <w:rsid w:val="00591EAB"/>
    <w:rsid w:val="00593FD4"/>
    <w:rsid w:val="0059797C"/>
    <w:rsid w:val="005A0EE1"/>
    <w:rsid w:val="0060529B"/>
    <w:rsid w:val="00614A7F"/>
    <w:rsid w:val="00615C7B"/>
    <w:rsid w:val="0063337B"/>
    <w:rsid w:val="006431F0"/>
    <w:rsid w:val="00660B1C"/>
    <w:rsid w:val="006666A8"/>
    <w:rsid w:val="00674EB2"/>
    <w:rsid w:val="00684197"/>
    <w:rsid w:val="006A0A5B"/>
    <w:rsid w:val="006A1D37"/>
    <w:rsid w:val="006D06B7"/>
    <w:rsid w:val="006F5259"/>
    <w:rsid w:val="00716B51"/>
    <w:rsid w:val="007217FF"/>
    <w:rsid w:val="007508CE"/>
    <w:rsid w:val="00770DB5"/>
    <w:rsid w:val="007877F0"/>
    <w:rsid w:val="007948E2"/>
    <w:rsid w:val="007A69F1"/>
    <w:rsid w:val="007B10FB"/>
    <w:rsid w:val="007B18C0"/>
    <w:rsid w:val="007B56CF"/>
    <w:rsid w:val="007B7B34"/>
    <w:rsid w:val="007C1795"/>
    <w:rsid w:val="007D28B6"/>
    <w:rsid w:val="007F038D"/>
    <w:rsid w:val="007F4FC3"/>
    <w:rsid w:val="00802A09"/>
    <w:rsid w:val="00805834"/>
    <w:rsid w:val="008273FD"/>
    <w:rsid w:val="00844774"/>
    <w:rsid w:val="00845B18"/>
    <w:rsid w:val="00847229"/>
    <w:rsid w:val="008803D6"/>
    <w:rsid w:val="00881EF9"/>
    <w:rsid w:val="00883CA3"/>
    <w:rsid w:val="00885DD1"/>
    <w:rsid w:val="008979A4"/>
    <w:rsid w:val="008B34C8"/>
    <w:rsid w:val="008D4395"/>
    <w:rsid w:val="008D4C54"/>
    <w:rsid w:val="008E0CFF"/>
    <w:rsid w:val="008E6B84"/>
    <w:rsid w:val="00904683"/>
    <w:rsid w:val="0091311D"/>
    <w:rsid w:val="009204A7"/>
    <w:rsid w:val="0095253F"/>
    <w:rsid w:val="009619F0"/>
    <w:rsid w:val="0098201F"/>
    <w:rsid w:val="00985E04"/>
    <w:rsid w:val="009A33CB"/>
    <w:rsid w:val="009E3457"/>
    <w:rsid w:val="009E5606"/>
    <w:rsid w:val="00A1287B"/>
    <w:rsid w:val="00A321A8"/>
    <w:rsid w:val="00A3240B"/>
    <w:rsid w:val="00A417F1"/>
    <w:rsid w:val="00A513ED"/>
    <w:rsid w:val="00A66C76"/>
    <w:rsid w:val="00A875C9"/>
    <w:rsid w:val="00A9281B"/>
    <w:rsid w:val="00AE21B0"/>
    <w:rsid w:val="00AE71A5"/>
    <w:rsid w:val="00B03959"/>
    <w:rsid w:val="00B067AE"/>
    <w:rsid w:val="00B271FB"/>
    <w:rsid w:val="00B469DE"/>
    <w:rsid w:val="00B6099A"/>
    <w:rsid w:val="00B81056"/>
    <w:rsid w:val="00B865A5"/>
    <w:rsid w:val="00B97818"/>
    <w:rsid w:val="00B97BC2"/>
    <w:rsid w:val="00BA52AC"/>
    <w:rsid w:val="00BB5AF3"/>
    <w:rsid w:val="00BD5D67"/>
    <w:rsid w:val="00BE4C1A"/>
    <w:rsid w:val="00BE513B"/>
    <w:rsid w:val="00BF7308"/>
    <w:rsid w:val="00C10F54"/>
    <w:rsid w:val="00C2113E"/>
    <w:rsid w:val="00C52603"/>
    <w:rsid w:val="00C534F4"/>
    <w:rsid w:val="00C811A6"/>
    <w:rsid w:val="00CA1ECF"/>
    <w:rsid w:val="00CB7A44"/>
    <w:rsid w:val="00CE6144"/>
    <w:rsid w:val="00CE72DA"/>
    <w:rsid w:val="00D30739"/>
    <w:rsid w:val="00D34C39"/>
    <w:rsid w:val="00D4299B"/>
    <w:rsid w:val="00D451C0"/>
    <w:rsid w:val="00D55283"/>
    <w:rsid w:val="00D56BC7"/>
    <w:rsid w:val="00D75060"/>
    <w:rsid w:val="00D7567B"/>
    <w:rsid w:val="00D7637B"/>
    <w:rsid w:val="00D7676E"/>
    <w:rsid w:val="00D7697E"/>
    <w:rsid w:val="00D8185A"/>
    <w:rsid w:val="00D81E5C"/>
    <w:rsid w:val="00D85B5B"/>
    <w:rsid w:val="00DF2F55"/>
    <w:rsid w:val="00E148C3"/>
    <w:rsid w:val="00E254C5"/>
    <w:rsid w:val="00E35BD1"/>
    <w:rsid w:val="00E65A17"/>
    <w:rsid w:val="00E70E5D"/>
    <w:rsid w:val="00E717AF"/>
    <w:rsid w:val="00E72FA1"/>
    <w:rsid w:val="00E85DCB"/>
    <w:rsid w:val="00E936DE"/>
    <w:rsid w:val="00EA0FAE"/>
    <w:rsid w:val="00EA4BE8"/>
    <w:rsid w:val="00EA4ED9"/>
    <w:rsid w:val="00EA79A5"/>
    <w:rsid w:val="00ED63F6"/>
    <w:rsid w:val="00ED685B"/>
    <w:rsid w:val="00EE4E87"/>
    <w:rsid w:val="00F1240C"/>
    <w:rsid w:val="00F24FF4"/>
    <w:rsid w:val="00F52B09"/>
    <w:rsid w:val="00F533FF"/>
    <w:rsid w:val="00F73277"/>
    <w:rsid w:val="00F756C3"/>
    <w:rsid w:val="00F84E24"/>
    <w:rsid w:val="00FA3F9E"/>
    <w:rsid w:val="00FD6A44"/>
    <w:rsid w:val="00FE4990"/>
    <w:rsid w:val="00FF32C8"/>
    <w:rsid w:val="00FF6A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8132"/>
  <w15:docId w15:val="{F5DEBEAC-F18B-46AE-B58D-25C5875A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79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836C2"/>
    <w:pPr>
      <w:keepNext/>
      <w:keepLines/>
      <w:spacing w:before="2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5836C2"/>
    <w:pPr>
      <w:outlineLvl w:val="1"/>
    </w:pPr>
    <w:rPr>
      <w:rFonts w:asciiTheme="majorHAnsi" w:hAnsiTheme="majorHAnsi"/>
      <w:b/>
      <w:sz w:val="28"/>
      <w:szCs w:val="28"/>
    </w:rPr>
  </w:style>
  <w:style w:type="paragraph" w:styleId="Heading3">
    <w:name w:val="heading 3"/>
    <w:basedOn w:val="Normal"/>
    <w:next w:val="Normal"/>
    <w:link w:val="Heading3Char"/>
    <w:uiPriority w:val="9"/>
    <w:unhideWhenUsed/>
    <w:qFormat/>
    <w:rsid w:val="003C12F3"/>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144"/>
    <w:pPr>
      <w:spacing w:after="200"/>
      <w:ind w:left="720"/>
      <w:contextualSpacing/>
    </w:pPr>
    <w:rPr>
      <w:rFonts w:asciiTheme="minorHAnsi" w:eastAsia="PMingLiU" w:hAnsiTheme="minorHAnsi" w:cstheme="majorBidi"/>
      <w:sz w:val="22"/>
      <w:szCs w:val="22"/>
      <w:lang w:eastAsia="zh-TW"/>
    </w:rPr>
  </w:style>
  <w:style w:type="character" w:customStyle="1" w:styleId="Heading2Char">
    <w:name w:val="Heading 2 Char"/>
    <w:basedOn w:val="DefaultParagraphFont"/>
    <w:link w:val="Heading2"/>
    <w:uiPriority w:val="9"/>
    <w:rsid w:val="005836C2"/>
    <w:rPr>
      <w:rFonts w:asciiTheme="majorHAnsi" w:eastAsia="Times New Roman" w:hAnsiTheme="majorHAnsi" w:cs="Times New Roman"/>
      <w:b/>
      <w:sz w:val="28"/>
      <w:szCs w:val="28"/>
      <w:lang w:eastAsia="en-GB"/>
    </w:rPr>
  </w:style>
  <w:style w:type="character" w:customStyle="1" w:styleId="Heading3Char">
    <w:name w:val="Heading 3 Char"/>
    <w:basedOn w:val="DefaultParagraphFont"/>
    <w:link w:val="Heading3"/>
    <w:uiPriority w:val="9"/>
    <w:rsid w:val="003C12F3"/>
    <w:rPr>
      <w:rFonts w:ascii="Times New Roman" w:eastAsia="Times New Roman" w:hAnsi="Times New Roman" w:cs="Times New Roman"/>
      <w:b/>
      <w:sz w:val="24"/>
      <w:szCs w:val="24"/>
      <w:lang w:eastAsia="en-GB"/>
    </w:rPr>
  </w:style>
  <w:style w:type="paragraph" w:styleId="Caption">
    <w:name w:val="caption"/>
    <w:basedOn w:val="Normal"/>
    <w:next w:val="Normal"/>
    <w:uiPriority w:val="35"/>
    <w:unhideWhenUsed/>
    <w:qFormat/>
    <w:rsid w:val="00CE6144"/>
    <w:pPr>
      <w:spacing w:after="200"/>
    </w:pPr>
    <w:rPr>
      <w:rFonts w:asciiTheme="minorHAnsi" w:eastAsia="PMingLiU" w:hAnsiTheme="minorHAnsi" w:cstheme="minorBidi"/>
      <w:b/>
      <w:bCs/>
      <w:sz w:val="18"/>
      <w:szCs w:val="18"/>
      <w:lang w:eastAsia="zh-TW"/>
    </w:rPr>
  </w:style>
  <w:style w:type="table" w:styleId="TableGrid">
    <w:name w:val="Table Grid"/>
    <w:basedOn w:val="TableNormal"/>
    <w:uiPriority w:val="59"/>
    <w:rsid w:val="00CE614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E6144"/>
    <w:rPr>
      <w:sz w:val="16"/>
      <w:szCs w:val="16"/>
    </w:rPr>
  </w:style>
  <w:style w:type="paragraph" w:styleId="CommentText">
    <w:name w:val="annotation text"/>
    <w:basedOn w:val="Normal"/>
    <w:link w:val="CommentTextChar"/>
    <w:uiPriority w:val="99"/>
    <w:semiHidden/>
    <w:unhideWhenUsed/>
    <w:rsid w:val="00CE6144"/>
    <w:rPr>
      <w:sz w:val="20"/>
      <w:szCs w:val="20"/>
    </w:rPr>
  </w:style>
  <w:style w:type="character" w:customStyle="1" w:styleId="CommentTextChar">
    <w:name w:val="Comment Text Char"/>
    <w:basedOn w:val="DefaultParagraphFont"/>
    <w:link w:val="CommentText"/>
    <w:uiPriority w:val="99"/>
    <w:semiHidden/>
    <w:rsid w:val="00CE614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E6144"/>
    <w:rPr>
      <w:b/>
      <w:bCs/>
    </w:rPr>
  </w:style>
  <w:style w:type="character" w:customStyle="1" w:styleId="CommentSubjectChar">
    <w:name w:val="Comment Subject Char"/>
    <w:basedOn w:val="CommentTextChar"/>
    <w:link w:val="CommentSubject"/>
    <w:uiPriority w:val="99"/>
    <w:semiHidden/>
    <w:rsid w:val="00CE6144"/>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CE61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144"/>
    <w:rPr>
      <w:rFonts w:ascii="Segoe UI" w:eastAsia="Times New Roman" w:hAnsi="Segoe UI" w:cs="Segoe UI"/>
      <w:sz w:val="18"/>
      <w:szCs w:val="18"/>
      <w:lang w:eastAsia="en-GB"/>
    </w:rPr>
  </w:style>
  <w:style w:type="character" w:customStyle="1" w:styleId="Heading1Char">
    <w:name w:val="Heading 1 Char"/>
    <w:basedOn w:val="DefaultParagraphFont"/>
    <w:link w:val="Heading1"/>
    <w:uiPriority w:val="9"/>
    <w:rsid w:val="005836C2"/>
    <w:rPr>
      <w:rFonts w:asciiTheme="majorHAnsi" w:eastAsiaTheme="majorEastAsia" w:hAnsiTheme="majorHAnsi" w:cstheme="majorBidi"/>
      <w:b/>
      <w:sz w:val="32"/>
      <w:szCs w:val="32"/>
      <w:lang w:eastAsia="en-GB"/>
    </w:rPr>
  </w:style>
  <w:style w:type="paragraph" w:styleId="FootnoteText">
    <w:name w:val="footnote text"/>
    <w:basedOn w:val="Normal"/>
    <w:link w:val="FootnoteTextChar"/>
    <w:uiPriority w:val="99"/>
    <w:semiHidden/>
    <w:unhideWhenUsed/>
    <w:rsid w:val="005836C2"/>
    <w:rPr>
      <w:rFonts w:asciiTheme="minorHAnsi" w:eastAsia="PMingLiU" w:hAnsiTheme="minorHAnsi" w:cstheme="majorBidi"/>
      <w:sz w:val="20"/>
      <w:szCs w:val="20"/>
      <w:lang w:eastAsia="zh-TW"/>
    </w:rPr>
  </w:style>
  <w:style w:type="character" w:customStyle="1" w:styleId="FootnoteTextChar">
    <w:name w:val="Footnote Text Char"/>
    <w:basedOn w:val="DefaultParagraphFont"/>
    <w:link w:val="FootnoteText"/>
    <w:uiPriority w:val="99"/>
    <w:semiHidden/>
    <w:rsid w:val="005836C2"/>
    <w:rPr>
      <w:rFonts w:eastAsia="PMingLiU" w:cstheme="majorBidi"/>
      <w:sz w:val="20"/>
      <w:szCs w:val="20"/>
      <w:lang w:eastAsia="zh-TW"/>
    </w:rPr>
  </w:style>
  <w:style w:type="character" w:styleId="FootnoteReference">
    <w:name w:val="footnote reference"/>
    <w:basedOn w:val="DefaultParagraphFont"/>
    <w:uiPriority w:val="99"/>
    <w:semiHidden/>
    <w:unhideWhenUsed/>
    <w:rsid w:val="005836C2"/>
    <w:rPr>
      <w:vertAlign w:val="superscript"/>
    </w:rPr>
  </w:style>
  <w:style w:type="character" w:styleId="Hyperlink">
    <w:name w:val="Hyperlink"/>
    <w:basedOn w:val="DefaultParagraphFont"/>
    <w:uiPriority w:val="99"/>
    <w:unhideWhenUsed/>
    <w:rsid w:val="00770DB5"/>
    <w:rPr>
      <w:color w:val="0563C1" w:themeColor="hyperlink"/>
      <w:u w:val="single"/>
    </w:rPr>
  </w:style>
  <w:style w:type="paragraph" w:customStyle="1" w:styleId="Default">
    <w:name w:val="Default"/>
    <w:rsid w:val="00770DB5"/>
    <w:pPr>
      <w:autoSpaceDE w:val="0"/>
      <w:autoSpaceDN w:val="0"/>
      <w:adjustRightInd w:val="0"/>
      <w:spacing w:after="0" w:line="240" w:lineRule="auto"/>
    </w:pPr>
    <w:rPr>
      <w:rFonts w:ascii="OGBBI A+ Gulliver" w:hAnsi="OGBBI A+ Gulliver" w:cs="OGBBI A+ Gulliver"/>
      <w:color w:val="000000"/>
      <w:sz w:val="24"/>
      <w:szCs w:val="24"/>
    </w:rPr>
  </w:style>
  <w:style w:type="table" w:customStyle="1" w:styleId="TableGrid1">
    <w:name w:val="Table Grid1"/>
    <w:basedOn w:val="TableNormal"/>
    <w:next w:val="TableGrid"/>
    <w:uiPriority w:val="59"/>
    <w:rsid w:val="008B34C8"/>
    <w:pPr>
      <w:spacing w:after="0" w:line="24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0CFF"/>
    <w:pPr>
      <w:tabs>
        <w:tab w:val="center" w:pos="4513"/>
        <w:tab w:val="right" w:pos="9026"/>
      </w:tabs>
    </w:pPr>
  </w:style>
  <w:style w:type="character" w:customStyle="1" w:styleId="HeaderChar">
    <w:name w:val="Header Char"/>
    <w:basedOn w:val="DefaultParagraphFont"/>
    <w:link w:val="Header"/>
    <w:uiPriority w:val="99"/>
    <w:rsid w:val="008E0CF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8E0CFF"/>
    <w:pPr>
      <w:tabs>
        <w:tab w:val="center" w:pos="4513"/>
        <w:tab w:val="right" w:pos="9026"/>
      </w:tabs>
    </w:pPr>
  </w:style>
  <w:style w:type="character" w:customStyle="1" w:styleId="FooterChar">
    <w:name w:val="Footer Char"/>
    <w:basedOn w:val="DefaultParagraphFont"/>
    <w:link w:val="Footer"/>
    <w:uiPriority w:val="99"/>
    <w:rsid w:val="008E0CFF"/>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565640">
      <w:bodyDiv w:val="1"/>
      <w:marLeft w:val="0"/>
      <w:marRight w:val="0"/>
      <w:marTop w:val="0"/>
      <w:marBottom w:val="0"/>
      <w:divBdr>
        <w:top w:val="none" w:sz="0" w:space="0" w:color="auto"/>
        <w:left w:val="none" w:sz="0" w:space="0" w:color="auto"/>
        <w:bottom w:val="none" w:sz="0" w:space="0" w:color="auto"/>
        <w:right w:val="none" w:sz="0" w:space="0" w:color="auto"/>
      </w:divBdr>
      <w:divsChild>
        <w:div w:id="1112676325">
          <w:marLeft w:val="0"/>
          <w:marRight w:val="0"/>
          <w:marTop w:val="0"/>
          <w:marBottom w:val="0"/>
          <w:divBdr>
            <w:top w:val="none" w:sz="0" w:space="0" w:color="auto"/>
            <w:left w:val="none" w:sz="0" w:space="0" w:color="auto"/>
            <w:bottom w:val="none" w:sz="0" w:space="0" w:color="auto"/>
            <w:right w:val="none" w:sz="0" w:space="0" w:color="auto"/>
          </w:divBdr>
          <w:divsChild>
            <w:div w:id="4042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236">
      <w:bodyDiv w:val="1"/>
      <w:marLeft w:val="0"/>
      <w:marRight w:val="0"/>
      <w:marTop w:val="0"/>
      <w:marBottom w:val="0"/>
      <w:divBdr>
        <w:top w:val="none" w:sz="0" w:space="0" w:color="auto"/>
        <w:left w:val="none" w:sz="0" w:space="0" w:color="auto"/>
        <w:bottom w:val="none" w:sz="0" w:space="0" w:color="auto"/>
        <w:right w:val="none" w:sz="0" w:space="0" w:color="auto"/>
      </w:divBdr>
      <w:divsChild>
        <w:div w:id="140998288">
          <w:marLeft w:val="0"/>
          <w:marRight w:val="0"/>
          <w:marTop w:val="0"/>
          <w:marBottom w:val="0"/>
          <w:divBdr>
            <w:top w:val="none" w:sz="0" w:space="0" w:color="auto"/>
            <w:left w:val="none" w:sz="0" w:space="0" w:color="auto"/>
            <w:bottom w:val="none" w:sz="0" w:space="0" w:color="auto"/>
            <w:right w:val="none" w:sz="0" w:space="0" w:color="auto"/>
          </w:divBdr>
        </w:div>
        <w:div w:id="466288840">
          <w:marLeft w:val="0"/>
          <w:marRight w:val="0"/>
          <w:marTop w:val="0"/>
          <w:marBottom w:val="0"/>
          <w:divBdr>
            <w:top w:val="none" w:sz="0" w:space="0" w:color="auto"/>
            <w:left w:val="none" w:sz="0" w:space="0" w:color="auto"/>
            <w:bottom w:val="none" w:sz="0" w:space="0" w:color="auto"/>
            <w:right w:val="none" w:sz="0" w:space="0" w:color="auto"/>
          </w:divBdr>
        </w:div>
        <w:div w:id="2142066548">
          <w:marLeft w:val="0"/>
          <w:marRight w:val="0"/>
          <w:marTop w:val="0"/>
          <w:marBottom w:val="0"/>
          <w:divBdr>
            <w:top w:val="none" w:sz="0" w:space="0" w:color="auto"/>
            <w:left w:val="none" w:sz="0" w:space="0" w:color="auto"/>
            <w:bottom w:val="none" w:sz="0" w:space="0" w:color="auto"/>
            <w:right w:val="none" w:sz="0" w:space="0" w:color="auto"/>
          </w:divBdr>
        </w:div>
        <w:div w:id="815955027">
          <w:marLeft w:val="0"/>
          <w:marRight w:val="0"/>
          <w:marTop w:val="0"/>
          <w:marBottom w:val="0"/>
          <w:divBdr>
            <w:top w:val="none" w:sz="0" w:space="0" w:color="auto"/>
            <w:left w:val="none" w:sz="0" w:space="0" w:color="auto"/>
            <w:bottom w:val="none" w:sz="0" w:space="0" w:color="auto"/>
            <w:right w:val="none" w:sz="0" w:space="0" w:color="auto"/>
          </w:divBdr>
        </w:div>
        <w:div w:id="808522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versitiesuk.ac.uk/highereducation/Documents/2014/PostgraduateTaughtEducationTheFundingChallenge.pdf" TargetMode="External"/><Relationship Id="rId5" Type="http://schemas.openxmlformats.org/officeDocument/2006/relationships/webSettings" Target="webSettings.xml"/><Relationship Id="rId10" Type="http://schemas.openxmlformats.org/officeDocument/2006/relationships/hyperlink" Target="https://www.gov.uk/government/uploads/system/uploads/attachment_data/file/474227/BIS-15-623-fulfilling-our-potential-teaching-excellence-social-mobility-and-student-choice.pdf" TargetMode="External"/><Relationship Id="rId4" Type="http://schemas.openxmlformats.org/officeDocument/2006/relationships/settings" Target="settings.xml"/><Relationship Id="rId9" Type="http://schemas.openxmlformats.org/officeDocument/2006/relationships/hyperlink" Target="https://www.dur.ac.uk/sass/staff/profile/?mode=pdetail&amp;id=9700&amp;sid=9700&amp;pdetail=959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2623E-47B1-4F3F-8A51-53276B84E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7603</Words>
  <Characters>43338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50840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bkh</dc:creator>
  <cp:lastModifiedBy>Muijs D.</cp:lastModifiedBy>
  <cp:revision>2</cp:revision>
  <dcterms:created xsi:type="dcterms:W3CDTF">2016-03-18T17:29:00Z</dcterms:created>
  <dcterms:modified xsi:type="dcterms:W3CDTF">2016-03-18T17:29:00Z</dcterms:modified>
</cp:coreProperties>
</file>