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E400C6" w14:textId="77777777" w:rsidR="00CC115D" w:rsidRDefault="00CC115D" w:rsidP="00CC115D">
      <w:pPr>
        <w:pStyle w:val="PlainText"/>
      </w:pPr>
      <w:r>
        <w:t>Adherence to enoxaparin in patients with cancer who experience a Venous Thromboembolism Cancer Nursing Practice</w:t>
      </w:r>
    </w:p>
    <w:p w14:paraId="39FE5298" w14:textId="77777777" w:rsidR="00CC115D" w:rsidRDefault="00CC115D" w:rsidP="00CC115D">
      <w:pPr>
        <w:pStyle w:val="PlainText"/>
      </w:pPr>
    </w:p>
    <w:p w14:paraId="5AB18099" w14:textId="62C01209" w:rsidR="00380891" w:rsidRDefault="00CC115D" w:rsidP="00CC115D">
      <w:pPr>
        <w:spacing w:after="0" w:line="240" w:lineRule="auto"/>
        <w:jc w:val="both"/>
      </w:pPr>
      <w:r>
        <w:t>Diez de los Rios de la Serna, C., Lennan, E., Richardson, A.</w:t>
      </w:r>
    </w:p>
    <w:p w14:paraId="7D80D47C" w14:textId="753BC1E4" w:rsidR="00CC115D" w:rsidRDefault="00CC115D" w:rsidP="00CC115D">
      <w:pPr>
        <w:spacing w:after="0" w:line="240" w:lineRule="auto"/>
        <w:jc w:val="both"/>
        <w:rPr>
          <w:rFonts w:ascii="Book Antiqua" w:hAnsi="Book Antiqua"/>
          <w:szCs w:val="24"/>
          <w:lang w:val="en-US"/>
        </w:rPr>
      </w:pPr>
      <w:r>
        <w:rPr>
          <w:rFonts w:ascii="Book Antiqua" w:hAnsi="Book Antiqua"/>
          <w:szCs w:val="24"/>
          <w:lang w:val="en-US"/>
        </w:rPr>
        <w:t>Cancer Nursing Practice</w:t>
      </w:r>
    </w:p>
    <w:p w14:paraId="5264847E" w14:textId="77777777" w:rsidR="00CC115D" w:rsidRPr="00380891" w:rsidRDefault="00CC115D" w:rsidP="00CC115D">
      <w:pPr>
        <w:spacing w:after="0" w:line="240" w:lineRule="auto"/>
        <w:jc w:val="both"/>
        <w:rPr>
          <w:rFonts w:ascii="Book Antiqua" w:hAnsi="Book Antiqua"/>
          <w:szCs w:val="24"/>
          <w:lang w:val="en-US"/>
        </w:rPr>
      </w:pPr>
      <w:bookmarkStart w:id="0" w:name="_GoBack"/>
      <w:bookmarkEnd w:id="0"/>
    </w:p>
    <w:p w14:paraId="3D20CA15" w14:textId="77777777" w:rsidR="00380891" w:rsidRDefault="00380891" w:rsidP="00380891">
      <w:pPr>
        <w:spacing w:after="0" w:line="240" w:lineRule="auto"/>
        <w:jc w:val="both"/>
        <w:rPr>
          <w:rFonts w:ascii="Book Antiqua" w:hAnsi="Book Antiqua"/>
          <w:szCs w:val="24"/>
          <w:lang w:val="en-US"/>
        </w:rPr>
      </w:pPr>
      <w:r w:rsidRPr="00380891">
        <w:rPr>
          <w:rFonts w:ascii="Book Antiqua" w:hAnsi="Book Antiqua"/>
          <w:b/>
          <w:szCs w:val="24"/>
          <w:lang w:val="en-US"/>
        </w:rPr>
        <w:t>Abstract:</w:t>
      </w:r>
      <w:r w:rsidRPr="00380891">
        <w:rPr>
          <w:rFonts w:ascii="Book Antiqua" w:hAnsi="Book Antiqua"/>
          <w:szCs w:val="24"/>
          <w:lang w:val="en-US"/>
        </w:rPr>
        <w:t xml:space="preserve"> When a patient with cancer is diagnosed with </w:t>
      </w:r>
      <w:r>
        <w:rPr>
          <w:rFonts w:ascii="Book Antiqua" w:hAnsi="Book Antiqua"/>
          <w:szCs w:val="24"/>
          <w:lang w:val="en-US"/>
        </w:rPr>
        <w:t xml:space="preserve">a venous thromboembolism (VTE), </w:t>
      </w:r>
      <w:r w:rsidRPr="00380891">
        <w:rPr>
          <w:rFonts w:ascii="Book Antiqua" w:hAnsi="Book Antiqua"/>
          <w:szCs w:val="24"/>
          <w:lang w:val="en-US"/>
        </w:rPr>
        <w:t>management with low molecular weight heparin is an</w:t>
      </w:r>
      <w:r>
        <w:rPr>
          <w:rFonts w:ascii="Book Antiqua" w:hAnsi="Book Antiqua"/>
          <w:szCs w:val="24"/>
          <w:lang w:val="en-US"/>
        </w:rPr>
        <w:t xml:space="preserve"> established form of treatment.</w:t>
      </w:r>
    </w:p>
    <w:p w14:paraId="2D6BAD59" w14:textId="77777777" w:rsidR="00380891" w:rsidRDefault="00380891" w:rsidP="00380891">
      <w:pPr>
        <w:spacing w:after="0" w:line="240" w:lineRule="auto"/>
        <w:jc w:val="both"/>
        <w:rPr>
          <w:rFonts w:ascii="Book Antiqua" w:hAnsi="Book Antiqua"/>
          <w:szCs w:val="24"/>
          <w:lang w:val="en-US"/>
        </w:rPr>
      </w:pPr>
      <w:r w:rsidRPr="00380891">
        <w:rPr>
          <w:rFonts w:ascii="Book Antiqua" w:hAnsi="Book Antiqua"/>
          <w:szCs w:val="24"/>
          <w:lang w:val="en-US"/>
        </w:rPr>
        <w:t>Patients with an incidental VTE are generally stable and</w:t>
      </w:r>
      <w:r>
        <w:rPr>
          <w:rFonts w:ascii="Book Antiqua" w:hAnsi="Book Antiqua"/>
          <w:szCs w:val="24"/>
          <w:lang w:val="en-US"/>
        </w:rPr>
        <w:t xml:space="preserve"> can be treated as outpatients, </w:t>
      </w:r>
      <w:r w:rsidRPr="00380891">
        <w:rPr>
          <w:rFonts w:ascii="Book Antiqua" w:hAnsi="Book Antiqua"/>
          <w:szCs w:val="24"/>
          <w:lang w:val="en-US"/>
        </w:rPr>
        <w:t>and knowledge and ability to self-administer injectio</w:t>
      </w:r>
      <w:r>
        <w:rPr>
          <w:rFonts w:ascii="Book Antiqua" w:hAnsi="Book Antiqua"/>
          <w:szCs w:val="24"/>
          <w:lang w:val="en-US"/>
        </w:rPr>
        <w:t xml:space="preserve">ns will contribute to treatment </w:t>
      </w:r>
      <w:r w:rsidRPr="00380891">
        <w:rPr>
          <w:rFonts w:ascii="Book Antiqua" w:hAnsi="Book Antiqua"/>
          <w:szCs w:val="24"/>
          <w:lang w:val="en-US"/>
        </w:rPr>
        <w:t>adherence.</w:t>
      </w:r>
    </w:p>
    <w:p w14:paraId="1F7FD4E2" w14:textId="2C2198AE" w:rsidR="00380891" w:rsidRPr="00380891" w:rsidRDefault="00380891" w:rsidP="00380891">
      <w:pPr>
        <w:spacing w:after="0" w:line="240" w:lineRule="auto"/>
        <w:jc w:val="both"/>
        <w:rPr>
          <w:rFonts w:ascii="Book Antiqua" w:hAnsi="Book Antiqua"/>
          <w:szCs w:val="24"/>
          <w:lang w:val="en-US"/>
        </w:rPr>
      </w:pPr>
      <w:r>
        <w:rPr>
          <w:rFonts w:ascii="Book Antiqua" w:hAnsi="Book Antiqua"/>
          <w:szCs w:val="24"/>
          <w:lang w:val="en-US"/>
        </w:rPr>
        <w:t>T</w:t>
      </w:r>
      <w:r w:rsidRPr="00380891">
        <w:rPr>
          <w:rFonts w:ascii="Book Antiqua" w:hAnsi="Book Antiqua"/>
          <w:szCs w:val="24"/>
          <w:lang w:val="en-US"/>
        </w:rPr>
        <w:t>he absence of symptoms in incidental eve</w:t>
      </w:r>
      <w:r>
        <w:rPr>
          <w:rFonts w:ascii="Book Antiqua" w:hAnsi="Book Antiqua"/>
          <w:szCs w:val="24"/>
          <w:lang w:val="en-US"/>
        </w:rPr>
        <w:t xml:space="preserve">nts may influence negatively to </w:t>
      </w:r>
      <w:r w:rsidRPr="00380891">
        <w:rPr>
          <w:rFonts w:ascii="Book Antiqua" w:hAnsi="Book Antiqua"/>
          <w:szCs w:val="24"/>
          <w:lang w:val="en-US"/>
        </w:rPr>
        <w:t>the adherence to the treatment.</w:t>
      </w:r>
    </w:p>
    <w:p w14:paraId="7E4C10AB" w14:textId="17CAFD10" w:rsidR="00380891" w:rsidRPr="00380891" w:rsidRDefault="00380891" w:rsidP="00380891">
      <w:pPr>
        <w:spacing w:after="0" w:line="240" w:lineRule="auto"/>
        <w:jc w:val="both"/>
        <w:rPr>
          <w:rFonts w:ascii="Book Antiqua" w:hAnsi="Book Antiqua"/>
          <w:szCs w:val="24"/>
          <w:lang w:val="en-US"/>
        </w:rPr>
      </w:pPr>
      <w:r w:rsidRPr="00380891">
        <w:rPr>
          <w:rFonts w:ascii="Book Antiqua" w:hAnsi="Book Antiqua"/>
          <w:szCs w:val="24"/>
          <w:lang w:val="en-US"/>
        </w:rPr>
        <w:t>This audit examined patients' understanding about the</w:t>
      </w:r>
      <w:r>
        <w:rPr>
          <w:rFonts w:ascii="Book Antiqua" w:hAnsi="Book Antiqua"/>
          <w:szCs w:val="24"/>
          <w:lang w:val="en-US"/>
        </w:rPr>
        <w:t xml:space="preserve"> event and information received </w:t>
      </w:r>
      <w:r w:rsidRPr="00380891">
        <w:rPr>
          <w:rFonts w:ascii="Book Antiqua" w:hAnsi="Book Antiqua"/>
          <w:szCs w:val="24"/>
          <w:lang w:val="en-US"/>
        </w:rPr>
        <w:t>with respect to management of their VTE (whether inci</w:t>
      </w:r>
      <w:r>
        <w:rPr>
          <w:rFonts w:ascii="Book Antiqua" w:hAnsi="Book Antiqua"/>
          <w:szCs w:val="24"/>
          <w:lang w:val="en-US"/>
        </w:rPr>
        <w:t xml:space="preserve">dental or not). A difference in </w:t>
      </w:r>
      <w:r w:rsidRPr="00380891">
        <w:rPr>
          <w:rFonts w:ascii="Book Antiqua" w:hAnsi="Book Antiqua"/>
          <w:szCs w:val="24"/>
          <w:lang w:val="en-US"/>
        </w:rPr>
        <w:t>adherence was observed between respondents wh</w:t>
      </w:r>
      <w:r>
        <w:rPr>
          <w:rFonts w:ascii="Book Antiqua" w:hAnsi="Book Antiqua"/>
          <w:szCs w:val="24"/>
          <w:lang w:val="en-US"/>
        </w:rPr>
        <w:t xml:space="preserve">o experienced an incidental and </w:t>
      </w:r>
      <w:r w:rsidRPr="00380891">
        <w:rPr>
          <w:rFonts w:ascii="Book Antiqua" w:hAnsi="Book Antiqua"/>
          <w:szCs w:val="24"/>
          <w:lang w:val="en-US"/>
        </w:rPr>
        <w:t>symptomatic event.</w:t>
      </w:r>
    </w:p>
    <w:p w14:paraId="76F6A00D" w14:textId="196C2BC7" w:rsidR="00380891" w:rsidRDefault="00380891" w:rsidP="00380891">
      <w:pPr>
        <w:spacing w:after="0" w:line="240" w:lineRule="auto"/>
        <w:jc w:val="both"/>
        <w:rPr>
          <w:rFonts w:ascii="Book Antiqua" w:hAnsi="Book Antiqua"/>
          <w:szCs w:val="24"/>
          <w:lang w:val="en-US"/>
        </w:rPr>
      </w:pPr>
      <w:r w:rsidRPr="00380891">
        <w:rPr>
          <w:rFonts w:ascii="Book Antiqua" w:hAnsi="Book Antiqua"/>
          <w:szCs w:val="24"/>
          <w:lang w:val="en-US"/>
        </w:rPr>
        <w:t>Results demonstrated the need to develop written inf</w:t>
      </w:r>
      <w:r>
        <w:rPr>
          <w:rFonts w:ascii="Book Antiqua" w:hAnsi="Book Antiqua"/>
          <w:szCs w:val="24"/>
          <w:lang w:val="en-US"/>
        </w:rPr>
        <w:t xml:space="preserve">ormation for this patient group </w:t>
      </w:r>
      <w:r w:rsidRPr="00380891">
        <w:rPr>
          <w:rFonts w:ascii="Book Antiqua" w:hAnsi="Book Antiqua"/>
          <w:szCs w:val="24"/>
          <w:lang w:val="en-US"/>
        </w:rPr>
        <w:t>and revealed the absence of a clear pathway for the management of patients with VTE</w:t>
      </w:r>
      <w:r>
        <w:rPr>
          <w:rFonts w:ascii="Book Antiqua" w:hAnsi="Book Antiqua"/>
          <w:szCs w:val="24"/>
          <w:lang w:val="en-US"/>
        </w:rPr>
        <w:t>.</w:t>
      </w:r>
    </w:p>
    <w:p w14:paraId="65D82B96" w14:textId="77777777" w:rsidR="00380891" w:rsidRPr="00380891" w:rsidRDefault="00380891" w:rsidP="00380891">
      <w:pPr>
        <w:spacing w:after="0" w:line="240" w:lineRule="auto"/>
        <w:jc w:val="both"/>
        <w:rPr>
          <w:rFonts w:ascii="Book Antiqua" w:hAnsi="Book Antiqua"/>
          <w:szCs w:val="24"/>
          <w:lang w:val="en-US"/>
        </w:rPr>
      </w:pPr>
    </w:p>
    <w:p w14:paraId="6E66F9D2" w14:textId="77777777" w:rsidR="00380891" w:rsidRPr="00380891" w:rsidRDefault="00380891" w:rsidP="00380891">
      <w:pPr>
        <w:spacing w:after="0" w:line="240" w:lineRule="auto"/>
        <w:jc w:val="both"/>
        <w:rPr>
          <w:rFonts w:ascii="Book Antiqua" w:hAnsi="Book Antiqua"/>
          <w:szCs w:val="24"/>
          <w:lang w:val="en-US"/>
        </w:rPr>
      </w:pPr>
      <w:r w:rsidRPr="00380891">
        <w:rPr>
          <w:rFonts w:ascii="Book Antiqua" w:hAnsi="Book Antiqua"/>
          <w:b/>
          <w:szCs w:val="24"/>
          <w:lang w:val="en-US"/>
        </w:rPr>
        <w:t>Keywords</w:t>
      </w:r>
      <w:r w:rsidRPr="00380891">
        <w:rPr>
          <w:rFonts w:ascii="Book Antiqua" w:hAnsi="Book Antiqua"/>
          <w:szCs w:val="24"/>
          <w:lang w:val="en-US"/>
        </w:rPr>
        <w:t>: Low-molecular-weight heparin; enoxaparin; Venous Thromboembolism; Cancer-</w:t>
      </w:r>
    </w:p>
    <w:p w14:paraId="73E3B5F6" w14:textId="669F5DE6" w:rsidR="00380891" w:rsidRDefault="00380891" w:rsidP="00380891">
      <w:pPr>
        <w:spacing w:after="0" w:line="240" w:lineRule="auto"/>
        <w:jc w:val="both"/>
        <w:rPr>
          <w:rFonts w:ascii="Book Antiqua" w:hAnsi="Book Antiqua"/>
          <w:szCs w:val="24"/>
          <w:lang w:val="en-US"/>
        </w:rPr>
      </w:pPr>
      <w:r w:rsidRPr="00380891">
        <w:rPr>
          <w:rFonts w:ascii="Book Antiqua" w:hAnsi="Book Antiqua"/>
          <w:szCs w:val="24"/>
          <w:lang w:val="en-US"/>
        </w:rPr>
        <w:t>Associated Thrombosis; Cancer; Treatment; Adherence; Compliance</w:t>
      </w:r>
    </w:p>
    <w:p w14:paraId="0AE2251D" w14:textId="77777777" w:rsidR="00380891" w:rsidRPr="00380891" w:rsidRDefault="00380891" w:rsidP="00380891">
      <w:pPr>
        <w:spacing w:after="0" w:line="240" w:lineRule="auto"/>
        <w:jc w:val="both"/>
        <w:rPr>
          <w:rFonts w:ascii="Book Antiqua" w:hAnsi="Book Antiqua"/>
          <w:b/>
          <w:bCs/>
          <w:szCs w:val="24"/>
          <w:lang w:val="en"/>
        </w:rPr>
      </w:pPr>
    </w:p>
    <w:p w14:paraId="73B9A9DC" w14:textId="25882AEE" w:rsidR="00074096" w:rsidRPr="00F12866" w:rsidRDefault="00074096" w:rsidP="002137A7">
      <w:pPr>
        <w:spacing w:line="276" w:lineRule="auto"/>
        <w:rPr>
          <w:rFonts w:ascii="Book Antiqua" w:hAnsi="Book Antiqua"/>
          <w:b/>
          <w:bCs/>
          <w:sz w:val="24"/>
          <w:szCs w:val="24"/>
          <w:lang w:val="en"/>
        </w:rPr>
      </w:pPr>
      <w:r w:rsidRPr="00F12866">
        <w:rPr>
          <w:rFonts w:ascii="Book Antiqua" w:hAnsi="Book Antiqua"/>
          <w:b/>
          <w:bCs/>
          <w:sz w:val="24"/>
          <w:szCs w:val="24"/>
          <w:lang w:val="en"/>
        </w:rPr>
        <w:t>Introduction:</w:t>
      </w:r>
    </w:p>
    <w:p w14:paraId="34B65555" w14:textId="13CA3081" w:rsidR="00074096" w:rsidRPr="00505215" w:rsidRDefault="00074096" w:rsidP="00BF36AE">
      <w:pPr>
        <w:spacing w:before="240" w:line="276" w:lineRule="auto"/>
        <w:ind w:firstLine="720"/>
        <w:jc w:val="both"/>
        <w:rPr>
          <w:rFonts w:ascii="Book Antiqua" w:hAnsi="Book Antiqua"/>
        </w:rPr>
      </w:pPr>
      <w:r w:rsidRPr="00505215">
        <w:rPr>
          <w:rFonts w:ascii="Book Antiqua" w:hAnsi="Book Antiqua"/>
        </w:rPr>
        <w:t xml:space="preserve">Venous thromboembolism (VTE) is a term that refers to a blood clot that forms in a vein. This term includes deep venous thromboembolism (DVT) </w:t>
      </w:r>
      <w:r w:rsidR="000136FE">
        <w:rPr>
          <w:rFonts w:ascii="Book Antiqua" w:hAnsi="Book Antiqua"/>
        </w:rPr>
        <w:t>and</w:t>
      </w:r>
      <w:r w:rsidRPr="00505215">
        <w:rPr>
          <w:rFonts w:ascii="Book Antiqua" w:hAnsi="Book Antiqua"/>
        </w:rPr>
        <w:t xml:space="preserve"> pulmonary embolism (PE) (NICE 2013)</w:t>
      </w:r>
      <w:r w:rsidR="00C96C26">
        <w:rPr>
          <w:rFonts w:ascii="Book Antiqua" w:hAnsi="Book Antiqua"/>
        </w:rPr>
        <w:t xml:space="preserve">. </w:t>
      </w:r>
      <w:r w:rsidRPr="00505215">
        <w:rPr>
          <w:rFonts w:ascii="Book Antiqua" w:hAnsi="Book Antiqua"/>
        </w:rPr>
        <w:t>Approximately 1-2 per 1000 of the population in England experience thromboembolism each year (NICE</w:t>
      </w:r>
      <w:r w:rsidR="00AF0930">
        <w:rPr>
          <w:rFonts w:ascii="Book Antiqua" w:hAnsi="Book Antiqua"/>
        </w:rPr>
        <w:t xml:space="preserve"> </w:t>
      </w:r>
      <w:r w:rsidR="00AF0930" w:rsidRPr="00BF36AE">
        <w:rPr>
          <w:rFonts w:ascii="Book Antiqua" w:hAnsi="Book Antiqua"/>
        </w:rPr>
        <w:t>2013</w:t>
      </w:r>
      <w:r w:rsidR="00C6061A">
        <w:rPr>
          <w:rFonts w:ascii="Book Antiqua" w:hAnsi="Book Antiqua"/>
        </w:rPr>
        <w:t>)</w:t>
      </w:r>
      <w:r w:rsidR="00C96C26">
        <w:rPr>
          <w:rFonts w:ascii="Book Antiqua" w:hAnsi="Book Antiqua"/>
        </w:rPr>
        <w:t xml:space="preserve">. </w:t>
      </w:r>
      <w:r w:rsidRPr="00505215">
        <w:rPr>
          <w:rFonts w:ascii="Book Antiqua" w:hAnsi="Book Antiqua"/>
        </w:rPr>
        <w:t>VTE is a significant cause of morbidity as</w:t>
      </w:r>
      <w:r w:rsidR="00714495">
        <w:rPr>
          <w:rFonts w:ascii="Book Antiqua" w:hAnsi="Book Antiqua"/>
        </w:rPr>
        <w:t xml:space="preserve"> it</w:t>
      </w:r>
      <w:r w:rsidRPr="00505215">
        <w:rPr>
          <w:rFonts w:ascii="Book Antiqua" w:hAnsi="Book Antiqua"/>
        </w:rPr>
        <w:t xml:space="preserve"> is related </w:t>
      </w:r>
      <w:r w:rsidR="00714495">
        <w:rPr>
          <w:rFonts w:ascii="Book Antiqua" w:hAnsi="Book Antiqua"/>
        </w:rPr>
        <w:t>to</w:t>
      </w:r>
      <w:r w:rsidRPr="00505215">
        <w:rPr>
          <w:rFonts w:ascii="Book Antiqua" w:hAnsi="Book Antiqua"/>
        </w:rPr>
        <w:t xml:space="preserve"> hospitali</w:t>
      </w:r>
      <w:r w:rsidR="00714495">
        <w:rPr>
          <w:rFonts w:ascii="Book Antiqua" w:hAnsi="Book Antiqua"/>
        </w:rPr>
        <w:t>s</w:t>
      </w:r>
      <w:r w:rsidRPr="00505215">
        <w:rPr>
          <w:rFonts w:ascii="Book Antiqua" w:hAnsi="Book Antiqua"/>
        </w:rPr>
        <w:t xml:space="preserve">ation, reduced pulmonary function and post-thrombotic syndrome (Kuderer et al. 2009). In </w:t>
      </w:r>
      <w:r w:rsidR="00C96C26">
        <w:rPr>
          <w:rFonts w:ascii="Book Antiqua" w:hAnsi="Book Antiqua"/>
        </w:rPr>
        <w:t>cancer patients</w:t>
      </w:r>
      <w:r w:rsidRPr="00505215">
        <w:rPr>
          <w:rFonts w:ascii="Book Antiqua" w:hAnsi="Book Antiqua"/>
        </w:rPr>
        <w:t xml:space="preserve"> VTE represents the second most common cause of death (Lyman and Khorana 2009).</w:t>
      </w:r>
    </w:p>
    <w:p w14:paraId="51F473D2" w14:textId="5D53A52E" w:rsidR="00074096" w:rsidRPr="0096597F" w:rsidRDefault="00074096" w:rsidP="002137A7">
      <w:pPr>
        <w:spacing w:before="240" w:line="276" w:lineRule="auto"/>
        <w:jc w:val="both"/>
        <w:rPr>
          <w:rFonts w:ascii="Book Antiqua" w:hAnsi="Book Antiqua"/>
        </w:rPr>
      </w:pPr>
      <w:r w:rsidRPr="00505215">
        <w:rPr>
          <w:rFonts w:ascii="Book Antiqua" w:hAnsi="Book Antiqua"/>
        </w:rPr>
        <w:t>There are numerous risk factors for developing a VTE</w:t>
      </w:r>
      <w:r w:rsidR="00797BB2">
        <w:rPr>
          <w:rFonts w:ascii="Book Antiqua" w:hAnsi="Book Antiqua"/>
        </w:rPr>
        <w:t xml:space="preserve"> </w:t>
      </w:r>
      <w:r w:rsidRPr="00505215">
        <w:rPr>
          <w:rFonts w:ascii="Book Antiqua" w:hAnsi="Book Antiqua"/>
        </w:rPr>
        <w:t xml:space="preserve">that include </w:t>
      </w:r>
      <w:r w:rsidR="0089304B">
        <w:rPr>
          <w:rFonts w:ascii="Book Antiqua" w:hAnsi="Book Antiqua"/>
        </w:rPr>
        <w:t xml:space="preserve">older </w:t>
      </w:r>
      <w:r w:rsidRPr="00505215">
        <w:rPr>
          <w:rFonts w:ascii="Book Antiqua" w:hAnsi="Book Antiqua"/>
        </w:rPr>
        <w:t>age, some medications (</w:t>
      </w:r>
      <w:r w:rsidR="00714495">
        <w:rPr>
          <w:rFonts w:ascii="Book Antiqua" w:hAnsi="Book Antiqua"/>
        </w:rPr>
        <w:t xml:space="preserve">such </w:t>
      </w:r>
      <w:r w:rsidRPr="00505215">
        <w:rPr>
          <w:rFonts w:ascii="Book Antiqua" w:hAnsi="Book Antiqua"/>
        </w:rPr>
        <w:t xml:space="preserve">as oral contraception), immobility, smoking </w:t>
      </w:r>
      <w:r w:rsidR="005B5772">
        <w:rPr>
          <w:rFonts w:ascii="Book Antiqua" w:hAnsi="Book Antiqua"/>
        </w:rPr>
        <w:t>and</w:t>
      </w:r>
      <w:r w:rsidRPr="00505215">
        <w:rPr>
          <w:rFonts w:ascii="Book Antiqua" w:hAnsi="Book Antiqua"/>
        </w:rPr>
        <w:t xml:space="preserve"> obesity</w:t>
      </w:r>
      <w:r w:rsidR="007D26CB">
        <w:rPr>
          <w:rFonts w:ascii="Book Antiqua" w:hAnsi="Book Antiqua"/>
        </w:rPr>
        <w:t xml:space="preserve"> (</w:t>
      </w:r>
      <w:r w:rsidR="007D26CB" w:rsidRPr="00BF36AE">
        <w:rPr>
          <w:rFonts w:ascii="Book Antiqua" w:hAnsi="Book Antiqua"/>
          <w:color w:val="0A0905"/>
        </w:rPr>
        <w:t>Khorana 2010</w:t>
      </w:r>
      <w:r w:rsidR="007D26CB" w:rsidRPr="00505215">
        <w:rPr>
          <w:rFonts w:ascii="Book Antiqua" w:hAnsi="Book Antiqua"/>
        </w:rPr>
        <w:t>)</w:t>
      </w:r>
      <w:r w:rsidRPr="00505215">
        <w:rPr>
          <w:rFonts w:ascii="Book Antiqua" w:hAnsi="Book Antiqua"/>
        </w:rPr>
        <w:t>. Th</w:t>
      </w:r>
      <w:r w:rsidR="005B5772">
        <w:rPr>
          <w:rFonts w:ascii="Book Antiqua" w:hAnsi="Book Antiqua"/>
        </w:rPr>
        <w:t>e</w:t>
      </w:r>
      <w:r w:rsidRPr="00505215">
        <w:rPr>
          <w:rFonts w:ascii="Book Antiqua" w:hAnsi="Book Antiqua"/>
        </w:rPr>
        <w:t xml:space="preserve"> risk is higher in cancer patients, </w:t>
      </w:r>
      <w:r w:rsidR="005B5772">
        <w:rPr>
          <w:rFonts w:ascii="Book Antiqua" w:hAnsi="Book Antiqua"/>
        </w:rPr>
        <w:t>who</w:t>
      </w:r>
      <w:r w:rsidRPr="00505215">
        <w:rPr>
          <w:rFonts w:ascii="Book Antiqua" w:hAnsi="Book Antiqua"/>
        </w:rPr>
        <w:t xml:space="preserve"> have a one-in-five risk of developing a VTE as well as </w:t>
      </w:r>
      <w:r w:rsidR="005F4B9D">
        <w:rPr>
          <w:rFonts w:ascii="Book Antiqua" w:hAnsi="Book Antiqua"/>
        </w:rPr>
        <w:t xml:space="preserve">a </w:t>
      </w:r>
      <w:r w:rsidRPr="00505215">
        <w:rPr>
          <w:rFonts w:ascii="Book Antiqua" w:hAnsi="Book Antiqua"/>
        </w:rPr>
        <w:t>higher risk of recurrent VTE (</w:t>
      </w:r>
      <w:r w:rsidRPr="00505215">
        <w:rPr>
          <w:rFonts w:ascii="Book Antiqua" w:hAnsi="Book Antiqua" w:cs="AdvP403A40"/>
        </w:rPr>
        <w:t>Horsted et al. 2012</w:t>
      </w:r>
      <w:r w:rsidRPr="00505215">
        <w:rPr>
          <w:rFonts w:ascii="Book Antiqua" w:hAnsi="Book Antiqua"/>
        </w:rPr>
        <w:t>)</w:t>
      </w:r>
      <w:r w:rsidR="00C96C26">
        <w:rPr>
          <w:rFonts w:ascii="Book Antiqua" w:hAnsi="Book Antiqua"/>
        </w:rPr>
        <w:t xml:space="preserve">. </w:t>
      </w:r>
      <w:r w:rsidR="005B5772">
        <w:rPr>
          <w:rFonts w:ascii="Book Antiqua" w:hAnsi="Book Antiqua"/>
        </w:rPr>
        <w:t>A c</w:t>
      </w:r>
      <w:r w:rsidRPr="00505215">
        <w:rPr>
          <w:rFonts w:ascii="Book Antiqua" w:hAnsi="Book Antiqua"/>
        </w:rPr>
        <w:t>ancer</w:t>
      </w:r>
      <w:r w:rsidR="005B5772">
        <w:rPr>
          <w:rFonts w:ascii="Book Antiqua" w:hAnsi="Book Antiqua"/>
        </w:rPr>
        <w:t xml:space="preserve"> diagnosis </w:t>
      </w:r>
      <w:r w:rsidR="00714495" w:rsidRPr="00505215">
        <w:rPr>
          <w:rFonts w:ascii="Book Antiqua" w:hAnsi="Book Antiqua"/>
        </w:rPr>
        <w:t xml:space="preserve">itself </w:t>
      </w:r>
      <w:r w:rsidR="005B5772">
        <w:rPr>
          <w:rFonts w:ascii="Book Antiqua" w:hAnsi="Book Antiqua"/>
        </w:rPr>
        <w:t>raises</w:t>
      </w:r>
      <w:r w:rsidRPr="00505215">
        <w:rPr>
          <w:rFonts w:ascii="Book Antiqua" w:hAnsi="Book Antiqua"/>
        </w:rPr>
        <w:t xml:space="preserve"> the risk of VTE </w:t>
      </w:r>
      <w:r w:rsidR="005B5772">
        <w:rPr>
          <w:rFonts w:ascii="Book Antiqua" w:hAnsi="Book Antiqua"/>
        </w:rPr>
        <w:t>through impacting</w:t>
      </w:r>
      <w:r w:rsidRPr="00505215">
        <w:rPr>
          <w:rFonts w:ascii="Book Antiqua" w:hAnsi="Book Antiqua"/>
        </w:rPr>
        <w:t xml:space="preserve"> the three elements that predispose patient</w:t>
      </w:r>
      <w:r w:rsidR="00C927F0">
        <w:rPr>
          <w:rFonts w:ascii="Book Antiqua" w:hAnsi="Book Antiqua"/>
        </w:rPr>
        <w:t>s</w:t>
      </w:r>
      <w:r w:rsidRPr="00505215">
        <w:rPr>
          <w:rFonts w:ascii="Book Antiqua" w:hAnsi="Book Antiqua"/>
        </w:rPr>
        <w:t xml:space="preserve"> to thrombosis: stasis, vessel wall injury and hypercoagulab</w:t>
      </w:r>
      <w:r w:rsidR="0096597F">
        <w:rPr>
          <w:rFonts w:ascii="Book Antiqua" w:hAnsi="Book Antiqua"/>
        </w:rPr>
        <w:t>ility, known as Virchow’s triad</w:t>
      </w:r>
      <w:r w:rsidR="00EF4965">
        <w:rPr>
          <w:rFonts w:ascii="Book Antiqua" w:hAnsi="Book Antiqua"/>
        </w:rPr>
        <w:t xml:space="preserve"> (</w:t>
      </w:r>
      <w:r w:rsidR="00EF4965">
        <w:rPr>
          <w:rFonts w:ascii="Book Antiqua" w:hAnsi="Book Antiqua" w:cs="Helvetica 45 Light"/>
        </w:rPr>
        <w:t xml:space="preserve">Health Select Committee </w:t>
      </w:r>
      <w:r w:rsidR="00EF4965" w:rsidRPr="00BF36AE">
        <w:rPr>
          <w:rFonts w:ascii="Book Antiqua" w:hAnsi="Book Antiqua" w:cs="Helvetica 45 Light"/>
        </w:rPr>
        <w:t>2005)</w:t>
      </w:r>
      <w:r w:rsidR="0096597F">
        <w:rPr>
          <w:rFonts w:ascii="Book Antiqua" w:hAnsi="Book Antiqua"/>
        </w:rPr>
        <w:t xml:space="preserve">. </w:t>
      </w:r>
      <w:r w:rsidR="005F4B9D">
        <w:rPr>
          <w:rFonts w:ascii="Book Antiqua" w:hAnsi="Book Antiqua"/>
        </w:rPr>
        <w:t>P</w:t>
      </w:r>
      <w:r w:rsidRPr="00505215">
        <w:rPr>
          <w:rFonts w:ascii="Book Antiqua" w:hAnsi="Book Antiqua"/>
        </w:rPr>
        <w:t xml:space="preserve">atients </w:t>
      </w:r>
      <w:r w:rsidR="00C927F0">
        <w:rPr>
          <w:rFonts w:ascii="Book Antiqua" w:hAnsi="Book Antiqua"/>
        </w:rPr>
        <w:t xml:space="preserve">with cancer </w:t>
      </w:r>
      <w:r w:rsidRPr="00505215">
        <w:rPr>
          <w:rFonts w:ascii="Book Antiqua" w:hAnsi="Book Antiqua"/>
        </w:rPr>
        <w:t xml:space="preserve">normally </w:t>
      </w:r>
      <w:r w:rsidR="00C927F0">
        <w:rPr>
          <w:rFonts w:ascii="Book Antiqua" w:hAnsi="Book Antiqua"/>
        </w:rPr>
        <w:t>possess</w:t>
      </w:r>
      <w:r w:rsidR="007D26CB">
        <w:rPr>
          <w:rFonts w:ascii="Book Antiqua" w:hAnsi="Book Antiqua"/>
        </w:rPr>
        <w:t xml:space="preserve"> </w:t>
      </w:r>
      <w:r w:rsidR="005F4B9D">
        <w:rPr>
          <w:rFonts w:ascii="Book Antiqua" w:hAnsi="Book Antiqua"/>
        </w:rPr>
        <w:t>additional</w:t>
      </w:r>
      <w:r w:rsidR="007D26CB">
        <w:rPr>
          <w:rFonts w:ascii="Book Antiqua" w:hAnsi="Book Antiqua"/>
        </w:rPr>
        <w:t xml:space="preserve"> risk factors</w:t>
      </w:r>
      <w:r w:rsidRPr="00505215">
        <w:rPr>
          <w:rFonts w:ascii="Book Antiqua" w:hAnsi="Book Antiqua"/>
        </w:rPr>
        <w:t xml:space="preserve"> </w:t>
      </w:r>
      <w:r w:rsidR="005B5772">
        <w:rPr>
          <w:rFonts w:ascii="Book Antiqua" w:hAnsi="Book Antiqua"/>
        </w:rPr>
        <w:t xml:space="preserve">such </w:t>
      </w:r>
      <w:r w:rsidRPr="00505215">
        <w:rPr>
          <w:rFonts w:ascii="Book Antiqua" w:hAnsi="Book Antiqua"/>
        </w:rPr>
        <w:t xml:space="preserve">as </w:t>
      </w:r>
      <w:r w:rsidR="005F4B9D">
        <w:rPr>
          <w:rFonts w:ascii="Book Antiqua" w:hAnsi="Book Antiqua"/>
        </w:rPr>
        <w:t>undergoing</w:t>
      </w:r>
      <w:r w:rsidR="008E2DFD">
        <w:rPr>
          <w:rFonts w:ascii="Book Antiqua" w:hAnsi="Book Antiqua"/>
        </w:rPr>
        <w:t xml:space="preserve"> of </w:t>
      </w:r>
      <w:r w:rsidRPr="00505215">
        <w:rPr>
          <w:rFonts w:ascii="Book Antiqua" w:hAnsi="Book Antiqua"/>
        </w:rPr>
        <w:t xml:space="preserve">chemotherapy, hospital admission, </w:t>
      </w:r>
      <w:r w:rsidR="008E2DFD">
        <w:rPr>
          <w:rFonts w:ascii="Book Antiqua" w:hAnsi="Book Antiqua"/>
        </w:rPr>
        <w:t xml:space="preserve">placement of intravenous </w:t>
      </w:r>
      <w:r w:rsidRPr="00505215">
        <w:rPr>
          <w:rFonts w:ascii="Book Antiqua" w:hAnsi="Book Antiqua"/>
        </w:rPr>
        <w:t xml:space="preserve">catheters </w:t>
      </w:r>
      <w:r w:rsidR="008E2DFD">
        <w:rPr>
          <w:rFonts w:ascii="Book Antiqua" w:hAnsi="Book Antiqua"/>
        </w:rPr>
        <w:t xml:space="preserve">and </w:t>
      </w:r>
      <w:r w:rsidRPr="00505215">
        <w:rPr>
          <w:rFonts w:ascii="Book Antiqua" w:hAnsi="Book Antiqua"/>
        </w:rPr>
        <w:t>surgery</w:t>
      </w:r>
      <w:r w:rsidR="00867A75">
        <w:rPr>
          <w:rFonts w:ascii="Book Antiqua" w:hAnsi="Book Antiqua"/>
        </w:rPr>
        <w:t xml:space="preserve"> (Figure </w:t>
      </w:r>
      <w:r w:rsidR="0096597F">
        <w:rPr>
          <w:rFonts w:ascii="Book Antiqua" w:hAnsi="Book Antiqua"/>
        </w:rPr>
        <w:t>1</w:t>
      </w:r>
      <w:r>
        <w:rPr>
          <w:rFonts w:ascii="Book Antiqua" w:hAnsi="Book Antiqua"/>
        </w:rPr>
        <w:t>)</w:t>
      </w:r>
      <w:r w:rsidRPr="00505215">
        <w:rPr>
          <w:rFonts w:ascii="Book Antiqua" w:hAnsi="Book Antiqua"/>
        </w:rPr>
        <w:t xml:space="preserve"> (</w:t>
      </w:r>
      <w:proofErr w:type="spellStart"/>
      <w:r w:rsidRPr="00505215">
        <w:rPr>
          <w:rFonts w:ascii="Book Antiqua" w:hAnsi="Book Antiqua" w:cs="Gulliver"/>
        </w:rPr>
        <w:t>Eichinger</w:t>
      </w:r>
      <w:proofErr w:type="spellEnd"/>
      <w:r w:rsidRPr="00505215">
        <w:rPr>
          <w:rFonts w:ascii="Book Antiqua" w:hAnsi="Book Antiqua" w:cs="Gulliver"/>
        </w:rPr>
        <w:t xml:space="preserve"> 2016</w:t>
      </w:r>
      <w:r w:rsidRPr="00505215">
        <w:rPr>
          <w:rFonts w:ascii="Book Antiqua" w:hAnsi="Book Antiqua"/>
        </w:rPr>
        <w:t xml:space="preserve">).                         </w:t>
      </w:r>
    </w:p>
    <w:p w14:paraId="2A0C263E" w14:textId="058BDD08" w:rsidR="0096597F" w:rsidRDefault="0096597F" w:rsidP="007D26CB">
      <w:pPr>
        <w:spacing w:before="240" w:line="276" w:lineRule="auto"/>
        <w:jc w:val="both"/>
        <w:rPr>
          <w:rFonts w:ascii="Book Antiqua" w:hAnsi="Book Antiqua"/>
        </w:rPr>
      </w:pPr>
      <w:r>
        <w:rPr>
          <w:rFonts w:ascii="Book Antiqua" w:hAnsi="Book Antiqua"/>
        </w:rPr>
        <w:t>One of the most important risk factors is the administration of chemotherapy.</w:t>
      </w:r>
      <w:r w:rsidR="005D0C38">
        <w:rPr>
          <w:rFonts w:ascii="Book Antiqua" w:hAnsi="Book Antiqua"/>
        </w:rPr>
        <w:t xml:space="preserve"> </w:t>
      </w:r>
      <w:r w:rsidR="005B5772">
        <w:rPr>
          <w:rFonts w:ascii="Book Antiqua" w:hAnsi="Book Antiqua"/>
        </w:rPr>
        <w:t>Chemotherapy treatment</w:t>
      </w:r>
      <w:r>
        <w:rPr>
          <w:rFonts w:ascii="Book Antiqua" w:hAnsi="Book Antiqua"/>
        </w:rPr>
        <w:t xml:space="preserve"> increase</w:t>
      </w:r>
      <w:r w:rsidR="00714495">
        <w:rPr>
          <w:rFonts w:ascii="Book Antiqua" w:hAnsi="Book Antiqua"/>
        </w:rPr>
        <w:t>s</w:t>
      </w:r>
      <w:r>
        <w:rPr>
          <w:rFonts w:ascii="Book Antiqua" w:hAnsi="Book Antiqua"/>
        </w:rPr>
        <w:t xml:space="preserve"> the risk of VTE by</w:t>
      </w:r>
      <w:r w:rsidR="0081399B">
        <w:rPr>
          <w:rFonts w:ascii="Book Antiqua" w:hAnsi="Book Antiqua"/>
        </w:rPr>
        <w:t xml:space="preserve"> causing</w:t>
      </w:r>
      <w:r>
        <w:rPr>
          <w:rFonts w:ascii="Book Antiqua" w:hAnsi="Book Antiqua"/>
        </w:rPr>
        <w:t xml:space="preserve"> damag</w:t>
      </w:r>
      <w:r w:rsidR="0081399B">
        <w:rPr>
          <w:rFonts w:ascii="Book Antiqua" w:hAnsi="Book Antiqua"/>
        </w:rPr>
        <w:t>e</w:t>
      </w:r>
      <w:r>
        <w:rPr>
          <w:rFonts w:ascii="Book Antiqua" w:hAnsi="Book Antiqua"/>
        </w:rPr>
        <w:t xml:space="preserve"> </w:t>
      </w:r>
      <w:r w:rsidR="008E2DFD">
        <w:rPr>
          <w:rFonts w:ascii="Book Antiqua" w:hAnsi="Book Antiqua"/>
        </w:rPr>
        <w:t>to</w:t>
      </w:r>
      <w:r>
        <w:rPr>
          <w:rFonts w:ascii="Book Antiqua" w:hAnsi="Book Antiqua"/>
        </w:rPr>
        <w:t xml:space="preserve"> vess</w:t>
      </w:r>
      <w:r w:rsidR="005F4B9D">
        <w:rPr>
          <w:rFonts w:ascii="Book Antiqua" w:hAnsi="Book Antiqua"/>
        </w:rPr>
        <w:t>el wall</w:t>
      </w:r>
      <w:r w:rsidR="00715E3F">
        <w:rPr>
          <w:rFonts w:ascii="Book Antiqua" w:hAnsi="Book Antiqua"/>
        </w:rPr>
        <w:t xml:space="preserve">, endothelium, platelet </w:t>
      </w:r>
      <w:r>
        <w:rPr>
          <w:rFonts w:ascii="Book Antiqua" w:hAnsi="Book Antiqua"/>
        </w:rPr>
        <w:t xml:space="preserve">activation and </w:t>
      </w:r>
      <w:r w:rsidR="008E2DFD">
        <w:rPr>
          <w:rFonts w:ascii="Book Antiqua" w:hAnsi="Book Antiqua"/>
        </w:rPr>
        <w:t>a</w:t>
      </w:r>
      <w:r w:rsidR="00714495">
        <w:rPr>
          <w:rFonts w:ascii="Book Antiqua" w:hAnsi="Book Antiqua"/>
        </w:rPr>
        <w:t xml:space="preserve"> </w:t>
      </w:r>
      <w:r>
        <w:rPr>
          <w:rFonts w:ascii="Book Antiqua" w:hAnsi="Book Antiqua"/>
        </w:rPr>
        <w:t>decrease in natural coagulation inhibitors (</w:t>
      </w:r>
      <w:r w:rsidR="00BF36AE" w:rsidRPr="00F73BCD">
        <w:rPr>
          <w:rFonts w:ascii="Book Antiqua" w:hAnsi="Book Antiqua"/>
        </w:rPr>
        <w:t>Mandala</w:t>
      </w:r>
      <w:r w:rsidR="00BF36AE">
        <w:rPr>
          <w:rFonts w:ascii="Book Antiqua" w:hAnsi="Book Antiqua"/>
        </w:rPr>
        <w:t xml:space="preserve"> et</w:t>
      </w:r>
      <w:r w:rsidR="001B0AB3">
        <w:rPr>
          <w:rFonts w:ascii="Book Antiqua" w:hAnsi="Book Antiqua"/>
        </w:rPr>
        <w:t xml:space="preserve"> al. 2011)</w:t>
      </w:r>
    </w:p>
    <w:p w14:paraId="2F23E208" w14:textId="62F463FC" w:rsidR="00C96C26" w:rsidRPr="00505215" w:rsidRDefault="00C96C26" w:rsidP="007D26CB">
      <w:pPr>
        <w:spacing w:before="240" w:line="276" w:lineRule="auto"/>
        <w:jc w:val="both"/>
        <w:rPr>
          <w:rFonts w:ascii="Book Antiqua" w:hAnsi="Book Antiqua"/>
        </w:rPr>
      </w:pPr>
      <w:r w:rsidRPr="00505215">
        <w:rPr>
          <w:rFonts w:ascii="Book Antiqua" w:hAnsi="Book Antiqua"/>
        </w:rPr>
        <w:t xml:space="preserve">As well as </w:t>
      </w:r>
      <w:r w:rsidR="005F4B9D">
        <w:rPr>
          <w:rFonts w:ascii="Book Antiqua" w:hAnsi="Book Antiqua"/>
        </w:rPr>
        <w:t>the</w:t>
      </w:r>
      <w:r w:rsidRPr="00505215">
        <w:rPr>
          <w:rFonts w:ascii="Book Antiqua" w:hAnsi="Book Antiqua"/>
        </w:rPr>
        <w:t xml:space="preserve"> physical impact</w:t>
      </w:r>
      <w:r w:rsidR="005F4B9D">
        <w:rPr>
          <w:rFonts w:ascii="Book Antiqua" w:hAnsi="Book Antiqua"/>
        </w:rPr>
        <w:t xml:space="preserve"> on the patient,</w:t>
      </w:r>
      <w:r w:rsidRPr="00505215">
        <w:rPr>
          <w:rFonts w:ascii="Book Antiqua" w:hAnsi="Book Antiqua"/>
        </w:rPr>
        <w:t xml:space="preserve"> the ec</w:t>
      </w:r>
      <w:r w:rsidR="00715E3F">
        <w:rPr>
          <w:rFonts w:ascii="Book Antiqua" w:hAnsi="Book Antiqua"/>
        </w:rPr>
        <w:t>onomic burden of VTE</w:t>
      </w:r>
      <w:r w:rsidRPr="00505215">
        <w:rPr>
          <w:rFonts w:ascii="Book Antiqua" w:hAnsi="Book Antiqua"/>
        </w:rPr>
        <w:t xml:space="preserve"> for the</w:t>
      </w:r>
      <w:r w:rsidR="007D26CB">
        <w:rPr>
          <w:rFonts w:ascii="Book Antiqua" w:hAnsi="Book Antiqua"/>
        </w:rPr>
        <w:t xml:space="preserve"> National Health Service</w:t>
      </w:r>
      <w:r w:rsidRPr="00505215">
        <w:rPr>
          <w:rFonts w:ascii="Book Antiqua" w:hAnsi="Book Antiqua"/>
        </w:rPr>
        <w:t xml:space="preserve"> </w:t>
      </w:r>
      <w:r w:rsidR="007D26CB">
        <w:rPr>
          <w:rFonts w:ascii="Book Antiqua" w:hAnsi="Book Antiqua"/>
        </w:rPr>
        <w:t>(</w:t>
      </w:r>
      <w:r w:rsidRPr="00505215">
        <w:rPr>
          <w:rFonts w:ascii="Book Antiqua" w:hAnsi="Book Antiqua"/>
        </w:rPr>
        <w:t>NHS</w:t>
      </w:r>
      <w:r w:rsidR="007D26CB">
        <w:rPr>
          <w:rFonts w:ascii="Book Antiqua" w:hAnsi="Book Antiqua"/>
        </w:rPr>
        <w:t>)</w:t>
      </w:r>
      <w:r w:rsidRPr="00505215">
        <w:rPr>
          <w:rFonts w:ascii="Book Antiqua" w:hAnsi="Book Antiqua"/>
        </w:rPr>
        <w:t xml:space="preserve"> is substantial. </w:t>
      </w:r>
      <w:r w:rsidR="007D26CB">
        <w:rPr>
          <w:rFonts w:ascii="Book Antiqua" w:hAnsi="Book Antiqua"/>
        </w:rPr>
        <w:t>A</w:t>
      </w:r>
      <w:r w:rsidRPr="00505215">
        <w:rPr>
          <w:rFonts w:ascii="Book Antiqua" w:hAnsi="Book Antiqua"/>
        </w:rPr>
        <w:t xml:space="preserve"> Health Select </w:t>
      </w:r>
      <w:r w:rsidR="00715E3F">
        <w:rPr>
          <w:rFonts w:ascii="Book Antiqua" w:hAnsi="Book Antiqua"/>
        </w:rPr>
        <w:t xml:space="preserve">Committee (2005) estimated </w:t>
      </w:r>
      <w:r w:rsidRPr="00505215">
        <w:rPr>
          <w:rFonts w:ascii="Book Antiqua" w:hAnsi="Book Antiqua"/>
        </w:rPr>
        <w:t xml:space="preserve">the cost </w:t>
      </w:r>
      <w:r w:rsidR="008E2DFD">
        <w:rPr>
          <w:rFonts w:ascii="Book Antiqua" w:hAnsi="Book Antiqua"/>
        </w:rPr>
        <w:t>of</w:t>
      </w:r>
      <w:r w:rsidRPr="00505215">
        <w:rPr>
          <w:rFonts w:ascii="Book Antiqua" w:hAnsi="Book Antiqua"/>
        </w:rPr>
        <w:t xml:space="preserve"> manag</w:t>
      </w:r>
      <w:r w:rsidR="008E2DFD">
        <w:rPr>
          <w:rFonts w:ascii="Book Antiqua" w:hAnsi="Book Antiqua"/>
        </w:rPr>
        <w:t xml:space="preserve">ing </w:t>
      </w:r>
      <w:r w:rsidRPr="00505215">
        <w:rPr>
          <w:rFonts w:ascii="Book Antiqua" w:hAnsi="Book Antiqua"/>
        </w:rPr>
        <w:t>VTE was around £640 million</w:t>
      </w:r>
      <w:r w:rsidR="00EF1C47">
        <w:rPr>
          <w:rFonts w:ascii="Book Antiqua" w:hAnsi="Book Antiqua"/>
        </w:rPr>
        <w:t xml:space="preserve"> </w:t>
      </w:r>
      <w:r w:rsidR="00CB2B31">
        <w:rPr>
          <w:rFonts w:ascii="Book Antiqua" w:hAnsi="Book Antiqua"/>
        </w:rPr>
        <w:t>annually</w:t>
      </w:r>
      <w:r w:rsidRPr="00505215">
        <w:rPr>
          <w:rFonts w:ascii="Book Antiqua" w:hAnsi="Book Antiqua"/>
        </w:rPr>
        <w:t>. In addition</w:t>
      </w:r>
      <w:r w:rsidR="003F6FAE">
        <w:rPr>
          <w:rFonts w:ascii="Book Antiqua" w:hAnsi="Book Antiqua"/>
        </w:rPr>
        <w:t>,</w:t>
      </w:r>
      <w:r w:rsidR="0096597F">
        <w:rPr>
          <w:rFonts w:ascii="Book Antiqua" w:hAnsi="Book Antiqua"/>
        </w:rPr>
        <w:t xml:space="preserve"> there is a </w:t>
      </w:r>
      <w:r w:rsidR="007D26CB">
        <w:rPr>
          <w:rFonts w:ascii="Book Antiqua" w:hAnsi="Book Antiqua"/>
        </w:rPr>
        <w:t>substantial</w:t>
      </w:r>
      <w:r w:rsidR="0096597F">
        <w:rPr>
          <w:rFonts w:ascii="Book Antiqua" w:hAnsi="Book Antiqua"/>
        </w:rPr>
        <w:t xml:space="preserve"> cost associated </w:t>
      </w:r>
      <w:r w:rsidR="008E2DFD">
        <w:rPr>
          <w:rFonts w:ascii="Book Antiqua" w:hAnsi="Book Antiqua"/>
        </w:rPr>
        <w:t>with</w:t>
      </w:r>
      <w:r w:rsidR="0096597F">
        <w:rPr>
          <w:rFonts w:ascii="Book Antiqua" w:hAnsi="Book Antiqua"/>
        </w:rPr>
        <w:t xml:space="preserve"> </w:t>
      </w:r>
      <w:r w:rsidR="007D26CB">
        <w:rPr>
          <w:rFonts w:ascii="Book Antiqua" w:hAnsi="Book Antiqua"/>
        </w:rPr>
        <w:t xml:space="preserve">hospital </w:t>
      </w:r>
      <w:r w:rsidR="0096597F">
        <w:rPr>
          <w:rFonts w:ascii="Book Antiqua" w:hAnsi="Book Antiqua"/>
        </w:rPr>
        <w:t xml:space="preserve">admission due to </w:t>
      </w:r>
      <w:r w:rsidRPr="00505215">
        <w:rPr>
          <w:rFonts w:ascii="Book Antiqua" w:hAnsi="Book Antiqua"/>
        </w:rPr>
        <w:t xml:space="preserve">bleeding, complications related to </w:t>
      </w:r>
      <w:r w:rsidR="005F4B9D">
        <w:rPr>
          <w:rFonts w:ascii="Book Antiqua" w:hAnsi="Book Antiqua"/>
        </w:rPr>
        <w:t xml:space="preserve">the </w:t>
      </w:r>
      <w:r w:rsidRPr="00505215">
        <w:rPr>
          <w:rFonts w:ascii="Book Antiqua" w:hAnsi="Book Antiqua"/>
        </w:rPr>
        <w:t xml:space="preserve">use of </w:t>
      </w:r>
      <w:r w:rsidRPr="00505215">
        <w:rPr>
          <w:rFonts w:ascii="Book Antiqua" w:hAnsi="Book Antiqua"/>
        </w:rPr>
        <w:lastRenderedPageBreak/>
        <w:t>anticoagulants, or recurrent VTE (</w:t>
      </w:r>
      <w:r w:rsidRPr="00505215">
        <w:rPr>
          <w:rFonts w:ascii="Book Antiqua" w:hAnsi="Book Antiqua" w:cs="Helvetica 45 Light"/>
          <w:color w:val="211D1E"/>
        </w:rPr>
        <w:t xml:space="preserve">Lyman and Khorana </w:t>
      </w:r>
      <w:r w:rsidRPr="00505215">
        <w:rPr>
          <w:rFonts w:ascii="Book Antiqua" w:hAnsi="Book Antiqua"/>
        </w:rPr>
        <w:t>2009</w:t>
      </w:r>
      <w:r w:rsidRPr="00505215">
        <w:rPr>
          <w:rFonts w:ascii="Book Antiqua" w:hAnsi="Book Antiqua" w:cs="Arial"/>
        </w:rPr>
        <w:t>).</w:t>
      </w:r>
      <w:r w:rsidRPr="00505215">
        <w:rPr>
          <w:rFonts w:ascii="Book Antiqua" w:hAnsi="Book Antiqua" w:cs="Helvetica 45 Light"/>
        </w:rPr>
        <w:t xml:space="preserve"> </w:t>
      </w:r>
      <w:r w:rsidR="005F4B9D">
        <w:rPr>
          <w:rFonts w:ascii="Book Antiqua" w:hAnsi="Book Antiqua" w:cs="Helvetica 45 Light"/>
        </w:rPr>
        <w:t>VTE</w:t>
      </w:r>
      <w:r w:rsidRPr="00505215">
        <w:rPr>
          <w:rFonts w:ascii="Book Antiqua" w:hAnsi="Book Antiqua"/>
        </w:rPr>
        <w:t xml:space="preserve"> </w:t>
      </w:r>
      <w:r w:rsidR="008E2DFD">
        <w:rPr>
          <w:rFonts w:ascii="Book Antiqua" w:hAnsi="Book Antiqua"/>
        </w:rPr>
        <w:t xml:space="preserve">can also </w:t>
      </w:r>
      <w:r w:rsidR="00715E3F">
        <w:rPr>
          <w:rFonts w:ascii="Book Antiqua" w:hAnsi="Book Antiqua"/>
        </w:rPr>
        <w:t>influence a</w:t>
      </w:r>
      <w:r w:rsidRPr="00505215">
        <w:rPr>
          <w:rFonts w:ascii="Book Antiqua" w:hAnsi="Book Antiqua"/>
        </w:rPr>
        <w:t xml:space="preserve"> chemotherapy schedule and interrupt or impact </w:t>
      </w:r>
      <w:r w:rsidR="00714495">
        <w:rPr>
          <w:rFonts w:ascii="Book Antiqua" w:hAnsi="Book Antiqua"/>
        </w:rPr>
        <w:t>upon</w:t>
      </w:r>
      <w:r w:rsidRPr="00505215">
        <w:rPr>
          <w:rFonts w:ascii="Book Antiqua" w:hAnsi="Book Antiqua"/>
        </w:rPr>
        <w:t xml:space="preserve"> potential future therapeutic choices (Kuderer et al.2009).</w:t>
      </w:r>
    </w:p>
    <w:p w14:paraId="0EA307A7" w14:textId="4A3B4BEF" w:rsidR="00AF0930" w:rsidRPr="00AF0930" w:rsidRDefault="00C96C26" w:rsidP="0089304B">
      <w:pPr>
        <w:pStyle w:val="ListParagraph"/>
        <w:numPr>
          <w:ilvl w:val="0"/>
          <w:numId w:val="1"/>
        </w:numPr>
        <w:autoSpaceDE w:val="0"/>
        <w:autoSpaceDN w:val="0"/>
        <w:adjustRightInd w:val="0"/>
        <w:spacing w:before="240" w:line="276" w:lineRule="auto"/>
        <w:jc w:val="both"/>
        <w:rPr>
          <w:rFonts w:ascii="Book Antiqua" w:hAnsi="Book Antiqua" w:cs="ArialMT"/>
        </w:rPr>
      </w:pPr>
      <w:r w:rsidRPr="00AF0930">
        <w:rPr>
          <w:rFonts w:ascii="Book Antiqua" w:hAnsi="Book Antiqua" w:cs="ArialMT"/>
        </w:rPr>
        <w:t xml:space="preserve">Management of </w:t>
      </w:r>
      <w:r w:rsidR="0089304B">
        <w:rPr>
          <w:rFonts w:ascii="Book Antiqua" w:hAnsi="Book Antiqua" w:cs="ArialMT"/>
        </w:rPr>
        <w:t>VTE</w:t>
      </w:r>
      <w:r w:rsidR="00714495">
        <w:rPr>
          <w:rFonts w:ascii="Book Antiqua" w:hAnsi="Book Antiqua" w:cs="ArialMT"/>
        </w:rPr>
        <w:t>:</w:t>
      </w:r>
      <w:r w:rsidR="003F6FAE">
        <w:rPr>
          <w:rFonts w:ascii="Book Antiqua" w:hAnsi="Book Antiqua"/>
        </w:rPr>
        <w:t xml:space="preserve"> Acute Oncology Practice</w:t>
      </w:r>
    </w:p>
    <w:p w14:paraId="1F6954BB" w14:textId="0D7E25D7" w:rsidR="00C96C26" w:rsidRPr="00AF0930" w:rsidRDefault="00AF0930" w:rsidP="0081399B">
      <w:pPr>
        <w:autoSpaceDE w:val="0"/>
        <w:autoSpaceDN w:val="0"/>
        <w:adjustRightInd w:val="0"/>
        <w:spacing w:before="240" w:line="276" w:lineRule="auto"/>
        <w:jc w:val="both"/>
        <w:rPr>
          <w:rFonts w:ascii="Book Antiqua" w:hAnsi="Book Antiqua" w:cs="ArialMT"/>
        </w:rPr>
      </w:pPr>
      <w:r w:rsidRPr="00AF0930">
        <w:rPr>
          <w:rFonts w:ascii="Book Antiqua" w:hAnsi="Book Antiqua"/>
        </w:rPr>
        <w:t>Some thrombos</w:t>
      </w:r>
      <w:r w:rsidR="004E20E1">
        <w:rPr>
          <w:rFonts w:ascii="Book Antiqua" w:hAnsi="Book Antiqua"/>
        </w:rPr>
        <w:t>e</w:t>
      </w:r>
      <w:r w:rsidRPr="00AF0930">
        <w:rPr>
          <w:rFonts w:ascii="Book Antiqua" w:hAnsi="Book Antiqua"/>
        </w:rPr>
        <w:t xml:space="preserve">s are detected </w:t>
      </w:r>
      <w:r w:rsidR="005F4B9D">
        <w:rPr>
          <w:rFonts w:ascii="Book Antiqua" w:hAnsi="Book Antiqua"/>
        </w:rPr>
        <w:t>when</w:t>
      </w:r>
      <w:r w:rsidRPr="00AF0930">
        <w:rPr>
          <w:rFonts w:ascii="Book Antiqua" w:hAnsi="Book Antiqua"/>
        </w:rPr>
        <w:t xml:space="preserve"> imaging</w:t>
      </w:r>
      <w:r w:rsidR="005F4B9D">
        <w:rPr>
          <w:rFonts w:ascii="Book Antiqua" w:hAnsi="Book Antiqua"/>
        </w:rPr>
        <w:t xml:space="preserve"> for other indications</w:t>
      </w:r>
      <w:r w:rsidRPr="00AF0930">
        <w:rPr>
          <w:rFonts w:ascii="Book Antiqua" w:hAnsi="Book Antiqua"/>
        </w:rPr>
        <w:t>. These</w:t>
      </w:r>
      <w:r>
        <w:rPr>
          <w:rFonts w:ascii="Book Antiqua" w:hAnsi="Book Antiqua"/>
        </w:rPr>
        <w:t xml:space="preserve"> </w:t>
      </w:r>
      <w:r w:rsidR="006F080D">
        <w:rPr>
          <w:rFonts w:ascii="Book Antiqua" w:hAnsi="Book Antiqua"/>
        </w:rPr>
        <w:t>types of thrombosis are termed</w:t>
      </w:r>
      <w:r>
        <w:rPr>
          <w:rFonts w:ascii="Book Antiqua" w:hAnsi="Book Antiqua"/>
        </w:rPr>
        <w:t xml:space="preserve"> incidental DVT or PE </w:t>
      </w:r>
      <w:r w:rsidR="006F080D">
        <w:rPr>
          <w:rFonts w:ascii="Book Antiqua" w:hAnsi="Book Antiqua"/>
        </w:rPr>
        <w:t xml:space="preserve">and </w:t>
      </w:r>
      <w:r>
        <w:rPr>
          <w:rFonts w:ascii="Book Antiqua" w:hAnsi="Book Antiqua"/>
        </w:rPr>
        <w:t>have</w:t>
      </w:r>
      <w:r w:rsidRPr="00AF0930">
        <w:rPr>
          <w:rFonts w:ascii="Book Antiqua" w:hAnsi="Book Antiqua"/>
        </w:rPr>
        <w:t xml:space="preserve"> a prevalence of up to 6%</w:t>
      </w:r>
      <w:r w:rsidR="00EF4965">
        <w:rPr>
          <w:rFonts w:ascii="Book Antiqua" w:hAnsi="Book Antiqua"/>
        </w:rPr>
        <w:t xml:space="preserve"> in cancer patients</w:t>
      </w:r>
      <w:r w:rsidRPr="00AF0930">
        <w:rPr>
          <w:rFonts w:ascii="Book Antiqua" w:hAnsi="Book Antiqua"/>
        </w:rPr>
        <w:t xml:space="preserve"> (</w:t>
      </w:r>
      <w:proofErr w:type="spellStart"/>
      <w:r w:rsidRPr="00AF0930">
        <w:rPr>
          <w:rFonts w:ascii="Book Antiqua" w:hAnsi="Book Antiqua" w:cs="Times-Roman"/>
        </w:rPr>
        <w:t>Douma</w:t>
      </w:r>
      <w:proofErr w:type="spellEnd"/>
      <w:r w:rsidRPr="00AF0930">
        <w:rPr>
          <w:rFonts w:ascii="Book Antiqua" w:hAnsi="Book Antiqua" w:cs="Times-Roman"/>
        </w:rPr>
        <w:t xml:space="preserve"> et al. 2010).</w:t>
      </w:r>
      <w:r w:rsidRPr="00AF0930">
        <w:rPr>
          <w:rFonts w:ascii="Book Antiqua" w:hAnsi="Book Antiqua"/>
        </w:rPr>
        <w:t xml:space="preserve"> </w:t>
      </w:r>
      <w:r w:rsidRPr="00505215">
        <w:rPr>
          <w:rFonts w:ascii="Book Antiqua" w:hAnsi="Book Antiqua"/>
        </w:rPr>
        <w:t>Half of these patients are as</w:t>
      </w:r>
      <w:r>
        <w:rPr>
          <w:rFonts w:ascii="Book Antiqua" w:hAnsi="Book Antiqua"/>
        </w:rPr>
        <w:t>ymptomatic</w:t>
      </w:r>
      <w:r w:rsidR="006F080D">
        <w:rPr>
          <w:rFonts w:ascii="Book Antiqua" w:hAnsi="Book Antiqua"/>
        </w:rPr>
        <w:t>,</w:t>
      </w:r>
      <w:r>
        <w:rPr>
          <w:rFonts w:ascii="Book Antiqua" w:hAnsi="Book Antiqua"/>
        </w:rPr>
        <w:t xml:space="preserve"> while the other half</w:t>
      </w:r>
      <w:r w:rsidR="00715E3F">
        <w:rPr>
          <w:rFonts w:ascii="Book Antiqua" w:hAnsi="Book Antiqua"/>
        </w:rPr>
        <w:t xml:space="preserve"> have symptoms </w:t>
      </w:r>
      <w:r w:rsidR="006F080D">
        <w:rPr>
          <w:rFonts w:ascii="Book Antiqua" w:hAnsi="Book Antiqua"/>
        </w:rPr>
        <w:t xml:space="preserve">often </w:t>
      </w:r>
      <w:r w:rsidRPr="00505215">
        <w:rPr>
          <w:rFonts w:ascii="Book Antiqua" w:hAnsi="Book Antiqua"/>
        </w:rPr>
        <w:t>overlooked or attributed to their cancer</w:t>
      </w:r>
      <w:r w:rsidR="005B5772">
        <w:rPr>
          <w:rFonts w:ascii="Book Antiqua" w:hAnsi="Book Antiqua"/>
        </w:rPr>
        <w:t xml:space="preserve"> such</w:t>
      </w:r>
      <w:r w:rsidRPr="00505215">
        <w:rPr>
          <w:rFonts w:ascii="Book Antiqua" w:hAnsi="Book Antiqua"/>
        </w:rPr>
        <w:t xml:space="preserve"> as breathlessness and cough</w:t>
      </w:r>
      <w:r w:rsidRPr="00505215">
        <w:rPr>
          <w:rFonts w:ascii="Book Antiqua" w:hAnsi="Book Antiqua" w:cs="ArialMT"/>
        </w:rPr>
        <w:t xml:space="preserve"> (Sahut D'Izarn et al. 2012, Shteinberg et al, 2012).</w:t>
      </w:r>
    </w:p>
    <w:p w14:paraId="2059312F" w14:textId="0B3C2A62" w:rsidR="00F13500" w:rsidRDefault="006F080D" w:rsidP="002137A7">
      <w:pPr>
        <w:autoSpaceDE w:val="0"/>
        <w:autoSpaceDN w:val="0"/>
        <w:adjustRightInd w:val="0"/>
        <w:spacing w:before="240" w:line="276" w:lineRule="auto"/>
        <w:jc w:val="both"/>
        <w:rPr>
          <w:rFonts w:ascii="Book Antiqua" w:hAnsi="Book Antiqua"/>
        </w:rPr>
      </w:pPr>
      <w:r>
        <w:rPr>
          <w:rFonts w:ascii="Book Antiqua" w:hAnsi="Book Antiqua" w:cs="ArialMT"/>
        </w:rPr>
        <w:t>T</w:t>
      </w:r>
      <w:r w:rsidR="00C96C26" w:rsidRPr="00505215">
        <w:rPr>
          <w:rFonts w:ascii="Book Antiqua" w:hAnsi="Book Antiqua" w:cs="ArialMT"/>
        </w:rPr>
        <w:t xml:space="preserve">reatment </w:t>
      </w:r>
      <w:r>
        <w:rPr>
          <w:rFonts w:ascii="Book Antiqua" w:hAnsi="Book Antiqua" w:cs="ArialMT"/>
        </w:rPr>
        <w:t xml:space="preserve">is </w:t>
      </w:r>
      <w:r w:rsidR="00233C8A">
        <w:rPr>
          <w:rFonts w:ascii="Book Antiqua" w:hAnsi="Book Antiqua" w:cs="ArialMT"/>
        </w:rPr>
        <w:t>identical</w:t>
      </w:r>
      <w:r>
        <w:rPr>
          <w:rFonts w:ascii="Book Antiqua" w:hAnsi="Book Antiqua" w:cs="ArialMT"/>
        </w:rPr>
        <w:t xml:space="preserve">, </w:t>
      </w:r>
      <w:r w:rsidR="00C96C26" w:rsidRPr="00505215">
        <w:rPr>
          <w:rFonts w:ascii="Book Antiqua" w:hAnsi="Book Antiqua" w:cs="ArialMT"/>
        </w:rPr>
        <w:t xml:space="preserve">irrespective of </w:t>
      </w:r>
      <w:r w:rsidR="00714495">
        <w:rPr>
          <w:rFonts w:ascii="Book Antiqua" w:hAnsi="Book Antiqua" w:cs="ArialMT"/>
        </w:rPr>
        <w:t>the symptoms</w:t>
      </w:r>
      <w:r w:rsidR="00715E3F">
        <w:rPr>
          <w:rFonts w:ascii="Book Antiqua" w:hAnsi="Book Antiqua"/>
        </w:rPr>
        <w:t>. Incidental or symptomatic VTE</w:t>
      </w:r>
      <w:r w:rsidR="00C96C26">
        <w:rPr>
          <w:rFonts w:ascii="Book Antiqua" w:hAnsi="Book Antiqua"/>
        </w:rPr>
        <w:t xml:space="preserve"> </w:t>
      </w:r>
      <w:r w:rsidR="00C96C26" w:rsidRPr="00505215">
        <w:rPr>
          <w:rFonts w:ascii="Book Antiqua" w:hAnsi="Book Antiqua"/>
        </w:rPr>
        <w:t>have similar rates of complications, recurrence and mortality (</w:t>
      </w:r>
      <w:r w:rsidR="00D67249">
        <w:rPr>
          <w:rFonts w:ascii="Book Antiqua" w:hAnsi="Book Antiqua" w:cs="Minion-Italic"/>
        </w:rPr>
        <w:t>D</w:t>
      </w:r>
      <w:r w:rsidR="00C96C26" w:rsidRPr="00505215">
        <w:rPr>
          <w:rFonts w:ascii="Book Antiqua" w:hAnsi="Book Antiqua" w:cs="Minion-Italic"/>
        </w:rPr>
        <w:t>en Exter et al 2011</w:t>
      </w:r>
      <w:r w:rsidR="00C96C26" w:rsidRPr="00505215">
        <w:rPr>
          <w:rFonts w:ascii="Book Antiqua" w:hAnsi="Book Antiqua" w:cs="Minion-Italic"/>
          <w:i/>
          <w:iCs/>
          <w:sz w:val="18"/>
          <w:szCs w:val="18"/>
        </w:rPr>
        <w:t>)</w:t>
      </w:r>
      <w:r w:rsidR="00C96C26" w:rsidRPr="00505215">
        <w:rPr>
          <w:rFonts w:ascii="Book Antiqua" w:hAnsi="Book Antiqua"/>
        </w:rPr>
        <w:t xml:space="preserve">. European and </w:t>
      </w:r>
      <w:r w:rsidR="00997484">
        <w:rPr>
          <w:rFonts w:ascii="Book Antiqua" w:hAnsi="Book Antiqua"/>
        </w:rPr>
        <w:t>n</w:t>
      </w:r>
      <w:r w:rsidR="00C96C26" w:rsidRPr="00505215">
        <w:rPr>
          <w:rFonts w:ascii="Book Antiqua" w:hAnsi="Book Antiqua"/>
        </w:rPr>
        <w:t xml:space="preserve">ational guidelines (Mandala et al. 2011, NICE 2013) </w:t>
      </w:r>
      <w:r w:rsidR="005B5772">
        <w:rPr>
          <w:rFonts w:ascii="Book Antiqua" w:hAnsi="Book Antiqua"/>
        </w:rPr>
        <w:t>state</w:t>
      </w:r>
      <w:r w:rsidR="00C96C26" w:rsidRPr="00505215">
        <w:rPr>
          <w:rFonts w:ascii="Book Antiqua" w:hAnsi="Book Antiqua"/>
        </w:rPr>
        <w:t xml:space="preserve"> </w:t>
      </w:r>
      <w:r w:rsidR="00233C8A">
        <w:rPr>
          <w:rFonts w:ascii="Book Antiqua" w:hAnsi="Book Antiqua"/>
        </w:rPr>
        <w:t xml:space="preserve">that </w:t>
      </w:r>
      <w:r w:rsidR="00C96C26" w:rsidRPr="00505215">
        <w:rPr>
          <w:rFonts w:ascii="Book Antiqua" w:hAnsi="Book Antiqua"/>
        </w:rPr>
        <w:t xml:space="preserve">the treatment of VTE in cancer patients should </w:t>
      </w:r>
      <w:r w:rsidR="00997484">
        <w:rPr>
          <w:rFonts w:ascii="Book Antiqua" w:hAnsi="Book Antiqua"/>
        </w:rPr>
        <w:t>comprise</w:t>
      </w:r>
      <w:r w:rsidR="00C96C26" w:rsidRPr="00505215">
        <w:rPr>
          <w:rFonts w:ascii="Book Antiqua" w:hAnsi="Book Antiqua"/>
        </w:rPr>
        <w:t xml:space="preserve"> six months of low weight molecular heparin (LWMH) </w:t>
      </w:r>
      <w:r>
        <w:rPr>
          <w:rFonts w:ascii="Book Antiqua" w:hAnsi="Book Antiqua"/>
        </w:rPr>
        <w:t xml:space="preserve">delivered by </w:t>
      </w:r>
      <w:r w:rsidR="00C96C26" w:rsidRPr="00505215">
        <w:rPr>
          <w:rFonts w:ascii="Book Antiqua" w:hAnsi="Book Antiqua"/>
        </w:rPr>
        <w:t xml:space="preserve">subcutaneous injections. The use of LWMH reduces the risk of recurrence, </w:t>
      </w:r>
      <w:r w:rsidR="00714495">
        <w:rPr>
          <w:rFonts w:ascii="Book Antiqua" w:hAnsi="Book Antiqua"/>
        </w:rPr>
        <w:t xml:space="preserve">thereby </w:t>
      </w:r>
      <w:r w:rsidR="00C96C26" w:rsidRPr="00505215">
        <w:rPr>
          <w:rFonts w:ascii="Book Antiqua" w:hAnsi="Book Antiqua"/>
        </w:rPr>
        <w:t>reducing mortality and morbidity (</w:t>
      </w:r>
      <w:r w:rsidR="00C96C26" w:rsidRPr="00505215">
        <w:rPr>
          <w:rFonts w:ascii="Book Antiqua" w:hAnsi="Book Antiqua" w:cs="Arial"/>
          <w:color w:val="000000"/>
        </w:rPr>
        <w:t>E</w:t>
      </w:r>
      <w:r w:rsidR="008171CC">
        <w:rPr>
          <w:rFonts w:ascii="Book Antiqua" w:hAnsi="Book Antiqua" w:cs="Arial"/>
          <w:color w:val="221E1F"/>
        </w:rPr>
        <w:t>lyamany et al. 2014).</w:t>
      </w:r>
      <w:r>
        <w:rPr>
          <w:rFonts w:ascii="Book Antiqua" w:hAnsi="Book Antiqua" w:cs="ArialMT"/>
        </w:rPr>
        <w:t xml:space="preserve"> </w:t>
      </w:r>
      <w:r w:rsidR="00C96C26" w:rsidRPr="00F13500">
        <w:rPr>
          <w:rFonts w:ascii="Book Antiqua" w:hAnsi="Book Antiqua" w:cs="ArialMT"/>
        </w:rPr>
        <w:t xml:space="preserve">Patients </w:t>
      </w:r>
      <w:r w:rsidR="004E20E1">
        <w:rPr>
          <w:rFonts w:ascii="Book Antiqua" w:hAnsi="Book Antiqua" w:cs="ArialMT"/>
        </w:rPr>
        <w:t>with haemodynamic or respiratory instability</w:t>
      </w:r>
      <w:r w:rsidR="00C96C26" w:rsidRPr="00F13500">
        <w:rPr>
          <w:rFonts w:ascii="Book Antiqua" w:hAnsi="Book Antiqua" w:cs="ArialMT"/>
        </w:rPr>
        <w:t xml:space="preserve"> should be managed as inpatient</w:t>
      </w:r>
      <w:r w:rsidR="008A6000" w:rsidRPr="00F13500">
        <w:rPr>
          <w:rFonts w:ascii="Book Antiqua" w:hAnsi="Book Antiqua" w:cs="ArialMT"/>
        </w:rPr>
        <w:t>s</w:t>
      </w:r>
      <w:r w:rsidR="00C96C26" w:rsidRPr="00F13500">
        <w:rPr>
          <w:rFonts w:ascii="Book Antiqua" w:hAnsi="Book Antiqua" w:cs="ArialMT"/>
        </w:rPr>
        <w:t xml:space="preserve"> in hospital</w:t>
      </w:r>
      <w:r>
        <w:rPr>
          <w:rFonts w:ascii="Book Antiqua" w:hAnsi="Book Antiqua" w:cs="ArialMT"/>
        </w:rPr>
        <w:t>,</w:t>
      </w:r>
      <w:r w:rsidR="00C96C26" w:rsidRPr="00F13500">
        <w:rPr>
          <w:rFonts w:ascii="Book Antiqua" w:hAnsi="Book Antiqua" w:cs="ArialMT"/>
        </w:rPr>
        <w:t xml:space="preserve"> whil</w:t>
      </w:r>
      <w:r>
        <w:rPr>
          <w:rFonts w:ascii="Book Antiqua" w:hAnsi="Book Antiqua" w:cs="ArialMT"/>
        </w:rPr>
        <w:t xml:space="preserve">st </w:t>
      </w:r>
      <w:r w:rsidR="00C96C26" w:rsidRPr="00F13500">
        <w:rPr>
          <w:rFonts w:ascii="Book Antiqua" w:hAnsi="Book Antiqua" w:cs="ArialMT"/>
        </w:rPr>
        <w:t>stable patients with</w:t>
      </w:r>
      <w:r w:rsidR="00233C8A">
        <w:rPr>
          <w:rFonts w:ascii="Book Antiqua" w:hAnsi="Book Antiqua" w:cs="ArialMT"/>
        </w:rPr>
        <w:t xml:space="preserve"> a</w:t>
      </w:r>
      <w:r w:rsidR="00C96C26" w:rsidRPr="00F13500">
        <w:rPr>
          <w:rFonts w:ascii="Book Antiqua" w:hAnsi="Book Antiqua" w:cs="ArialMT"/>
        </w:rPr>
        <w:t xml:space="preserve"> low risk of adverse outcomes can be </w:t>
      </w:r>
      <w:r>
        <w:rPr>
          <w:rFonts w:ascii="Book Antiqua" w:hAnsi="Book Antiqua" w:cs="ArialMT"/>
        </w:rPr>
        <w:t>managed</w:t>
      </w:r>
      <w:r w:rsidR="00C96C26" w:rsidRPr="00F13500">
        <w:rPr>
          <w:rFonts w:ascii="Book Antiqua" w:hAnsi="Book Antiqua" w:cs="ArialMT"/>
        </w:rPr>
        <w:t xml:space="preserve"> in </w:t>
      </w:r>
      <w:r>
        <w:rPr>
          <w:rFonts w:ascii="Book Antiqua" w:hAnsi="Book Antiqua" w:cs="ArialMT"/>
        </w:rPr>
        <w:t xml:space="preserve">the </w:t>
      </w:r>
      <w:r w:rsidR="00C96C26" w:rsidRPr="00F13500">
        <w:rPr>
          <w:rFonts w:ascii="Book Antiqua" w:hAnsi="Book Antiqua" w:cs="ArialMT"/>
        </w:rPr>
        <w:t>outpatient setting (Streiff 2009</w:t>
      </w:r>
      <w:r w:rsidR="0084394E">
        <w:rPr>
          <w:rFonts w:ascii="Book Antiqua" w:hAnsi="Book Antiqua" w:cs="ArialMT"/>
        </w:rPr>
        <w:t>).</w:t>
      </w:r>
      <w:r w:rsidR="001B0AB3">
        <w:rPr>
          <w:rFonts w:ascii="Book Antiqua" w:hAnsi="Book Antiqua" w:cs="ArialMT"/>
        </w:rPr>
        <w:t xml:space="preserve"> </w:t>
      </w:r>
    </w:p>
    <w:p w14:paraId="18C0A780" w14:textId="08661C3E" w:rsidR="00C96C26" w:rsidRPr="00505215" w:rsidRDefault="007D26CB" w:rsidP="007D26CB">
      <w:pPr>
        <w:spacing w:before="240" w:line="276" w:lineRule="auto"/>
        <w:jc w:val="both"/>
        <w:rPr>
          <w:rFonts w:ascii="Book Antiqua" w:hAnsi="Book Antiqua" w:cs="ArialMT"/>
        </w:rPr>
      </w:pPr>
      <w:r>
        <w:rPr>
          <w:rFonts w:ascii="Book Antiqua" w:hAnsi="Book Antiqua" w:cs="Calibri"/>
        </w:rPr>
        <w:t>Patients with cancer</w:t>
      </w:r>
      <w:r w:rsidR="00C96C26" w:rsidRPr="00505215">
        <w:rPr>
          <w:rFonts w:ascii="Book Antiqua" w:hAnsi="Book Antiqua" w:cs="Calibri"/>
        </w:rPr>
        <w:t xml:space="preserve"> </w:t>
      </w:r>
      <w:r w:rsidR="006F080D">
        <w:rPr>
          <w:rFonts w:ascii="Book Antiqua" w:hAnsi="Book Antiqua" w:cs="Calibri"/>
        </w:rPr>
        <w:t xml:space="preserve">can </w:t>
      </w:r>
      <w:r w:rsidR="00C96C26">
        <w:rPr>
          <w:rFonts w:ascii="Book Antiqua" w:hAnsi="Book Antiqua" w:cs="Calibri"/>
        </w:rPr>
        <w:t>present</w:t>
      </w:r>
      <w:r w:rsidR="00C96C26" w:rsidRPr="00505215">
        <w:rPr>
          <w:rFonts w:ascii="Book Antiqua" w:hAnsi="Book Antiqua" w:cs="Calibri"/>
        </w:rPr>
        <w:t xml:space="preserve"> in </w:t>
      </w:r>
      <w:r w:rsidR="006F080D">
        <w:rPr>
          <w:rFonts w:ascii="Book Antiqua" w:hAnsi="Book Antiqua" w:cs="Calibri"/>
        </w:rPr>
        <w:t xml:space="preserve">a number of </w:t>
      </w:r>
      <w:r w:rsidR="00C96C26" w:rsidRPr="00505215">
        <w:rPr>
          <w:rFonts w:ascii="Book Antiqua" w:hAnsi="Book Antiqua" w:cs="Calibri"/>
        </w:rPr>
        <w:t xml:space="preserve">different settings for emergency assessment. </w:t>
      </w:r>
      <w:r w:rsidR="006F080D">
        <w:rPr>
          <w:rFonts w:ascii="Book Antiqua" w:hAnsi="Book Antiqua" w:cs="Calibri"/>
        </w:rPr>
        <w:t xml:space="preserve">An </w:t>
      </w:r>
      <w:r w:rsidR="00C96C26" w:rsidRPr="00505215">
        <w:rPr>
          <w:rFonts w:ascii="Book Antiqua" w:hAnsi="Book Antiqua" w:cs="Calibri"/>
        </w:rPr>
        <w:t>A</w:t>
      </w:r>
      <w:r w:rsidR="00C96C26">
        <w:rPr>
          <w:rFonts w:ascii="Book Antiqua" w:hAnsi="Book Antiqua" w:cs="Calibri"/>
        </w:rPr>
        <w:t>cute Oncology Service (AOS)</w:t>
      </w:r>
      <w:r w:rsidR="00C96C26" w:rsidRPr="00505215">
        <w:rPr>
          <w:rFonts w:ascii="Book Antiqua" w:hAnsi="Book Antiqua" w:cs="Calibri"/>
        </w:rPr>
        <w:t xml:space="preserve"> </w:t>
      </w:r>
      <w:r w:rsidR="00C96C26" w:rsidRPr="00505215">
        <w:rPr>
          <w:rFonts w:ascii="Book Antiqua" w:hAnsi="Book Antiqua" w:cs="ArialMT"/>
        </w:rPr>
        <w:t xml:space="preserve">provides specialist care </w:t>
      </w:r>
      <w:r w:rsidR="006F080D">
        <w:rPr>
          <w:rFonts w:ascii="Book Antiqua" w:hAnsi="Book Antiqua" w:cs="ArialMT"/>
        </w:rPr>
        <w:t>for</w:t>
      </w:r>
      <w:r w:rsidR="00C96C26" w:rsidRPr="00505215">
        <w:rPr>
          <w:rFonts w:ascii="Book Antiqua" w:hAnsi="Book Antiqua" w:cs="ArialMT"/>
        </w:rPr>
        <w:t xml:space="preserve"> patients </w:t>
      </w:r>
      <w:r w:rsidR="008A6000">
        <w:rPr>
          <w:rFonts w:ascii="Book Antiqua" w:hAnsi="Book Antiqua" w:cs="ArialMT"/>
        </w:rPr>
        <w:t>who</w:t>
      </w:r>
      <w:r w:rsidR="00C96C26" w:rsidRPr="00505215">
        <w:rPr>
          <w:rFonts w:ascii="Book Antiqua" w:hAnsi="Book Antiqua" w:cs="ArialMT"/>
        </w:rPr>
        <w:t xml:space="preserve"> experience complications of their cancer and treatment (</w:t>
      </w:r>
      <w:r w:rsidR="00C96C26" w:rsidRPr="00505215">
        <w:rPr>
          <w:rFonts w:ascii="Book Antiqua" w:hAnsi="Book Antiqua" w:cs="AdvOTb92eb7df.I"/>
        </w:rPr>
        <w:t>Putt and Jones 2014).</w:t>
      </w:r>
      <w:r w:rsidR="00C96C26">
        <w:rPr>
          <w:rFonts w:ascii="Book Antiqua" w:hAnsi="Book Antiqua" w:cs="AdvOTb92eb7df.I"/>
        </w:rPr>
        <w:t xml:space="preserve"> </w:t>
      </w:r>
      <w:r w:rsidR="006F080D">
        <w:rPr>
          <w:rFonts w:ascii="Book Antiqua" w:hAnsi="Book Antiqua" w:cs="ArialMT"/>
        </w:rPr>
        <w:t xml:space="preserve">This type of service is relatively new and </w:t>
      </w:r>
      <w:r w:rsidR="00C96C26">
        <w:rPr>
          <w:rFonts w:ascii="Book Antiqua" w:hAnsi="Book Antiqua" w:cs="ArialMT"/>
        </w:rPr>
        <w:t>m</w:t>
      </w:r>
      <w:r w:rsidR="00C96C26" w:rsidRPr="00505215">
        <w:rPr>
          <w:rFonts w:ascii="Book Antiqua" w:hAnsi="Book Antiqua" w:cs="ArialMT"/>
        </w:rPr>
        <w:t xml:space="preserve">any interventions </w:t>
      </w:r>
      <w:r w:rsidR="006F080D">
        <w:rPr>
          <w:rFonts w:ascii="Book Antiqua" w:hAnsi="Book Antiqua" w:cs="ArialMT"/>
        </w:rPr>
        <w:t>previously</w:t>
      </w:r>
      <w:r w:rsidR="00C96C26" w:rsidRPr="00505215">
        <w:rPr>
          <w:rFonts w:ascii="Book Antiqua" w:hAnsi="Book Antiqua" w:cs="ArialMT"/>
        </w:rPr>
        <w:t xml:space="preserve"> needing inpatient management </w:t>
      </w:r>
      <w:r w:rsidR="006F080D">
        <w:rPr>
          <w:rFonts w:ascii="Book Antiqua" w:hAnsi="Book Antiqua" w:cs="ArialMT"/>
        </w:rPr>
        <w:t>can now be</w:t>
      </w:r>
      <w:r w:rsidR="00C96C26" w:rsidRPr="00505215">
        <w:rPr>
          <w:rFonts w:ascii="Book Antiqua" w:hAnsi="Book Antiqua" w:cs="ArialMT"/>
        </w:rPr>
        <w:t xml:space="preserve"> carried </w:t>
      </w:r>
      <w:r w:rsidR="008A6000">
        <w:rPr>
          <w:rFonts w:ascii="Book Antiqua" w:hAnsi="Book Antiqua" w:cs="ArialMT"/>
        </w:rPr>
        <w:t xml:space="preserve">out </w:t>
      </w:r>
      <w:r w:rsidR="00C96C26" w:rsidRPr="00505215">
        <w:rPr>
          <w:rFonts w:ascii="Book Antiqua" w:hAnsi="Book Antiqua" w:cs="ArialMT"/>
        </w:rPr>
        <w:t xml:space="preserve">in an </w:t>
      </w:r>
      <w:r w:rsidR="00233C8A">
        <w:rPr>
          <w:rFonts w:ascii="Book Antiqua" w:hAnsi="Book Antiqua" w:cs="ArialMT"/>
        </w:rPr>
        <w:t>outpatient</w:t>
      </w:r>
      <w:r w:rsidR="006F080D">
        <w:rPr>
          <w:rFonts w:ascii="Book Antiqua" w:hAnsi="Book Antiqua" w:cs="ArialMT"/>
        </w:rPr>
        <w:t xml:space="preserve"> </w:t>
      </w:r>
      <w:r w:rsidR="00C96C26" w:rsidRPr="00505215">
        <w:rPr>
          <w:rFonts w:ascii="Book Antiqua" w:hAnsi="Book Antiqua" w:cs="ArialMT"/>
        </w:rPr>
        <w:t>settin</w:t>
      </w:r>
      <w:r w:rsidR="006F080D">
        <w:rPr>
          <w:rFonts w:ascii="Book Antiqua" w:hAnsi="Book Antiqua" w:cs="ArialMT"/>
        </w:rPr>
        <w:t xml:space="preserve">g.  Furthermore, </w:t>
      </w:r>
      <w:r w:rsidR="00C96C26" w:rsidRPr="00505215">
        <w:rPr>
          <w:rFonts w:ascii="Book Antiqua" w:hAnsi="Book Antiqua" w:cs="ArialMT"/>
        </w:rPr>
        <w:t xml:space="preserve">some aspects of care </w:t>
      </w:r>
      <w:r w:rsidR="006F080D">
        <w:rPr>
          <w:rFonts w:ascii="Book Antiqua" w:hAnsi="Book Antiqua" w:cs="ArialMT"/>
        </w:rPr>
        <w:t>previously</w:t>
      </w:r>
      <w:r w:rsidR="00C96C26" w:rsidRPr="00505215">
        <w:rPr>
          <w:rFonts w:ascii="Book Antiqua" w:hAnsi="Book Antiqua" w:cs="ArialMT"/>
        </w:rPr>
        <w:t xml:space="preserve"> managed by doctors </w:t>
      </w:r>
      <w:r w:rsidR="006F080D">
        <w:rPr>
          <w:rFonts w:ascii="Book Antiqua" w:hAnsi="Book Antiqua" w:cs="ArialMT"/>
        </w:rPr>
        <w:t>are now often</w:t>
      </w:r>
      <w:r w:rsidR="00C96C26" w:rsidRPr="00505215">
        <w:rPr>
          <w:rFonts w:ascii="Book Antiqua" w:hAnsi="Book Antiqua" w:cs="ArialMT"/>
        </w:rPr>
        <w:t xml:space="preserve"> managed </w:t>
      </w:r>
      <w:r w:rsidR="006F080D">
        <w:rPr>
          <w:rFonts w:ascii="Book Antiqua" w:hAnsi="Book Antiqua" w:cs="ArialMT"/>
        </w:rPr>
        <w:t>by</w:t>
      </w:r>
      <w:r w:rsidR="00C96C26" w:rsidRPr="00505215">
        <w:rPr>
          <w:rFonts w:ascii="Book Antiqua" w:hAnsi="Book Antiqua" w:cs="ArialMT"/>
        </w:rPr>
        <w:t xml:space="preserve"> a multidisciplinary team approach and</w:t>
      </w:r>
      <w:r w:rsidR="008A6000">
        <w:rPr>
          <w:rFonts w:ascii="Book Antiqua" w:hAnsi="Book Antiqua" w:cs="ArialMT"/>
        </w:rPr>
        <w:t xml:space="preserve"> </w:t>
      </w:r>
      <w:r w:rsidR="006F080D">
        <w:rPr>
          <w:rFonts w:ascii="Book Antiqua" w:hAnsi="Book Antiqua" w:cs="ArialMT"/>
        </w:rPr>
        <w:t>can be</w:t>
      </w:r>
      <w:r w:rsidR="008A6000">
        <w:rPr>
          <w:rFonts w:ascii="Book Antiqua" w:hAnsi="Book Antiqua" w:cs="ArialMT"/>
        </w:rPr>
        <w:t xml:space="preserve"> </w:t>
      </w:r>
      <w:r w:rsidR="00EF4965">
        <w:rPr>
          <w:rFonts w:ascii="Book Antiqua" w:hAnsi="Book Antiqua" w:cs="ArialMT"/>
        </w:rPr>
        <w:t>nurse-</w:t>
      </w:r>
      <w:r w:rsidR="00C96C26" w:rsidRPr="00505215">
        <w:rPr>
          <w:rFonts w:ascii="Book Antiqua" w:hAnsi="Book Antiqua" w:cs="ArialMT"/>
        </w:rPr>
        <w:t>led (</w:t>
      </w:r>
      <w:r w:rsidR="00C96C26" w:rsidRPr="00505215">
        <w:rPr>
          <w:rFonts w:ascii="Book Antiqua" w:hAnsi="Book Antiqua" w:cs="AdvTTb5929f4c"/>
        </w:rPr>
        <w:t>Palmer et al. 2013)</w:t>
      </w:r>
      <w:r w:rsidR="00C96C26">
        <w:rPr>
          <w:rFonts w:ascii="Book Antiqua" w:hAnsi="Book Antiqua" w:cs="ArialMT"/>
        </w:rPr>
        <w:t xml:space="preserve">. </w:t>
      </w:r>
      <w:r w:rsidR="006F080D">
        <w:rPr>
          <w:rFonts w:ascii="Book Antiqua" w:hAnsi="Book Antiqua" w:cs="ArialMT"/>
        </w:rPr>
        <w:t xml:space="preserve">This can </w:t>
      </w:r>
      <w:r w:rsidR="00C96C26" w:rsidRPr="00505215">
        <w:rPr>
          <w:rFonts w:ascii="Book Antiqua" w:hAnsi="Book Antiqua" w:cs="ArialMT"/>
        </w:rPr>
        <w:t>avoid unnecessary admission and</w:t>
      </w:r>
      <w:r w:rsidR="008A6000">
        <w:rPr>
          <w:rFonts w:ascii="Book Antiqua" w:hAnsi="Book Antiqua" w:cs="ArialMT"/>
        </w:rPr>
        <w:t xml:space="preserve"> increas</w:t>
      </w:r>
      <w:r w:rsidR="006F080D">
        <w:rPr>
          <w:rFonts w:ascii="Book Antiqua" w:hAnsi="Book Antiqua" w:cs="ArialMT"/>
        </w:rPr>
        <w:t xml:space="preserve">e the </w:t>
      </w:r>
      <w:r w:rsidR="0054233A">
        <w:rPr>
          <w:rFonts w:ascii="Book Antiqua" w:hAnsi="Book Antiqua" w:cs="ArialMT"/>
        </w:rPr>
        <w:t>efficiency of</w:t>
      </w:r>
      <w:r w:rsidR="00C96C26" w:rsidRPr="00505215">
        <w:rPr>
          <w:rFonts w:ascii="Book Antiqua" w:hAnsi="Book Antiqua" w:cs="ArialMT"/>
        </w:rPr>
        <w:t xml:space="preserve"> treatment</w:t>
      </w:r>
      <w:r w:rsidR="00EF4965">
        <w:rPr>
          <w:rFonts w:ascii="Book Antiqua" w:hAnsi="Book Antiqua" w:cs="ArialMT"/>
        </w:rPr>
        <w:t xml:space="preserve"> and management</w:t>
      </w:r>
      <w:r w:rsidR="00C96C26" w:rsidRPr="00505215">
        <w:rPr>
          <w:rFonts w:ascii="Book Antiqua" w:hAnsi="Book Antiqua" w:cs="ArialMT"/>
        </w:rPr>
        <w:t xml:space="preserve"> (</w:t>
      </w:r>
      <w:r w:rsidR="00C96C26" w:rsidRPr="00505215">
        <w:rPr>
          <w:rFonts w:ascii="Book Antiqua" w:hAnsi="Book Antiqua" w:cs="AdvOTb92eb7df.I"/>
        </w:rPr>
        <w:t>Putt and Jones 2014).</w:t>
      </w:r>
    </w:p>
    <w:p w14:paraId="31E6A1A8" w14:textId="525CCD25" w:rsidR="00C96C26" w:rsidRPr="000136FE" w:rsidRDefault="00C96C26" w:rsidP="007D26CB">
      <w:pPr>
        <w:spacing w:before="240" w:line="276" w:lineRule="auto"/>
        <w:jc w:val="both"/>
        <w:rPr>
          <w:rFonts w:ascii="Book Antiqua" w:hAnsi="Book Antiqua" w:cs="AdvTTb5929f4c"/>
        </w:rPr>
      </w:pPr>
      <w:r w:rsidRPr="00505215">
        <w:rPr>
          <w:rFonts w:ascii="Book Antiqua" w:hAnsi="Book Antiqua" w:cs="ArialMT"/>
        </w:rPr>
        <w:t xml:space="preserve">Patients with </w:t>
      </w:r>
      <w:r w:rsidR="00997484">
        <w:rPr>
          <w:rFonts w:ascii="Book Antiqua" w:hAnsi="Book Antiqua" w:cs="ArialMT"/>
        </w:rPr>
        <w:t xml:space="preserve">an </w:t>
      </w:r>
      <w:r w:rsidRPr="00505215">
        <w:rPr>
          <w:rFonts w:ascii="Book Antiqua" w:hAnsi="Book Antiqua" w:cs="ArialMT"/>
        </w:rPr>
        <w:t xml:space="preserve">incidental </w:t>
      </w:r>
      <w:r w:rsidR="00715E3F">
        <w:rPr>
          <w:rFonts w:ascii="Book Antiqua" w:hAnsi="Book Antiqua" w:cs="ArialMT"/>
        </w:rPr>
        <w:t>VTE</w:t>
      </w:r>
      <w:r>
        <w:rPr>
          <w:rFonts w:ascii="Book Antiqua" w:hAnsi="Book Antiqua" w:cs="ArialMT"/>
        </w:rPr>
        <w:t xml:space="preserve"> </w:t>
      </w:r>
      <w:r w:rsidR="00997484">
        <w:rPr>
          <w:rFonts w:ascii="Book Antiqua" w:hAnsi="Book Antiqua" w:cs="ArialMT"/>
        </w:rPr>
        <w:t xml:space="preserve">may be assessed and managed as either </w:t>
      </w:r>
      <w:r>
        <w:rPr>
          <w:rFonts w:ascii="Book Antiqua" w:hAnsi="Book Antiqua" w:cs="ArialMT"/>
        </w:rPr>
        <w:t xml:space="preserve">inpatients or outpatients. </w:t>
      </w:r>
      <w:r w:rsidR="0054233A">
        <w:rPr>
          <w:rFonts w:ascii="Book Antiqua" w:hAnsi="Book Antiqua" w:cs="ArialMT"/>
        </w:rPr>
        <w:t>Cancer patients</w:t>
      </w:r>
      <w:r w:rsidRPr="00505215">
        <w:rPr>
          <w:rFonts w:ascii="Book Antiqua" w:hAnsi="Book Antiqua" w:cs="ArialMT"/>
        </w:rPr>
        <w:t xml:space="preserve"> considered as low risk of major complications can be managed as outpatient</w:t>
      </w:r>
      <w:r>
        <w:rPr>
          <w:rFonts w:ascii="Book Antiqua" w:hAnsi="Book Antiqua" w:cs="ArialMT"/>
        </w:rPr>
        <w:t>s</w:t>
      </w:r>
      <w:r w:rsidR="00997484">
        <w:rPr>
          <w:rFonts w:ascii="Book Antiqua" w:hAnsi="Book Antiqua" w:cs="ArialMT"/>
        </w:rPr>
        <w:t>, for example through an</w:t>
      </w:r>
      <w:r>
        <w:rPr>
          <w:rFonts w:ascii="Book Antiqua" w:hAnsi="Book Antiqua" w:cs="ArialMT"/>
        </w:rPr>
        <w:t xml:space="preserve"> AOS</w:t>
      </w:r>
      <w:r w:rsidR="008171CC">
        <w:rPr>
          <w:rFonts w:ascii="Book Antiqua" w:hAnsi="Book Antiqua" w:cs="ArialMT"/>
        </w:rPr>
        <w:t xml:space="preserve">. </w:t>
      </w:r>
      <w:r w:rsidR="00997484">
        <w:rPr>
          <w:rFonts w:ascii="Book Antiqua" w:hAnsi="Book Antiqua" w:cs="ArialMT"/>
        </w:rPr>
        <w:t>In this context a</w:t>
      </w:r>
      <w:r w:rsidR="007D26CB">
        <w:rPr>
          <w:rFonts w:ascii="Book Antiqua" w:hAnsi="Book Antiqua" w:cs="ArialMT"/>
        </w:rPr>
        <w:t>n ideal pathway may consist of</w:t>
      </w:r>
      <w:r w:rsidR="007D26CB" w:rsidRPr="00505215">
        <w:rPr>
          <w:rFonts w:ascii="Book Antiqua" w:hAnsi="Book Antiqua" w:cs="ArialMT"/>
        </w:rPr>
        <w:t xml:space="preserve"> patient</w:t>
      </w:r>
      <w:r w:rsidRPr="00505215">
        <w:rPr>
          <w:rFonts w:ascii="Book Antiqua" w:hAnsi="Book Antiqua" w:cs="ArialMT"/>
        </w:rPr>
        <w:t xml:space="preserve"> </w:t>
      </w:r>
      <w:r w:rsidR="007D26CB">
        <w:rPr>
          <w:rFonts w:ascii="Book Antiqua" w:hAnsi="Book Antiqua" w:cs="ArialMT"/>
        </w:rPr>
        <w:t>assessment</w:t>
      </w:r>
      <w:r w:rsidRPr="00505215">
        <w:rPr>
          <w:rFonts w:ascii="Book Antiqua" w:hAnsi="Book Antiqua" w:cs="ArialMT"/>
        </w:rPr>
        <w:t xml:space="preserve">, </w:t>
      </w:r>
      <w:r w:rsidR="007D26CB">
        <w:rPr>
          <w:rFonts w:ascii="Book Antiqua" w:hAnsi="Book Antiqua" w:cs="ArialMT"/>
        </w:rPr>
        <w:t>instructions on</w:t>
      </w:r>
      <w:r w:rsidRPr="00505215">
        <w:rPr>
          <w:rFonts w:ascii="Book Antiqua" w:hAnsi="Book Antiqua" w:cs="ArialMT"/>
        </w:rPr>
        <w:t xml:space="preserve"> how to inject the LMWH, </w:t>
      </w:r>
      <w:r w:rsidR="007D26CB">
        <w:rPr>
          <w:rFonts w:ascii="Book Antiqua" w:hAnsi="Book Antiqua" w:cs="ArialMT"/>
        </w:rPr>
        <w:t>a timely supply of injections</w:t>
      </w:r>
      <w:r w:rsidRPr="00505215">
        <w:rPr>
          <w:rFonts w:ascii="Book Antiqua" w:hAnsi="Book Antiqua" w:cs="ArialMT"/>
        </w:rPr>
        <w:t xml:space="preserve">, </w:t>
      </w:r>
      <w:r w:rsidR="007D26CB">
        <w:rPr>
          <w:rFonts w:ascii="Book Antiqua" w:hAnsi="Book Antiqua" w:cs="ArialMT"/>
        </w:rPr>
        <w:t xml:space="preserve">a </w:t>
      </w:r>
      <w:r w:rsidR="00997484">
        <w:rPr>
          <w:rFonts w:ascii="Book Antiqua" w:hAnsi="Book Antiqua" w:cs="ArialMT"/>
        </w:rPr>
        <w:t xml:space="preserve">follow up </w:t>
      </w:r>
      <w:r w:rsidR="007D26CB">
        <w:rPr>
          <w:rFonts w:ascii="Book Antiqua" w:hAnsi="Book Antiqua" w:cs="ArialMT"/>
        </w:rPr>
        <w:t>plan and communication with the GP. The process on average should</w:t>
      </w:r>
      <w:r w:rsidR="004E20E1">
        <w:rPr>
          <w:rFonts w:ascii="Book Antiqua" w:hAnsi="Book Antiqua" w:cs="ArialMT"/>
        </w:rPr>
        <w:t xml:space="preserve"> be</w:t>
      </w:r>
      <w:r w:rsidR="007D26CB">
        <w:rPr>
          <w:rFonts w:ascii="Book Antiqua" w:hAnsi="Book Antiqua" w:cs="ArialMT"/>
        </w:rPr>
        <w:t xml:space="preserve"> complete in</w:t>
      </w:r>
      <w:r w:rsidR="00997484">
        <w:rPr>
          <w:rFonts w:ascii="Book Antiqua" w:hAnsi="Book Antiqua" w:cs="ArialMT"/>
        </w:rPr>
        <w:t xml:space="preserve"> </w:t>
      </w:r>
      <w:r w:rsidR="00241075">
        <w:rPr>
          <w:rFonts w:ascii="Book Antiqua" w:hAnsi="Book Antiqua" w:cs="ArialMT"/>
        </w:rPr>
        <w:t>l</w:t>
      </w:r>
      <w:r w:rsidR="00997484">
        <w:rPr>
          <w:rFonts w:ascii="Book Antiqua" w:hAnsi="Book Antiqua" w:cs="ArialMT"/>
        </w:rPr>
        <w:t xml:space="preserve">ess than </w:t>
      </w:r>
      <w:r w:rsidR="007D26CB">
        <w:rPr>
          <w:rFonts w:ascii="Book Antiqua" w:hAnsi="Book Antiqua" w:cs="ArialMT"/>
        </w:rPr>
        <w:t>one</w:t>
      </w:r>
      <w:r w:rsidR="00997484">
        <w:rPr>
          <w:rFonts w:ascii="Book Antiqua" w:hAnsi="Book Antiqua" w:cs="ArialMT"/>
        </w:rPr>
        <w:t xml:space="preserve"> hour </w:t>
      </w:r>
      <w:r w:rsidRPr="00505215">
        <w:rPr>
          <w:rFonts w:ascii="Book Antiqua" w:hAnsi="Book Antiqua" w:cs="ArialMT"/>
        </w:rPr>
        <w:t>(</w:t>
      </w:r>
      <w:r w:rsidRPr="00505215">
        <w:rPr>
          <w:rFonts w:ascii="Book Antiqua" w:hAnsi="Book Antiqua" w:cs="AdvTTb5929f4c"/>
        </w:rPr>
        <w:t xml:space="preserve">Palmer et al. 2013). </w:t>
      </w:r>
    </w:p>
    <w:p w14:paraId="77D480CC" w14:textId="768FDDC5" w:rsidR="00C96C26" w:rsidRPr="00505215" w:rsidRDefault="00CB56C8" w:rsidP="002137A7">
      <w:pPr>
        <w:pStyle w:val="ListParagraph"/>
        <w:numPr>
          <w:ilvl w:val="0"/>
          <w:numId w:val="1"/>
        </w:numPr>
        <w:spacing w:before="240" w:line="276" w:lineRule="auto"/>
        <w:jc w:val="both"/>
        <w:rPr>
          <w:rFonts w:ascii="Book Antiqua" w:hAnsi="Book Antiqua"/>
        </w:rPr>
      </w:pPr>
      <w:r>
        <w:rPr>
          <w:rFonts w:ascii="Book Antiqua" w:hAnsi="Book Antiqua"/>
        </w:rPr>
        <w:t xml:space="preserve">Adherence </w:t>
      </w:r>
      <w:r w:rsidR="00997484">
        <w:rPr>
          <w:rFonts w:ascii="Book Antiqua" w:hAnsi="Book Antiqua"/>
        </w:rPr>
        <w:t>with</w:t>
      </w:r>
      <w:r>
        <w:rPr>
          <w:rFonts w:ascii="Book Antiqua" w:hAnsi="Book Antiqua"/>
        </w:rPr>
        <w:t xml:space="preserve"> treatment</w:t>
      </w:r>
    </w:p>
    <w:p w14:paraId="2E5DF8FD" w14:textId="0A1A0840" w:rsidR="00C96C26" w:rsidRPr="00505215" w:rsidRDefault="00C96C26" w:rsidP="007D26CB">
      <w:pPr>
        <w:spacing w:before="240" w:line="276" w:lineRule="auto"/>
        <w:jc w:val="both"/>
        <w:rPr>
          <w:rFonts w:ascii="Book Antiqua" w:hAnsi="Book Antiqua"/>
        </w:rPr>
      </w:pPr>
      <w:r w:rsidRPr="00505215">
        <w:rPr>
          <w:rFonts w:ascii="Book Antiqua" w:hAnsi="Book Antiqua"/>
        </w:rPr>
        <w:t xml:space="preserve">LMWH </w:t>
      </w:r>
      <w:r w:rsidR="007D26CB">
        <w:rPr>
          <w:rFonts w:ascii="Book Antiqua" w:hAnsi="Book Antiqua"/>
        </w:rPr>
        <w:t xml:space="preserve">therapy </w:t>
      </w:r>
      <w:r w:rsidR="00997484">
        <w:rPr>
          <w:rFonts w:ascii="Book Antiqua" w:hAnsi="Book Antiqua"/>
        </w:rPr>
        <w:t>requires</w:t>
      </w:r>
      <w:r w:rsidRPr="00505215">
        <w:rPr>
          <w:rFonts w:ascii="Book Antiqua" w:hAnsi="Book Antiqua"/>
        </w:rPr>
        <w:t xml:space="preserve"> once a day </w:t>
      </w:r>
      <w:r w:rsidR="007D26CB">
        <w:rPr>
          <w:rFonts w:ascii="Book Antiqua" w:hAnsi="Book Antiqua"/>
        </w:rPr>
        <w:t>subcutaneous injection</w:t>
      </w:r>
      <w:r w:rsidRPr="00505215">
        <w:rPr>
          <w:rFonts w:ascii="Book Antiqua" w:hAnsi="Book Antiqua"/>
        </w:rPr>
        <w:t xml:space="preserve">. </w:t>
      </w:r>
      <w:r w:rsidR="007D26CB">
        <w:rPr>
          <w:rFonts w:ascii="Book Antiqua" w:hAnsi="Book Antiqua"/>
        </w:rPr>
        <w:t>Optimally</w:t>
      </w:r>
      <w:r w:rsidRPr="00505215">
        <w:rPr>
          <w:rFonts w:ascii="Book Antiqua" w:hAnsi="Book Antiqua"/>
        </w:rPr>
        <w:t xml:space="preserve"> patients are managed as outpatients</w:t>
      </w:r>
      <w:r w:rsidR="008171CC">
        <w:rPr>
          <w:rFonts w:ascii="Book Antiqua" w:hAnsi="Book Antiqua"/>
        </w:rPr>
        <w:t xml:space="preserve"> </w:t>
      </w:r>
      <w:r w:rsidR="007D26CB">
        <w:rPr>
          <w:rFonts w:ascii="Book Antiqua" w:hAnsi="Book Antiqua"/>
        </w:rPr>
        <w:t>and</w:t>
      </w:r>
      <w:r w:rsidR="008171CC">
        <w:rPr>
          <w:rFonts w:ascii="Book Antiqua" w:hAnsi="Book Antiqua"/>
        </w:rPr>
        <w:t xml:space="preserve"> treatment </w:t>
      </w:r>
      <w:r w:rsidR="007D26CB">
        <w:rPr>
          <w:rFonts w:ascii="Book Antiqua" w:hAnsi="Book Antiqua"/>
        </w:rPr>
        <w:t>involves</w:t>
      </w:r>
      <w:r w:rsidRPr="00505215">
        <w:rPr>
          <w:rFonts w:ascii="Book Antiqua" w:hAnsi="Book Antiqua"/>
        </w:rPr>
        <w:t xml:space="preserve"> self-adminis</w:t>
      </w:r>
      <w:r>
        <w:rPr>
          <w:rFonts w:ascii="Book Antiqua" w:hAnsi="Book Antiqua"/>
        </w:rPr>
        <w:t>tration</w:t>
      </w:r>
      <w:r w:rsidR="008171CC">
        <w:rPr>
          <w:rFonts w:ascii="Book Antiqua" w:hAnsi="Book Antiqua"/>
        </w:rPr>
        <w:t>.</w:t>
      </w:r>
      <w:r>
        <w:rPr>
          <w:rFonts w:ascii="Book Antiqua" w:hAnsi="Book Antiqua"/>
        </w:rPr>
        <w:t xml:space="preserve"> </w:t>
      </w:r>
      <w:r w:rsidR="006934DB">
        <w:rPr>
          <w:rFonts w:ascii="Book Antiqua" w:hAnsi="Book Antiqua"/>
        </w:rPr>
        <w:t>Occasionally</w:t>
      </w:r>
      <w:r w:rsidRPr="00505215">
        <w:rPr>
          <w:rFonts w:ascii="Book Antiqua" w:hAnsi="Book Antiqua"/>
        </w:rPr>
        <w:t xml:space="preserve"> patients </w:t>
      </w:r>
      <w:r w:rsidR="00997484">
        <w:rPr>
          <w:rFonts w:ascii="Book Antiqua" w:hAnsi="Book Antiqua"/>
        </w:rPr>
        <w:t xml:space="preserve">might </w:t>
      </w:r>
      <w:r w:rsidRPr="00505215">
        <w:rPr>
          <w:rFonts w:ascii="Book Antiqua" w:hAnsi="Book Antiqua"/>
        </w:rPr>
        <w:t xml:space="preserve">require assistance </w:t>
      </w:r>
      <w:r w:rsidR="00997484">
        <w:rPr>
          <w:rFonts w:ascii="Book Antiqua" w:hAnsi="Book Antiqua"/>
        </w:rPr>
        <w:t>with</w:t>
      </w:r>
      <w:r w:rsidR="008A69E6">
        <w:rPr>
          <w:rFonts w:ascii="Book Antiqua" w:hAnsi="Book Antiqua"/>
        </w:rPr>
        <w:t xml:space="preserve"> </w:t>
      </w:r>
      <w:r w:rsidRPr="00505215">
        <w:rPr>
          <w:rFonts w:ascii="Book Antiqua" w:hAnsi="Book Antiqua"/>
        </w:rPr>
        <w:t xml:space="preserve">administration of </w:t>
      </w:r>
      <w:r w:rsidR="00997484">
        <w:rPr>
          <w:rFonts w:ascii="Book Antiqua" w:hAnsi="Book Antiqua"/>
        </w:rPr>
        <w:t xml:space="preserve">the </w:t>
      </w:r>
      <w:r w:rsidRPr="00505215">
        <w:rPr>
          <w:rFonts w:ascii="Book Antiqua" w:hAnsi="Book Antiqua"/>
        </w:rPr>
        <w:t xml:space="preserve">injection from a healthcare professional or a family member </w:t>
      </w:r>
      <w:r w:rsidR="008171CC" w:rsidRPr="00505215">
        <w:rPr>
          <w:rFonts w:ascii="Book Antiqua" w:hAnsi="Book Antiqua"/>
        </w:rPr>
        <w:t>(</w:t>
      </w:r>
      <w:r w:rsidR="008171CC" w:rsidRPr="00505215">
        <w:rPr>
          <w:rFonts w:ascii="Book Antiqua" w:hAnsi="Book Antiqua" w:cs="Arial-BoldMT"/>
        </w:rPr>
        <w:t>Watson et al. 2015)</w:t>
      </w:r>
      <w:r w:rsidR="008171CC" w:rsidRPr="00505215">
        <w:rPr>
          <w:rFonts w:ascii="Book Antiqua" w:hAnsi="Book Antiqua"/>
        </w:rPr>
        <w:t>.</w:t>
      </w:r>
    </w:p>
    <w:p w14:paraId="6625C485" w14:textId="6755EC96" w:rsidR="00C96C26" w:rsidRDefault="008A69E6" w:rsidP="007D26CB">
      <w:pPr>
        <w:spacing w:before="240" w:line="276" w:lineRule="auto"/>
        <w:jc w:val="both"/>
        <w:rPr>
          <w:rFonts w:ascii="Book Antiqua" w:hAnsi="Book Antiqua"/>
        </w:rPr>
      </w:pPr>
      <w:r>
        <w:rPr>
          <w:rFonts w:ascii="Book Antiqua" w:hAnsi="Book Antiqua"/>
        </w:rPr>
        <w:t>H</w:t>
      </w:r>
      <w:r w:rsidR="00C96C26">
        <w:rPr>
          <w:rFonts w:ascii="Book Antiqua" w:hAnsi="Book Antiqua"/>
        </w:rPr>
        <w:t>ealthc</w:t>
      </w:r>
      <w:r w:rsidR="0047103A">
        <w:rPr>
          <w:rFonts w:ascii="Book Antiqua" w:hAnsi="Book Antiqua"/>
        </w:rPr>
        <w:t xml:space="preserve">are outcomes </w:t>
      </w:r>
      <w:r>
        <w:rPr>
          <w:rFonts w:ascii="Book Antiqua" w:hAnsi="Book Antiqua"/>
        </w:rPr>
        <w:t>will</w:t>
      </w:r>
      <w:r w:rsidR="00233C8A">
        <w:rPr>
          <w:rFonts w:ascii="Book Antiqua" w:hAnsi="Book Antiqua"/>
        </w:rPr>
        <w:t>,</w:t>
      </w:r>
      <w:r>
        <w:rPr>
          <w:rFonts w:ascii="Book Antiqua" w:hAnsi="Book Antiqua"/>
        </w:rPr>
        <w:t xml:space="preserve"> to some degree</w:t>
      </w:r>
      <w:r w:rsidR="00233C8A">
        <w:rPr>
          <w:rFonts w:ascii="Book Antiqua" w:hAnsi="Book Antiqua"/>
        </w:rPr>
        <w:t>,</w:t>
      </w:r>
      <w:r>
        <w:rPr>
          <w:rFonts w:ascii="Book Antiqua" w:hAnsi="Book Antiqua"/>
        </w:rPr>
        <w:t xml:space="preserve"> </w:t>
      </w:r>
      <w:r w:rsidR="0047103A">
        <w:rPr>
          <w:rFonts w:ascii="Book Antiqua" w:hAnsi="Book Antiqua"/>
        </w:rPr>
        <w:t xml:space="preserve">depend on </w:t>
      </w:r>
      <w:r w:rsidR="00EC126C">
        <w:rPr>
          <w:rFonts w:ascii="Book Antiqua" w:hAnsi="Book Antiqua"/>
        </w:rPr>
        <w:t>patients</w:t>
      </w:r>
      <w:r w:rsidR="003F6FAE">
        <w:rPr>
          <w:rFonts w:ascii="Book Antiqua" w:hAnsi="Book Antiqua"/>
        </w:rPr>
        <w:t>’</w:t>
      </w:r>
      <w:r w:rsidR="00EC126C">
        <w:rPr>
          <w:rFonts w:ascii="Book Antiqua" w:hAnsi="Book Antiqua"/>
        </w:rPr>
        <w:t xml:space="preserve"> adherence</w:t>
      </w:r>
      <w:r w:rsidR="00C96C26">
        <w:rPr>
          <w:rFonts w:ascii="Book Antiqua" w:hAnsi="Book Antiqua"/>
        </w:rPr>
        <w:t xml:space="preserve"> to</w:t>
      </w:r>
      <w:r>
        <w:rPr>
          <w:rFonts w:ascii="Book Antiqua" w:hAnsi="Book Antiqua"/>
        </w:rPr>
        <w:t xml:space="preserve"> </w:t>
      </w:r>
      <w:r w:rsidR="00C96C26">
        <w:rPr>
          <w:rFonts w:ascii="Book Antiqua" w:hAnsi="Book Antiqua"/>
        </w:rPr>
        <w:t xml:space="preserve">treatment. </w:t>
      </w:r>
      <w:r w:rsidR="00C96C26" w:rsidRPr="00505215">
        <w:rPr>
          <w:rFonts w:ascii="Book Antiqua" w:hAnsi="Book Antiqua"/>
        </w:rPr>
        <w:t xml:space="preserve">A Cochrane review </w:t>
      </w:r>
      <w:r>
        <w:rPr>
          <w:rFonts w:ascii="Book Antiqua" w:hAnsi="Book Antiqua"/>
        </w:rPr>
        <w:t xml:space="preserve">examining </w:t>
      </w:r>
      <w:r w:rsidR="00C96C26">
        <w:rPr>
          <w:rFonts w:ascii="Book Antiqua" w:hAnsi="Book Antiqua"/>
        </w:rPr>
        <w:t>medication adherence</w:t>
      </w:r>
      <w:r w:rsidR="00C96C26" w:rsidRPr="00505215">
        <w:rPr>
          <w:rFonts w:ascii="Book Antiqua" w:hAnsi="Book Antiqua"/>
        </w:rPr>
        <w:t xml:space="preserve"> </w:t>
      </w:r>
      <w:r>
        <w:rPr>
          <w:rFonts w:ascii="Book Antiqua" w:hAnsi="Book Antiqua"/>
        </w:rPr>
        <w:t xml:space="preserve">in general </w:t>
      </w:r>
      <w:r w:rsidR="00C96C26" w:rsidRPr="00505215">
        <w:rPr>
          <w:rFonts w:ascii="Book Antiqua" w:hAnsi="Book Antiqua"/>
        </w:rPr>
        <w:t>(</w:t>
      </w:r>
      <w:proofErr w:type="spellStart"/>
      <w:r w:rsidR="00C96C26" w:rsidRPr="00F94777">
        <w:rPr>
          <w:rStyle w:val="author"/>
          <w:rFonts w:ascii="Book Antiqua" w:hAnsi="Book Antiqua"/>
          <w:lang w:val="en"/>
        </w:rPr>
        <w:t>Nieuwlaat</w:t>
      </w:r>
      <w:proofErr w:type="spellEnd"/>
      <w:r w:rsidR="00EF4965">
        <w:rPr>
          <w:rStyle w:val="author"/>
          <w:rFonts w:ascii="Book Antiqua" w:hAnsi="Book Antiqua"/>
          <w:lang w:val="en"/>
        </w:rPr>
        <w:t xml:space="preserve"> et al.</w:t>
      </w:r>
      <w:r w:rsidR="00C96C26">
        <w:rPr>
          <w:rStyle w:val="author"/>
          <w:rFonts w:ascii="Book Antiqua" w:hAnsi="Book Antiqua"/>
          <w:lang w:val="en"/>
        </w:rPr>
        <w:t xml:space="preserve"> 2014</w:t>
      </w:r>
      <w:r w:rsidR="00C96C26" w:rsidRPr="00505215">
        <w:rPr>
          <w:rFonts w:ascii="Book Antiqua" w:hAnsi="Book Antiqua"/>
        </w:rPr>
        <w:t xml:space="preserve">) concluded that when </w:t>
      </w:r>
      <w:r>
        <w:rPr>
          <w:rFonts w:ascii="Book Antiqua" w:hAnsi="Book Antiqua"/>
        </w:rPr>
        <w:t xml:space="preserve">a </w:t>
      </w:r>
      <w:r w:rsidR="00C96C26" w:rsidRPr="00505215">
        <w:rPr>
          <w:rFonts w:ascii="Book Antiqua" w:hAnsi="Book Antiqua"/>
        </w:rPr>
        <w:t>medication needs to be self-administered</w:t>
      </w:r>
      <w:r>
        <w:rPr>
          <w:rFonts w:ascii="Book Antiqua" w:hAnsi="Book Antiqua"/>
        </w:rPr>
        <w:t xml:space="preserve"> </w:t>
      </w:r>
      <w:r w:rsidR="00C96C26" w:rsidRPr="00505215">
        <w:rPr>
          <w:rFonts w:ascii="Book Antiqua" w:hAnsi="Book Antiqua"/>
        </w:rPr>
        <w:t xml:space="preserve">people </w:t>
      </w:r>
      <w:r>
        <w:rPr>
          <w:rFonts w:ascii="Book Antiqua" w:hAnsi="Book Antiqua"/>
        </w:rPr>
        <w:t xml:space="preserve">can receive as little </w:t>
      </w:r>
      <w:r>
        <w:rPr>
          <w:rFonts w:ascii="Book Antiqua" w:hAnsi="Book Antiqua"/>
        </w:rPr>
        <w:lastRenderedPageBreak/>
        <w:t>as</w:t>
      </w:r>
      <w:r w:rsidR="00C96C26" w:rsidRPr="00505215">
        <w:rPr>
          <w:rFonts w:ascii="Book Antiqua" w:hAnsi="Book Antiqua"/>
        </w:rPr>
        <w:t xml:space="preserve"> half of the prescribed dose. </w:t>
      </w:r>
      <w:r w:rsidR="00CB56C8">
        <w:rPr>
          <w:rFonts w:ascii="Book Antiqua" w:hAnsi="Book Antiqua"/>
        </w:rPr>
        <w:t xml:space="preserve"> </w:t>
      </w:r>
      <w:r w:rsidR="00C96C26" w:rsidRPr="00505215">
        <w:rPr>
          <w:rFonts w:ascii="Book Antiqua" w:hAnsi="Book Antiqua"/>
        </w:rPr>
        <w:t xml:space="preserve">There </w:t>
      </w:r>
      <w:r w:rsidR="00CB56C8">
        <w:rPr>
          <w:rFonts w:ascii="Book Antiqua" w:hAnsi="Book Antiqua"/>
        </w:rPr>
        <w:t>are</w:t>
      </w:r>
      <w:r w:rsidR="00C96C26" w:rsidRPr="00505215">
        <w:rPr>
          <w:rFonts w:ascii="Book Antiqua" w:hAnsi="Book Antiqua"/>
        </w:rPr>
        <w:t xml:space="preserve"> a number of </w:t>
      </w:r>
      <w:r w:rsidR="00715E3F">
        <w:rPr>
          <w:rFonts w:ascii="Book Antiqua" w:hAnsi="Book Antiqua"/>
        </w:rPr>
        <w:t>factors that affect adherence. O</w:t>
      </w:r>
      <w:r w:rsidR="00C96C26" w:rsidRPr="00505215">
        <w:rPr>
          <w:rFonts w:ascii="Book Antiqua" w:hAnsi="Book Antiqua"/>
        </w:rPr>
        <w:t xml:space="preserve">n some occasions patients </w:t>
      </w:r>
      <w:r w:rsidR="008A6000" w:rsidRPr="00505215">
        <w:rPr>
          <w:rFonts w:ascii="Book Antiqua" w:hAnsi="Book Antiqua"/>
        </w:rPr>
        <w:t xml:space="preserve">unintentionally </w:t>
      </w:r>
      <w:r w:rsidR="008A6000">
        <w:rPr>
          <w:rFonts w:ascii="Book Antiqua" w:hAnsi="Book Antiqua"/>
        </w:rPr>
        <w:t xml:space="preserve">fail to </w:t>
      </w:r>
      <w:r w:rsidR="00C96C26" w:rsidRPr="00505215">
        <w:rPr>
          <w:rFonts w:ascii="Book Antiqua" w:hAnsi="Book Antiqua"/>
        </w:rPr>
        <w:t>follow the treatment as recommended</w:t>
      </w:r>
      <w:r w:rsidR="008A6000">
        <w:rPr>
          <w:rFonts w:ascii="Book Antiqua" w:hAnsi="Book Antiqua"/>
        </w:rPr>
        <w:t>,</w:t>
      </w:r>
      <w:r w:rsidR="00C96C26" w:rsidRPr="00505215">
        <w:rPr>
          <w:rFonts w:ascii="Book Antiqua" w:hAnsi="Book Antiqua"/>
        </w:rPr>
        <w:t xml:space="preserve"> while others are </w:t>
      </w:r>
      <w:r w:rsidR="008A6000">
        <w:rPr>
          <w:rFonts w:ascii="Book Antiqua" w:hAnsi="Book Antiqua"/>
        </w:rPr>
        <w:t xml:space="preserve">result of a </w:t>
      </w:r>
      <w:r w:rsidR="00C96C26" w:rsidRPr="00505215">
        <w:rPr>
          <w:rFonts w:ascii="Book Antiqua" w:hAnsi="Book Antiqua"/>
        </w:rPr>
        <w:t>decision made by the patient</w:t>
      </w:r>
      <w:r w:rsidR="00C96C26">
        <w:rPr>
          <w:rFonts w:ascii="Book Antiqua" w:hAnsi="Book Antiqua"/>
        </w:rPr>
        <w:t xml:space="preserve">. </w:t>
      </w:r>
      <w:r w:rsidR="008A6000">
        <w:rPr>
          <w:rFonts w:ascii="Book Antiqua" w:hAnsi="Book Antiqua"/>
        </w:rPr>
        <w:t>Factors</w:t>
      </w:r>
      <w:r w:rsidR="0054233A">
        <w:rPr>
          <w:rFonts w:ascii="Book Antiqua" w:hAnsi="Book Antiqua"/>
        </w:rPr>
        <w:t xml:space="preserve"> such</w:t>
      </w:r>
      <w:r w:rsidR="00C96C26">
        <w:rPr>
          <w:rFonts w:ascii="Book Antiqua" w:hAnsi="Book Antiqua"/>
        </w:rPr>
        <w:t xml:space="preserve"> a</w:t>
      </w:r>
      <w:r w:rsidR="00CB56C8">
        <w:rPr>
          <w:rFonts w:ascii="Book Antiqua" w:hAnsi="Book Antiqua"/>
        </w:rPr>
        <w:t>s</w:t>
      </w:r>
      <w:r w:rsidR="00C96C26">
        <w:rPr>
          <w:rFonts w:ascii="Book Antiqua" w:hAnsi="Book Antiqua"/>
        </w:rPr>
        <w:t xml:space="preserve"> mi</w:t>
      </w:r>
      <w:r w:rsidR="00CB56C8">
        <w:rPr>
          <w:rFonts w:ascii="Book Antiqua" w:hAnsi="Book Antiqua"/>
        </w:rPr>
        <w:t>sunderstanding, forgetting or ignori</w:t>
      </w:r>
      <w:r w:rsidR="00C96C26">
        <w:rPr>
          <w:rFonts w:ascii="Book Antiqua" w:hAnsi="Book Antiqua"/>
        </w:rPr>
        <w:t>ng healthcare advice affect medication adherence (</w:t>
      </w:r>
      <w:r w:rsidR="00BF36AE">
        <w:rPr>
          <w:rFonts w:ascii="Book Antiqua" w:hAnsi="Book Antiqua"/>
        </w:rPr>
        <w:t>Mengiardi et al. 2011</w:t>
      </w:r>
      <w:r w:rsidR="00C96C26">
        <w:rPr>
          <w:rFonts w:ascii="Book Antiqua" w:hAnsi="Book Antiqua"/>
        </w:rPr>
        <w:t>)</w:t>
      </w:r>
      <w:r w:rsidR="00C96C26" w:rsidRPr="00505215">
        <w:rPr>
          <w:rFonts w:ascii="Book Antiqua" w:hAnsi="Book Antiqua"/>
        </w:rPr>
        <w:t xml:space="preserve">. </w:t>
      </w:r>
      <w:r w:rsidR="00CB56C8" w:rsidRPr="00505215">
        <w:rPr>
          <w:rFonts w:ascii="Book Antiqua" w:hAnsi="Book Antiqua"/>
        </w:rPr>
        <w:t>With the administration of LMWH</w:t>
      </w:r>
      <w:r w:rsidR="007D26CB">
        <w:rPr>
          <w:rFonts w:ascii="Book Antiqua" w:hAnsi="Book Antiqua"/>
        </w:rPr>
        <w:t>,</w:t>
      </w:r>
      <w:r>
        <w:rPr>
          <w:rFonts w:ascii="Book Antiqua" w:hAnsi="Book Antiqua"/>
        </w:rPr>
        <w:t xml:space="preserve"> </w:t>
      </w:r>
      <w:r w:rsidR="00CB56C8" w:rsidRPr="00505215">
        <w:rPr>
          <w:rFonts w:ascii="Book Antiqua" w:hAnsi="Book Antiqua"/>
        </w:rPr>
        <w:t xml:space="preserve">problems </w:t>
      </w:r>
      <w:r>
        <w:rPr>
          <w:rFonts w:ascii="Book Antiqua" w:hAnsi="Book Antiqua"/>
        </w:rPr>
        <w:t xml:space="preserve">such </w:t>
      </w:r>
      <w:r w:rsidR="00CB56C8" w:rsidRPr="00505215">
        <w:rPr>
          <w:rFonts w:ascii="Book Antiqua" w:hAnsi="Book Antiqua"/>
        </w:rPr>
        <w:t>as needle phobia or poor dexterity</w:t>
      </w:r>
      <w:r>
        <w:rPr>
          <w:rFonts w:ascii="Book Antiqua" w:hAnsi="Book Antiqua"/>
        </w:rPr>
        <w:t xml:space="preserve"> </w:t>
      </w:r>
      <w:r w:rsidR="007D26CB">
        <w:rPr>
          <w:rFonts w:ascii="Book Antiqua" w:hAnsi="Book Antiqua"/>
        </w:rPr>
        <w:t>may</w:t>
      </w:r>
      <w:r w:rsidR="00CB56C8" w:rsidRPr="00505215">
        <w:rPr>
          <w:rFonts w:ascii="Book Antiqua" w:hAnsi="Book Antiqua"/>
        </w:rPr>
        <w:t xml:space="preserve"> affect adherence to treatment</w:t>
      </w:r>
      <w:r w:rsidR="00EF4965">
        <w:rPr>
          <w:rFonts w:ascii="Book Antiqua" w:hAnsi="Book Antiqua"/>
        </w:rPr>
        <w:t xml:space="preserve"> (</w:t>
      </w:r>
      <w:proofErr w:type="spellStart"/>
      <w:r w:rsidR="00EF4965">
        <w:rPr>
          <w:rFonts w:ascii="Book Antiqua" w:hAnsi="Book Antiqua"/>
        </w:rPr>
        <w:t>Mengiardi</w:t>
      </w:r>
      <w:proofErr w:type="spellEnd"/>
      <w:r w:rsidR="00EF4965">
        <w:rPr>
          <w:rFonts w:ascii="Book Antiqua" w:hAnsi="Book Antiqua"/>
        </w:rPr>
        <w:t xml:space="preserve"> et al. 2011)</w:t>
      </w:r>
      <w:r w:rsidR="00CB56C8">
        <w:rPr>
          <w:rFonts w:ascii="Book Antiqua" w:hAnsi="Book Antiqua"/>
        </w:rPr>
        <w:t xml:space="preserve">. </w:t>
      </w:r>
      <w:r w:rsidR="00C96C26" w:rsidRPr="00505215">
        <w:rPr>
          <w:rFonts w:ascii="Book Antiqua" w:hAnsi="Book Antiqua"/>
        </w:rPr>
        <w:t xml:space="preserve">Most </w:t>
      </w:r>
      <w:r w:rsidR="007D26CB">
        <w:rPr>
          <w:rFonts w:ascii="Book Antiqua" w:hAnsi="Book Antiqua"/>
        </w:rPr>
        <w:t>problems</w:t>
      </w:r>
      <w:r w:rsidR="00C96C26" w:rsidRPr="00505215">
        <w:rPr>
          <w:rFonts w:ascii="Book Antiqua" w:hAnsi="Book Antiqua"/>
        </w:rPr>
        <w:t xml:space="preserve"> can be addressed </w:t>
      </w:r>
      <w:r w:rsidR="00233C8A">
        <w:rPr>
          <w:rFonts w:ascii="Book Antiqua" w:hAnsi="Book Antiqua"/>
        </w:rPr>
        <w:t>by</w:t>
      </w:r>
      <w:r w:rsidR="00C96C26" w:rsidRPr="00505215">
        <w:rPr>
          <w:rFonts w:ascii="Book Antiqua" w:hAnsi="Book Antiqua"/>
        </w:rPr>
        <w:t xml:space="preserve"> good communication</w:t>
      </w:r>
      <w:r>
        <w:rPr>
          <w:rFonts w:ascii="Book Antiqua" w:hAnsi="Book Antiqua"/>
        </w:rPr>
        <w:t xml:space="preserve">, patient </w:t>
      </w:r>
      <w:r w:rsidR="00241075">
        <w:rPr>
          <w:rFonts w:ascii="Book Antiqua" w:hAnsi="Book Antiqua"/>
        </w:rPr>
        <w:t>e</w:t>
      </w:r>
      <w:r>
        <w:rPr>
          <w:rFonts w:ascii="Book Antiqua" w:hAnsi="Book Antiqua"/>
        </w:rPr>
        <w:t>ducation and</w:t>
      </w:r>
      <w:r w:rsidR="00C96C26" w:rsidRPr="00505215">
        <w:rPr>
          <w:rFonts w:ascii="Book Antiqua" w:hAnsi="Book Antiqua"/>
        </w:rPr>
        <w:t xml:space="preserve"> by helping patient</w:t>
      </w:r>
      <w:r>
        <w:rPr>
          <w:rFonts w:ascii="Book Antiqua" w:hAnsi="Book Antiqua"/>
        </w:rPr>
        <w:t>s</w:t>
      </w:r>
      <w:r w:rsidR="00C96C26" w:rsidRPr="00505215">
        <w:rPr>
          <w:rFonts w:ascii="Book Antiqua" w:hAnsi="Book Antiqua"/>
        </w:rPr>
        <w:t xml:space="preserve"> make an informed decision about treatment and how to </w:t>
      </w:r>
      <w:r>
        <w:rPr>
          <w:rFonts w:ascii="Book Antiqua" w:hAnsi="Book Antiqua"/>
        </w:rPr>
        <w:t xml:space="preserve">manage </w:t>
      </w:r>
      <w:r w:rsidR="00C96C26" w:rsidRPr="00505215">
        <w:rPr>
          <w:rFonts w:ascii="Book Antiqua" w:hAnsi="Book Antiqua"/>
        </w:rPr>
        <w:t>it</w:t>
      </w:r>
      <w:r w:rsidR="00EF4965">
        <w:rPr>
          <w:rFonts w:ascii="Book Antiqua" w:hAnsi="Book Antiqua"/>
        </w:rPr>
        <w:t xml:space="preserve"> </w:t>
      </w:r>
      <w:r w:rsidR="00EF4965" w:rsidRPr="00505215">
        <w:rPr>
          <w:rFonts w:ascii="Book Antiqua" w:hAnsi="Book Antiqua"/>
        </w:rPr>
        <w:t>(</w:t>
      </w:r>
      <w:proofErr w:type="spellStart"/>
      <w:r w:rsidR="00EF4965" w:rsidRPr="00F94777">
        <w:rPr>
          <w:rStyle w:val="author"/>
          <w:rFonts w:ascii="Book Antiqua" w:hAnsi="Book Antiqua"/>
          <w:lang w:val="en"/>
        </w:rPr>
        <w:t>Nieuwlaat</w:t>
      </w:r>
      <w:proofErr w:type="spellEnd"/>
      <w:r w:rsidR="00EF4965">
        <w:rPr>
          <w:rStyle w:val="author"/>
          <w:rFonts w:ascii="Book Antiqua" w:hAnsi="Book Antiqua"/>
          <w:lang w:val="en"/>
        </w:rPr>
        <w:t xml:space="preserve"> et al. 2014</w:t>
      </w:r>
      <w:r w:rsidR="00EF4965" w:rsidRPr="00505215">
        <w:rPr>
          <w:rFonts w:ascii="Book Antiqua" w:hAnsi="Book Antiqua"/>
        </w:rPr>
        <w:t>)</w:t>
      </w:r>
      <w:r w:rsidR="00C96C26" w:rsidRPr="00505215">
        <w:rPr>
          <w:rFonts w:ascii="Book Antiqua" w:hAnsi="Book Antiqua"/>
        </w:rPr>
        <w:t>.</w:t>
      </w:r>
      <w:r w:rsidR="00E70643">
        <w:rPr>
          <w:rFonts w:ascii="Book Antiqua" w:hAnsi="Book Antiqua"/>
        </w:rPr>
        <w:t xml:space="preserve"> </w:t>
      </w:r>
      <w:r w:rsidR="00E70643" w:rsidRPr="00505215">
        <w:rPr>
          <w:rFonts w:ascii="Book Antiqua" w:hAnsi="Book Antiqua"/>
        </w:rPr>
        <w:t>Under</w:t>
      </w:r>
      <w:r>
        <w:rPr>
          <w:rFonts w:ascii="Book Antiqua" w:hAnsi="Book Antiqua"/>
        </w:rPr>
        <w:t>-</w:t>
      </w:r>
      <w:r w:rsidR="00E70643" w:rsidRPr="00505215">
        <w:rPr>
          <w:rFonts w:ascii="Book Antiqua" w:hAnsi="Book Antiqua"/>
        </w:rPr>
        <w:t xml:space="preserve">dosing </w:t>
      </w:r>
      <w:r>
        <w:rPr>
          <w:rFonts w:ascii="Book Antiqua" w:hAnsi="Book Antiqua"/>
        </w:rPr>
        <w:t xml:space="preserve">with </w:t>
      </w:r>
      <w:r w:rsidR="00E70643" w:rsidRPr="00505215">
        <w:rPr>
          <w:rFonts w:ascii="Book Antiqua" w:hAnsi="Book Antiqua"/>
        </w:rPr>
        <w:t xml:space="preserve">LMWH </w:t>
      </w:r>
      <w:r>
        <w:rPr>
          <w:rFonts w:ascii="Book Antiqua" w:hAnsi="Book Antiqua"/>
        </w:rPr>
        <w:t>brings</w:t>
      </w:r>
      <w:r w:rsidR="00E70643" w:rsidRPr="00505215">
        <w:rPr>
          <w:rFonts w:ascii="Book Antiqua" w:hAnsi="Book Antiqua"/>
        </w:rPr>
        <w:t xml:space="preserve"> an increased risk of recurrence</w:t>
      </w:r>
      <w:r>
        <w:rPr>
          <w:rFonts w:ascii="Book Antiqua" w:hAnsi="Book Antiqua"/>
        </w:rPr>
        <w:t>,</w:t>
      </w:r>
      <w:r w:rsidR="00E70643" w:rsidRPr="00505215">
        <w:rPr>
          <w:rFonts w:ascii="Book Antiqua" w:hAnsi="Book Antiqua"/>
        </w:rPr>
        <w:t xml:space="preserve"> whil</w:t>
      </w:r>
      <w:r>
        <w:rPr>
          <w:rFonts w:ascii="Book Antiqua" w:hAnsi="Book Antiqua"/>
        </w:rPr>
        <w:t>st</w:t>
      </w:r>
      <w:r w:rsidR="00E70643" w:rsidRPr="00505215">
        <w:rPr>
          <w:rFonts w:ascii="Book Antiqua" w:hAnsi="Book Antiqua"/>
        </w:rPr>
        <w:t xml:space="preserve"> overdosing can increase the risk of bleeding (NICE 201</w:t>
      </w:r>
      <w:r w:rsidR="00BF36AE">
        <w:rPr>
          <w:rFonts w:ascii="Book Antiqua" w:hAnsi="Book Antiqua"/>
        </w:rPr>
        <w:t>0</w:t>
      </w:r>
      <w:r w:rsidR="00E70643" w:rsidRPr="00505215">
        <w:rPr>
          <w:rFonts w:ascii="Book Antiqua" w:hAnsi="Book Antiqua"/>
        </w:rPr>
        <w:t>).</w:t>
      </w:r>
    </w:p>
    <w:p w14:paraId="51F10E83" w14:textId="666227A2" w:rsidR="00C96C26" w:rsidRDefault="008171CC" w:rsidP="00DF79D2">
      <w:pPr>
        <w:spacing w:before="240" w:line="276" w:lineRule="auto"/>
        <w:jc w:val="both"/>
        <w:rPr>
          <w:rFonts w:ascii="Book Antiqua" w:hAnsi="Book Antiqua"/>
        </w:rPr>
      </w:pPr>
      <w:r>
        <w:rPr>
          <w:rFonts w:ascii="Book Antiqua" w:hAnsi="Book Antiqua"/>
        </w:rPr>
        <w:t>In the author’s centre</w:t>
      </w:r>
      <w:r w:rsidR="00233C8A">
        <w:rPr>
          <w:rFonts w:ascii="Book Antiqua" w:hAnsi="Book Antiqua"/>
        </w:rPr>
        <w:t>,</w:t>
      </w:r>
      <w:r>
        <w:rPr>
          <w:rFonts w:ascii="Book Antiqua" w:hAnsi="Book Antiqua"/>
        </w:rPr>
        <w:t xml:space="preserve"> patients with symptomatic and incidental </w:t>
      </w:r>
      <w:r w:rsidR="00715E3F">
        <w:rPr>
          <w:rFonts w:ascii="Book Antiqua" w:hAnsi="Book Antiqua"/>
        </w:rPr>
        <w:t>VTE</w:t>
      </w:r>
      <w:r>
        <w:rPr>
          <w:rFonts w:ascii="Book Antiqua" w:hAnsi="Book Antiqua"/>
        </w:rPr>
        <w:t xml:space="preserve"> are as</w:t>
      </w:r>
      <w:r w:rsidR="00C96C26" w:rsidRPr="00505215">
        <w:rPr>
          <w:rFonts w:ascii="Book Antiqua" w:hAnsi="Book Antiqua"/>
        </w:rPr>
        <w:t>sessed in AOS.</w:t>
      </w:r>
      <w:r>
        <w:rPr>
          <w:rFonts w:ascii="Book Antiqua" w:hAnsi="Book Antiqua"/>
        </w:rPr>
        <w:t xml:space="preserve"> </w:t>
      </w:r>
      <w:r w:rsidR="00C96C26" w:rsidRPr="00505215">
        <w:rPr>
          <w:rFonts w:ascii="Book Antiqua" w:hAnsi="Book Antiqua"/>
        </w:rPr>
        <w:t xml:space="preserve"> </w:t>
      </w:r>
      <w:r w:rsidR="00C96C26">
        <w:rPr>
          <w:rFonts w:ascii="Book Antiqua" w:hAnsi="Book Antiqua"/>
        </w:rPr>
        <w:t xml:space="preserve"> </w:t>
      </w:r>
      <w:r w:rsidR="008A69E6">
        <w:rPr>
          <w:rFonts w:ascii="Book Antiqua" w:hAnsi="Book Antiqua"/>
        </w:rPr>
        <w:t>D</w:t>
      </w:r>
      <w:r>
        <w:rPr>
          <w:rFonts w:ascii="Book Antiqua" w:hAnsi="Book Antiqua"/>
        </w:rPr>
        <w:t xml:space="preserve">iagnosis and treatment </w:t>
      </w:r>
      <w:r w:rsidR="008A69E6">
        <w:rPr>
          <w:rFonts w:ascii="Book Antiqua" w:hAnsi="Book Antiqua"/>
        </w:rPr>
        <w:t>are</w:t>
      </w:r>
      <w:r>
        <w:rPr>
          <w:rFonts w:ascii="Book Antiqua" w:hAnsi="Book Antiqua"/>
        </w:rPr>
        <w:t xml:space="preserve"> explained and managed by the health professionals involved</w:t>
      </w:r>
      <w:r w:rsidR="008A69E6">
        <w:rPr>
          <w:rFonts w:ascii="Book Antiqua" w:hAnsi="Book Antiqua"/>
        </w:rPr>
        <w:t>, and this service is largely nurse-led</w:t>
      </w:r>
      <w:r>
        <w:rPr>
          <w:rFonts w:ascii="Book Antiqua" w:hAnsi="Book Antiqua"/>
        </w:rPr>
        <w:t xml:space="preserve">. </w:t>
      </w:r>
      <w:r w:rsidR="00C96C26" w:rsidRPr="00505215">
        <w:rPr>
          <w:rFonts w:ascii="Book Antiqua" w:hAnsi="Book Antiqua"/>
        </w:rPr>
        <w:t xml:space="preserve">The </w:t>
      </w:r>
      <w:r>
        <w:rPr>
          <w:rFonts w:ascii="Book Antiqua" w:hAnsi="Book Antiqua"/>
        </w:rPr>
        <w:t>standard</w:t>
      </w:r>
      <w:r w:rsidR="00975337">
        <w:rPr>
          <w:rFonts w:ascii="Book Antiqua" w:hAnsi="Book Antiqua"/>
        </w:rPr>
        <w:t xml:space="preserve"> define</w:t>
      </w:r>
      <w:r w:rsidR="00E71B15">
        <w:rPr>
          <w:rFonts w:ascii="Book Antiqua" w:hAnsi="Book Antiqua"/>
        </w:rPr>
        <w:t>d</w:t>
      </w:r>
      <w:r w:rsidR="00975337">
        <w:rPr>
          <w:rFonts w:ascii="Book Antiqua" w:hAnsi="Book Antiqua"/>
        </w:rPr>
        <w:t xml:space="preserve"> by the National Institute for Health and Care Excellence (NICE</w:t>
      </w:r>
      <w:r w:rsidR="00F13500">
        <w:rPr>
          <w:rFonts w:ascii="Book Antiqua" w:hAnsi="Book Antiqua"/>
        </w:rPr>
        <w:t xml:space="preserve"> 201</w:t>
      </w:r>
      <w:r w:rsidR="00BF36AE">
        <w:rPr>
          <w:rFonts w:ascii="Book Antiqua" w:hAnsi="Book Antiqua"/>
        </w:rPr>
        <w:t>3</w:t>
      </w:r>
      <w:r w:rsidR="00975337">
        <w:rPr>
          <w:rFonts w:ascii="Book Antiqua" w:hAnsi="Book Antiqua"/>
        </w:rPr>
        <w:t>)</w:t>
      </w:r>
      <w:r>
        <w:rPr>
          <w:rFonts w:ascii="Book Antiqua" w:hAnsi="Book Antiqua"/>
        </w:rPr>
        <w:t xml:space="preserve"> </w:t>
      </w:r>
      <w:r w:rsidR="00715E3F">
        <w:rPr>
          <w:rFonts w:ascii="Book Antiqua" w:hAnsi="Book Antiqua"/>
        </w:rPr>
        <w:t>involves</w:t>
      </w:r>
      <w:r w:rsidR="00C96C26" w:rsidRPr="00505215">
        <w:rPr>
          <w:rFonts w:ascii="Book Antiqua" w:hAnsi="Book Antiqua"/>
        </w:rPr>
        <w:t xml:space="preserve"> giv</w:t>
      </w:r>
      <w:r w:rsidR="008A69E6">
        <w:rPr>
          <w:rFonts w:ascii="Book Antiqua" w:hAnsi="Book Antiqua"/>
        </w:rPr>
        <w:t>ing</w:t>
      </w:r>
      <w:r w:rsidR="00C96C26" w:rsidRPr="00505215">
        <w:rPr>
          <w:rFonts w:ascii="Book Antiqua" w:hAnsi="Book Antiqua"/>
        </w:rPr>
        <w:t xml:space="preserve"> patients</w:t>
      </w:r>
      <w:r w:rsidR="00975337">
        <w:rPr>
          <w:rFonts w:ascii="Book Antiqua" w:hAnsi="Book Antiqua"/>
        </w:rPr>
        <w:t xml:space="preserve"> verbal and writ</w:t>
      </w:r>
      <w:r w:rsidR="007D26CB">
        <w:rPr>
          <w:rFonts w:ascii="Book Antiqua" w:hAnsi="Book Antiqua"/>
        </w:rPr>
        <w:t>ten information mak</w:t>
      </w:r>
      <w:r w:rsidR="00233C8A">
        <w:rPr>
          <w:rFonts w:ascii="Book Antiqua" w:hAnsi="Book Antiqua"/>
        </w:rPr>
        <w:t>ing</w:t>
      </w:r>
      <w:r w:rsidR="00975337">
        <w:rPr>
          <w:rFonts w:ascii="Book Antiqua" w:hAnsi="Book Antiqua"/>
        </w:rPr>
        <w:t xml:space="preserve"> </w:t>
      </w:r>
      <w:r w:rsidR="007D26CB">
        <w:rPr>
          <w:rFonts w:ascii="Book Antiqua" w:hAnsi="Book Antiqua"/>
        </w:rPr>
        <w:t>p</w:t>
      </w:r>
      <w:r w:rsidR="00C96C26" w:rsidRPr="00505215">
        <w:rPr>
          <w:rFonts w:ascii="Book Antiqua" w:hAnsi="Book Antiqua"/>
        </w:rPr>
        <w:t>atients aware of the risk</w:t>
      </w:r>
      <w:r w:rsidR="008A69E6">
        <w:rPr>
          <w:rFonts w:ascii="Book Antiqua" w:hAnsi="Book Antiqua"/>
        </w:rPr>
        <w:t>s</w:t>
      </w:r>
      <w:r w:rsidR="00C96C26" w:rsidRPr="00505215">
        <w:rPr>
          <w:rFonts w:ascii="Book Antiqua" w:hAnsi="Book Antiqua"/>
        </w:rPr>
        <w:t xml:space="preserve"> and benefits of the treatment. </w:t>
      </w:r>
      <w:r w:rsidR="008A69E6">
        <w:rPr>
          <w:rFonts w:ascii="Book Antiqua" w:hAnsi="Book Antiqua"/>
        </w:rPr>
        <w:t>To achieve this</w:t>
      </w:r>
      <w:r w:rsidR="00E70643">
        <w:rPr>
          <w:rFonts w:ascii="Book Antiqua" w:hAnsi="Book Antiqua"/>
        </w:rPr>
        <w:t>,</w:t>
      </w:r>
      <w:r w:rsidR="00C96C26" w:rsidRPr="00505215">
        <w:rPr>
          <w:rFonts w:ascii="Book Antiqua" w:hAnsi="Book Antiqua"/>
        </w:rPr>
        <w:t xml:space="preserve"> healthcare professionals should not only offer information</w:t>
      </w:r>
      <w:r w:rsidR="008A6000">
        <w:rPr>
          <w:rFonts w:ascii="Book Antiqua" w:hAnsi="Book Antiqua"/>
        </w:rPr>
        <w:t>, but</w:t>
      </w:r>
      <w:r w:rsidR="00C96C26" w:rsidRPr="00505215">
        <w:rPr>
          <w:rFonts w:ascii="Book Antiqua" w:hAnsi="Book Antiqua"/>
        </w:rPr>
        <w:t xml:space="preserve"> ensure </w:t>
      </w:r>
      <w:r w:rsidR="00241075">
        <w:rPr>
          <w:rFonts w:ascii="Book Antiqua" w:hAnsi="Book Antiqua"/>
        </w:rPr>
        <w:t xml:space="preserve">any </w:t>
      </w:r>
      <w:r w:rsidR="00241075" w:rsidRPr="00505215">
        <w:rPr>
          <w:rFonts w:ascii="Book Antiqua" w:hAnsi="Book Antiqua"/>
        </w:rPr>
        <w:t>information</w:t>
      </w:r>
      <w:r w:rsidR="00C96C26" w:rsidRPr="00505215">
        <w:rPr>
          <w:rFonts w:ascii="Book Antiqua" w:hAnsi="Book Antiqua"/>
        </w:rPr>
        <w:t xml:space="preserve"> has been understood </w:t>
      </w:r>
      <w:r w:rsidR="00241075" w:rsidRPr="00505215">
        <w:rPr>
          <w:rFonts w:ascii="Book Antiqua" w:hAnsi="Book Antiqua"/>
        </w:rPr>
        <w:t>and the</w:t>
      </w:r>
      <w:r w:rsidR="00C96C26" w:rsidRPr="00505215">
        <w:rPr>
          <w:rFonts w:ascii="Book Antiqua" w:hAnsi="Book Antiqua"/>
        </w:rPr>
        <w:t xml:space="preserve"> patient </w:t>
      </w:r>
      <w:r w:rsidR="00233C8A">
        <w:rPr>
          <w:rFonts w:ascii="Book Antiqua" w:hAnsi="Book Antiqua"/>
        </w:rPr>
        <w:t xml:space="preserve">is </w:t>
      </w:r>
      <w:r w:rsidR="00975337">
        <w:rPr>
          <w:rFonts w:ascii="Book Antiqua" w:hAnsi="Book Antiqua"/>
        </w:rPr>
        <w:t xml:space="preserve">given </w:t>
      </w:r>
      <w:r w:rsidR="00C96C26" w:rsidRPr="00505215">
        <w:rPr>
          <w:rFonts w:ascii="Book Antiqua" w:hAnsi="Book Antiqua"/>
        </w:rPr>
        <w:t xml:space="preserve">the opportunity to </w:t>
      </w:r>
      <w:r w:rsidR="008A69E6">
        <w:rPr>
          <w:rFonts w:ascii="Book Antiqua" w:hAnsi="Book Antiqua"/>
        </w:rPr>
        <w:t>ask questions</w:t>
      </w:r>
      <w:r w:rsidR="00C96C26" w:rsidRPr="00505215">
        <w:rPr>
          <w:rFonts w:ascii="Book Antiqua" w:hAnsi="Book Antiqua"/>
        </w:rPr>
        <w:t xml:space="preserve"> (NICE 2009)</w:t>
      </w:r>
      <w:r>
        <w:rPr>
          <w:rFonts w:ascii="Book Antiqua" w:hAnsi="Book Antiqua"/>
        </w:rPr>
        <w:t xml:space="preserve">. However, when patients are seen in clinic or by </w:t>
      </w:r>
      <w:r w:rsidR="008A69E6">
        <w:rPr>
          <w:rFonts w:ascii="Book Antiqua" w:hAnsi="Book Antiqua"/>
        </w:rPr>
        <w:t>a</w:t>
      </w:r>
      <w:r>
        <w:rPr>
          <w:rFonts w:ascii="Book Antiqua" w:hAnsi="Book Antiqua"/>
        </w:rPr>
        <w:t xml:space="preserve"> GP they often </w:t>
      </w:r>
      <w:r w:rsidR="00E70643">
        <w:rPr>
          <w:rFonts w:ascii="Book Antiqua" w:hAnsi="Book Antiqua"/>
        </w:rPr>
        <w:t xml:space="preserve">report lack of information or </w:t>
      </w:r>
      <w:r w:rsidR="0096597F">
        <w:rPr>
          <w:rFonts w:ascii="Book Antiqua" w:hAnsi="Book Antiqua"/>
        </w:rPr>
        <w:t>understanding</w:t>
      </w:r>
      <w:r>
        <w:rPr>
          <w:rFonts w:ascii="Book Antiqua" w:hAnsi="Book Antiqua"/>
        </w:rPr>
        <w:t xml:space="preserve"> </w:t>
      </w:r>
      <w:r w:rsidR="00E70643">
        <w:rPr>
          <w:rFonts w:ascii="Book Antiqua" w:hAnsi="Book Antiqua"/>
        </w:rPr>
        <w:t>of the event</w:t>
      </w:r>
      <w:r w:rsidR="00DF79D2">
        <w:rPr>
          <w:rFonts w:ascii="Book Antiqua" w:hAnsi="Book Antiqua"/>
        </w:rPr>
        <w:t xml:space="preserve"> </w:t>
      </w:r>
      <w:r w:rsidR="00DF79D2" w:rsidRPr="00505215">
        <w:rPr>
          <w:rFonts w:ascii="Book Antiqua" w:hAnsi="Book Antiqua"/>
        </w:rPr>
        <w:t>(Nunes et al. 2009).</w:t>
      </w:r>
      <w:r>
        <w:rPr>
          <w:rFonts w:ascii="Book Antiqua" w:hAnsi="Book Antiqua"/>
        </w:rPr>
        <w:t xml:space="preserve"> This creates confusion and potentially unnecessary and preventable problems </w:t>
      </w:r>
      <w:r w:rsidR="002A7B55">
        <w:rPr>
          <w:rFonts w:ascii="Book Antiqua" w:hAnsi="Book Antiqua"/>
        </w:rPr>
        <w:t>for the patients</w:t>
      </w:r>
      <w:r w:rsidR="00DF79D2">
        <w:rPr>
          <w:rFonts w:ascii="Book Antiqua" w:hAnsi="Book Antiqua"/>
        </w:rPr>
        <w:t>.</w:t>
      </w:r>
      <w:r w:rsidR="00975337">
        <w:rPr>
          <w:rFonts w:ascii="Book Antiqua" w:hAnsi="Book Antiqua"/>
        </w:rPr>
        <w:t xml:space="preserve"> </w:t>
      </w:r>
    </w:p>
    <w:p w14:paraId="1B3E549C" w14:textId="77777777" w:rsidR="00DF79D2" w:rsidRPr="00DF79D2" w:rsidRDefault="00DF79D2" w:rsidP="00DF79D2">
      <w:pPr>
        <w:spacing w:line="276" w:lineRule="auto"/>
        <w:jc w:val="both"/>
        <w:rPr>
          <w:rFonts w:ascii="Book Antiqua" w:hAnsi="Book Antiqua"/>
          <w:b/>
          <w:bCs/>
        </w:rPr>
      </w:pPr>
      <w:r w:rsidRPr="00DF79D2">
        <w:rPr>
          <w:rFonts w:ascii="Book Antiqua" w:hAnsi="Book Antiqua"/>
          <w:b/>
          <w:bCs/>
        </w:rPr>
        <w:t>Project:</w:t>
      </w:r>
    </w:p>
    <w:p w14:paraId="096F677F" w14:textId="3FB3F664" w:rsidR="001B0AB3" w:rsidRPr="00F12866" w:rsidRDefault="008A69E6" w:rsidP="0089304B">
      <w:pPr>
        <w:spacing w:line="276" w:lineRule="auto"/>
        <w:ind w:firstLine="720"/>
        <w:jc w:val="both"/>
        <w:rPr>
          <w:rFonts w:ascii="Book Antiqua" w:hAnsi="Book Antiqua"/>
        </w:rPr>
      </w:pPr>
      <w:r>
        <w:rPr>
          <w:rFonts w:ascii="Book Antiqua" w:hAnsi="Book Antiqua"/>
        </w:rPr>
        <w:t xml:space="preserve">This audit was developed to </w:t>
      </w:r>
      <w:r w:rsidR="00241075">
        <w:rPr>
          <w:rFonts w:ascii="Book Antiqua" w:hAnsi="Book Antiqua"/>
        </w:rPr>
        <w:t xml:space="preserve">examine </w:t>
      </w:r>
      <w:r w:rsidR="0089304B">
        <w:rPr>
          <w:rFonts w:ascii="Book Antiqua" w:hAnsi="Book Antiqua"/>
        </w:rPr>
        <w:t>what information regarding VTE was provided to patients managed by the AOS and whether NICE guidelines were being followed</w:t>
      </w:r>
      <w:r w:rsidR="00241075">
        <w:rPr>
          <w:rFonts w:ascii="Book Antiqua" w:hAnsi="Book Antiqua"/>
        </w:rPr>
        <w:t>.</w:t>
      </w:r>
      <w:r w:rsidR="00CF1A8B">
        <w:rPr>
          <w:rFonts w:ascii="Book Antiqua" w:hAnsi="Book Antiqua"/>
        </w:rPr>
        <w:t xml:space="preserve"> </w:t>
      </w:r>
      <w:r>
        <w:rPr>
          <w:rFonts w:ascii="Book Antiqua" w:hAnsi="Book Antiqua"/>
        </w:rPr>
        <w:t>It</w:t>
      </w:r>
      <w:r w:rsidR="002A7B55">
        <w:rPr>
          <w:rFonts w:ascii="Book Antiqua" w:hAnsi="Book Antiqua"/>
        </w:rPr>
        <w:t xml:space="preserve"> aimed to examine </w:t>
      </w:r>
      <w:r w:rsidR="00233C8A">
        <w:rPr>
          <w:rFonts w:ascii="Book Antiqua" w:hAnsi="Book Antiqua"/>
        </w:rPr>
        <w:t>the</w:t>
      </w:r>
      <w:r w:rsidR="002A7B55">
        <w:rPr>
          <w:rFonts w:ascii="Book Antiqua" w:hAnsi="Book Antiqua"/>
        </w:rPr>
        <w:t xml:space="preserve"> information</w:t>
      </w:r>
      <w:r w:rsidR="00233C8A">
        <w:rPr>
          <w:rFonts w:ascii="Book Antiqua" w:hAnsi="Book Antiqua"/>
        </w:rPr>
        <w:t xml:space="preserve"> given to</w:t>
      </w:r>
      <w:r w:rsidR="002A7B55">
        <w:rPr>
          <w:rFonts w:ascii="Book Antiqua" w:hAnsi="Book Antiqua"/>
        </w:rPr>
        <w:t xml:space="preserve"> the patient</w:t>
      </w:r>
      <w:r w:rsidR="00975337">
        <w:rPr>
          <w:rFonts w:ascii="Book Antiqua" w:hAnsi="Book Antiqua"/>
        </w:rPr>
        <w:t xml:space="preserve">, </w:t>
      </w:r>
      <w:r>
        <w:rPr>
          <w:rFonts w:ascii="Book Antiqua" w:hAnsi="Book Antiqua"/>
        </w:rPr>
        <w:t xml:space="preserve">assess their </w:t>
      </w:r>
      <w:r w:rsidR="002A7B55">
        <w:rPr>
          <w:rFonts w:ascii="Book Antiqua" w:hAnsi="Book Antiqua"/>
        </w:rPr>
        <w:t xml:space="preserve">understanding of </w:t>
      </w:r>
      <w:r w:rsidR="00241075">
        <w:rPr>
          <w:rFonts w:ascii="Book Antiqua" w:hAnsi="Book Antiqua"/>
        </w:rPr>
        <w:t>VTE,</w:t>
      </w:r>
      <w:r w:rsidR="002A7B55">
        <w:rPr>
          <w:rFonts w:ascii="Book Antiqua" w:hAnsi="Book Antiqua"/>
        </w:rPr>
        <w:t xml:space="preserve"> </w:t>
      </w:r>
      <w:r>
        <w:rPr>
          <w:rFonts w:ascii="Book Antiqua" w:hAnsi="Book Antiqua"/>
        </w:rPr>
        <w:t xml:space="preserve">expected length of treatment </w:t>
      </w:r>
      <w:r w:rsidR="00241075">
        <w:rPr>
          <w:rFonts w:ascii="Book Antiqua" w:hAnsi="Book Antiqua"/>
        </w:rPr>
        <w:t>and possible</w:t>
      </w:r>
      <w:r>
        <w:rPr>
          <w:rFonts w:ascii="Book Antiqua" w:hAnsi="Book Antiqua"/>
        </w:rPr>
        <w:t xml:space="preserve"> complications</w:t>
      </w:r>
      <w:r w:rsidR="00233C8A">
        <w:rPr>
          <w:rFonts w:ascii="Book Antiqua" w:hAnsi="Book Antiqua"/>
        </w:rPr>
        <w:t xml:space="preserve">. It also </w:t>
      </w:r>
      <w:r>
        <w:rPr>
          <w:rFonts w:ascii="Book Antiqua" w:hAnsi="Book Antiqua"/>
        </w:rPr>
        <w:t>assess</w:t>
      </w:r>
      <w:r w:rsidR="00233C8A">
        <w:rPr>
          <w:rFonts w:ascii="Book Antiqua" w:hAnsi="Book Antiqua"/>
        </w:rPr>
        <w:t>ed</w:t>
      </w:r>
      <w:r>
        <w:rPr>
          <w:rFonts w:ascii="Book Antiqua" w:hAnsi="Book Antiqua"/>
        </w:rPr>
        <w:t xml:space="preserve"> </w:t>
      </w:r>
      <w:r w:rsidR="004E20E1">
        <w:rPr>
          <w:rFonts w:ascii="Book Antiqua" w:hAnsi="Book Antiqua"/>
        </w:rPr>
        <w:t xml:space="preserve">the </w:t>
      </w:r>
      <w:r>
        <w:rPr>
          <w:rFonts w:ascii="Book Antiqua" w:hAnsi="Book Antiqua"/>
        </w:rPr>
        <w:t>degree of</w:t>
      </w:r>
      <w:r w:rsidR="002A7B55">
        <w:rPr>
          <w:rFonts w:ascii="Book Antiqua" w:hAnsi="Book Antiqua"/>
        </w:rPr>
        <w:t xml:space="preserve"> adherence </w:t>
      </w:r>
      <w:r>
        <w:rPr>
          <w:rFonts w:ascii="Book Antiqua" w:hAnsi="Book Antiqua"/>
        </w:rPr>
        <w:t>with</w:t>
      </w:r>
      <w:r w:rsidR="00233C8A">
        <w:rPr>
          <w:rFonts w:ascii="Book Antiqua" w:hAnsi="Book Antiqua"/>
        </w:rPr>
        <w:t xml:space="preserve"> the</w:t>
      </w:r>
      <w:r>
        <w:rPr>
          <w:rFonts w:ascii="Book Antiqua" w:hAnsi="Book Antiqua"/>
        </w:rPr>
        <w:t xml:space="preserve"> treatment </w:t>
      </w:r>
      <w:r w:rsidR="00241075">
        <w:rPr>
          <w:rFonts w:ascii="Book Antiqua" w:hAnsi="Book Antiqua"/>
        </w:rPr>
        <w:t xml:space="preserve">plan. </w:t>
      </w:r>
      <w:r w:rsidR="00975337">
        <w:rPr>
          <w:rFonts w:ascii="Book Antiqua" w:hAnsi="Book Antiqua"/>
        </w:rPr>
        <w:t xml:space="preserve">It </w:t>
      </w:r>
      <w:r w:rsidR="00CF1A8B">
        <w:rPr>
          <w:rFonts w:ascii="Book Antiqua" w:hAnsi="Book Antiqua"/>
        </w:rPr>
        <w:t xml:space="preserve">sought to </w:t>
      </w:r>
      <w:r w:rsidR="00975337">
        <w:rPr>
          <w:rFonts w:ascii="Book Antiqua" w:hAnsi="Book Antiqua"/>
        </w:rPr>
        <w:t xml:space="preserve">compare </w:t>
      </w:r>
      <w:r w:rsidR="00CF1A8B">
        <w:rPr>
          <w:rFonts w:ascii="Book Antiqua" w:hAnsi="Book Antiqua"/>
        </w:rPr>
        <w:t xml:space="preserve">levels of </w:t>
      </w:r>
      <w:r w:rsidR="00975337">
        <w:rPr>
          <w:rFonts w:ascii="Book Antiqua" w:hAnsi="Book Antiqua"/>
        </w:rPr>
        <w:t xml:space="preserve">adherence </w:t>
      </w:r>
      <w:r w:rsidR="00CF1A8B">
        <w:rPr>
          <w:rFonts w:ascii="Book Antiqua" w:hAnsi="Book Antiqua"/>
        </w:rPr>
        <w:t xml:space="preserve">in patients with a </w:t>
      </w:r>
      <w:r w:rsidR="0096597F">
        <w:rPr>
          <w:rFonts w:ascii="Book Antiqua" w:hAnsi="Book Antiqua"/>
        </w:rPr>
        <w:t xml:space="preserve">symptomatic </w:t>
      </w:r>
      <w:r w:rsidR="00CF1A8B">
        <w:rPr>
          <w:rFonts w:ascii="Book Antiqua" w:hAnsi="Book Antiqua"/>
        </w:rPr>
        <w:t>or</w:t>
      </w:r>
      <w:r w:rsidR="00233C8A">
        <w:rPr>
          <w:rFonts w:ascii="Book Antiqua" w:hAnsi="Book Antiqua"/>
        </w:rPr>
        <w:t xml:space="preserve"> an</w:t>
      </w:r>
      <w:r w:rsidR="00CF1A8B">
        <w:rPr>
          <w:rFonts w:ascii="Book Antiqua" w:hAnsi="Book Antiqua"/>
        </w:rPr>
        <w:t xml:space="preserve"> </w:t>
      </w:r>
      <w:r w:rsidR="0096597F">
        <w:rPr>
          <w:rFonts w:ascii="Book Antiqua" w:hAnsi="Book Antiqua"/>
        </w:rPr>
        <w:t>incidental event</w:t>
      </w:r>
      <w:r w:rsidR="0089304B">
        <w:rPr>
          <w:rFonts w:ascii="Book Antiqua" w:hAnsi="Book Antiqua"/>
        </w:rPr>
        <w:t xml:space="preserve">, taking into account </w:t>
      </w:r>
      <w:r w:rsidR="00233C8A">
        <w:rPr>
          <w:rFonts w:ascii="Book Antiqua" w:hAnsi="Book Antiqua"/>
        </w:rPr>
        <w:t xml:space="preserve">the </w:t>
      </w:r>
      <w:r w:rsidR="0089304B">
        <w:rPr>
          <w:rFonts w:ascii="Book Antiqua" w:hAnsi="Book Antiqua"/>
        </w:rPr>
        <w:t xml:space="preserve">information received </w:t>
      </w:r>
      <w:r w:rsidR="00233C8A">
        <w:rPr>
          <w:rFonts w:ascii="Book Antiqua" w:hAnsi="Book Antiqua"/>
        </w:rPr>
        <w:t xml:space="preserve">and understanding of the </w:t>
      </w:r>
      <w:r w:rsidR="0089304B">
        <w:rPr>
          <w:rFonts w:ascii="Book Antiqua" w:hAnsi="Book Antiqua"/>
        </w:rPr>
        <w:t>diagnosis and treatment</w:t>
      </w:r>
      <w:r w:rsidR="002A7B55">
        <w:rPr>
          <w:rFonts w:ascii="Book Antiqua" w:hAnsi="Book Antiqua"/>
        </w:rPr>
        <w:t xml:space="preserve">.  The audit was approved by </w:t>
      </w:r>
      <w:r w:rsidR="00CF1A8B">
        <w:rPr>
          <w:rFonts w:ascii="Book Antiqua" w:hAnsi="Book Antiqua"/>
        </w:rPr>
        <w:t>the C</w:t>
      </w:r>
      <w:r w:rsidR="002A7B55">
        <w:rPr>
          <w:rFonts w:ascii="Book Antiqua" w:hAnsi="Book Antiqua"/>
        </w:rPr>
        <w:t xml:space="preserve">linical </w:t>
      </w:r>
      <w:r w:rsidR="00CF1A8B">
        <w:rPr>
          <w:rFonts w:ascii="Book Antiqua" w:hAnsi="Book Antiqua"/>
        </w:rPr>
        <w:t>E</w:t>
      </w:r>
      <w:r w:rsidR="002A7B55">
        <w:rPr>
          <w:rFonts w:ascii="Book Antiqua" w:hAnsi="Book Antiqua"/>
        </w:rPr>
        <w:t xml:space="preserve">ffectiveness </w:t>
      </w:r>
      <w:r w:rsidR="009E7C62">
        <w:rPr>
          <w:rFonts w:ascii="Book Antiqua" w:hAnsi="Book Antiqua"/>
        </w:rPr>
        <w:t>Department in</w:t>
      </w:r>
      <w:r w:rsidR="00DF79D2">
        <w:rPr>
          <w:rFonts w:ascii="Book Antiqua" w:hAnsi="Book Antiqua"/>
        </w:rPr>
        <w:t xml:space="preserve"> the author’s Trust</w:t>
      </w:r>
      <w:r w:rsidR="002A7B55">
        <w:rPr>
          <w:rFonts w:ascii="Book Antiqua" w:hAnsi="Book Antiqua"/>
        </w:rPr>
        <w:t>.</w:t>
      </w:r>
    </w:p>
    <w:p w14:paraId="4285B2D9" w14:textId="77777777" w:rsidR="002A7B55" w:rsidRPr="0071769E" w:rsidRDefault="002A7B55" w:rsidP="002137A7">
      <w:pPr>
        <w:spacing w:line="276" w:lineRule="auto"/>
        <w:jc w:val="both"/>
        <w:rPr>
          <w:rFonts w:ascii="Book Antiqua" w:hAnsi="Book Antiqua"/>
          <w:b/>
          <w:bCs/>
        </w:rPr>
      </w:pPr>
      <w:r w:rsidRPr="0071769E">
        <w:rPr>
          <w:rFonts w:ascii="Book Antiqua" w:hAnsi="Book Antiqua"/>
          <w:b/>
          <w:bCs/>
        </w:rPr>
        <w:t>Method:</w:t>
      </w:r>
    </w:p>
    <w:p w14:paraId="3A883FC8" w14:textId="016DDD9A" w:rsidR="00DF79D2" w:rsidRDefault="009C00FE" w:rsidP="00DF79D2">
      <w:pPr>
        <w:spacing w:line="276" w:lineRule="auto"/>
        <w:ind w:firstLine="720"/>
        <w:jc w:val="both"/>
        <w:rPr>
          <w:rFonts w:ascii="Book Antiqua" w:hAnsi="Book Antiqua"/>
        </w:rPr>
      </w:pPr>
      <w:r w:rsidRPr="00532505">
        <w:rPr>
          <w:rFonts w:ascii="Book Antiqua" w:hAnsi="Book Antiqua"/>
        </w:rPr>
        <w:t xml:space="preserve">The audit </w:t>
      </w:r>
      <w:r w:rsidR="00DF79D2">
        <w:rPr>
          <w:rFonts w:ascii="Book Antiqua" w:hAnsi="Book Antiqua"/>
        </w:rPr>
        <w:t>involved an</w:t>
      </w:r>
      <w:r w:rsidR="007E1152" w:rsidRPr="00532505">
        <w:rPr>
          <w:rFonts w:ascii="Book Antiqua" w:hAnsi="Book Antiqua"/>
        </w:rPr>
        <w:t xml:space="preserve"> investigator designed tool and a short questionnaire for patients.  The data collection tool noted </w:t>
      </w:r>
      <w:r w:rsidR="00DF79D2">
        <w:rPr>
          <w:rFonts w:ascii="Book Antiqua" w:hAnsi="Book Antiqua"/>
        </w:rPr>
        <w:t xml:space="preserve">the </w:t>
      </w:r>
      <w:r w:rsidR="007E1152" w:rsidRPr="00532505">
        <w:rPr>
          <w:rFonts w:ascii="Book Antiqua" w:hAnsi="Book Antiqua"/>
        </w:rPr>
        <w:t>type of VTE and if it was symptomatic or</w:t>
      </w:r>
      <w:r w:rsidR="00715E3F">
        <w:rPr>
          <w:rFonts w:ascii="Book Antiqua" w:hAnsi="Book Antiqua"/>
        </w:rPr>
        <w:t xml:space="preserve"> an incidental finding along with details on where</w:t>
      </w:r>
      <w:r w:rsidR="007E1152" w:rsidRPr="00532505">
        <w:rPr>
          <w:rFonts w:ascii="Book Antiqua" w:hAnsi="Book Antiqua"/>
        </w:rPr>
        <w:t xml:space="preserve"> patients</w:t>
      </w:r>
      <w:r w:rsidR="00233C8A">
        <w:rPr>
          <w:rFonts w:ascii="Book Antiqua" w:hAnsi="Book Antiqua"/>
        </w:rPr>
        <w:t xml:space="preserve"> were seen and </w:t>
      </w:r>
      <w:r w:rsidR="007E1152" w:rsidRPr="00532505">
        <w:rPr>
          <w:rFonts w:ascii="Book Antiqua" w:hAnsi="Book Antiqua"/>
        </w:rPr>
        <w:t xml:space="preserve">any complications </w:t>
      </w:r>
      <w:r w:rsidR="00233C8A">
        <w:rPr>
          <w:rFonts w:ascii="Book Antiqua" w:hAnsi="Book Antiqua"/>
        </w:rPr>
        <w:t xml:space="preserve">suffered </w:t>
      </w:r>
      <w:r w:rsidR="007E1152" w:rsidRPr="00532505">
        <w:rPr>
          <w:rFonts w:ascii="Book Antiqua" w:hAnsi="Book Antiqua"/>
        </w:rPr>
        <w:t>during that period.</w:t>
      </w:r>
      <w:r w:rsidR="007E3B6A" w:rsidRPr="00532505">
        <w:rPr>
          <w:rFonts w:ascii="Book Antiqua" w:hAnsi="Book Antiqua"/>
        </w:rPr>
        <w:t xml:space="preserve">  The questionnaire posed </w:t>
      </w:r>
      <w:r w:rsidR="00715E3F">
        <w:rPr>
          <w:rFonts w:ascii="Book Antiqua" w:hAnsi="Book Antiqua"/>
        </w:rPr>
        <w:t>questions about</w:t>
      </w:r>
      <w:r w:rsidR="00DF79D2">
        <w:rPr>
          <w:rFonts w:ascii="Book Antiqua" w:hAnsi="Book Antiqua"/>
        </w:rPr>
        <w:t xml:space="preserve"> the</w:t>
      </w:r>
      <w:r w:rsidR="00532505" w:rsidRPr="00532505">
        <w:rPr>
          <w:rFonts w:ascii="Book Antiqua" w:hAnsi="Book Antiqua"/>
        </w:rPr>
        <w:t xml:space="preserve"> information received</w:t>
      </w:r>
      <w:r w:rsidR="00DF79D2">
        <w:rPr>
          <w:rFonts w:ascii="Book Antiqua" w:hAnsi="Book Antiqua"/>
        </w:rPr>
        <w:t xml:space="preserve"> and</w:t>
      </w:r>
      <w:r w:rsidR="00532505" w:rsidRPr="00532505">
        <w:rPr>
          <w:rFonts w:ascii="Book Antiqua" w:hAnsi="Book Antiqua"/>
        </w:rPr>
        <w:t xml:space="preserve"> adherence to treatment</w:t>
      </w:r>
      <w:r w:rsidR="00DF79D2">
        <w:rPr>
          <w:rFonts w:ascii="Book Antiqua" w:hAnsi="Book Antiqua"/>
        </w:rPr>
        <w:t xml:space="preserve">. </w:t>
      </w:r>
      <w:r w:rsidR="009E7C62">
        <w:rPr>
          <w:rFonts w:ascii="Book Antiqua" w:hAnsi="Book Antiqua"/>
        </w:rPr>
        <w:t>Additionally,</w:t>
      </w:r>
      <w:r w:rsidR="00DF79D2">
        <w:rPr>
          <w:rFonts w:ascii="Book Antiqua" w:hAnsi="Book Antiqua"/>
        </w:rPr>
        <w:t xml:space="preserve"> it noted </w:t>
      </w:r>
      <w:r w:rsidR="00797BB2">
        <w:rPr>
          <w:rFonts w:ascii="Book Antiqua" w:hAnsi="Book Antiqua"/>
        </w:rPr>
        <w:t xml:space="preserve">problems and questions, doubts or concerns </w:t>
      </w:r>
      <w:r w:rsidR="00E0491D">
        <w:rPr>
          <w:rFonts w:ascii="Book Antiqua" w:hAnsi="Book Antiqua"/>
        </w:rPr>
        <w:t>experienced</w:t>
      </w:r>
      <w:r w:rsidR="00715E3F">
        <w:rPr>
          <w:rFonts w:ascii="Book Antiqua" w:hAnsi="Book Antiqua"/>
        </w:rPr>
        <w:t xml:space="preserve"> during treatment</w:t>
      </w:r>
      <w:r w:rsidR="00532505" w:rsidRPr="00532505">
        <w:rPr>
          <w:rFonts w:ascii="Book Antiqua" w:hAnsi="Book Antiqua"/>
        </w:rPr>
        <w:t xml:space="preserve"> and included</w:t>
      </w:r>
      <w:r w:rsidR="007E3B6A" w:rsidRPr="00532505">
        <w:rPr>
          <w:rFonts w:ascii="Book Antiqua" w:hAnsi="Book Antiqua"/>
        </w:rPr>
        <w:t xml:space="preserve"> a combination of qualitative, free text questions and quantitative tick-box questions.</w:t>
      </w:r>
      <w:r w:rsidR="00F76DDD">
        <w:rPr>
          <w:rFonts w:ascii="Book Antiqua" w:hAnsi="Book Antiqua"/>
        </w:rPr>
        <w:t xml:space="preserve"> </w:t>
      </w:r>
    </w:p>
    <w:p w14:paraId="0BB8DDC0" w14:textId="26A80F83" w:rsidR="00107FC0" w:rsidRDefault="00975337" w:rsidP="00DF79D2">
      <w:pPr>
        <w:spacing w:line="276" w:lineRule="auto"/>
        <w:jc w:val="both"/>
        <w:rPr>
          <w:rFonts w:ascii="Book Antiqua" w:hAnsi="Book Antiqua"/>
        </w:rPr>
      </w:pPr>
      <w:r>
        <w:rPr>
          <w:rFonts w:ascii="Book Antiqua" w:hAnsi="Book Antiqua"/>
        </w:rPr>
        <w:t xml:space="preserve">The data collection period </w:t>
      </w:r>
      <w:r w:rsidR="007E1152">
        <w:rPr>
          <w:rFonts w:ascii="Book Antiqua" w:hAnsi="Book Antiqua"/>
        </w:rPr>
        <w:t xml:space="preserve">covered </w:t>
      </w:r>
      <w:r w:rsidR="004E20E1">
        <w:rPr>
          <w:rFonts w:ascii="Book Antiqua" w:hAnsi="Book Antiqua"/>
        </w:rPr>
        <w:t xml:space="preserve">a </w:t>
      </w:r>
      <w:r>
        <w:rPr>
          <w:rFonts w:ascii="Book Antiqua" w:hAnsi="Book Antiqua"/>
        </w:rPr>
        <w:t>6 month</w:t>
      </w:r>
      <w:r w:rsidR="004E20E1">
        <w:rPr>
          <w:rFonts w:ascii="Book Antiqua" w:hAnsi="Book Antiqua"/>
        </w:rPr>
        <w:t xml:space="preserve"> period</w:t>
      </w:r>
      <w:r>
        <w:rPr>
          <w:rFonts w:ascii="Book Antiqua" w:hAnsi="Book Antiqua"/>
        </w:rPr>
        <w:t xml:space="preserve"> from January to Jun</w:t>
      </w:r>
      <w:r w:rsidR="00241075">
        <w:rPr>
          <w:rFonts w:ascii="Book Antiqua" w:hAnsi="Book Antiqua"/>
        </w:rPr>
        <w:t>e</w:t>
      </w:r>
      <w:r w:rsidR="007E1152">
        <w:rPr>
          <w:rFonts w:ascii="Book Antiqua" w:hAnsi="Book Antiqua"/>
        </w:rPr>
        <w:t xml:space="preserve"> 2016</w:t>
      </w:r>
      <w:r w:rsidR="00DD7B7E">
        <w:rPr>
          <w:rFonts w:ascii="Book Antiqua" w:hAnsi="Book Antiqua"/>
        </w:rPr>
        <w:t xml:space="preserve"> in the author’s Trust</w:t>
      </w:r>
      <w:r>
        <w:rPr>
          <w:rFonts w:ascii="Book Antiqua" w:hAnsi="Book Antiqua"/>
        </w:rPr>
        <w:t>. Patients with a diagnos</w:t>
      </w:r>
      <w:r w:rsidR="00DD7B7E">
        <w:rPr>
          <w:rFonts w:ascii="Book Antiqua" w:hAnsi="Book Antiqua"/>
        </w:rPr>
        <w:t>is</w:t>
      </w:r>
      <w:r>
        <w:rPr>
          <w:rFonts w:ascii="Book Antiqua" w:hAnsi="Book Antiqua"/>
        </w:rPr>
        <w:t xml:space="preserve"> of VTE</w:t>
      </w:r>
      <w:r w:rsidR="007E1152">
        <w:rPr>
          <w:rFonts w:ascii="Book Antiqua" w:hAnsi="Book Antiqua"/>
        </w:rPr>
        <w:t>, and managed by A</w:t>
      </w:r>
      <w:r w:rsidR="00241075">
        <w:rPr>
          <w:rFonts w:ascii="Book Antiqua" w:hAnsi="Book Antiqua"/>
        </w:rPr>
        <w:t>O</w:t>
      </w:r>
      <w:r w:rsidR="007E1152">
        <w:rPr>
          <w:rFonts w:ascii="Book Antiqua" w:hAnsi="Book Antiqua"/>
        </w:rPr>
        <w:t>S</w:t>
      </w:r>
      <w:r>
        <w:rPr>
          <w:rFonts w:ascii="Book Antiqua" w:hAnsi="Book Antiqua"/>
        </w:rPr>
        <w:t xml:space="preserve"> during the data collection period were identified</w:t>
      </w:r>
      <w:r w:rsidR="009C00FE">
        <w:rPr>
          <w:rFonts w:ascii="Book Antiqua" w:hAnsi="Book Antiqua"/>
        </w:rPr>
        <w:t>.</w:t>
      </w:r>
      <w:r w:rsidR="00241075">
        <w:rPr>
          <w:rFonts w:ascii="Book Antiqua" w:hAnsi="Book Antiqua"/>
        </w:rPr>
        <w:t xml:space="preserve"> D</w:t>
      </w:r>
      <w:r w:rsidR="007E1152">
        <w:rPr>
          <w:rFonts w:ascii="Book Antiqua" w:hAnsi="Book Antiqua"/>
        </w:rPr>
        <w:t xml:space="preserve">ata using the tool were </w:t>
      </w:r>
      <w:r w:rsidR="00241075">
        <w:rPr>
          <w:rFonts w:ascii="Book Antiqua" w:hAnsi="Book Antiqua"/>
        </w:rPr>
        <w:t>extracted</w:t>
      </w:r>
      <w:r w:rsidR="007E1152">
        <w:rPr>
          <w:rFonts w:ascii="Book Antiqua" w:hAnsi="Book Antiqua"/>
        </w:rPr>
        <w:t xml:space="preserve"> from clinical records for all of these patients.</w:t>
      </w:r>
    </w:p>
    <w:p w14:paraId="4E1FD003" w14:textId="4F489492" w:rsidR="00107FC0" w:rsidRDefault="00DD7B7E" w:rsidP="00DF79D2">
      <w:pPr>
        <w:spacing w:line="276" w:lineRule="auto"/>
        <w:jc w:val="both"/>
        <w:rPr>
          <w:rFonts w:ascii="Book Antiqua" w:hAnsi="Book Antiqua"/>
        </w:rPr>
      </w:pPr>
      <w:r>
        <w:rPr>
          <w:rFonts w:ascii="Book Antiqua" w:hAnsi="Book Antiqua"/>
        </w:rPr>
        <w:lastRenderedPageBreak/>
        <w:t xml:space="preserve">A </w:t>
      </w:r>
      <w:r w:rsidR="00241075">
        <w:rPr>
          <w:rFonts w:ascii="Book Antiqua" w:hAnsi="Book Antiqua"/>
        </w:rPr>
        <w:t xml:space="preserve">subsample of patients </w:t>
      </w:r>
      <w:r w:rsidR="00233C8A">
        <w:rPr>
          <w:rFonts w:ascii="Book Antiqua" w:hAnsi="Book Antiqua"/>
        </w:rPr>
        <w:t>was</w:t>
      </w:r>
      <w:r w:rsidR="00241075">
        <w:rPr>
          <w:rFonts w:ascii="Book Antiqua" w:hAnsi="Book Antiqua"/>
        </w:rPr>
        <w:t xml:space="preserve"> also sent a questionnaire</w:t>
      </w:r>
      <w:r w:rsidR="00241075" w:rsidRPr="00241075">
        <w:rPr>
          <w:rFonts w:ascii="Book Antiqua" w:hAnsi="Book Antiqua"/>
        </w:rPr>
        <w:t xml:space="preserve"> </w:t>
      </w:r>
      <w:r w:rsidR="00241075">
        <w:rPr>
          <w:rFonts w:ascii="Book Antiqua" w:hAnsi="Book Antiqua"/>
        </w:rPr>
        <w:t>to collect patient experience data</w:t>
      </w:r>
      <w:r w:rsidR="00875A41">
        <w:rPr>
          <w:rFonts w:ascii="Book Antiqua" w:hAnsi="Book Antiqua"/>
        </w:rPr>
        <w:t>.</w:t>
      </w:r>
      <w:r w:rsidR="00241075">
        <w:rPr>
          <w:rFonts w:ascii="Book Antiqua" w:hAnsi="Book Antiqua"/>
        </w:rPr>
        <w:t xml:space="preserve"> A sample size of 15 was selected</w:t>
      </w:r>
      <w:r>
        <w:rPr>
          <w:rFonts w:ascii="Book Antiqua" w:hAnsi="Book Antiqua"/>
        </w:rPr>
        <w:t xml:space="preserve"> </w:t>
      </w:r>
      <w:r w:rsidR="00241075">
        <w:rPr>
          <w:rFonts w:ascii="Book Antiqua" w:hAnsi="Book Antiqua"/>
        </w:rPr>
        <w:t>for pragmatic reasons</w:t>
      </w:r>
      <w:r w:rsidR="00107FC0">
        <w:rPr>
          <w:rFonts w:ascii="Book Antiqua" w:hAnsi="Book Antiqua"/>
        </w:rPr>
        <w:t xml:space="preserve">. </w:t>
      </w:r>
      <w:r w:rsidR="00241075">
        <w:rPr>
          <w:rFonts w:ascii="Book Antiqua" w:hAnsi="Book Antiqua"/>
        </w:rPr>
        <w:t>Those invited to complete a questionnaire included</w:t>
      </w:r>
      <w:r w:rsidR="00107FC0">
        <w:rPr>
          <w:rFonts w:ascii="Book Antiqua" w:hAnsi="Book Antiqua"/>
        </w:rPr>
        <w:t xml:space="preserve"> patients who were</w:t>
      </w:r>
      <w:r w:rsidR="00EC126C">
        <w:rPr>
          <w:rFonts w:ascii="Book Antiqua" w:hAnsi="Book Antiqua"/>
        </w:rPr>
        <w:t xml:space="preserve"> seen in Acute Oncology Service,</w:t>
      </w:r>
      <w:r w:rsidR="00107FC0">
        <w:rPr>
          <w:rFonts w:ascii="Book Antiqua" w:hAnsi="Book Antiqua"/>
        </w:rPr>
        <w:t xml:space="preserve"> up to 6 months </w:t>
      </w:r>
      <w:r w:rsidR="00F76DDD">
        <w:rPr>
          <w:rFonts w:ascii="Book Antiqua" w:hAnsi="Book Antiqua"/>
        </w:rPr>
        <w:t xml:space="preserve">post diagnosis of a </w:t>
      </w:r>
      <w:r w:rsidR="00107FC0">
        <w:rPr>
          <w:rFonts w:ascii="Book Antiqua" w:hAnsi="Book Antiqua"/>
        </w:rPr>
        <w:t>VTE</w:t>
      </w:r>
      <w:r w:rsidR="002E2AF0">
        <w:rPr>
          <w:rFonts w:ascii="Book Antiqua" w:hAnsi="Book Antiqua"/>
        </w:rPr>
        <w:t>, under oncology care</w:t>
      </w:r>
      <w:r w:rsidR="00107FC0">
        <w:rPr>
          <w:rFonts w:ascii="Book Antiqua" w:hAnsi="Book Antiqua"/>
        </w:rPr>
        <w:t xml:space="preserve"> and having </w:t>
      </w:r>
      <w:r w:rsidR="00EC126C">
        <w:rPr>
          <w:rFonts w:ascii="Book Antiqua" w:hAnsi="Book Antiqua"/>
        </w:rPr>
        <w:t>LMWH</w:t>
      </w:r>
      <w:r w:rsidR="00107FC0">
        <w:rPr>
          <w:rFonts w:ascii="Book Antiqua" w:hAnsi="Book Antiqua"/>
        </w:rPr>
        <w:t xml:space="preserve"> at th</w:t>
      </w:r>
      <w:r w:rsidR="0014420F">
        <w:rPr>
          <w:rFonts w:ascii="Book Antiqua" w:hAnsi="Book Antiqua"/>
        </w:rPr>
        <w:t xml:space="preserve">e </w:t>
      </w:r>
      <w:r w:rsidR="00233C8A">
        <w:rPr>
          <w:rFonts w:ascii="Book Antiqua" w:hAnsi="Book Antiqua"/>
        </w:rPr>
        <w:t>time</w:t>
      </w:r>
      <w:r w:rsidR="0014420F">
        <w:rPr>
          <w:rFonts w:ascii="Book Antiqua" w:hAnsi="Book Antiqua"/>
        </w:rPr>
        <w:t xml:space="preserve"> of the data collection. Patients were approached by an ANP during a clinic appointment </w:t>
      </w:r>
      <w:proofErr w:type="gramStart"/>
      <w:r w:rsidR="00107FC0">
        <w:rPr>
          <w:rFonts w:ascii="Book Antiqua" w:hAnsi="Book Antiqua"/>
        </w:rPr>
        <w:t>The</w:t>
      </w:r>
      <w:proofErr w:type="gramEnd"/>
      <w:r w:rsidR="00107FC0">
        <w:rPr>
          <w:rFonts w:ascii="Book Antiqua" w:hAnsi="Book Antiqua"/>
        </w:rPr>
        <w:t xml:space="preserve"> questionnaire was </w:t>
      </w:r>
      <w:r w:rsidR="00DF79D2">
        <w:rPr>
          <w:rFonts w:ascii="Book Antiqua" w:hAnsi="Book Antiqua"/>
        </w:rPr>
        <w:t>piloted</w:t>
      </w:r>
      <w:r w:rsidR="00107FC0">
        <w:rPr>
          <w:rFonts w:ascii="Book Antiqua" w:hAnsi="Book Antiqua"/>
        </w:rPr>
        <w:t xml:space="preserve"> by some volunteer patients to </w:t>
      </w:r>
      <w:r w:rsidR="00F76DDD">
        <w:rPr>
          <w:rFonts w:ascii="Book Antiqua" w:hAnsi="Book Antiqua"/>
        </w:rPr>
        <w:t>check whether</w:t>
      </w:r>
      <w:r w:rsidR="001D5C75">
        <w:rPr>
          <w:rFonts w:ascii="Book Antiqua" w:hAnsi="Book Antiqua"/>
        </w:rPr>
        <w:t xml:space="preserve"> </w:t>
      </w:r>
      <w:r w:rsidR="007E3B6A">
        <w:rPr>
          <w:rFonts w:ascii="Book Antiqua" w:hAnsi="Book Antiqua"/>
        </w:rPr>
        <w:t xml:space="preserve">it </w:t>
      </w:r>
      <w:r w:rsidR="001D5C75">
        <w:rPr>
          <w:rFonts w:ascii="Book Antiqua" w:hAnsi="Book Antiqua"/>
        </w:rPr>
        <w:t xml:space="preserve">was </w:t>
      </w:r>
      <w:r w:rsidR="007E3B6A">
        <w:rPr>
          <w:rFonts w:ascii="Book Antiqua" w:hAnsi="Book Antiqua"/>
        </w:rPr>
        <w:t>understandable and unambiguous</w:t>
      </w:r>
      <w:r w:rsidR="00233C8A">
        <w:rPr>
          <w:rFonts w:ascii="Book Antiqua" w:hAnsi="Book Antiqua"/>
        </w:rPr>
        <w:t>.</w:t>
      </w:r>
      <w:r w:rsidR="007E3B6A">
        <w:rPr>
          <w:rFonts w:ascii="Book Antiqua" w:hAnsi="Book Antiqua"/>
        </w:rPr>
        <w:t xml:space="preserve"> </w:t>
      </w:r>
      <w:r w:rsidR="00233C8A">
        <w:rPr>
          <w:rFonts w:ascii="Book Antiqua" w:hAnsi="Book Antiqua"/>
        </w:rPr>
        <w:t>I</w:t>
      </w:r>
      <w:r w:rsidR="007E3B6A">
        <w:rPr>
          <w:rFonts w:ascii="Book Antiqua" w:hAnsi="Book Antiqua"/>
        </w:rPr>
        <w:t xml:space="preserve">n the light of </w:t>
      </w:r>
      <w:r w:rsidR="00875A41">
        <w:rPr>
          <w:rFonts w:ascii="Book Antiqua" w:hAnsi="Book Antiqua"/>
        </w:rPr>
        <w:t>this feedback</w:t>
      </w:r>
      <w:r w:rsidR="00233C8A">
        <w:rPr>
          <w:rFonts w:ascii="Book Antiqua" w:hAnsi="Book Antiqua"/>
        </w:rPr>
        <w:t xml:space="preserve"> it was adjusted</w:t>
      </w:r>
      <w:r w:rsidR="001D5C75">
        <w:rPr>
          <w:rFonts w:ascii="Book Antiqua" w:hAnsi="Book Antiqua"/>
        </w:rPr>
        <w:t>.</w:t>
      </w:r>
      <w:r w:rsidR="007E1152" w:rsidRPr="007E1152">
        <w:rPr>
          <w:rFonts w:ascii="Book Antiqua" w:hAnsi="Book Antiqua"/>
        </w:rPr>
        <w:t xml:space="preserve"> </w:t>
      </w:r>
    </w:p>
    <w:p w14:paraId="6D0AFA4B" w14:textId="1B323103" w:rsidR="00EC126C" w:rsidRPr="00F12866" w:rsidRDefault="007E3B6A" w:rsidP="00DF79D2">
      <w:pPr>
        <w:spacing w:line="276" w:lineRule="auto"/>
        <w:jc w:val="both"/>
        <w:rPr>
          <w:rFonts w:ascii="Book Antiqua" w:hAnsi="Book Antiqua"/>
        </w:rPr>
      </w:pPr>
      <w:r>
        <w:rPr>
          <w:rFonts w:ascii="Book Antiqua" w:hAnsi="Book Antiqua"/>
        </w:rPr>
        <w:t>Patients were provided with</w:t>
      </w:r>
      <w:r w:rsidR="00DF79D2">
        <w:rPr>
          <w:rFonts w:ascii="Book Antiqua" w:hAnsi="Book Antiqua"/>
        </w:rPr>
        <w:t xml:space="preserve"> an information sheet outlining </w:t>
      </w:r>
      <w:r w:rsidR="00107FC0">
        <w:rPr>
          <w:rFonts w:ascii="Book Antiqua" w:hAnsi="Book Antiqua"/>
        </w:rPr>
        <w:t>the purpose of the audit</w:t>
      </w:r>
      <w:r>
        <w:rPr>
          <w:rFonts w:ascii="Book Antiqua" w:hAnsi="Book Antiqua"/>
        </w:rPr>
        <w:t xml:space="preserve"> </w:t>
      </w:r>
      <w:r w:rsidR="00875A41">
        <w:rPr>
          <w:rFonts w:ascii="Book Antiqua" w:hAnsi="Book Antiqua"/>
        </w:rPr>
        <w:t>and</w:t>
      </w:r>
      <w:r>
        <w:rPr>
          <w:rFonts w:ascii="Book Antiqua" w:hAnsi="Book Antiqua"/>
        </w:rPr>
        <w:t xml:space="preserve"> assurances </w:t>
      </w:r>
      <w:r w:rsidR="00233C8A">
        <w:rPr>
          <w:rFonts w:ascii="Book Antiqua" w:hAnsi="Book Antiqua"/>
        </w:rPr>
        <w:t>of</w:t>
      </w:r>
      <w:r w:rsidR="00F76DDD">
        <w:rPr>
          <w:rFonts w:ascii="Book Antiqua" w:hAnsi="Book Antiqua"/>
        </w:rPr>
        <w:t xml:space="preserve"> anonymity and confidentiality. </w:t>
      </w:r>
      <w:r w:rsidR="00DD7B7E">
        <w:rPr>
          <w:rFonts w:ascii="Book Antiqua" w:hAnsi="Book Antiqua"/>
        </w:rPr>
        <w:t xml:space="preserve">They were offered </w:t>
      </w:r>
      <w:r>
        <w:rPr>
          <w:rFonts w:ascii="Book Antiqua" w:hAnsi="Book Antiqua"/>
        </w:rPr>
        <w:t xml:space="preserve">the </w:t>
      </w:r>
      <w:r w:rsidR="00233C8A">
        <w:rPr>
          <w:rFonts w:ascii="Book Antiqua" w:hAnsi="Book Antiqua"/>
        </w:rPr>
        <w:t>choices of</w:t>
      </w:r>
      <w:r>
        <w:rPr>
          <w:rFonts w:ascii="Book Antiqua" w:hAnsi="Book Antiqua"/>
        </w:rPr>
        <w:t xml:space="preserve"> complet</w:t>
      </w:r>
      <w:r w:rsidR="00233C8A">
        <w:rPr>
          <w:rFonts w:ascii="Book Antiqua" w:hAnsi="Book Antiqua"/>
        </w:rPr>
        <w:t>ing</w:t>
      </w:r>
      <w:r>
        <w:rPr>
          <w:rFonts w:ascii="Book Antiqua" w:hAnsi="Book Antiqua"/>
        </w:rPr>
        <w:t xml:space="preserve"> the</w:t>
      </w:r>
      <w:r w:rsidR="00DD7B7E">
        <w:rPr>
          <w:rFonts w:ascii="Book Antiqua" w:hAnsi="Book Antiqua"/>
        </w:rPr>
        <w:t xml:space="preserve"> questionnaire </w:t>
      </w:r>
      <w:r>
        <w:rPr>
          <w:rFonts w:ascii="Book Antiqua" w:hAnsi="Book Antiqua"/>
        </w:rPr>
        <w:t>with the help of the ANP</w:t>
      </w:r>
      <w:r w:rsidR="00DF79D2">
        <w:rPr>
          <w:rFonts w:ascii="Book Antiqua" w:hAnsi="Book Antiqua"/>
        </w:rPr>
        <w:t xml:space="preserve"> face to face</w:t>
      </w:r>
      <w:r w:rsidR="00233C8A">
        <w:rPr>
          <w:rFonts w:ascii="Book Antiqua" w:hAnsi="Book Antiqua"/>
        </w:rPr>
        <w:t>, taking</w:t>
      </w:r>
      <w:r>
        <w:rPr>
          <w:rFonts w:ascii="Book Antiqua" w:hAnsi="Book Antiqua"/>
        </w:rPr>
        <w:t xml:space="preserve"> it away and </w:t>
      </w:r>
      <w:r w:rsidR="00233C8A">
        <w:rPr>
          <w:rFonts w:ascii="Book Antiqua" w:hAnsi="Book Antiqua"/>
        </w:rPr>
        <w:t xml:space="preserve">posting it back </w:t>
      </w:r>
      <w:r>
        <w:rPr>
          <w:rFonts w:ascii="Book Antiqua" w:hAnsi="Book Antiqua"/>
        </w:rPr>
        <w:t xml:space="preserve">or </w:t>
      </w:r>
      <w:r w:rsidR="00233C8A">
        <w:rPr>
          <w:rFonts w:ascii="Book Antiqua" w:hAnsi="Book Antiqua"/>
        </w:rPr>
        <w:t>completing it</w:t>
      </w:r>
      <w:r w:rsidR="00DF79D2">
        <w:rPr>
          <w:rFonts w:ascii="Book Antiqua" w:hAnsi="Book Antiqua"/>
        </w:rPr>
        <w:t xml:space="preserve"> during</w:t>
      </w:r>
      <w:r>
        <w:rPr>
          <w:rFonts w:ascii="Book Antiqua" w:hAnsi="Book Antiqua"/>
        </w:rPr>
        <w:t xml:space="preserve"> a phone intervie</w:t>
      </w:r>
      <w:r w:rsidR="00DF79D2">
        <w:rPr>
          <w:rFonts w:ascii="Book Antiqua" w:hAnsi="Book Antiqua"/>
        </w:rPr>
        <w:t>w.</w:t>
      </w:r>
    </w:p>
    <w:p w14:paraId="5930FC0A" w14:textId="77777777" w:rsidR="0071769E" w:rsidRPr="00F12866" w:rsidRDefault="0071769E" w:rsidP="002137A7">
      <w:pPr>
        <w:spacing w:line="276" w:lineRule="auto"/>
        <w:jc w:val="both"/>
        <w:rPr>
          <w:rFonts w:ascii="Book Antiqua" w:hAnsi="Book Antiqua"/>
          <w:b/>
          <w:bCs/>
          <w:sz w:val="24"/>
          <w:szCs w:val="24"/>
        </w:rPr>
      </w:pPr>
      <w:r w:rsidRPr="00F12866">
        <w:rPr>
          <w:rFonts w:ascii="Book Antiqua" w:hAnsi="Book Antiqua"/>
          <w:b/>
          <w:bCs/>
          <w:sz w:val="24"/>
          <w:szCs w:val="24"/>
        </w:rPr>
        <w:t>Results:</w:t>
      </w:r>
    </w:p>
    <w:p w14:paraId="0ABB84C4" w14:textId="07B8116A" w:rsidR="00B92A37" w:rsidRDefault="002230B6" w:rsidP="00B92A37">
      <w:pPr>
        <w:spacing w:line="276" w:lineRule="auto"/>
        <w:jc w:val="both"/>
        <w:rPr>
          <w:rFonts w:ascii="Book Antiqua" w:hAnsi="Book Antiqua"/>
        </w:rPr>
      </w:pPr>
      <w:r>
        <w:rPr>
          <w:rFonts w:ascii="Book Antiqua" w:hAnsi="Book Antiqua"/>
        </w:rPr>
        <w:t xml:space="preserve">A total of </w:t>
      </w:r>
      <w:r w:rsidR="0014420F">
        <w:rPr>
          <w:rFonts w:ascii="Book Antiqua" w:hAnsi="Book Antiqua"/>
        </w:rPr>
        <w:t xml:space="preserve">53 patients were seen in cancer care </w:t>
      </w:r>
      <w:r w:rsidR="005C0FE9">
        <w:rPr>
          <w:rFonts w:ascii="Book Antiqua" w:hAnsi="Book Antiqua"/>
        </w:rPr>
        <w:t xml:space="preserve">with a VTE during the 6 months </w:t>
      </w:r>
      <w:r w:rsidR="007E3B6A">
        <w:rPr>
          <w:rFonts w:ascii="Book Antiqua" w:hAnsi="Book Antiqua"/>
        </w:rPr>
        <w:t xml:space="preserve">of data collection </w:t>
      </w:r>
      <w:r w:rsidR="005C0FE9">
        <w:rPr>
          <w:rFonts w:ascii="Book Antiqua" w:hAnsi="Book Antiqua"/>
        </w:rPr>
        <w:t xml:space="preserve">(January to </w:t>
      </w:r>
      <w:r w:rsidR="00980E04">
        <w:rPr>
          <w:rFonts w:ascii="Book Antiqua" w:hAnsi="Book Antiqua"/>
        </w:rPr>
        <w:t>June</w:t>
      </w:r>
      <w:r w:rsidR="007E3B6A">
        <w:rPr>
          <w:rFonts w:ascii="Book Antiqua" w:hAnsi="Book Antiqua"/>
        </w:rPr>
        <w:t xml:space="preserve"> 2016</w:t>
      </w:r>
      <w:r w:rsidR="005C0FE9">
        <w:rPr>
          <w:rFonts w:ascii="Book Antiqua" w:hAnsi="Book Antiqua"/>
        </w:rPr>
        <w:t>)</w:t>
      </w:r>
      <w:r w:rsidR="0014420F">
        <w:rPr>
          <w:rFonts w:ascii="Book Antiqua" w:hAnsi="Book Antiqua"/>
        </w:rPr>
        <w:t>. From those, 49 patients were seen in the Acute Oncology Service</w:t>
      </w:r>
      <w:r w:rsidR="00980E04">
        <w:rPr>
          <w:rFonts w:ascii="Book Antiqua" w:hAnsi="Book Antiqua"/>
        </w:rPr>
        <w:t xml:space="preserve"> and </w:t>
      </w:r>
      <w:r w:rsidR="00233C8A">
        <w:rPr>
          <w:rFonts w:ascii="Book Antiqua" w:hAnsi="Book Antiqua"/>
        </w:rPr>
        <w:t xml:space="preserve">the other </w:t>
      </w:r>
      <w:r w:rsidR="00980E04">
        <w:rPr>
          <w:rFonts w:ascii="Book Antiqua" w:hAnsi="Book Antiqua"/>
        </w:rPr>
        <w:t>4 in the cancer care inpatient wards</w:t>
      </w:r>
      <w:r>
        <w:rPr>
          <w:rFonts w:ascii="Book Antiqua" w:hAnsi="Book Antiqua"/>
        </w:rPr>
        <w:t xml:space="preserve">. </w:t>
      </w:r>
      <w:r w:rsidR="007E3B6A">
        <w:rPr>
          <w:rFonts w:ascii="Book Antiqua" w:hAnsi="Book Antiqua"/>
        </w:rPr>
        <w:t xml:space="preserve">A </w:t>
      </w:r>
      <w:r w:rsidR="005C0FE9">
        <w:rPr>
          <w:rFonts w:ascii="Book Antiqua" w:hAnsi="Book Antiqua"/>
        </w:rPr>
        <w:t xml:space="preserve">VTE </w:t>
      </w:r>
      <w:r w:rsidR="00F13500">
        <w:rPr>
          <w:rFonts w:ascii="Book Antiqua" w:hAnsi="Book Antiqua"/>
        </w:rPr>
        <w:t>occurred</w:t>
      </w:r>
      <w:r w:rsidR="005C0FE9">
        <w:rPr>
          <w:rFonts w:ascii="Book Antiqua" w:hAnsi="Book Antiqua"/>
        </w:rPr>
        <w:t xml:space="preserve"> in </w:t>
      </w:r>
      <w:r w:rsidR="00B92A37">
        <w:rPr>
          <w:rFonts w:ascii="Book Antiqua" w:hAnsi="Book Antiqua"/>
        </w:rPr>
        <w:t xml:space="preserve">approximately the same number of </w:t>
      </w:r>
      <w:r w:rsidR="002E2AF0">
        <w:rPr>
          <w:rFonts w:ascii="Book Antiqua" w:hAnsi="Book Antiqua"/>
        </w:rPr>
        <w:t>male</w:t>
      </w:r>
      <w:r w:rsidR="007E3B6A">
        <w:rPr>
          <w:rFonts w:ascii="Book Antiqua" w:hAnsi="Book Antiqua"/>
        </w:rPr>
        <w:t>s</w:t>
      </w:r>
      <w:r w:rsidR="002E2AF0">
        <w:rPr>
          <w:rFonts w:ascii="Book Antiqua" w:hAnsi="Book Antiqua"/>
        </w:rPr>
        <w:t xml:space="preserve"> </w:t>
      </w:r>
      <w:r w:rsidR="005D6405">
        <w:rPr>
          <w:rFonts w:ascii="Book Antiqua" w:hAnsi="Book Antiqua"/>
        </w:rPr>
        <w:t>as female</w:t>
      </w:r>
      <w:r w:rsidR="007E3B6A">
        <w:rPr>
          <w:rFonts w:ascii="Book Antiqua" w:hAnsi="Book Antiqua"/>
        </w:rPr>
        <w:t>s</w:t>
      </w:r>
      <w:r w:rsidR="002E2AF0">
        <w:rPr>
          <w:rFonts w:ascii="Book Antiqua" w:hAnsi="Book Antiqua"/>
        </w:rPr>
        <w:t xml:space="preserve"> (</w:t>
      </w:r>
      <w:r w:rsidR="005C0FE9">
        <w:rPr>
          <w:rFonts w:ascii="Book Antiqua" w:hAnsi="Book Antiqua"/>
        </w:rPr>
        <w:t>54% males)</w:t>
      </w:r>
      <w:r w:rsidR="005D6405">
        <w:rPr>
          <w:rFonts w:ascii="Book Antiqua" w:hAnsi="Book Antiqua"/>
        </w:rPr>
        <w:t>.</w:t>
      </w:r>
      <w:r w:rsidR="00B92A37" w:rsidRPr="00B92A37">
        <w:rPr>
          <w:rFonts w:ascii="Book Antiqua" w:hAnsi="Book Antiqua"/>
        </w:rPr>
        <w:t xml:space="preserve"> </w:t>
      </w:r>
      <w:r w:rsidR="00B92A37">
        <w:rPr>
          <w:rFonts w:ascii="Book Antiqua" w:hAnsi="Book Antiqua"/>
        </w:rPr>
        <w:t xml:space="preserve">Of </w:t>
      </w:r>
      <w:r w:rsidR="00875A41">
        <w:rPr>
          <w:rFonts w:ascii="Book Antiqua" w:hAnsi="Book Antiqua"/>
        </w:rPr>
        <w:t>the total</w:t>
      </w:r>
      <w:r w:rsidR="00B92A37">
        <w:rPr>
          <w:rFonts w:ascii="Book Antiqua" w:hAnsi="Book Antiqua"/>
        </w:rPr>
        <w:t xml:space="preserve"> number of </w:t>
      </w:r>
      <w:r w:rsidR="00233C8A">
        <w:rPr>
          <w:rFonts w:ascii="Book Antiqua" w:hAnsi="Book Antiqua"/>
        </w:rPr>
        <w:t>diagnoses of</w:t>
      </w:r>
      <w:r w:rsidR="00B92A37">
        <w:rPr>
          <w:rFonts w:ascii="Book Antiqua" w:hAnsi="Book Antiqua"/>
        </w:rPr>
        <w:t xml:space="preserve"> thromboembolism, 73.5% were pulmonary embolism (53% incidental PE, 20.5% symptomatic) (Graphic 1).</w:t>
      </w:r>
    </w:p>
    <w:p w14:paraId="474201F2" w14:textId="239850F4" w:rsidR="00D62DC4" w:rsidRDefault="00B92A37" w:rsidP="006934DB">
      <w:pPr>
        <w:spacing w:line="276" w:lineRule="auto"/>
        <w:jc w:val="both"/>
        <w:rPr>
          <w:rFonts w:ascii="Book Antiqua" w:hAnsi="Book Antiqua"/>
        </w:rPr>
      </w:pPr>
      <w:r>
        <w:rPr>
          <w:rFonts w:ascii="Book Antiqua" w:hAnsi="Book Antiqua"/>
        </w:rPr>
        <w:t>M</w:t>
      </w:r>
      <w:r w:rsidR="005D6405">
        <w:rPr>
          <w:rFonts w:ascii="Book Antiqua" w:hAnsi="Book Antiqua"/>
        </w:rPr>
        <w:t>ean age was 64</w:t>
      </w:r>
      <w:r w:rsidR="00D2421E">
        <w:rPr>
          <w:rFonts w:ascii="Book Antiqua" w:hAnsi="Book Antiqua"/>
        </w:rPr>
        <w:t xml:space="preserve"> years.</w:t>
      </w:r>
      <w:r w:rsidR="00C366FB" w:rsidRPr="00C366FB">
        <w:rPr>
          <w:rFonts w:ascii="Book Antiqua" w:hAnsi="Book Antiqua"/>
        </w:rPr>
        <w:t xml:space="preserve"> </w:t>
      </w:r>
      <w:r w:rsidR="007E3B6A">
        <w:rPr>
          <w:rFonts w:ascii="Book Antiqua" w:hAnsi="Book Antiqua"/>
        </w:rPr>
        <w:t>The</w:t>
      </w:r>
      <w:r w:rsidR="00D62DC4">
        <w:rPr>
          <w:rFonts w:ascii="Book Antiqua" w:hAnsi="Book Antiqua"/>
        </w:rPr>
        <w:t xml:space="preserve"> </w:t>
      </w:r>
      <w:r w:rsidR="009D1211">
        <w:rPr>
          <w:rFonts w:ascii="Book Antiqua" w:hAnsi="Book Antiqua"/>
        </w:rPr>
        <w:t>majority had</w:t>
      </w:r>
      <w:r w:rsidR="00CB2B31">
        <w:rPr>
          <w:rFonts w:ascii="Book Antiqua" w:hAnsi="Book Antiqua"/>
        </w:rPr>
        <w:t xml:space="preserve"> colorectal cancer (27%)</w:t>
      </w:r>
      <w:r w:rsidR="006934DB">
        <w:rPr>
          <w:rFonts w:ascii="Book Antiqua" w:hAnsi="Book Antiqua"/>
        </w:rPr>
        <w:t>, lymphoma (15%) or breast Cancer (12%)</w:t>
      </w:r>
      <w:r w:rsidR="00CB2B31">
        <w:rPr>
          <w:rFonts w:ascii="Book Antiqua" w:hAnsi="Book Antiqua"/>
        </w:rPr>
        <w:t xml:space="preserve"> (Graphic 2)</w:t>
      </w:r>
      <w:r w:rsidR="00D62DC4">
        <w:rPr>
          <w:rFonts w:ascii="Book Antiqua" w:hAnsi="Book Antiqua"/>
        </w:rPr>
        <w:t xml:space="preserve">. 61% </w:t>
      </w:r>
      <w:r w:rsidR="00875A41">
        <w:rPr>
          <w:rFonts w:ascii="Book Antiqua" w:hAnsi="Book Antiqua"/>
        </w:rPr>
        <w:t>of patients</w:t>
      </w:r>
      <w:r w:rsidR="009D1211">
        <w:rPr>
          <w:rFonts w:ascii="Book Antiqua" w:hAnsi="Book Antiqua"/>
        </w:rPr>
        <w:t xml:space="preserve"> </w:t>
      </w:r>
      <w:r w:rsidR="00D62DC4">
        <w:rPr>
          <w:rFonts w:ascii="Book Antiqua" w:hAnsi="Book Antiqua"/>
        </w:rPr>
        <w:t xml:space="preserve">were </w:t>
      </w:r>
      <w:r w:rsidR="00DF79D2">
        <w:rPr>
          <w:rFonts w:ascii="Book Antiqua" w:hAnsi="Book Antiqua"/>
        </w:rPr>
        <w:t>receiving</w:t>
      </w:r>
      <w:r w:rsidR="007E3B6A">
        <w:rPr>
          <w:rFonts w:ascii="Book Antiqua" w:hAnsi="Book Antiqua"/>
        </w:rPr>
        <w:t xml:space="preserve"> </w:t>
      </w:r>
      <w:r w:rsidR="00D62DC4">
        <w:rPr>
          <w:rFonts w:ascii="Book Antiqua" w:hAnsi="Book Antiqua"/>
        </w:rPr>
        <w:t>chemotherapy</w:t>
      </w:r>
      <w:r w:rsidR="00233C8A">
        <w:rPr>
          <w:rFonts w:ascii="Book Antiqua" w:hAnsi="Book Antiqua"/>
        </w:rPr>
        <w:t xml:space="preserve"> at the time</w:t>
      </w:r>
      <w:r w:rsidR="00D62DC4">
        <w:rPr>
          <w:rFonts w:ascii="Book Antiqua" w:hAnsi="Book Antiqua"/>
        </w:rPr>
        <w:t xml:space="preserve">, 25% had </w:t>
      </w:r>
      <w:r w:rsidR="00233C8A">
        <w:rPr>
          <w:rFonts w:ascii="Book Antiqua" w:hAnsi="Book Antiqua"/>
        </w:rPr>
        <w:t xml:space="preserve">were having </w:t>
      </w:r>
      <w:r w:rsidR="00D62DC4">
        <w:rPr>
          <w:rFonts w:ascii="Book Antiqua" w:hAnsi="Book Antiqua"/>
        </w:rPr>
        <w:t xml:space="preserve">no treatment at the </w:t>
      </w:r>
      <w:r w:rsidR="00233C8A">
        <w:rPr>
          <w:rFonts w:ascii="Book Antiqua" w:hAnsi="Book Antiqua"/>
        </w:rPr>
        <w:t>time</w:t>
      </w:r>
      <w:r w:rsidR="00D62DC4">
        <w:rPr>
          <w:rFonts w:ascii="Book Antiqua" w:hAnsi="Book Antiqua"/>
        </w:rPr>
        <w:t xml:space="preserve"> of diagnosis</w:t>
      </w:r>
      <w:r w:rsidR="00DF79D2">
        <w:rPr>
          <w:rFonts w:ascii="Book Antiqua" w:hAnsi="Book Antiqua"/>
        </w:rPr>
        <w:t xml:space="preserve"> of VTE</w:t>
      </w:r>
      <w:r w:rsidR="00D62DC4">
        <w:rPr>
          <w:rFonts w:ascii="Book Antiqua" w:hAnsi="Book Antiqua"/>
        </w:rPr>
        <w:t xml:space="preserve">, 6% </w:t>
      </w:r>
      <w:r w:rsidR="00DF79D2">
        <w:rPr>
          <w:rFonts w:ascii="Book Antiqua" w:hAnsi="Book Antiqua"/>
        </w:rPr>
        <w:t>were</w:t>
      </w:r>
      <w:r w:rsidR="00233C8A">
        <w:rPr>
          <w:rFonts w:ascii="Book Antiqua" w:hAnsi="Book Antiqua"/>
        </w:rPr>
        <w:t xml:space="preserve"> being</w:t>
      </w:r>
      <w:r w:rsidR="00DF79D2">
        <w:rPr>
          <w:rFonts w:ascii="Book Antiqua" w:hAnsi="Book Antiqua"/>
        </w:rPr>
        <w:t xml:space="preserve"> treated with</w:t>
      </w:r>
      <w:r w:rsidR="00D62DC4">
        <w:rPr>
          <w:rFonts w:ascii="Book Antiqua" w:hAnsi="Book Antiqua"/>
        </w:rPr>
        <w:t xml:space="preserve"> </w:t>
      </w:r>
      <w:r w:rsidR="009D1211">
        <w:rPr>
          <w:rFonts w:ascii="Book Antiqua" w:hAnsi="Book Antiqua"/>
        </w:rPr>
        <w:t>radiotherapy, 4% were having chemo-</w:t>
      </w:r>
      <w:r w:rsidR="00D62DC4">
        <w:rPr>
          <w:rFonts w:ascii="Book Antiqua" w:hAnsi="Book Antiqua"/>
        </w:rPr>
        <w:t>radiotherapy and 4% hormone therapy.</w:t>
      </w:r>
    </w:p>
    <w:p w14:paraId="4A51737C" w14:textId="1B652368" w:rsidR="00D2421E" w:rsidRDefault="004E20E1" w:rsidP="00DF79D2">
      <w:pPr>
        <w:spacing w:line="276" w:lineRule="auto"/>
        <w:jc w:val="both"/>
        <w:rPr>
          <w:rFonts w:ascii="Book Antiqua" w:hAnsi="Book Antiqua"/>
        </w:rPr>
      </w:pPr>
      <w:r>
        <w:rPr>
          <w:rFonts w:ascii="Book Antiqua" w:hAnsi="Book Antiqua"/>
        </w:rPr>
        <w:t>On</w:t>
      </w:r>
      <w:r w:rsidR="00C366FB">
        <w:rPr>
          <w:rFonts w:ascii="Book Antiqua" w:hAnsi="Book Antiqua"/>
        </w:rPr>
        <w:t xml:space="preserve"> admission</w:t>
      </w:r>
      <w:r w:rsidR="00DF79D2">
        <w:rPr>
          <w:rFonts w:ascii="Book Antiqua" w:hAnsi="Book Antiqua"/>
        </w:rPr>
        <w:t xml:space="preserve"> to the AOS</w:t>
      </w:r>
      <w:r w:rsidR="00C366FB">
        <w:rPr>
          <w:rFonts w:ascii="Book Antiqua" w:hAnsi="Book Antiqua"/>
        </w:rPr>
        <w:t xml:space="preserve"> </w:t>
      </w:r>
      <w:r w:rsidR="009661C3">
        <w:rPr>
          <w:rFonts w:ascii="Book Antiqua" w:hAnsi="Book Antiqua"/>
        </w:rPr>
        <w:t xml:space="preserve">following diagnosis of VTE, </w:t>
      </w:r>
      <w:r w:rsidR="00C366FB">
        <w:rPr>
          <w:rFonts w:ascii="Book Antiqua" w:hAnsi="Book Antiqua"/>
        </w:rPr>
        <w:t>a full set of observation</w:t>
      </w:r>
      <w:r w:rsidR="002E2AF0">
        <w:rPr>
          <w:rFonts w:ascii="Book Antiqua" w:hAnsi="Book Antiqua"/>
        </w:rPr>
        <w:t xml:space="preserve">s </w:t>
      </w:r>
      <w:r w:rsidR="009661C3">
        <w:rPr>
          <w:rFonts w:ascii="Book Antiqua" w:hAnsi="Book Antiqua"/>
        </w:rPr>
        <w:t xml:space="preserve">were </w:t>
      </w:r>
      <w:r w:rsidR="004E0F0F">
        <w:rPr>
          <w:rFonts w:ascii="Book Antiqua" w:hAnsi="Book Antiqua"/>
        </w:rPr>
        <w:t>taken (</w:t>
      </w:r>
      <w:r w:rsidR="002E2AF0">
        <w:rPr>
          <w:rFonts w:ascii="Book Antiqua" w:hAnsi="Book Antiqua"/>
        </w:rPr>
        <w:t>b</w:t>
      </w:r>
      <w:r w:rsidR="00C366FB">
        <w:rPr>
          <w:rFonts w:ascii="Book Antiqua" w:hAnsi="Book Antiqua"/>
        </w:rPr>
        <w:t>lood pressure, pulse, saturation</w:t>
      </w:r>
      <w:r w:rsidR="00F13500">
        <w:rPr>
          <w:rFonts w:ascii="Book Antiqua" w:hAnsi="Book Antiqua"/>
        </w:rPr>
        <w:t>, respiratory rate</w:t>
      </w:r>
      <w:r w:rsidR="00C366FB">
        <w:rPr>
          <w:rFonts w:ascii="Book Antiqua" w:hAnsi="Book Antiqua"/>
        </w:rPr>
        <w:t xml:space="preserve"> and temperature) </w:t>
      </w:r>
      <w:r w:rsidR="00B92A37">
        <w:rPr>
          <w:rFonts w:ascii="Book Antiqua" w:hAnsi="Book Antiqua"/>
        </w:rPr>
        <w:t>along with a</w:t>
      </w:r>
      <w:r w:rsidR="00C366FB">
        <w:rPr>
          <w:rFonts w:ascii="Book Antiqua" w:hAnsi="Book Antiqua"/>
        </w:rPr>
        <w:t xml:space="preserve"> blood test </w:t>
      </w:r>
      <w:r w:rsidR="00B92A37">
        <w:rPr>
          <w:rFonts w:ascii="Book Antiqua" w:hAnsi="Book Antiqua"/>
        </w:rPr>
        <w:t xml:space="preserve">that included a </w:t>
      </w:r>
      <w:r w:rsidR="00C366FB">
        <w:rPr>
          <w:rFonts w:ascii="Book Antiqua" w:hAnsi="Book Antiqua"/>
        </w:rPr>
        <w:t xml:space="preserve">full blood count, coagulation screen and renal </w:t>
      </w:r>
      <w:r>
        <w:rPr>
          <w:rFonts w:ascii="Book Antiqua" w:hAnsi="Book Antiqua"/>
        </w:rPr>
        <w:t>profile</w:t>
      </w:r>
      <w:r w:rsidR="00C366FB">
        <w:rPr>
          <w:rFonts w:ascii="Book Antiqua" w:hAnsi="Book Antiqua"/>
        </w:rPr>
        <w:t xml:space="preserve">. </w:t>
      </w:r>
      <w:r w:rsidR="00B92A37">
        <w:rPr>
          <w:rFonts w:ascii="Book Antiqua" w:hAnsi="Book Antiqua"/>
        </w:rPr>
        <w:t xml:space="preserve">On receipt of these results patients were </w:t>
      </w:r>
      <w:r w:rsidR="009661C3">
        <w:rPr>
          <w:rFonts w:ascii="Book Antiqua" w:hAnsi="Book Antiqua"/>
        </w:rPr>
        <w:t xml:space="preserve">then </w:t>
      </w:r>
      <w:r w:rsidR="00B92A37">
        <w:rPr>
          <w:rFonts w:ascii="Book Antiqua" w:hAnsi="Book Antiqua"/>
        </w:rPr>
        <w:t>prescribed and</w:t>
      </w:r>
      <w:r w:rsidR="00C366FB">
        <w:rPr>
          <w:rFonts w:ascii="Book Antiqua" w:hAnsi="Book Antiqua"/>
        </w:rPr>
        <w:t xml:space="preserve"> given the</w:t>
      </w:r>
      <w:r w:rsidR="00B92A37">
        <w:rPr>
          <w:rFonts w:ascii="Book Antiqua" w:hAnsi="Book Antiqua"/>
        </w:rPr>
        <w:t>ir</w:t>
      </w:r>
      <w:r w:rsidR="009661C3">
        <w:rPr>
          <w:rFonts w:ascii="Book Antiqua" w:hAnsi="Book Antiqua"/>
        </w:rPr>
        <w:t xml:space="preserve"> first dose of enoxaparin. They </w:t>
      </w:r>
      <w:r w:rsidR="00C366FB">
        <w:rPr>
          <w:rFonts w:ascii="Book Antiqua" w:hAnsi="Book Antiqua"/>
        </w:rPr>
        <w:t xml:space="preserve">received teaching and verbal information </w:t>
      </w:r>
      <w:r w:rsidR="00B92A37">
        <w:rPr>
          <w:rFonts w:ascii="Book Antiqua" w:hAnsi="Book Antiqua"/>
        </w:rPr>
        <w:t>on</w:t>
      </w:r>
      <w:r w:rsidR="00C366FB">
        <w:rPr>
          <w:rFonts w:ascii="Book Antiqua" w:hAnsi="Book Antiqua"/>
        </w:rPr>
        <w:t xml:space="preserve"> the administration of </w:t>
      </w:r>
      <w:r w:rsidR="00F13500">
        <w:rPr>
          <w:rFonts w:ascii="Book Antiqua" w:hAnsi="Book Antiqua"/>
        </w:rPr>
        <w:t xml:space="preserve">LMWH as recommended </w:t>
      </w:r>
      <w:r w:rsidR="00B92A37">
        <w:rPr>
          <w:rFonts w:ascii="Book Antiqua" w:hAnsi="Book Antiqua"/>
        </w:rPr>
        <w:t>in</w:t>
      </w:r>
      <w:r w:rsidR="00F13500">
        <w:rPr>
          <w:rFonts w:ascii="Book Antiqua" w:hAnsi="Book Antiqua"/>
        </w:rPr>
        <w:t xml:space="preserve"> the NICE </w:t>
      </w:r>
      <w:r w:rsidR="00F13500" w:rsidRPr="00875A41">
        <w:rPr>
          <w:rFonts w:ascii="Book Antiqua" w:hAnsi="Book Antiqua"/>
        </w:rPr>
        <w:t>guideline</w:t>
      </w:r>
      <w:r w:rsidR="009661C3">
        <w:rPr>
          <w:rFonts w:ascii="Book Antiqua" w:hAnsi="Book Antiqua"/>
        </w:rPr>
        <w:t>s</w:t>
      </w:r>
      <w:r w:rsidR="00A4274E" w:rsidRPr="00875A41">
        <w:rPr>
          <w:rFonts w:ascii="Book Antiqua" w:hAnsi="Book Antiqua"/>
        </w:rPr>
        <w:t xml:space="preserve"> (201</w:t>
      </w:r>
      <w:r w:rsidR="00BF36AE" w:rsidRPr="00875A41">
        <w:rPr>
          <w:rFonts w:ascii="Book Antiqua" w:hAnsi="Book Antiqua"/>
        </w:rPr>
        <w:t>3</w:t>
      </w:r>
      <w:r w:rsidR="00A4274E" w:rsidRPr="00875A41">
        <w:rPr>
          <w:rFonts w:ascii="Book Antiqua" w:hAnsi="Book Antiqua"/>
        </w:rPr>
        <w:t>)</w:t>
      </w:r>
      <w:r w:rsidR="00C366FB" w:rsidRPr="00875A41">
        <w:rPr>
          <w:rFonts w:ascii="Book Antiqua" w:hAnsi="Book Antiqua"/>
        </w:rPr>
        <w:t xml:space="preserve">. </w:t>
      </w:r>
      <w:r w:rsidR="00DF79D2">
        <w:rPr>
          <w:rFonts w:ascii="Book Antiqua" w:hAnsi="Book Antiqua"/>
        </w:rPr>
        <w:t xml:space="preserve">A letter to the GP </w:t>
      </w:r>
      <w:r w:rsidR="00C366FB" w:rsidRPr="00875A41">
        <w:rPr>
          <w:rFonts w:ascii="Book Antiqua" w:hAnsi="Book Antiqua"/>
        </w:rPr>
        <w:t>informing</w:t>
      </w:r>
      <w:r w:rsidR="00F13500" w:rsidRPr="00875A41">
        <w:rPr>
          <w:rFonts w:ascii="Book Antiqua" w:hAnsi="Book Antiqua"/>
        </w:rPr>
        <w:t xml:space="preserve"> </w:t>
      </w:r>
      <w:r w:rsidR="00DF79D2">
        <w:rPr>
          <w:rFonts w:ascii="Book Antiqua" w:hAnsi="Book Antiqua"/>
        </w:rPr>
        <w:t xml:space="preserve">them </w:t>
      </w:r>
      <w:r w:rsidR="009661C3">
        <w:rPr>
          <w:rFonts w:ascii="Book Antiqua" w:hAnsi="Book Antiqua"/>
        </w:rPr>
        <w:t>of</w:t>
      </w:r>
      <w:r w:rsidR="00875A41">
        <w:rPr>
          <w:rFonts w:ascii="Book Antiqua" w:hAnsi="Book Antiqua"/>
        </w:rPr>
        <w:t xml:space="preserve"> the diagnosis and management plan</w:t>
      </w:r>
      <w:r w:rsidR="00DF79D2">
        <w:rPr>
          <w:rFonts w:ascii="Book Antiqua" w:hAnsi="Book Antiqua"/>
        </w:rPr>
        <w:t xml:space="preserve"> occurred in </w:t>
      </w:r>
      <w:r w:rsidR="00DF79D2" w:rsidRPr="00875A41">
        <w:rPr>
          <w:rFonts w:ascii="Book Antiqua" w:hAnsi="Book Antiqua"/>
        </w:rPr>
        <w:t xml:space="preserve">80% </w:t>
      </w:r>
      <w:r w:rsidR="009661C3">
        <w:rPr>
          <w:rFonts w:ascii="Book Antiqua" w:hAnsi="Book Antiqua"/>
        </w:rPr>
        <w:t xml:space="preserve">of the patients, </w:t>
      </w:r>
      <w:r w:rsidR="00DF79D2">
        <w:rPr>
          <w:rFonts w:ascii="Book Antiqua" w:hAnsi="Book Antiqua"/>
        </w:rPr>
        <w:t xml:space="preserve">the remaining </w:t>
      </w:r>
      <w:r w:rsidR="00C366FB" w:rsidRPr="00875A41">
        <w:rPr>
          <w:rFonts w:ascii="Book Antiqua" w:hAnsi="Book Antiqua"/>
        </w:rPr>
        <w:t xml:space="preserve">20% had no </w:t>
      </w:r>
      <w:r w:rsidR="00DF79D2">
        <w:rPr>
          <w:rFonts w:ascii="Book Antiqua" w:hAnsi="Book Antiqua"/>
        </w:rPr>
        <w:t>such record</w:t>
      </w:r>
      <w:r w:rsidR="00C366FB" w:rsidRPr="00875A41">
        <w:rPr>
          <w:rFonts w:ascii="Book Antiqua" w:hAnsi="Book Antiqua"/>
        </w:rPr>
        <w:t xml:space="preserve">. </w:t>
      </w:r>
      <w:r w:rsidR="00875A41" w:rsidRPr="00875A41">
        <w:rPr>
          <w:rFonts w:ascii="Book Antiqua" w:hAnsi="Book Antiqua"/>
        </w:rPr>
        <w:t>No patients reported that they have been given any written information</w:t>
      </w:r>
    </w:p>
    <w:p w14:paraId="69BF4C03" w14:textId="46D6AD0E" w:rsidR="00F13500" w:rsidRDefault="00F13500" w:rsidP="005F7185">
      <w:pPr>
        <w:spacing w:line="276" w:lineRule="auto"/>
        <w:jc w:val="both"/>
        <w:rPr>
          <w:rFonts w:ascii="Book Antiqua" w:hAnsi="Book Antiqua"/>
        </w:rPr>
      </w:pPr>
      <w:r>
        <w:rPr>
          <w:rFonts w:ascii="Book Antiqua" w:hAnsi="Book Antiqua"/>
        </w:rPr>
        <w:t xml:space="preserve">5 patients </w:t>
      </w:r>
      <w:r w:rsidR="00875A41">
        <w:rPr>
          <w:rFonts w:ascii="Book Antiqua" w:hAnsi="Book Antiqua"/>
        </w:rPr>
        <w:t xml:space="preserve">were admitted from AOS </w:t>
      </w:r>
      <w:r>
        <w:rPr>
          <w:rFonts w:ascii="Book Antiqua" w:hAnsi="Book Antiqua"/>
        </w:rPr>
        <w:t xml:space="preserve">on diagnosis due to right heart strain </w:t>
      </w:r>
      <w:r w:rsidR="00B92A37">
        <w:rPr>
          <w:rFonts w:ascii="Book Antiqua" w:hAnsi="Book Antiqua"/>
        </w:rPr>
        <w:t xml:space="preserve">diagnoses </w:t>
      </w:r>
      <w:r w:rsidR="009661C3">
        <w:rPr>
          <w:rFonts w:ascii="Book Antiqua" w:hAnsi="Book Antiqua"/>
        </w:rPr>
        <w:t xml:space="preserve">seen </w:t>
      </w:r>
      <w:r w:rsidR="00B92A37">
        <w:rPr>
          <w:rFonts w:ascii="Book Antiqua" w:hAnsi="Book Antiqua"/>
        </w:rPr>
        <w:t>on</w:t>
      </w:r>
      <w:r>
        <w:rPr>
          <w:rFonts w:ascii="Book Antiqua" w:hAnsi="Book Antiqua"/>
        </w:rPr>
        <w:t xml:space="preserve"> </w:t>
      </w:r>
      <w:r w:rsidR="009661C3">
        <w:rPr>
          <w:rFonts w:ascii="Book Antiqua" w:hAnsi="Book Antiqua"/>
        </w:rPr>
        <w:t xml:space="preserve">the </w:t>
      </w:r>
      <w:r>
        <w:rPr>
          <w:rFonts w:ascii="Book Antiqua" w:hAnsi="Book Antiqua"/>
        </w:rPr>
        <w:t>CT scan and</w:t>
      </w:r>
      <w:r w:rsidR="009661C3">
        <w:rPr>
          <w:rFonts w:ascii="Book Antiqua" w:hAnsi="Book Antiqua"/>
        </w:rPr>
        <w:t xml:space="preserve"> they</w:t>
      </w:r>
      <w:r>
        <w:rPr>
          <w:rFonts w:ascii="Book Antiqua" w:hAnsi="Book Antiqua"/>
        </w:rPr>
        <w:t xml:space="preserve"> </w:t>
      </w:r>
      <w:r w:rsidR="00B92A37">
        <w:rPr>
          <w:rFonts w:ascii="Book Antiqua" w:hAnsi="Book Antiqua"/>
        </w:rPr>
        <w:t>requir</w:t>
      </w:r>
      <w:r w:rsidR="005F7185">
        <w:rPr>
          <w:rFonts w:ascii="Book Antiqua" w:hAnsi="Book Antiqua"/>
        </w:rPr>
        <w:t>ed</w:t>
      </w:r>
      <w:r w:rsidR="00B92A37">
        <w:rPr>
          <w:rFonts w:ascii="Book Antiqua" w:hAnsi="Book Antiqua"/>
        </w:rPr>
        <w:t xml:space="preserve"> </w:t>
      </w:r>
      <w:r w:rsidR="005F7185">
        <w:rPr>
          <w:rFonts w:ascii="Book Antiqua" w:hAnsi="Book Antiqua"/>
        </w:rPr>
        <w:t>oxygen support.</w:t>
      </w:r>
      <w:r>
        <w:rPr>
          <w:rFonts w:ascii="Book Antiqua" w:hAnsi="Book Antiqua"/>
        </w:rPr>
        <w:t xml:space="preserve"> </w:t>
      </w:r>
      <w:r w:rsidR="005F7185">
        <w:rPr>
          <w:rFonts w:ascii="Book Antiqua" w:hAnsi="Book Antiqua"/>
        </w:rPr>
        <w:t>A</w:t>
      </w:r>
      <w:r w:rsidR="00875A41">
        <w:rPr>
          <w:rFonts w:ascii="Book Antiqua" w:hAnsi="Book Antiqua"/>
        </w:rPr>
        <w:t>ll</w:t>
      </w:r>
      <w:r w:rsidR="009661C3">
        <w:rPr>
          <w:rFonts w:ascii="Book Antiqua" w:hAnsi="Book Antiqua"/>
        </w:rPr>
        <w:t xml:space="preserve"> the</w:t>
      </w:r>
      <w:r w:rsidR="00875A41">
        <w:rPr>
          <w:rFonts w:ascii="Book Antiqua" w:hAnsi="Book Antiqua"/>
        </w:rPr>
        <w:t xml:space="preserve"> other</w:t>
      </w:r>
      <w:r w:rsidR="00B92A37">
        <w:rPr>
          <w:rFonts w:ascii="Book Antiqua" w:hAnsi="Book Antiqua"/>
        </w:rPr>
        <w:t xml:space="preserve"> patients</w:t>
      </w:r>
      <w:r>
        <w:rPr>
          <w:rFonts w:ascii="Book Antiqua" w:hAnsi="Book Antiqua"/>
        </w:rPr>
        <w:t xml:space="preserve"> were seen and discharged on the same day.</w:t>
      </w:r>
    </w:p>
    <w:p w14:paraId="6AD405B3" w14:textId="342905ED" w:rsidR="00A4274E" w:rsidRDefault="00B92A37" w:rsidP="005F7185">
      <w:pPr>
        <w:spacing w:line="276" w:lineRule="auto"/>
        <w:jc w:val="both"/>
        <w:rPr>
          <w:rFonts w:ascii="Book Antiqua" w:hAnsi="Book Antiqua"/>
        </w:rPr>
      </w:pPr>
      <w:r>
        <w:rPr>
          <w:rFonts w:ascii="Book Antiqua" w:hAnsi="Book Antiqua"/>
        </w:rPr>
        <w:t>Following discharge</w:t>
      </w:r>
      <w:r w:rsidR="00A4274E">
        <w:rPr>
          <w:rFonts w:ascii="Book Antiqua" w:hAnsi="Book Antiqua"/>
        </w:rPr>
        <w:t xml:space="preserve"> 4 patients had documented visits to the hospital due to bleeding</w:t>
      </w:r>
      <w:r>
        <w:rPr>
          <w:rFonts w:ascii="Book Antiqua" w:hAnsi="Book Antiqua"/>
        </w:rPr>
        <w:t xml:space="preserve">. The dose </w:t>
      </w:r>
      <w:r w:rsidR="00875A41">
        <w:rPr>
          <w:rFonts w:ascii="Book Antiqua" w:hAnsi="Book Antiqua"/>
        </w:rPr>
        <w:t>of LMWH</w:t>
      </w:r>
      <w:r w:rsidR="00A4274E">
        <w:rPr>
          <w:rFonts w:ascii="Book Antiqua" w:hAnsi="Book Antiqua"/>
        </w:rPr>
        <w:t xml:space="preserve"> dose was reviewed</w:t>
      </w:r>
      <w:r>
        <w:rPr>
          <w:rFonts w:ascii="Book Antiqua" w:hAnsi="Book Antiqua"/>
        </w:rPr>
        <w:t xml:space="preserve"> in all these cases</w:t>
      </w:r>
      <w:r w:rsidR="005F7185">
        <w:rPr>
          <w:rFonts w:ascii="Book Antiqua" w:hAnsi="Book Antiqua"/>
        </w:rPr>
        <w:t xml:space="preserve"> and</w:t>
      </w:r>
      <w:r w:rsidR="00A4274E">
        <w:rPr>
          <w:rFonts w:ascii="Book Antiqua" w:hAnsi="Book Antiqua"/>
        </w:rPr>
        <w:t xml:space="preserve"> </w:t>
      </w:r>
      <w:r>
        <w:rPr>
          <w:rFonts w:ascii="Book Antiqua" w:hAnsi="Book Antiqua"/>
        </w:rPr>
        <w:t xml:space="preserve">in </w:t>
      </w:r>
      <w:r w:rsidR="00875A41">
        <w:rPr>
          <w:rFonts w:ascii="Book Antiqua" w:hAnsi="Book Antiqua"/>
        </w:rPr>
        <w:t>2</w:t>
      </w:r>
      <w:r>
        <w:rPr>
          <w:rFonts w:ascii="Book Antiqua" w:hAnsi="Book Antiqua"/>
        </w:rPr>
        <w:t xml:space="preserve"> cases </w:t>
      </w:r>
      <w:r w:rsidR="005F7185">
        <w:rPr>
          <w:rFonts w:ascii="Book Antiqua" w:hAnsi="Book Antiqua"/>
        </w:rPr>
        <w:t xml:space="preserve">anticoagulation treatment </w:t>
      </w:r>
      <w:r w:rsidR="00A4274E">
        <w:rPr>
          <w:rFonts w:ascii="Book Antiqua" w:hAnsi="Book Antiqua"/>
        </w:rPr>
        <w:t xml:space="preserve">stopped for some </w:t>
      </w:r>
      <w:r w:rsidR="005F7185">
        <w:rPr>
          <w:rFonts w:ascii="Book Antiqua" w:hAnsi="Book Antiqua"/>
        </w:rPr>
        <w:t xml:space="preserve">days. A further </w:t>
      </w:r>
      <w:r w:rsidR="00875A41">
        <w:rPr>
          <w:rFonts w:ascii="Book Antiqua" w:hAnsi="Book Antiqua"/>
        </w:rPr>
        <w:t>2</w:t>
      </w:r>
      <w:r w:rsidR="00A4274E">
        <w:rPr>
          <w:rFonts w:ascii="Book Antiqua" w:hAnsi="Book Antiqua"/>
        </w:rPr>
        <w:t xml:space="preserve"> required platelets </w:t>
      </w:r>
      <w:r w:rsidR="00875A41">
        <w:rPr>
          <w:rFonts w:ascii="Book Antiqua" w:hAnsi="Book Antiqua"/>
        </w:rPr>
        <w:t>transfusion.</w:t>
      </w:r>
      <w:r w:rsidR="009661C3">
        <w:rPr>
          <w:rFonts w:ascii="Book Antiqua" w:hAnsi="Book Antiqua"/>
        </w:rPr>
        <w:t xml:space="preserve">  They a</w:t>
      </w:r>
      <w:r>
        <w:rPr>
          <w:rFonts w:ascii="Book Antiqua" w:hAnsi="Book Antiqua"/>
        </w:rPr>
        <w:t>ll then</w:t>
      </w:r>
      <w:r w:rsidR="00A4274E">
        <w:rPr>
          <w:rFonts w:ascii="Book Antiqua" w:hAnsi="Book Antiqua"/>
        </w:rPr>
        <w:t xml:space="preserve"> </w:t>
      </w:r>
      <w:r w:rsidR="00875A41">
        <w:rPr>
          <w:rFonts w:ascii="Book Antiqua" w:hAnsi="Book Antiqua"/>
        </w:rPr>
        <w:t>continued treatment</w:t>
      </w:r>
      <w:r w:rsidR="00A4274E">
        <w:rPr>
          <w:rFonts w:ascii="Book Antiqua" w:hAnsi="Book Antiqua"/>
        </w:rPr>
        <w:t>.</w:t>
      </w:r>
    </w:p>
    <w:p w14:paraId="62EB9278" w14:textId="070BE0A6" w:rsidR="002137A7" w:rsidRDefault="005D6405" w:rsidP="006934DB">
      <w:pPr>
        <w:spacing w:before="240" w:line="276" w:lineRule="auto"/>
        <w:jc w:val="both"/>
        <w:rPr>
          <w:rFonts w:ascii="Book Antiqua" w:hAnsi="Book Antiqua"/>
        </w:rPr>
      </w:pPr>
      <w:r>
        <w:rPr>
          <w:rFonts w:ascii="Book Antiqua" w:hAnsi="Book Antiqua"/>
        </w:rPr>
        <w:t>25</w:t>
      </w:r>
      <w:r w:rsidR="004B07DD">
        <w:rPr>
          <w:rFonts w:ascii="Book Antiqua" w:hAnsi="Book Antiqua"/>
        </w:rPr>
        <w:t xml:space="preserve"> patients</w:t>
      </w:r>
      <w:r>
        <w:rPr>
          <w:rFonts w:ascii="Book Antiqua" w:hAnsi="Book Antiqua"/>
        </w:rPr>
        <w:t xml:space="preserve"> met the inclusion criteria</w:t>
      </w:r>
      <w:r w:rsidR="0096483C">
        <w:rPr>
          <w:rFonts w:ascii="Book Antiqua" w:hAnsi="Book Antiqua"/>
        </w:rPr>
        <w:t xml:space="preserve"> for questionnaire completion</w:t>
      </w:r>
      <w:r w:rsidR="003C3C25">
        <w:rPr>
          <w:rFonts w:ascii="Book Antiqua" w:hAnsi="Book Antiqua"/>
        </w:rPr>
        <w:t xml:space="preserve"> (Graphic </w:t>
      </w:r>
      <w:r w:rsidR="006934DB">
        <w:rPr>
          <w:rFonts w:ascii="Book Antiqua" w:hAnsi="Book Antiqua"/>
        </w:rPr>
        <w:t>3</w:t>
      </w:r>
      <w:r w:rsidR="003C3C25">
        <w:rPr>
          <w:rFonts w:ascii="Book Antiqua" w:hAnsi="Book Antiqua"/>
        </w:rPr>
        <w:t>.)</w:t>
      </w:r>
      <w:r>
        <w:rPr>
          <w:rFonts w:ascii="Book Antiqua" w:hAnsi="Book Antiqua"/>
        </w:rPr>
        <w:t xml:space="preserve">. </w:t>
      </w:r>
      <w:r w:rsidR="009661C3">
        <w:rPr>
          <w:rFonts w:ascii="Book Antiqua" w:hAnsi="Book Antiqua"/>
        </w:rPr>
        <w:t>The first 15 attending cl</w:t>
      </w:r>
      <w:r w:rsidR="00F76DDD">
        <w:rPr>
          <w:rFonts w:ascii="Book Antiqua" w:hAnsi="Book Antiqua"/>
        </w:rPr>
        <w:t>inic were approached, and all agree</w:t>
      </w:r>
      <w:r w:rsidR="009661C3">
        <w:rPr>
          <w:rFonts w:ascii="Book Antiqua" w:hAnsi="Book Antiqua"/>
        </w:rPr>
        <w:t>d to complete the questionnaire and were given one. Of</w:t>
      </w:r>
      <w:r w:rsidR="00D2421E">
        <w:rPr>
          <w:rFonts w:ascii="Book Antiqua" w:hAnsi="Book Antiqua"/>
        </w:rPr>
        <w:t xml:space="preserve"> the </w:t>
      </w:r>
      <w:r w:rsidR="00A4274E">
        <w:rPr>
          <w:rFonts w:ascii="Book Antiqua" w:hAnsi="Book Antiqua"/>
        </w:rPr>
        <w:t>patient</w:t>
      </w:r>
      <w:r w:rsidR="00980E04">
        <w:rPr>
          <w:rFonts w:ascii="Book Antiqua" w:hAnsi="Book Antiqua"/>
        </w:rPr>
        <w:t>s</w:t>
      </w:r>
      <w:r w:rsidR="00A4274E">
        <w:rPr>
          <w:rFonts w:ascii="Book Antiqua" w:hAnsi="Book Antiqua"/>
        </w:rPr>
        <w:t xml:space="preserve"> who r</w:t>
      </w:r>
      <w:r w:rsidR="005C0FE9">
        <w:rPr>
          <w:rFonts w:ascii="Book Antiqua" w:hAnsi="Book Antiqua"/>
        </w:rPr>
        <w:t xml:space="preserve">eceived the </w:t>
      </w:r>
      <w:r w:rsidR="00D2421E">
        <w:rPr>
          <w:rFonts w:ascii="Book Antiqua" w:hAnsi="Book Antiqua"/>
        </w:rPr>
        <w:t xml:space="preserve">questionnaire 10 </w:t>
      </w:r>
      <w:r w:rsidR="009661C3">
        <w:rPr>
          <w:rFonts w:ascii="Book Antiqua" w:hAnsi="Book Antiqua"/>
        </w:rPr>
        <w:t>completed them</w:t>
      </w:r>
      <w:r w:rsidR="00D2421E">
        <w:rPr>
          <w:rFonts w:ascii="Book Antiqua" w:hAnsi="Book Antiqua"/>
        </w:rPr>
        <w:t xml:space="preserve"> (67%)</w:t>
      </w:r>
      <w:r w:rsidR="006934DB">
        <w:rPr>
          <w:rFonts w:ascii="Book Antiqua" w:hAnsi="Book Antiqua"/>
        </w:rPr>
        <w:t xml:space="preserve"> </w:t>
      </w:r>
      <w:r w:rsidR="004E20E1">
        <w:rPr>
          <w:rFonts w:ascii="Book Antiqua" w:hAnsi="Book Antiqua"/>
        </w:rPr>
        <w:t>giving</w:t>
      </w:r>
      <w:r w:rsidR="006934DB">
        <w:rPr>
          <w:rFonts w:ascii="Book Antiqua" w:hAnsi="Book Antiqua"/>
        </w:rPr>
        <w:t xml:space="preserve"> a r</w:t>
      </w:r>
      <w:r w:rsidR="003C3C25">
        <w:rPr>
          <w:rFonts w:ascii="Book Antiqua" w:hAnsi="Book Antiqua"/>
        </w:rPr>
        <w:t xml:space="preserve">esponse rate </w:t>
      </w:r>
      <w:r w:rsidR="006934DB">
        <w:rPr>
          <w:rFonts w:ascii="Book Antiqua" w:hAnsi="Book Antiqua"/>
        </w:rPr>
        <w:t>of 66.7%</w:t>
      </w:r>
      <w:r w:rsidR="009D1211">
        <w:rPr>
          <w:rFonts w:ascii="Book Antiqua" w:hAnsi="Book Antiqua"/>
        </w:rPr>
        <w:t xml:space="preserve">. </w:t>
      </w:r>
      <w:r w:rsidR="0014420F">
        <w:rPr>
          <w:rFonts w:ascii="Book Antiqua" w:hAnsi="Book Antiqua"/>
        </w:rPr>
        <w:t>The other 10 patients that met the inclusion criteria</w:t>
      </w:r>
      <w:r w:rsidR="009661C3">
        <w:rPr>
          <w:rFonts w:ascii="Book Antiqua" w:hAnsi="Book Antiqua"/>
        </w:rPr>
        <w:t xml:space="preserve"> didn’</w:t>
      </w:r>
      <w:r w:rsidR="0014420F">
        <w:rPr>
          <w:rFonts w:ascii="Book Antiqua" w:hAnsi="Book Antiqua"/>
        </w:rPr>
        <w:t xml:space="preserve">t attend to </w:t>
      </w:r>
      <w:r w:rsidR="0014420F">
        <w:rPr>
          <w:rFonts w:ascii="Book Antiqua" w:hAnsi="Book Antiqua"/>
        </w:rPr>
        <w:lastRenderedPageBreak/>
        <w:t>their clinic appointment o</w:t>
      </w:r>
      <w:r w:rsidR="004E0F0F">
        <w:rPr>
          <w:rFonts w:ascii="Book Antiqua" w:hAnsi="Book Antiqua"/>
        </w:rPr>
        <w:t xml:space="preserve">r had an appointment booked more than </w:t>
      </w:r>
      <w:r w:rsidR="0014420F">
        <w:rPr>
          <w:rFonts w:ascii="Book Antiqua" w:hAnsi="Book Antiqua"/>
        </w:rPr>
        <w:t>6 months post diagnosis of a VTE.</w:t>
      </w:r>
    </w:p>
    <w:p w14:paraId="025EFBE9" w14:textId="0AA37644" w:rsidR="005D6405" w:rsidRDefault="003C3C25" w:rsidP="009D1211">
      <w:pPr>
        <w:spacing w:before="240" w:line="276" w:lineRule="auto"/>
        <w:jc w:val="both"/>
        <w:rPr>
          <w:rFonts w:ascii="Book Antiqua" w:hAnsi="Book Antiqua"/>
        </w:rPr>
      </w:pPr>
      <w:r>
        <w:rPr>
          <w:rFonts w:ascii="Book Antiqua" w:hAnsi="Book Antiqua"/>
        </w:rPr>
        <w:t xml:space="preserve">In response to the question: </w:t>
      </w:r>
      <w:r w:rsidRPr="00FC0347">
        <w:rPr>
          <w:rFonts w:ascii="Book Antiqua" w:hAnsi="Book Antiqua" w:cs="Georgia"/>
        </w:rPr>
        <w:t>Can you tell me what you understand by the term VTE</w:t>
      </w:r>
      <w:r>
        <w:rPr>
          <w:rFonts w:cs="Georgia"/>
        </w:rPr>
        <w:t>,</w:t>
      </w:r>
      <w:r>
        <w:rPr>
          <w:rFonts w:ascii="Book Antiqua" w:hAnsi="Book Antiqua"/>
        </w:rPr>
        <w:t xml:space="preserve"> 90% of the respondents answered that VTE meant a blood clot </w:t>
      </w:r>
      <w:r w:rsidR="009661C3">
        <w:rPr>
          <w:rFonts w:ascii="Book Antiqua" w:hAnsi="Book Antiqua"/>
        </w:rPr>
        <w:t>in a vein or</w:t>
      </w:r>
      <w:r>
        <w:rPr>
          <w:rFonts w:ascii="Book Antiqua" w:hAnsi="Book Antiqua"/>
        </w:rPr>
        <w:t xml:space="preserve"> a lung.</w:t>
      </w:r>
    </w:p>
    <w:p w14:paraId="10F2C5DB" w14:textId="77777777" w:rsidR="00F12866" w:rsidRPr="00F12866" w:rsidRDefault="00D2421E" w:rsidP="002137A7">
      <w:pPr>
        <w:pStyle w:val="ListParagraph"/>
        <w:numPr>
          <w:ilvl w:val="0"/>
          <w:numId w:val="1"/>
        </w:numPr>
        <w:spacing w:line="276" w:lineRule="auto"/>
        <w:jc w:val="both"/>
        <w:rPr>
          <w:rFonts w:ascii="Book Antiqua" w:hAnsi="Book Antiqua"/>
        </w:rPr>
      </w:pPr>
      <w:r w:rsidRPr="00F12866">
        <w:rPr>
          <w:rFonts w:ascii="Book Antiqua" w:hAnsi="Book Antiqua"/>
        </w:rPr>
        <w:t>Information before the event:</w:t>
      </w:r>
      <w:r w:rsidR="00A30F7D" w:rsidRPr="00F12866">
        <w:rPr>
          <w:rFonts w:ascii="Book Antiqua" w:hAnsi="Book Antiqua"/>
        </w:rPr>
        <w:t xml:space="preserve"> </w:t>
      </w:r>
    </w:p>
    <w:p w14:paraId="4C9D1C7B" w14:textId="0B68A6B1" w:rsidR="00A30F7D" w:rsidRDefault="00F76DDD" w:rsidP="006934DB">
      <w:pPr>
        <w:spacing w:line="276" w:lineRule="auto"/>
        <w:ind w:left="360"/>
        <w:jc w:val="both"/>
        <w:rPr>
          <w:rFonts w:ascii="Book Antiqua" w:hAnsi="Book Antiqua"/>
        </w:rPr>
      </w:pPr>
      <w:r>
        <w:rPr>
          <w:rFonts w:ascii="Book Antiqua" w:hAnsi="Book Antiqua"/>
        </w:rPr>
        <w:t>R</w:t>
      </w:r>
      <w:r w:rsidR="004B07DD">
        <w:rPr>
          <w:rFonts w:ascii="Book Antiqua" w:hAnsi="Book Antiqua"/>
        </w:rPr>
        <w:t>espondents</w:t>
      </w:r>
      <w:r w:rsidR="00A30F7D" w:rsidRPr="00F12866">
        <w:rPr>
          <w:rFonts w:ascii="Book Antiqua" w:hAnsi="Book Antiqua"/>
        </w:rPr>
        <w:t xml:space="preserve"> were asked if they receive</w:t>
      </w:r>
      <w:r w:rsidR="004B07DD">
        <w:rPr>
          <w:rFonts w:ascii="Book Antiqua" w:hAnsi="Book Antiqua"/>
        </w:rPr>
        <w:t>d</w:t>
      </w:r>
      <w:r w:rsidR="00A30F7D" w:rsidRPr="00F12866">
        <w:rPr>
          <w:rFonts w:ascii="Book Antiqua" w:hAnsi="Book Antiqua"/>
        </w:rPr>
        <w:t xml:space="preserve"> information about the risk and signs of VTE prior the event. The majority of them said they </w:t>
      </w:r>
      <w:r w:rsidR="004B07DD">
        <w:rPr>
          <w:rFonts w:ascii="Book Antiqua" w:hAnsi="Book Antiqua"/>
        </w:rPr>
        <w:t>had not</w:t>
      </w:r>
      <w:r w:rsidR="00A30F7D" w:rsidRPr="00F12866">
        <w:rPr>
          <w:rFonts w:ascii="Book Antiqua" w:hAnsi="Book Antiqua"/>
        </w:rPr>
        <w:t xml:space="preserve"> receive</w:t>
      </w:r>
      <w:r w:rsidR="004B07DD">
        <w:rPr>
          <w:rFonts w:ascii="Book Antiqua" w:hAnsi="Book Antiqua"/>
        </w:rPr>
        <w:t>d any</w:t>
      </w:r>
      <w:r w:rsidR="00A30F7D" w:rsidRPr="00F12866">
        <w:rPr>
          <w:rFonts w:ascii="Book Antiqua" w:hAnsi="Book Antiqua"/>
        </w:rPr>
        <w:t xml:space="preserve"> information (60%) or received </w:t>
      </w:r>
      <w:r w:rsidR="004B07DD">
        <w:rPr>
          <w:rFonts w:ascii="Book Antiqua" w:hAnsi="Book Antiqua"/>
        </w:rPr>
        <w:t xml:space="preserve">it </w:t>
      </w:r>
      <w:r w:rsidR="00A30F7D" w:rsidRPr="00F12866">
        <w:rPr>
          <w:rFonts w:ascii="Book Antiqua" w:hAnsi="Book Antiqua"/>
        </w:rPr>
        <w:t>to some extent (30%)</w:t>
      </w:r>
      <w:r w:rsidR="00923303">
        <w:rPr>
          <w:rFonts w:ascii="Book Antiqua" w:hAnsi="Book Antiqua"/>
        </w:rPr>
        <w:t xml:space="preserve"> </w:t>
      </w:r>
      <w:r w:rsidR="009D1211">
        <w:rPr>
          <w:rFonts w:ascii="Book Antiqua" w:hAnsi="Book Antiqua"/>
        </w:rPr>
        <w:t>(</w:t>
      </w:r>
      <w:r w:rsidR="00923303">
        <w:rPr>
          <w:rFonts w:ascii="Book Antiqua" w:hAnsi="Book Antiqua"/>
        </w:rPr>
        <w:t xml:space="preserve">Graphic </w:t>
      </w:r>
      <w:r w:rsidR="006934DB">
        <w:rPr>
          <w:rFonts w:ascii="Book Antiqua" w:hAnsi="Book Antiqua"/>
        </w:rPr>
        <w:t>4</w:t>
      </w:r>
      <w:r w:rsidR="009D1211">
        <w:rPr>
          <w:rFonts w:ascii="Book Antiqua" w:hAnsi="Book Antiqua"/>
        </w:rPr>
        <w:t>).</w:t>
      </w:r>
    </w:p>
    <w:p w14:paraId="425A74D3" w14:textId="248D3F1B" w:rsidR="00A30F7D" w:rsidRDefault="00FC0347" w:rsidP="005F7185">
      <w:pPr>
        <w:spacing w:line="276" w:lineRule="auto"/>
        <w:ind w:left="426"/>
        <w:jc w:val="both"/>
        <w:rPr>
          <w:rFonts w:ascii="Book Antiqua" w:hAnsi="Book Antiqua"/>
        </w:rPr>
      </w:pPr>
      <w:r>
        <w:rPr>
          <w:rFonts w:ascii="Book Antiqua" w:hAnsi="Book Antiqua"/>
        </w:rPr>
        <w:t xml:space="preserve">In response to the </w:t>
      </w:r>
      <w:r w:rsidRPr="00FC0347">
        <w:rPr>
          <w:rFonts w:ascii="Book Antiqua" w:hAnsi="Book Antiqua"/>
        </w:rPr>
        <w:t>question</w:t>
      </w:r>
      <w:r w:rsidR="00133998">
        <w:rPr>
          <w:rFonts w:ascii="Book Antiqua" w:hAnsi="Book Antiqua"/>
        </w:rPr>
        <w:t>:</w:t>
      </w:r>
      <w:r w:rsidR="00A30F7D" w:rsidRPr="00FC0347">
        <w:rPr>
          <w:rFonts w:ascii="Book Antiqua" w:hAnsi="Book Antiqua"/>
        </w:rPr>
        <w:t xml:space="preserve"> </w:t>
      </w:r>
      <w:r w:rsidRPr="00FC0347">
        <w:rPr>
          <w:rFonts w:ascii="Book Antiqua" w:hAnsi="Book Antiqua" w:cs="Georgia"/>
        </w:rPr>
        <w:t xml:space="preserve">Do you remember the signs of VTE? </w:t>
      </w:r>
      <w:r w:rsidR="00A30F7D" w:rsidRPr="00FC0347">
        <w:rPr>
          <w:rFonts w:ascii="Book Antiqua" w:hAnsi="Book Antiqua"/>
        </w:rPr>
        <w:t xml:space="preserve">80% </w:t>
      </w:r>
      <w:r>
        <w:rPr>
          <w:rFonts w:ascii="Book Antiqua" w:hAnsi="Book Antiqua"/>
        </w:rPr>
        <w:t>did not answer or said they could not</w:t>
      </w:r>
      <w:r w:rsidR="00A30F7D" w:rsidRPr="00FC0347">
        <w:rPr>
          <w:rFonts w:ascii="Book Antiqua" w:hAnsi="Book Antiqua"/>
        </w:rPr>
        <w:t xml:space="preserve"> remember</w:t>
      </w:r>
      <w:r>
        <w:rPr>
          <w:rFonts w:ascii="Book Antiqua" w:hAnsi="Book Antiqua"/>
        </w:rPr>
        <w:t xml:space="preserve"> the signs</w:t>
      </w:r>
      <w:r w:rsidR="00A30F7D" w:rsidRPr="00FC0347">
        <w:rPr>
          <w:rFonts w:ascii="Book Antiqua" w:hAnsi="Book Antiqua"/>
        </w:rPr>
        <w:t>. The</w:t>
      </w:r>
      <w:r w:rsidR="00A30F7D">
        <w:rPr>
          <w:rFonts w:ascii="Book Antiqua" w:hAnsi="Book Antiqua"/>
        </w:rPr>
        <w:t xml:space="preserve"> other 20% said they thought th</w:t>
      </w:r>
      <w:r w:rsidR="0096483C">
        <w:rPr>
          <w:rFonts w:ascii="Book Antiqua" w:hAnsi="Book Antiqua"/>
        </w:rPr>
        <w:t>at</w:t>
      </w:r>
      <w:r w:rsidR="00A30F7D">
        <w:rPr>
          <w:rFonts w:ascii="Book Antiqua" w:hAnsi="Book Antiqua"/>
        </w:rPr>
        <w:t xml:space="preserve"> shortness of breath was due to other problems related to the treatment.</w:t>
      </w:r>
      <w:r w:rsidR="00963560">
        <w:rPr>
          <w:rFonts w:ascii="Book Antiqua" w:hAnsi="Book Antiqua"/>
        </w:rPr>
        <w:t xml:space="preserve"> </w:t>
      </w:r>
      <w:r w:rsidR="00963560" w:rsidRPr="00FC0347">
        <w:rPr>
          <w:rFonts w:ascii="Book Antiqua" w:hAnsi="Book Antiqua"/>
          <w:i/>
          <w:iCs/>
        </w:rPr>
        <w:t>“I thought my breathless</w:t>
      </w:r>
      <w:r>
        <w:rPr>
          <w:rFonts w:ascii="Book Antiqua" w:hAnsi="Book Antiqua"/>
          <w:i/>
          <w:iCs/>
        </w:rPr>
        <w:t>ness</w:t>
      </w:r>
      <w:r w:rsidR="00963560" w:rsidRPr="00FC0347">
        <w:rPr>
          <w:rFonts w:ascii="Book Antiqua" w:hAnsi="Book Antiqua"/>
          <w:i/>
          <w:iCs/>
        </w:rPr>
        <w:t xml:space="preserve"> was due to becoming unfit</w:t>
      </w:r>
      <w:r w:rsidR="008008BE" w:rsidRPr="00FC0347">
        <w:rPr>
          <w:rFonts w:ascii="Book Antiqua" w:hAnsi="Book Antiqua"/>
          <w:i/>
          <w:iCs/>
        </w:rPr>
        <w:t>”</w:t>
      </w:r>
      <w:r w:rsidR="008008BE">
        <w:rPr>
          <w:rFonts w:ascii="Book Antiqua" w:hAnsi="Book Antiqua"/>
          <w:i/>
          <w:iCs/>
        </w:rPr>
        <w:t xml:space="preserve"> (</w:t>
      </w:r>
      <w:r w:rsidR="005F7185">
        <w:rPr>
          <w:rFonts w:ascii="Book Antiqua" w:hAnsi="Book Antiqua"/>
          <w:i/>
          <w:iCs/>
        </w:rPr>
        <w:t>respondent 6)</w:t>
      </w:r>
      <w:r w:rsidR="00963560" w:rsidRPr="00FC0347">
        <w:rPr>
          <w:rFonts w:ascii="Book Antiqua" w:hAnsi="Book Antiqua"/>
          <w:i/>
          <w:iCs/>
        </w:rPr>
        <w:t>, “Shortness of breath, but we thought it was due to anaemia</w:t>
      </w:r>
      <w:r w:rsidR="008008BE" w:rsidRPr="00FC0347">
        <w:rPr>
          <w:rFonts w:ascii="Book Antiqua" w:hAnsi="Book Antiqua"/>
          <w:i/>
          <w:iCs/>
        </w:rPr>
        <w:t>”</w:t>
      </w:r>
      <w:r w:rsidR="008008BE">
        <w:rPr>
          <w:rFonts w:ascii="Book Antiqua" w:hAnsi="Book Antiqua"/>
          <w:i/>
          <w:iCs/>
        </w:rPr>
        <w:t xml:space="preserve"> (</w:t>
      </w:r>
      <w:r w:rsidR="005F7185">
        <w:rPr>
          <w:rFonts w:ascii="Book Antiqua" w:hAnsi="Book Antiqua"/>
          <w:i/>
          <w:iCs/>
        </w:rPr>
        <w:t>respondent 9)</w:t>
      </w:r>
      <w:r w:rsidR="00963560" w:rsidRPr="00FC0347">
        <w:rPr>
          <w:rFonts w:ascii="Book Antiqua" w:hAnsi="Book Antiqua"/>
          <w:i/>
          <w:iCs/>
        </w:rPr>
        <w:t>.</w:t>
      </w:r>
    </w:p>
    <w:p w14:paraId="234089D6" w14:textId="77777777" w:rsidR="00F12866" w:rsidRPr="00F12866" w:rsidRDefault="00A30F7D" w:rsidP="002137A7">
      <w:pPr>
        <w:pStyle w:val="ListParagraph"/>
        <w:numPr>
          <w:ilvl w:val="0"/>
          <w:numId w:val="1"/>
        </w:numPr>
        <w:spacing w:line="276" w:lineRule="auto"/>
        <w:jc w:val="both"/>
        <w:rPr>
          <w:rFonts w:ascii="Book Antiqua" w:hAnsi="Book Antiqua"/>
        </w:rPr>
      </w:pPr>
      <w:r w:rsidRPr="00F12866">
        <w:rPr>
          <w:rFonts w:ascii="Book Antiqua" w:hAnsi="Book Antiqua"/>
        </w:rPr>
        <w:t xml:space="preserve">Information on the day of the event: </w:t>
      </w:r>
    </w:p>
    <w:p w14:paraId="7DF49FA5" w14:textId="5D4AE6F2" w:rsidR="00EC126C" w:rsidRDefault="00875A41" w:rsidP="006934DB">
      <w:pPr>
        <w:spacing w:line="276" w:lineRule="auto"/>
        <w:ind w:left="360"/>
        <w:jc w:val="both"/>
        <w:rPr>
          <w:rFonts w:ascii="Book Antiqua" w:hAnsi="Book Antiqua"/>
        </w:rPr>
      </w:pPr>
      <w:r>
        <w:rPr>
          <w:rFonts w:ascii="Book Antiqua" w:hAnsi="Book Antiqua"/>
        </w:rPr>
        <w:t>100% of the p</w:t>
      </w:r>
      <w:r w:rsidR="00A30F7D" w:rsidRPr="00F12866">
        <w:rPr>
          <w:rFonts w:ascii="Book Antiqua" w:hAnsi="Book Antiqua"/>
        </w:rPr>
        <w:t xml:space="preserve">atients felt they did receive information </w:t>
      </w:r>
      <w:r w:rsidR="0096483C">
        <w:rPr>
          <w:rFonts w:ascii="Book Antiqua" w:hAnsi="Book Antiqua"/>
        </w:rPr>
        <w:t xml:space="preserve">on VTE </w:t>
      </w:r>
      <w:r w:rsidR="00A30F7D" w:rsidRPr="00F12866">
        <w:rPr>
          <w:rFonts w:ascii="Book Antiqua" w:hAnsi="Book Antiqua"/>
        </w:rPr>
        <w:t>whil</w:t>
      </w:r>
      <w:r w:rsidR="0096483C">
        <w:rPr>
          <w:rFonts w:ascii="Book Antiqua" w:hAnsi="Book Antiqua"/>
        </w:rPr>
        <w:t>st</w:t>
      </w:r>
      <w:r w:rsidR="00A30F7D" w:rsidRPr="00F12866">
        <w:rPr>
          <w:rFonts w:ascii="Book Antiqua" w:hAnsi="Book Antiqua"/>
        </w:rPr>
        <w:t xml:space="preserve"> they were </w:t>
      </w:r>
      <w:r w:rsidR="0096483C">
        <w:rPr>
          <w:rFonts w:ascii="Book Antiqua" w:hAnsi="Book Antiqua"/>
        </w:rPr>
        <w:t>attending the</w:t>
      </w:r>
      <w:r w:rsidR="0096483C" w:rsidRPr="00F12866">
        <w:rPr>
          <w:rFonts w:ascii="Book Antiqua" w:hAnsi="Book Antiqua"/>
        </w:rPr>
        <w:t xml:space="preserve"> </w:t>
      </w:r>
      <w:r w:rsidR="0096483C">
        <w:rPr>
          <w:rFonts w:ascii="Book Antiqua" w:hAnsi="Book Antiqua"/>
        </w:rPr>
        <w:t>A</w:t>
      </w:r>
      <w:r>
        <w:rPr>
          <w:rFonts w:ascii="Book Antiqua" w:hAnsi="Book Antiqua"/>
        </w:rPr>
        <w:t>O</w:t>
      </w:r>
      <w:r w:rsidR="0096483C">
        <w:rPr>
          <w:rFonts w:ascii="Book Antiqua" w:hAnsi="Book Antiqua"/>
        </w:rPr>
        <w:t>S</w:t>
      </w:r>
      <w:r w:rsidR="00FC0347">
        <w:rPr>
          <w:rFonts w:ascii="Book Antiqua" w:hAnsi="Book Antiqua"/>
        </w:rPr>
        <w:t xml:space="preserve"> </w:t>
      </w:r>
      <w:r w:rsidR="00A30F7D" w:rsidRPr="00F12866">
        <w:rPr>
          <w:rFonts w:ascii="Book Antiqua" w:hAnsi="Book Antiqua"/>
        </w:rPr>
        <w:t xml:space="preserve">but </w:t>
      </w:r>
      <w:r w:rsidR="001A508B" w:rsidRPr="00F12866">
        <w:rPr>
          <w:rFonts w:ascii="Book Antiqua" w:hAnsi="Book Antiqua"/>
        </w:rPr>
        <w:t xml:space="preserve">70% of them reported they would have liked </w:t>
      </w:r>
      <w:r w:rsidR="00A30F7D" w:rsidRPr="00F12866">
        <w:rPr>
          <w:rFonts w:ascii="Book Antiqua" w:hAnsi="Book Antiqua"/>
        </w:rPr>
        <w:t>more written or verbal information.</w:t>
      </w:r>
      <w:r w:rsidR="00923303">
        <w:rPr>
          <w:rFonts w:ascii="Book Antiqua" w:hAnsi="Book Antiqua"/>
        </w:rPr>
        <w:t xml:space="preserve"> (Graphic </w:t>
      </w:r>
      <w:r w:rsidR="006934DB">
        <w:rPr>
          <w:rFonts w:ascii="Book Antiqua" w:hAnsi="Book Antiqua"/>
        </w:rPr>
        <w:t>5</w:t>
      </w:r>
      <w:r w:rsidR="00923303">
        <w:rPr>
          <w:rFonts w:ascii="Book Antiqua" w:hAnsi="Book Antiqua"/>
        </w:rPr>
        <w:t>)</w:t>
      </w:r>
    </w:p>
    <w:p w14:paraId="2C9D7308" w14:textId="77777777" w:rsidR="00F12866" w:rsidRPr="00F12866" w:rsidRDefault="001A508B" w:rsidP="002137A7">
      <w:pPr>
        <w:pStyle w:val="ListParagraph"/>
        <w:numPr>
          <w:ilvl w:val="0"/>
          <w:numId w:val="1"/>
        </w:numPr>
        <w:spacing w:before="240" w:line="276" w:lineRule="auto"/>
        <w:jc w:val="both"/>
        <w:rPr>
          <w:rFonts w:ascii="Book Antiqua" w:hAnsi="Book Antiqua"/>
          <w:b/>
          <w:bCs/>
        </w:rPr>
      </w:pPr>
      <w:r w:rsidRPr="00F12866">
        <w:rPr>
          <w:rFonts w:ascii="Book Antiqua" w:hAnsi="Book Antiqua"/>
        </w:rPr>
        <w:t>Administration</w:t>
      </w:r>
      <w:r w:rsidR="00FC0347">
        <w:rPr>
          <w:rFonts w:ascii="Book Antiqua" w:hAnsi="Book Antiqua"/>
        </w:rPr>
        <w:t xml:space="preserve"> of first dose of LMWH</w:t>
      </w:r>
      <w:r w:rsidRPr="00F12866">
        <w:rPr>
          <w:rFonts w:ascii="Book Antiqua" w:hAnsi="Book Antiqua"/>
        </w:rPr>
        <w:t>:</w:t>
      </w:r>
      <w:r w:rsidR="00963560" w:rsidRPr="00F12866">
        <w:rPr>
          <w:rFonts w:ascii="Book Antiqua" w:hAnsi="Book Antiqua"/>
          <w:b/>
          <w:bCs/>
        </w:rPr>
        <w:t xml:space="preserve"> </w:t>
      </w:r>
    </w:p>
    <w:p w14:paraId="2F52B793" w14:textId="74E11AFA" w:rsidR="001A508B" w:rsidRPr="00F12866" w:rsidRDefault="001A508B" w:rsidP="002137A7">
      <w:pPr>
        <w:spacing w:line="276" w:lineRule="auto"/>
        <w:ind w:left="360"/>
        <w:jc w:val="both"/>
        <w:rPr>
          <w:rFonts w:ascii="Book Antiqua" w:hAnsi="Book Antiqua"/>
          <w:b/>
          <w:bCs/>
        </w:rPr>
      </w:pPr>
      <w:r w:rsidRPr="00F12866">
        <w:rPr>
          <w:rFonts w:ascii="Book Antiqua" w:hAnsi="Book Antiqua"/>
        </w:rPr>
        <w:t xml:space="preserve">60% </w:t>
      </w:r>
      <w:r w:rsidR="0096483C">
        <w:rPr>
          <w:rFonts w:ascii="Book Antiqua" w:hAnsi="Book Antiqua"/>
        </w:rPr>
        <w:t>gave themselves</w:t>
      </w:r>
      <w:r w:rsidR="00963560" w:rsidRPr="00F12866">
        <w:rPr>
          <w:rFonts w:ascii="Book Antiqua" w:hAnsi="Book Antiqua"/>
        </w:rPr>
        <w:t xml:space="preserve"> the injection and the </w:t>
      </w:r>
      <w:r w:rsidR="0096483C">
        <w:rPr>
          <w:rFonts w:ascii="Book Antiqua" w:hAnsi="Book Antiqua"/>
        </w:rPr>
        <w:t>remaining</w:t>
      </w:r>
      <w:r w:rsidR="0096483C" w:rsidRPr="00F12866">
        <w:rPr>
          <w:rFonts w:ascii="Book Antiqua" w:hAnsi="Book Antiqua"/>
        </w:rPr>
        <w:t xml:space="preserve"> </w:t>
      </w:r>
      <w:r w:rsidR="00963560" w:rsidRPr="00F12866">
        <w:rPr>
          <w:rFonts w:ascii="Book Antiqua" w:hAnsi="Book Antiqua"/>
        </w:rPr>
        <w:t xml:space="preserve">40% </w:t>
      </w:r>
      <w:r w:rsidR="00FC0347">
        <w:rPr>
          <w:rFonts w:ascii="Book Antiqua" w:hAnsi="Book Antiqua"/>
        </w:rPr>
        <w:t>had</w:t>
      </w:r>
      <w:r w:rsidR="009661C3">
        <w:rPr>
          <w:rFonts w:ascii="Book Antiqua" w:hAnsi="Book Antiqua"/>
        </w:rPr>
        <w:t xml:space="preserve"> a</w:t>
      </w:r>
      <w:r w:rsidR="00963560" w:rsidRPr="00F12866">
        <w:rPr>
          <w:rFonts w:ascii="Book Antiqua" w:hAnsi="Book Antiqua"/>
        </w:rPr>
        <w:t xml:space="preserve"> family</w:t>
      </w:r>
      <w:r w:rsidR="009661C3">
        <w:rPr>
          <w:rFonts w:ascii="Book Antiqua" w:hAnsi="Book Antiqua"/>
        </w:rPr>
        <w:t xml:space="preserve"> member living with them </w:t>
      </w:r>
      <w:r w:rsidR="00875A41">
        <w:rPr>
          <w:rFonts w:ascii="Book Antiqua" w:hAnsi="Book Antiqua"/>
        </w:rPr>
        <w:t>who administered</w:t>
      </w:r>
      <w:r w:rsidR="00FC0347">
        <w:rPr>
          <w:rFonts w:ascii="Book Antiqua" w:hAnsi="Book Antiqua"/>
        </w:rPr>
        <w:t xml:space="preserve"> the injections</w:t>
      </w:r>
      <w:r w:rsidR="009661C3">
        <w:rPr>
          <w:rFonts w:ascii="Book Antiqua" w:hAnsi="Book Antiqua"/>
        </w:rPr>
        <w:t>. N</w:t>
      </w:r>
      <w:r w:rsidR="00FC0347">
        <w:rPr>
          <w:rFonts w:ascii="Book Antiqua" w:hAnsi="Book Antiqua"/>
        </w:rPr>
        <w:t xml:space="preserve">one of them </w:t>
      </w:r>
      <w:r w:rsidR="0096483C">
        <w:rPr>
          <w:rFonts w:ascii="Book Antiqua" w:hAnsi="Book Antiqua"/>
        </w:rPr>
        <w:t xml:space="preserve">needed </w:t>
      </w:r>
      <w:r w:rsidR="00FC0347">
        <w:rPr>
          <w:rFonts w:ascii="Book Antiqua" w:hAnsi="Book Antiqua"/>
        </w:rPr>
        <w:t xml:space="preserve">a district nurse </w:t>
      </w:r>
      <w:r w:rsidR="0096483C">
        <w:rPr>
          <w:rFonts w:ascii="Book Antiqua" w:hAnsi="Book Antiqua"/>
        </w:rPr>
        <w:t>to administer the injection</w:t>
      </w:r>
    </w:p>
    <w:p w14:paraId="135948B0" w14:textId="77777777" w:rsidR="00F12866" w:rsidRPr="00F12866" w:rsidRDefault="001A508B" w:rsidP="002137A7">
      <w:pPr>
        <w:pStyle w:val="ListParagraph"/>
        <w:numPr>
          <w:ilvl w:val="0"/>
          <w:numId w:val="1"/>
        </w:numPr>
        <w:spacing w:line="276" w:lineRule="auto"/>
        <w:jc w:val="both"/>
        <w:rPr>
          <w:rFonts w:ascii="Book Antiqua" w:hAnsi="Book Antiqua"/>
        </w:rPr>
      </w:pPr>
      <w:r w:rsidRPr="00F12866">
        <w:rPr>
          <w:rFonts w:ascii="Book Antiqua" w:hAnsi="Book Antiqua"/>
        </w:rPr>
        <w:t xml:space="preserve">Adherence: </w:t>
      </w:r>
    </w:p>
    <w:p w14:paraId="634649F3" w14:textId="74500142" w:rsidR="001A508B" w:rsidRDefault="001A508B" w:rsidP="00EF1C47">
      <w:pPr>
        <w:spacing w:line="276" w:lineRule="auto"/>
        <w:ind w:left="360"/>
        <w:jc w:val="both"/>
        <w:rPr>
          <w:rFonts w:ascii="Book Antiqua" w:hAnsi="Book Antiqua"/>
        </w:rPr>
      </w:pPr>
      <w:r w:rsidRPr="00F12866">
        <w:rPr>
          <w:rFonts w:ascii="Book Antiqua" w:hAnsi="Book Antiqua"/>
        </w:rPr>
        <w:t xml:space="preserve">50% of </w:t>
      </w:r>
      <w:r w:rsidR="00FC0347">
        <w:rPr>
          <w:rFonts w:ascii="Book Antiqua" w:hAnsi="Book Antiqua"/>
        </w:rPr>
        <w:t>respondents</w:t>
      </w:r>
      <w:r w:rsidRPr="00F12866">
        <w:rPr>
          <w:rFonts w:ascii="Book Antiqua" w:hAnsi="Book Antiqua"/>
        </w:rPr>
        <w:t xml:space="preserve"> said they had their injections </w:t>
      </w:r>
      <w:r w:rsidR="00FC0347">
        <w:rPr>
          <w:rFonts w:ascii="Book Antiqua" w:hAnsi="Book Antiqua"/>
        </w:rPr>
        <w:t>all</w:t>
      </w:r>
      <w:r w:rsidRPr="00F12866">
        <w:rPr>
          <w:rFonts w:ascii="Book Antiqua" w:hAnsi="Book Antiqua"/>
        </w:rPr>
        <w:t xml:space="preserve"> or most of the time, the other 50% admi</w:t>
      </w:r>
      <w:r w:rsidR="00FC0347">
        <w:rPr>
          <w:rFonts w:ascii="Book Antiqua" w:hAnsi="Book Antiqua"/>
        </w:rPr>
        <w:t>tted having it some of the time</w:t>
      </w:r>
      <w:r w:rsidRPr="00F12866">
        <w:rPr>
          <w:rFonts w:ascii="Book Antiqua" w:hAnsi="Book Antiqua"/>
        </w:rPr>
        <w:t>.</w:t>
      </w:r>
      <w:r w:rsidR="00923303">
        <w:rPr>
          <w:rFonts w:ascii="Book Antiqua" w:hAnsi="Book Antiqua"/>
        </w:rPr>
        <w:t xml:space="preserve"> </w:t>
      </w:r>
    </w:p>
    <w:p w14:paraId="1A8FCA18" w14:textId="43503283" w:rsidR="00EC126C" w:rsidRDefault="00FC0347" w:rsidP="002137A7">
      <w:pPr>
        <w:spacing w:line="276" w:lineRule="auto"/>
        <w:ind w:left="426"/>
        <w:jc w:val="both"/>
        <w:rPr>
          <w:rFonts w:ascii="Book Antiqua" w:hAnsi="Book Antiqua"/>
        </w:rPr>
      </w:pPr>
      <w:r>
        <w:rPr>
          <w:rFonts w:ascii="Book Antiqua" w:hAnsi="Book Antiqua"/>
        </w:rPr>
        <w:t xml:space="preserve">Reason for non-adherence </w:t>
      </w:r>
      <w:r w:rsidR="0096483C">
        <w:rPr>
          <w:rFonts w:ascii="Book Antiqua" w:hAnsi="Book Antiqua"/>
        </w:rPr>
        <w:t>included</w:t>
      </w:r>
      <w:r w:rsidR="001A508B">
        <w:rPr>
          <w:rFonts w:ascii="Book Antiqua" w:hAnsi="Book Antiqua"/>
        </w:rPr>
        <w:t xml:space="preserve"> problems with bleeding and bruising and one had a recurrent VTE</w:t>
      </w:r>
      <w:r w:rsidR="00963560">
        <w:rPr>
          <w:rFonts w:ascii="Book Antiqua" w:hAnsi="Book Antiqua"/>
        </w:rPr>
        <w:t xml:space="preserve"> two months after the diagnosis</w:t>
      </w:r>
      <w:r w:rsidR="001A508B">
        <w:rPr>
          <w:rFonts w:ascii="Book Antiqua" w:hAnsi="Book Antiqua"/>
        </w:rPr>
        <w:t>.</w:t>
      </w:r>
    </w:p>
    <w:p w14:paraId="1948B3E4" w14:textId="77777777" w:rsidR="00FC0347" w:rsidRPr="00FC0347" w:rsidRDefault="00FC0347" w:rsidP="002137A7">
      <w:pPr>
        <w:pStyle w:val="ListParagraph"/>
        <w:numPr>
          <w:ilvl w:val="0"/>
          <w:numId w:val="1"/>
        </w:numPr>
        <w:spacing w:line="276" w:lineRule="auto"/>
        <w:jc w:val="both"/>
        <w:rPr>
          <w:rFonts w:ascii="Book Antiqua" w:hAnsi="Book Antiqua"/>
        </w:rPr>
      </w:pPr>
      <w:r w:rsidRPr="00FC0347">
        <w:rPr>
          <w:rFonts w:ascii="Book Antiqua" w:hAnsi="Book Antiqua"/>
        </w:rPr>
        <w:t>Problems during administration of LMWH:</w:t>
      </w:r>
    </w:p>
    <w:p w14:paraId="1529FC03" w14:textId="506BABF6" w:rsidR="001A508B" w:rsidRDefault="00FC0347" w:rsidP="002137A7">
      <w:pPr>
        <w:spacing w:line="276" w:lineRule="auto"/>
        <w:ind w:left="426"/>
        <w:jc w:val="both"/>
        <w:rPr>
          <w:rFonts w:ascii="Book Antiqua" w:hAnsi="Book Antiqua"/>
        </w:rPr>
      </w:pPr>
      <w:r>
        <w:rPr>
          <w:rFonts w:ascii="Book Antiqua" w:hAnsi="Book Antiqua"/>
        </w:rPr>
        <w:t>70% respondents</w:t>
      </w:r>
      <w:r w:rsidR="001A508B">
        <w:rPr>
          <w:rFonts w:ascii="Book Antiqua" w:hAnsi="Book Antiqua"/>
        </w:rPr>
        <w:t xml:space="preserve"> reported knowing the 24 hour </w:t>
      </w:r>
      <w:r>
        <w:rPr>
          <w:rFonts w:ascii="Book Antiqua" w:hAnsi="Book Antiqua"/>
        </w:rPr>
        <w:t xml:space="preserve">emergency </w:t>
      </w:r>
      <w:r w:rsidR="001A508B">
        <w:rPr>
          <w:rFonts w:ascii="Book Antiqua" w:hAnsi="Book Antiqua"/>
        </w:rPr>
        <w:t xml:space="preserve">telephone number of AOS but they </w:t>
      </w:r>
      <w:r>
        <w:rPr>
          <w:rFonts w:ascii="Book Antiqua" w:hAnsi="Book Antiqua"/>
        </w:rPr>
        <w:t>did not</w:t>
      </w:r>
      <w:r w:rsidR="001A508B">
        <w:rPr>
          <w:rFonts w:ascii="Book Antiqua" w:hAnsi="Book Antiqua"/>
        </w:rPr>
        <w:t xml:space="preserve"> know who to call with questions that wer</w:t>
      </w:r>
      <w:r w:rsidR="00797BB2">
        <w:rPr>
          <w:rFonts w:ascii="Book Antiqua" w:hAnsi="Book Antiqua"/>
        </w:rPr>
        <w:t xml:space="preserve">e not an emergency. Just one </w:t>
      </w:r>
      <w:r>
        <w:rPr>
          <w:rFonts w:ascii="Book Antiqua" w:hAnsi="Book Antiqua"/>
        </w:rPr>
        <w:t>respondent</w:t>
      </w:r>
      <w:r w:rsidR="001A508B">
        <w:rPr>
          <w:rFonts w:ascii="Book Antiqua" w:hAnsi="Book Antiqua"/>
        </w:rPr>
        <w:t xml:space="preserve"> reported </w:t>
      </w:r>
      <w:r w:rsidR="009661C3">
        <w:rPr>
          <w:rFonts w:ascii="Book Antiqua" w:hAnsi="Book Antiqua"/>
        </w:rPr>
        <w:t xml:space="preserve">that </w:t>
      </w:r>
      <w:r w:rsidR="001A508B">
        <w:rPr>
          <w:rFonts w:ascii="Book Antiqua" w:hAnsi="Book Antiqua"/>
        </w:rPr>
        <w:t>they contacted the emergency phone when they had questions</w:t>
      </w:r>
      <w:r w:rsidR="00C366FB">
        <w:rPr>
          <w:rFonts w:ascii="Book Antiqua" w:hAnsi="Book Antiqua"/>
        </w:rPr>
        <w:t>.</w:t>
      </w:r>
      <w:r w:rsidR="00963560">
        <w:rPr>
          <w:rFonts w:ascii="Book Antiqua" w:hAnsi="Book Antiqua"/>
        </w:rPr>
        <w:t xml:space="preserve"> One patient wrote </w:t>
      </w:r>
      <w:r w:rsidR="00963560" w:rsidRPr="00FC0347">
        <w:rPr>
          <w:rFonts w:ascii="Book Antiqua" w:hAnsi="Book Antiqua"/>
          <w:i/>
          <w:iCs/>
        </w:rPr>
        <w:t>“We didn’t really know who to contact for what. We have many numbers but who is</w:t>
      </w:r>
      <w:r>
        <w:rPr>
          <w:rFonts w:ascii="Book Antiqua" w:hAnsi="Book Antiqua"/>
          <w:i/>
          <w:iCs/>
        </w:rPr>
        <w:t xml:space="preserve"> best</w:t>
      </w:r>
      <w:r w:rsidR="00963560" w:rsidRPr="00FC0347">
        <w:rPr>
          <w:rFonts w:ascii="Book Antiqua" w:hAnsi="Book Antiqua"/>
          <w:i/>
          <w:iCs/>
        </w:rPr>
        <w:t xml:space="preserve"> to call in case of regular questions?”</w:t>
      </w:r>
      <w:r w:rsidR="005F7185">
        <w:rPr>
          <w:rFonts w:ascii="Book Antiqua" w:hAnsi="Book Antiqua"/>
          <w:i/>
          <w:iCs/>
        </w:rPr>
        <w:t>(Respondent 9).</w:t>
      </w:r>
    </w:p>
    <w:p w14:paraId="06B5ABD3" w14:textId="00BCF0CD" w:rsidR="00963560" w:rsidRDefault="00FC0347" w:rsidP="002137A7">
      <w:pPr>
        <w:spacing w:line="276" w:lineRule="auto"/>
        <w:ind w:left="426"/>
        <w:jc w:val="both"/>
        <w:rPr>
          <w:rFonts w:ascii="Book Antiqua" w:hAnsi="Book Antiqua"/>
        </w:rPr>
      </w:pPr>
      <w:r>
        <w:rPr>
          <w:rFonts w:ascii="Book Antiqua" w:hAnsi="Book Antiqua"/>
        </w:rPr>
        <w:t>To the question</w:t>
      </w:r>
      <w:r w:rsidR="00133998">
        <w:rPr>
          <w:rFonts w:ascii="Book Antiqua" w:hAnsi="Book Antiqua"/>
        </w:rPr>
        <w:t>:</w:t>
      </w:r>
      <w:r>
        <w:rPr>
          <w:rFonts w:ascii="Book Antiqua" w:hAnsi="Book Antiqua"/>
        </w:rPr>
        <w:t xml:space="preserve"> </w:t>
      </w:r>
      <w:r w:rsidRPr="00FC0347">
        <w:rPr>
          <w:rFonts w:ascii="Book Antiqua" w:hAnsi="Book Antiqua"/>
        </w:rPr>
        <w:t>Have you had any question</w:t>
      </w:r>
      <w:r w:rsidR="00797BB2">
        <w:rPr>
          <w:rFonts w:ascii="Book Antiqua" w:hAnsi="Book Antiqua"/>
        </w:rPr>
        <w:t>s</w:t>
      </w:r>
      <w:r w:rsidRPr="00FC0347">
        <w:rPr>
          <w:rFonts w:ascii="Book Antiqua" w:hAnsi="Book Antiqua"/>
        </w:rPr>
        <w:t xml:space="preserve"> regarding your treatment?</w:t>
      </w:r>
      <w:r>
        <w:rPr>
          <w:rFonts w:ascii="Book Antiqua" w:hAnsi="Book Antiqua"/>
        </w:rPr>
        <w:t xml:space="preserve"> </w:t>
      </w:r>
      <w:r w:rsidR="00133998">
        <w:rPr>
          <w:rFonts w:ascii="Book Antiqua" w:hAnsi="Book Antiqua"/>
        </w:rPr>
        <w:t>The</w:t>
      </w:r>
      <w:r>
        <w:rPr>
          <w:rFonts w:ascii="Book Antiqua" w:hAnsi="Book Antiqua"/>
        </w:rPr>
        <w:t xml:space="preserve"> answers included</w:t>
      </w:r>
      <w:r w:rsidR="009661C3">
        <w:rPr>
          <w:rFonts w:ascii="Book Antiqua" w:hAnsi="Book Antiqua"/>
        </w:rPr>
        <w:t>: No</w:t>
      </w:r>
      <w:r w:rsidR="00963560">
        <w:rPr>
          <w:rFonts w:ascii="Book Antiqua" w:hAnsi="Book Antiqua"/>
        </w:rPr>
        <w:t>t knowing if they should give</w:t>
      </w:r>
      <w:r w:rsidR="009661C3">
        <w:rPr>
          <w:rFonts w:ascii="Book Antiqua" w:hAnsi="Book Antiqua"/>
        </w:rPr>
        <w:t xml:space="preserve"> an</w:t>
      </w:r>
      <w:r w:rsidR="00963560">
        <w:rPr>
          <w:rFonts w:ascii="Book Antiqua" w:hAnsi="Book Antiqua"/>
        </w:rPr>
        <w:t xml:space="preserve"> injection where there </w:t>
      </w:r>
      <w:r w:rsidR="009661C3">
        <w:rPr>
          <w:rFonts w:ascii="Book Antiqua" w:hAnsi="Book Antiqua"/>
        </w:rPr>
        <w:t>is bruising;</w:t>
      </w:r>
      <w:r w:rsidR="00963560">
        <w:rPr>
          <w:rFonts w:ascii="Book Antiqua" w:hAnsi="Book Antiqua"/>
        </w:rPr>
        <w:t xml:space="preserve"> not knowing they w</w:t>
      </w:r>
      <w:r w:rsidR="009661C3">
        <w:rPr>
          <w:rFonts w:ascii="Book Antiqua" w:hAnsi="Book Antiqua"/>
        </w:rPr>
        <w:t>ere going to bruise or bleed and also</w:t>
      </w:r>
      <w:r w:rsidR="00963560">
        <w:rPr>
          <w:rFonts w:ascii="Book Antiqua" w:hAnsi="Book Antiqua"/>
        </w:rPr>
        <w:t xml:space="preserve"> that they would have like</w:t>
      </w:r>
      <w:r w:rsidR="009661C3">
        <w:rPr>
          <w:rFonts w:ascii="Book Antiqua" w:hAnsi="Book Antiqua"/>
        </w:rPr>
        <w:t xml:space="preserve">d to have known that </w:t>
      </w:r>
      <w:r w:rsidR="00963560">
        <w:rPr>
          <w:rFonts w:ascii="Book Antiqua" w:hAnsi="Book Antiqua"/>
        </w:rPr>
        <w:t>the injection stings.</w:t>
      </w:r>
    </w:p>
    <w:p w14:paraId="028D81FE" w14:textId="1EA28519" w:rsidR="00C366FB" w:rsidRDefault="00963560" w:rsidP="002137A7">
      <w:pPr>
        <w:spacing w:line="276" w:lineRule="auto"/>
        <w:ind w:left="426"/>
        <w:jc w:val="both"/>
        <w:rPr>
          <w:rFonts w:ascii="Book Antiqua" w:hAnsi="Book Antiqua"/>
        </w:rPr>
      </w:pPr>
      <w:r>
        <w:rPr>
          <w:rFonts w:ascii="Book Antiqua" w:hAnsi="Book Antiqua"/>
        </w:rPr>
        <w:lastRenderedPageBreak/>
        <w:t>Regardless of</w:t>
      </w:r>
      <w:r w:rsidR="00C366FB">
        <w:rPr>
          <w:rFonts w:ascii="Book Antiqua" w:hAnsi="Book Antiqua"/>
        </w:rPr>
        <w:t xml:space="preserve"> </w:t>
      </w:r>
      <w:r w:rsidR="00411D2C">
        <w:rPr>
          <w:rFonts w:ascii="Book Antiqua" w:hAnsi="Book Antiqua"/>
        </w:rPr>
        <w:t>the fact that 70%</w:t>
      </w:r>
      <w:r w:rsidR="00C366FB">
        <w:rPr>
          <w:rFonts w:ascii="Book Antiqua" w:hAnsi="Book Antiqua"/>
        </w:rPr>
        <w:t xml:space="preserve">of </w:t>
      </w:r>
      <w:r w:rsidR="00411D2C">
        <w:rPr>
          <w:rFonts w:ascii="Book Antiqua" w:hAnsi="Book Antiqua"/>
        </w:rPr>
        <w:t>respondents felt</w:t>
      </w:r>
      <w:r w:rsidR="00C366FB">
        <w:rPr>
          <w:rFonts w:ascii="Book Antiqua" w:hAnsi="Book Antiqua"/>
        </w:rPr>
        <w:t xml:space="preserve"> there was nothing</w:t>
      </w:r>
      <w:r w:rsidR="00411D2C">
        <w:rPr>
          <w:rFonts w:ascii="Book Antiqua" w:hAnsi="Book Antiqua"/>
        </w:rPr>
        <w:t xml:space="preserve"> the staff</w:t>
      </w:r>
      <w:r w:rsidR="00C366FB">
        <w:rPr>
          <w:rFonts w:ascii="Book Antiqua" w:hAnsi="Book Antiqua"/>
        </w:rPr>
        <w:t xml:space="preserve"> could have done to make their treatment easy in the next question</w:t>
      </w:r>
      <w:r w:rsidR="00427259">
        <w:rPr>
          <w:rFonts w:ascii="Book Antiqua" w:hAnsi="Book Antiqua"/>
        </w:rPr>
        <w:t>:</w:t>
      </w:r>
      <w:r w:rsidR="00C366FB">
        <w:rPr>
          <w:rFonts w:ascii="Book Antiqua" w:hAnsi="Book Antiqua"/>
        </w:rPr>
        <w:t xml:space="preserve"> </w:t>
      </w:r>
      <w:r w:rsidR="00411D2C">
        <w:rPr>
          <w:rFonts w:ascii="Book Antiqua" w:hAnsi="Book Antiqua"/>
        </w:rPr>
        <w:t xml:space="preserve"> </w:t>
      </w:r>
      <w:r w:rsidR="00411D2C" w:rsidRPr="00411D2C">
        <w:rPr>
          <w:rFonts w:ascii="Book Antiqua" w:hAnsi="Book Antiqua" w:cs="Georgia"/>
        </w:rPr>
        <w:t>Any comment/suggestion of how to treat or inform the patients?</w:t>
      </w:r>
      <w:r w:rsidR="00411D2C">
        <w:rPr>
          <w:rFonts w:cs="Georgia"/>
        </w:rPr>
        <w:t xml:space="preserve"> </w:t>
      </w:r>
      <w:r w:rsidR="00C366FB">
        <w:rPr>
          <w:rFonts w:ascii="Book Antiqua" w:hAnsi="Book Antiqua"/>
        </w:rPr>
        <w:t>70 % thought more information</w:t>
      </w:r>
      <w:r w:rsidR="005D0C38">
        <w:rPr>
          <w:rFonts w:ascii="Book Antiqua" w:hAnsi="Book Antiqua"/>
        </w:rPr>
        <w:t xml:space="preserve"> before and after</w:t>
      </w:r>
      <w:r w:rsidR="00C366FB">
        <w:rPr>
          <w:rFonts w:ascii="Book Antiqua" w:hAnsi="Book Antiqua"/>
        </w:rPr>
        <w:t xml:space="preserve"> would be beneficial.</w:t>
      </w:r>
    </w:p>
    <w:p w14:paraId="09C09391" w14:textId="10C3E57C" w:rsidR="00F12866" w:rsidRDefault="00963560" w:rsidP="005F7185">
      <w:pPr>
        <w:spacing w:line="276" w:lineRule="auto"/>
        <w:ind w:left="426"/>
        <w:jc w:val="both"/>
        <w:rPr>
          <w:rFonts w:ascii="Book Antiqua" w:hAnsi="Book Antiqua"/>
        </w:rPr>
      </w:pPr>
      <w:r>
        <w:rPr>
          <w:rFonts w:ascii="Book Antiqua" w:hAnsi="Book Antiqua"/>
        </w:rPr>
        <w:t xml:space="preserve">The service </w:t>
      </w:r>
      <w:r w:rsidR="005D0C38">
        <w:rPr>
          <w:rFonts w:ascii="Book Antiqua" w:hAnsi="Book Antiqua"/>
        </w:rPr>
        <w:t>from AOS was considered ‘</w:t>
      </w:r>
      <w:r w:rsidR="005D0C38" w:rsidRPr="00411D2C">
        <w:rPr>
          <w:rFonts w:ascii="Book Antiqua" w:hAnsi="Book Antiqua"/>
          <w:i/>
          <w:iCs/>
        </w:rPr>
        <w:t>efficient’, ‘very good’</w:t>
      </w:r>
      <w:r w:rsidR="005D0C38">
        <w:rPr>
          <w:rFonts w:ascii="Book Antiqua" w:hAnsi="Book Antiqua"/>
        </w:rPr>
        <w:t xml:space="preserve"> and </w:t>
      </w:r>
      <w:r w:rsidR="005D0C38" w:rsidRPr="00411D2C">
        <w:rPr>
          <w:rFonts w:ascii="Book Antiqua" w:hAnsi="Book Antiqua"/>
          <w:i/>
          <w:iCs/>
        </w:rPr>
        <w:t>‘helpful’</w:t>
      </w:r>
      <w:r w:rsidR="005D0C38">
        <w:rPr>
          <w:rFonts w:ascii="Book Antiqua" w:hAnsi="Book Antiqua"/>
        </w:rPr>
        <w:t xml:space="preserve">. One </w:t>
      </w:r>
      <w:r w:rsidR="00411D2C">
        <w:rPr>
          <w:rFonts w:ascii="Book Antiqua" w:hAnsi="Book Antiqua"/>
        </w:rPr>
        <w:t>respondent</w:t>
      </w:r>
      <w:r w:rsidR="005D0C38">
        <w:rPr>
          <w:rFonts w:ascii="Book Antiqua" w:hAnsi="Book Antiqua"/>
        </w:rPr>
        <w:t xml:space="preserve"> said it was stressful coming back to clinic </w:t>
      </w:r>
      <w:r w:rsidR="0096483C">
        <w:rPr>
          <w:rFonts w:ascii="Book Antiqua" w:hAnsi="Book Antiqua"/>
        </w:rPr>
        <w:t xml:space="preserve">and </w:t>
      </w:r>
      <w:r w:rsidR="00411D2C">
        <w:rPr>
          <w:rFonts w:ascii="Book Antiqua" w:hAnsi="Book Antiqua"/>
        </w:rPr>
        <w:t>commented</w:t>
      </w:r>
      <w:r w:rsidR="005D0C38">
        <w:rPr>
          <w:rFonts w:ascii="Book Antiqua" w:hAnsi="Book Antiqua"/>
        </w:rPr>
        <w:t xml:space="preserve"> </w:t>
      </w:r>
      <w:r w:rsidR="00411D2C" w:rsidRPr="00411D2C">
        <w:rPr>
          <w:rFonts w:ascii="Book Antiqua" w:hAnsi="Book Antiqua"/>
          <w:i/>
          <w:iCs/>
        </w:rPr>
        <w:t>“</w:t>
      </w:r>
      <w:r w:rsidR="0096483C">
        <w:rPr>
          <w:rFonts w:ascii="Book Antiqua" w:hAnsi="Book Antiqua"/>
          <w:i/>
          <w:iCs/>
        </w:rPr>
        <w:t xml:space="preserve">I </w:t>
      </w:r>
      <w:r w:rsidR="005D0C38" w:rsidRPr="00411D2C">
        <w:rPr>
          <w:rFonts w:ascii="Book Antiqua" w:hAnsi="Book Antiqua"/>
          <w:i/>
          <w:iCs/>
        </w:rPr>
        <w:t xml:space="preserve">felt the doctor assumed </w:t>
      </w:r>
      <w:r w:rsidR="00411D2C" w:rsidRPr="00411D2C">
        <w:rPr>
          <w:rFonts w:ascii="Book Antiqua" w:hAnsi="Book Antiqua"/>
          <w:i/>
          <w:iCs/>
        </w:rPr>
        <w:t>I</w:t>
      </w:r>
      <w:r w:rsidR="005D0C38" w:rsidRPr="00411D2C">
        <w:rPr>
          <w:rFonts w:ascii="Book Antiqua" w:hAnsi="Book Antiqua"/>
          <w:i/>
          <w:iCs/>
        </w:rPr>
        <w:t xml:space="preserve"> had to know the treatment and length of treatment</w:t>
      </w:r>
      <w:r w:rsidR="005F7185">
        <w:rPr>
          <w:rFonts w:ascii="Book Antiqua" w:hAnsi="Book Antiqua"/>
        </w:rPr>
        <w:t xml:space="preserve">” </w:t>
      </w:r>
      <w:r w:rsidR="005F7185" w:rsidRPr="005F7185">
        <w:rPr>
          <w:rFonts w:ascii="Book Antiqua" w:hAnsi="Book Antiqua"/>
          <w:i/>
          <w:iCs/>
        </w:rPr>
        <w:t>(respondent 8)</w:t>
      </w:r>
      <w:r w:rsidR="005D0C38">
        <w:rPr>
          <w:rFonts w:ascii="Book Antiqua" w:hAnsi="Book Antiqua"/>
        </w:rPr>
        <w:t xml:space="preserve"> and </w:t>
      </w:r>
      <w:r w:rsidR="00411D2C">
        <w:rPr>
          <w:rFonts w:ascii="Book Antiqua" w:hAnsi="Book Antiqua"/>
        </w:rPr>
        <w:t>another</w:t>
      </w:r>
      <w:r w:rsidR="005D0C38">
        <w:rPr>
          <w:rFonts w:ascii="Book Antiqua" w:hAnsi="Book Antiqua"/>
        </w:rPr>
        <w:t xml:space="preserve"> said “</w:t>
      </w:r>
      <w:r w:rsidR="005D0C38" w:rsidRPr="00411D2C">
        <w:rPr>
          <w:rFonts w:ascii="Book Antiqua" w:hAnsi="Book Antiqua"/>
          <w:i/>
          <w:iCs/>
        </w:rPr>
        <w:t>didn’t know I could get another clot even having the treatment</w:t>
      </w:r>
      <w:r w:rsidR="00411D2C">
        <w:rPr>
          <w:rFonts w:ascii="Book Antiqua" w:hAnsi="Book Antiqua"/>
          <w:i/>
          <w:iCs/>
        </w:rPr>
        <w:t xml:space="preserve"> (</w:t>
      </w:r>
      <w:r w:rsidR="00411D2C">
        <w:rPr>
          <w:rFonts w:ascii="Book Antiqua" w:hAnsi="Book Antiqua"/>
        </w:rPr>
        <w:t>LMWH</w:t>
      </w:r>
      <w:r w:rsidR="00411D2C">
        <w:rPr>
          <w:rFonts w:ascii="Book Antiqua" w:hAnsi="Book Antiqua"/>
          <w:i/>
          <w:iCs/>
        </w:rPr>
        <w:t>)</w:t>
      </w:r>
      <w:r w:rsidR="008008BE" w:rsidRPr="00411D2C">
        <w:rPr>
          <w:rFonts w:ascii="Book Antiqua" w:hAnsi="Book Antiqua"/>
          <w:i/>
          <w:iCs/>
        </w:rPr>
        <w:t>”</w:t>
      </w:r>
      <w:r w:rsidR="008008BE">
        <w:rPr>
          <w:rFonts w:ascii="Book Antiqua" w:hAnsi="Book Antiqua"/>
          <w:i/>
          <w:iCs/>
        </w:rPr>
        <w:t xml:space="preserve"> (</w:t>
      </w:r>
      <w:r w:rsidR="005F7185">
        <w:rPr>
          <w:rFonts w:ascii="Book Antiqua" w:hAnsi="Book Antiqua"/>
          <w:i/>
          <w:iCs/>
        </w:rPr>
        <w:t>respondent 10)</w:t>
      </w:r>
      <w:r w:rsidR="00F12866">
        <w:rPr>
          <w:rFonts w:ascii="Book Antiqua" w:hAnsi="Book Antiqua"/>
        </w:rPr>
        <w:t>.</w:t>
      </w:r>
    </w:p>
    <w:p w14:paraId="3BE9CE30" w14:textId="77777777" w:rsidR="00EC126C" w:rsidRPr="005D0C38" w:rsidRDefault="005D0C38" w:rsidP="002137A7">
      <w:pPr>
        <w:spacing w:line="276" w:lineRule="auto"/>
        <w:jc w:val="both"/>
        <w:rPr>
          <w:rFonts w:ascii="Book Antiqua" w:hAnsi="Book Antiqua"/>
          <w:b/>
          <w:bCs/>
        </w:rPr>
      </w:pPr>
      <w:r w:rsidRPr="005D0C38">
        <w:rPr>
          <w:rFonts w:ascii="Book Antiqua" w:hAnsi="Book Antiqua"/>
          <w:b/>
          <w:bCs/>
        </w:rPr>
        <w:t>Discussion:</w:t>
      </w:r>
    </w:p>
    <w:p w14:paraId="41C157F3" w14:textId="3B169B51" w:rsidR="006078FB" w:rsidRDefault="00F76DDD" w:rsidP="00BF36AE">
      <w:pPr>
        <w:spacing w:line="276" w:lineRule="auto"/>
        <w:jc w:val="both"/>
        <w:rPr>
          <w:rFonts w:ascii="Book Antiqua" w:hAnsi="Book Antiqua"/>
        </w:rPr>
      </w:pPr>
      <w:r>
        <w:rPr>
          <w:rFonts w:ascii="Book Antiqua" w:hAnsi="Book Antiqua"/>
        </w:rPr>
        <w:t>Whilst the audit was limited in size</w:t>
      </w:r>
      <w:r w:rsidR="004E20E1">
        <w:rPr>
          <w:rFonts w:ascii="Book Antiqua" w:hAnsi="Book Antiqua"/>
        </w:rPr>
        <w:t>,</w:t>
      </w:r>
      <w:r>
        <w:rPr>
          <w:rFonts w:ascii="Book Antiqua" w:hAnsi="Book Antiqua"/>
        </w:rPr>
        <w:t xml:space="preserve"> </w:t>
      </w:r>
      <w:r w:rsidR="009661C3">
        <w:rPr>
          <w:rFonts w:ascii="Book Antiqua" w:hAnsi="Book Antiqua"/>
        </w:rPr>
        <w:t>this</w:t>
      </w:r>
      <w:r w:rsidR="00F9333D">
        <w:rPr>
          <w:rFonts w:ascii="Book Antiqua" w:hAnsi="Book Antiqua"/>
        </w:rPr>
        <w:t xml:space="preserve"> data </w:t>
      </w:r>
      <w:r w:rsidR="004E0F0F">
        <w:rPr>
          <w:rFonts w:ascii="Book Antiqua" w:hAnsi="Book Antiqua"/>
        </w:rPr>
        <w:t>provides</w:t>
      </w:r>
      <w:r w:rsidR="00F9333D">
        <w:rPr>
          <w:rFonts w:ascii="Book Antiqua" w:hAnsi="Book Antiqua"/>
        </w:rPr>
        <w:t xml:space="preserve"> useful information about participants’ experiences. Although most respondents felt positive overall about their treatment they </w:t>
      </w:r>
      <w:r w:rsidR="0096483C">
        <w:rPr>
          <w:rFonts w:ascii="Book Antiqua" w:hAnsi="Book Antiqua"/>
        </w:rPr>
        <w:t xml:space="preserve">felt they had a lack </w:t>
      </w:r>
      <w:r w:rsidR="00532505">
        <w:rPr>
          <w:rFonts w:ascii="Book Antiqua" w:hAnsi="Book Antiqua"/>
        </w:rPr>
        <w:t>of information</w:t>
      </w:r>
      <w:r w:rsidR="0084394E">
        <w:rPr>
          <w:rFonts w:ascii="Book Antiqua" w:hAnsi="Book Antiqua"/>
        </w:rPr>
        <w:t>.</w:t>
      </w:r>
      <w:r>
        <w:rPr>
          <w:rFonts w:ascii="Book Antiqua" w:hAnsi="Book Antiqua"/>
        </w:rPr>
        <w:t xml:space="preserve"> </w:t>
      </w:r>
      <w:r w:rsidR="006078FB">
        <w:rPr>
          <w:rFonts w:ascii="Book Antiqua" w:hAnsi="Book Antiqua"/>
        </w:rPr>
        <w:t>The NICE guidelines for VTE (201</w:t>
      </w:r>
      <w:r w:rsidR="00BF36AE">
        <w:rPr>
          <w:rFonts w:ascii="Book Antiqua" w:hAnsi="Book Antiqua"/>
        </w:rPr>
        <w:t>3</w:t>
      </w:r>
      <w:r w:rsidR="006078FB">
        <w:rPr>
          <w:rFonts w:ascii="Book Antiqua" w:hAnsi="Book Antiqua"/>
        </w:rPr>
        <w:t>) specify healthcare professionals should give patient</w:t>
      </w:r>
      <w:r w:rsidR="00F9333D">
        <w:rPr>
          <w:rFonts w:ascii="Book Antiqua" w:hAnsi="Book Antiqua"/>
        </w:rPr>
        <w:t>s</w:t>
      </w:r>
      <w:r w:rsidR="006078FB">
        <w:rPr>
          <w:rFonts w:ascii="Book Antiqua" w:hAnsi="Book Antiqua"/>
        </w:rPr>
        <w:t xml:space="preserve"> </w:t>
      </w:r>
      <w:r w:rsidR="0096483C">
        <w:rPr>
          <w:rFonts w:ascii="Book Antiqua" w:hAnsi="Book Antiqua"/>
        </w:rPr>
        <w:t xml:space="preserve">both </w:t>
      </w:r>
      <w:r w:rsidR="006078FB">
        <w:rPr>
          <w:rFonts w:ascii="Book Antiqua" w:hAnsi="Book Antiqua"/>
        </w:rPr>
        <w:t>verbal and written information about treatment.</w:t>
      </w:r>
      <w:r w:rsidR="00F9333D">
        <w:rPr>
          <w:rFonts w:ascii="Book Antiqua" w:hAnsi="Book Antiqua"/>
        </w:rPr>
        <w:t xml:space="preserve"> However</w:t>
      </w:r>
      <w:r>
        <w:rPr>
          <w:rFonts w:ascii="Book Antiqua" w:hAnsi="Book Antiqua"/>
        </w:rPr>
        <w:t>,</w:t>
      </w:r>
      <w:r w:rsidR="00F9333D">
        <w:rPr>
          <w:rFonts w:ascii="Book Antiqua" w:hAnsi="Book Antiqua"/>
        </w:rPr>
        <w:t xml:space="preserve"> </w:t>
      </w:r>
      <w:r w:rsidR="0096483C">
        <w:rPr>
          <w:rFonts w:ascii="Book Antiqua" w:hAnsi="Book Antiqua"/>
        </w:rPr>
        <w:t>in the Trust where the audit was conducted there is no specific</w:t>
      </w:r>
      <w:r>
        <w:rPr>
          <w:rFonts w:ascii="Book Antiqua" w:hAnsi="Book Antiqua"/>
        </w:rPr>
        <w:t xml:space="preserve"> </w:t>
      </w:r>
      <w:r w:rsidR="006078FB">
        <w:rPr>
          <w:rFonts w:ascii="Book Antiqua" w:hAnsi="Book Antiqua"/>
        </w:rPr>
        <w:t xml:space="preserve">written information </w:t>
      </w:r>
      <w:r>
        <w:rPr>
          <w:rFonts w:ascii="Book Antiqua" w:hAnsi="Book Antiqua"/>
        </w:rPr>
        <w:t>to offer</w:t>
      </w:r>
      <w:r w:rsidR="0096483C">
        <w:rPr>
          <w:rFonts w:ascii="Book Antiqua" w:hAnsi="Book Antiqua"/>
        </w:rPr>
        <w:t xml:space="preserve"> </w:t>
      </w:r>
      <w:r w:rsidR="006078FB">
        <w:rPr>
          <w:rFonts w:ascii="Book Antiqua" w:hAnsi="Book Antiqua"/>
        </w:rPr>
        <w:t xml:space="preserve">patients </w:t>
      </w:r>
      <w:r w:rsidR="009661C3">
        <w:rPr>
          <w:rFonts w:ascii="Book Antiqua" w:hAnsi="Book Antiqua"/>
        </w:rPr>
        <w:t>with cancer. W</w:t>
      </w:r>
      <w:r w:rsidR="00532505">
        <w:rPr>
          <w:rFonts w:ascii="Book Antiqua" w:hAnsi="Book Antiqua"/>
        </w:rPr>
        <w:t>hilst many</w:t>
      </w:r>
      <w:r w:rsidR="0096483C">
        <w:rPr>
          <w:rFonts w:ascii="Book Antiqua" w:hAnsi="Book Antiqua"/>
        </w:rPr>
        <w:t xml:space="preserve"> </w:t>
      </w:r>
      <w:r w:rsidR="00532505">
        <w:rPr>
          <w:rFonts w:ascii="Book Antiqua" w:hAnsi="Book Antiqua"/>
        </w:rPr>
        <w:t>reported receiving</w:t>
      </w:r>
      <w:r w:rsidR="006078FB">
        <w:rPr>
          <w:rFonts w:ascii="Book Antiqua" w:hAnsi="Book Antiqua"/>
        </w:rPr>
        <w:t xml:space="preserve"> verbal information</w:t>
      </w:r>
      <w:r>
        <w:rPr>
          <w:rFonts w:ascii="Book Antiqua" w:hAnsi="Book Antiqua"/>
        </w:rPr>
        <w:t>,</w:t>
      </w:r>
      <w:r w:rsidR="006078FB">
        <w:rPr>
          <w:rFonts w:ascii="Book Antiqua" w:hAnsi="Book Antiqua"/>
        </w:rPr>
        <w:t xml:space="preserve"> </w:t>
      </w:r>
      <w:r w:rsidR="0096483C">
        <w:rPr>
          <w:rFonts w:ascii="Book Antiqua" w:hAnsi="Book Antiqua"/>
        </w:rPr>
        <w:t>they often felt</w:t>
      </w:r>
      <w:r w:rsidR="006078FB">
        <w:rPr>
          <w:rFonts w:ascii="Book Antiqua" w:hAnsi="Book Antiqua"/>
        </w:rPr>
        <w:t xml:space="preserve"> confused </w:t>
      </w:r>
      <w:r w:rsidR="00532505">
        <w:rPr>
          <w:rFonts w:ascii="Book Antiqua" w:hAnsi="Book Antiqua"/>
        </w:rPr>
        <w:t>and reported</w:t>
      </w:r>
      <w:r w:rsidR="006078FB">
        <w:rPr>
          <w:rFonts w:ascii="Book Antiqua" w:hAnsi="Book Antiqua"/>
        </w:rPr>
        <w:t xml:space="preserve"> they were lacking </w:t>
      </w:r>
      <w:r w:rsidR="0096483C">
        <w:rPr>
          <w:rFonts w:ascii="Book Antiqua" w:hAnsi="Book Antiqua"/>
        </w:rPr>
        <w:t>certain</w:t>
      </w:r>
      <w:r w:rsidR="009661C3">
        <w:rPr>
          <w:rFonts w:ascii="Book Antiqua" w:hAnsi="Book Antiqua"/>
        </w:rPr>
        <w:t xml:space="preserve"> aspects</w:t>
      </w:r>
      <w:r w:rsidR="0096483C">
        <w:rPr>
          <w:rFonts w:ascii="Book Antiqua" w:hAnsi="Book Antiqua"/>
        </w:rPr>
        <w:t xml:space="preserve"> </w:t>
      </w:r>
      <w:r w:rsidR="006078FB">
        <w:rPr>
          <w:rFonts w:ascii="Book Antiqua" w:hAnsi="Book Antiqua"/>
        </w:rPr>
        <w:t>information</w:t>
      </w:r>
      <w:r w:rsidR="009661C3">
        <w:rPr>
          <w:rFonts w:ascii="Book Antiqua" w:hAnsi="Book Antiqua"/>
        </w:rPr>
        <w:t xml:space="preserve"> such as the questions </w:t>
      </w:r>
      <w:r w:rsidR="00294472">
        <w:rPr>
          <w:rFonts w:ascii="Book Antiqua" w:hAnsi="Book Antiqua"/>
        </w:rPr>
        <w:t xml:space="preserve">exposed of the administration </w:t>
      </w:r>
      <w:r w:rsidR="004E0F0F">
        <w:rPr>
          <w:rFonts w:ascii="Book Antiqua" w:hAnsi="Book Antiqua"/>
        </w:rPr>
        <w:t>of LMWH</w:t>
      </w:r>
      <w:r w:rsidR="006078FB">
        <w:rPr>
          <w:rFonts w:ascii="Book Antiqua" w:hAnsi="Book Antiqua"/>
        </w:rPr>
        <w:t>.</w:t>
      </w:r>
      <w:r w:rsidR="00F9333D" w:rsidRPr="00F9333D">
        <w:rPr>
          <w:rFonts w:ascii="Book Antiqua" w:hAnsi="Book Antiqua"/>
        </w:rPr>
        <w:t xml:space="preserve"> </w:t>
      </w:r>
    </w:p>
    <w:p w14:paraId="11B003BD" w14:textId="6A26AA8B" w:rsidR="00676809" w:rsidRDefault="0096483C" w:rsidP="002137A7">
      <w:pPr>
        <w:spacing w:line="276" w:lineRule="auto"/>
        <w:jc w:val="both"/>
        <w:rPr>
          <w:rFonts w:ascii="Book Antiqua" w:hAnsi="Book Antiqua"/>
        </w:rPr>
      </w:pPr>
      <w:r>
        <w:rPr>
          <w:rFonts w:ascii="Book Antiqua" w:hAnsi="Book Antiqua"/>
        </w:rPr>
        <w:t>T</w:t>
      </w:r>
      <w:r w:rsidR="00F76DDD">
        <w:rPr>
          <w:rFonts w:ascii="Book Antiqua" w:hAnsi="Book Antiqua"/>
        </w:rPr>
        <w:t xml:space="preserve">he audit aimed to examine </w:t>
      </w:r>
      <w:r w:rsidR="00923303">
        <w:rPr>
          <w:rFonts w:ascii="Book Antiqua" w:hAnsi="Book Antiqua"/>
        </w:rPr>
        <w:t xml:space="preserve">adherence to the treatment. </w:t>
      </w:r>
      <w:r w:rsidR="00676809">
        <w:rPr>
          <w:rFonts w:ascii="Book Antiqua" w:hAnsi="Book Antiqua"/>
        </w:rPr>
        <w:t xml:space="preserve">Greenhalgh (2010) argues that some self-completion questionnaires have demonstrated discrepancies between answers and actual practice. </w:t>
      </w:r>
      <w:r w:rsidR="001A59B4">
        <w:rPr>
          <w:rFonts w:ascii="Book Antiqua" w:hAnsi="Book Antiqua"/>
        </w:rPr>
        <w:t>P</w:t>
      </w:r>
      <w:r w:rsidR="00676809">
        <w:rPr>
          <w:rFonts w:ascii="Book Antiqua" w:hAnsi="Book Antiqua"/>
        </w:rPr>
        <w:t xml:space="preserve">articipants can feel prone to answer what they think is perceived </w:t>
      </w:r>
      <w:r w:rsidR="001A59B4">
        <w:rPr>
          <w:rFonts w:ascii="Book Antiqua" w:hAnsi="Book Antiqua"/>
        </w:rPr>
        <w:t>to be a</w:t>
      </w:r>
      <w:r w:rsidR="00676809">
        <w:rPr>
          <w:rFonts w:ascii="Book Antiqua" w:hAnsi="Book Antiqua"/>
        </w:rPr>
        <w:t xml:space="preserve"> positive answer. Despite this</w:t>
      </w:r>
      <w:r w:rsidR="00F76DDD">
        <w:rPr>
          <w:rFonts w:ascii="Book Antiqua" w:hAnsi="Book Antiqua"/>
        </w:rPr>
        <w:t xml:space="preserve"> fact</w:t>
      </w:r>
      <w:r w:rsidR="00EF1C47">
        <w:rPr>
          <w:rFonts w:ascii="Book Antiqua" w:hAnsi="Book Antiqua"/>
        </w:rPr>
        <w:t>,</w:t>
      </w:r>
      <w:r w:rsidR="00676809">
        <w:rPr>
          <w:rFonts w:ascii="Book Antiqua" w:hAnsi="Book Antiqua"/>
        </w:rPr>
        <w:t xml:space="preserve"> 50% of</w:t>
      </w:r>
      <w:r w:rsidR="001A59B4">
        <w:rPr>
          <w:rFonts w:ascii="Book Antiqua" w:hAnsi="Book Antiqua"/>
        </w:rPr>
        <w:t xml:space="preserve"> </w:t>
      </w:r>
      <w:r w:rsidR="00EF1C47">
        <w:rPr>
          <w:rFonts w:ascii="Book Antiqua" w:hAnsi="Book Antiqua"/>
        </w:rPr>
        <w:t>the total</w:t>
      </w:r>
      <w:r w:rsidR="00294472">
        <w:rPr>
          <w:rFonts w:ascii="Book Antiqua" w:hAnsi="Book Antiqua"/>
        </w:rPr>
        <w:t xml:space="preserve"> number</w:t>
      </w:r>
      <w:r w:rsidR="00EF1C47">
        <w:rPr>
          <w:rFonts w:ascii="Book Antiqua" w:hAnsi="Book Antiqua"/>
        </w:rPr>
        <w:t xml:space="preserve"> of </w:t>
      </w:r>
      <w:r w:rsidR="00676809">
        <w:rPr>
          <w:rFonts w:ascii="Book Antiqua" w:hAnsi="Book Antiqua"/>
        </w:rPr>
        <w:t xml:space="preserve">patients </w:t>
      </w:r>
      <w:r w:rsidR="00EF1C47">
        <w:rPr>
          <w:rFonts w:ascii="Book Antiqua" w:hAnsi="Book Antiqua"/>
        </w:rPr>
        <w:t xml:space="preserve">interviewed </w:t>
      </w:r>
      <w:r w:rsidR="001A59B4">
        <w:rPr>
          <w:rFonts w:ascii="Book Antiqua" w:hAnsi="Book Antiqua"/>
        </w:rPr>
        <w:t>reported they had not given themselves all the prescribed injections</w:t>
      </w:r>
      <w:r w:rsidR="00EF1C47">
        <w:rPr>
          <w:rFonts w:ascii="Book Antiqua" w:hAnsi="Book Antiqua"/>
        </w:rPr>
        <w:t>.</w:t>
      </w:r>
    </w:p>
    <w:p w14:paraId="288C2D19" w14:textId="185F87A3" w:rsidR="002137A7" w:rsidRDefault="00EF1C47" w:rsidP="005F7185">
      <w:pPr>
        <w:spacing w:line="276" w:lineRule="auto"/>
        <w:jc w:val="both"/>
        <w:rPr>
          <w:rFonts w:ascii="Book Antiqua" w:hAnsi="Book Antiqua"/>
        </w:rPr>
      </w:pPr>
      <w:r>
        <w:rPr>
          <w:rFonts w:ascii="Book Antiqua" w:hAnsi="Book Antiqua"/>
        </w:rPr>
        <w:t>When comparing incidental VTE with symptomatic VTE</w:t>
      </w:r>
      <w:r w:rsidR="00797BB2">
        <w:rPr>
          <w:rFonts w:ascii="Book Antiqua" w:hAnsi="Book Antiqua"/>
        </w:rPr>
        <w:t>,</w:t>
      </w:r>
      <w:r>
        <w:rPr>
          <w:rFonts w:ascii="Book Antiqua" w:hAnsi="Book Antiqua"/>
        </w:rPr>
        <w:t xml:space="preserve"> </w:t>
      </w:r>
      <w:r w:rsidR="00676809">
        <w:rPr>
          <w:rFonts w:ascii="Book Antiqua" w:hAnsi="Book Antiqua"/>
        </w:rPr>
        <w:t>80% of the respondents with a symptomatic VTE answer</w:t>
      </w:r>
      <w:r w:rsidR="00F76DDD">
        <w:rPr>
          <w:rFonts w:ascii="Book Antiqua" w:hAnsi="Book Antiqua"/>
        </w:rPr>
        <w:t>ed</w:t>
      </w:r>
      <w:r w:rsidR="00676809">
        <w:rPr>
          <w:rFonts w:ascii="Book Antiqua" w:hAnsi="Book Antiqua"/>
        </w:rPr>
        <w:t xml:space="preserve"> </w:t>
      </w:r>
      <w:r w:rsidR="00294472">
        <w:rPr>
          <w:rFonts w:ascii="Book Antiqua" w:hAnsi="Book Antiqua"/>
        </w:rPr>
        <w:t xml:space="preserve">that </w:t>
      </w:r>
      <w:r w:rsidR="00676809">
        <w:rPr>
          <w:rFonts w:ascii="Book Antiqua" w:hAnsi="Book Antiqua"/>
        </w:rPr>
        <w:t xml:space="preserve">they </w:t>
      </w:r>
      <w:r w:rsidR="00F76DDD">
        <w:rPr>
          <w:rFonts w:ascii="Book Antiqua" w:hAnsi="Book Antiqua"/>
        </w:rPr>
        <w:t>administered</w:t>
      </w:r>
      <w:r w:rsidR="00676809">
        <w:rPr>
          <w:rFonts w:ascii="Book Antiqua" w:hAnsi="Book Antiqua"/>
        </w:rPr>
        <w:t xml:space="preserve"> all the </w:t>
      </w:r>
      <w:r w:rsidR="00F76DDD">
        <w:rPr>
          <w:rFonts w:ascii="Book Antiqua" w:hAnsi="Book Antiqua"/>
        </w:rPr>
        <w:t xml:space="preserve">necessary </w:t>
      </w:r>
      <w:r w:rsidR="00676809">
        <w:rPr>
          <w:rFonts w:ascii="Book Antiqua" w:hAnsi="Book Antiqua"/>
        </w:rPr>
        <w:t>injectio</w:t>
      </w:r>
      <w:r w:rsidR="00F76DDD">
        <w:rPr>
          <w:rFonts w:ascii="Book Antiqua" w:hAnsi="Book Antiqua"/>
        </w:rPr>
        <w:t>ns</w:t>
      </w:r>
      <w:r w:rsidR="00294472">
        <w:rPr>
          <w:rFonts w:ascii="Book Antiqua" w:hAnsi="Book Antiqua"/>
        </w:rPr>
        <w:t>,</w:t>
      </w:r>
      <w:r w:rsidR="00F76DDD">
        <w:rPr>
          <w:rFonts w:ascii="Book Antiqua" w:hAnsi="Book Antiqua"/>
        </w:rPr>
        <w:t xml:space="preserve"> in comparison with 67% of</w:t>
      </w:r>
      <w:r w:rsidR="00676809">
        <w:rPr>
          <w:rFonts w:ascii="Book Antiqua" w:hAnsi="Book Antiqua"/>
        </w:rPr>
        <w:t xml:space="preserve"> respondents with incidental VTE. </w:t>
      </w:r>
      <w:r w:rsidR="002137A7">
        <w:rPr>
          <w:rFonts w:ascii="Book Antiqua" w:hAnsi="Book Antiqua"/>
        </w:rPr>
        <w:t xml:space="preserve"> </w:t>
      </w:r>
      <w:r w:rsidR="00F76DDD">
        <w:rPr>
          <w:rFonts w:ascii="Book Antiqua" w:hAnsi="Book Antiqua"/>
        </w:rPr>
        <w:t>This trend merits further investigation. I</w:t>
      </w:r>
      <w:r w:rsidR="002137A7" w:rsidRPr="00505215">
        <w:rPr>
          <w:rFonts w:ascii="Book Antiqua" w:hAnsi="Book Antiqua"/>
        </w:rPr>
        <w:t>n a study done by</w:t>
      </w:r>
      <w:r w:rsidR="002137A7" w:rsidRPr="00505215">
        <w:rPr>
          <w:rFonts w:ascii="Book Antiqua" w:hAnsi="Book Antiqua" w:cs="Arial"/>
        </w:rPr>
        <w:t xml:space="preserve"> </w:t>
      </w:r>
      <w:r w:rsidR="002137A7" w:rsidRPr="00505215">
        <w:rPr>
          <w:rFonts w:ascii="Book Antiqua" w:hAnsi="Book Antiqua"/>
        </w:rPr>
        <w:t xml:space="preserve">Elliott et al. (2007) it was noticed that patients </w:t>
      </w:r>
      <w:r w:rsidR="002137A7">
        <w:rPr>
          <w:rFonts w:ascii="Book Antiqua" w:hAnsi="Book Antiqua"/>
        </w:rPr>
        <w:t>were more likely to</w:t>
      </w:r>
      <w:r w:rsidR="002137A7" w:rsidRPr="00505215">
        <w:rPr>
          <w:rFonts w:ascii="Book Antiqua" w:hAnsi="Book Antiqua"/>
        </w:rPr>
        <w:t xml:space="preserve"> take the medications for </w:t>
      </w:r>
      <w:r w:rsidR="002137A7">
        <w:rPr>
          <w:rFonts w:ascii="Book Antiqua" w:hAnsi="Book Antiqua"/>
        </w:rPr>
        <w:t>a</w:t>
      </w:r>
      <w:r w:rsidR="002137A7" w:rsidRPr="00505215">
        <w:rPr>
          <w:rFonts w:ascii="Book Antiqua" w:hAnsi="Book Antiqua"/>
        </w:rPr>
        <w:t xml:space="preserve"> condition they </w:t>
      </w:r>
      <w:r w:rsidR="002137A7">
        <w:rPr>
          <w:rFonts w:ascii="Book Antiqua" w:hAnsi="Book Antiqua"/>
        </w:rPr>
        <w:t>feared</w:t>
      </w:r>
      <w:r w:rsidR="00294472">
        <w:rPr>
          <w:rFonts w:ascii="Book Antiqua" w:hAnsi="Book Antiqua"/>
        </w:rPr>
        <w:t>. T</w:t>
      </w:r>
      <w:r w:rsidR="005F7185">
        <w:rPr>
          <w:rFonts w:ascii="Book Antiqua" w:hAnsi="Book Antiqua"/>
        </w:rPr>
        <w:t>his is reinforced by NICE who state</w:t>
      </w:r>
      <w:r w:rsidR="00294472">
        <w:rPr>
          <w:rFonts w:ascii="Book Antiqua" w:hAnsi="Book Antiqua"/>
        </w:rPr>
        <w:t>s that</w:t>
      </w:r>
      <w:r w:rsidR="005F7185">
        <w:rPr>
          <w:rFonts w:ascii="Book Antiqua" w:hAnsi="Book Antiqua"/>
        </w:rPr>
        <w:t xml:space="preserve"> p</w:t>
      </w:r>
      <w:r w:rsidR="002137A7">
        <w:rPr>
          <w:rFonts w:ascii="Book Antiqua" w:hAnsi="Book Antiqua"/>
        </w:rPr>
        <w:t>atients’ b</w:t>
      </w:r>
      <w:r w:rsidR="002137A7" w:rsidRPr="00505215">
        <w:rPr>
          <w:rFonts w:ascii="Book Antiqua" w:hAnsi="Book Antiqua"/>
        </w:rPr>
        <w:t xml:space="preserve">eliefs and experiences influence their intention to take a medicine (NICE 2009). In symptomatic </w:t>
      </w:r>
      <w:r w:rsidR="004E0F0F">
        <w:rPr>
          <w:rFonts w:ascii="Book Antiqua" w:hAnsi="Book Antiqua"/>
        </w:rPr>
        <w:t>PE,</w:t>
      </w:r>
      <w:r w:rsidR="002137A7" w:rsidRPr="00505215">
        <w:rPr>
          <w:rFonts w:ascii="Book Antiqua" w:hAnsi="Book Antiqua"/>
        </w:rPr>
        <w:t xml:space="preserve"> </w:t>
      </w:r>
      <w:r w:rsidR="001A59B4">
        <w:rPr>
          <w:rFonts w:ascii="Book Antiqua" w:hAnsi="Book Antiqua"/>
        </w:rPr>
        <w:t>it is possible patients will adhere to</w:t>
      </w:r>
      <w:r w:rsidR="001A59B4" w:rsidRPr="00505215">
        <w:rPr>
          <w:rFonts w:ascii="Book Antiqua" w:hAnsi="Book Antiqua"/>
        </w:rPr>
        <w:t xml:space="preserve"> </w:t>
      </w:r>
      <w:r w:rsidR="002137A7" w:rsidRPr="00505215">
        <w:rPr>
          <w:rFonts w:ascii="Book Antiqua" w:hAnsi="Book Antiqua"/>
        </w:rPr>
        <w:t xml:space="preserve">LMWH </w:t>
      </w:r>
      <w:r w:rsidR="001A59B4">
        <w:rPr>
          <w:rFonts w:ascii="Book Antiqua" w:hAnsi="Book Antiqua"/>
        </w:rPr>
        <w:t xml:space="preserve">in </w:t>
      </w:r>
      <w:r w:rsidR="00C77064">
        <w:rPr>
          <w:rFonts w:ascii="Book Antiqua" w:hAnsi="Book Antiqua"/>
        </w:rPr>
        <w:t>the</w:t>
      </w:r>
      <w:r w:rsidR="002137A7" w:rsidRPr="00505215">
        <w:rPr>
          <w:rFonts w:ascii="Book Antiqua" w:hAnsi="Book Antiqua"/>
        </w:rPr>
        <w:t xml:space="preserve"> hope of </w:t>
      </w:r>
      <w:r w:rsidR="00294472">
        <w:rPr>
          <w:rFonts w:ascii="Book Antiqua" w:hAnsi="Book Antiqua"/>
        </w:rPr>
        <w:t>relieving</w:t>
      </w:r>
      <w:r w:rsidR="002137A7" w:rsidRPr="00505215">
        <w:rPr>
          <w:rFonts w:ascii="Book Antiqua" w:hAnsi="Book Antiqua"/>
        </w:rPr>
        <w:t xml:space="preserve"> </w:t>
      </w:r>
      <w:r w:rsidR="001A59B4">
        <w:rPr>
          <w:rFonts w:ascii="Book Antiqua" w:hAnsi="Book Antiqua"/>
        </w:rPr>
        <w:t xml:space="preserve">their </w:t>
      </w:r>
      <w:r w:rsidR="002137A7" w:rsidRPr="00505215">
        <w:rPr>
          <w:rFonts w:ascii="Book Antiqua" w:hAnsi="Book Antiqua"/>
        </w:rPr>
        <w:t xml:space="preserve">symptoms </w:t>
      </w:r>
      <w:r w:rsidR="001A59B4">
        <w:rPr>
          <w:rFonts w:ascii="Book Antiqua" w:hAnsi="Book Antiqua"/>
        </w:rPr>
        <w:t>and avoiding</w:t>
      </w:r>
      <w:r w:rsidR="002137A7" w:rsidRPr="00505215">
        <w:rPr>
          <w:rFonts w:ascii="Book Antiqua" w:hAnsi="Book Antiqua"/>
        </w:rPr>
        <w:t xml:space="preserve"> hospitali</w:t>
      </w:r>
      <w:r w:rsidR="002137A7">
        <w:rPr>
          <w:rFonts w:ascii="Book Antiqua" w:hAnsi="Book Antiqua"/>
        </w:rPr>
        <w:t>s</w:t>
      </w:r>
      <w:r w:rsidR="002137A7" w:rsidRPr="00505215">
        <w:rPr>
          <w:rFonts w:ascii="Book Antiqua" w:hAnsi="Book Antiqua"/>
        </w:rPr>
        <w:t xml:space="preserve">ation. In the case of incidental </w:t>
      </w:r>
      <w:r w:rsidR="002137A7">
        <w:rPr>
          <w:rFonts w:ascii="Book Antiqua" w:hAnsi="Book Antiqua"/>
        </w:rPr>
        <w:t>PE,</w:t>
      </w:r>
      <w:r w:rsidR="002137A7" w:rsidRPr="00505215">
        <w:rPr>
          <w:rFonts w:ascii="Book Antiqua" w:hAnsi="Book Antiqua"/>
        </w:rPr>
        <w:t xml:space="preserve"> patients may not notice any symptom</w:t>
      </w:r>
      <w:r w:rsidR="00797BB2">
        <w:rPr>
          <w:rFonts w:ascii="Book Antiqua" w:hAnsi="Book Antiqua"/>
        </w:rPr>
        <w:t>s</w:t>
      </w:r>
      <w:r w:rsidR="002137A7" w:rsidRPr="00505215">
        <w:rPr>
          <w:rFonts w:ascii="Book Antiqua" w:hAnsi="Book Antiqua"/>
        </w:rPr>
        <w:t xml:space="preserve"> and therefore </w:t>
      </w:r>
      <w:r w:rsidR="007247AD">
        <w:rPr>
          <w:rFonts w:ascii="Book Antiqua" w:hAnsi="Book Antiqua"/>
        </w:rPr>
        <w:t>t</w:t>
      </w:r>
      <w:r w:rsidR="00C77064" w:rsidRPr="00505215">
        <w:rPr>
          <w:rFonts w:ascii="Book Antiqua" w:hAnsi="Book Antiqua"/>
        </w:rPr>
        <w:t>hey</w:t>
      </w:r>
      <w:r w:rsidR="00C77064">
        <w:rPr>
          <w:rFonts w:ascii="Book Antiqua" w:hAnsi="Book Antiqua"/>
        </w:rPr>
        <w:t xml:space="preserve"> do not</w:t>
      </w:r>
      <w:r w:rsidR="002137A7" w:rsidRPr="00505215">
        <w:rPr>
          <w:rFonts w:ascii="Book Antiqua" w:hAnsi="Book Antiqua"/>
        </w:rPr>
        <w:t xml:space="preserve"> feel any </w:t>
      </w:r>
      <w:r w:rsidR="002137A7">
        <w:rPr>
          <w:rFonts w:ascii="Book Antiqua" w:hAnsi="Book Antiqua"/>
        </w:rPr>
        <w:t>benefit in</w:t>
      </w:r>
      <w:r w:rsidR="00294472">
        <w:rPr>
          <w:rFonts w:ascii="Book Antiqua" w:hAnsi="Book Antiqua"/>
        </w:rPr>
        <w:t xml:space="preserve"> taking the treatment. </w:t>
      </w:r>
      <w:r w:rsidR="004E0F0F">
        <w:rPr>
          <w:rFonts w:ascii="Book Antiqua" w:hAnsi="Book Antiqua"/>
        </w:rPr>
        <w:t>Also,</w:t>
      </w:r>
      <w:r w:rsidR="002137A7" w:rsidRPr="00505215">
        <w:rPr>
          <w:rFonts w:ascii="Book Antiqua" w:hAnsi="Book Antiqua"/>
        </w:rPr>
        <w:t xml:space="preserve"> they may not </w:t>
      </w:r>
      <w:r w:rsidR="001A59B4">
        <w:rPr>
          <w:rFonts w:ascii="Book Antiqua" w:hAnsi="Book Antiqua"/>
        </w:rPr>
        <w:t xml:space="preserve">appreciate </w:t>
      </w:r>
      <w:r w:rsidR="002137A7" w:rsidRPr="00505215">
        <w:rPr>
          <w:rFonts w:ascii="Book Antiqua" w:hAnsi="Book Antiqua"/>
        </w:rPr>
        <w:t xml:space="preserve">the preventative </w:t>
      </w:r>
      <w:r w:rsidR="001A59B4">
        <w:rPr>
          <w:rFonts w:ascii="Book Antiqua" w:hAnsi="Book Antiqua"/>
        </w:rPr>
        <w:t xml:space="preserve">application </w:t>
      </w:r>
      <w:r w:rsidR="002137A7">
        <w:rPr>
          <w:rFonts w:ascii="Book Antiqua" w:hAnsi="Book Antiqua"/>
        </w:rPr>
        <w:t>of the treatment</w:t>
      </w:r>
      <w:r w:rsidR="002137A7" w:rsidRPr="00505215">
        <w:rPr>
          <w:rFonts w:ascii="Book Antiqua" w:hAnsi="Book Antiqua"/>
        </w:rPr>
        <w:t xml:space="preserve">. There is evidence </w:t>
      </w:r>
      <w:r w:rsidR="002137A7">
        <w:rPr>
          <w:rFonts w:ascii="Book Antiqua" w:hAnsi="Book Antiqua"/>
        </w:rPr>
        <w:t>that</w:t>
      </w:r>
      <w:r w:rsidR="002137A7" w:rsidRPr="00505215">
        <w:rPr>
          <w:rFonts w:ascii="Book Antiqua" w:hAnsi="Book Antiqua"/>
        </w:rPr>
        <w:t xml:space="preserve"> the use of medication to improve symptoms</w:t>
      </w:r>
      <w:r w:rsidR="007247AD">
        <w:rPr>
          <w:rFonts w:ascii="Book Antiqua" w:hAnsi="Book Antiqua"/>
        </w:rPr>
        <w:t xml:space="preserve"> can</w:t>
      </w:r>
      <w:r w:rsidR="002137A7" w:rsidRPr="00505215">
        <w:rPr>
          <w:rFonts w:ascii="Book Antiqua" w:hAnsi="Book Antiqua"/>
        </w:rPr>
        <w:t xml:space="preserve"> increase</w:t>
      </w:r>
      <w:r w:rsidR="002137A7">
        <w:rPr>
          <w:rFonts w:ascii="Book Antiqua" w:hAnsi="Book Antiqua"/>
        </w:rPr>
        <w:t>s</w:t>
      </w:r>
      <w:r w:rsidR="002137A7" w:rsidRPr="00505215">
        <w:rPr>
          <w:rFonts w:ascii="Book Antiqua" w:hAnsi="Book Antiqua"/>
        </w:rPr>
        <w:t xml:space="preserve"> </w:t>
      </w:r>
      <w:r w:rsidR="007247AD">
        <w:rPr>
          <w:rFonts w:ascii="Book Antiqua" w:hAnsi="Book Antiqua"/>
        </w:rPr>
        <w:t>adherence to</w:t>
      </w:r>
      <w:r w:rsidR="002137A7" w:rsidRPr="00505215">
        <w:rPr>
          <w:rFonts w:ascii="Book Antiqua" w:hAnsi="Book Antiqua"/>
        </w:rPr>
        <w:t xml:space="preserve"> the medication (Nunes. et al 2009). </w:t>
      </w:r>
      <w:r w:rsidR="002137A7">
        <w:rPr>
          <w:rFonts w:ascii="Book Antiqua" w:hAnsi="Book Antiqua"/>
        </w:rPr>
        <w:t>With regards to</w:t>
      </w:r>
      <w:r w:rsidR="002137A7" w:rsidRPr="00505215">
        <w:rPr>
          <w:rFonts w:ascii="Book Antiqua" w:hAnsi="Book Antiqua"/>
        </w:rPr>
        <w:t xml:space="preserve"> incidental PE </w:t>
      </w:r>
      <w:r w:rsidR="004E20E1">
        <w:rPr>
          <w:rFonts w:ascii="Book Antiqua" w:hAnsi="Book Antiqua"/>
        </w:rPr>
        <w:t>which</w:t>
      </w:r>
      <w:r w:rsidR="001A59B4">
        <w:rPr>
          <w:rFonts w:ascii="Book Antiqua" w:hAnsi="Book Antiqua"/>
        </w:rPr>
        <w:t xml:space="preserve"> can cause</w:t>
      </w:r>
      <w:r w:rsidR="001A59B4" w:rsidRPr="00505215">
        <w:rPr>
          <w:rFonts w:ascii="Book Antiqua" w:hAnsi="Book Antiqua"/>
        </w:rPr>
        <w:t xml:space="preserve"> </w:t>
      </w:r>
      <w:r w:rsidR="00294472">
        <w:rPr>
          <w:rFonts w:ascii="Book Antiqua" w:hAnsi="Book Antiqua"/>
        </w:rPr>
        <w:t xml:space="preserve">mild to </w:t>
      </w:r>
      <w:r w:rsidR="002137A7" w:rsidRPr="00505215">
        <w:rPr>
          <w:rFonts w:ascii="Book Antiqua" w:hAnsi="Book Antiqua"/>
        </w:rPr>
        <w:t xml:space="preserve">moderate symptoms </w:t>
      </w:r>
      <w:r w:rsidR="002137A7">
        <w:rPr>
          <w:rFonts w:ascii="Book Antiqua" w:hAnsi="Book Antiqua"/>
        </w:rPr>
        <w:t xml:space="preserve">such </w:t>
      </w:r>
      <w:r w:rsidR="002137A7" w:rsidRPr="00505215">
        <w:rPr>
          <w:rFonts w:ascii="Book Antiqua" w:hAnsi="Book Antiqua"/>
        </w:rPr>
        <w:t>as fatigue</w:t>
      </w:r>
      <w:r w:rsidR="002137A7">
        <w:rPr>
          <w:rFonts w:ascii="Book Antiqua" w:hAnsi="Book Antiqua"/>
        </w:rPr>
        <w:t>,</w:t>
      </w:r>
      <w:r w:rsidR="002137A7" w:rsidRPr="00505215">
        <w:rPr>
          <w:rFonts w:ascii="Book Antiqua" w:hAnsi="Book Antiqua"/>
        </w:rPr>
        <w:t xml:space="preserve"> as the symptoms </w:t>
      </w:r>
      <w:r w:rsidR="001A59B4">
        <w:rPr>
          <w:rFonts w:ascii="Book Antiqua" w:hAnsi="Book Antiqua"/>
        </w:rPr>
        <w:t>decline</w:t>
      </w:r>
      <w:r w:rsidR="001A59B4" w:rsidRPr="00505215">
        <w:rPr>
          <w:rFonts w:ascii="Book Antiqua" w:hAnsi="Book Antiqua"/>
        </w:rPr>
        <w:t xml:space="preserve"> </w:t>
      </w:r>
      <w:r w:rsidR="002137A7" w:rsidRPr="00505215">
        <w:rPr>
          <w:rFonts w:ascii="Book Antiqua" w:hAnsi="Book Antiqua"/>
        </w:rPr>
        <w:t xml:space="preserve">there is </w:t>
      </w:r>
      <w:r w:rsidR="001A59B4">
        <w:rPr>
          <w:rFonts w:ascii="Book Antiqua" w:hAnsi="Book Antiqua"/>
        </w:rPr>
        <w:t xml:space="preserve">perhaps a </w:t>
      </w:r>
      <w:r w:rsidR="002137A7" w:rsidRPr="00505215">
        <w:rPr>
          <w:rFonts w:ascii="Book Antiqua" w:hAnsi="Book Antiqua"/>
        </w:rPr>
        <w:t xml:space="preserve">higher risk of </w:t>
      </w:r>
      <w:r w:rsidR="001A59B4">
        <w:rPr>
          <w:rFonts w:ascii="Book Antiqua" w:hAnsi="Book Antiqua"/>
        </w:rPr>
        <w:t>poor adherence to treatment</w:t>
      </w:r>
      <w:r w:rsidR="007247AD">
        <w:rPr>
          <w:rFonts w:ascii="Book Antiqua" w:hAnsi="Book Antiqua"/>
        </w:rPr>
        <w:t xml:space="preserve"> as there is n</w:t>
      </w:r>
      <w:r w:rsidR="004E20E1">
        <w:rPr>
          <w:rFonts w:ascii="Book Antiqua" w:hAnsi="Book Antiqua"/>
        </w:rPr>
        <w:t>o longer</w:t>
      </w:r>
      <w:r w:rsidR="007247AD">
        <w:rPr>
          <w:rFonts w:ascii="Book Antiqua" w:hAnsi="Book Antiqua"/>
        </w:rPr>
        <w:t xml:space="preserve"> clear</w:t>
      </w:r>
      <w:r w:rsidR="004E20E1">
        <w:rPr>
          <w:rFonts w:ascii="Book Antiqua" w:hAnsi="Book Antiqua"/>
        </w:rPr>
        <w:t xml:space="preserve"> symptomatic</w:t>
      </w:r>
      <w:r w:rsidR="007247AD">
        <w:rPr>
          <w:rFonts w:ascii="Book Antiqua" w:hAnsi="Book Antiqua"/>
        </w:rPr>
        <w:t xml:space="preserve"> benefit</w:t>
      </w:r>
      <w:r w:rsidR="002137A7" w:rsidRPr="00505215">
        <w:rPr>
          <w:rFonts w:ascii="Book Antiqua" w:hAnsi="Book Antiqua"/>
        </w:rPr>
        <w:t>.</w:t>
      </w:r>
    </w:p>
    <w:p w14:paraId="3A584D7B" w14:textId="77777777" w:rsidR="0084394E" w:rsidRPr="002C2DDE" w:rsidRDefault="002C2DDE" w:rsidP="009047B8">
      <w:pPr>
        <w:autoSpaceDE w:val="0"/>
        <w:autoSpaceDN w:val="0"/>
        <w:adjustRightInd w:val="0"/>
        <w:spacing w:before="240" w:line="276" w:lineRule="auto"/>
        <w:jc w:val="both"/>
        <w:rPr>
          <w:rFonts w:ascii="Book Antiqua" w:hAnsi="Book Antiqua" w:cs="AdvP7C2E"/>
          <w:b/>
          <w:bCs/>
        </w:rPr>
      </w:pPr>
      <w:r w:rsidRPr="002C2DDE">
        <w:rPr>
          <w:rFonts w:ascii="Book Antiqua" w:hAnsi="Book Antiqua" w:cs="AdvP7C2E"/>
          <w:b/>
          <w:bCs/>
        </w:rPr>
        <w:t>Conclusion and further steps:</w:t>
      </w:r>
    </w:p>
    <w:p w14:paraId="6866121B" w14:textId="071F771C" w:rsidR="00C77064" w:rsidRDefault="00F76DDD" w:rsidP="005F7185">
      <w:pPr>
        <w:spacing w:line="276" w:lineRule="auto"/>
        <w:jc w:val="both"/>
        <w:rPr>
          <w:rFonts w:ascii="Book Antiqua" w:hAnsi="Book Antiqua"/>
        </w:rPr>
      </w:pPr>
      <w:r>
        <w:rPr>
          <w:rFonts w:ascii="Book Antiqua" w:hAnsi="Book Antiqua"/>
        </w:rPr>
        <w:t>Whilst</w:t>
      </w:r>
      <w:r w:rsidR="002C2DDE">
        <w:rPr>
          <w:rFonts w:ascii="Book Antiqua" w:hAnsi="Book Antiqua"/>
        </w:rPr>
        <w:t xml:space="preserve"> most respondents felt positive overall about their </w:t>
      </w:r>
      <w:r w:rsidR="001A59B4">
        <w:rPr>
          <w:rFonts w:ascii="Book Antiqua" w:hAnsi="Book Antiqua"/>
        </w:rPr>
        <w:t>management</w:t>
      </w:r>
      <w:r w:rsidR="00294472">
        <w:rPr>
          <w:rFonts w:ascii="Book Antiqua" w:hAnsi="Book Antiqua"/>
        </w:rPr>
        <w:t>,</w:t>
      </w:r>
      <w:r w:rsidR="001A59B4">
        <w:rPr>
          <w:rFonts w:ascii="Book Antiqua" w:hAnsi="Book Antiqua"/>
        </w:rPr>
        <w:t xml:space="preserve"> </w:t>
      </w:r>
      <w:r>
        <w:rPr>
          <w:rFonts w:ascii="Book Antiqua" w:hAnsi="Book Antiqua"/>
        </w:rPr>
        <w:t>this audit has identified</w:t>
      </w:r>
      <w:r w:rsidR="004E20E1">
        <w:rPr>
          <w:rFonts w:ascii="Book Antiqua" w:hAnsi="Book Antiqua"/>
        </w:rPr>
        <w:t xml:space="preserve"> that</w:t>
      </w:r>
      <w:r w:rsidR="00C77064">
        <w:rPr>
          <w:rFonts w:ascii="Book Antiqua" w:hAnsi="Book Antiqua"/>
        </w:rPr>
        <w:t xml:space="preserve"> </w:t>
      </w:r>
      <w:r>
        <w:rPr>
          <w:rFonts w:ascii="Book Antiqua" w:hAnsi="Book Antiqua"/>
        </w:rPr>
        <w:t xml:space="preserve">it is important </w:t>
      </w:r>
      <w:r w:rsidR="00C77064">
        <w:rPr>
          <w:rFonts w:ascii="Book Antiqua" w:hAnsi="Book Antiqua" w:cs="AdvP7C2E"/>
        </w:rPr>
        <w:t xml:space="preserve">to develop specific written information to </w:t>
      </w:r>
      <w:r w:rsidR="00294472">
        <w:rPr>
          <w:rFonts w:ascii="Book Antiqua" w:hAnsi="Book Antiqua" w:cs="AdvP7C2E"/>
        </w:rPr>
        <w:t xml:space="preserve">be </w:t>
      </w:r>
      <w:r>
        <w:rPr>
          <w:rFonts w:ascii="Book Antiqua" w:hAnsi="Book Antiqua" w:cs="AdvP7C2E"/>
        </w:rPr>
        <w:t>offer</w:t>
      </w:r>
      <w:r w:rsidR="00294472">
        <w:rPr>
          <w:rFonts w:ascii="Book Antiqua" w:hAnsi="Book Antiqua" w:cs="AdvP7C2E"/>
        </w:rPr>
        <w:t xml:space="preserve">ed to the patients </w:t>
      </w:r>
      <w:r>
        <w:rPr>
          <w:rFonts w:ascii="Book Antiqua" w:hAnsi="Book Antiqua" w:cs="AdvP7C2E"/>
        </w:rPr>
        <w:t>i</w:t>
      </w:r>
      <w:r w:rsidR="00C77064">
        <w:rPr>
          <w:rFonts w:ascii="Book Antiqua" w:hAnsi="Book Antiqua" w:cs="AdvP7C2E"/>
        </w:rPr>
        <w:t>n AOS</w:t>
      </w:r>
      <w:r w:rsidR="00427C79">
        <w:rPr>
          <w:rFonts w:ascii="Book Antiqua" w:hAnsi="Book Antiqua" w:cs="AdvP7C2E"/>
        </w:rPr>
        <w:t>.</w:t>
      </w:r>
      <w:r w:rsidR="00C77064">
        <w:rPr>
          <w:rFonts w:ascii="Book Antiqua" w:hAnsi="Book Antiqua"/>
        </w:rPr>
        <w:t xml:space="preserve"> </w:t>
      </w:r>
      <w:r w:rsidR="005F7185">
        <w:rPr>
          <w:rFonts w:ascii="Book Antiqua" w:hAnsi="Book Antiqua"/>
        </w:rPr>
        <w:t>This</w:t>
      </w:r>
      <w:r w:rsidR="001A59B4">
        <w:rPr>
          <w:rFonts w:ascii="Book Antiqua" w:hAnsi="Book Antiqua"/>
        </w:rPr>
        <w:t xml:space="preserve"> written information</w:t>
      </w:r>
      <w:r w:rsidR="00294472">
        <w:rPr>
          <w:rFonts w:ascii="Book Antiqua" w:hAnsi="Book Antiqua"/>
        </w:rPr>
        <w:t xml:space="preserve"> would</w:t>
      </w:r>
      <w:r w:rsidR="005F7185">
        <w:rPr>
          <w:rFonts w:ascii="Book Antiqua" w:hAnsi="Book Antiqua"/>
        </w:rPr>
        <w:t xml:space="preserve"> be used </w:t>
      </w:r>
      <w:r w:rsidR="001A59B4">
        <w:rPr>
          <w:rFonts w:ascii="Book Antiqua" w:hAnsi="Book Antiqua"/>
        </w:rPr>
        <w:t>to ensure</w:t>
      </w:r>
      <w:r w:rsidR="00294472">
        <w:rPr>
          <w:rFonts w:ascii="Book Antiqua" w:hAnsi="Book Antiqua"/>
        </w:rPr>
        <w:t xml:space="preserve"> that</w:t>
      </w:r>
      <w:r w:rsidR="001A59B4">
        <w:rPr>
          <w:rFonts w:ascii="Book Antiqua" w:hAnsi="Book Antiqua"/>
        </w:rPr>
        <w:t xml:space="preserve"> patients understand the condition and</w:t>
      </w:r>
      <w:r w:rsidR="005F7185">
        <w:rPr>
          <w:rFonts w:ascii="Book Antiqua" w:hAnsi="Book Antiqua"/>
        </w:rPr>
        <w:t xml:space="preserve"> reinforce</w:t>
      </w:r>
      <w:r w:rsidR="001A59B4">
        <w:rPr>
          <w:rFonts w:ascii="Book Antiqua" w:hAnsi="Book Antiqua"/>
        </w:rPr>
        <w:t xml:space="preserve"> the nature of </w:t>
      </w:r>
      <w:r w:rsidR="00294472">
        <w:rPr>
          <w:rFonts w:ascii="Book Antiqua" w:hAnsi="Book Antiqua"/>
        </w:rPr>
        <w:t xml:space="preserve">the </w:t>
      </w:r>
      <w:r w:rsidR="001A59B4">
        <w:rPr>
          <w:rFonts w:ascii="Book Antiqua" w:hAnsi="Book Antiqua"/>
        </w:rPr>
        <w:t>treatment</w:t>
      </w:r>
      <w:r w:rsidR="002C2DDE">
        <w:rPr>
          <w:rFonts w:ascii="Book Antiqua" w:hAnsi="Book Antiqua"/>
        </w:rPr>
        <w:t xml:space="preserve">. This information </w:t>
      </w:r>
      <w:r w:rsidR="00343444">
        <w:rPr>
          <w:rFonts w:ascii="Book Antiqua" w:hAnsi="Book Antiqua"/>
        </w:rPr>
        <w:t>should also</w:t>
      </w:r>
      <w:r w:rsidR="002C2DDE">
        <w:rPr>
          <w:rFonts w:ascii="Book Antiqua" w:hAnsi="Book Antiqua"/>
        </w:rPr>
        <w:t xml:space="preserve"> </w:t>
      </w:r>
      <w:r w:rsidR="00343444">
        <w:rPr>
          <w:rFonts w:ascii="Book Antiqua" w:hAnsi="Book Antiqua"/>
        </w:rPr>
        <w:t>specify</w:t>
      </w:r>
      <w:r w:rsidR="002C2DDE">
        <w:rPr>
          <w:rFonts w:ascii="Book Antiqua" w:hAnsi="Book Antiqua"/>
        </w:rPr>
        <w:t xml:space="preserve"> </w:t>
      </w:r>
      <w:r w:rsidR="002C2DDE">
        <w:rPr>
          <w:rFonts w:ascii="Book Antiqua" w:hAnsi="Book Antiqua"/>
        </w:rPr>
        <w:lastRenderedPageBreak/>
        <w:t>a telephone</w:t>
      </w:r>
      <w:r w:rsidR="00294472">
        <w:rPr>
          <w:rFonts w:ascii="Book Antiqua" w:hAnsi="Book Antiqua"/>
        </w:rPr>
        <w:t xml:space="preserve"> number or</w:t>
      </w:r>
      <w:r w:rsidR="004E20E1">
        <w:rPr>
          <w:rFonts w:ascii="Book Antiqua" w:hAnsi="Book Antiqua"/>
        </w:rPr>
        <w:t xml:space="preserve"> numbers</w:t>
      </w:r>
      <w:r w:rsidR="002C2DDE">
        <w:rPr>
          <w:rFonts w:ascii="Book Antiqua" w:hAnsi="Book Antiqua"/>
        </w:rPr>
        <w:t xml:space="preserve"> to call with</w:t>
      </w:r>
      <w:r w:rsidR="00294472">
        <w:rPr>
          <w:rFonts w:ascii="Book Antiqua" w:hAnsi="Book Antiqua"/>
        </w:rPr>
        <w:t xml:space="preserve"> any concerns or</w:t>
      </w:r>
      <w:r w:rsidR="00343444">
        <w:rPr>
          <w:rFonts w:ascii="Book Antiqua" w:hAnsi="Book Antiqua"/>
        </w:rPr>
        <w:t xml:space="preserve"> emergency </w:t>
      </w:r>
      <w:r w:rsidR="002C2DDE">
        <w:rPr>
          <w:rFonts w:ascii="Book Antiqua" w:hAnsi="Book Antiqua"/>
        </w:rPr>
        <w:t>to avoid</w:t>
      </w:r>
      <w:r w:rsidR="00294472">
        <w:rPr>
          <w:rFonts w:ascii="Book Antiqua" w:hAnsi="Book Antiqua"/>
        </w:rPr>
        <w:t xml:space="preserve"> any</w:t>
      </w:r>
      <w:r w:rsidR="002C2DDE">
        <w:rPr>
          <w:rFonts w:ascii="Book Antiqua" w:hAnsi="Book Antiqua"/>
        </w:rPr>
        <w:t xml:space="preserve"> </w:t>
      </w:r>
      <w:r w:rsidR="00C77064">
        <w:rPr>
          <w:rFonts w:ascii="Book Antiqua" w:hAnsi="Book Antiqua"/>
        </w:rPr>
        <w:t xml:space="preserve">confusion. </w:t>
      </w:r>
    </w:p>
    <w:p w14:paraId="648E8E49" w14:textId="31BF3490" w:rsidR="00427C79" w:rsidRDefault="00427C79" w:rsidP="005F7185">
      <w:pPr>
        <w:autoSpaceDE w:val="0"/>
        <w:autoSpaceDN w:val="0"/>
        <w:adjustRightInd w:val="0"/>
        <w:spacing w:before="240" w:line="276" w:lineRule="auto"/>
        <w:jc w:val="both"/>
        <w:rPr>
          <w:rFonts w:ascii="Book Antiqua" w:hAnsi="Book Antiqua"/>
        </w:rPr>
      </w:pPr>
      <w:r>
        <w:rPr>
          <w:rFonts w:ascii="Book Antiqua" w:hAnsi="Book Antiqua" w:cs="AdvP7C2E"/>
        </w:rPr>
        <w:t xml:space="preserve">During the course of the audit </w:t>
      </w:r>
      <w:r w:rsidR="006B2138">
        <w:rPr>
          <w:rFonts w:ascii="Book Antiqua" w:hAnsi="Book Antiqua" w:cs="AdvP7C2E"/>
        </w:rPr>
        <w:t xml:space="preserve">it </w:t>
      </w:r>
      <w:r>
        <w:rPr>
          <w:rFonts w:ascii="Book Antiqua" w:hAnsi="Book Antiqua" w:cs="AdvP7C2E"/>
        </w:rPr>
        <w:t xml:space="preserve">became </w:t>
      </w:r>
      <w:r w:rsidR="00294472">
        <w:rPr>
          <w:rFonts w:ascii="Book Antiqua" w:hAnsi="Book Antiqua" w:cs="AdvP7C2E"/>
        </w:rPr>
        <w:t>obvious</w:t>
      </w:r>
      <w:r>
        <w:rPr>
          <w:rFonts w:ascii="Book Antiqua" w:hAnsi="Book Antiqua" w:cs="AdvP7C2E"/>
        </w:rPr>
        <w:t xml:space="preserve"> </w:t>
      </w:r>
      <w:r w:rsidR="0051775E">
        <w:rPr>
          <w:rFonts w:ascii="Book Antiqua" w:hAnsi="Book Antiqua" w:cs="AdvP7C2E"/>
        </w:rPr>
        <w:t>that the</w:t>
      </w:r>
      <w:r w:rsidR="006B2138">
        <w:rPr>
          <w:rFonts w:ascii="Book Antiqua" w:hAnsi="Book Antiqua" w:cs="AdvP7C2E"/>
        </w:rPr>
        <w:t xml:space="preserve"> </w:t>
      </w:r>
      <w:r>
        <w:rPr>
          <w:rFonts w:ascii="Book Antiqua" w:hAnsi="Book Antiqua" w:cs="AdvP7C2E"/>
        </w:rPr>
        <w:t xml:space="preserve">AOS </w:t>
      </w:r>
      <w:r w:rsidR="006B2138">
        <w:rPr>
          <w:rFonts w:ascii="Book Antiqua" w:hAnsi="Book Antiqua" w:cs="AdvP7C2E"/>
        </w:rPr>
        <w:t>did not have a clear</w:t>
      </w:r>
      <w:r>
        <w:rPr>
          <w:rFonts w:ascii="Book Antiqua" w:hAnsi="Book Antiqua" w:cs="AdvP7C2E"/>
        </w:rPr>
        <w:t xml:space="preserve"> </w:t>
      </w:r>
      <w:r w:rsidR="006B2138">
        <w:rPr>
          <w:rFonts w:ascii="Book Antiqua" w:hAnsi="Book Antiqua" w:cs="AdvP7C2E"/>
        </w:rPr>
        <w:t xml:space="preserve">well </w:t>
      </w:r>
      <w:r>
        <w:rPr>
          <w:rFonts w:ascii="Book Antiqua" w:hAnsi="Book Antiqua" w:cs="AdvP7C2E"/>
        </w:rPr>
        <w:t>defined pa</w:t>
      </w:r>
      <w:r w:rsidR="006B2138">
        <w:rPr>
          <w:rFonts w:ascii="Book Antiqua" w:hAnsi="Book Antiqua" w:cs="AdvP7C2E"/>
        </w:rPr>
        <w:t>thway for</w:t>
      </w:r>
      <w:r w:rsidR="00294472">
        <w:rPr>
          <w:rFonts w:ascii="Book Antiqua" w:hAnsi="Book Antiqua" w:cs="AdvP7C2E"/>
        </w:rPr>
        <w:t xml:space="preserve"> the</w:t>
      </w:r>
      <w:r w:rsidR="006B2138">
        <w:rPr>
          <w:rFonts w:ascii="Book Antiqua" w:hAnsi="Book Antiqua" w:cs="AdvP7C2E"/>
        </w:rPr>
        <w:t xml:space="preserve"> management of patients with a VTE</w:t>
      </w:r>
      <w:r>
        <w:rPr>
          <w:rFonts w:ascii="Book Antiqua" w:hAnsi="Book Antiqua" w:cs="AdvP7C2E"/>
        </w:rPr>
        <w:t>.</w:t>
      </w:r>
      <w:r>
        <w:rPr>
          <w:rFonts w:ascii="Book Antiqua" w:hAnsi="Book Antiqua"/>
        </w:rPr>
        <w:t xml:space="preserve"> </w:t>
      </w:r>
      <w:r>
        <w:rPr>
          <w:rFonts w:ascii="Book Antiqua" w:hAnsi="Book Antiqua" w:cs="AdvP7C2E"/>
        </w:rPr>
        <w:t>It would be useful to consider the development and implementation of a</w:t>
      </w:r>
      <w:r w:rsidR="004E0F0F">
        <w:rPr>
          <w:rFonts w:ascii="Book Antiqua" w:hAnsi="Book Antiqua" w:cs="AdvP7C2E"/>
        </w:rPr>
        <w:t xml:space="preserve"> pathway. This would </w:t>
      </w:r>
      <w:r w:rsidR="006B2138">
        <w:rPr>
          <w:rFonts w:ascii="Book Antiqua" w:hAnsi="Book Antiqua" w:cs="AdvP7C2E"/>
        </w:rPr>
        <w:t>identify patients at</w:t>
      </w:r>
      <w:r>
        <w:rPr>
          <w:rFonts w:ascii="Book Antiqua" w:hAnsi="Book Antiqua" w:cs="AdvP7C2E"/>
        </w:rPr>
        <w:t xml:space="preserve"> risk of complications and </w:t>
      </w:r>
      <w:r w:rsidR="004E0F0F">
        <w:rPr>
          <w:rFonts w:ascii="Book Antiqua" w:hAnsi="Book Antiqua" w:cs="AdvP7C2E"/>
        </w:rPr>
        <w:t>aid decisions as to</w:t>
      </w:r>
      <w:r>
        <w:rPr>
          <w:rFonts w:ascii="Book Antiqua" w:hAnsi="Book Antiqua" w:cs="AdvP7C2E"/>
        </w:rPr>
        <w:t xml:space="preserve"> whether outpati</w:t>
      </w:r>
      <w:r w:rsidR="004E0F0F">
        <w:rPr>
          <w:rFonts w:ascii="Book Antiqua" w:hAnsi="Book Antiqua" w:cs="AdvP7C2E"/>
        </w:rPr>
        <w:t>ent treatment is appropriate or</w:t>
      </w:r>
      <w:r>
        <w:rPr>
          <w:rFonts w:ascii="Book Antiqua" w:hAnsi="Book Antiqua" w:cs="AdvP7C2E"/>
        </w:rPr>
        <w:t xml:space="preserve"> hospital admission</w:t>
      </w:r>
      <w:r w:rsidR="004E0F0F">
        <w:rPr>
          <w:rFonts w:ascii="Book Antiqua" w:hAnsi="Book Antiqua" w:cs="AdvP7C2E"/>
        </w:rPr>
        <w:t xml:space="preserve"> is needed</w:t>
      </w:r>
      <w:r>
        <w:rPr>
          <w:rFonts w:ascii="Book Antiqua" w:hAnsi="Book Antiqua" w:cs="AdvP7C2E"/>
        </w:rPr>
        <w:t xml:space="preserve">. </w:t>
      </w:r>
      <w:r w:rsidRPr="001B0AB3">
        <w:rPr>
          <w:rFonts w:ascii="Book Antiqua" w:hAnsi="Book Antiqua" w:cs="AdvP7C2E"/>
        </w:rPr>
        <w:t>There are numerous tools predict</w:t>
      </w:r>
      <w:r w:rsidR="004E0F0F">
        <w:rPr>
          <w:rFonts w:ascii="Book Antiqua" w:hAnsi="Book Antiqua" w:cs="AdvP7C2E"/>
        </w:rPr>
        <w:t>ing</w:t>
      </w:r>
      <w:r w:rsidRPr="001B0AB3">
        <w:rPr>
          <w:rFonts w:ascii="Book Antiqua" w:hAnsi="Book Antiqua" w:cs="AdvP7C2E"/>
        </w:rPr>
        <w:t xml:space="preserve"> the risk a</w:t>
      </w:r>
      <w:r w:rsidR="006B2138">
        <w:rPr>
          <w:rFonts w:ascii="Book Antiqua" w:hAnsi="Book Antiqua" w:cs="AdvP7C2E"/>
        </w:rPr>
        <w:t>nd mortality of patients with VTE</w:t>
      </w:r>
      <w:r w:rsidR="00E0491D">
        <w:rPr>
          <w:rFonts w:ascii="Book Antiqua" w:hAnsi="Book Antiqua" w:cs="AdvP7C2E"/>
        </w:rPr>
        <w:t xml:space="preserve">. </w:t>
      </w:r>
      <w:r>
        <w:rPr>
          <w:rFonts w:ascii="Book Antiqua" w:hAnsi="Book Antiqua" w:cs="AdvP7C2E"/>
        </w:rPr>
        <w:t>These are based on clinical parameters that have been proved useful in the prognosti</w:t>
      </w:r>
      <w:r w:rsidR="006B2138">
        <w:rPr>
          <w:rFonts w:ascii="Book Antiqua" w:hAnsi="Book Antiqua" w:cs="AdvP7C2E"/>
        </w:rPr>
        <w:t>c assessment of patients with VTE</w:t>
      </w:r>
      <w:r>
        <w:rPr>
          <w:rFonts w:ascii="Book Antiqua" w:hAnsi="Book Antiqua" w:cs="AdvP7C2E"/>
        </w:rPr>
        <w:t xml:space="preserve"> (</w:t>
      </w:r>
      <w:r w:rsidRPr="001B0AB3">
        <w:rPr>
          <w:rFonts w:ascii="Book Antiqua" w:hAnsi="Book Antiqua" w:cs="AdvP7C2E"/>
        </w:rPr>
        <w:t>Torbicki et al 2008</w:t>
      </w:r>
      <w:r>
        <w:rPr>
          <w:rFonts w:ascii="Book Antiqua" w:hAnsi="Book Antiqua" w:cs="AdvP7C2E"/>
        </w:rPr>
        <w:t>).</w:t>
      </w:r>
      <w:r w:rsidRPr="009047B8">
        <w:rPr>
          <w:rFonts w:ascii="AdvOT9069d8b3.B" w:hAnsi="AdvOT9069d8b3.B" w:cs="AdvOT9069d8b3.B"/>
          <w:sz w:val="26"/>
          <w:szCs w:val="26"/>
        </w:rPr>
        <w:t xml:space="preserve"> </w:t>
      </w:r>
    </w:p>
    <w:p w14:paraId="28D54136" w14:textId="77777777" w:rsidR="004E20E1" w:rsidRDefault="007247AD" w:rsidP="00427C79">
      <w:pPr>
        <w:spacing w:line="276" w:lineRule="auto"/>
        <w:jc w:val="both"/>
        <w:rPr>
          <w:rFonts w:ascii="Book Antiqua" w:hAnsi="Book Antiqua"/>
        </w:rPr>
      </w:pPr>
      <w:r>
        <w:rPr>
          <w:rFonts w:ascii="Book Antiqua" w:hAnsi="Book Antiqua"/>
        </w:rPr>
        <w:t xml:space="preserve">Despite the fact that all the respondents suffered a VTE, 80% could not remember the signs and symptoms. </w:t>
      </w:r>
    </w:p>
    <w:p w14:paraId="2740DC63" w14:textId="6F60C189" w:rsidR="0082725E" w:rsidRDefault="00FA0851" w:rsidP="007F2350">
      <w:pPr>
        <w:spacing w:line="276" w:lineRule="auto"/>
        <w:jc w:val="both"/>
        <w:rPr>
          <w:rFonts w:ascii="Book Antiqua" w:hAnsi="Book Antiqua"/>
        </w:rPr>
      </w:pPr>
      <w:r>
        <w:rPr>
          <w:rFonts w:ascii="Book Antiqua" w:hAnsi="Book Antiqua"/>
        </w:rPr>
        <w:t>F</w:t>
      </w:r>
      <w:r w:rsidR="002C2DDE">
        <w:rPr>
          <w:rFonts w:ascii="Book Antiqua" w:hAnsi="Book Antiqua"/>
        </w:rPr>
        <w:t>uture stud</w:t>
      </w:r>
      <w:r>
        <w:rPr>
          <w:rFonts w:ascii="Book Antiqua" w:hAnsi="Book Antiqua"/>
        </w:rPr>
        <w:t>ies</w:t>
      </w:r>
      <w:r w:rsidR="002C2DDE">
        <w:rPr>
          <w:rFonts w:ascii="Book Antiqua" w:hAnsi="Book Antiqua"/>
        </w:rPr>
        <w:t xml:space="preserve"> </w:t>
      </w:r>
      <w:r w:rsidR="00343444">
        <w:rPr>
          <w:rFonts w:ascii="Book Antiqua" w:hAnsi="Book Antiqua"/>
        </w:rPr>
        <w:t xml:space="preserve">should </w:t>
      </w:r>
      <w:r w:rsidR="004E20E1">
        <w:rPr>
          <w:rFonts w:ascii="Book Antiqua" w:hAnsi="Book Antiqua"/>
        </w:rPr>
        <w:t xml:space="preserve">aim to: </w:t>
      </w:r>
      <w:r w:rsidR="004E0F0F">
        <w:rPr>
          <w:rFonts w:ascii="Book Antiqua" w:hAnsi="Book Antiqua"/>
        </w:rPr>
        <w:t xml:space="preserve">1. </w:t>
      </w:r>
      <w:r w:rsidR="00343444">
        <w:rPr>
          <w:rFonts w:ascii="Book Antiqua" w:hAnsi="Book Antiqua"/>
        </w:rPr>
        <w:t>examine</w:t>
      </w:r>
      <w:r w:rsidR="002C2DDE">
        <w:rPr>
          <w:rFonts w:ascii="Book Antiqua" w:hAnsi="Book Antiqua"/>
        </w:rPr>
        <w:t xml:space="preserve"> patients</w:t>
      </w:r>
      <w:r w:rsidR="00343444">
        <w:rPr>
          <w:rFonts w:ascii="Book Antiqua" w:hAnsi="Book Antiqua"/>
        </w:rPr>
        <w:t>’</w:t>
      </w:r>
      <w:r w:rsidR="002C2DDE">
        <w:rPr>
          <w:rFonts w:ascii="Book Antiqua" w:hAnsi="Book Antiqua"/>
        </w:rPr>
        <w:t xml:space="preserve"> understanding of the information </w:t>
      </w:r>
      <w:r>
        <w:rPr>
          <w:rFonts w:ascii="Book Antiqua" w:hAnsi="Book Antiqua"/>
        </w:rPr>
        <w:t>provided by healthcare professionals</w:t>
      </w:r>
      <w:r w:rsidR="004E20E1">
        <w:rPr>
          <w:rFonts w:ascii="Book Antiqua" w:hAnsi="Book Antiqua"/>
        </w:rPr>
        <w:t>,</w:t>
      </w:r>
      <w:r w:rsidR="002C2DDE">
        <w:rPr>
          <w:rFonts w:ascii="Book Antiqua" w:hAnsi="Book Antiqua"/>
        </w:rPr>
        <w:t xml:space="preserve"> </w:t>
      </w:r>
      <w:r w:rsidR="004E0F0F">
        <w:rPr>
          <w:rFonts w:ascii="Book Antiqua" w:hAnsi="Book Antiqua"/>
        </w:rPr>
        <w:t xml:space="preserve">2. </w:t>
      </w:r>
      <w:r w:rsidR="00343444">
        <w:rPr>
          <w:rFonts w:ascii="Book Antiqua" w:hAnsi="Book Antiqua"/>
        </w:rPr>
        <w:t>explore</w:t>
      </w:r>
      <w:r w:rsidR="00427C79">
        <w:rPr>
          <w:rFonts w:ascii="Book Antiqua" w:hAnsi="Book Antiqua"/>
        </w:rPr>
        <w:t xml:space="preserve"> the impact of different </w:t>
      </w:r>
      <w:r w:rsidR="004E20E1">
        <w:rPr>
          <w:rFonts w:ascii="Book Antiqua" w:hAnsi="Book Antiqua"/>
        </w:rPr>
        <w:t xml:space="preserve">methods of </w:t>
      </w:r>
      <w:r w:rsidR="00427C79">
        <w:rPr>
          <w:rFonts w:ascii="Book Antiqua" w:hAnsi="Book Antiqua"/>
        </w:rPr>
        <w:t xml:space="preserve">presentation on how patients understand and interpret </w:t>
      </w:r>
      <w:r w:rsidR="002C2DDE">
        <w:rPr>
          <w:rFonts w:ascii="Book Antiqua" w:hAnsi="Book Antiqua"/>
        </w:rPr>
        <w:t xml:space="preserve">the information related to </w:t>
      </w:r>
      <w:r w:rsidR="00427C79">
        <w:rPr>
          <w:rFonts w:ascii="Book Antiqua" w:hAnsi="Book Antiqua"/>
        </w:rPr>
        <w:t xml:space="preserve">the treatment and </w:t>
      </w:r>
      <w:r w:rsidR="002C2DDE">
        <w:rPr>
          <w:rFonts w:ascii="Book Antiqua" w:hAnsi="Book Antiqua"/>
        </w:rPr>
        <w:t>possible complications</w:t>
      </w:r>
      <w:r w:rsidR="004E20E1">
        <w:rPr>
          <w:rFonts w:ascii="Book Antiqua" w:hAnsi="Book Antiqua"/>
        </w:rPr>
        <w:t>,</w:t>
      </w:r>
      <w:r w:rsidR="00427C79">
        <w:rPr>
          <w:rFonts w:ascii="Book Antiqua" w:hAnsi="Book Antiqua"/>
        </w:rPr>
        <w:t xml:space="preserve"> </w:t>
      </w:r>
      <w:r w:rsidR="004E0F0F">
        <w:rPr>
          <w:rFonts w:ascii="Book Antiqua" w:hAnsi="Book Antiqua"/>
        </w:rPr>
        <w:t>3.</w:t>
      </w:r>
      <w:r w:rsidR="004E20E1">
        <w:rPr>
          <w:rFonts w:ascii="Book Antiqua" w:hAnsi="Book Antiqua"/>
        </w:rPr>
        <w:t xml:space="preserve"> aim </w:t>
      </w:r>
      <w:r w:rsidR="00427C79">
        <w:rPr>
          <w:rFonts w:ascii="Book Antiqua" w:hAnsi="Book Antiqua"/>
        </w:rPr>
        <w:t xml:space="preserve">to understand how to improve adherence </w:t>
      </w:r>
      <w:r>
        <w:rPr>
          <w:rFonts w:ascii="Book Antiqua" w:hAnsi="Book Antiqua"/>
        </w:rPr>
        <w:t xml:space="preserve">to </w:t>
      </w:r>
      <w:r w:rsidR="002C2DDE">
        <w:rPr>
          <w:rFonts w:ascii="Book Antiqua" w:hAnsi="Book Antiqua"/>
        </w:rPr>
        <w:t>treatments</w:t>
      </w:r>
      <w:r>
        <w:rPr>
          <w:rFonts w:ascii="Book Antiqua" w:hAnsi="Book Antiqua"/>
        </w:rPr>
        <w:t>.</w:t>
      </w:r>
    </w:p>
    <w:p w14:paraId="7CB1288A" w14:textId="70E1919B" w:rsidR="001C0CC1" w:rsidRPr="007F2350" w:rsidRDefault="007F2350" w:rsidP="00427259">
      <w:pPr>
        <w:jc w:val="both"/>
        <w:rPr>
          <w:rFonts w:ascii="Book Antiqua" w:hAnsi="Book Antiqua"/>
          <w:b/>
        </w:rPr>
      </w:pPr>
      <w:r w:rsidRPr="007F2350">
        <w:rPr>
          <w:rFonts w:ascii="Book Antiqua" w:hAnsi="Book Antiqua"/>
          <w:b/>
        </w:rPr>
        <w:t xml:space="preserve">Acknowledgements: </w:t>
      </w:r>
    </w:p>
    <w:p w14:paraId="22783510" w14:textId="5579363C" w:rsidR="007F2350" w:rsidRDefault="007F2350" w:rsidP="00427259">
      <w:pPr>
        <w:jc w:val="both"/>
        <w:rPr>
          <w:rFonts w:ascii="Book Antiqua" w:hAnsi="Book Antiqua"/>
        </w:rPr>
      </w:pPr>
      <w:r>
        <w:rPr>
          <w:rFonts w:ascii="Book Antiqua" w:hAnsi="Book Antiqua"/>
        </w:rPr>
        <w:t xml:space="preserve">I would like to thank Health Education England (Wessex) for the support. </w:t>
      </w:r>
    </w:p>
    <w:p w14:paraId="3D618E9F" w14:textId="2F6CA03A" w:rsidR="008008BE" w:rsidRDefault="007F2350" w:rsidP="00427259">
      <w:pPr>
        <w:jc w:val="both"/>
        <w:rPr>
          <w:rFonts w:ascii="Book Antiqua" w:hAnsi="Book Antiqua"/>
        </w:rPr>
      </w:pPr>
      <w:r>
        <w:rPr>
          <w:rFonts w:ascii="Book Antiqua" w:hAnsi="Book Antiqua"/>
        </w:rPr>
        <w:t xml:space="preserve">I would also like to thank </w:t>
      </w:r>
      <w:r w:rsidR="004E0F0F">
        <w:rPr>
          <w:rFonts w:ascii="Book Antiqua" w:hAnsi="Book Antiqua"/>
        </w:rPr>
        <w:t xml:space="preserve">Marion Lloyd, </w:t>
      </w:r>
      <w:r>
        <w:rPr>
          <w:rFonts w:ascii="Book Antiqua" w:hAnsi="Book Antiqua"/>
        </w:rPr>
        <w:t xml:space="preserve">Vanessa Seilo and Bethany Hanan for their comments </w:t>
      </w:r>
      <w:r w:rsidR="004E0F0F">
        <w:rPr>
          <w:rFonts w:ascii="Book Antiqua" w:hAnsi="Book Antiqua"/>
        </w:rPr>
        <w:t>which</w:t>
      </w:r>
      <w:r>
        <w:rPr>
          <w:rFonts w:ascii="Book Antiqua" w:hAnsi="Book Antiqua"/>
        </w:rPr>
        <w:t xml:space="preserve"> greatly improved the manuscript</w:t>
      </w:r>
    </w:p>
    <w:p w14:paraId="6654ECFF" w14:textId="77777777" w:rsidR="008008BE" w:rsidRPr="00427259" w:rsidRDefault="008008BE" w:rsidP="00427259">
      <w:pPr>
        <w:jc w:val="both"/>
        <w:rPr>
          <w:rFonts w:ascii="Book Antiqua" w:hAnsi="Book Antiqua"/>
        </w:rPr>
      </w:pPr>
    </w:p>
    <w:p w14:paraId="6D44857F" w14:textId="77777777" w:rsidR="006078FB" w:rsidRPr="00BF36AE" w:rsidRDefault="00BF36AE" w:rsidP="00BF36AE">
      <w:pPr>
        <w:spacing w:before="240" w:line="276" w:lineRule="auto"/>
        <w:jc w:val="both"/>
        <w:rPr>
          <w:rFonts w:ascii="Book Antiqua" w:hAnsi="Book Antiqua"/>
          <w:b/>
          <w:bCs/>
        </w:rPr>
      </w:pPr>
      <w:r w:rsidRPr="00BF36AE">
        <w:rPr>
          <w:rFonts w:ascii="Book Antiqua" w:hAnsi="Book Antiqua"/>
          <w:b/>
          <w:bCs/>
        </w:rPr>
        <w:t>References:</w:t>
      </w:r>
    </w:p>
    <w:p w14:paraId="78C25AFC" w14:textId="77777777" w:rsidR="00FA0851" w:rsidRPr="00BF36AE" w:rsidRDefault="00FA0851" w:rsidP="00BF36AE">
      <w:pPr>
        <w:autoSpaceDE w:val="0"/>
        <w:autoSpaceDN w:val="0"/>
        <w:adjustRightInd w:val="0"/>
        <w:spacing w:before="240" w:after="0" w:line="276" w:lineRule="auto"/>
        <w:rPr>
          <w:rFonts w:ascii="Book Antiqua" w:hAnsi="Book Antiqua" w:cs="ArialMT"/>
        </w:rPr>
      </w:pPr>
      <w:r w:rsidRPr="00BF36AE">
        <w:rPr>
          <w:rFonts w:ascii="Book Antiqua" w:hAnsi="Book Antiqua" w:cs="ArialMT"/>
        </w:rPr>
        <w:t xml:space="preserve">Den Exter, P.L., Hooijer, J., Dekkers, O.M. &amp; Huisman, M.V. (2011) Risk of recurrent venous thromboembolism and mortality in patients with cancer incidentally diagnosed with pulmonary embolism: a comparison with symptomatic patients. </w:t>
      </w:r>
      <w:r w:rsidRPr="00BF36AE">
        <w:rPr>
          <w:rFonts w:ascii="Book Antiqua" w:hAnsi="Book Antiqua" w:cs="Arial-ItalicMT"/>
          <w:i/>
          <w:iCs/>
        </w:rPr>
        <w:t xml:space="preserve">Journal of Clinical Oncology, </w:t>
      </w:r>
      <w:r w:rsidRPr="00BF36AE">
        <w:rPr>
          <w:rFonts w:ascii="Book Antiqua" w:hAnsi="Book Antiqua" w:cs="Arial-BoldMT"/>
          <w:b/>
          <w:bCs/>
        </w:rPr>
        <w:t>29</w:t>
      </w:r>
      <w:r w:rsidRPr="00BF36AE">
        <w:rPr>
          <w:rFonts w:ascii="Book Antiqua" w:hAnsi="Book Antiqua" w:cs="ArialMT"/>
        </w:rPr>
        <w:t>, 2405-2409.</w:t>
      </w:r>
    </w:p>
    <w:p w14:paraId="53296D82" w14:textId="77777777" w:rsidR="00FA0851" w:rsidRPr="00BF36AE" w:rsidRDefault="00FA0851" w:rsidP="00FA0851">
      <w:pPr>
        <w:autoSpaceDE w:val="0"/>
        <w:autoSpaceDN w:val="0"/>
        <w:adjustRightInd w:val="0"/>
        <w:spacing w:before="240" w:line="276" w:lineRule="auto"/>
        <w:rPr>
          <w:rFonts w:ascii="Book Antiqua" w:hAnsi="Book Antiqua" w:cs="Times-Roman"/>
        </w:rPr>
      </w:pPr>
      <w:r w:rsidRPr="00BF36AE">
        <w:rPr>
          <w:rFonts w:ascii="Book Antiqua" w:hAnsi="Book Antiqua" w:cs="Times-Roman"/>
        </w:rPr>
        <w:t xml:space="preserve">Douma RA, Kok MG, Verberne LM, Kamphuisen PW, Buller HR (2010) Incidental venous thromboembolism in cancer patients: prevalence and consequence. </w:t>
      </w:r>
      <w:r w:rsidRPr="00BF36AE">
        <w:rPr>
          <w:rFonts w:ascii="Book Antiqua" w:hAnsi="Book Antiqua" w:cs="Times-Roman"/>
          <w:i/>
          <w:iCs/>
        </w:rPr>
        <w:t>Thrombosis Research</w:t>
      </w:r>
      <w:r w:rsidRPr="00BF36AE">
        <w:rPr>
          <w:rFonts w:ascii="Book Antiqua" w:hAnsi="Book Antiqua" w:cs="Times-Roman"/>
        </w:rPr>
        <w:t xml:space="preserve"> 125: e306-e309</w:t>
      </w:r>
    </w:p>
    <w:p w14:paraId="75522085" w14:textId="77777777" w:rsidR="00FA0851" w:rsidRPr="00BF36AE" w:rsidRDefault="00FA0851" w:rsidP="00FA0851">
      <w:pPr>
        <w:autoSpaceDE w:val="0"/>
        <w:autoSpaceDN w:val="0"/>
        <w:adjustRightInd w:val="0"/>
        <w:spacing w:before="240" w:line="276" w:lineRule="auto"/>
        <w:rPr>
          <w:rFonts w:ascii="Book Antiqua" w:hAnsi="Book Antiqua" w:cs="Gulliver"/>
        </w:rPr>
      </w:pPr>
      <w:r w:rsidRPr="00BF36AE">
        <w:rPr>
          <w:rFonts w:ascii="Book Antiqua" w:hAnsi="Book Antiqua" w:cs="Gulliver"/>
        </w:rPr>
        <w:t xml:space="preserve">Eichinger S (2016) Cancer associated thrombosis: risk factors and outcomes. </w:t>
      </w:r>
      <w:r w:rsidRPr="00BF36AE">
        <w:rPr>
          <w:rFonts w:ascii="Book Antiqua" w:hAnsi="Book Antiqua" w:cs="Gulliver"/>
          <w:i/>
          <w:iCs/>
        </w:rPr>
        <w:t>Thrombosis Research</w:t>
      </w:r>
      <w:r w:rsidRPr="00BF36AE">
        <w:rPr>
          <w:rFonts w:ascii="Book Antiqua" w:hAnsi="Book Antiqua" w:cs="Gulliver"/>
        </w:rPr>
        <w:t xml:space="preserve"> 140S1: S12–S17</w:t>
      </w:r>
    </w:p>
    <w:p w14:paraId="6AB67BEF" w14:textId="77777777" w:rsidR="00FA0851" w:rsidRPr="00BF36AE" w:rsidRDefault="00FA0851" w:rsidP="00FA0851">
      <w:pPr>
        <w:autoSpaceDE w:val="0"/>
        <w:autoSpaceDN w:val="0"/>
        <w:adjustRightInd w:val="0"/>
        <w:spacing w:before="240" w:line="276" w:lineRule="auto"/>
        <w:rPr>
          <w:rFonts w:ascii="Book Antiqua" w:hAnsi="Book Antiqua" w:cs="Gulliver"/>
        </w:rPr>
      </w:pPr>
      <w:r w:rsidRPr="00BF36AE">
        <w:rPr>
          <w:rFonts w:ascii="Book Antiqua" w:hAnsi="Book Antiqua"/>
        </w:rPr>
        <w:t xml:space="preserve">Elliott RA, Ross DD, Adams AS, Safran DG, Soumerai SB (2007) Strategies for coping in a complex world: adherence behaviour among older adults with chronic illness. </w:t>
      </w:r>
      <w:r w:rsidRPr="00BF36AE">
        <w:rPr>
          <w:rFonts w:ascii="Book Antiqua" w:hAnsi="Book Antiqua"/>
          <w:i/>
          <w:iCs/>
        </w:rPr>
        <w:t>Journal of General Intern Medicine</w:t>
      </w:r>
      <w:r w:rsidRPr="00BF36AE">
        <w:rPr>
          <w:rFonts w:ascii="Book Antiqua" w:hAnsi="Book Antiqua"/>
        </w:rPr>
        <w:t xml:space="preserve"> 22(6):805-810.</w:t>
      </w:r>
    </w:p>
    <w:p w14:paraId="75BD7622" w14:textId="77777777" w:rsidR="00FA0851" w:rsidRPr="00BF36AE" w:rsidRDefault="00FA0851" w:rsidP="00FA0851">
      <w:pPr>
        <w:autoSpaceDE w:val="0"/>
        <w:autoSpaceDN w:val="0"/>
        <w:adjustRightInd w:val="0"/>
        <w:spacing w:before="240" w:line="276" w:lineRule="auto"/>
        <w:rPr>
          <w:rFonts w:ascii="Book Antiqua" w:hAnsi="Book Antiqua" w:cs="Arial"/>
        </w:rPr>
      </w:pPr>
      <w:r w:rsidRPr="00BF36AE">
        <w:rPr>
          <w:rFonts w:ascii="Book Antiqua" w:hAnsi="Book Antiqua" w:cs="Arial"/>
        </w:rPr>
        <w:t xml:space="preserve">Elyamany G, Alzahrani AM and Bukhary E (2014) Cancer-Associated Thrombosis: An Overview. </w:t>
      </w:r>
      <w:r w:rsidRPr="00BF36AE">
        <w:rPr>
          <w:rFonts w:ascii="Book Antiqua" w:hAnsi="Book Antiqua" w:cs="Arial"/>
          <w:i/>
          <w:iCs/>
        </w:rPr>
        <w:t xml:space="preserve">Clinical Medicine Insights: Oncology </w:t>
      </w:r>
      <w:r w:rsidRPr="00BF36AE">
        <w:rPr>
          <w:rFonts w:ascii="Book Antiqua" w:hAnsi="Book Antiqua" w:cs="Arial"/>
        </w:rPr>
        <w:t xml:space="preserve">2014:8 129–137 </w:t>
      </w:r>
    </w:p>
    <w:p w14:paraId="0069EF4A" w14:textId="77777777" w:rsidR="00BF36AE" w:rsidRPr="00BF36AE" w:rsidRDefault="00BF36AE" w:rsidP="00BF36AE">
      <w:pPr>
        <w:spacing w:before="100" w:beforeAutospacing="1" w:after="100" w:afterAutospacing="1" w:line="276" w:lineRule="auto"/>
        <w:rPr>
          <w:rFonts w:ascii="Book Antiqua" w:eastAsia="Times New Roman" w:hAnsi="Book Antiqua" w:cs="Times New Roman"/>
        </w:rPr>
      </w:pPr>
      <w:r w:rsidRPr="00133998">
        <w:rPr>
          <w:rFonts w:ascii="Book Antiqua" w:eastAsia="Times New Roman" w:hAnsi="Book Antiqua" w:cs="Times New Roman"/>
        </w:rPr>
        <w:lastRenderedPageBreak/>
        <w:t>Greenhalgh T (2010) How to read a paper the basics of evidence-based medicine (4th Edition). Chichester: Wiley-Blackwell</w:t>
      </w:r>
      <w:r w:rsidR="00743B41">
        <w:rPr>
          <w:rFonts w:ascii="Book Antiqua" w:eastAsia="Times New Roman" w:hAnsi="Book Antiqua" w:cs="Times New Roman"/>
        </w:rPr>
        <w:t>.</w:t>
      </w:r>
      <w:r w:rsidRPr="00133998">
        <w:rPr>
          <w:rFonts w:ascii="Book Antiqua" w:eastAsia="Times New Roman" w:hAnsi="Book Antiqua" w:cs="Times New Roman"/>
        </w:rPr>
        <w:t xml:space="preserve"> </w:t>
      </w:r>
      <w:r w:rsidRPr="00BF36AE">
        <w:rPr>
          <w:rFonts w:ascii="Book Antiqua" w:eastAsia="Times New Roman" w:hAnsi="Book Antiqua" w:cs="Times New Roman"/>
        </w:rPr>
        <w:t xml:space="preserve"> </w:t>
      </w:r>
      <w:r w:rsidR="00743B41">
        <w:rPr>
          <w:rFonts w:ascii="Book Antiqua" w:eastAsia="Times New Roman" w:hAnsi="Book Antiqua" w:cs="Times New Roman"/>
        </w:rPr>
        <w:t xml:space="preserve">Available </w:t>
      </w:r>
      <w:r w:rsidRPr="00133998">
        <w:rPr>
          <w:rFonts w:ascii="Book Antiqua" w:eastAsia="Times New Roman" w:hAnsi="Book Antiqua" w:cs="Times New Roman"/>
        </w:rPr>
        <w:t xml:space="preserve">from:  http://www.myilibrary.com?id=268650 [Accessed 15th November 2015] </w:t>
      </w:r>
    </w:p>
    <w:p w14:paraId="7B0DA3F3" w14:textId="77777777" w:rsidR="00FA0851" w:rsidRPr="00BF36AE" w:rsidRDefault="00FA0851" w:rsidP="00FA0851">
      <w:pPr>
        <w:autoSpaceDE w:val="0"/>
        <w:autoSpaceDN w:val="0"/>
        <w:adjustRightInd w:val="0"/>
        <w:spacing w:before="240" w:line="276" w:lineRule="auto"/>
        <w:rPr>
          <w:rFonts w:ascii="Book Antiqua" w:hAnsi="Book Antiqua" w:cs="Helvetica 45 Light"/>
        </w:rPr>
      </w:pPr>
      <w:r w:rsidRPr="00BF36AE">
        <w:rPr>
          <w:rFonts w:ascii="Book Antiqua" w:hAnsi="Book Antiqua" w:cs="Helvetica 45 Light"/>
        </w:rPr>
        <w:t xml:space="preserve">Health Select Committee (2005) </w:t>
      </w:r>
      <w:r w:rsidRPr="00BF36AE">
        <w:rPr>
          <w:rFonts w:ascii="Book Antiqua" w:hAnsi="Book Antiqua" w:cs="Helvetica 45 Light"/>
          <w:i/>
          <w:iCs/>
        </w:rPr>
        <w:t>The prevention of venous thromboembolism in hospitalised patients</w:t>
      </w:r>
      <w:r w:rsidRPr="00BF36AE">
        <w:rPr>
          <w:rFonts w:ascii="Book Antiqua" w:hAnsi="Book Antiqua" w:cs="Helvetica 45 Light"/>
        </w:rPr>
        <w:t xml:space="preserve">. London: The stationery Office </w:t>
      </w:r>
    </w:p>
    <w:p w14:paraId="555798B7" w14:textId="77777777" w:rsidR="00FA0851" w:rsidRPr="00BF36AE" w:rsidRDefault="00FA0851" w:rsidP="00FA0851">
      <w:pPr>
        <w:autoSpaceDE w:val="0"/>
        <w:autoSpaceDN w:val="0"/>
        <w:adjustRightInd w:val="0"/>
        <w:spacing w:before="240" w:line="276" w:lineRule="auto"/>
        <w:rPr>
          <w:rFonts w:ascii="Book Antiqua" w:hAnsi="Book Antiqua" w:cs="AdvP403A40"/>
        </w:rPr>
      </w:pPr>
      <w:r w:rsidRPr="00BF36AE">
        <w:rPr>
          <w:rFonts w:ascii="Book Antiqua" w:hAnsi="Book Antiqua" w:cs="AdvP403A40"/>
        </w:rPr>
        <w:t xml:space="preserve">Horsted F, West J, Grainge MJ (2012) Risk of Venous Thromboembolism in Patients with Cancer: A Systematic Review and Meta-Analysis. </w:t>
      </w:r>
      <w:r w:rsidRPr="00BF36AE">
        <w:rPr>
          <w:rFonts w:ascii="Book Antiqua" w:hAnsi="Book Antiqua" w:cs="AdvP403A40"/>
          <w:i/>
          <w:iCs/>
        </w:rPr>
        <w:t>PLoS Med</w:t>
      </w:r>
      <w:r w:rsidRPr="00BF36AE">
        <w:rPr>
          <w:rFonts w:ascii="Book Antiqua" w:hAnsi="Book Antiqua" w:cs="AdvP403A40"/>
        </w:rPr>
        <w:t xml:space="preserve"> 9(7):1-19</w:t>
      </w:r>
    </w:p>
    <w:p w14:paraId="1C8A7AE0" w14:textId="77777777" w:rsidR="00FA0851" w:rsidRPr="00BF36AE" w:rsidRDefault="00FA0851" w:rsidP="00FA0851">
      <w:pPr>
        <w:autoSpaceDE w:val="0"/>
        <w:autoSpaceDN w:val="0"/>
        <w:adjustRightInd w:val="0"/>
        <w:spacing w:before="240" w:line="276" w:lineRule="auto"/>
        <w:rPr>
          <w:rStyle w:val="pagelast"/>
          <w:rFonts w:ascii="Book Antiqua" w:hAnsi="Book Antiqua"/>
          <w:lang w:val="en"/>
        </w:rPr>
      </w:pPr>
      <w:r w:rsidRPr="00BF36AE">
        <w:rPr>
          <w:rFonts w:ascii="Book Antiqua" w:hAnsi="Book Antiqua"/>
          <w:color w:val="0A0905"/>
        </w:rPr>
        <w:t xml:space="preserve">Khorana AA (2010) Venous thromboembolism and prognosis in cancer. </w:t>
      </w:r>
      <w:r w:rsidRPr="00BF36AE">
        <w:rPr>
          <w:rFonts w:ascii="Book Antiqua" w:hAnsi="Book Antiqua"/>
          <w:i/>
          <w:iCs/>
          <w:color w:val="0A0905"/>
        </w:rPr>
        <w:t xml:space="preserve">Thrombosis Research </w:t>
      </w:r>
      <w:r w:rsidRPr="00BF36AE">
        <w:rPr>
          <w:rFonts w:ascii="Book Antiqua" w:hAnsi="Book Antiqua"/>
          <w:color w:val="0A0905"/>
        </w:rPr>
        <w:t>125:490-493.</w:t>
      </w:r>
    </w:p>
    <w:p w14:paraId="0798A76A" w14:textId="77777777" w:rsidR="00FA0851" w:rsidRPr="00BF36AE" w:rsidRDefault="00FA0851" w:rsidP="00FA0851">
      <w:pPr>
        <w:autoSpaceDE w:val="0"/>
        <w:autoSpaceDN w:val="0"/>
        <w:adjustRightInd w:val="0"/>
        <w:spacing w:before="240" w:line="276" w:lineRule="auto"/>
        <w:rPr>
          <w:rFonts w:ascii="Book Antiqua" w:hAnsi="Book Antiqua"/>
        </w:rPr>
      </w:pPr>
      <w:r w:rsidRPr="00BF36AE">
        <w:rPr>
          <w:rFonts w:ascii="Book Antiqua" w:hAnsi="Book Antiqua"/>
        </w:rPr>
        <w:t xml:space="preserve">Kuderer NM, Ortel TL and Francis CW (2009) Impact of Venous Thromboembolism and anticoagulation on cancer and cancer survival. </w:t>
      </w:r>
      <w:r w:rsidRPr="00BF36AE">
        <w:rPr>
          <w:rFonts w:ascii="Book Antiqua" w:hAnsi="Book Antiqua"/>
          <w:i/>
          <w:iCs/>
        </w:rPr>
        <w:t>Journal of clinical oncology</w:t>
      </w:r>
      <w:r w:rsidRPr="00BF36AE">
        <w:rPr>
          <w:rFonts w:ascii="Book Antiqua" w:hAnsi="Book Antiqua"/>
        </w:rPr>
        <w:t xml:space="preserve"> 27(29): 4902-4911</w:t>
      </w:r>
    </w:p>
    <w:p w14:paraId="065B3E4A" w14:textId="77777777" w:rsidR="00FA0851" w:rsidRPr="00BF36AE" w:rsidRDefault="00FA0851" w:rsidP="00FA0851">
      <w:pPr>
        <w:spacing w:before="240" w:line="276" w:lineRule="auto"/>
        <w:rPr>
          <w:rFonts w:ascii="Book Antiqua" w:hAnsi="Book Antiqua"/>
        </w:rPr>
      </w:pPr>
      <w:r w:rsidRPr="00BF36AE">
        <w:rPr>
          <w:rFonts w:ascii="Book Antiqua" w:hAnsi="Book Antiqua" w:cs="Helvetica 45 Light"/>
        </w:rPr>
        <w:t xml:space="preserve">Lyman GH and Khorana AA </w:t>
      </w:r>
      <w:r w:rsidRPr="00BF36AE">
        <w:rPr>
          <w:rFonts w:ascii="Book Antiqua" w:hAnsi="Book Antiqua"/>
        </w:rPr>
        <w:t xml:space="preserve">(2009) Cancer, clots and consensus: New understanding of an old problem. </w:t>
      </w:r>
      <w:r w:rsidRPr="00BF36AE">
        <w:rPr>
          <w:rFonts w:ascii="Book Antiqua" w:hAnsi="Book Antiqua"/>
          <w:i/>
          <w:iCs/>
        </w:rPr>
        <w:t>Journal of clinical oncology</w:t>
      </w:r>
      <w:r w:rsidRPr="00BF36AE">
        <w:rPr>
          <w:rFonts w:ascii="Book Antiqua" w:hAnsi="Book Antiqua"/>
        </w:rPr>
        <w:t xml:space="preserve"> 27 (29): 4821-4826</w:t>
      </w:r>
    </w:p>
    <w:p w14:paraId="757159DF" w14:textId="77777777" w:rsidR="00FA0851" w:rsidRPr="00BF36AE" w:rsidRDefault="00FA0851" w:rsidP="00FA0851">
      <w:pPr>
        <w:spacing w:before="240" w:line="276" w:lineRule="auto"/>
        <w:rPr>
          <w:rFonts w:ascii="Book Antiqua" w:hAnsi="Book Antiqua"/>
        </w:rPr>
      </w:pPr>
      <w:r w:rsidRPr="00BF36AE">
        <w:rPr>
          <w:rFonts w:ascii="Book Antiqua" w:hAnsi="Book Antiqua"/>
        </w:rPr>
        <w:t xml:space="preserve">Mandala M, Falanga A, Roila F (2011) Management of venous thromboembolism (VTE) in cancer patients: ESMO clinical practice guidelines. </w:t>
      </w:r>
      <w:r w:rsidRPr="00BF36AE">
        <w:rPr>
          <w:rFonts w:ascii="Book Antiqua" w:hAnsi="Book Antiqua"/>
          <w:i/>
          <w:iCs/>
        </w:rPr>
        <w:t>Annals of oncology</w:t>
      </w:r>
      <w:r w:rsidRPr="00BF36AE">
        <w:rPr>
          <w:rFonts w:ascii="Book Antiqua" w:hAnsi="Book Antiqua"/>
        </w:rPr>
        <w:t xml:space="preserve"> 22(6) vi85-vi92</w:t>
      </w:r>
    </w:p>
    <w:p w14:paraId="1891BAAC" w14:textId="77777777" w:rsidR="00BF36AE" w:rsidRPr="00BF36AE" w:rsidRDefault="00BF36AE" w:rsidP="00BF36AE">
      <w:pPr>
        <w:spacing w:before="100" w:beforeAutospacing="1" w:after="100" w:afterAutospacing="1" w:line="240" w:lineRule="auto"/>
        <w:rPr>
          <w:rFonts w:ascii="Book Antiqua" w:eastAsia="Times New Roman" w:hAnsi="Book Antiqua" w:cs="Times New Roman"/>
        </w:rPr>
      </w:pPr>
      <w:r w:rsidRPr="00133998">
        <w:rPr>
          <w:rFonts w:ascii="Book Antiqua" w:eastAsia="Times New Roman" w:hAnsi="Book Antiqua" w:cs="Times New Roman"/>
        </w:rPr>
        <w:t xml:space="preserve">Melnyk BM and Fineout-Overholt E (2005) Evidence-based practice in nursing and healthcare: a guide to best practice. Philadelphia: Lippincott Williams &amp; Wilkins </w:t>
      </w:r>
    </w:p>
    <w:p w14:paraId="29B3194D" w14:textId="77777777" w:rsidR="00FA0851" w:rsidRPr="00BF36AE" w:rsidRDefault="00FA0851" w:rsidP="00FA0851">
      <w:pPr>
        <w:spacing w:before="240" w:line="276" w:lineRule="auto"/>
        <w:rPr>
          <w:rFonts w:ascii="Book Antiqua" w:hAnsi="Book Antiqua"/>
        </w:rPr>
      </w:pPr>
      <w:r w:rsidRPr="00BF36AE">
        <w:rPr>
          <w:rFonts w:ascii="Book Antiqua" w:hAnsi="Book Antiqua"/>
        </w:rPr>
        <w:t>Mengiardi S, Tsakiris DA, Lampert ML, Hersbeger KE (2011)</w:t>
      </w:r>
      <w:r w:rsidR="00743B41">
        <w:rPr>
          <w:rFonts w:ascii="Book Antiqua" w:hAnsi="Book Antiqua"/>
        </w:rPr>
        <w:t xml:space="preserve"> Drug use problems with self-inj</w:t>
      </w:r>
      <w:r w:rsidRPr="00BF36AE">
        <w:rPr>
          <w:rFonts w:ascii="Book Antiqua" w:hAnsi="Book Antiqua"/>
        </w:rPr>
        <w:t xml:space="preserve">ected low-molecular-weight heparins in primary care. </w:t>
      </w:r>
      <w:r w:rsidRPr="00BF36AE">
        <w:rPr>
          <w:rFonts w:ascii="Book Antiqua" w:hAnsi="Book Antiqua"/>
          <w:i/>
          <w:iCs/>
        </w:rPr>
        <w:t>European Journal of clinical pharmacology</w:t>
      </w:r>
      <w:r w:rsidRPr="00BF36AE">
        <w:rPr>
          <w:rFonts w:ascii="Book Antiqua" w:hAnsi="Book Antiqua"/>
        </w:rPr>
        <w:t xml:space="preserve"> 67(2):109-20</w:t>
      </w:r>
    </w:p>
    <w:p w14:paraId="56DE5705" w14:textId="77777777" w:rsidR="00FA0851" w:rsidRPr="00BF36AE" w:rsidRDefault="00FA0851" w:rsidP="00FA0851">
      <w:pPr>
        <w:autoSpaceDE w:val="0"/>
        <w:autoSpaceDN w:val="0"/>
        <w:adjustRightInd w:val="0"/>
        <w:spacing w:after="0" w:line="276" w:lineRule="auto"/>
        <w:rPr>
          <w:rFonts w:ascii="Book Antiqua" w:hAnsi="Book Antiqua" w:cs="Lato"/>
        </w:rPr>
      </w:pPr>
      <w:r w:rsidRPr="00BF36AE">
        <w:rPr>
          <w:rFonts w:ascii="Book Antiqua" w:hAnsi="Book Antiqua"/>
        </w:rPr>
        <w:t xml:space="preserve">NICE National Institute for Health and care Excellence (2009) </w:t>
      </w:r>
      <w:r w:rsidRPr="00BF36AE">
        <w:rPr>
          <w:rFonts w:ascii="Book Antiqua" w:hAnsi="Book Antiqua" w:cs="Lato"/>
          <w:i/>
          <w:iCs/>
        </w:rPr>
        <w:t>Medicines adherence: involving patients in decisions about prescribed medicines and supporting adherence.</w:t>
      </w:r>
      <w:r w:rsidRPr="00BF36AE">
        <w:rPr>
          <w:rFonts w:ascii="Book Antiqua" w:hAnsi="Book Antiqua"/>
        </w:rPr>
        <w:t xml:space="preserve"> Clinical guideline (CG76). Available from: </w:t>
      </w:r>
      <w:r w:rsidRPr="00BF36AE">
        <w:rPr>
          <w:rFonts w:ascii="Book Antiqua" w:hAnsi="Book Antiqua" w:cs="Lato"/>
        </w:rPr>
        <w:t>nice.org.uk/guidance/cg76 [accessed 28.4.16]</w:t>
      </w:r>
    </w:p>
    <w:p w14:paraId="2ABD2F90" w14:textId="77777777" w:rsidR="00FA0851" w:rsidRPr="00BF36AE" w:rsidRDefault="00FA0851" w:rsidP="00FA0851">
      <w:pPr>
        <w:spacing w:before="240" w:line="276" w:lineRule="auto"/>
        <w:rPr>
          <w:rFonts w:ascii="Book Antiqua" w:hAnsi="Book Antiqua" w:cs="Lato"/>
        </w:rPr>
      </w:pPr>
      <w:r w:rsidRPr="00BF36AE">
        <w:rPr>
          <w:rFonts w:ascii="Book Antiqua" w:hAnsi="Book Antiqua"/>
        </w:rPr>
        <w:t xml:space="preserve">NICE National Institute for Health and care Excellence (2013) </w:t>
      </w:r>
      <w:r w:rsidRPr="00BF36AE">
        <w:rPr>
          <w:rFonts w:ascii="Book Antiqua" w:hAnsi="Book Antiqua"/>
          <w:i/>
          <w:iCs/>
        </w:rPr>
        <w:t>Venous thromboembolism in adults: diagnosis and management</w:t>
      </w:r>
      <w:r w:rsidRPr="00BF36AE">
        <w:rPr>
          <w:rFonts w:ascii="Book Antiqua" w:hAnsi="Book Antiqua"/>
        </w:rPr>
        <w:t xml:space="preserve">. Quality standard (QS 29). Available from: </w:t>
      </w:r>
      <w:r w:rsidRPr="00BF36AE">
        <w:rPr>
          <w:rFonts w:ascii="Book Antiqua" w:hAnsi="Book Antiqua" w:cs="Lato"/>
        </w:rPr>
        <w:t>nice.org.uk/guidance/qs29 [accessed 28.4.16]</w:t>
      </w:r>
    </w:p>
    <w:p w14:paraId="36D66B80" w14:textId="77777777" w:rsidR="00FA0851" w:rsidRPr="00BF36AE" w:rsidRDefault="00FA0851" w:rsidP="00FA0851">
      <w:pPr>
        <w:spacing w:before="240" w:line="276" w:lineRule="auto"/>
        <w:rPr>
          <w:rFonts w:ascii="Book Antiqua" w:hAnsi="Book Antiqua"/>
        </w:rPr>
      </w:pPr>
      <w:r w:rsidRPr="00BF36AE">
        <w:rPr>
          <w:rFonts w:ascii="Book Antiqua" w:hAnsi="Book Antiqua"/>
        </w:rPr>
        <w:t xml:space="preserve">NICE National Institute for Health and Clinical Excellence (2010) </w:t>
      </w:r>
      <w:r w:rsidRPr="00BF36AE">
        <w:rPr>
          <w:rFonts w:ascii="Book Antiqua" w:hAnsi="Book Antiqua"/>
          <w:i/>
          <w:iCs/>
        </w:rPr>
        <w:t>Venous thromboembolism: reducing the risk</w:t>
      </w:r>
      <w:r w:rsidRPr="00BF36AE">
        <w:rPr>
          <w:rFonts w:ascii="Book Antiqua" w:hAnsi="Book Antiqua"/>
        </w:rPr>
        <w:t>. clinical guidelines 92. Available from: www.nice.org.uk/guidance/index.jsp?action=byID&amp;o=12695 [accessed 12/05/2016]</w:t>
      </w:r>
    </w:p>
    <w:p w14:paraId="5AE6CC37" w14:textId="77777777" w:rsidR="00FA0851" w:rsidRPr="00BF36AE" w:rsidRDefault="00FA0851" w:rsidP="00FA0851">
      <w:pPr>
        <w:spacing w:before="240" w:line="276" w:lineRule="auto"/>
        <w:rPr>
          <w:rFonts w:ascii="Book Antiqua" w:hAnsi="Book Antiqua"/>
        </w:rPr>
      </w:pPr>
      <w:r w:rsidRPr="00BF36AE">
        <w:rPr>
          <w:rStyle w:val="author"/>
          <w:rFonts w:ascii="Book Antiqua" w:hAnsi="Book Antiqua"/>
          <w:lang w:val="en"/>
        </w:rPr>
        <w:t>Nieuwlaat R</w:t>
      </w:r>
      <w:r w:rsidRPr="00BF36AE">
        <w:rPr>
          <w:rStyle w:val="HTMLCite"/>
          <w:rFonts w:ascii="Book Antiqua" w:hAnsi="Book Antiqua"/>
          <w:lang w:val="en"/>
        </w:rPr>
        <w:t xml:space="preserve">, </w:t>
      </w:r>
      <w:r w:rsidRPr="00BF36AE">
        <w:rPr>
          <w:rStyle w:val="author"/>
          <w:rFonts w:ascii="Book Antiqua" w:hAnsi="Book Antiqua"/>
          <w:lang w:val="en"/>
        </w:rPr>
        <w:t>Wilczynski N</w:t>
      </w:r>
      <w:r w:rsidRPr="00BF36AE">
        <w:rPr>
          <w:rStyle w:val="HTMLCite"/>
          <w:rFonts w:ascii="Book Antiqua" w:hAnsi="Book Antiqua"/>
          <w:lang w:val="en"/>
        </w:rPr>
        <w:t xml:space="preserve">, </w:t>
      </w:r>
      <w:r w:rsidRPr="00BF36AE">
        <w:rPr>
          <w:rStyle w:val="author"/>
          <w:rFonts w:ascii="Book Antiqua" w:hAnsi="Book Antiqua"/>
          <w:lang w:val="en"/>
        </w:rPr>
        <w:t>Navarro T</w:t>
      </w:r>
      <w:r w:rsidRPr="00BF36AE">
        <w:rPr>
          <w:rStyle w:val="HTMLCite"/>
          <w:rFonts w:ascii="Book Antiqua" w:hAnsi="Book Antiqua"/>
          <w:lang w:val="en"/>
        </w:rPr>
        <w:t xml:space="preserve">, </w:t>
      </w:r>
      <w:r w:rsidRPr="00BF36AE">
        <w:rPr>
          <w:rStyle w:val="author"/>
          <w:rFonts w:ascii="Book Antiqua" w:hAnsi="Book Antiqua"/>
          <w:lang w:val="en"/>
        </w:rPr>
        <w:t>Hobson N</w:t>
      </w:r>
      <w:r w:rsidRPr="00BF36AE">
        <w:rPr>
          <w:rStyle w:val="HTMLCite"/>
          <w:rFonts w:ascii="Book Antiqua" w:hAnsi="Book Antiqua"/>
          <w:lang w:val="en"/>
        </w:rPr>
        <w:t xml:space="preserve">, </w:t>
      </w:r>
      <w:r w:rsidRPr="00BF36AE">
        <w:rPr>
          <w:rStyle w:val="author"/>
          <w:rFonts w:ascii="Book Antiqua" w:hAnsi="Book Antiqua"/>
          <w:lang w:val="en"/>
        </w:rPr>
        <w:t>Jeffery R</w:t>
      </w:r>
      <w:r w:rsidRPr="00BF36AE">
        <w:rPr>
          <w:rStyle w:val="HTMLCite"/>
          <w:rFonts w:ascii="Book Antiqua" w:hAnsi="Book Antiqua"/>
          <w:lang w:val="en"/>
        </w:rPr>
        <w:t xml:space="preserve">, </w:t>
      </w:r>
      <w:r w:rsidRPr="00BF36AE">
        <w:rPr>
          <w:rStyle w:val="author"/>
          <w:rFonts w:ascii="Book Antiqua" w:hAnsi="Book Antiqua"/>
          <w:lang w:val="en"/>
        </w:rPr>
        <w:t>Keepanasseril A</w:t>
      </w:r>
      <w:r w:rsidRPr="00BF36AE">
        <w:rPr>
          <w:rStyle w:val="HTMLCite"/>
          <w:rFonts w:ascii="Book Antiqua" w:hAnsi="Book Antiqua"/>
          <w:lang w:val="en"/>
        </w:rPr>
        <w:t xml:space="preserve">, </w:t>
      </w:r>
      <w:r w:rsidRPr="00BF36AE">
        <w:rPr>
          <w:rStyle w:val="author"/>
          <w:rFonts w:ascii="Book Antiqua" w:hAnsi="Book Antiqua"/>
          <w:lang w:val="en"/>
        </w:rPr>
        <w:t>Agoritsas T</w:t>
      </w:r>
      <w:r w:rsidRPr="00BF36AE">
        <w:rPr>
          <w:rStyle w:val="HTMLCite"/>
          <w:rFonts w:ascii="Book Antiqua" w:hAnsi="Book Antiqua"/>
          <w:lang w:val="en"/>
        </w:rPr>
        <w:t xml:space="preserve">, </w:t>
      </w:r>
      <w:r w:rsidRPr="00BF36AE">
        <w:rPr>
          <w:rStyle w:val="author"/>
          <w:rFonts w:ascii="Book Antiqua" w:hAnsi="Book Antiqua"/>
          <w:lang w:val="en"/>
        </w:rPr>
        <w:t>Mistry N</w:t>
      </w:r>
      <w:r w:rsidRPr="00BF36AE">
        <w:rPr>
          <w:rStyle w:val="HTMLCite"/>
          <w:rFonts w:ascii="Book Antiqua" w:hAnsi="Book Antiqua"/>
          <w:lang w:val="en"/>
        </w:rPr>
        <w:t xml:space="preserve">, </w:t>
      </w:r>
      <w:r w:rsidRPr="00BF36AE">
        <w:rPr>
          <w:rStyle w:val="author"/>
          <w:rFonts w:ascii="Book Antiqua" w:hAnsi="Book Antiqua"/>
          <w:lang w:val="en"/>
        </w:rPr>
        <w:t>Iorio A</w:t>
      </w:r>
      <w:r w:rsidRPr="00BF36AE">
        <w:rPr>
          <w:rStyle w:val="HTMLCite"/>
          <w:rFonts w:ascii="Book Antiqua" w:hAnsi="Book Antiqua"/>
          <w:lang w:val="en"/>
        </w:rPr>
        <w:t xml:space="preserve">, </w:t>
      </w:r>
      <w:r w:rsidRPr="00BF36AE">
        <w:rPr>
          <w:rStyle w:val="author"/>
          <w:rFonts w:ascii="Book Antiqua" w:hAnsi="Book Antiqua"/>
          <w:lang w:val="en"/>
        </w:rPr>
        <w:t>Jack S</w:t>
      </w:r>
      <w:r w:rsidRPr="00BF36AE">
        <w:rPr>
          <w:rStyle w:val="HTMLCite"/>
          <w:rFonts w:ascii="Book Antiqua" w:hAnsi="Book Antiqua"/>
          <w:lang w:val="en"/>
        </w:rPr>
        <w:t xml:space="preserve">, </w:t>
      </w:r>
      <w:r w:rsidRPr="00BF36AE">
        <w:rPr>
          <w:rStyle w:val="author"/>
          <w:rFonts w:ascii="Book Antiqua" w:hAnsi="Book Antiqua"/>
          <w:lang w:val="en"/>
        </w:rPr>
        <w:t>Sivaramalingam B</w:t>
      </w:r>
      <w:r w:rsidRPr="00BF36AE">
        <w:rPr>
          <w:rStyle w:val="HTMLCite"/>
          <w:rFonts w:ascii="Book Antiqua" w:hAnsi="Book Antiqua"/>
          <w:lang w:val="en"/>
        </w:rPr>
        <w:t xml:space="preserve">, </w:t>
      </w:r>
      <w:r w:rsidRPr="00BF36AE">
        <w:rPr>
          <w:rStyle w:val="author"/>
          <w:rFonts w:ascii="Book Antiqua" w:hAnsi="Book Antiqua"/>
          <w:lang w:val="en"/>
        </w:rPr>
        <w:t>Iserman E</w:t>
      </w:r>
      <w:r w:rsidRPr="00BF36AE">
        <w:rPr>
          <w:rStyle w:val="HTMLCite"/>
          <w:rFonts w:ascii="Book Antiqua" w:hAnsi="Book Antiqua"/>
          <w:lang w:val="en"/>
        </w:rPr>
        <w:t xml:space="preserve">, </w:t>
      </w:r>
      <w:r w:rsidRPr="00BF36AE">
        <w:rPr>
          <w:rStyle w:val="author"/>
          <w:rFonts w:ascii="Book Antiqua" w:hAnsi="Book Antiqua"/>
          <w:lang w:val="en"/>
        </w:rPr>
        <w:t>Mustafa RA</w:t>
      </w:r>
      <w:r w:rsidRPr="00BF36AE">
        <w:rPr>
          <w:rStyle w:val="HTMLCite"/>
          <w:rFonts w:ascii="Book Antiqua" w:hAnsi="Book Antiqua"/>
          <w:lang w:val="en"/>
        </w:rPr>
        <w:t xml:space="preserve">, </w:t>
      </w:r>
      <w:r w:rsidRPr="00BF36AE">
        <w:rPr>
          <w:rStyle w:val="author"/>
          <w:rFonts w:ascii="Book Antiqua" w:hAnsi="Book Antiqua"/>
          <w:lang w:val="en"/>
        </w:rPr>
        <w:t>Jedraszewski D</w:t>
      </w:r>
      <w:r w:rsidRPr="00BF36AE">
        <w:rPr>
          <w:rStyle w:val="HTMLCite"/>
          <w:rFonts w:ascii="Book Antiqua" w:hAnsi="Book Antiqua"/>
          <w:lang w:val="en"/>
        </w:rPr>
        <w:t xml:space="preserve">, </w:t>
      </w:r>
      <w:r w:rsidRPr="00BF36AE">
        <w:rPr>
          <w:rStyle w:val="author"/>
          <w:rFonts w:ascii="Book Antiqua" w:hAnsi="Book Antiqua"/>
          <w:lang w:val="en"/>
        </w:rPr>
        <w:t>Cotoi C</w:t>
      </w:r>
      <w:r w:rsidRPr="00BF36AE">
        <w:rPr>
          <w:rStyle w:val="HTMLCite"/>
          <w:rFonts w:ascii="Book Antiqua" w:hAnsi="Book Antiqua"/>
          <w:lang w:val="en"/>
        </w:rPr>
        <w:t xml:space="preserve">, </w:t>
      </w:r>
      <w:r w:rsidRPr="00BF36AE">
        <w:rPr>
          <w:rStyle w:val="author"/>
          <w:rFonts w:ascii="Book Antiqua" w:hAnsi="Book Antiqua"/>
          <w:lang w:val="en"/>
        </w:rPr>
        <w:t>Haynes RB (2014)</w:t>
      </w:r>
      <w:r w:rsidRPr="00BF36AE">
        <w:rPr>
          <w:rStyle w:val="HTMLCite"/>
          <w:rFonts w:ascii="Book Antiqua" w:hAnsi="Book Antiqua"/>
          <w:lang w:val="en"/>
        </w:rPr>
        <w:t xml:space="preserve"> </w:t>
      </w:r>
      <w:r w:rsidRPr="00BF36AE">
        <w:rPr>
          <w:rStyle w:val="articletitle"/>
          <w:rFonts w:ascii="Book Antiqua" w:hAnsi="Book Antiqua"/>
          <w:lang w:val="en"/>
        </w:rPr>
        <w:t>Interventions for enhancing medication adherence</w:t>
      </w:r>
      <w:r w:rsidRPr="00BF36AE">
        <w:rPr>
          <w:rStyle w:val="HTMLCite"/>
          <w:rFonts w:ascii="Book Antiqua" w:hAnsi="Book Antiqua"/>
          <w:lang w:val="en"/>
        </w:rPr>
        <w:t xml:space="preserve">. </w:t>
      </w:r>
      <w:r w:rsidRPr="00BF36AE">
        <w:rPr>
          <w:rStyle w:val="othertitle"/>
          <w:rFonts w:ascii="Book Antiqua" w:hAnsi="Book Antiqua"/>
          <w:i/>
          <w:iCs/>
          <w:lang w:val="en"/>
        </w:rPr>
        <w:t>Cochrane Database of Systematic Reviews</w:t>
      </w:r>
      <w:r w:rsidRPr="00BF36AE">
        <w:rPr>
          <w:rStyle w:val="HTMLCite"/>
          <w:rFonts w:ascii="Book Antiqua" w:hAnsi="Book Antiqua"/>
          <w:lang w:val="en"/>
        </w:rPr>
        <w:t xml:space="preserve"> </w:t>
      </w:r>
      <w:r w:rsidRPr="00BF36AE">
        <w:rPr>
          <w:rStyle w:val="vol"/>
          <w:rFonts w:ascii="Book Antiqua" w:hAnsi="Book Antiqua"/>
          <w:lang w:val="en"/>
        </w:rPr>
        <w:t xml:space="preserve">Available from: </w:t>
      </w:r>
      <w:r w:rsidRPr="00BF36AE">
        <w:rPr>
          <w:rStyle w:val="HTMLCite"/>
          <w:rFonts w:ascii="Book Antiqua" w:hAnsi="Book Antiqua"/>
          <w:lang w:val="en"/>
        </w:rPr>
        <w:t xml:space="preserve">10.1002/14651858.CD000011.pub4. </w:t>
      </w:r>
      <w:r w:rsidRPr="00BF36AE">
        <w:rPr>
          <w:rFonts w:ascii="Book Antiqua" w:hAnsi="Book Antiqua"/>
        </w:rPr>
        <w:t>[</w:t>
      </w:r>
      <w:r w:rsidR="00743B41" w:rsidRPr="00BF36AE">
        <w:rPr>
          <w:rFonts w:ascii="Book Antiqua" w:hAnsi="Book Antiqua"/>
        </w:rPr>
        <w:t>Accessed</w:t>
      </w:r>
      <w:r w:rsidRPr="00BF36AE">
        <w:rPr>
          <w:rFonts w:ascii="Book Antiqua" w:hAnsi="Book Antiqua"/>
        </w:rPr>
        <w:t xml:space="preserve"> 12/05/2016]</w:t>
      </w:r>
    </w:p>
    <w:p w14:paraId="63353517" w14:textId="77777777" w:rsidR="00FA0851" w:rsidRPr="00BF36AE" w:rsidRDefault="00FA0851" w:rsidP="00FA0851">
      <w:pPr>
        <w:autoSpaceDE w:val="0"/>
        <w:autoSpaceDN w:val="0"/>
        <w:adjustRightInd w:val="0"/>
        <w:spacing w:before="240" w:line="276" w:lineRule="auto"/>
        <w:rPr>
          <w:rFonts w:ascii="Book Antiqua" w:hAnsi="Book Antiqua" w:cs="Calibri"/>
          <w:lang w:val="en"/>
        </w:rPr>
      </w:pPr>
      <w:r w:rsidRPr="00BF36AE">
        <w:rPr>
          <w:rFonts w:ascii="Book Antiqua" w:hAnsi="Book Antiqua"/>
        </w:rPr>
        <w:t xml:space="preserve">Nunes V, Neilson J, O’Flynn N, Calvert N, Kuntze S, Smithson H, Benson J, Blair J, Bowser A, Clyne W, Crome P, Haddad P, Hemingway S, Horne R, Johnson S, Kelly S, Packham B, </w:t>
      </w:r>
      <w:r w:rsidRPr="00BF36AE">
        <w:rPr>
          <w:rFonts w:ascii="Book Antiqua" w:hAnsi="Book Antiqua"/>
        </w:rPr>
        <w:lastRenderedPageBreak/>
        <w:t xml:space="preserve">Patel M, Steel J (2009). </w:t>
      </w:r>
      <w:r w:rsidRPr="00BF36AE">
        <w:rPr>
          <w:rFonts w:ascii="Book Antiqua" w:hAnsi="Book Antiqua"/>
          <w:i/>
          <w:iCs/>
        </w:rPr>
        <w:t>Clinical Guidelines and Evidence Review for Medicines Adherence: involving patients in decisions about prescribed medicines and supporting adherence</w:t>
      </w:r>
      <w:r w:rsidRPr="00BF36AE">
        <w:rPr>
          <w:rFonts w:ascii="Book Antiqua" w:hAnsi="Book Antiqua"/>
        </w:rPr>
        <w:t xml:space="preserve">. London: National Collaborating Centre for Primary Care and Royal College of General Practitioners. </w:t>
      </w:r>
    </w:p>
    <w:p w14:paraId="0B42AEC4" w14:textId="77777777" w:rsidR="00FA0851" w:rsidRPr="00BF36AE" w:rsidRDefault="00FA0851" w:rsidP="00FA0851">
      <w:pPr>
        <w:autoSpaceDE w:val="0"/>
        <w:autoSpaceDN w:val="0"/>
        <w:adjustRightInd w:val="0"/>
        <w:spacing w:before="240" w:after="0" w:line="276" w:lineRule="auto"/>
        <w:rPr>
          <w:rFonts w:ascii="Book Antiqua" w:hAnsi="Book Antiqua" w:cs="AdvTTe45e47d2"/>
        </w:rPr>
      </w:pPr>
      <w:r w:rsidRPr="00BF36AE">
        <w:rPr>
          <w:rFonts w:ascii="Book Antiqua" w:hAnsi="Book Antiqua" w:cs="AdvTTb5929f4c"/>
        </w:rPr>
        <w:t>Palmer J, Bozas G, Stephens A, Johnson M, Avery G, O</w:t>
      </w:r>
      <w:r w:rsidRPr="00BF36AE">
        <w:rPr>
          <w:rFonts w:ascii="Book Antiqua" w:hAnsi="Book Antiqua" w:cs="AdvTTb5929f4c+20"/>
        </w:rPr>
        <w:t>’</w:t>
      </w:r>
      <w:r w:rsidRPr="00BF36AE">
        <w:rPr>
          <w:rFonts w:ascii="Book Antiqua" w:hAnsi="Book Antiqua" w:cs="AdvTTb5929f4c"/>
        </w:rPr>
        <w:t>Toole L and Maraveyas A (2013)</w:t>
      </w:r>
      <w:r w:rsidRPr="00BF36AE">
        <w:rPr>
          <w:rFonts w:ascii="Book Antiqua" w:hAnsi="Book Antiqua" w:cs="AdvTTe45e47d2"/>
        </w:rPr>
        <w:t xml:space="preserve">Developing a complex intervention for the outpatient management of incidentally diagnosed pulmonary embolism in cancer patients. </w:t>
      </w:r>
      <w:r w:rsidRPr="00BF36AE">
        <w:rPr>
          <w:rFonts w:ascii="Book Antiqua" w:hAnsi="Book Antiqua" w:cs="AdvTT7329fd89.I"/>
          <w:i/>
          <w:iCs/>
        </w:rPr>
        <w:t>BMC Health Services Research</w:t>
      </w:r>
      <w:r w:rsidRPr="00BF36AE">
        <w:rPr>
          <w:rFonts w:ascii="Book Antiqua" w:hAnsi="Book Antiqua" w:cs="AdvTTe45e47d2"/>
        </w:rPr>
        <w:t xml:space="preserve"> </w:t>
      </w:r>
      <w:r w:rsidRPr="00BF36AE">
        <w:rPr>
          <w:rFonts w:ascii="Book Antiqua" w:hAnsi="Book Antiqua" w:cs="AdvTTaf7f9f4f.B"/>
        </w:rPr>
        <w:t>13</w:t>
      </w:r>
      <w:r w:rsidRPr="00BF36AE">
        <w:rPr>
          <w:rFonts w:ascii="Book Antiqua" w:hAnsi="Book Antiqua" w:cs="AdvTTe45e47d2"/>
        </w:rPr>
        <w:t>:235</w:t>
      </w:r>
    </w:p>
    <w:p w14:paraId="18374EE7" w14:textId="77777777" w:rsidR="00FA0851" w:rsidRPr="00BF36AE" w:rsidRDefault="00FA0851" w:rsidP="00FA0851">
      <w:pPr>
        <w:autoSpaceDE w:val="0"/>
        <w:autoSpaceDN w:val="0"/>
        <w:adjustRightInd w:val="0"/>
        <w:spacing w:before="240" w:after="0" w:line="276" w:lineRule="auto"/>
        <w:rPr>
          <w:rFonts w:ascii="Book Antiqua" w:hAnsi="Book Antiqua" w:cs="AdvOT863180fb"/>
        </w:rPr>
      </w:pPr>
      <w:r w:rsidRPr="00BF36AE">
        <w:rPr>
          <w:rFonts w:ascii="Book Antiqua" w:hAnsi="Book Antiqua" w:cs="AdvOTb92eb7df.I"/>
        </w:rPr>
        <w:t xml:space="preserve">Putt L and Jones P (2014) </w:t>
      </w:r>
      <w:r w:rsidRPr="00BF36AE">
        <w:rPr>
          <w:rFonts w:ascii="Book Antiqua" w:hAnsi="Book Antiqua" w:cs="AdvOT863180fb"/>
        </w:rPr>
        <w:t>The Role of the Specialist Acute Oncology Nurse in the New Acute Oncology Services</w:t>
      </w:r>
      <w:r w:rsidRPr="00BF36AE">
        <w:rPr>
          <w:rFonts w:ascii="Book Antiqua" w:hAnsi="Book Antiqua" w:cs="AdvOTb92eb7df.I"/>
        </w:rPr>
        <w:t xml:space="preserve">. </w:t>
      </w:r>
      <w:r w:rsidRPr="00BF36AE">
        <w:rPr>
          <w:rFonts w:ascii="Book Antiqua" w:hAnsi="Book Antiqua" w:cs="AdvOTb92eb7df.I"/>
          <w:i/>
          <w:iCs/>
        </w:rPr>
        <w:t>Clinical Oncology</w:t>
      </w:r>
      <w:r w:rsidRPr="00BF36AE">
        <w:rPr>
          <w:rFonts w:ascii="Book Antiqua" w:hAnsi="Book Antiqua" w:cs="AdvOTb92eb7df.I"/>
        </w:rPr>
        <w:t xml:space="preserve"> 26 </w:t>
      </w:r>
      <w:r w:rsidRPr="00BF36AE">
        <w:rPr>
          <w:rFonts w:ascii="Book Antiqua" w:hAnsi="Book Antiqua" w:cs="AdvOT863180fb"/>
        </w:rPr>
        <w:t>125</w:t>
      </w:r>
      <w:r w:rsidRPr="00BF36AE">
        <w:rPr>
          <w:rFonts w:ascii="Book Antiqua" w:hAnsi="Book Antiqua" w:cs="AdvPS44A44B"/>
        </w:rPr>
        <w:t xml:space="preserve">- </w:t>
      </w:r>
      <w:r w:rsidRPr="00BF36AE">
        <w:rPr>
          <w:rFonts w:ascii="Book Antiqua" w:hAnsi="Book Antiqua" w:cs="AdvOT863180fb"/>
        </w:rPr>
        <w:t>127</w:t>
      </w:r>
    </w:p>
    <w:p w14:paraId="1CDAA227" w14:textId="77777777" w:rsidR="00FA0851" w:rsidRPr="00BF36AE" w:rsidRDefault="00FA0851" w:rsidP="00FA0851">
      <w:pPr>
        <w:autoSpaceDE w:val="0"/>
        <w:autoSpaceDN w:val="0"/>
        <w:adjustRightInd w:val="0"/>
        <w:spacing w:before="240" w:line="276" w:lineRule="auto"/>
        <w:rPr>
          <w:rFonts w:ascii="Book Antiqua" w:hAnsi="Book Antiqua" w:cs="Arial"/>
        </w:rPr>
      </w:pPr>
      <w:r w:rsidRPr="00BF36AE">
        <w:rPr>
          <w:rFonts w:ascii="Book Antiqua" w:hAnsi="Book Antiqua" w:cs="Arial"/>
        </w:rPr>
        <w:t xml:space="preserve">Sahut D'Izarn M, Caumont Prim A, Planquette B, Revel MP, Avillach P, Chatellier G, Sanchez O and Meyer G (2012) Risk factors and clinical outcome of unsuspected pulmonary embolism in cancer patients: a case-control study. </w:t>
      </w:r>
      <w:r w:rsidRPr="00BF36AE">
        <w:rPr>
          <w:rFonts w:ascii="Book Antiqua" w:hAnsi="Book Antiqua" w:cs="Arial"/>
          <w:i/>
          <w:iCs/>
        </w:rPr>
        <w:t>Journal of Thrombosis and Haemostasis</w:t>
      </w:r>
      <w:r w:rsidRPr="00BF36AE">
        <w:rPr>
          <w:rFonts w:ascii="Book Antiqua" w:hAnsi="Book Antiqua" w:cs="Arial"/>
        </w:rPr>
        <w:t xml:space="preserve"> </w:t>
      </w:r>
      <w:r w:rsidRPr="00BF36AE">
        <w:rPr>
          <w:rFonts w:ascii="Book Antiqua" w:hAnsi="Book Antiqua" w:cs="Arial"/>
          <w:b/>
          <w:bCs/>
        </w:rPr>
        <w:t>10</w:t>
      </w:r>
      <w:r w:rsidRPr="00BF36AE">
        <w:rPr>
          <w:rFonts w:ascii="Book Antiqua" w:hAnsi="Book Antiqua" w:cs="Arial"/>
        </w:rPr>
        <w:t>: 2032-2038.</w:t>
      </w:r>
    </w:p>
    <w:p w14:paraId="0A8B686B" w14:textId="77777777" w:rsidR="00FA0851" w:rsidRPr="00BF36AE" w:rsidRDefault="00FA0851" w:rsidP="00FA0851">
      <w:pPr>
        <w:autoSpaceDE w:val="0"/>
        <w:autoSpaceDN w:val="0"/>
        <w:adjustRightInd w:val="0"/>
        <w:spacing w:before="240" w:line="276" w:lineRule="auto"/>
        <w:rPr>
          <w:rFonts w:ascii="Book Antiqua" w:hAnsi="Book Antiqua"/>
        </w:rPr>
      </w:pPr>
      <w:r w:rsidRPr="00BF36AE">
        <w:rPr>
          <w:rFonts w:ascii="Book Antiqua" w:hAnsi="Book Antiqua"/>
        </w:rPr>
        <w:t>Shteinberg M, Segal-Trabelsy M, Adir Y, Laor A, Vardi M and Bitterman H</w:t>
      </w:r>
      <w:r w:rsidRPr="00BF36AE">
        <w:rPr>
          <w:rFonts w:ascii="Book Antiqua" w:hAnsi="Book Antiqua" w:cs="Calibri"/>
        </w:rPr>
        <w:t xml:space="preserve"> </w:t>
      </w:r>
      <w:r w:rsidRPr="00BF36AE">
        <w:rPr>
          <w:rFonts w:ascii="Book Antiqua" w:hAnsi="Book Antiqua"/>
        </w:rPr>
        <w:t xml:space="preserve">(2012) Clinical characteristics and outcomes of patients with clinically unsuspected </w:t>
      </w:r>
      <w:r w:rsidRPr="00BF36AE">
        <w:rPr>
          <w:rFonts w:ascii="Book Antiqua" w:hAnsi="Book Antiqua" w:cs="Calibri"/>
        </w:rPr>
        <w:t>pulmonary</w:t>
      </w:r>
      <w:r w:rsidRPr="00BF36AE">
        <w:rPr>
          <w:rFonts w:ascii="Book Antiqua" w:hAnsi="Book Antiqua"/>
        </w:rPr>
        <w:t xml:space="preserve"> embolism versus patients with clinically suspected pulmonary embolism. </w:t>
      </w:r>
      <w:r w:rsidRPr="00BF36AE">
        <w:rPr>
          <w:rFonts w:ascii="Book Antiqua" w:hAnsi="Book Antiqua" w:cs="Calibri"/>
          <w:i/>
          <w:iCs/>
        </w:rPr>
        <w:t>Respiration</w:t>
      </w:r>
      <w:r w:rsidRPr="00BF36AE">
        <w:rPr>
          <w:rFonts w:ascii="Book Antiqua" w:hAnsi="Book Antiqua"/>
        </w:rPr>
        <w:t xml:space="preserve"> </w:t>
      </w:r>
      <w:r w:rsidRPr="00BF36AE">
        <w:rPr>
          <w:rFonts w:ascii="Book Antiqua" w:hAnsi="Book Antiqua"/>
          <w:b/>
          <w:bCs/>
        </w:rPr>
        <w:t>84</w:t>
      </w:r>
      <w:r w:rsidRPr="00BF36AE">
        <w:rPr>
          <w:rFonts w:ascii="Book Antiqua" w:hAnsi="Book Antiqua"/>
        </w:rPr>
        <w:t>: 492-500.</w:t>
      </w:r>
    </w:p>
    <w:p w14:paraId="069A7A62" w14:textId="77777777" w:rsidR="00FA0851" w:rsidRPr="00BF36AE" w:rsidRDefault="00FA0851" w:rsidP="00FA0851">
      <w:pPr>
        <w:spacing w:before="240" w:line="276" w:lineRule="auto"/>
        <w:rPr>
          <w:rFonts w:ascii="Book Antiqua" w:hAnsi="Book Antiqua"/>
        </w:rPr>
      </w:pPr>
      <w:r w:rsidRPr="00BF36AE">
        <w:rPr>
          <w:rFonts w:ascii="Book Antiqua" w:hAnsi="Book Antiqua" w:cs="ArialMT"/>
        </w:rPr>
        <w:t xml:space="preserve">Streiff MB </w:t>
      </w:r>
      <w:r w:rsidRPr="00BF36AE">
        <w:rPr>
          <w:rFonts w:ascii="Book Antiqua" w:hAnsi="Book Antiqua"/>
        </w:rPr>
        <w:t xml:space="preserve">(2009) Diagnosis and Initial treatment of venous thromboembolism in patients with cancer. </w:t>
      </w:r>
      <w:r w:rsidRPr="00BF36AE">
        <w:rPr>
          <w:rFonts w:ascii="Book Antiqua" w:hAnsi="Book Antiqua"/>
          <w:i/>
          <w:iCs/>
        </w:rPr>
        <w:t>Journal of clinical oncology</w:t>
      </w:r>
      <w:r w:rsidRPr="00BF36AE">
        <w:rPr>
          <w:rFonts w:ascii="Book Antiqua" w:hAnsi="Book Antiqua"/>
        </w:rPr>
        <w:t xml:space="preserve"> 27 (29): 4889-4894</w:t>
      </w:r>
    </w:p>
    <w:p w14:paraId="6F55B753" w14:textId="77777777" w:rsidR="00FA0851" w:rsidRPr="00BF36AE" w:rsidRDefault="00FA0851" w:rsidP="00BF36AE">
      <w:pPr>
        <w:autoSpaceDE w:val="0"/>
        <w:autoSpaceDN w:val="0"/>
        <w:adjustRightInd w:val="0"/>
        <w:spacing w:before="240" w:line="276" w:lineRule="auto"/>
        <w:rPr>
          <w:rFonts w:ascii="Book Antiqua" w:hAnsi="Book Antiqua" w:cs="AdvP7C2E"/>
        </w:rPr>
      </w:pPr>
      <w:r w:rsidRPr="00BF36AE">
        <w:rPr>
          <w:rFonts w:ascii="Book Antiqua" w:hAnsi="Book Antiqua" w:cs="AdvP7C2E"/>
        </w:rPr>
        <w:t>Torbicki A, Perrier A, Konstantinides S</w:t>
      </w:r>
      <w:r w:rsidRPr="00BF36AE">
        <w:rPr>
          <w:rFonts w:ascii="Book Antiqua" w:hAnsi="Book Antiqua" w:cs="AdvP7C34"/>
        </w:rPr>
        <w:t xml:space="preserve"> (2008) </w:t>
      </w:r>
      <w:r w:rsidRPr="00BF36AE">
        <w:rPr>
          <w:rFonts w:ascii="Book Antiqua" w:hAnsi="Book Antiqua" w:cs="AdvP7C2E"/>
        </w:rPr>
        <w:t xml:space="preserve">Guidelines on the diagnosis and management of acute pulmonary embolism: the Task Force for the Diagnosis and Management of Acute Pulmonary Embolism of the European Society of Cardiology (ESC). </w:t>
      </w:r>
      <w:r w:rsidRPr="00BF36AE">
        <w:rPr>
          <w:rFonts w:ascii="Book Antiqua" w:hAnsi="Book Antiqua" w:cs="AdvP7C34"/>
          <w:i/>
          <w:iCs/>
        </w:rPr>
        <w:t>European Heart Journal</w:t>
      </w:r>
      <w:r w:rsidRPr="00BF36AE">
        <w:rPr>
          <w:rFonts w:ascii="Book Antiqua" w:hAnsi="Book Antiqua" w:cs="AdvP7C34"/>
        </w:rPr>
        <w:t xml:space="preserve"> </w:t>
      </w:r>
      <w:r w:rsidRPr="00BF36AE">
        <w:rPr>
          <w:rFonts w:ascii="Book Antiqua" w:hAnsi="Book Antiqua" w:cs="AdvP7C2E"/>
        </w:rPr>
        <w:t xml:space="preserve">29: 2276–2315.) </w:t>
      </w:r>
    </w:p>
    <w:p w14:paraId="4666CE0F" w14:textId="77777777" w:rsidR="00FA0851" w:rsidRPr="00BF36AE" w:rsidRDefault="00FA0851" w:rsidP="00743B41">
      <w:pPr>
        <w:autoSpaceDE w:val="0"/>
        <w:autoSpaceDN w:val="0"/>
        <w:adjustRightInd w:val="0"/>
        <w:spacing w:after="0" w:line="276" w:lineRule="auto"/>
        <w:rPr>
          <w:rFonts w:ascii="Book Antiqua" w:hAnsi="Book Antiqua" w:cs="Arial-BoldMT"/>
        </w:rPr>
      </w:pPr>
      <w:r w:rsidRPr="00BF36AE">
        <w:rPr>
          <w:rFonts w:ascii="Book Antiqua" w:hAnsi="Book Antiqua" w:cs="Arial-BoldMT"/>
        </w:rPr>
        <w:t>Watson H, Keeling DM, Laffan M, Campbell Tait R and Mike Makris on behalf of</w:t>
      </w:r>
      <w:r w:rsidR="00743B41">
        <w:rPr>
          <w:rFonts w:ascii="Book Antiqua" w:hAnsi="Book Antiqua" w:cs="Arial-BoldMT"/>
        </w:rPr>
        <w:t xml:space="preserve"> </w:t>
      </w:r>
      <w:r w:rsidRPr="00BF36AE">
        <w:rPr>
          <w:rFonts w:ascii="Book Antiqua" w:hAnsi="Book Antiqua" w:cs="Arial-BoldMT"/>
        </w:rPr>
        <w:t xml:space="preserve">the British Committee for Standards in Haematology (2015) Guideline on aspects of cancer-related venous thrombosis. </w:t>
      </w:r>
      <w:r w:rsidRPr="00BF36AE">
        <w:rPr>
          <w:rFonts w:ascii="Book Antiqua" w:hAnsi="Book Antiqua"/>
          <w:i/>
          <w:iCs/>
          <w:lang w:val="en"/>
        </w:rPr>
        <w:t>British Journal of Haematology</w:t>
      </w:r>
      <w:r w:rsidRPr="00BF36AE">
        <w:rPr>
          <w:rFonts w:ascii="Book Antiqua" w:hAnsi="Book Antiqua"/>
          <w:lang w:val="en"/>
        </w:rPr>
        <w:t xml:space="preserve"> </w:t>
      </w:r>
      <w:r w:rsidRPr="00BF36AE">
        <w:rPr>
          <w:rStyle w:val="issuetocvolume"/>
          <w:rFonts w:ascii="Book Antiqua" w:hAnsi="Book Antiqua"/>
          <w:lang w:val="en"/>
        </w:rPr>
        <w:t>170</w:t>
      </w:r>
      <w:r w:rsidRPr="00BF36AE">
        <w:rPr>
          <w:rFonts w:ascii="Book Antiqua" w:hAnsi="Book Antiqua"/>
          <w:lang w:val="en"/>
        </w:rPr>
        <w:t xml:space="preserve"> (</w:t>
      </w:r>
      <w:r w:rsidRPr="00BF36AE">
        <w:rPr>
          <w:rStyle w:val="issuetocissue"/>
          <w:rFonts w:ascii="Book Antiqua" w:hAnsi="Book Antiqua"/>
          <w:lang w:val="en"/>
        </w:rPr>
        <w:t>5):</w:t>
      </w:r>
      <w:r w:rsidRPr="00BF36AE">
        <w:rPr>
          <w:rFonts w:ascii="Book Antiqua" w:hAnsi="Book Antiqua"/>
          <w:lang w:val="en"/>
        </w:rPr>
        <w:t>595–742</w:t>
      </w:r>
    </w:p>
    <w:p w14:paraId="0ABECB14" w14:textId="77777777" w:rsidR="006078FB" w:rsidRPr="00BF36AE" w:rsidRDefault="006078FB" w:rsidP="00A1620E">
      <w:pPr>
        <w:jc w:val="both"/>
        <w:rPr>
          <w:rFonts w:ascii="Book Antiqua" w:hAnsi="Book Antiqua"/>
        </w:rPr>
      </w:pPr>
    </w:p>
    <w:p w14:paraId="06764B49" w14:textId="77777777" w:rsidR="00743B41" w:rsidRDefault="00743B41" w:rsidP="006934DB">
      <w:pPr>
        <w:spacing w:before="240" w:line="276" w:lineRule="auto"/>
        <w:rPr>
          <w:rFonts w:ascii="Book Antiqua" w:hAnsi="Book Antiqua"/>
          <w:sz w:val="18"/>
          <w:szCs w:val="18"/>
        </w:rPr>
      </w:pPr>
    </w:p>
    <w:p w14:paraId="0332DA02" w14:textId="77777777" w:rsidR="006003CB" w:rsidRDefault="006003CB" w:rsidP="00743B41">
      <w:pPr>
        <w:spacing w:before="240" w:line="276" w:lineRule="auto"/>
        <w:jc w:val="center"/>
        <w:rPr>
          <w:rFonts w:ascii="Book Antiqua" w:hAnsi="Book Antiqua"/>
          <w:sz w:val="18"/>
          <w:szCs w:val="18"/>
        </w:rPr>
      </w:pPr>
      <w:r>
        <w:rPr>
          <w:rFonts w:ascii="Book Antiqua" w:hAnsi="Book Antiqua"/>
          <w:noProof/>
          <w:sz w:val="18"/>
          <w:szCs w:val="18"/>
          <w:lang w:eastAsia="en-GB"/>
        </w:rPr>
        <w:drawing>
          <wp:inline distT="0" distB="0" distL="0" distR="0" wp14:anchorId="54AFE396" wp14:editId="7ABAC46F">
            <wp:extent cx="5006340" cy="251460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6340" cy="2514600"/>
                    </a:xfrm>
                    <a:prstGeom prst="rect">
                      <a:avLst/>
                    </a:prstGeom>
                    <a:noFill/>
                  </pic:spPr>
                </pic:pic>
              </a:graphicData>
            </a:graphic>
          </wp:inline>
        </w:drawing>
      </w:r>
    </w:p>
    <w:p w14:paraId="50E231D4" w14:textId="77777777" w:rsidR="009D1211" w:rsidRDefault="00E71B15" w:rsidP="006003CB">
      <w:pPr>
        <w:spacing w:before="240" w:line="276" w:lineRule="auto"/>
        <w:jc w:val="center"/>
        <w:rPr>
          <w:rFonts w:ascii="Book Antiqua" w:hAnsi="Book Antiqua"/>
          <w:sz w:val="18"/>
          <w:szCs w:val="18"/>
        </w:rPr>
      </w:pPr>
      <w:r w:rsidRPr="00505215">
        <w:rPr>
          <w:rFonts w:ascii="Book Antiqua" w:hAnsi="Book Antiqua"/>
          <w:sz w:val="18"/>
          <w:szCs w:val="18"/>
        </w:rPr>
        <w:lastRenderedPageBreak/>
        <w:t>Figure</w:t>
      </w:r>
      <w:r>
        <w:rPr>
          <w:rFonts w:ascii="Book Antiqua" w:hAnsi="Book Antiqua"/>
          <w:sz w:val="18"/>
          <w:szCs w:val="18"/>
        </w:rPr>
        <w:t xml:space="preserve"> 1</w:t>
      </w:r>
      <w:r w:rsidRPr="00505215">
        <w:rPr>
          <w:rFonts w:ascii="Book Antiqua" w:hAnsi="Book Antiqua"/>
          <w:sz w:val="18"/>
          <w:szCs w:val="18"/>
        </w:rPr>
        <w:t>:</w:t>
      </w:r>
      <w:r>
        <w:rPr>
          <w:rFonts w:ascii="Book Antiqua" w:hAnsi="Book Antiqua"/>
          <w:sz w:val="18"/>
          <w:szCs w:val="18"/>
        </w:rPr>
        <w:t xml:space="preserve"> VTE risk factors associated with cancer</w:t>
      </w:r>
    </w:p>
    <w:p w14:paraId="6E8E3685" w14:textId="77777777" w:rsidR="00CB2B31" w:rsidRPr="006003CB" w:rsidRDefault="00CB2B31" w:rsidP="006003CB">
      <w:pPr>
        <w:spacing w:before="240" w:line="276" w:lineRule="auto"/>
        <w:jc w:val="center"/>
        <w:rPr>
          <w:rFonts w:ascii="Book Antiqua" w:hAnsi="Book Antiqua"/>
          <w:sz w:val="18"/>
          <w:szCs w:val="18"/>
        </w:rPr>
      </w:pPr>
    </w:p>
    <w:p w14:paraId="109E6737" w14:textId="5BF46A4A" w:rsidR="006003CB" w:rsidRDefault="006003CB" w:rsidP="00743B41">
      <w:pPr>
        <w:spacing w:line="276" w:lineRule="auto"/>
        <w:jc w:val="center"/>
        <w:rPr>
          <w:rFonts w:ascii="Book Antiqua" w:hAnsi="Book Antiqua"/>
          <w:sz w:val="18"/>
          <w:szCs w:val="18"/>
        </w:rPr>
      </w:pPr>
    </w:p>
    <w:p w14:paraId="1F6E7C25" w14:textId="0D99AFA8" w:rsidR="000625CE" w:rsidRDefault="000625CE" w:rsidP="00743B41">
      <w:pPr>
        <w:spacing w:line="276" w:lineRule="auto"/>
        <w:jc w:val="center"/>
        <w:rPr>
          <w:rFonts w:ascii="Book Antiqua" w:hAnsi="Book Antiqua"/>
          <w:sz w:val="18"/>
          <w:szCs w:val="18"/>
        </w:rPr>
      </w:pPr>
      <w:r>
        <w:rPr>
          <w:rFonts w:ascii="Book Antiqua" w:hAnsi="Book Antiqua"/>
          <w:noProof/>
          <w:sz w:val="18"/>
          <w:szCs w:val="18"/>
          <w:lang w:eastAsia="en-GB"/>
        </w:rPr>
        <w:drawing>
          <wp:inline distT="0" distB="0" distL="0" distR="0" wp14:anchorId="7204834C" wp14:editId="24E202FF">
            <wp:extent cx="4584700" cy="2755900"/>
            <wp:effectExtent l="0" t="0" r="635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27EA6141" w14:textId="1975310A" w:rsidR="009D1211" w:rsidRDefault="009D1211" w:rsidP="00CB2B31">
      <w:pPr>
        <w:spacing w:line="276" w:lineRule="auto"/>
        <w:jc w:val="center"/>
        <w:rPr>
          <w:rFonts w:ascii="Book Antiqua" w:hAnsi="Book Antiqua"/>
          <w:sz w:val="18"/>
          <w:szCs w:val="18"/>
        </w:rPr>
      </w:pPr>
      <w:r>
        <w:rPr>
          <w:rFonts w:ascii="Book Antiqua" w:hAnsi="Book Antiqua"/>
          <w:sz w:val="18"/>
          <w:szCs w:val="18"/>
        </w:rPr>
        <w:t xml:space="preserve">Graphic 1: VTE events </w:t>
      </w:r>
      <w:r w:rsidR="00CB2B31">
        <w:rPr>
          <w:rFonts w:ascii="Book Antiqua" w:hAnsi="Book Antiqua"/>
          <w:sz w:val="18"/>
          <w:szCs w:val="18"/>
        </w:rPr>
        <w:t>in</w:t>
      </w:r>
      <w:r w:rsidR="000625CE">
        <w:rPr>
          <w:rFonts w:ascii="Book Antiqua" w:hAnsi="Book Antiqua"/>
          <w:sz w:val="18"/>
          <w:szCs w:val="18"/>
        </w:rPr>
        <w:t xml:space="preserve"> cancer care from January to June</w:t>
      </w:r>
    </w:p>
    <w:p w14:paraId="0D932FDA" w14:textId="77777777" w:rsidR="006934DB" w:rsidRDefault="006934DB" w:rsidP="00CB2B31">
      <w:pPr>
        <w:spacing w:line="276" w:lineRule="auto"/>
        <w:jc w:val="center"/>
        <w:rPr>
          <w:rFonts w:ascii="Book Antiqua" w:hAnsi="Book Antiqua"/>
          <w:sz w:val="18"/>
          <w:szCs w:val="18"/>
        </w:rPr>
      </w:pPr>
    </w:p>
    <w:p w14:paraId="629F7E2F" w14:textId="77777777" w:rsidR="006934DB" w:rsidRDefault="006934DB" w:rsidP="00CB2B31">
      <w:pPr>
        <w:spacing w:line="276" w:lineRule="auto"/>
        <w:jc w:val="center"/>
        <w:rPr>
          <w:rFonts w:ascii="Book Antiqua" w:hAnsi="Book Antiqua"/>
          <w:sz w:val="18"/>
          <w:szCs w:val="18"/>
        </w:rPr>
      </w:pPr>
    </w:p>
    <w:p w14:paraId="1BB8AF90" w14:textId="77777777" w:rsidR="006934DB" w:rsidRDefault="006934DB" w:rsidP="00CB2B31">
      <w:pPr>
        <w:spacing w:line="276" w:lineRule="auto"/>
        <w:jc w:val="center"/>
        <w:rPr>
          <w:rFonts w:ascii="Book Antiqua" w:hAnsi="Book Antiqua"/>
          <w:sz w:val="18"/>
          <w:szCs w:val="18"/>
        </w:rPr>
      </w:pPr>
    </w:p>
    <w:p w14:paraId="1733DCAA" w14:textId="27F474CD" w:rsidR="006934DB" w:rsidRDefault="006934DB" w:rsidP="00CB2B31">
      <w:pPr>
        <w:spacing w:line="276" w:lineRule="auto"/>
        <w:jc w:val="center"/>
        <w:rPr>
          <w:rFonts w:ascii="Book Antiqua" w:hAnsi="Book Antiqua"/>
          <w:sz w:val="18"/>
          <w:szCs w:val="18"/>
        </w:rPr>
      </w:pPr>
      <w:r>
        <w:rPr>
          <w:rFonts w:ascii="Book Antiqua" w:hAnsi="Book Antiqua"/>
          <w:noProof/>
          <w:sz w:val="18"/>
          <w:szCs w:val="18"/>
          <w:lang w:eastAsia="en-GB"/>
        </w:rPr>
        <w:drawing>
          <wp:inline distT="0" distB="0" distL="0" distR="0" wp14:anchorId="0568B823" wp14:editId="4647CA81">
            <wp:extent cx="4057015" cy="4117769"/>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4603" cy="4145770"/>
                    </a:xfrm>
                    <a:prstGeom prst="rect">
                      <a:avLst/>
                    </a:prstGeom>
                    <a:noFill/>
                  </pic:spPr>
                </pic:pic>
              </a:graphicData>
            </a:graphic>
          </wp:inline>
        </w:drawing>
      </w:r>
    </w:p>
    <w:p w14:paraId="2003E505" w14:textId="1F44A39B" w:rsidR="006934DB" w:rsidRPr="00743B41" w:rsidRDefault="006934DB" w:rsidP="006934DB">
      <w:pPr>
        <w:spacing w:line="276" w:lineRule="auto"/>
        <w:jc w:val="center"/>
        <w:rPr>
          <w:rFonts w:ascii="Book Antiqua" w:hAnsi="Book Antiqua"/>
          <w:sz w:val="18"/>
          <w:szCs w:val="18"/>
        </w:rPr>
      </w:pPr>
      <w:r>
        <w:rPr>
          <w:rFonts w:ascii="Book Antiqua" w:hAnsi="Book Antiqua"/>
          <w:sz w:val="18"/>
          <w:szCs w:val="18"/>
        </w:rPr>
        <w:lastRenderedPageBreak/>
        <w:t>Graphic 2: Cancer type</w:t>
      </w:r>
    </w:p>
    <w:p w14:paraId="65A1BDE6" w14:textId="77777777" w:rsidR="009D1211" w:rsidRDefault="006003CB" w:rsidP="00743B41">
      <w:pPr>
        <w:jc w:val="center"/>
        <w:rPr>
          <w:rFonts w:ascii="Book Antiqua" w:hAnsi="Book Antiqua"/>
          <w:noProof/>
        </w:rPr>
      </w:pPr>
      <w:r>
        <w:rPr>
          <w:rFonts w:ascii="Book Antiqua" w:hAnsi="Book Antiqua"/>
          <w:noProof/>
          <w:lang w:eastAsia="en-GB"/>
        </w:rPr>
        <w:drawing>
          <wp:inline distT="0" distB="0" distL="0" distR="0" wp14:anchorId="0E55895A" wp14:editId="0282EFEE">
            <wp:extent cx="2849880" cy="38404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49880" cy="3840480"/>
                    </a:xfrm>
                    <a:prstGeom prst="rect">
                      <a:avLst/>
                    </a:prstGeom>
                    <a:noFill/>
                  </pic:spPr>
                </pic:pic>
              </a:graphicData>
            </a:graphic>
          </wp:inline>
        </w:drawing>
      </w:r>
    </w:p>
    <w:p w14:paraId="08FEFEBE" w14:textId="564EDC89" w:rsidR="009D1211" w:rsidRDefault="009D1211" w:rsidP="006934DB">
      <w:pPr>
        <w:spacing w:line="276" w:lineRule="auto"/>
        <w:jc w:val="center"/>
        <w:rPr>
          <w:rFonts w:ascii="Book Antiqua" w:hAnsi="Book Antiqua"/>
          <w:sz w:val="18"/>
          <w:szCs w:val="18"/>
        </w:rPr>
      </w:pPr>
      <w:r>
        <w:rPr>
          <w:rFonts w:ascii="Book Antiqua" w:hAnsi="Book Antiqua"/>
          <w:sz w:val="18"/>
          <w:szCs w:val="18"/>
        </w:rPr>
        <w:t xml:space="preserve">Graphic </w:t>
      </w:r>
      <w:r w:rsidR="006934DB">
        <w:rPr>
          <w:rFonts w:ascii="Book Antiqua" w:hAnsi="Book Antiqua"/>
          <w:sz w:val="18"/>
          <w:szCs w:val="18"/>
        </w:rPr>
        <w:t>3</w:t>
      </w:r>
      <w:r>
        <w:rPr>
          <w:rFonts w:ascii="Book Antiqua" w:hAnsi="Book Antiqua"/>
          <w:sz w:val="18"/>
          <w:szCs w:val="18"/>
        </w:rPr>
        <w:t>: Patient selection</w:t>
      </w:r>
    </w:p>
    <w:p w14:paraId="18E0CC0D" w14:textId="77777777" w:rsidR="00CA7592" w:rsidRPr="008C1F3A" w:rsidRDefault="00CA7592" w:rsidP="009D1211">
      <w:pPr>
        <w:spacing w:line="276" w:lineRule="auto"/>
        <w:rPr>
          <w:rFonts w:ascii="Book Antiqua" w:hAnsi="Book Antiqua"/>
          <w:sz w:val="18"/>
          <w:szCs w:val="18"/>
        </w:rPr>
      </w:pPr>
    </w:p>
    <w:p w14:paraId="13503356" w14:textId="2E9DFDEA" w:rsidR="006003CB" w:rsidRPr="00CA7592" w:rsidRDefault="00CA7592" w:rsidP="00CA7592">
      <w:pPr>
        <w:jc w:val="center"/>
        <w:rPr>
          <w:rFonts w:ascii="Book Antiqua" w:hAnsi="Book Antiqua"/>
          <w:noProof/>
        </w:rPr>
      </w:pPr>
      <w:r>
        <w:rPr>
          <w:rFonts w:ascii="Book Antiqua" w:hAnsi="Book Antiqua"/>
          <w:noProof/>
          <w:lang w:eastAsia="en-GB"/>
        </w:rPr>
        <w:drawing>
          <wp:inline distT="0" distB="0" distL="0" distR="0" wp14:anchorId="45131540" wp14:editId="460DE570">
            <wp:extent cx="4584700" cy="2987040"/>
            <wp:effectExtent l="0" t="0" r="635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987040"/>
                    </a:xfrm>
                    <a:prstGeom prst="rect">
                      <a:avLst/>
                    </a:prstGeom>
                    <a:noFill/>
                  </pic:spPr>
                </pic:pic>
              </a:graphicData>
            </a:graphic>
          </wp:inline>
        </w:drawing>
      </w:r>
    </w:p>
    <w:p w14:paraId="06CE29B6" w14:textId="6DCEC70E" w:rsidR="00427259" w:rsidRDefault="009D1211" w:rsidP="006934DB">
      <w:pPr>
        <w:spacing w:line="276" w:lineRule="auto"/>
        <w:jc w:val="center"/>
        <w:rPr>
          <w:rFonts w:ascii="Book Antiqua" w:hAnsi="Book Antiqua"/>
          <w:sz w:val="18"/>
          <w:szCs w:val="18"/>
        </w:rPr>
      </w:pPr>
      <w:r>
        <w:rPr>
          <w:rFonts w:ascii="Book Antiqua" w:hAnsi="Book Antiqua"/>
          <w:sz w:val="18"/>
          <w:szCs w:val="18"/>
        </w:rPr>
        <w:t xml:space="preserve">Graphic </w:t>
      </w:r>
      <w:r w:rsidR="006934DB">
        <w:rPr>
          <w:rFonts w:ascii="Book Antiqua" w:hAnsi="Book Antiqua"/>
          <w:sz w:val="18"/>
          <w:szCs w:val="18"/>
        </w:rPr>
        <w:t>4</w:t>
      </w:r>
      <w:r>
        <w:rPr>
          <w:rFonts w:ascii="Book Antiqua" w:hAnsi="Book Antiqua"/>
          <w:sz w:val="18"/>
          <w:szCs w:val="18"/>
        </w:rPr>
        <w:t>: Information given prior event</w:t>
      </w:r>
    </w:p>
    <w:p w14:paraId="7E22B679" w14:textId="77777777" w:rsidR="00CA7592" w:rsidRPr="006003CB" w:rsidRDefault="00CA7592" w:rsidP="006934DB">
      <w:pPr>
        <w:spacing w:line="276" w:lineRule="auto"/>
        <w:jc w:val="center"/>
        <w:rPr>
          <w:rFonts w:ascii="Book Antiqua" w:hAnsi="Book Antiqua"/>
          <w:sz w:val="18"/>
          <w:szCs w:val="18"/>
        </w:rPr>
      </w:pPr>
    </w:p>
    <w:p w14:paraId="40E004CC" w14:textId="79F906E5" w:rsidR="00CA7592" w:rsidRDefault="00CA7592" w:rsidP="00CA7592">
      <w:pPr>
        <w:spacing w:line="276" w:lineRule="auto"/>
        <w:jc w:val="center"/>
        <w:rPr>
          <w:rFonts w:ascii="Book Antiqua" w:hAnsi="Book Antiqua"/>
          <w:noProof/>
          <w:sz w:val="18"/>
          <w:szCs w:val="18"/>
        </w:rPr>
      </w:pPr>
    </w:p>
    <w:p w14:paraId="288136B9" w14:textId="7B2E2E8D" w:rsidR="00867A75" w:rsidRDefault="00867A75" w:rsidP="006934DB">
      <w:pPr>
        <w:spacing w:line="276" w:lineRule="auto"/>
        <w:jc w:val="center"/>
        <w:rPr>
          <w:rFonts w:ascii="Book Antiqua" w:hAnsi="Book Antiqua"/>
          <w:sz w:val="18"/>
          <w:szCs w:val="18"/>
        </w:rPr>
      </w:pPr>
      <w:r>
        <w:rPr>
          <w:rFonts w:ascii="Book Antiqua" w:hAnsi="Book Antiqua"/>
          <w:noProof/>
          <w:sz w:val="18"/>
          <w:szCs w:val="18"/>
          <w:lang w:eastAsia="en-GB"/>
        </w:rPr>
        <w:lastRenderedPageBreak/>
        <w:drawing>
          <wp:inline distT="0" distB="0" distL="0" distR="0" wp14:anchorId="08EAF282" wp14:editId="4A27F544">
            <wp:extent cx="5213350" cy="3861634"/>
            <wp:effectExtent l="0" t="0" r="635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1517" cy="3867683"/>
                    </a:xfrm>
                    <a:prstGeom prst="rect">
                      <a:avLst/>
                    </a:prstGeom>
                    <a:noFill/>
                  </pic:spPr>
                </pic:pic>
              </a:graphicData>
            </a:graphic>
          </wp:inline>
        </w:drawing>
      </w:r>
    </w:p>
    <w:p w14:paraId="2E22D8D3" w14:textId="6609FECF" w:rsidR="00427259" w:rsidRDefault="00743B41" w:rsidP="006934DB">
      <w:pPr>
        <w:spacing w:line="276" w:lineRule="auto"/>
        <w:jc w:val="center"/>
        <w:rPr>
          <w:rFonts w:ascii="Book Antiqua" w:hAnsi="Book Antiqua"/>
          <w:sz w:val="18"/>
          <w:szCs w:val="18"/>
        </w:rPr>
      </w:pPr>
      <w:r>
        <w:rPr>
          <w:rFonts w:ascii="Book Antiqua" w:hAnsi="Book Antiqua"/>
          <w:sz w:val="18"/>
          <w:szCs w:val="18"/>
        </w:rPr>
        <w:t xml:space="preserve">Graphic </w:t>
      </w:r>
      <w:r w:rsidR="006934DB">
        <w:rPr>
          <w:rFonts w:ascii="Book Antiqua" w:hAnsi="Book Antiqua"/>
          <w:sz w:val="18"/>
          <w:szCs w:val="18"/>
        </w:rPr>
        <w:t>5</w:t>
      </w:r>
      <w:r>
        <w:rPr>
          <w:rFonts w:ascii="Book Antiqua" w:hAnsi="Book Antiqua"/>
          <w:sz w:val="18"/>
          <w:szCs w:val="18"/>
        </w:rPr>
        <w:t>: Information given the day of the event</w:t>
      </w:r>
    </w:p>
    <w:p w14:paraId="09E4E8DA" w14:textId="77777777" w:rsidR="00743B41" w:rsidRPr="00743B41" w:rsidRDefault="00743B41" w:rsidP="00743B41">
      <w:pPr>
        <w:spacing w:line="276" w:lineRule="auto"/>
        <w:jc w:val="center"/>
        <w:rPr>
          <w:rFonts w:ascii="Book Antiqua" w:hAnsi="Book Antiqua"/>
          <w:sz w:val="18"/>
          <w:szCs w:val="18"/>
        </w:rPr>
      </w:pPr>
    </w:p>
    <w:p w14:paraId="32FA6961" w14:textId="77777777" w:rsidR="00427259" w:rsidRDefault="00427259" w:rsidP="00743B41">
      <w:pPr>
        <w:autoSpaceDE w:val="0"/>
        <w:autoSpaceDN w:val="0"/>
        <w:adjustRightInd w:val="0"/>
        <w:spacing w:before="240" w:line="276" w:lineRule="auto"/>
        <w:jc w:val="center"/>
        <w:rPr>
          <w:rFonts w:ascii="Book Antiqua" w:hAnsi="Book Antiqua" w:cs="AdvP7C2E"/>
        </w:rPr>
      </w:pPr>
    </w:p>
    <w:p w14:paraId="75C654CB" w14:textId="77777777" w:rsidR="00427259" w:rsidRPr="00BF36AE" w:rsidRDefault="00427259" w:rsidP="009D1211">
      <w:pPr>
        <w:jc w:val="center"/>
        <w:rPr>
          <w:rFonts w:ascii="Book Antiqua" w:hAnsi="Book Antiqua"/>
        </w:rPr>
      </w:pPr>
    </w:p>
    <w:sectPr w:rsidR="00427259" w:rsidRPr="00BF36AE" w:rsidSect="002E2AF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0ABA3" w14:textId="77777777" w:rsidR="00C77064" w:rsidRDefault="00C77064" w:rsidP="00AA2111">
      <w:pPr>
        <w:spacing w:after="0" w:line="240" w:lineRule="auto"/>
      </w:pPr>
      <w:r>
        <w:separator/>
      </w:r>
    </w:p>
  </w:endnote>
  <w:endnote w:type="continuationSeparator" w:id="0">
    <w:p w14:paraId="148C4035" w14:textId="77777777" w:rsidR="00C77064" w:rsidRDefault="00C77064" w:rsidP="00AA2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pencilPete">
    <w:altName w:val="pencilPete"/>
    <w:panose1 w:val="00000000000000000000"/>
    <w:charset w:val="00"/>
    <w:family w:val="roman"/>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AdvP403A40">
    <w:panose1 w:val="00000000000000000000"/>
    <w:charset w:val="00"/>
    <w:family w:val="swiss"/>
    <w:notTrueType/>
    <w:pitch w:val="default"/>
    <w:sig w:usb0="00000003" w:usb1="00000000" w:usb2="00000000" w:usb3="00000000" w:csb0="00000001"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Gulliver">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Minion-Italic">
    <w:panose1 w:val="00000000000000000000"/>
    <w:charset w:val="00"/>
    <w:family w:val="roman"/>
    <w:notTrueType/>
    <w:pitch w:val="default"/>
    <w:sig w:usb0="00000003" w:usb1="00000000" w:usb2="00000000" w:usb3="00000000" w:csb0="00000001" w:csb1="00000000"/>
  </w:font>
  <w:font w:name="AdvOTb92eb7df.I">
    <w:panose1 w:val="00000000000000000000"/>
    <w:charset w:val="00"/>
    <w:family w:val="roman"/>
    <w:notTrueType/>
    <w:pitch w:val="default"/>
    <w:sig w:usb0="00000003" w:usb1="00000000" w:usb2="00000000" w:usb3="00000000" w:csb0="00000001" w:csb1="00000000"/>
  </w:font>
  <w:font w:name="AdvTTb5929f4c">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dvP7C2E">
    <w:panose1 w:val="00000000000000000000"/>
    <w:charset w:val="00"/>
    <w:family w:val="roman"/>
    <w:notTrueType/>
    <w:pitch w:val="default"/>
    <w:sig w:usb0="00000003" w:usb1="00000000" w:usb2="00000000" w:usb3="00000000" w:csb0="00000001" w:csb1="00000000"/>
  </w:font>
  <w:font w:name="AdvOT9069d8b3.B">
    <w:altName w:val="Cambria"/>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Lato">
    <w:altName w:val="Times New Roman"/>
    <w:charset w:val="00"/>
    <w:family w:val="auto"/>
    <w:pitch w:val="default"/>
  </w:font>
  <w:font w:name="AdvTTe45e47d2">
    <w:panose1 w:val="00000000000000000000"/>
    <w:charset w:val="00"/>
    <w:family w:val="swiss"/>
    <w:notTrueType/>
    <w:pitch w:val="default"/>
    <w:sig w:usb0="00000003" w:usb1="00000000" w:usb2="00000000" w:usb3="00000000" w:csb0="00000001" w:csb1="00000000"/>
  </w:font>
  <w:font w:name="AdvTTb5929f4c+20">
    <w:panose1 w:val="00000000000000000000"/>
    <w:charset w:val="00"/>
    <w:family w:val="swiss"/>
    <w:notTrueType/>
    <w:pitch w:val="default"/>
    <w:sig w:usb0="00000003" w:usb1="00000000" w:usb2="00000000" w:usb3="00000000" w:csb0="00000001" w:csb1="00000000"/>
  </w:font>
  <w:font w:name="AdvTT7329fd89.I">
    <w:panose1 w:val="00000000000000000000"/>
    <w:charset w:val="00"/>
    <w:family w:val="swiss"/>
    <w:notTrueType/>
    <w:pitch w:val="default"/>
    <w:sig w:usb0="00000003" w:usb1="00000000" w:usb2="00000000" w:usb3="00000000" w:csb0="00000001" w:csb1="00000000"/>
  </w:font>
  <w:font w:name="AdvTTaf7f9f4f.B">
    <w:panose1 w:val="00000000000000000000"/>
    <w:charset w:val="00"/>
    <w:family w:val="swiss"/>
    <w:notTrueType/>
    <w:pitch w:val="default"/>
    <w:sig w:usb0="00000003" w:usb1="00000000" w:usb2="00000000" w:usb3="00000000" w:csb0="00000001" w:csb1="00000000"/>
  </w:font>
  <w:font w:name="AdvOT863180fb">
    <w:panose1 w:val="00000000000000000000"/>
    <w:charset w:val="00"/>
    <w:family w:val="roman"/>
    <w:notTrueType/>
    <w:pitch w:val="default"/>
    <w:sig w:usb0="00000003" w:usb1="00000000" w:usb2="00000000" w:usb3="00000000" w:csb0="00000001" w:csb1="00000000"/>
  </w:font>
  <w:font w:name="AdvPS44A44B">
    <w:panose1 w:val="00000000000000000000"/>
    <w:charset w:val="00"/>
    <w:family w:val="swiss"/>
    <w:notTrueType/>
    <w:pitch w:val="default"/>
    <w:sig w:usb0="00000003" w:usb1="00000000" w:usb2="00000000" w:usb3="00000000" w:csb0="00000001" w:csb1="00000000"/>
  </w:font>
  <w:font w:name="AdvP7C34">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42780" w14:textId="77777777" w:rsidR="0055253D" w:rsidRDefault="005525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33EA3E" w14:textId="77777777" w:rsidR="0055253D" w:rsidRDefault="005525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74CEAA" w14:textId="77777777" w:rsidR="0055253D" w:rsidRDefault="005525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17E158" w14:textId="77777777" w:rsidR="00C77064" w:rsidRDefault="00C77064" w:rsidP="00AA2111">
      <w:pPr>
        <w:spacing w:after="0" w:line="240" w:lineRule="auto"/>
      </w:pPr>
      <w:r>
        <w:separator/>
      </w:r>
    </w:p>
  </w:footnote>
  <w:footnote w:type="continuationSeparator" w:id="0">
    <w:p w14:paraId="28F1319F" w14:textId="77777777" w:rsidR="00C77064" w:rsidRDefault="00C77064" w:rsidP="00AA21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53991" w14:textId="77777777" w:rsidR="0055253D" w:rsidRDefault="005525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A9195" w14:textId="77777777" w:rsidR="0055253D" w:rsidRDefault="0055253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69E00" w14:textId="77777777" w:rsidR="0055253D" w:rsidRDefault="005525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710400"/>
    <w:multiLevelType w:val="hybridMultilevel"/>
    <w:tmpl w:val="18A6E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14040"/>
    <w:multiLevelType w:val="multilevel"/>
    <w:tmpl w:val="3C70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D31E4"/>
    <w:multiLevelType w:val="hybridMultilevel"/>
    <w:tmpl w:val="D75EE6C4"/>
    <w:lvl w:ilvl="0" w:tplc="680AE196">
      <w:start w:val="1"/>
      <w:numFmt w:val="decimal"/>
      <w:lvlText w:val="%1."/>
      <w:lvlJc w:val="left"/>
      <w:pPr>
        <w:ind w:left="720" w:hanging="360"/>
      </w:pPr>
      <w:rPr>
        <w:rFonts w:asciiTheme="minorHAnsi" w:hAnsiTheme="minorHAnsi" w:cstheme="minorBid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it-IT" w:vendorID="64" w:dllVersion="0" w:nlCheck="1" w:checkStyle="0"/>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s-ES_tradnl"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96"/>
    <w:rsid w:val="000136FE"/>
    <w:rsid w:val="000625CE"/>
    <w:rsid w:val="00074096"/>
    <w:rsid w:val="00106308"/>
    <w:rsid w:val="00107FC0"/>
    <w:rsid w:val="00133998"/>
    <w:rsid w:val="0014420F"/>
    <w:rsid w:val="001A508B"/>
    <w:rsid w:val="001A59B4"/>
    <w:rsid w:val="001B0AB3"/>
    <w:rsid w:val="001C0CC1"/>
    <w:rsid w:val="001D5C75"/>
    <w:rsid w:val="002137A7"/>
    <w:rsid w:val="002230B6"/>
    <w:rsid w:val="00233C8A"/>
    <w:rsid w:val="0023742E"/>
    <w:rsid w:val="00241075"/>
    <w:rsid w:val="002507CC"/>
    <w:rsid w:val="00291905"/>
    <w:rsid w:val="00294472"/>
    <w:rsid w:val="002A7B55"/>
    <w:rsid w:val="002C2DDE"/>
    <w:rsid w:val="002E2AF0"/>
    <w:rsid w:val="00316A83"/>
    <w:rsid w:val="00343444"/>
    <w:rsid w:val="00346764"/>
    <w:rsid w:val="00380891"/>
    <w:rsid w:val="003C3C25"/>
    <w:rsid w:val="003C5109"/>
    <w:rsid w:val="003F3152"/>
    <w:rsid w:val="003F6FAE"/>
    <w:rsid w:val="004004E0"/>
    <w:rsid w:val="00411D2C"/>
    <w:rsid w:val="00427259"/>
    <w:rsid w:val="00427C79"/>
    <w:rsid w:val="0047103A"/>
    <w:rsid w:val="004B07DD"/>
    <w:rsid w:val="004E087B"/>
    <w:rsid w:val="004E0F0F"/>
    <w:rsid w:val="004E20E1"/>
    <w:rsid w:val="0051775E"/>
    <w:rsid w:val="00532505"/>
    <w:rsid w:val="0054233A"/>
    <w:rsid w:val="0055253D"/>
    <w:rsid w:val="00554B3F"/>
    <w:rsid w:val="005B5772"/>
    <w:rsid w:val="005C0FE9"/>
    <w:rsid w:val="005D0C38"/>
    <w:rsid w:val="005D6405"/>
    <w:rsid w:val="005F4B9D"/>
    <w:rsid w:val="005F7185"/>
    <w:rsid w:val="006003CB"/>
    <w:rsid w:val="006078FB"/>
    <w:rsid w:val="00676809"/>
    <w:rsid w:val="006934DB"/>
    <w:rsid w:val="006A5E17"/>
    <w:rsid w:val="006B11AF"/>
    <w:rsid w:val="006B2138"/>
    <w:rsid w:val="006F080D"/>
    <w:rsid w:val="00714495"/>
    <w:rsid w:val="00715E3F"/>
    <w:rsid w:val="0071769E"/>
    <w:rsid w:val="007247AD"/>
    <w:rsid w:val="00743B41"/>
    <w:rsid w:val="00750ACD"/>
    <w:rsid w:val="00772B38"/>
    <w:rsid w:val="00797BB2"/>
    <w:rsid w:val="007B2E5A"/>
    <w:rsid w:val="007D26CB"/>
    <w:rsid w:val="007E1152"/>
    <w:rsid w:val="007E3B6A"/>
    <w:rsid w:val="007F2350"/>
    <w:rsid w:val="008008BE"/>
    <w:rsid w:val="0081399B"/>
    <w:rsid w:val="008171CC"/>
    <w:rsid w:val="008172D7"/>
    <w:rsid w:val="0082725E"/>
    <w:rsid w:val="0084394E"/>
    <w:rsid w:val="00867A75"/>
    <w:rsid w:val="00875A41"/>
    <w:rsid w:val="0089304B"/>
    <w:rsid w:val="008A6000"/>
    <w:rsid w:val="008A69E6"/>
    <w:rsid w:val="008E2DFD"/>
    <w:rsid w:val="009047B8"/>
    <w:rsid w:val="00923303"/>
    <w:rsid w:val="00940426"/>
    <w:rsid w:val="00963560"/>
    <w:rsid w:val="0096483C"/>
    <w:rsid w:val="0096597F"/>
    <w:rsid w:val="009661C3"/>
    <w:rsid w:val="00966BA8"/>
    <w:rsid w:val="00975337"/>
    <w:rsid w:val="00980E04"/>
    <w:rsid w:val="00997484"/>
    <w:rsid w:val="009B73AA"/>
    <w:rsid w:val="009C00FE"/>
    <w:rsid w:val="009D1211"/>
    <w:rsid w:val="009E7C62"/>
    <w:rsid w:val="009F3EB5"/>
    <w:rsid w:val="00A1620E"/>
    <w:rsid w:val="00A30F7D"/>
    <w:rsid w:val="00A36187"/>
    <w:rsid w:val="00A4274E"/>
    <w:rsid w:val="00AA2111"/>
    <w:rsid w:val="00AF0930"/>
    <w:rsid w:val="00B37E92"/>
    <w:rsid w:val="00B4730F"/>
    <w:rsid w:val="00B92A37"/>
    <w:rsid w:val="00BF36AE"/>
    <w:rsid w:val="00C034AC"/>
    <w:rsid w:val="00C366FB"/>
    <w:rsid w:val="00C6061A"/>
    <w:rsid w:val="00C77064"/>
    <w:rsid w:val="00C927F0"/>
    <w:rsid w:val="00C96C26"/>
    <w:rsid w:val="00CA7592"/>
    <w:rsid w:val="00CB2B31"/>
    <w:rsid w:val="00CB56C8"/>
    <w:rsid w:val="00CC115D"/>
    <w:rsid w:val="00CF1A8B"/>
    <w:rsid w:val="00D2421E"/>
    <w:rsid w:val="00D44720"/>
    <w:rsid w:val="00D62DC4"/>
    <w:rsid w:val="00D67249"/>
    <w:rsid w:val="00DD7B7E"/>
    <w:rsid w:val="00DF79D2"/>
    <w:rsid w:val="00E0491D"/>
    <w:rsid w:val="00E22EF6"/>
    <w:rsid w:val="00E53C84"/>
    <w:rsid w:val="00E70643"/>
    <w:rsid w:val="00E71B15"/>
    <w:rsid w:val="00EC126C"/>
    <w:rsid w:val="00EF1C47"/>
    <w:rsid w:val="00EF4965"/>
    <w:rsid w:val="00F12866"/>
    <w:rsid w:val="00F13500"/>
    <w:rsid w:val="00F76DDD"/>
    <w:rsid w:val="00F9333D"/>
    <w:rsid w:val="00FA0851"/>
    <w:rsid w:val="00FC034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2C79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096"/>
  </w:style>
  <w:style w:type="paragraph" w:styleId="Heading4">
    <w:name w:val="heading 4"/>
    <w:basedOn w:val="Normal"/>
    <w:link w:val="Heading4Char"/>
    <w:uiPriority w:val="9"/>
    <w:qFormat/>
    <w:rsid w:val="00F13500"/>
    <w:pPr>
      <w:spacing w:before="180" w:after="180" w:line="360" w:lineRule="atLeast"/>
      <w:outlineLvl w:val="3"/>
    </w:pPr>
    <w:rPr>
      <w:rFonts w:ascii="inherit" w:eastAsia="Times New Roman" w:hAnsi="inherit" w:cs="Times New Roman"/>
      <w:b/>
      <w:bCs/>
      <w:color w:val="4A4A4A"/>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C96C26"/>
    <w:pPr>
      <w:ind w:left="720"/>
      <w:contextualSpacing/>
    </w:pPr>
  </w:style>
  <w:style w:type="character" w:customStyle="1" w:styleId="author">
    <w:name w:val="author"/>
    <w:basedOn w:val="DefaultParagraphFont"/>
    <w:rsid w:val="00C96C26"/>
  </w:style>
  <w:style w:type="character" w:styleId="Emphasis">
    <w:name w:val="Emphasis"/>
    <w:basedOn w:val="DefaultParagraphFont"/>
    <w:qFormat/>
    <w:rsid w:val="004E087B"/>
    <w:rPr>
      <w:i/>
      <w:iCs/>
    </w:rPr>
  </w:style>
  <w:style w:type="character" w:customStyle="1" w:styleId="Heading4Char">
    <w:name w:val="Heading 4 Char"/>
    <w:basedOn w:val="DefaultParagraphFont"/>
    <w:link w:val="Heading4"/>
    <w:uiPriority w:val="9"/>
    <w:rsid w:val="00F13500"/>
    <w:rPr>
      <w:rFonts w:ascii="inherit" w:eastAsia="Times New Roman" w:hAnsi="inherit" w:cs="Times New Roman"/>
      <w:b/>
      <w:bCs/>
      <w:color w:val="4A4A4A"/>
      <w:sz w:val="27"/>
      <w:szCs w:val="27"/>
    </w:rPr>
  </w:style>
  <w:style w:type="character" w:styleId="Hyperlink">
    <w:name w:val="Hyperlink"/>
    <w:basedOn w:val="DefaultParagraphFont"/>
    <w:uiPriority w:val="99"/>
    <w:semiHidden/>
    <w:unhideWhenUsed/>
    <w:rsid w:val="00F13500"/>
    <w:rPr>
      <w:strike w:val="0"/>
      <w:dstrike w:val="0"/>
      <w:color w:val="11779B"/>
      <w:u w:val="none"/>
      <w:effect w:val="none"/>
    </w:rPr>
  </w:style>
  <w:style w:type="paragraph" w:styleId="NormalWeb">
    <w:name w:val="Normal (Web)"/>
    <w:basedOn w:val="Normal"/>
    <w:uiPriority w:val="99"/>
    <w:semiHidden/>
    <w:unhideWhenUsed/>
    <w:rsid w:val="00F13500"/>
    <w:pPr>
      <w:spacing w:after="18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78FB"/>
    <w:rPr>
      <w:b/>
      <w:bCs/>
    </w:rPr>
  </w:style>
  <w:style w:type="paragraph" w:customStyle="1" w:styleId="numbered-paragraph">
    <w:name w:val="numbered-paragraph"/>
    <w:basedOn w:val="Normal"/>
    <w:rsid w:val="006078FB"/>
    <w:pPr>
      <w:spacing w:after="180"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FA0851"/>
    <w:rPr>
      <w:i/>
      <w:iCs/>
    </w:rPr>
  </w:style>
  <w:style w:type="character" w:customStyle="1" w:styleId="articletitle">
    <w:name w:val="articletitle"/>
    <w:basedOn w:val="DefaultParagraphFont"/>
    <w:rsid w:val="00FA0851"/>
  </w:style>
  <w:style w:type="character" w:customStyle="1" w:styleId="journaltitle2">
    <w:name w:val="journaltitle2"/>
    <w:basedOn w:val="DefaultParagraphFont"/>
    <w:rsid w:val="00FA0851"/>
    <w:rPr>
      <w:i/>
      <w:iCs/>
    </w:rPr>
  </w:style>
  <w:style w:type="character" w:customStyle="1" w:styleId="vol2">
    <w:name w:val="vol2"/>
    <w:basedOn w:val="DefaultParagraphFont"/>
    <w:rsid w:val="00FA0851"/>
    <w:rPr>
      <w:b/>
      <w:bCs/>
    </w:rPr>
  </w:style>
  <w:style w:type="character" w:customStyle="1" w:styleId="pagefirst">
    <w:name w:val="pagefirst"/>
    <w:basedOn w:val="DefaultParagraphFont"/>
    <w:rsid w:val="00FA0851"/>
  </w:style>
  <w:style w:type="character" w:customStyle="1" w:styleId="pagelast">
    <w:name w:val="pagelast"/>
    <w:basedOn w:val="DefaultParagraphFont"/>
    <w:rsid w:val="00FA0851"/>
  </w:style>
  <w:style w:type="character" w:customStyle="1" w:styleId="issuetocvolume">
    <w:name w:val="issuetocvolume"/>
    <w:basedOn w:val="DefaultParagraphFont"/>
    <w:rsid w:val="00FA0851"/>
  </w:style>
  <w:style w:type="character" w:customStyle="1" w:styleId="issuetocissue">
    <w:name w:val="issuetocissue"/>
    <w:basedOn w:val="DefaultParagraphFont"/>
    <w:rsid w:val="00FA0851"/>
  </w:style>
  <w:style w:type="character" w:customStyle="1" w:styleId="othertitle">
    <w:name w:val="othertitle"/>
    <w:basedOn w:val="DefaultParagraphFont"/>
    <w:rsid w:val="00FA0851"/>
  </w:style>
  <w:style w:type="character" w:customStyle="1" w:styleId="vol">
    <w:name w:val="vol"/>
    <w:basedOn w:val="DefaultParagraphFont"/>
    <w:rsid w:val="00FA0851"/>
  </w:style>
  <w:style w:type="paragraph" w:customStyle="1" w:styleId="Default">
    <w:name w:val="Default"/>
    <w:rsid w:val="00E71B15"/>
    <w:pPr>
      <w:autoSpaceDE w:val="0"/>
      <w:autoSpaceDN w:val="0"/>
      <w:adjustRightInd w:val="0"/>
      <w:spacing w:after="0" w:line="240" w:lineRule="auto"/>
    </w:pPr>
    <w:rPr>
      <w:rFonts w:ascii="pencilPete" w:hAnsi="pencilPete" w:cs="pencilPete"/>
      <w:color w:val="000000"/>
      <w:sz w:val="24"/>
      <w:szCs w:val="24"/>
    </w:rPr>
  </w:style>
  <w:style w:type="character" w:customStyle="1" w:styleId="A0">
    <w:name w:val="A0"/>
    <w:uiPriority w:val="99"/>
    <w:rsid w:val="00E71B15"/>
    <w:rPr>
      <w:rFonts w:cs="pencilPete"/>
      <w:color w:val="000000"/>
      <w:sz w:val="50"/>
      <w:szCs w:val="50"/>
    </w:rPr>
  </w:style>
  <w:style w:type="paragraph" w:styleId="Header">
    <w:name w:val="header"/>
    <w:basedOn w:val="Normal"/>
    <w:link w:val="HeaderChar"/>
    <w:uiPriority w:val="99"/>
    <w:unhideWhenUsed/>
    <w:rsid w:val="00AA2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111"/>
  </w:style>
  <w:style w:type="paragraph" w:styleId="Footer">
    <w:name w:val="footer"/>
    <w:basedOn w:val="Normal"/>
    <w:link w:val="FooterChar"/>
    <w:uiPriority w:val="99"/>
    <w:unhideWhenUsed/>
    <w:rsid w:val="00AA2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111"/>
  </w:style>
  <w:style w:type="paragraph" w:styleId="BalloonText">
    <w:name w:val="Balloon Text"/>
    <w:basedOn w:val="Normal"/>
    <w:link w:val="BalloonTextChar"/>
    <w:uiPriority w:val="99"/>
    <w:semiHidden/>
    <w:unhideWhenUsed/>
    <w:rsid w:val="0094042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40426"/>
    <w:rPr>
      <w:rFonts w:ascii="Lucida Grande" w:hAnsi="Lucida Grande" w:cs="Lucida Grande"/>
      <w:sz w:val="18"/>
      <w:szCs w:val="18"/>
    </w:rPr>
  </w:style>
  <w:style w:type="character" w:styleId="CommentReference">
    <w:name w:val="annotation reference"/>
    <w:basedOn w:val="DefaultParagraphFont"/>
    <w:uiPriority w:val="99"/>
    <w:semiHidden/>
    <w:unhideWhenUsed/>
    <w:rsid w:val="00940426"/>
    <w:rPr>
      <w:sz w:val="18"/>
      <w:szCs w:val="18"/>
    </w:rPr>
  </w:style>
  <w:style w:type="paragraph" w:styleId="CommentText">
    <w:name w:val="annotation text"/>
    <w:basedOn w:val="Normal"/>
    <w:link w:val="CommentTextChar"/>
    <w:uiPriority w:val="99"/>
    <w:semiHidden/>
    <w:unhideWhenUsed/>
    <w:rsid w:val="00940426"/>
    <w:pPr>
      <w:spacing w:line="240" w:lineRule="auto"/>
    </w:pPr>
    <w:rPr>
      <w:sz w:val="24"/>
      <w:szCs w:val="24"/>
    </w:rPr>
  </w:style>
  <w:style w:type="character" w:customStyle="1" w:styleId="CommentTextChar">
    <w:name w:val="Comment Text Char"/>
    <w:basedOn w:val="DefaultParagraphFont"/>
    <w:link w:val="CommentText"/>
    <w:uiPriority w:val="99"/>
    <w:semiHidden/>
    <w:rsid w:val="00940426"/>
    <w:rPr>
      <w:sz w:val="24"/>
      <w:szCs w:val="24"/>
    </w:rPr>
  </w:style>
  <w:style w:type="paragraph" w:styleId="CommentSubject">
    <w:name w:val="annotation subject"/>
    <w:basedOn w:val="CommentText"/>
    <w:next w:val="CommentText"/>
    <w:link w:val="CommentSubjectChar"/>
    <w:uiPriority w:val="99"/>
    <w:semiHidden/>
    <w:unhideWhenUsed/>
    <w:rsid w:val="00940426"/>
    <w:rPr>
      <w:b/>
      <w:bCs/>
      <w:sz w:val="20"/>
      <w:szCs w:val="20"/>
    </w:rPr>
  </w:style>
  <w:style w:type="character" w:customStyle="1" w:styleId="CommentSubjectChar">
    <w:name w:val="Comment Subject Char"/>
    <w:basedOn w:val="CommentTextChar"/>
    <w:link w:val="CommentSubject"/>
    <w:uiPriority w:val="99"/>
    <w:semiHidden/>
    <w:rsid w:val="00940426"/>
    <w:rPr>
      <w:b/>
      <w:bCs/>
      <w:sz w:val="20"/>
      <w:szCs w:val="20"/>
    </w:rPr>
  </w:style>
  <w:style w:type="paragraph" w:styleId="Revision">
    <w:name w:val="Revision"/>
    <w:hidden/>
    <w:uiPriority w:val="99"/>
    <w:semiHidden/>
    <w:rsid w:val="00940426"/>
    <w:pPr>
      <w:spacing w:after="0" w:line="240" w:lineRule="auto"/>
    </w:pPr>
  </w:style>
  <w:style w:type="paragraph" w:styleId="PlainText">
    <w:name w:val="Plain Text"/>
    <w:basedOn w:val="Normal"/>
    <w:link w:val="PlainTextChar"/>
    <w:uiPriority w:val="99"/>
    <w:semiHidden/>
    <w:unhideWhenUsed/>
    <w:rsid w:val="00CC115D"/>
    <w:pPr>
      <w:spacing w:after="0" w:line="240" w:lineRule="auto"/>
    </w:pPr>
    <w:rPr>
      <w:rFonts w:ascii="Calibri" w:eastAsiaTheme="minorHAnsi" w:hAnsi="Calibri"/>
      <w:szCs w:val="21"/>
      <w:lang w:eastAsia="en-US"/>
    </w:rPr>
  </w:style>
  <w:style w:type="character" w:customStyle="1" w:styleId="PlainTextChar">
    <w:name w:val="Plain Text Char"/>
    <w:basedOn w:val="DefaultParagraphFont"/>
    <w:link w:val="PlainText"/>
    <w:uiPriority w:val="99"/>
    <w:semiHidden/>
    <w:rsid w:val="00CC115D"/>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9763">
      <w:bodyDiv w:val="1"/>
      <w:marLeft w:val="0"/>
      <w:marRight w:val="0"/>
      <w:marTop w:val="0"/>
      <w:marBottom w:val="0"/>
      <w:divBdr>
        <w:top w:val="none" w:sz="0" w:space="0" w:color="auto"/>
        <w:left w:val="none" w:sz="0" w:space="0" w:color="auto"/>
        <w:bottom w:val="none" w:sz="0" w:space="0" w:color="auto"/>
        <w:right w:val="none" w:sz="0" w:space="0" w:color="auto"/>
      </w:divBdr>
    </w:div>
    <w:div w:id="334580136">
      <w:bodyDiv w:val="1"/>
      <w:marLeft w:val="0"/>
      <w:marRight w:val="0"/>
      <w:marTop w:val="0"/>
      <w:marBottom w:val="0"/>
      <w:divBdr>
        <w:top w:val="none" w:sz="0" w:space="0" w:color="auto"/>
        <w:left w:val="none" w:sz="0" w:space="0" w:color="auto"/>
        <w:bottom w:val="none" w:sz="0" w:space="0" w:color="auto"/>
        <w:right w:val="none" w:sz="0" w:space="0" w:color="auto"/>
      </w:divBdr>
      <w:divsChild>
        <w:div w:id="1838033300">
          <w:marLeft w:val="0"/>
          <w:marRight w:val="0"/>
          <w:marTop w:val="0"/>
          <w:marBottom w:val="0"/>
          <w:divBdr>
            <w:top w:val="none" w:sz="0" w:space="0" w:color="auto"/>
            <w:left w:val="none" w:sz="0" w:space="0" w:color="auto"/>
            <w:bottom w:val="none" w:sz="0" w:space="0" w:color="auto"/>
            <w:right w:val="none" w:sz="0" w:space="0" w:color="auto"/>
          </w:divBdr>
          <w:divsChild>
            <w:div w:id="991908709">
              <w:marLeft w:val="0"/>
              <w:marRight w:val="0"/>
              <w:marTop w:val="0"/>
              <w:marBottom w:val="0"/>
              <w:divBdr>
                <w:top w:val="none" w:sz="0" w:space="0" w:color="auto"/>
                <w:left w:val="none" w:sz="0" w:space="0" w:color="auto"/>
                <w:bottom w:val="none" w:sz="0" w:space="0" w:color="auto"/>
                <w:right w:val="none" w:sz="0" w:space="0" w:color="auto"/>
              </w:divBdr>
              <w:divsChild>
                <w:div w:id="1191263731">
                  <w:marLeft w:val="0"/>
                  <w:marRight w:val="0"/>
                  <w:marTop w:val="0"/>
                  <w:marBottom w:val="0"/>
                  <w:divBdr>
                    <w:top w:val="none" w:sz="0" w:space="0" w:color="auto"/>
                    <w:left w:val="none" w:sz="0" w:space="0" w:color="auto"/>
                    <w:bottom w:val="none" w:sz="0" w:space="0" w:color="auto"/>
                    <w:right w:val="none" w:sz="0" w:space="0" w:color="auto"/>
                  </w:divBdr>
                  <w:divsChild>
                    <w:div w:id="752556065">
                      <w:marLeft w:val="0"/>
                      <w:marRight w:val="0"/>
                      <w:marTop w:val="0"/>
                      <w:marBottom w:val="0"/>
                      <w:divBdr>
                        <w:top w:val="none" w:sz="0" w:space="0" w:color="auto"/>
                        <w:left w:val="none" w:sz="0" w:space="0" w:color="auto"/>
                        <w:bottom w:val="none" w:sz="0" w:space="0" w:color="auto"/>
                        <w:right w:val="none" w:sz="0" w:space="0" w:color="auto"/>
                      </w:divBdr>
                      <w:divsChild>
                        <w:div w:id="2044556634">
                          <w:marLeft w:val="0"/>
                          <w:marRight w:val="0"/>
                          <w:marTop w:val="0"/>
                          <w:marBottom w:val="0"/>
                          <w:divBdr>
                            <w:top w:val="none" w:sz="0" w:space="0" w:color="auto"/>
                            <w:left w:val="none" w:sz="0" w:space="0" w:color="auto"/>
                            <w:bottom w:val="none" w:sz="0" w:space="0" w:color="auto"/>
                            <w:right w:val="none" w:sz="0" w:space="0" w:color="auto"/>
                          </w:divBdr>
                          <w:divsChild>
                            <w:div w:id="2130123421">
                              <w:marLeft w:val="360"/>
                              <w:marRight w:val="360"/>
                              <w:marTop w:val="0"/>
                              <w:marBottom w:val="0"/>
                              <w:divBdr>
                                <w:top w:val="none" w:sz="0" w:space="0" w:color="auto"/>
                                <w:left w:val="none" w:sz="0" w:space="0" w:color="auto"/>
                                <w:bottom w:val="none" w:sz="0" w:space="0" w:color="auto"/>
                                <w:right w:val="none" w:sz="0" w:space="0" w:color="auto"/>
                              </w:divBdr>
                              <w:divsChild>
                                <w:div w:id="1885830082">
                                  <w:marLeft w:val="0"/>
                                  <w:marRight w:val="0"/>
                                  <w:marTop w:val="0"/>
                                  <w:marBottom w:val="0"/>
                                  <w:divBdr>
                                    <w:top w:val="none" w:sz="0" w:space="0" w:color="auto"/>
                                    <w:left w:val="none" w:sz="0" w:space="0" w:color="auto"/>
                                    <w:bottom w:val="none" w:sz="0" w:space="0" w:color="auto"/>
                                    <w:right w:val="none" w:sz="0" w:space="0" w:color="auto"/>
                                  </w:divBdr>
                                  <w:divsChild>
                                    <w:div w:id="1776705912">
                                      <w:marLeft w:val="0"/>
                                      <w:marRight w:val="0"/>
                                      <w:marTop w:val="0"/>
                                      <w:marBottom w:val="300"/>
                                      <w:divBdr>
                                        <w:top w:val="none" w:sz="0" w:space="0" w:color="auto"/>
                                        <w:left w:val="none" w:sz="0" w:space="0" w:color="auto"/>
                                        <w:bottom w:val="none" w:sz="0" w:space="0" w:color="auto"/>
                                        <w:right w:val="none" w:sz="0" w:space="0" w:color="auto"/>
                                      </w:divBdr>
                                      <w:divsChild>
                                        <w:div w:id="1868634683">
                                          <w:marLeft w:val="0"/>
                                          <w:marRight w:val="0"/>
                                          <w:marTop w:val="0"/>
                                          <w:marBottom w:val="0"/>
                                          <w:divBdr>
                                            <w:top w:val="none" w:sz="0" w:space="0" w:color="auto"/>
                                            <w:left w:val="none" w:sz="0" w:space="0" w:color="auto"/>
                                            <w:bottom w:val="none" w:sz="0" w:space="0" w:color="auto"/>
                                            <w:right w:val="none" w:sz="0" w:space="0" w:color="auto"/>
                                          </w:divBdr>
                                          <w:divsChild>
                                            <w:div w:id="303896670">
                                              <w:marLeft w:val="0"/>
                                              <w:marRight w:val="0"/>
                                              <w:marTop w:val="0"/>
                                              <w:marBottom w:val="0"/>
                                              <w:divBdr>
                                                <w:top w:val="none" w:sz="0" w:space="0" w:color="auto"/>
                                                <w:left w:val="none" w:sz="0" w:space="0" w:color="auto"/>
                                                <w:bottom w:val="none" w:sz="0" w:space="0" w:color="auto"/>
                                                <w:right w:val="none" w:sz="0" w:space="0" w:color="auto"/>
                                              </w:divBdr>
                                              <w:divsChild>
                                                <w:div w:id="3038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560118">
      <w:bodyDiv w:val="1"/>
      <w:marLeft w:val="0"/>
      <w:marRight w:val="0"/>
      <w:marTop w:val="0"/>
      <w:marBottom w:val="0"/>
      <w:divBdr>
        <w:top w:val="none" w:sz="0" w:space="0" w:color="auto"/>
        <w:left w:val="none" w:sz="0" w:space="0" w:color="auto"/>
        <w:bottom w:val="none" w:sz="0" w:space="0" w:color="auto"/>
        <w:right w:val="none" w:sz="0" w:space="0" w:color="auto"/>
      </w:divBdr>
    </w:div>
    <w:div w:id="863398438">
      <w:bodyDiv w:val="1"/>
      <w:marLeft w:val="0"/>
      <w:marRight w:val="0"/>
      <w:marTop w:val="0"/>
      <w:marBottom w:val="0"/>
      <w:divBdr>
        <w:top w:val="none" w:sz="0" w:space="0" w:color="auto"/>
        <w:left w:val="none" w:sz="0" w:space="0" w:color="auto"/>
        <w:bottom w:val="none" w:sz="0" w:space="0" w:color="auto"/>
        <w:right w:val="none" w:sz="0" w:space="0" w:color="auto"/>
      </w:divBdr>
    </w:div>
    <w:div w:id="871301759">
      <w:bodyDiv w:val="1"/>
      <w:marLeft w:val="0"/>
      <w:marRight w:val="0"/>
      <w:marTop w:val="0"/>
      <w:marBottom w:val="0"/>
      <w:divBdr>
        <w:top w:val="none" w:sz="0" w:space="0" w:color="auto"/>
        <w:left w:val="none" w:sz="0" w:space="0" w:color="auto"/>
        <w:bottom w:val="none" w:sz="0" w:space="0" w:color="auto"/>
        <w:right w:val="none" w:sz="0" w:space="0" w:color="auto"/>
      </w:divBdr>
    </w:div>
    <w:div w:id="1353065585">
      <w:bodyDiv w:val="1"/>
      <w:marLeft w:val="0"/>
      <w:marRight w:val="0"/>
      <w:marTop w:val="0"/>
      <w:marBottom w:val="0"/>
      <w:divBdr>
        <w:top w:val="none" w:sz="0" w:space="0" w:color="auto"/>
        <w:left w:val="none" w:sz="0" w:space="0" w:color="auto"/>
        <w:bottom w:val="none" w:sz="0" w:space="0" w:color="auto"/>
        <w:right w:val="none" w:sz="0" w:space="0" w:color="auto"/>
      </w:divBdr>
    </w:div>
    <w:div w:id="1523587571">
      <w:bodyDiv w:val="1"/>
      <w:marLeft w:val="0"/>
      <w:marRight w:val="0"/>
      <w:marTop w:val="0"/>
      <w:marBottom w:val="0"/>
      <w:divBdr>
        <w:top w:val="none" w:sz="0" w:space="0" w:color="auto"/>
        <w:left w:val="none" w:sz="0" w:space="0" w:color="auto"/>
        <w:bottom w:val="none" w:sz="0" w:space="0" w:color="auto"/>
        <w:right w:val="none" w:sz="0" w:space="0" w:color="auto"/>
      </w:divBdr>
    </w:div>
    <w:div w:id="1570575442">
      <w:bodyDiv w:val="1"/>
      <w:marLeft w:val="0"/>
      <w:marRight w:val="0"/>
      <w:marTop w:val="0"/>
      <w:marBottom w:val="0"/>
      <w:divBdr>
        <w:top w:val="none" w:sz="0" w:space="0" w:color="auto"/>
        <w:left w:val="none" w:sz="0" w:space="0" w:color="auto"/>
        <w:bottom w:val="none" w:sz="0" w:space="0" w:color="auto"/>
        <w:right w:val="none" w:sz="0" w:space="0" w:color="auto"/>
      </w:divBdr>
    </w:div>
    <w:div w:id="1736664866">
      <w:bodyDiv w:val="1"/>
      <w:marLeft w:val="0"/>
      <w:marRight w:val="0"/>
      <w:marTop w:val="0"/>
      <w:marBottom w:val="0"/>
      <w:divBdr>
        <w:top w:val="none" w:sz="0" w:space="0" w:color="auto"/>
        <w:left w:val="none" w:sz="0" w:space="0" w:color="auto"/>
        <w:bottom w:val="none" w:sz="0" w:space="0" w:color="auto"/>
        <w:right w:val="none" w:sz="0" w:space="0" w:color="auto"/>
      </w:divBdr>
      <w:divsChild>
        <w:div w:id="2092923748">
          <w:marLeft w:val="0"/>
          <w:marRight w:val="0"/>
          <w:marTop w:val="0"/>
          <w:marBottom w:val="0"/>
          <w:divBdr>
            <w:top w:val="none" w:sz="0" w:space="0" w:color="auto"/>
            <w:left w:val="none" w:sz="0" w:space="0" w:color="auto"/>
            <w:bottom w:val="none" w:sz="0" w:space="0" w:color="auto"/>
            <w:right w:val="none" w:sz="0" w:space="0" w:color="auto"/>
          </w:divBdr>
          <w:divsChild>
            <w:div w:id="313411198">
              <w:marLeft w:val="0"/>
              <w:marRight w:val="0"/>
              <w:marTop w:val="0"/>
              <w:marBottom w:val="0"/>
              <w:divBdr>
                <w:top w:val="none" w:sz="0" w:space="0" w:color="auto"/>
                <w:left w:val="none" w:sz="0" w:space="0" w:color="auto"/>
                <w:bottom w:val="none" w:sz="0" w:space="0" w:color="auto"/>
                <w:right w:val="none" w:sz="0" w:space="0" w:color="auto"/>
              </w:divBdr>
              <w:divsChild>
                <w:div w:id="2071071812">
                  <w:marLeft w:val="0"/>
                  <w:marRight w:val="0"/>
                  <w:marTop w:val="0"/>
                  <w:marBottom w:val="0"/>
                  <w:divBdr>
                    <w:top w:val="none" w:sz="0" w:space="0" w:color="auto"/>
                    <w:left w:val="none" w:sz="0" w:space="0" w:color="auto"/>
                    <w:bottom w:val="none" w:sz="0" w:space="0" w:color="auto"/>
                    <w:right w:val="none" w:sz="0" w:space="0" w:color="auto"/>
                  </w:divBdr>
                  <w:divsChild>
                    <w:div w:id="1202591091">
                      <w:marLeft w:val="0"/>
                      <w:marRight w:val="0"/>
                      <w:marTop w:val="0"/>
                      <w:marBottom w:val="0"/>
                      <w:divBdr>
                        <w:top w:val="none" w:sz="0" w:space="0" w:color="auto"/>
                        <w:left w:val="none" w:sz="0" w:space="0" w:color="auto"/>
                        <w:bottom w:val="none" w:sz="0" w:space="0" w:color="auto"/>
                        <w:right w:val="none" w:sz="0" w:space="0" w:color="auto"/>
                      </w:divBdr>
                      <w:divsChild>
                        <w:div w:id="1365911086">
                          <w:marLeft w:val="0"/>
                          <w:marRight w:val="0"/>
                          <w:marTop w:val="0"/>
                          <w:marBottom w:val="0"/>
                          <w:divBdr>
                            <w:top w:val="none" w:sz="0" w:space="0" w:color="auto"/>
                            <w:left w:val="none" w:sz="0" w:space="0" w:color="auto"/>
                            <w:bottom w:val="none" w:sz="0" w:space="0" w:color="auto"/>
                            <w:right w:val="none" w:sz="0" w:space="0" w:color="auto"/>
                          </w:divBdr>
                          <w:divsChild>
                            <w:div w:id="2073690898">
                              <w:marLeft w:val="360"/>
                              <w:marRight w:val="360"/>
                              <w:marTop w:val="0"/>
                              <w:marBottom w:val="0"/>
                              <w:divBdr>
                                <w:top w:val="none" w:sz="0" w:space="0" w:color="auto"/>
                                <w:left w:val="none" w:sz="0" w:space="0" w:color="auto"/>
                                <w:bottom w:val="none" w:sz="0" w:space="0" w:color="auto"/>
                                <w:right w:val="none" w:sz="0" w:space="0" w:color="auto"/>
                              </w:divBdr>
                              <w:divsChild>
                                <w:div w:id="1040084723">
                                  <w:marLeft w:val="0"/>
                                  <w:marRight w:val="0"/>
                                  <w:marTop w:val="0"/>
                                  <w:marBottom w:val="0"/>
                                  <w:divBdr>
                                    <w:top w:val="none" w:sz="0" w:space="0" w:color="auto"/>
                                    <w:left w:val="none" w:sz="0" w:space="0" w:color="auto"/>
                                    <w:bottom w:val="none" w:sz="0" w:space="0" w:color="auto"/>
                                    <w:right w:val="none" w:sz="0" w:space="0" w:color="auto"/>
                                  </w:divBdr>
                                  <w:divsChild>
                                    <w:div w:id="754938513">
                                      <w:marLeft w:val="0"/>
                                      <w:marRight w:val="0"/>
                                      <w:marTop w:val="0"/>
                                      <w:marBottom w:val="300"/>
                                      <w:divBdr>
                                        <w:top w:val="none" w:sz="0" w:space="0" w:color="auto"/>
                                        <w:left w:val="none" w:sz="0" w:space="0" w:color="auto"/>
                                        <w:bottom w:val="none" w:sz="0" w:space="0" w:color="auto"/>
                                        <w:right w:val="none" w:sz="0" w:space="0" w:color="auto"/>
                                      </w:divBdr>
                                      <w:divsChild>
                                        <w:div w:id="1455438213">
                                          <w:marLeft w:val="0"/>
                                          <w:marRight w:val="0"/>
                                          <w:marTop w:val="0"/>
                                          <w:marBottom w:val="0"/>
                                          <w:divBdr>
                                            <w:top w:val="none" w:sz="0" w:space="0" w:color="auto"/>
                                            <w:left w:val="none" w:sz="0" w:space="0" w:color="auto"/>
                                            <w:bottom w:val="none" w:sz="0" w:space="0" w:color="auto"/>
                                            <w:right w:val="none" w:sz="0" w:space="0" w:color="auto"/>
                                          </w:divBdr>
                                          <w:divsChild>
                                            <w:div w:id="89201398">
                                              <w:marLeft w:val="0"/>
                                              <w:marRight w:val="0"/>
                                              <w:marTop w:val="0"/>
                                              <w:marBottom w:val="0"/>
                                              <w:divBdr>
                                                <w:top w:val="none" w:sz="0" w:space="0" w:color="auto"/>
                                                <w:left w:val="none" w:sz="0" w:space="0" w:color="auto"/>
                                                <w:bottom w:val="none" w:sz="0" w:space="0" w:color="auto"/>
                                                <w:right w:val="none" w:sz="0" w:space="0" w:color="auto"/>
                                              </w:divBdr>
                                              <w:divsChild>
                                                <w:div w:id="19574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38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3825</Words>
  <Characters>21803</Characters>
  <Application>Microsoft Office Word</Application>
  <DocSecurity>0</DocSecurity>
  <Lines>181</Lines>
  <Paragraphs>51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25577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2017-04-10T07:25:00Z</dcterms:created>
  <dcterms:modified xsi:type="dcterms:W3CDTF">2017-04-10T07:27:00Z</dcterms:modified>
</cp:coreProperties>
</file>