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E67EF" w14:textId="529FC031" w:rsidR="00057033" w:rsidRDefault="00EE0236" w:rsidP="00685A6A">
      <w:pPr>
        <w:jc w:val="center"/>
        <w:rPr>
          <w:rFonts w:ascii="Times New Roman" w:hAnsi="Times New Roman" w:cs="Times New Roman"/>
          <w:b/>
          <w:sz w:val="24"/>
          <w:szCs w:val="24"/>
        </w:rPr>
      </w:pPr>
      <w:bookmarkStart w:id="0" w:name="_GoBack"/>
      <w:bookmarkEnd w:id="0"/>
      <w:r w:rsidRPr="00D97714">
        <w:rPr>
          <w:rFonts w:ascii="Times New Roman" w:hAnsi="Times New Roman" w:cs="Times New Roman"/>
          <w:b/>
          <w:sz w:val="24"/>
          <w:szCs w:val="24"/>
        </w:rPr>
        <w:t xml:space="preserve">Institutional Ownership and the </w:t>
      </w:r>
      <w:r w:rsidR="00965B96" w:rsidRPr="00D97714">
        <w:rPr>
          <w:rFonts w:ascii="Times New Roman" w:hAnsi="Times New Roman" w:cs="Times New Roman"/>
          <w:b/>
          <w:sz w:val="24"/>
          <w:szCs w:val="24"/>
        </w:rPr>
        <w:t>Spillover</w:t>
      </w:r>
      <w:r w:rsidRPr="00D97714">
        <w:rPr>
          <w:rFonts w:ascii="Times New Roman" w:hAnsi="Times New Roman" w:cs="Times New Roman"/>
          <w:b/>
          <w:sz w:val="24"/>
          <w:szCs w:val="24"/>
        </w:rPr>
        <w:t xml:space="preserve"> Effects of Shareholder Activism</w:t>
      </w:r>
    </w:p>
    <w:p w14:paraId="2265FF56" w14:textId="17F570CE" w:rsidR="00057033" w:rsidRPr="00057033" w:rsidRDefault="00057033" w:rsidP="00057033">
      <w:pPr>
        <w:spacing w:line="240" w:lineRule="auto"/>
        <w:contextualSpacing/>
        <w:jc w:val="center"/>
        <w:rPr>
          <w:rFonts w:ascii="Times New Roman" w:hAnsi="Times New Roman" w:cs="Times New Roman"/>
          <w:sz w:val="24"/>
          <w:szCs w:val="24"/>
        </w:rPr>
      </w:pPr>
      <w:r w:rsidRPr="00057033">
        <w:rPr>
          <w:rFonts w:ascii="Times New Roman" w:hAnsi="Times New Roman" w:cs="Times New Roman"/>
          <w:sz w:val="24"/>
          <w:szCs w:val="24"/>
        </w:rPr>
        <w:t xml:space="preserve">Surendranath Jory </w:t>
      </w:r>
    </w:p>
    <w:p w14:paraId="3F7D0C0D" w14:textId="30237D15" w:rsidR="00057033" w:rsidRPr="00057033" w:rsidRDefault="00057033" w:rsidP="00057033">
      <w:pPr>
        <w:spacing w:line="240" w:lineRule="auto"/>
        <w:contextualSpacing/>
        <w:jc w:val="center"/>
        <w:rPr>
          <w:rFonts w:ascii="Times New Roman" w:eastAsia="Times New Roman" w:hAnsi="Times New Roman" w:cs="Times New Roman"/>
          <w:sz w:val="24"/>
          <w:szCs w:val="24"/>
        </w:rPr>
      </w:pPr>
      <w:r w:rsidRPr="00057033">
        <w:rPr>
          <w:rFonts w:ascii="Times New Roman" w:eastAsia="Times New Roman" w:hAnsi="Times New Roman" w:cs="Times New Roman"/>
          <w:color w:val="000000"/>
          <w:sz w:val="24"/>
          <w:szCs w:val="24"/>
        </w:rPr>
        <w:t>University of Southampton</w:t>
      </w:r>
      <w:r w:rsidRPr="00057033">
        <w:rPr>
          <w:rFonts w:ascii="Times New Roman" w:eastAsia="Times New Roman" w:hAnsi="Times New Roman" w:cs="Times New Roman"/>
          <w:color w:val="000000"/>
          <w:sz w:val="24"/>
          <w:szCs w:val="24"/>
        </w:rPr>
        <w:br/>
      </w:r>
      <w:hyperlink r:id="rId8" w:history="1">
        <w:r w:rsidRPr="00057033">
          <w:rPr>
            <w:rStyle w:val="Hyperlink"/>
            <w:rFonts w:ascii="Times New Roman" w:eastAsia="Times New Roman" w:hAnsi="Times New Roman" w:cs="Times New Roman"/>
            <w:sz w:val="24"/>
            <w:szCs w:val="24"/>
          </w:rPr>
          <w:t>s.r.jory@soton.ac.uk</w:t>
        </w:r>
      </w:hyperlink>
    </w:p>
    <w:p w14:paraId="5C825D4D" w14:textId="77777777" w:rsidR="00057033" w:rsidRPr="00057033" w:rsidRDefault="00057033" w:rsidP="00057033">
      <w:pPr>
        <w:spacing w:line="240" w:lineRule="auto"/>
        <w:contextualSpacing/>
        <w:jc w:val="center"/>
        <w:rPr>
          <w:rFonts w:ascii="Times New Roman" w:eastAsia="Times New Roman" w:hAnsi="Times New Roman" w:cs="Times New Roman"/>
          <w:sz w:val="24"/>
          <w:szCs w:val="24"/>
        </w:rPr>
      </w:pPr>
    </w:p>
    <w:p w14:paraId="1042488A" w14:textId="55D457BB" w:rsidR="00057033" w:rsidRPr="00057033" w:rsidRDefault="00057033" w:rsidP="00057033">
      <w:pPr>
        <w:spacing w:line="240" w:lineRule="auto"/>
        <w:contextualSpacing/>
        <w:jc w:val="center"/>
        <w:rPr>
          <w:rFonts w:ascii="Times New Roman" w:eastAsia="Times New Roman" w:hAnsi="Times New Roman" w:cs="Times New Roman"/>
          <w:sz w:val="24"/>
          <w:szCs w:val="24"/>
        </w:rPr>
      </w:pPr>
      <w:r w:rsidRPr="00057033">
        <w:rPr>
          <w:rFonts w:ascii="Times New Roman" w:eastAsia="Times New Roman" w:hAnsi="Times New Roman" w:cs="Times New Roman"/>
          <w:sz w:val="24"/>
          <w:szCs w:val="24"/>
        </w:rPr>
        <w:t>Thanh Ngo</w:t>
      </w:r>
    </w:p>
    <w:p w14:paraId="59E58962" w14:textId="1CD9DB0B" w:rsidR="00057033" w:rsidRPr="00057033" w:rsidRDefault="00057033" w:rsidP="00057033">
      <w:pPr>
        <w:spacing w:line="240" w:lineRule="auto"/>
        <w:contextualSpacing/>
        <w:jc w:val="center"/>
        <w:rPr>
          <w:rFonts w:ascii="Times New Roman" w:eastAsia="Times New Roman" w:hAnsi="Times New Roman" w:cs="Times New Roman"/>
          <w:sz w:val="24"/>
          <w:szCs w:val="24"/>
        </w:rPr>
      </w:pPr>
      <w:r w:rsidRPr="00057033">
        <w:rPr>
          <w:rFonts w:ascii="Times New Roman" w:eastAsia="Times New Roman" w:hAnsi="Times New Roman" w:cs="Times New Roman"/>
          <w:sz w:val="24"/>
          <w:szCs w:val="24"/>
        </w:rPr>
        <w:t>East Carolina University</w:t>
      </w:r>
    </w:p>
    <w:p w14:paraId="4E3686B0" w14:textId="4663887E" w:rsidR="00057033" w:rsidRDefault="00771201" w:rsidP="00057033">
      <w:pPr>
        <w:spacing w:line="240" w:lineRule="auto"/>
        <w:contextualSpacing/>
        <w:jc w:val="center"/>
        <w:rPr>
          <w:rFonts w:ascii="Times New Roman" w:eastAsia="Times New Roman" w:hAnsi="Times New Roman" w:cs="Times New Roman"/>
          <w:sz w:val="24"/>
          <w:szCs w:val="24"/>
        </w:rPr>
      </w:pPr>
      <w:hyperlink r:id="rId9" w:history="1">
        <w:r w:rsidR="00057033" w:rsidRPr="00057033">
          <w:rPr>
            <w:rStyle w:val="Hyperlink"/>
            <w:rFonts w:ascii="Times New Roman" w:eastAsia="Times New Roman" w:hAnsi="Times New Roman" w:cs="Times New Roman"/>
            <w:sz w:val="24"/>
            <w:szCs w:val="24"/>
          </w:rPr>
          <w:t>ngot@ecu.edu</w:t>
        </w:r>
      </w:hyperlink>
    </w:p>
    <w:p w14:paraId="172A3C01" w14:textId="77777777" w:rsidR="00057033" w:rsidRPr="00057033" w:rsidRDefault="00057033" w:rsidP="00057033">
      <w:pPr>
        <w:spacing w:line="240" w:lineRule="auto"/>
        <w:contextualSpacing/>
        <w:jc w:val="center"/>
        <w:rPr>
          <w:rFonts w:ascii="Times New Roman" w:eastAsia="Times New Roman" w:hAnsi="Times New Roman" w:cs="Times New Roman"/>
          <w:sz w:val="24"/>
          <w:szCs w:val="24"/>
        </w:rPr>
      </w:pPr>
    </w:p>
    <w:p w14:paraId="1BAD3B00" w14:textId="77777777" w:rsidR="00057033" w:rsidRPr="00057033" w:rsidRDefault="00057033" w:rsidP="00057033">
      <w:pPr>
        <w:shd w:val="clear" w:color="auto" w:fill="FFFFFF"/>
        <w:spacing w:line="240" w:lineRule="auto"/>
        <w:contextualSpacing/>
        <w:jc w:val="center"/>
        <w:rPr>
          <w:rFonts w:ascii="Times New Roman" w:eastAsia="Times New Roman" w:hAnsi="Times New Roman" w:cs="Times New Roman"/>
          <w:color w:val="000000"/>
          <w:sz w:val="24"/>
          <w:szCs w:val="24"/>
        </w:rPr>
      </w:pPr>
      <w:r w:rsidRPr="00057033">
        <w:rPr>
          <w:rFonts w:ascii="Times New Roman" w:eastAsia="Times New Roman" w:hAnsi="Times New Roman" w:cs="Times New Roman"/>
          <w:color w:val="000000"/>
          <w:sz w:val="24"/>
          <w:szCs w:val="24"/>
        </w:rPr>
        <w:t>Khoa Huu Nguyen</w:t>
      </w:r>
    </w:p>
    <w:p w14:paraId="429C78CA" w14:textId="77777777" w:rsidR="00057033" w:rsidRPr="00057033" w:rsidRDefault="00057033" w:rsidP="00057033">
      <w:pPr>
        <w:shd w:val="clear" w:color="auto" w:fill="FFFFFF"/>
        <w:spacing w:line="240" w:lineRule="auto"/>
        <w:contextualSpacing/>
        <w:jc w:val="center"/>
        <w:rPr>
          <w:rFonts w:ascii="Times New Roman" w:eastAsia="Times New Roman" w:hAnsi="Times New Roman" w:cs="Times New Roman"/>
          <w:color w:val="000000"/>
          <w:sz w:val="24"/>
          <w:szCs w:val="24"/>
        </w:rPr>
      </w:pPr>
      <w:r w:rsidRPr="00057033">
        <w:rPr>
          <w:rFonts w:ascii="Times New Roman" w:eastAsia="Times New Roman" w:hAnsi="Times New Roman" w:cs="Times New Roman"/>
          <w:color w:val="000000"/>
          <w:sz w:val="24"/>
          <w:szCs w:val="24"/>
        </w:rPr>
        <w:t>Southern Connecticut State University</w:t>
      </w:r>
    </w:p>
    <w:p w14:paraId="3C1BFCBD" w14:textId="18BBB31B" w:rsidR="00057033" w:rsidRPr="00057033" w:rsidRDefault="00771201" w:rsidP="00057033">
      <w:pPr>
        <w:shd w:val="clear" w:color="auto" w:fill="FFFFFF"/>
        <w:spacing w:line="240" w:lineRule="auto"/>
        <w:contextualSpacing/>
        <w:jc w:val="center"/>
        <w:rPr>
          <w:rFonts w:ascii="Times New Roman" w:eastAsia="Times New Roman" w:hAnsi="Times New Roman" w:cs="Times New Roman"/>
          <w:color w:val="000000"/>
          <w:sz w:val="24"/>
          <w:szCs w:val="24"/>
        </w:rPr>
      </w:pPr>
      <w:hyperlink r:id="rId10" w:history="1">
        <w:r w:rsidR="00057033" w:rsidRPr="00057033">
          <w:rPr>
            <w:rStyle w:val="Hyperlink"/>
            <w:rFonts w:ascii="Times New Roman" w:eastAsia="Times New Roman" w:hAnsi="Times New Roman" w:cs="Times New Roman"/>
            <w:sz w:val="24"/>
            <w:szCs w:val="24"/>
          </w:rPr>
          <w:t>nguyenhkhoa@yahoo.com</w:t>
        </w:r>
      </w:hyperlink>
    </w:p>
    <w:p w14:paraId="33691892" w14:textId="77777777" w:rsidR="00A20C9F" w:rsidRPr="00D97714" w:rsidRDefault="00A20C9F" w:rsidP="00A20C9F">
      <w:pPr>
        <w:widowControl w:val="0"/>
        <w:autoSpaceDE w:val="0"/>
        <w:autoSpaceDN w:val="0"/>
        <w:adjustRightInd w:val="0"/>
        <w:spacing w:after="240" w:line="300" w:lineRule="atLeast"/>
        <w:rPr>
          <w:rFonts w:ascii="Times New Roman" w:eastAsia="MS Mincho" w:hAnsi="Times New Roman" w:cs="Times New Roman"/>
          <w:sz w:val="24"/>
          <w:szCs w:val="24"/>
        </w:rPr>
      </w:pPr>
      <w:r w:rsidRPr="00D97714">
        <w:rPr>
          <w:rFonts w:ascii="Times New Roman" w:hAnsi="Times New Roman" w:cs="Times New Roman"/>
          <w:b/>
          <w:i/>
          <w:sz w:val="24"/>
          <w:szCs w:val="24"/>
        </w:rPr>
        <w:t>Manuscript Type</w:t>
      </w:r>
      <w:r w:rsidRPr="00D97714">
        <w:rPr>
          <w:rFonts w:ascii="Times New Roman" w:hAnsi="Times New Roman" w:cs="Times New Roman"/>
          <w:sz w:val="24"/>
          <w:szCs w:val="24"/>
        </w:rPr>
        <w:t>: Empirical</w:t>
      </w:r>
      <w:r w:rsidRPr="00D97714">
        <w:rPr>
          <w:rFonts w:ascii="MS Mincho" w:eastAsia="MS Mincho" w:hAnsi="MS Mincho" w:cs="MS Mincho"/>
          <w:sz w:val="24"/>
          <w:szCs w:val="24"/>
        </w:rPr>
        <w:t> </w:t>
      </w:r>
    </w:p>
    <w:p w14:paraId="3FD973BA" w14:textId="4AB10E76" w:rsidR="00A20C9F" w:rsidRPr="00D97714" w:rsidRDefault="00A20C9F" w:rsidP="00A20C9F">
      <w:pPr>
        <w:widowControl w:val="0"/>
        <w:autoSpaceDE w:val="0"/>
        <w:autoSpaceDN w:val="0"/>
        <w:adjustRightInd w:val="0"/>
        <w:spacing w:after="240" w:line="300" w:lineRule="atLeast"/>
        <w:rPr>
          <w:rFonts w:ascii="Times New Roman" w:eastAsia="MS Mincho" w:hAnsi="Times New Roman" w:cs="Times New Roman"/>
          <w:sz w:val="24"/>
          <w:szCs w:val="24"/>
        </w:rPr>
      </w:pPr>
      <w:r w:rsidRPr="00D97714">
        <w:rPr>
          <w:rFonts w:ascii="Times New Roman" w:hAnsi="Times New Roman" w:cs="Times New Roman"/>
          <w:b/>
          <w:i/>
          <w:sz w:val="24"/>
          <w:szCs w:val="24"/>
        </w:rPr>
        <w:t>Research Question/Issue</w:t>
      </w:r>
      <w:r w:rsidRPr="00D97714">
        <w:rPr>
          <w:rFonts w:ascii="Times New Roman" w:hAnsi="Times New Roman" w:cs="Times New Roman"/>
          <w:sz w:val="24"/>
          <w:szCs w:val="24"/>
        </w:rPr>
        <w:t xml:space="preserve">: This study examines the spillover effects of institutional activism </w:t>
      </w:r>
      <w:r w:rsidR="003E5B7E" w:rsidRPr="00D97714">
        <w:rPr>
          <w:rFonts w:ascii="Times New Roman" w:hAnsi="Times New Roman" w:cs="Times New Roman"/>
          <w:sz w:val="24"/>
          <w:szCs w:val="24"/>
        </w:rPr>
        <w:t>on</w:t>
      </w:r>
      <w:r w:rsidR="00164740" w:rsidRPr="00D97714">
        <w:rPr>
          <w:rFonts w:ascii="Times New Roman" w:hAnsi="Times New Roman" w:cs="Times New Roman"/>
          <w:sz w:val="24"/>
          <w:szCs w:val="24"/>
        </w:rPr>
        <w:t xml:space="preserve"> non-targeted firms, which share the same ownership and size characteristics as targeted firm</w:t>
      </w:r>
      <w:r w:rsidR="003E5B7E" w:rsidRPr="00D97714">
        <w:rPr>
          <w:rFonts w:ascii="Times New Roman" w:hAnsi="Times New Roman" w:cs="Times New Roman"/>
          <w:sz w:val="24"/>
          <w:szCs w:val="24"/>
        </w:rPr>
        <w:t>s</w:t>
      </w:r>
      <w:r w:rsidR="00164740" w:rsidRPr="00D97714">
        <w:rPr>
          <w:rFonts w:ascii="Times New Roman" w:hAnsi="Times New Roman" w:cs="Times New Roman"/>
          <w:sz w:val="24"/>
          <w:szCs w:val="24"/>
        </w:rPr>
        <w:t>.</w:t>
      </w:r>
    </w:p>
    <w:p w14:paraId="74946113" w14:textId="5635B846" w:rsidR="00A20C9F" w:rsidRPr="00D97714" w:rsidRDefault="00A20C9F" w:rsidP="00A20C9F">
      <w:pPr>
        <w:widowControl w:val="0"/>
        <w:autoSpaceDE w:val="0"/>
        <w:autoSpaceDN w:val="0"/>
        <w:adjustRightInd w:val="0"/>
        <w:spacing w:after="240" w:line="300" w:lineRule="atLeast"/>
        <w:rPr>
          <w:rFonts w:ascii="Times New Roman" w:hAnsi="Times New Roman" w:cs="Times New Roman"/>
          <w:sz w:val="24"/>
          <w:szCs w:val="24"/>
        </w:rPr>
      </w:pPr>
      <w:r w:rsidRPr="00D97714">
        <w:rPr>
          <w:rFonts w:ascii="Times New Roman" w:hAnsi="Times New Roman" w:cs="Times New Roman"/>
          <w:b/>
          <w:i/>
          <w:sz w:val="24"/>
          <w:szCs w:val="24"/>
        </w:rPr>
        <w:t>Research Findings/Insights</w:t>
      </w:r>
      <w:r w:rsidRPr="00D97714">
        <w:rPr>
          <w:rFonts w:ascii="Times New Roman" w:hAnsi="Times New Roman" w:cs="Times New Roman"/>
          <w:sz w:val="24"/>
          <w:szCs w:val="24"/>
        </w:rPr>
        <w:t xml:space="preserve">: </w:t>
      </w:r>
      <w:r w:rsidR="008508A5" w:rsidRPr="00D97714">
        <w:rPr>
          <w:rFonts w:ascii="Times New Roman" w:hAnsi="Times New Roman" w:cs="Times New Roman"/>
          <w:sz w:val="24"/>
          <w:szCs w:val="24"/>
        </w:rPr>
        <w:t>We document that i</w:t>
      </w:r>
      <w:r w:rsidR="00E93676" w:rsidRPr="00D97714">
        <w:rPr>
          <w:rFonts w:ascii="Times New Roman" w:hAnsi="Times New Roman" w:cs="Times New Roman"/>
          <w:sz w:val="24"/>
          <w:szCs w:val="24"/>
        </w:rPr>
        <w:t>nstitutional</w:t>
      </w:r>
      <w:r w:rsidR="00AB5004" w:rsidRPr="00D97714">
        <w:rPr>
          <w:rFonts w:ascii="Times New Roman" w:hAnsi="Times New Roman" w:cs="Times New Roman"/>
          <w:sz w:val="24"/>
          <w:szCs w:val="24"/>
        </w:rPr>
        <w:t xml:space="preserve"> activism </w:t>
      </w:r>
      <w:r w:rsidR="00C71FE0" w:rsidRPr="00D97714">
        <w:rPr>
          <w:rFonts w:ascii="Times New Roman" w:hAnsi="Times New Roman" w:cs="Times New Roman"/>
          <w:sz w:val="24"/>
          <w:szCs w:val="24"/>
        </w:rPr>
        <w:t>leads</w:t>
      </w:r>
      <w:r w:rsidR="00AB5004" w:rsidRPr="00D97714">
        <w:rPr>
          <w:rFonts w:ascii="Times New Roman" w:hAnsi="Times New Roman" w:cs="Times New Roman"/>
          <w:sz w:val="24"/>
          <w:szCs w:val="24"/>
        </w:rPr>
        <w:t xml:space="preserve"> to </w:t>
      </w:r>
      <w:r w:rsidR="006C47CD" w:rsidRPr="00D97714">
        <w:rPr>
          <w:rFonts w:ascii="Times New Roman" w:hAnsi="Times New Roman" w:cs="Times New Roman"/>
          <w:sz w:val="24"/>
          <w:szCs w:val="24"/>
        </w:rPr>
        <w:t xml:space="preserve">a </w:t>
      </w:r>
      <w:r w:rsidR="00AB5004" w:rsidRPr="00D97714">
        <w:rPr>
          <w:rFonts w:ascii="Times New Roman" w:hAnsi="Times New Roman" w:cs="Times New Roman"/>
          <w:sz w:val="24"/>
          <w:szCs w:val="24"/>
        </w:rPr>
        <w:t xml:space="preserve">significant spillover effect </w:t>
      </w:r>
      <w:r w:rsidR="00C71FE0" w:rsidRPr="00D97714">
        <w:rPr>
          <w:rFonts w:ascii="Times New Roman" w:hAnsi="Times New Roman" w:cs="Times New Roman"/>
          <w:sz w:val="24"/>
          <w:szCs w:val="24"/>
        </w:rPr>
        <w:t>at</w:t>
      </w:r>
      <w:r w:rsidR="00AB5004" w:rsidRPr="00D97714">
        <w:rPr>
          <w:rFonts w:ascii="Times New Roman" w:hAnsi="Times New Roman" w:cs="Times New Roman"/>
          <w:sz w:val="24"/>
          <w:szCs w:val="24"/>
        </w:rPr>
        <w:t xml:space="preserve"> </w:t>
      </w:r>
      <w:r w:rsidR="00903E10" w:rsidRPr="00D97714">
        <w:rPr>
          <w:rFonts w:ascii="Times New Roman" w:hAnsi="Times New Roman" w:cs="Times New Roman"/>
          <w:sz w:val="24"/>
          <w:szCs w:val="24"/>
        </w:rPr>
        <w:t>non-targeted</w:t>
      </w:r>
      <w:r w:rsidR="00AB5004" w:rsidRPr="00D97714">
        <w:rPr>
          <w:rFonts w:ascii="Times New Roman" w:hAnsi="Times New Roman" w:cs="Times New Roman"/>
          <w:sz w:val="24"/>
          <w:szCs w:val="24"/>
        </w:rPr>
        <w:t xml:space="preserve"> firms, which share the same ownership and size characteristics as </w:t>
      </w:r>
      <w:r w:rsidR="00C71FE0" w:rsidRPr="00D97714">
        <w:rPr>
          <w:rFonts w:ascii="Times New Roman" w:hAnsi="Times New Roman" w:cs="Times New Roman"/>
          <w:sz w:val="24"/>
          <w:szCs w:val="24"/>
        </w:rPr>
        <w:t>the targeted</w:t>
      </w:r>
      <w:r w:rsidR="00EA0ADA" w:rsidRPr="00D97714">
        <w:rPr>
          <w:rFonts w:ascii="Times New Roman" w:hAnsi="Times New Roman" w:cs="Times New Roman"/>
          <w:sz w:val="24"/>
          <w:szCs w:val="24"/>
        </w:rPr>
        <w:t xml:space="preserve"> firm</w:t>
      </w:r>
      <w:r w:rsidR="003E5B7E" w:rsidRPr="00D97714">
        <w:rPr>
          <w:rFonts w:ascii="Times New Roman" w:hAnsi="Times New Roman" w:cs="Times New Roman"/>
          <w:sz w:val="24"/>
          <w:szCs w:val="24"/>
        </w:rPr>
        <w:t>s</w:t>
      </w:r>
      <w:r w:rsidR="00EA0ADA" w:rsidRPr="00D97714">
        <w:rPr>
          <w:rFonts w:ascii="Times New Roman" w:hAnsi="Times New Roman" w:cs="Times New Roman"/>
          <w:sz w:val="24"/>
          <w:szCs w:val="24"/>
        </w:rPr>
        <w:t xml:space="preserve">. The portfolio of </w:t>
      </w:r>
      <w:r w:rsidR="003E5B7E" w:rsidRPr="00D97714">
        <w:rPr>
          <w:rFonts w:ascii="Times New Roman" w:hAnsi="Times New Roman" w:cs="Times New Roman"/>
          <w:sz w:val="24"/>
          <w:szCs w:val="24"/>
        </w:rPr>
        <w:t xml:space="preserve">matching </w:t>
      </w:r>
      <w:r w:rsidR="00EA0ADA" w:rsidRPr="00D97714">
        <w:rPr>
          <w:rFonts w:ascii="Times New Roman" w:hAnsi="Times New Roman" w:cs="Times New Roman"/>
          <w:sz w:val="24"/>
          <w:szCs w:val="24"/>
        </w:rPr>
        <w:t xml:space="preserve">non-targeted firms experience </w:t>
      </w:r>
      <w:r w:rsidR="003E5B7E" w:rsidRPr="00D97714">
        <w:rPr>
          <w:rFonts w:ascii="Times New Roman" w:hAnsi="Times New Roman" w:cs="Times New Roman"/>
          <w:sz w:val="24"/>
          <w:szCs w:val="24"/>
        </w:rPr>
        <w:t>a significant</w:t>
      </w:r>
      <w:r w:rsidR="00EA0ADA" w:rsidRPr="00D97714">
        <w:rPr>
          <w:rFonts w:ascii="Times New Roman" w:hAnsi="Times New Roman" w:cs="Times New Roman"/>
          <w:sz w:val="24"/>
          <w:szCs w:val="24"/>
        </w:rPr>
        <w:t xml:space="preserve"> positive wealth </w:t>
      </w:r>
      <w:r w:rsidR="003E5B7E" w:rsidRPr="00D97714">
        <w:rPr>
          <w:rFonts w:ascii="Times New Roman" w:hAnsi="Times New Roman" w:cs="Times New Roman"/>
          <w:sz w:val="24"/>
          <w:szCs w:val="24"/>
        </w:rPr>
        <w:t xml:space="preserve">effect on announcement </w:t>
      </w:r>
      <w:r w:rsidR="00EA0ADA" w:rsidRPr="00D97714">
        <w:rPr>
          <w:rFonts w:ascii="Times New Roman" w:hAnsi="Times New Roman" w:cs="Times New Roman"/>
          <w:sz w:val="24"/>
          <w:szCs w:val="24"/>
        </w:rPr>
        <w:t xml:space="preserve">of shareholder activism campaigns at </w:t>
      </w:r>
      <w:r w:rsidR="003E5B7E" w:rsidRPr="00D97714">
        <w:rPr>
          <w:rFonts w:ascii="Times New Roman" w:hAnsi="Times New Roman" w:cs="Times New Roman"/>
          <w:sz w:val="24"/>
          <w:szCs w:val="24"/>
        </w:rPr>
        <w:t xml:space="preserve">a </w:t>
      </w:r>
      <w:r w:rsidR="00EA0ADA" w:rsidRPr="00D97714">
        <w:rPr>
          <w:rFonts w:ascii="Times New Roman" w:hAnsi="Times New Roman" w:cs="Times New Roman"/>
          <w:sz w:val="24"/>
          <w:szCs w:val="24"/>
        </w:rPr>
        <w:t xml:space="preserve">targeted </w:t>
      </w:r>
      <w:r w:rsidR="003E5B7E" w:rsidRPr="00D97714">
        <w:rPr>
          <w:rFonts w:ascii="Times New Roman" w:hAnsi="Times New Roman" w:cs="Times New Roman"/>
          <w:sz w:val="24"/>
          <w:szCs w:val="24"/>
        </w:rPr>
        <w:t>firm</w:t>
      </w:r>
      <w:r w:rsidR="00EA0ADA" w:rsidRPr="00D97714">
        <w:rPr>
          <w:rFonts w:ascii="Times New Roman" w:hAnsi="Times New Roman" w:cs="Times New Roman"/>
          <w:sz w:val="24"/>
          <w:szCs w:val="24"/>
        </w:rPr>
        <w:t xml:space="preserve">. Managers of the </w:t>
      </w:r>
      <w:r w:rsidR="003E5B7E" w:rsidRPr="00D97714">
        <w:rPr>
          <w:rFonts w:ascii="Times New Roman" w:hAnsi="Times New Roman" w:cs="Times New Roman"/>
          <w:sz w:val="24"/>
          <w:szCs w:val="24"/>
        </w:rPr>
        <w:t>matching on</w:t>
      </w:r>
      <w:r w:rsidR="00EA0ADA" w:rsidRPr="00D97714">
        <w:rPr>
          <w:rFonts w:ascii="Times New Roman" w:hAnsi="Times New Roman" w:cs="Times New Roman"/>
          <w:sz w:val="24"/>
          <w:szCs w:val="24"/>
        </w:rPr>
        <w:t xml:space="preserve">-targeted firms respond to </w:t>
      </w:r>
      <w:r w:rsidR="003E5B7E" w:rsidRPr="00D97714">
        <w:rPr>
          <w:rFonts w:ascii="Times New Roman" w:hAnsi="Times New Roman" w:cs="Times New Roman"/>
          <w:sz w:val="24"/>
          <w:szCs w:val="24"/>
        </w:rPr>
        <w:t>the activism</w:t>
      </w:r>
      <w:r w:rsidR="00EA0ADA" w:rsidRPr="00D97714">
        <w:rPr>
          <w:rFonts w:ascii="Times New Roman" w:hAnsi="Times New Roman" w:cs="Times New Roman"/>
          <w:sz w:val="24"/>
          <w:szCs w:val="24"/>
        </w:rPr>
        <w:t xml:space="preserve"> threats by reducing agency costs (</w:t>
      </w:r>
      <w:r w:rsidR="003E5B7E" w:rsidRPr="00D97714">
        <w:rPr>
          <w:rFonts w:ascii="Times New Roman" w:hAnsi="Times New Roman" w:cs="Times New Roman"/>
          <w:sz w:val="24"/>
          <w:szCs w:val="24"/>
        </w:rPr>
        <w:t>i.e.,</w:t>
      </w:r>
      <w:r w:rsidR="00EA0ADA" w:rsidRPr="00D97714">
        <w:rPr>
          <w:rFonts w:ascii="Times New Roman" w:hAnsi="Times New Roman" w:cs="Times New Roman"/>
          <w:sz w:val="24"/>
          <w:szCs w:val="24"/>
        </w:rPr>
        <w:t xml:space="preserve"> reducing cash balance and increasing dividend payment) and </w:t>
      </w:r>
      <w:r w:rsidR="003E5B7E" w:rsidRPr="00D97714">
        <w:rPr>
          <w:rFonts w:ascii="Times New Roman" w:hAnsi="Times New Roman" w:cs="Times New Roman"/>
          <w:sz w:val="24"/>
          <w:szCs w:val="24"/>
        </w:rPr>
        <w:t>by improving</w:t>
      </w:r>
      <w:r w:rsidR="00EA0ADA" w:rsidRPr="00D97714">
        <w:rPr>
          <w:rFonts w:ascii="Times New Roman" w:hAnsi="Times New Roman" w:cs="Times New Roman"/>
          <w:sz w:val="24"/>
          <w:szCs w:val="24"/>
        </w:rPr>
        <w:t xml:space="preserve"> operating performance (</w:t>
      </w:r>
      <w:r w:rsidR="003E5B7E" w:rsidRPr="00D97714">
        <w:rPr>
          <w:rFonts w:ascii="Times New Roman" w:hAnsi="Times New Roman" w:cs="Times New Roman"/>
          <w:sz w:val="24"/>
          <w:szCs w:val="24"/>
        </w:rPr>
        <w:t>i.e.,</w:t>
      </w:r>
      <w:r w:rsidR="00EA0ADA" w:rsidRPr="00D97714">
        <w:rPr>
          <w:rFonts w:ascii="Times New Roman" w:hAnsi="Times New Roman" w:cs="Times New Roman"/>
          <w:sz w:val="24"/>
          <w:szCs w:val="24"/>
        </w:rPr>
        <w:t xml:space="preserve"> improving profitability ratios and cutting down on capital and operating expenditure). We further show that shareholder activism impacts not only stock returns but also stock risk. </w:t>
      </w:r>
      <w:r w:rsidR="00C71FE0" w:rsidRPr="00D97714">
        <w:rPr>
          <w:rFonts w:ascii="Times New Roman" w:hAnsi="Times New Roman" w:cs="Times New Roman"/>
          <w:sz w:val="24"/>
          <w:szCs w:val="24"/>
        </w:rPr>
        <w:t xml:space="preserve"> </w:t>
      </w:r>
    </w:p>
    <w:p w14:paraId="0C70A78B" w14:textId="4FB1F181" w:rsidR="00EA0ADA" w:rsidRPr="00D97714" w:rsidRDefault="00A20C9F" w:rsidP="00A5461D">
      <w:pPr>
        <w:spacing w:line="240" w:lineRule="auto"/>
        <w:rPr>
          <w:rFonts w:ascii="Times New Roman" w:hAnsi="Times New Roman" w:cs="Times New Roman"/>
          <w:sz w:val="24"/>
          <w:szCs w:val="24"/>
        </w:rPr>
      </w:pPr>
      <w:r w:rsidRPr="00D97714">
        <w:rPr>
          <w:rFonts w:ascii="Times New Roman" w:hAnsi="Times New Roman" w:cs="Times New Roman"/>
          <w:b/>
          <w:i/>
          <w:sz w:val="24"/>
          <w:szCs w:val="24"/>
        </w:rPr>
        <w:t>Theoretical/Academic Implications</w:t>
      </w:r>
      <w:r w:rsidRPr="00D97714">
        <w:rPr>
          <w:rFonts w:ascii="Times New Roman" w:hAnsi="Times New Roman" w:cs="Times New Roman"/>
          <w:sz w:val="24"/>
          <w:szCs w:val="24"/>
        </w:rPr>
        <w:t xml:space="preserve">: </w:t>
      </w:r>
      <w:r w:rsidR="00EA0ADA" w:rsidRPr="00D97714">
        <w:rPr>
          <w:rFonts w:ascii="Times New Roman" w:hAnsi="Times New Roman" w:cs="Times New Roman"/>
          <w:sz w:val="24"/>
          <w:szCs w:val="24"/>
        </w:rPr>
        <w:t xml:space="preserve">First, we study the effects of institutional activism using a new database, i.e., the </w:t>
      </w:r>
      <w:r w:rsidR="00DB0615" w:rsidRPr="00D97714">
        <w:rPr>
          <w:rFonts w:ascii="Times New Roman" w:hAnsi="Times New Roman" w:cs="Times New Roman"/>
          <w:sz w:val="24"/>
          <w:szCs w:val="24"/>
        </w:rPr>
        <w:t>Thomson Reuters Shareholder Activism Intelligence (TRSAI)</w:t>
      </w:r>
      <w:r w:rsidR="00EA0ADA" w:rsidRPr="00D97714">
        <w:rPr>
          <w:rFonts w:ascii="Times New Roman" w:hAnsi="Times New Roman" w:cs="Times New Roman"/>
          <w:sz w:val="24"/>
          <w:szCs w:val="24"/>
        </w:rPr>
        <w:t xml:space="preserve">, which allows us to study the effects of various types of activist investors beyond hedge funds. </w:t>
      </w:r>
      <w:r w:rsidR="00A5461D" w:rsidRPr="00D97714">
        <w:rPr>
          <w:rFonts w:ascii="Times New Roman" w:hAnsi="Times New Roman" w:cs="Times New Roman"/>
          <w:sz w:val="24"/>
          <w:szCs w:val="24"/>
        </w:rPr>
        <w:t>We</w:t>
      </w:r>
      <w:r w:rsidR="00EA0ADA" w:rsidRPr="00D97714">
        <w:rPr>
          <w:rFonts w:ascii="Times New Roman" w:hAnsi="Times New Roman" w:cs="Times New Roman"/>
          <w:sz w:val="24"/>
          <w:szCs w:val="24"/>
        </w:rPr>
        <w:t xml:space="preserve"> highlight that the positive externalities of shareholder activism depend on </w:t>
      </w:r>
      <w:r w:rsidR="003E5B7E" w:rsidRPr="00D97714">
        <w:rPr>
          <w:rFonts w:ascii="Times New Roman" w:hAnsi="Times New Roman" w:cs="Times New Roman"/>
          <w:sz w:val="24"/>
          <w:szCs w:val="24"/>
        </w:rPr>
        <w:t>institutional ownership</w:t>
      </w:r>
      <w:r w:rsidR="00EA0ADA" w:rsidRPr="00D97714">
        <w:rPr>
          <w:rFonts w:ascii="Times New Roman" w:hAnsi="Times New Roman" w:cs="Times New Roman"/>
          <w:sz w:val="24"/>
          <w:szCs w:val="24"/>
        </w:rPr>
        <w:t xml:space="preserve">. The higher the proportion of </w:t>
      </w:r>
      <w:r w:rsidR="003E5B7E" w:rsidRPr="00D97714">
        <w:rPr>
          <w:rFonts w:ascii="Times New Roman" w:hAnsi="Times New Roman" w:cs="Times New Roman"/>
          <w:sz w:val="24"/>
          <w:szCs w:val="24"/>
        </w:rPr>
        <w:t xml:space="preserve">in institutional </w:t>
      </w:r>
      <w:r w:rsidR="00EA0ADA" w:rsidRPr="00D97714">
        <w:rPr>
          <w:rFonts w:ascii="Times New Roman" w:hAnsi="Times New Roman" w:cs="Times New Roman"/>
          <w:sz w:val="24"/>
          <w:szCs w:val="24"/>
        </w:rPr>
        <w:t xml:space="preserve">shareholdings, the larger is the wealth effect and the decline in risk measures. However, the volatility in </w:t>
      </w:r>
      <w:r w:rsidR="003E5B7E" w:rsidRPr="00D97714">
        <w:rPr>
          <w:rFonts w:ascii="Times New Roman" w:hAnsi="Times New Roman" w:cs="Times New Roman"/>
          <w:sz w:val="24"/>
          <w:szCs w:val="24"/>
        </w:rPr>
        <w:t>institutional share</w:t>
      </w:r>
      <w:r w:rsidR="00EA0ADA" w:rsidRPr="00D97714">
        <w:rPr>
          <w:rFonts w:ascii="Times New Roman" w:hAnsi="Times New Roman" w:cs="Times New Roman"/>
          <w:sz w:val="24"/>
          <w:szCs w:val="24"/>
        </w:rPr>
        <w:t>holdings produces an opposite effect.</w:t>
      </w:r>
    </w:p>
    <w:p w14:paraId="51C870C4" w14:textId="788AC24B" w:rsidR="00EA0ADA" w:rsidRPr="00D97714" w:rsidRDefault="00A20C9F" w:rsidP="00EA0ADA">
      <w:pPr>
        <w:widowControl w:val="0"/>
        <w:autoSpaceDE w:val="0"/>
        <w:autoSpaceDN w:val="0"/>
        <w:adjustRightInd w:val="0"/>
        <w:spacing w:after="240" w:line="300" w:lineRule="atLeast"/>
        <w:rPr>
          <w:rFonts w:ascii="Times New Roman" w:hAnsi="Times New Roman" w:cs="Times New Roman"/>
          <w:sz w:val="24"/>
          <w:szCs w:val="24"/>
        </w:rPr>
      </w:pPr>
      <w:r w:rsidRPr="00D97714">
        <w:rPr>
          <w:rFonts w:ascii="Times New Roman" w:hAnsi="Times New Roman" w:cs="Times New Roman"/>
          <w:b/>
          <w:i/>
          <w:sz w:val="24"/>
          <w:szCs w:val="24"/>
        </w:rPr>
        <w:t>Practitioner/Policy Implications</w:t>
      </w:r>
      <w:r w:rsidRPr="00D97714">
        <w:rPr>
          <w:rFonts w:ascii="Times New Roman" w:hAnsi="Times New Roman" w:cs="Times New Roman"/>
          <w:sz w:val="24"/>
          <w:szCs w:val="24"/>
        </w:rPr>
        <w:t xml:space="preserve">: </w:t>
      </w:r>
      <w:r w:rsidR="00EA0ADA" w:rsidRPr="00D97714">
        <w:rPr>
          <w:rFonts w:ascii="Times New Roman" w:hAnsi="Times New Roman" w:cs="Times New Roman"/>
          <w:sz w:val="24"/>
          <w:szCs w:val="24"/>
        </w:rPr>
        <w:t xml:space="preserve">Our study highlights </w:t>
      </w:r>
      <w:r w:rsidR="007570C9" w:rsidRPr="00D97714">
        <w:rPr>
          <w:rFonts w:ascii="Times New Roman" w:hAnsi="Times New Roman" w:cs="Times New Roman"/>
          <w:sz w:val="24"/>
          <w:szCs w:val="24"/>
        </w:rPr>
        <w:t xml:space="preserve">that </w:t>
      </w:r>
      <w:r w:rsidR="00EA0ADA" w:rsidRPr="00D97714">
        <w:rPr>
          <w:rFonts w:ascii="Times New Roman" w:hAnsi="Times New Roman" w:cs="Times New Roman"/>
          <w:sz w:val="24"/>
          <w:szCs w:val="24"/>
        </w:rPr>
        <w:t>the threat of activism as a potent force in disciplining companies extends well beyond target</w:t>
      </w:r>
      <w:r w:rsidR="003E5B7E" w:rsidRPr="00D97714">
        <w:rPr>
          <w:rFonts w:ascii="Times New Roman" w:hAnsi="Times New Roman" w:cs="Times New Roman"/>
          <w:sz w:val="24"/>
          <w:szCs w:val="24"/>
        </w:rPr>
        <w:t>ed</w:t>
      </w:r>
      <w:r w:rsidR="00EA0ADA" w:rsidRPr="00D97714">
        <w:rPr>
          <w:rFonts w:ascii="Times New Roman" w:hAnsi="Times New Roman" w:cs="Times New Roman"/>
          <w:sz w:val="24"/>
          <w:szCs w:val="24"/>
        </w:rPr>
        <w:t xml:space="preserve"> firms.</w:t>
      </w:r>
    </w:p>
    <w:p w14:paraId="056370F9" w14:textId="119AE73F" w:rsidR="00E93676" w:rsidRPr="00D97714" w:rsidRDefault="00E93676" w:rsidP="00EA0ADA">
      <w:pPr>
        <w:widowControl w:val="0"/>
        <w:autoSpaceDE w:val="0"/>
        <w:autoSpaceDN w:val="0"/>
        <w:adjustRightInd w:val="0"/>
        <w:spacing w:after="240" w:line="300" w:lineRule="atLeast"/>
        <w:rPr>
          <w:rFonts w:ascii="Times New Roman" w:hAnsi="Times New Roman" w:cs="Times New Roman"/>
          <w:sz w:val="24"/>
          <w:szCs w:val="24"/>
        </w:rPr>
      </w:pPr>
      <w:r w:rsidRPr="00D97714">
        <w:rPr>
          <w:rFonts w:ascii="Times New Roman" w:hAnsi="Times New Roman" w:cs="Times New Roman"/>
          <w:sz w:val="24"/>
          <w:szCs w:val="24"/>
        </w:rPr>
        <w:t>JEL classification: G30, G34</w:t>
      </w:r>
    </w:p>
    <w:p w14:paraId="5F385185" w14:textId="7C7629D9" w:rsidR="00A5461D" w:rsidRPr="00D97714" w:rsidRDefault="00E93676">
      <w:pPr>
        <w:rPr>
          <w:rFonts w:ascii="Times New Roman" w:hAnsi="Times New Roman" w:cs="Times New Roman"/>
          <w:sz w:val="24"/>
          <w:szCs w:val="24"/>
        </w:rPr>
      </w:pPr>
      <w:r w:rsidRPr="00D97714">
        <w:rPr>
          <w:rFonts w:ascii="Times New Roman" w:hAnsi="Times New Roman" w:cs="Times New Roman"/>
          <w:sz w:val="24"/>
          <w:szCs w:val="24"/>
        </w:rPr>
        <w:t xml:space="preserve">Keywords: </w:t>
      </w:r>
      <w:r w:rsidR="004D2996" w:rsidRPr="00D97714">
        <w:rPr>
          <w:rFonts w:ascii="Times New Roman" w:hAnsi="Times New Roman" w:cs="Times New Roman"/>
          <w:sz w:val="24"/>
          <w:szCs w:val="24"/>
        </w:rPr>
        <w:t>Institutional ownership; Shareholder Activism; Spillovers; Shareholder Wealth; Operating Performance; Risks</w:t>
      </w:r>
      <w:r w:rsidRPr="00D97714">
        <w:rPr>
          <w:rFonts w:ascii="Times New Roman" w:hAnsi="Times New Roman" w:cs="Times New Roman"/>
          <w:sz w:val="24"/>
          <w:szCs w:val="24"/>
        </w:rPr>
        <w:t xml:space="preserve"> </w:t>
      </w:r>
    </w:p>
    <w:p w14:paraId="17F1E45C" w14:textId="77777777" w:rsidR="00AC5657" w:rsidRPr="00D97714" w:rsidRDefault="00AC5657" w:rsidP="00C23E84">
      <w:pPr>
        <w:rPr>
          <w:rFonts w:ascii="Times New Roman" w:hAnsi="Times New Roman" w:cs="Times New Roman"/>
          <w:b/>
          <w:sz w:val="24"/>
          <w:szCs w:val="24"/>
        </w:rPr>
      </w:pPr>
    </w:p>
    <w:p w14:paraId="35D2614F" w14:textId="77777777" w:rsidR="00AC5657" w:rsidRPr="00D97714" w:rsidRDefault="00AC5657" w:rsidP="00C23E84">
      <w:pPr>
        <w:rPr>
          <w:rFonts w:ascii="Times New Roman" w:hAnsi="Times New Roman" w:cs="Times New Roman"/>
          <w:b/>
          <w:sz w:val="24"/>
          <w:szCs w:val="24"/>
        </w:rPr>
      </w:pPr>
    </w:p>
    <w:p w14:paraId="75D85AE9" w14:textId="559CE87F" w:rsidR="0006068D" w:rsidRPr="00D97714" w:rsidRDefault="009548D9" w:rsidP="00C23E84">
      <w:pPr>
        <w:rPr>
          <w:rFonts w:ascii="Times New Roman" w:hAnsi="Times New Roman" w:cs="Times New Roman"/>
          <w:b/>
          <w:sz w:val="24"/>
          <w:szCs w:val="24"/>
        </w:rPr>
      </w:pPr>
      <w:r w:rsidRPr="00D97714">
        <w:rPr>
          <w:rFonts w:ascii="Times New Roman" w:hAnsi="Times New Roman" w:cs="Times New Roman"/>
          <w:b/>
          <w:sz w:val="24"/>
          <w:szCs w:val="24"/>
        </w:rPr>
        <w:br w:type="page"/>
      </w:r>
      <w:r w:rsidR="0006068D" w:rsidRPr="00D97714">
        <w:rPr>
          <w:rFonts w:ascii="Times New Roman" w:hAnsi="Times New Roman" w:cs="Times New Roman"/>
          <w:b/>
          <w:sz w:val="24"/>
          <w:szCs w:val="24"/>
        </w:rPr>
        <w:lastRenderedPageBreak/>
        <w:t>Introduction</w:t>
      </w:r>
    </w:p>
    <w:p w14:paraId="1BD9C432" w14:textId="39D01F46" w:rsidR="00E717A7" w:rsidRPr="00D97714" w:rsidRDefault="00E717A7" w:rsidP="00E717A7">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Shareholder activism represents the various actions taken </w:t>
      </w:r>
      <w:r w:rsidR="00975C7A" w:rsidRPr="00D97714">
        <w:rPr>
          <w:rFonts w:ascii="Times New Roman" w:hAnsi="Times New Roman" w:cs="Times New Roman"/>
          <w:sz w:val="24"/>
          <w:szCs w:val="24"/>
        </w:rPr>
        <w:t>by</w:t>
      </w:r>
      <w:r w:rsidRPr="00D97714">
        <w:rPr>
          <w:rFonts w:ascii="Times New Roman" w:hAnsi="Times New Roman" w:cs="Times New Roman"/>
          <w:sz w:val="24"/>
          <w:szCs w:val="24"/>
        </w:rPr>
        <w:t xml:space="preserve"> </w:t>
      </w:r>
      <w:r w:rsidR="00975C7A" w:rsidRPr="00D97714">
        <w:rPr>
          <w:rFonts w:ascii="Times New Roman" w:hAnsi="Times New Roman" w:cs="Times New Roman"/>
          <w:sz w:val="24"/>
          <w:szCs w:val="24"/>
        </w:rPr>
        <w:t>investors</w:t>
      </w:r>
      <w:r w:rsidRPr="00D97714">
        <w:rPr>
          <w:rFonts w:ascii="Times New Roman" w:hAnsi="Times New Roman" w:cs="Times New Roman"/>
          <w:sz w:val="24"/>
          <w:szCs w:val="24"/>
        </w:rPr>
        <w:t xml:space="preserve"> to force changes </w:t>
      </w:r>
      <w:r w:rsidR="00201B0B" w:rsidRPr="00D97714">
        <w:rPr>
          <w:rFonts w:ascii="Times New Roman" w:hAnsi="Times New Roman" w:cs="Times New Roman"/>
          <w:sz w:val="24"/>
          <w:szCs w:val="24"/>
        </w:rPr>
        <w:t>at an organization</w:t>
      </w:r>
      <w:r w:rsidR="003240CD" w:rsidRPr="00D97714">
        <w:rPr>
          <w:rFonts w:ascii="Times New Roman" w:hAnsi="Times New Roman" w:cs="Times New Roman"/>
          <w:sz w:val="24"/>
          <w:szCs w:val="24"/>
        </w:rPr>
        <w:t xml:space="preserve"> (</w:t>
      </w:r>
      <w:r w:rsidR="007570C9" w:rsidRPr="00D97714">
        <w:rPr>
          <w:rFonts w:ascii="Times New Roman" w:hAnsi="Times New Roman" w:cs="Times New Roman"/>
          <w:sz w:val="24"/>
          <w:szCs w:val="24"/>
        </w:rPr>
        <w:t>which we refer to as the target firm</w:t>
      </w:r>
      <w:r w:rsidR="003240CD" w:rsidRPr="00D97714">
        <w:rPr>
          <w:rFonts w:ascii="Times New Roman" w:hAnsi="Times New Roman" w:cs="Times New Roman"/>
          <w:sz w:val="24"/>
          <w:szCs w:val="24"/>
        </w:rPr>
        <w:t>)</w:t>
      </w:r>
      <w:r w:rsidRPr="00D97714">
        <w:rPr>
          <w:rFonts w:ascii="Times New Roman" w:hAnsi="Times New Roman" w:cs="Times New Roman"/>
          <w:sz w:val="24"/>
          <w:szCs w:val="24"/>
        </w:rPr>
        <w:t xml:space="preserve">. </w:t>
      </w:r>
      <w:r w:rsidR="006E70BD" w:rsidRPr="00D97714">
        <w:rPr>
          <w:rFonts w:ascii="Times New Roman" w:hAnsi="Times New Roman" w:cs="Times New Roman"/>
          <w:sz w:val="24"/>
          <w:szCs w:val="24"/>
        </w:rPr>
        <w:t xml:space="preserve">Activism campaigns are particularly important since they are intended to improve corporate performance and shareholder wealth. </w:t>
      </w:r>
      <w:r w:rsidR="007570C9" w:rsidRPr="00D97714">
        <w:rPr>
          <w:rFonts w:ascii="Times New Roman" w:hAnsi="Times New Roman" w:cs="Times New Roman"/>
          <w:sz w:val="24"/>
          <w:szCs w:val="24"/>
        </w:rPr>
        <w:t xml:space="preserve">Activists’ </w:t>
      </w:r>
      <w:r w:rsidR="008A0F50" w:rsidRPr="00D97714">
        <w:rPr>
          <w:rFonts w:ascii="Times New Roman" w:hAnsi="Times New Roman" w:cs="Times New Roman"/>
          <w:sz w:val="24"/>
          <w:szCs w:val="24"/>
        </w:rPr>
        <w:t xml:space="preserve">demands </w:t>
      </w:r>
      <w:r w:rsidR="00975C7A" w:rsidRPr="00D97714">
        <w:rPr>
          <w:rFonts w:ascii="Times New Roman" w:hAnsi="Times New Roman" w:cs="Times New Roman"/>
          <w:sz w:val="24"/>
          <w:szCs w:val="24"/>
        </w:rPr>
        <w:t xml:space="preserve">vary widely </w:t>
      </w:r>
      <w:r w:rsidR="007570C9" w:rsidRPr="00D97714">
        <w:rPr>
          <w:rFonts w:ascii="Times New Roman" w:hAnsi="Times New Roman" w:cs="Times New Roman"/>
          <w:sz w:val="24"/>
          <w:szCs w:val="24"/>
        </w:rPr>
        <w:t xml:space="preserve">ranging </w:t>
      </w:r>
      <w:r w:rsidR="00975C7A" w:rsidRPr="00D97714">
        <w:rPr>
          <w:rFonts w:ascii="Times New Roman" w:hAnsi="Times New Roman" w:cs="Times New Roman"/>
          <w:sz w:val="24"/>
          <w:szCs w:val="24"/>
        </w:rPr>
        <w:t xml:space="preserve">from the sale of the company </w:t>
      </w:r>
      <w:r w:rsidR="007570C9" w:rsidRPr="00D97714">
        <w:rPr>
          <w:rFonts w:ascii="Times New Roman" w:hAnsi="Times New Roman" w:cs="Times New Roman"/>
          <w:sz w:val="24"/>
          <w:szCs w:val="24"/>
        </w:rPr>
        <w:t xml:space="preserve">and/or </w:t>
      </w:r>
      <w:r w:rsidR="00975C7A" w:rsidRPr="00D97714">
        <w:rPr>
          <w:rFonts w:ascii="Times New Roman" w:hAnsi="Times New Roman" w:cs="Times New Roman"/>
          <w:sz w:val="24"/>
          <w:szCs w:val="24"/>
        </w:rPr>
        <w:t xml:space="preserve">share buybacks to management and corporate reorganizations </w:t>
      </w:r>
      <w:r w:rsidR="00C54EF6" w:rsidRPr="00D97714">
        <w:rPr>
          <w:rFonts w:ascii="Times New Roman" w:hAnsi="Times New Roman" w:cs="Times New Roman"/>
          <w:sz w:val="24"/>
          <w:szCs w:val="24"/>
        </w:rPr>
        <w:t xml:space="preserve">and </w:t>
      </w:r>
      <w:r w:rsidR="007570C9" w:rsidRPr="00D97714">
        <w:rPr>
          <w:rFonts w:ascii="Times New Roman" w:hAnsi="Times New Roman" w:cs="Times New Roman"/>
          <w:sz w:val="24"/>
          <w:szCs w:val="24"/>
        </w:rPr>
        <w:t>demanding seats on</w:t>
      </w:r>
      <w:r w:rsidR="00975C7A" w:rsidRPr="00D97714">
        <w:rPr>
          <w:rFonts w:ascii="Times New Roman" w:hAnsi="Times New Roman" w:cs="Times New Roman"/>
          <w:sz w:val="24"/>
          <w:szCs w:val="24"/>
        </w:rPr>
        <w:t xml:space="preserve"> corporate boards. </w:t>
      </w:r>
      <w:r w:rsidR="00C54EF6" w:rsidRPr="00D97714">
        <w:rPr>
          <w:rFonts w:ascii="Times New Roman" w:hAnsi="Times New Roman" w:cs="Times New Roman"/>
          <w:sz w:val="24"/>
          <w:szCs w:val="24"/>
        </w:rPr>
        <w:t>A</w:t>
      </w:r>
      <w:r w:rsidR="00F204F8" w:rsidRPr="00D97714">
        <w:rPr>
          <w:rFonts w:ascii="Times New Roman" w:hAnsi="Times New Roman" w:cs="Times New Roman"/>
          <w:sz w:val="24"/>
          <w:szCs w:val="24"/>
        </w:rPr>
        <w:t xml:space="preserve">ctivist investors </w:t>
      </w:r>
      <w:r w:rsidR="00C54EF6" w:rsidRPr="00D97714">
        <w:rPr>
          <w:rFonts w:ascii="Times New Roman" w:hAnsi="Times New Roman" w:cs="Times New Roman"/>
          <w:sz w:val="24"/>
          <w:szCs w:val="24"/>
        </w:rPr>
        <w:t>can be</w:t>
      </w:r>
      <w:r w:rsidR="00F204F8" w:rsidRPr="00D97714">
        <w:rPr>
          <w:rFonts w:ascii="Times New Roman" w:hAnsi="Times New Roman" w:cs="Times New Roman"/>
          <w:sz w:val="24"/>
          <w:szCs w:val="24"/>
        </w:rPr>
        <w:t xml:space="preserve"> </w:t>
      </w:r>
      <w:r w:rsidR="007570C9" w:rsidRPr="00D97714">
        <w:rPr>
          <w:rFonts w:ascii="Times New Roman" w:hAnsi="Times New Roman" w:cs="Times New Roman"/>
          <w:sz w:val="24"/>
          <w:szCs w:val="24"/>
        </w:rPr>
        <w:t xml:space="preserve">both </w:t>
      </w:r>
      <w:r w:rsidR="00F204F8" w:rsidRPr="00D97714">
        <w:rPr>
          <w:rFonts w:ascii="Times New Roman" w:hAnsi="Times New Roman" w:cs="Times New Roman"/>
          <w:sz w:val="24"/>
          <w:szCs w:val="24"/>
        </w:rPr>
        <w:t xml:space="preserve">public </w:t>
      </w:r>
      <w:r w:rsidR="007570C9" w:rsidRPr="00D97714">
        <w:rPr>
          <w:rFonts w:ascii="Times New Roman" w:hAnsi="Times New Roman" w:cs="Times New Roman"/>
          <w:sz w:val="24"/>
          <w:szCs w:val="24"/>
        </w:rPr>
        <w:t xml:space="preserve">and </w:t>
      </w:r>
      <w:r w:rsidR="00F204F8" w:rsidRPr="00D97714">
        <w:rPr>
          <w:rFonts w:ascii="Times New Roman" w:hAnsi="Times New Roman" w:cs="Times New Roman"/>
          <w:sz w:val="24"/>
          <w:szCs w:val="24"/>
        </w:rPr>
        <w:t xml:space="preserve">private institutions (e.g., CalPERS), </w:t>
      </w:r>
      <w:r w:rsidR="00C54EF6" w:rsidRPr="00D97714">
        <w:rPr>
          <w:rFonts w:ascii="Times New Roman" w:hAnsi="Times New Roman" w:cs="Times New Roman"/>
          <w:sz w:val="24"/>
          <w:szCs w:val="24"/>
        </w:rPr>
        <w:t xml:space="preserve">or </w:t>
      </w:r>
      <w:r w:rsidR="00F204F8" w:rsidRPr="00D97714">
        <w:rPr>
          <w:rFonts w:ascii="Times New Roman" w:hAnsi="Times New Roman" w:cs="Times New Roman"/>
          <w:sz w:val="24"/>
          <w:szCs w:val="24"/>
        </w:rPr>
        <w:t>individual investors (e.g., Carl Icahn)</w:t>
      </w:r>
      <w:r w:rsidR="007570C9" w:rsidRPr="00D97714">
        <w:rPr>
          <w:rFonts w:ascii="Times New Roman" w:hAnsi="Times New Roman" w:cs="Times New Roman"/>
          <w:sz w:val="24"/>
          <w:szCs w:val="24"/>
        </w:rPr>
        <w:t>, and they</w:t>
      </w:r>
      <w:r w:rsidR="00F204F8" w:rsidRPr="00D97714">
        <w:rPr>
          <w:rFonts w:ascii="Times New Roman" w:hAnsi="Times New Roman" w:cs="Times New Roman"/>
          <w:sz w:val="24"/>
          <w:szCs w:val="24"/>
        </w:rPr>
        <w:t xml:space="preserve"> </w:t>
      </w:r>
      <w:r w:rsidR="00F743C0" w:rsidRPr="00D97714">
        <w:rPr>
          <w:rFonts w:ascii="Times New Roman" w:hAnsi="Times New Roman" w:cs="Times New Roman"/>
          <w:sz w:val="24"/>
          <w:szCs w:val="24"/>
        </w:rPr>
        <w:t xml:space="preserve">tend to target underperforming firms (see Nesbitt (1994), Strickland </w:t>
      </w:r>
      <w:r w:rsidR="00F743C0" w:rsidRPr="00D97714">
        <w:rPr>
          <w:rFonts w:ascii="Times New Roman" w:hAnsi="Times New Roman" w:cs="Times New Roman"/>
          <w:i/>
          <w:sz w:val="24"/>
          <w:szCs w:val="24"/>
        </w:rPr>
        <w:t>et al</w:t>
      </w:r>
      <w:r w:rsidR="00F743C0" w:rsidRPr="00D97714">
        <w:rPr>
          <w:rFonts w:ascii="Times New Roman" w:hAnsi="Times New Roman" w:cs="Times New Roman"/>
          <w:sz w:val="24"/>
          <w:szCs w:val="24"/>
        </w:rPr>
        <w:t>. (1996)</w:t>
      </w:r>
      <w:r w:rsidR="00D10F4F" w:rsidRPr="00D97714">
        <w:rPr>
          <w:rFonts w:ascii="Times New Roman" w:hAnsi="Times New Roman" w:cs="Times New Roman"/>
          <w:sz w:val="24"/>
          <w:szCs w:val="24"/>
        </w:rPr>
        <w:t>,</w:t>
      </w:r>
      <w:r w:rsidR="00F743C0" w:rsidRPr="00D97714">
        <w:rPr>
          <w:rFonts w:ascii="Times New Roman" w:hAnsi="Times New Roman" w:cs="Times New Roman"/>
          <w:sz w:val="24"/>
          <w:szCs w:val="24"/>
        </w:rPr>
        <w:t xml:space="preserve"> Wahal (1996)</w:t>
      </w:r>
      <w:r w:rsidR="00D10F4F" w:rsidRPr="00D97714">
        <w:rPr>
          <w:rFonts w:ascii="Times New Roman" w:hAnsi="Times New Roman" w:cs="Times New Roman"/>
          <w:sz w:val="24"/>
          <w:szCs w:val="24"/>
        </w:rPr>
        <w:t>, Thomas and Cotter (2007)</w:t>
      </w:r>
      <w:r w:rsidR="00F743C0" w:rsidRPr="00D97714">
        <w:rPr>
          <w:rFonts w:ascii="Times New Roman" w:hAnsi="Times New Roman" w:cs="Times New Roman"/>
          <w:sz w:val="24"/>
          <w:szCs w:val="24"/>
        </w:rPr>
        <w:t xml:space="preserve"> for empirical evidence). </w:t>
      </w:r>
    </w:p>
    <w:p w14:paraId="0FC2F9F1" w14:textId="72DEDC1D" w:rsidR="00986D20" w:rsidRPr="00D97714" w:rsidRDefault="00986D20" w:rsidP="00B52D4D">
      <w:pPr>
        <w:spacing w:line="480" w:lineRule="auto"/>
        <w:rPr>
          <w:rFonts w:ascii="Times New Roman" w:hAnsi="Times New Roman" w:cs="Times New Roman"/>
          <w:sz w:val="24"/>
          <w:szCs w:val="24"/>
        </w:rPr>
      </w:pPr>
      <w:r w:rsidRPr="00D97714">
        <w:rPr>
          <w:rFonts w:ascii="Times New Roman" w:hAnsi="Times New Roman" w:cs="Times New Roman"/>
          <w:sz w:val="24"/>
          <w:szCs w:val="24"/>
        </w:rPr>
        <w:tab/>
      </w:r>
      <w:r w:rsidR="00D10F4F" w:rsidRPr="00D97714">
        <w:rPr>
          <w:rFonts w:ascii="Times New Roman" w:hAnsi="Times New Roman" w:cs="Times New Roman"/>
          <w:sz w:val="24"/>
          <w:szCs w:val="24"/>
        </w:rPr>
        <w:t xml:space="preserve">In this paper, we </w:t>
      </w:r>
      <w:r w:rsidR="00525A16" w:rsidRPr="00D97714">
        <w:rPr>
          <w:rFonts w:ascii="Times New Roman" w:hAnsi="Times New Roman" w:cs="Times New Roman"/>
          <w:sz w:val="24"/>
          <w:szCs w:val="24"/>
        </w:rPr>
        <w:t xml:space="preserve">examine the </w:t>
      </w:r>
      <w:r w:rsidR="00D10F4F" w:rsidRPr="00D97714">
        <w:rPr>
          <w:rFonts w:ascii="Times New Roman" w:hAnsi="Times New Roman" w:cs="Times New Roman"/>
          <w:sz w:val="24"/>
          <w:szCs w:val="24"/>
        </w:rPr>
        <w:t>spillover effect</w:t>
      </w:r>
      <w:r w:rsidR="00E54094" w:rsidRPr="00D97714">
        <w:rPr>
          <w:rFonts w:ascii="Times New Roman" w:hAnsi="Times New Roman" w:cs="Times New Roman"/>
          <w:sz w:val="24"/>
          <w:szCs w:val="24"/>
        </w:rPr>
        <w:t>s</w:t>
      </w:r>
      <w:r w:rsidR="00525A16" w:rsidRPr="00D97714">
        <w:rPr>
          <w:rFonts w:ascii="Times New Roman" w:hAnsi="Times New Roman" w:cs="Times New Roman"/>
          <w:sz w:val="24"/>
          <w:szCs w:val="24"/>
        </w:rPr>
        <w:t xml:space="preserve"> of shareholder activism</w:t>
      </w:r>
      <w:r w:rsidR="00D10F4F" w:rsidRPr="00D97714">
        <w:rPr>
          <w:rFonts w:ascii="Times New Roman" w:hAnsi="Times New Roman" w:cs="Times New Roman"/>
          <w:sz w:val="24"/>
          <w:szCs w:val="24"/>
        </w:rPr>
        <w:t xml:space="preserve"> </w:t>
      </w:r>
      <w:r w:rsidR="00525A16" w:rsidRPr="00D97714">
        <w:rPr>
          <w:rFonts w:ascii="Times New Roman" w:hAnsi="Times New Roman" w:cs="Times New Roman"/>
          <w:sz w:val="24"/>
          <w:szCs w:val="24"/>
        </w:rPr>
        <w:t xml:space="preserve">campaigns at </w:t>
      </w:r>
      <w:r w:rsidR="00D10F4F" w:rsidRPr="00D97714">
        <w:rPr>
          <w:rFonts w:ascii="Times New Roman" w:hAnsi="Times New Roman" w:cs="Times New Roman"/>
          <w:sz w:val="24"/>
          <w:szCs w:val="24"/>
        </w:rPr>
        <w:t>non-targeted</w:t>
      </w:r>
      <w:r w:rsidR="00DD7956" w:rsidRPr="00D97714">
        <w:rPr>
          <w:rFonts w:ascii="Times New Roman" w:hAnsi="Times New Roman" w:cs="Times New Roman"/>
          <w:sz w:val="24"/>
          <w:szCs w:val="24"/>
        </w:rPr>
        <w:t xml:space="preserve"> firms</w:t>
      </w:r>
      <w:r w:rsidR="007570C9" w:rsidRPr="00D97714">
        <w:rPr>
          <w:rFonts w:ascii="Times New Roman" w:hAnsi="Times New Roman" w:cs="Times New Roman"/>
          <w:sz w:val="24"/>
          <w:szCs w:val="24"/>
        </w:rPr>
        <w:t>,</w:t>
      </w:r>
      <w:r w:rsidR="00B06F6B" w:rsidRPr="00D97714">
        <w:rPr>
          <w:rFonts w:ascii="Times New Roman" w:hAnsi="Times New Roman" w:cs="Times New Roman"/>
          <w:sz w:val="24"/>
          <w:szCs w:val="24"/>
        </w:rPr>
        <w:t xml:space="preserve"> </w:t>
      </w:r>
      <w:r w:rsidR="007570C9" w:rsidRPr="00D97714">
        <w:rPr>
          <w:rFonts w:ascii="Times New Roman" w:hAnsi="Times New Roman" w:cs="Times New Roman"/>
          <w:sz w:val="24"/>
          <w:szCs w:val="24"/>
        </w:rPr>
        <w:t xml:space="preserve">which </w:t>
      </w:r>
      <w:r w:rsidR="00B06F6B" w:rsidRPr="00D97714">
        <w:rPr>
          <w:rFonts w:ascii="Times New Roman" w:hAnsi="Times New Roman" w:cs="Times New Roman"/>
          <w:sz w:val="24"/>
          <w:szCs w:val="24"/>
        </w:rPr>
        <w:t>share the same institutional ownership and size characteristics</w:t>
      </w:r>
      <w:r w:rsidR="007570C9" w:rsidRPr="00D97714">
        <w:rPr>
          <w:rFonts w:ascii="Times New Roman" w:hAnsi="Times New Roman" w:cs="Times New Roman"/>
          <w:sz w:val="24"/>
          <w:szCs w:val="24"/>
        </w:rPr>
        <w:t xml:space="preserve"> as the target firms</w:t>
      </w:r>
      <w:r w:rsidR="00B06F6B" w:rsidRPr="00D97714">
        <w:rPr>
          <w:rFonts w:ascii="Times New Roman" w:hAnsi="Times New Roman" w:cs="Times New Roman"/>
          <w:sz w:val="24"/>
          <w:szCs w:val="24"/>
        </w:rPr>
        <w:t xml:space="preserve">. </w:t>
      </w:r>
      <w:r w:rsidRPr="00D97714">
        <w:rPr>
          <w:rFonts w:ascii="Times New Roman" w:hAnsi="Times New Roman" w:cs="Times New Roman"/>
          <w:sz w:val="24"/>
          <w:szCs w:val="24"/>
        </w:rPr>
        <w:t xml:space="preserve">We specifically focus on firms with existing high level of insider ownership because of the imminent threat of these firms to </w:t>
      </w:r>
      <w:r w:rsidR="007570C9" w:rsidRPr="00D97714">
        <w:rPr>
          <w:rFonts w:ascii="Times New Roman" w:hAnsi="Times New Roman" w:cs="Times New Roman"/>
          <w:sz w:val="24"/>
          <w:szCs w:val="24"/>
        </w:rPr>
        <w:t>become targets</w:t>
      </w:r>
      <w:r w:rsidRPr="00D97714">
        <w:rPr>
          <w:rFonts w:ascii="Times New Roman" w:hAnsi="Times New Roman" w:cs="Times New Roman"/>
          <w:sz w:val="24"/>
          <w:szCs w:val="24"/>
        </w:rPr>
        <w:t xml:space="preserve">. </w:t>
      </w:r>
      <w:r w:rsidR="002B0838" w:rsidRPr="00D97714">
        <w:rPr>
          <w:rFonts w:ascii="Times New Roman" w:hAnsi="Times New Roman" w:cs="Times New Roman"/>
          <w:sz w:val="24"/>
          <w:szCs w:val="24"/>
        </w:rPr>
        <w:t>PricewaterhouseCoopers suggests that a firm is most vulnerable to activist attacks when institutional investors accumulate a vast majority of the firm shares.</w:t>
      </w:r>
      <w:r w:rsidR="002B0838" w:rsidRPr="00D97714">
        <w:rPr>
          <w:rStyle w:val="FootnoteReference"/>
          <w:rFonts w:ascii="Times New Roman" w:hAnsi="Times New Roman" w:cs="Times New Roman"/>
          <w:sz w:val="24"/>
          <w:szCs w:val="24"/>
        </w:rPr>
        <w:footnoteReference w:id="1"/>
      </w:r>
      <w:r w:rsidR="002B0838" w:rsidRPr="00D97714">
        <w:rPr>
          <w:rFonts w:ascii="Times New Roman" w:hAnsi="Times New Roman" w:cs="Times New Roman"/>
          <w:sz w:val="24"/>
          <w:szCs w:val="24"/>
        </w:rPr>
        <w:t xml:space="preserve"> Such </w:t>
      </w:r>
      <w:r w:rsidR="00525A16" w:rsidRPr="00D97714">
        <w:rPr>
          <w:rFonts w:ascii="Times New Roman" w:hAnsi="Times New Roman" w:cs="Times New Roman"/>
          <w:sz w:val="24"/>
          <w:szCs w:val="24"/>
        </w:rPr>
        <w:t xml:space="preserve">high </w:t>
      </w:r>
      <w:r w:rsidR="002B0838" w:rsidRPr="00D97714">
        <w:rPr>
          <w:rFonts w:ascii="Times New Roman" w:hAnsi="Times New Roman" w:cs="Times New Roman"/>
          <w:sz w:val="24"/>
          <w:szCs w:val="24"/>
        </w:rPr>
        <w:t xml:space="preserve">level of ownership not only creates an incentive but also empowers these institutional investors to be more active in monitoring and interfering in the firm management. </w:t>
      </w:r>
      <w:r w:rsidRPr="00D97714">
        <w:rPr>
          <w:rFonts w:ascii="Times New Roman" w:hAnsi="Times New Roman" w:cs="Times New Roman"/>
          <w:sz w:val="24"/>
          <w:szCs w:val="24"/>
        </w:rPr>
        <w:t>Besides, SEC regulations require institutional investors to vote their shares on all proxy issues, which further reinforce</w:t>
      </w:r>
      <w:r w:rsidR="000C4DB6" w:rsidRPr="00D97714">
        <w:rPr>
          <w:rFonts w:ascii="Times New Roman" w:hAnsi="Times New Roman" w:cs="Times New Roman"/>
          <w:sz w:val="24"/>
          <w:szCs w:val="24"/>
        </w:rPr>
        <w:t>s</w:t>
      </w:r>
      <w:r w:rsidRPr="00D97714">
        <w:rPr>
          <w:rFonts w:ascii="Times New Roman" w:hAnsi="Times New Roman" w:cs="Times New Roman"/>
          <w:sz w:val="24"/>
          <w:szCs w:val="24"/>
        </w:rPr>
        <w:t xml:space="preserve"> their position. </w:t>
      </w:r>
      <w:r w:rsidR="00FC3980" w:rsidRPr="00D97714">
        <w:rPr>
          <w:rFonts w:ascii="Times New Roman" w:hAnsi="Times New Roman" w:cs="Times New Roman"/>
          <w:sz w:val="24"/>
          <w:szCs w:val="24"/>
        </w:rPr>
        <w:t>The presence of institutional owners</w:t>
      </w:r>
      <w:r w:rsidR="006E406C" w:rsidRPr="00D97714">
        <w:rPr>
          <w:rFonts w:ascii="Times New Roman" w:hAnsi="Times New Roman" w:cs="Times New Roman"/>
          <w:sz w:val="24"/>
          <w:szCs w:val="24"/>
        </w:rPr>
        <w:t xml:space="preserve"> </w:t>
      </w:r>
      <w:r w:rsidR="007570C9" w:rsidRPr="00D97714">
        <w:rPr>
          <w:rFonts w:ascii="Times New Roman" w:hAnsi="Times New Roman" w:cs="Times New Roman"/>
          <w:sz w:val="24"/>
          <w:szCs w:val="24"/>
        </w:rPr>
        <w:t xml:space="preserve">at </w:t>
      </w:r>
      <w:r w:rsidR="006E406C" w:rsidRPr="00D97714">
        <w:rPr>
          <w:rFonts w:ascii="Times New Roman" w:hAnsi="Times New Roman" w:cs="Times New Roman"/>
          <w:sz w:val="24"/>
          <w:szCs w:val="24"/>
        </w:rPr>
        <w:t xml:space="preserve">non-targeted firms </w:t>
      </w:r>
      <w:r w:rsidR="007570C9" w:rsidRPr="00D97714">
        <w:rPr>
          <w:rFonts w:ascii="Times New Roman" w:hAnsi="Times New Roman" w:cs="Times New Roman"/>
          <w:sz w:val="24"/>
          <w:szCs w:val="24"/>
        </w:rPr>
        <w:t xml:space="preserve">increases the likelihood that they could be subject to activists’ demands. </w:t>
      </w:r>
      <w:r w:rsidR="009D1CD1" w:rsidRPr="00D97714">
        <w:rPr>
          <w:rFonts w:ascii="Times New Roman" w:hAnsi="Times New Roman" w:cs="Times New Roman"/>
          <w:sz w:val="24"/>
          <w:szCs w:val="24"/>
        </w:rPr>
        <w:t>The</w:t>
      </w:r>
      <w:r w:rsidR="007570C9" w:rsidRPr="00D97714">
        <w:rPr>
          <w:rFonts w:ascii="Times New Roman" w:hAnsi="Times New Roman" w:cs="Times New Roman"/>
          <w:sz w:val="24"/>
          <w:szCs w:val="24"/>
        </w:rPr>
        <w:t xml:space="preserve"> threat</w:t>
      </w:r>
      <w:r w:rsidR="006E406C" w:rsidRPr="00D97714">
        <w:rPr>
          <w:rFonts w:ascii="Times New Roman" w:hAnsi="Times New Roman" w:cs="Times New Roman"/>
          <w:sz w:val="24"/>
          <w:szCs w:val="24"/>
        </w:rPr>
        <w:t xml:space="preserve"> </w:t>
      </w:r>
      <w:r w:rsidR="00FC3980" w:rsidRPr="00D97714">
        <w:rPr>
          <w:rFonts w:ascii="Times New Roman" w:hAnsi="Times New Roman" w:cs="Times New Roman"/>
          <w:sz w:val="24"/>
          <w:szCs w:val="24"/>
        </w:rPr>
        <w:t>prompts managers</w:t>
      </w:r>
      <w:r w:rsidR="006E406C" w:rsidRPr="00D97714">
        <w:rPr>
          <w:rFonts w:ascii="Times New Roman" w:hAnsi="Times New Roman" w:cs="Times New Roman"/>
          <w:sz w:val="24"/>
          <w:szCs w:val="24"/>
        </w:rPr>
        <w:t xml:space="preserve"> of these non-targeted firms</w:t>
      </w:r>
      <w:r w:rsidR="00FC3980" w:rsidRPr="00D97714">
        <w:rPr>
          <w:rFonts w:ascii="Times New Roman" w:hAnsi="Times New Roman" w:cs="Times New Roman"/>
          <w:sz w:val="24"/>
          <w:szCs w:val="24"/>
        </w:rPr>
        <w:t xml:space="preserve"> to take actions to </w:t>
      </w:r>
      <w:r w:rsidR="00465E72" w:rsidRPr="00D97714">
        <w:rPr>
          <w:rFonts w:ascii="Times New Roman" w:hAnsi="Times New Roman" w:cs="Times New Roman"/>
          <w:sz w:val="24"/>
          <w:szCs w:val="24"/>
        </w:rPr>
        <w:t>reduce</w:t>
      </w:r>
      <w:r w:rsidR="00FC3980" w:rsidRPr="00D97714">
        <w:rPr>
          <w:rFonts w:ascii="Times New Roman" w:hAnsi="Times New Roman" w:cs="Times New Roman"/>
          <w:sz w:val="24"/>
          <w:szCs w:val="24"/>
        </w:rPr>
        <w:t xml:space="preserve"> the prospects of </w:t>
      </w:r>
      <w:r w:rsidR="009D1CD1" w:rsidRPr="00D97714">
        <w:rPr>
          <w:rFonts w:ascii="Times New Roman" w:hAnsi="Times New Roman" w:cs="Times New Roman"/>
          <w:sz w:val="24"/>
          <w:szCs w:val="24"/>
        </w:rPr>
        <w:t>a taxing</w:t>
      </w:r>
      <w:r w:rsidR="00FC3980" w:rsidRPr="00D97714">
        <w:rPr>
          <w:rFonts w:ascii="Times New Roman" w:hAnsi="Times New Roman" w:cs="Times New Roman"/>
          <w:sz w:val="24"/>
          <w:szCs w:val="24"/>
        </w:rPr>
        <w:t xml:space="preserve"> </w:t>
      </w:r>
      <w:r w:rsidR="006E406C" w:rsidRPr="00D97714">
        <w:rPr>
          <w:rFonts w:ascii="Times New Roman" w:hAnsi="Times New Roman" w:cs="Times New Roman"/>
          <w:sz w:val="24"/>
          <w:szCs w:val="24"/>
        </w:rPr>
        <w:t xml:space="preserve">future </w:t>
      </w:r>
      <w:r w:rsidR="00FC3980" w:rsidRPr="00D97714">
        <w:rPr>
          <w:rFonts w:ascii="Times New Roman" w:hAnsi="Times New Roman" w:cs="Times New Roman"/>
          <w:sz w:val="24"/>
          <w:szCs w:val="24"/>
        </w:rPr>
        <w:t xml:space="preserve">activist campaign. </w:t>
      </w:r>
    </w:p>
    <w:p w14:paraId="652DD0F6" w14:textId="2C693B73" w:rsidR="00986D20" w:rsidRPr="00D97714" w:rsidRDefault="00B06F6B">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lastRenderedPageBreak/>
        <w:t xml:space="preserve">We use the </w:t>
      </w:r>
      <w:r w:rsidR="00465E72" w:rsidRPr="00D97714">
        <w:rPr>
          <w:rFonts w:ascii="Times New Roman" w:hAnsi="Times New Roman" w:cs="Times New Roman"/>
          <w:i/>
          <w:sz w:val="24"/>
          <w:szCs w:val="24"/>
        </w:rPr>
        <w:t xml:space="preserve">Thomson Reuters Shareholder Activism Intelligence </w:t>
      </w:r>
      <w:r w:rsidR="00465E72" w:rsidRPr="00D97714">
        <w:rPr>
          <w:rFonts w:ascii="Times New Roman" w:hAnsi="Times New Roman" w:cs="Times New Roman"/>
          <w:sz w:val="24"/>
          <w:szCs w:val="24"/>
        </w:rPr>
        <w:t>(TRSAI)</w:t>
      </w:r>
      <w:r w:rsidRPr="00D97714">
        <w:rPr>
          <w:rFonts w:ascii="Times New Roman" w:hAnsi="Times New Roman" w:cs="Times New Roman"/>
          <w:sz w:val="24"/>
          <w:szCs w:val="24"/>
        </w:rPr>
        <w:t xml:space="preserve"> database to identify announcement dates of shareholder activism events at U.S. publicly traded firms between 2000 and 2010. We consider the effects of shareholder activism on portfolios of </w:t>
      </w:r>
      <w:r w:rsidR="00903E10" w:rsidRPr="00D97714">
        <w:rPr>
          <w:rFonts w:ascii="Times New Roman" w:hAnsi="Times New Roman" w:cs="Times New Roman"/>
          <w:sz w:val="24"/>
          <w:szCs w:val="24"/>
        </w:rPr>
        <w:t>non-targeted</w:t>
      </w:r>
      <w:r w:rsidRPr="00D97714">
        <w:rPr>
          <w:rFonts w:ascii="Times New Roman" w:hAnsi="Times New Roman" w:cs="Times New Roman"/>
          <w:sz w:val="24"/>
          <w:szCs w:val="24"/>
        </w:rPr>
        <w:t xml:space="preserve"> firms matched on institutional ownership </w:t>
      </w:r>
      <w:r w:rsidR="00986D20" w:rsidRPr="00D97714">
        <w:rPr>
          <w:rFonts w:ascii="Times New Roman" w:hAnsi="Times New Roman" w:cs="Times New Roman"/>
          <w:sz w:val="24"/>
          <w:szCs w:val="24"/>
        </w:rPr>
        <w:t xml:space="preserve">level </w:t>
      </w:r>
      <w:r w:rsidRPr="00D97714">
        <w:rPr>
          <w:rFonts w:ascii="Times New Roman" w:hAnsi="Times New Roman" w:cs="Times New Roman"/>
          <w:sz w:val="24"/>
          <w:szCs w:val="24"/>
        </w:rPr>
        <w:t xml:space="preserve">and size. </w:t>
      </w:r>
      <w:r w:rsidR="00A945A0" w:rsidRPr="00D97714">
        <w:rPr>
          <w:rFonts w:ascii="Times New Roman" w:hAnsi="Times New Roman" w:cs="Times New Roman"/>
          <w:sz w:val="24"/>
          <w:szCs w:val="24"/>
        </w:rPr>
        <w:t xml:space="preserve">Our main findings are as follows. </w:t>
      </w:r>
      <w:r w:rsidR="00DB0615" w:rsidRPr="00D97714">
        <w:rPr>
          <w:rFonts w:ascii="Times New Roman" w:hAnsi="Times New Roman" w:cs="Times New Roman"/>
          <w:sz w:val="24"/>
          <w:szCs w:val="24"/>
        </w:rPr>
        <w:t>Similar to</w:t>
      </w:r>
      <w:r w:rsidR="00986D20" w:rsidRPr="00D97714">
        <w:rPr>
          <w:rFonts w:ascii="Times New Roman" w:hAnsi="Times New Roman" w:cs="Times New Roman"/>
          <w:sz w:val="24"/>
          <w:szCs w:val="24"/>
        </w:rPr>
        <w:t xml:space="preserve"> t</w:t>
      </w:r>
      <w:r w:rsidR="00A945A0" w:rsidRPr="00D97714">
        <w:rPr>
          <w:rFonts w:ascii="Times New Roman" w:hAnsi="Times New Roman" w:cs="Times New Roman"/>
          <w:sz w:val="24"/>
          <w:szCs w:val="24"/>
        </w:rPr>
        <w:t xml:space="preserve">argeted firms </w:t>
      </w:r>
      <w:r w:rsidR="00986D20" w:rsidRPr="00D97714">
        <w:rPr>
          <w:rFonts w:ascii="Times New Roman" w:hAnsi="Times New Roman" w:cs="Times New Roman"/>
          <w:sz w:val="24"/>
          <w:szCs w:val="24"/>
        </w:rPr>
        <w:t xml:space="preserve">which </w:t>
      </w:r>
      <w:r w:rsidR="00A945A0" w:rsidRPr="00D97714">
        <w:rPr>
          <w:rFonts w:ascii="Times New Roman" w:hAnsi="Times New Roman" w:cs="Times New Roman"/>
          <w:sz w:val="24"/>
          <w:szCs w:val="24"/>
        </w:rPr>
        <w:t>experience significant short-term positive stock market reaction upon announcement</w:t>
      </w:r>
      <w:r w:rsidR="00674CD4" w:rsidRPr="00D97714">
        <w:rPr>
          <w:rFonts w:ascii="Times New Roman" w:hAnsi="Times New Roman" w:cs="Times New Roman"/>
          <w:sz w:val="24"/>
          <w:szCs w:val="24"/>
        </w:rPr>
        <w:t>s</w:t>
      </w:r>
      <w:r w:rsidR="00A945A0" w:rsidRPr="00D97714">
        <w:rPr>
          <w:rFonts w:ascii="Times New Roman" w:hAnsi="Times New Roman" w:cs="Times New Roman"/>
          <w:sz w:val="24"/>
          <w:szCs w:val="24"/>
        </w:rPr>
        <w:t xml:space="preserve"> of shareholder activism</w:t>
      </w:r>
      <w:r w:rsidR="00674CD4" w:rsidRPr="00D97714">
        <w:rPr>
          <w:rFonts w:ascii="Times New Roman" w:hAnsi="Times New Roman" w:cs="Times New Roman"/>
          <w:sz w:val="24"/>
          <w:szCs w:val="24"/>
        </w:rPr>
        <w:t xml:space="preserve">, </w:t>
      </w:r>
      <w:r w:rsidR="00986D20" w:rsidRPr="00D97714">
        <w:rPr>
          <w:rFonts w:ascii="Times New Roman" w:hAnsi="Times New Roman" w:cs="Times New Roman"/>
          <w:sz w:val="24"/>
          <w:szCs w:val="24"/>
        </w:rPr>
        <w:t>t</w:t>
      </w:r>
      <w:r w:rsidR="00D10F4F" w:rsidRPr="00D97714">
        <w:rPr>
          <w:rFonts w:ascii="Times New Roman" w:hAnsi="Times New Roman" w:cs="Times New Roman"/>
          <w:sz w:val="24"/>
          <w:szCs w:val="24"/>
        </w:rPr>
        <w:t>he</w:t>
      </w:r>
      <w:r w:rsidR="00A945A0" w:rsidRPr="00D97714">
        <w:rPr>
          <w:rFonts w:ascii="Times New Roman" w:hAnsi="Times New Roman" w:cs="Times New Roman"/>
          <w:sz w:val="24"/>
          <w:szCs w:val="24"/>
        </w:rPr>
        <w:t xml:space="preserve"> portfolios of the </w:t>
      </w:r>
      <w:r w:rsidR="00986D20" w:rsidRPr="00D97714">
        <w:rPr>
          <w:rFonts w:ascii="Times New Roman" w:hAnsi="Times New Roman" w:cs="Times New Roman"/>
          <w:sz w:val="24"/>
          <w:szCs w:val="24"/>
        </w:rPr>
        <w:t>matching</w:t>
      </w:r>
      <w:r w:rsidR="00A945A0" w:rsidRPr="00D97714">
        <w:rPr>
          <w:rFonts w:ascii="Times New Roman" w:hAnsi="Times New Roman" w:cs="Times New Roman"/>
          <w:sz w:val="24"/>
          <w:szCs w:val="24"/>
        </w:rPr>
        <w:t xml:space="preserve"> </w:t>
      </w:r>
      <w:r w:rsidR="00903E10" w:rsidRPr="00D97714">
        <w:rPr>
          <w:rFonts w:ascii="Times New Roman" w:hAnsi="Times New Roman" w:cs="Times New Roman"/>
          <w:sz w:val="24"/>
          <w:szCs w:val="24"/>
        </w:rPr>
        <w:t>non-targeted</w:t>
      </w:r>
      <w:r w:rsidR="00A945A0" w:rsidRPr="00D97714">
        <w:rPr>
          <w:rFonts w:ascii="Times New Roman" w:hAnsi="Times New Roman" w:cs="Times New Roman"/>
          <w:sz w:val="24"/>
          <w:szCs w:val="24"/>
        </w:rPr>
        <w:t xml:space="preserve"> firms </w:t>
      </w:r>
      <w:r w:rsidR="00674CD4" w:rsidRPr="00D97714">
        <w:rPr>
          <w:rFonts w:ascii="Times New Roman" w:hAnsi="Times New Roman" w:cs="Times New Roman"/>
          <w:sz w:val="24"/>
          <w:szCs w:val="24"/>
        </w:rPr>
        <w:t>experience similar positive abnormal stock returns</w:t>
      </w:r>
      <w:r w:rsidR="00A945A0" w:rsidRPr="00D97714">
        <w:rPr>
          <w:rFonts w:ascii="Times New Roman" w:hAnsi="Times New Roman" w:cs="Times New Roman"/>
          <w:sz w:val="24"/>
          <w:szCs w:val="24"/>
        </w:rPr>
        <w:t xml:space="preserve">. </w:t>
      </w:r>
      <w:r w:rsidR="00D30753" w:rsidRPr="00D97714">
        <w:rPr>
          <w:rFonts w:ascii="Times New Roman" w:hAnsi="Times New Roman" w:cs="Times New Roman"/>
          <w:sz w:val="24"/>
          <w:szCs w:val="24"/>
        </w:rPr>
        <w:t xml:space="preserve">The wealth effect is </w:t>
      </w:r>
      <w:r w:rsidR="00674CD4" w:rsidRPr="00D97714">
        <w:rPr>
          <w:rFonts w:ascii="Times New Roman" w:hAnsi="Times New Roman" w:cs="Times New Roman"/>
          <w:sz w:val="24"/>
          <w:szCs w:val="24"/>
        </w:rPr>
        <w:t xml:space="preserve">stronger among firms with </w:t>
      </w:r>
      <w:r w:rsidR="00394FAD" w:rsidRPr="00D97714">
        <w:rPr>
          <w:rFonts w:ascii="Times New Roman" w:hAnsi="Times New Roman" w:cs="Times New Roman"/>
          <w:sz w:val="24"/>
          <w:szCs w:val="24"/>
        </w:rPr>
        <w:t xml:space="preserve">a </w:t>
      </w:r>
      <w:r w:rsidR="00674CD4" w:rsidRPr="00D97714">
        <w:rPr>
          <w:rFonts w:ascii="Times New Roman" w:hAnsi="Times New Roman" w:cs="Times New Roman"/>
          <w:sz w:val="24"/>
          <w:szCs w:val="24"/>
        </w:rPr>
        <w:t>higher</w:t>
      </w:r>
      <w:r w:rsidR="00D30753" w:rsidRPr="00D97714">
        <w:rPr>
          <w:rFonts w:ascii="Times New Roman" w:hAnsi="Times New Roman" w:cs="Times New Roman"/>
          <w:sz w:val="24"/>
          <w:szCs w:val="24"/>
        </w:rPr>
        <w:t xml:space="preserve"> proportion of shares held by institutional owners </w:t>
      </w:r>
      <w:r w:rsidR="00674CD4" w:rsidRPr="00D97714">
        <w:rPr>
          <w:rFonts w:ascii="Times New Roman" w:hAnsi="Times New Roman" w:cs="Times New Roman"/>
          <w:sz w:val="24"/>
          <w:szCs w:val="24"/>
        </w:rPr>
        <w:t xml:space="preserve">and weaker </w:t>
      </w:r>
      <w:r w:rsidR="00664ADE" w:rsidRPr="00D97714">
        <w:rPr>
          <w:rFonts w:ascii="Times New Roman" w:hAnsi="Times New Roman" w:cs="Times New Roman"/>
          <w:sz w:val="24"/>
          <w:szCs w:val="24"/>
        </w:rPr>
        <w:t>at firms that are already profitable.</w:t>
      </w:r>
      <w:r w:rsidR="00674CD4" w:rsidRPr="00D97714">
        <w:rPr>
          <w:rFonts w:ascii="Times New Roman" w:hAnsi="Times New Roman" w:cs="Times New Roman"/>
          <w:sz w:val="24"/>
          <w:szCs w:val="24"/>
        </w:rPr>
        <w:t xml:space="preserve"> </w:t>
      </w:r>
    </w:p>
    <w:p w14:paraId="4D9891CA" w14:textId="4A295620" w:rsidR="00A945A0" w:rsidRPr="00D97714" w:rsidRDefault="00A945A0">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Non-targeted firms’ profitability and payout ratios improve </w:t>
      </w:r>
      <w:r w:rsidR="00394FAD" w:rsidRPr="00D97714">
        <w:rPr>
          <w:rFonts w:ascii="Times New Roman" w:hAnsi="Times New Roman" w:cs="Times New Roman"/>
          <w:sz w:val="24"/>
          <w:szCs w:val="24"/>
        </w:rPr>
        <w:t>significantly following</w:t>
      </w:r>
      <w:r w:rsidRPr="00D97714">
        <w:rPr>
          <w:rFonts w:ascii="Times New Roman" w:hAnsi="Times New Roman" w:cs="Times New Roman"/>
          <w:sz w:val="24"/>
          <w:szCs w:val="24"/>
        </w:rPr>
        <w:t xml:space="preserve"> the announcements. Simultaneously, </w:t>
      </w:r>
      <w:r w:rsidR="00D30753" w:rsidRPr="00D97714">
        <w:rPr>
          <w:rFonts w:ascii="Times New Roman" w:hAnsi="Times New Roman" w:cs="Times New Roman"/>
          <w:sz w:val="24"/>
          <w:szCs w:val="24"/>
        </w:rPr>
        <w:t>these firms</w:t>
      </w:r>
      <w:r w:rsidRPr="00D97714">
        <w:rPr>
          <w:rFonts w:ascii="Times New Roman" w:hAnsi="Times New Roman" w:cs="Times New Roman"/>
          <w:sz w:val="24"/>
          <w:szCs w:val="24"/>
        </w:rPr>
        <w:t xml:space="preserve"> </w:t>
      </w:r>
      <w:r w:rsidR="00DB0615" w:rsidRPr="00D97714">
        <w:rPr>
          <w:rFonts w:ascii="Times New Roman" w:hAnsi="Times New Roman" w:cs="Times New Roman"/>
          <w:sz w:val="24"/>
          <w:szCs w:val="24"/>
        </w:rPr>
        <w:t>decrease their</w:t>
      </w:r>
      <w:r w:rsidR="00386188" w:rsidRPr="00D97714">
        <w:rPr>
          <w:rFonts w:ascii="Times New Roman" w:hAnsi="Times New Roman" w:cs="Times New Roman"/>
          <w:sz w:val="24"/>
          <w:szCs w:val="24"/>
        </w:rPr>
        <w:t xml:space="preserve"> operating and </w:t>
      </w:r>
      <w:r w:rsidRPr="00D97714">
        <w:rPr>
          <w:rFonts w:ascii="Times New Roman" w:hAnsi="Times New Roman" w:cs="Times New Roman"/>
          <w:sz w:val="24"/>
          <w:szCs w:val="24"/>
        </w:rPr>
        <w:t xml:space="preserve">capital expenditures </w:t>
      </w:r>
      <w:r w:rsidR="00225BAD" w:rsidRPr="00D97714">
        <w:rPr>
          <w:rFonts w:ascii="Times New Roman" w:hAnsi="Times New Roman" w:cs="Times New Roman"/>
          <w:sz w:val="24"/>
          <w:szCs w:val="24"/>
        </w:rPr>
        <w:t>and</w:t>
      </w:r>
      <w:r w:rsidRPr="00D97714">
        <w:rPr>
          <w:rFonts w:ascii="Times New Roman" w:hAnsi="Times New Roman" w:cs="Times New Roman"/>
          <w:sz w:val="24"/>
          <w:szCs w:val="24"/>
        </w:rPr>
        <w:t xml:space="preserve"> </w:t>
      </w:r>
      <w:r w:rsidR="00DB0615" w:rsidRPr="00D97714">
        <w:rPr>
          <w:rFonts w:ascii="Times New Roman" w:hAnsi="Times New Roman" w:cs="Times New Roman"/>
          <w:sz w:val="24"/>
          <w:szCs w:val="24"/>
        </w:rPr>
        <w:t xml:space="preserve">hold lower </w:t>
      </w:r>
      <w:r w:rsidRPr="00D97714">
        <w:rPr>
          <w:rFonts w:ascii="Times New Roman" w:hAnsi="Times New Roman" w:cs="Times New Roman"/>
          <w:sz w:val="24"/>
          <w:szCs w:val="24"/>
        </w:rPr>
        <w:t>cash balances.</w:t>
      </w:r>
      <w:r w:rsidR="00664ADE" w:rsidRPr="00D97714">
        <w:rPr>
          <w:rFonts w:ascii="Times New Roman" w:hAnsi="Times New Roman" w:cs="Times New Roman"/>
          <w:sz w:val="24"/>
          <w:szCs w:val="24"/>
        </w:rPr>
        <w:t xml:space="preserve"> </w:t>
      </w:r>
      <w:r w:rsidR="00986D20" w:rsidRPr="00D97714">
        <w:rPr>
          <w:rFonts w:ascii="Times New Roman" w:hAnsi="Times New Roman" w:cs="Times New Roman"/>
          <w:sz w:val="24"/>
          <w:szCs w:val="24"/>
        </w:rPr>
        <w:t>Decreases in the cash balances and the payment of dividend tend to mitigate the agency costs of free cash flows (see Jensen’s (1986)). At the same time, dividends can be used to dissuade activist-type undertakings. To the extent that managers cut down on inve</w:t>
      </w:r>
      <w:r w:rsidR="00225BAD" w:rsidRPr="00D97714">
        <w:rPr>
          <w:rFonts w:ascii="Times New Roman" w:hAnsi="Times New Roman" w:cs="Times New Roman"/>
          <w:sz w:val="24"/>
          <w:szCs w:val="24"/>
        </w:rPr>
        <w:t xml:space="preserve">sting in negative NPV projects </w:t>
      </w:r>
      <w:r w:rsidR="00986D20" w:rsidRPr="00D97714">
        <w:rPr>
          <w:rFonts w:ascii="Times New Roman" w:hAnsi="Times New Roman" w:cs="Times New Roman"/>
          <w:sz w:val="24"/>
          <w:szCs w:val="24"/>
        </w:rPr>
        <w:t xml:space="preserve">and adopt a more prudent and conservative approach to cash management, we </w:t>
      </w:r>
      <w:r w:rsidR="003D2B34" w:rsidRPr="00D97714">
        <w:rPr>
          <w:rFonts w:ascii="Times New Roman" w:hAnsi="Times New Roman" w:cs="Times New Roman"/>
          <w:sz w:val="24"/>
          <w:szCs w:val="24"/>
        </w:rPr>
        <w:t>should observe</w:t>
      </w:r>
      <w:r w:rsidR="00986D20" w:rsidRPr="00D97714">
        <w:rPr>
          <w:rFonts w:ascii="Times New Roman" w:hAnsi="Times New Roman" w:cs="Times New Roman"/>
          <w:sz w:val="24"/>
          <w:szCs w:val="24"/>
        </w:rPr>
        <w:t xml:space="preserve"> a decrease in capital expenditure, which is </w:t>
      </w:r>
      <w:r w:rsidR="003D2B34" w:rsidRPr="00D97714">
        <w:rPr>
          <w:rFonts w:ascii="Times New Roman" w:hAnsi="Times New Roman" w:cs="Times New Roman"/>
          <w:sz w:val="24"/>
          <w:szCs w:val="24"/>
        </w:rPr>
        <w:t>evident</w:t>
      </w:r>
      <w:r w:rsidR="00986D20" w:rsidRPr="00D97714">
        <w:rPr>
          <w:rFonts w:ascii="Times New Roman" w:hAnsi="Times New Roman" w:cs="Times New Roman"/>
          <w:sz w:val="24"/>
          <w:szCs w:val="24"/>
        </w:rPr>
        <w:t xml:space="preserve"> </w:t>
      </w:r>
      <w:r w:rsidR="003D2B34" w:rsidRPr="00D97714">
        <w:rPr>
          <w:rFonts w:ascii="Times New Roman" w:hAnsi="Times New Roman" w:cs="Times New Roman"/>
          <w:sz w:val="24"/>
          <w:szCs w:val="24"/>
        </w:rPr>
        <w:t>among</w:t>
      </w:r>
      <w:r w:rsidR="00986D20" w:rsidRPr="00D97714">
        <w:rPr>
          <w:rFonts w:ascii="Times New Roman" w:hAnsi="Times New Roman" w:cs="Times New Roman"/>
          <w:sz w:val="24"/>
          <w:szCs w:val="24"/>
        </w:rPr>
        <w:t xml:space="preserve"> the non-targeted firms. </w:t>
      </w:r>
      <w:r w:rsidR="00664ADE" w:rsidRPr="00D97714">
        <w:rPr>
          <w:rFonts w:ascii="Times New Roman" w:hAnsi="Times New Roman" w:cs="Times New Roman"/>
          <w:sz w:val="24"/>
          <w:szCs w:val="24"/>
        </w:rPr>
        <w:t>The improvement in operating performance is directly related to both the proportion of shares held by institutional investors and the size of the firm. However, an increase in the volatility of institutional shareholdings adversely affects the gains expected from shareholder activism.</w:t>
      </w:r>
    </w:p>
    <w:p w14:paraId="0BD7AB2F" w14:textId="62E12D5C" w:rsidR="00664ADE" w:rsidRPr="00D97714" w:rsidRDefault="00CD3C7D" w:rsidP="00A945A0">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The</w:t>
      </w:r>
      <w:r w:rsidR="00D30753" w:rsidRPr="00D97714">
        <w:rPr>
          <w:rFonts w:ascii="Times New Roman" w:hAnsi="Times New Roman" w:cs="Times New Roman"/>
          <w:sz w:val="24"/>
          <w:szCs w:val="24"/>
        </w:rPr>
        <w:t xml:space="preserve"> portfolios of the </w:t>
      </w:r>
      <w:r w:rsidR="00903E10" w:rsidRPr="00D97714">
        <w:rPr>
          <w:rFonts w:ascii="Times New Roman" w:hAnsi="Times New Roman" w:cs="Times New Roman"/>
          <w:sz w:val="24"/>
          <w:szCs w:val="24"/>
        </w:rPr>
        <w:t>non-targeted</w:t>
      </w:r>
      <w:r w:rsidR="00D30753" w:rsidRPr="00D97714">
        <w:rPr>
          <w:rFonts w:ascii="Times New Roman" w:hAnsi="Times New Roman" w:cs="Times New Roman"/>
          <w:sz w:val="24"/>
          <w:szCs w:val="24"/>
        </w:rPr>
        <w:t xml:space="preserve"> firms </w:t>
      </w:r>
      <w:r w:rsidR="003D2B34" w:rsidRPr="00D97714">
        <w:rPr>
          <w:rFonts w:ascii="Times New Roman" w:hAnsi="Times New Roman" w:cs="Times New Roman"/>
          <w:sz w:val="24"/>
          <w:szCs w:val="24"/>
        </w:rPr>
        <w:t xml:space="preserve">also </w:t>
      </w:r>
      <w:r w:rsidRPr="00D97714">
        <w:rPr>
          <w:rFonts w:ascii="Times New Roman" w:hAnsi="Times New Roman" w:cs="Times New Roman"/>
          <w:sz w:val="24"/>
          <w:szCs w:val="24"/>
        </w:rPr>
        <w:t xml:space="preserve">experience significant </w:t>
      </w:r>
      <w:r w:rsidR="00D30753" w:rsidRPr="00D97714">
        <w:rPr>
          <w:rFonts w:ascii="Times New Roman" w:hAnsi="Times New Roman" w:cs="Times New Roman"/>
          <w:sz w:val="24"/>
          <w:szCs w:val="24"/>
        </w:rPr>
        <w:t>decrease</w:t>
      </w:r>
      <w:r w:rsidRPr="00D97714">
        <w:rPr>
          <w:rFonts w:ascii="Times New Roman" w:hAnsi="Times New Roman" w:cs="Times New Roman"/>
          <w:sz w:val="24"/>
          <w:szCs w:val="24"/>
        </w:rPr>
        <w:t>s in stock</w:t>
      </w:r>
      <w:r w:rsidR="003D2B34" w:rsidRPr="00D97714">
        <w:rPr>
          <w:rFonts w:ascii="Times New Roman" w:hAnsi="Times New Roman" w:cs="Times New Roman"/>
          <w:sz w:val="24"/>
          <w:szCs w:val="24"/>
        </w:rPr>
        <w:t xml:space="preserve"> volatility upon</w:t>
      </w:r>
      <w:r w:rsidR="00D30753" w:rsidRPr="00D97714">
        <w:rPr>
          <w:rFonts w:ascii="Times New Roman" w:hAnsi="Times New Roman" w:cs="Times New Roman"/>
          <w:sz w:val="24"/>
          <w:szCs w:val="24"/>
        </w:rPr>
        <w:t xml:space="preserve"> the</w:t>
      </w:r>
      <w:r w:rsidR="003D2B34" w:rsidRPr="00D97714">
        <w:rPr>
          <w:rFonts w:ascii="Times New Roman" w:hAnsi="Times New Roman" w:cs="Times New Roman"/>
          <w:sz w:val="24"/>
          <w:szCs w:val="24"/>
        </w:rPr>
        <w:t xml:space="preserve"> shareholder activism</w:t>
      </w:r>
      <w:r w:rsidR="00D30753" w:rsidRPr="00D97714">
        <w:rPr>
          <w:rFonts w:ascii="Times New Roman" w:hAnsi="Times New Roman" w:cs="Times New Roman"/>
          <w:sz w:val="24"/>
          <w:szCs w:val="24"/>
        </w:rPr>
        <w:t xml:space="preserve"> announcements. </w:t>
      </w:r>
      <w:r w:rsidR="00465E72" w:rsidRPr="00D97714">
        <w:rPr>
          <w:rFonts w:ascii="Times New Roman" w:hAnsi="Times New Roman" w:cs="Times New Roman"/>
          <w:sz w:val="24"/>
          <w:szCs w:val="24"/>
        </w:rPr>
        <w:t xml:space="preserve">This finding is consistent with Novy-Marx (2013), who argues that an increase in operating margin reduces systematic risk of the </w:t>
      </w:r>
      <w:r w:rsidR="00465E72" w:rsidRPr="00D97714">
        <w:rPr>
          <w:rFonts w:ascii="Times New Roman" w:hAnsi="Times New Roman" w:cs="Times New Roman"/>
          <w:sz w:val="24"/>
          <w:szCs w:val="24"/>
        </w:rPr>
        <w:lastRenderedPageBreak/>
        <w:t xml:space="preserve">firm. </w:t>
      </w:r>
      <w:r w:rsidR="00664ADE" w:rsidRPr="00D97714">
        <w:rPr>
          <w:rFonts w:ascii="Times New Roman" w:hAnsi="Times New Roman" w:cs="Times New Roman"/>
          <w:sz w:val="24"/>
          <w:szCs w:val="24"/>
        </w:rPr>
        <w:t xml:space="preserve">The </w:t>
      </w:r>
      <w:r w:rsidRPr="00D97714">
        <w:rPr>
          <w:rFonts w:ascii="Times New Roman" w:hAnsi="Times New Roman" w:cs="Times New Roman"/>
          <w:sz w:val="24"/>
          <w:szCs w:val="24"/>
        </w:rPr>
        <w:t xml:space="preserve">reduction </w:t>
      </w:r>
      <w:r w:rsidR="00664ADE" w:rsidRPr="00D97714">
        <w:rPr>
          <w:rFonts w:ascii="Times New Roman" w:hAnsi="Times New Roman" w:cs="Times New Roman"/>
          <w:sz w:val="24"/>
          <w:szCs w:val="24"/>
        </w:rPr>
        <w:t xml:space="preserve">in risk is </w:t>
      </w:r>
      <w:r w:rsidRPr="00D97714">
        <w:rPr>
          <w:rFonts w:ascii="Times New Roman" w:hAnsi="Times New Roman" w:cs="Times New Roman"/>
          <w:sz w:val="24"/>
          <w:szCs w:val="24"/>
        </w:rPr>
        <w:t xml:space="preserve">larger in magnitude among </w:t>
      </w:r>
      <w:r w:rsidR="00ED1C2F" w:rsidRPr="00D97714">
        <w:rPr>
          <w:rFonts w:ascii="Times New Roman" w:hAnsi="Times New Roman" w:cs="Times New Roman"/>
          <w:sz w:val="24"/>
          <w:szCs w:val="24"/>
        </w:rPr>
        <w:t>firms with</w:t>
      </w:r>
      <w:r w:rsidRPr="00D97714">
        <w:rPr>
          <w:rFonts w:ascii="Times New Roman" w:hAnsi="Times New Roman" w:cs="Times New Roman"/>
          <w:sz w:val="24"/>
          <w:szCs w:val="24"/>
        </w:rPr>
        <w:t xml:space="preserve"> higher </w:t>
      </w:r>
      <w:r w:rsidR="00093A51" w:rsidRPr="00D97714">
        <w:rPr>
          <w:rFonts w:ascii="Times New Roman" w:hAnsi="Times New Roman" w:cs="Times New Roman"/>
          <w:sz w:val="24"/>
          <w:szCs w:val="24"/>
        </w:rPr>
        <w:t>proportions</w:t>
      </w:r>
      <w:r w:rsidR="00664ADE" w:rsidRPr="00D97714">
        <w:rPr>
          <w:rFonts w:ascii="Times New Roman" w:hAnsi="Times New Roman" w:cs="Times New Roman"/>
          <w:sz w:val="24"/>
          <w:szCs w:val="24"/>
        </w:rPr>
        <w:t xml:space="preserve"> of shares held by institutional investors</w:t>
      </w:r>
      <w:r w:rsidRPr="00D97714">
        <w:rPr>
          <w:rFonts w:ascii="Times New Roman" w:hAnsi="Times New Roman" w:cs="Times New Roman"/>
          <w:sz w:val="24"/>
          <w:szCs w:val="24"/>
        </w:rPr>
        <w:t>, and lower among firms</w:t>
      </w:r>
      <w:r w:rsidR="00664ADE" w:rsidRPr="00D97714">
        <w:rPr>
          <w:rFonts w:ascii="Times New Roman" w:hAnsi="Times New Roman" w:cs="Times New Roman"/>
          <w:sz w:val="24"/>
          <w:szCs w:val="24"/>
        </w:rPr>
        <w:t xml:space="preserve"> that experience frequent </w:t>
      </w:r>
      <w:r w:rsidRPr="00D97714">
        <w:rPr>
          <w:rFonts w:ascii="Times New Roman" w:hAnsi="Times New Roman" w:cs="Times New Roman"/>
          <w:sz w:val="24"/>
          <w:szCs w:val="24"/>
        </w:rPr>
        <w:t>turnover of</w:t>
      </w:r>
      <w:r w:rsidR="00664ADE" w:rsidRPr="00D97714">
        <w:rPr>
          <w:rFonts w:ascii="Times New Roman" w:hAnsi="Times New Roman" w:cs="Times New Roman"/>
          <w:sz w:val="24"/>
          <w:szCs w:val="24"/>
        </w:rPr>
        <w:t xml:space="preserve"> institutional investors. </w:t>
      </w:r>
      <w:r w:rsidR="0095014A" w:rsidRPr="00D97714">
        <w:rPr>
          <w:rFonts w:ascii="Times New Roman" w:hAnsi="Times New Roman" w:cs="Times New Roman"/>
          <w:sz w:val="24"/>
          <w:szCs w:val="24"/>
        </w:rPr>
        <w:t>We find that the variables leading to improved performance amongst non-targeted firms also help in reducing their perceived risk levels.</w:t>
      </w:r>
    </w:p>
    <w:p w14:paraId="66703D89" w14:textId="6DF44939" w:rsidR="005C10A4" w:rsidRPr="00D97714" w:rsidRDefault="00D544F7" w:rsidP="005C10A4">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We make several contributions to the literature. First, </w:t>
      </w:r>
      <w:r w:rsidR="00F51189" w:rsidRPr="00D97714">
        <w:rPr>
          <w:rFonts w:ascii="Times New Roman" w:hAnsi="Times New Roman" w:cs="Times New Roman"/>
          <w:sz w:val="24"/>
          <w:szCs w:val="24"/>
        </w:rPr>
        <w:t>we study the effects of institutional activism using a new database, i.e., the TRSAI. It covers a variety of activism campaigns that are sponsored by prominent activists. The database allows us to study the effects of various types of activist investors beyond hedge funds (wh</w:t>
      </w:r>
      <w:r w:rsidR="004C14DC" w:rsidRPr="00D97714">
        <w:rPr>
          <w:rFonts w:ascii="Times New Roman" w:hAnsi="Times New Roman" w:cs="Times New Roman"/>
          <w:sz w:val="24"/>
          <w:szCs w:val="24"/>
        </w:rPr>
        <w:t>ich are</w:t>
      </w:r>
      <w:r w:rsidR="00F51189" w:rsidRPr="00D97714">
        <w:rPr>
          <w:rFonts w:ascii="Times New Roman" w:hAnsi="Times New Roman" w:cs="Times New Roman"/>
          <w:sz w:val="24"/>
          <w:szCs w:val="24"/>
        </w:rPr>
        <w:t xml:space="preserve"> </w:t>
      </w:r>
      <w:r w:rsidR="004C14DC" w:rsidRPr="00D97714">
        <w:rPr>
          <w:rFonts w:ascii="Times New Roman" w:hAnsi="Times New Roman" w:cs="Times New Roman"/>
          <w:sz w:val="24"/>
          <w:szCs w:val="24"/>
        </w:rPr>
        <w:t xml:space="preserve">the </w:t>
      </w:r>
      <w:r w:rsidR="00F51189" w:rsidRPr="00D97714">
        <w:rPr>
          <w:rFonts w:ascii="Times New Roman" w:hAnsi="Times New Roman" w:cs="Times New Roman"/>
          <w:sz w:val="24"/>
          <w:szCs w:val="24"/>
        </w:rPr>
        <w:t xml:space="preserve">focus of recent research </w:t>
      </w:r>
      <w:r w:rsidR="004C14DC" w:rsidRPr="00D97714">
        <w:rPr>
          <w:rFonts w:ascii="Times New Roman" w:hAnsi="Times New Roman" w:cs="Times New Roman"/>
          <w:sz w:val="24"/>
          <w:szCs w:val="24"/>
        </w:rPr>
        <w:t>by</w:t>
      </w:r>
      <w:r w:rsidR="00F51189" w:rsidRPr="00D97714">
        <w:rPr>
          <w:rFonts w:ascii="Times New Roman" w:hAnsi="Times New Roman" w:cs="Times New Roman"/>
          <w:sz w:val="24"/>
          <w:szCs w:val="24"/>
        </w:rPr>
        <w:t xml:space="preserve"> Aslan and Kumar (2013) and Gantchev et al. (2014)). We document that institutional activists besides hedge funds also exert a strong spillover effect on non-targets. </w:t>
      </w:r>
      <w:r w:rsidR="005C10A4" w:rsidRPr="00D97714">
        <w:rPr>
          <w:rFonts w:ascii="Times New Roman" w:hAnsi="Times New Roman" w:cs="Times New Roman"/>
          <w:sz w:val="24"/>
          <w:szCs w:val="24"/>
        </w:rPr>
        <w:t>The portfolio of non-targeted firms experience significant positive wealth effects upon announcements of shareholder activism campaigns at targeted firms. M</w:t>
      </w:r>
      <w:r w:rsidR="004C14DC" w:rsidRPr="00D97714">
        <w:rPr>
          <w:rFonts w:ascii="Times New Roman" w:hAnsi="Times New Roman" w:cs="Times New Roman"/>
          <w:sz w:val="24"/>
          <w:szCs w:val="24"/>
        </w:rPr>
        <w:t xml:space="preserve">anagers of the non-targeted firms respond to activism threats by reducing agency costs (e.g. reducing cash balance and increasing dividend payment) and improving operating performance (e.g. improving profitability ratios and cutting down on capital and operating expenditures). </w:t>
      </w:r>
      <w:r w:rsidR="005C10A4" w:rsidRPr="00D97714">
        <w:rPr>
          <w:rFonts w:ascii="Times New Roman" w:hAnsi="Times New Roman" w:cs="Times New Roman"/>
          <w:sz w:val="24"/>
          <w:szCs w:val="24"/>
        </w:rPr>
        <w:t xml:space="preserve">We further show that shareholder activism impacts not only stock returns but also stock risk. Our study highlights </w:t>
      </w:r>
      <w:r w:rsidR="0056213A" w:rsidRPr="00D97714">
        <w:rPr>
          <w:rFonts w:ascii="Times New Roman" w:hAnsi="Times New Roman" w:cs="Times New Roman"/>
          <w:sz w:val="24"/>
          <w:szCs w:val="24"/>
        </w:rPr>
        <w:t xml:space="preserve">that the </w:t>
      </w:r>
      <w:r w:rsidR="005C10A4" w:rsidRPr="00D97714">
        <w:rPr>
          <w:rFonts w:ascii="Times New Roman" w:hAnsi="Times New Roman" w:cs="Times New Roman"/>
          <w:sz w:val="24"/>
          <w:szCs w:val="24"/>
        </w:rPr>
        <w:t>threat of activism as a potent force in disciplining companies extends well beyond target firms.</w:t>
      </w:r>
    </w:p>
    <w:p w14:paraId="3C9D3E8C" w14:textId="5A8A87F1" w:rsidR="005C10A4" w:rsidRPr="00D97714" w:rsidRDefault="005C10A4" w:rsidP="005C10A4">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Second, by considering portfolios of non-targeted firms, we allow for a cleaner event study of the wealth effects of investor activism by creating a random sample of companies that are not pre-selected for activism. Third</w:t>
      </w:r>
      <w:r w:rsidR="00F51189" w:rsidRPr="00D97714">
        <w:rPr>
          <w:rFonts w:ascii="Times New Roman" w:hAnsi="Times New Roman" w:cs="Times New Roman"/>
          <w:sz w:val="24"/>
          <w:szCs w:val="24"/>
        </w:rPr>
        <w:t xml:space="preserve">, </w:t>
      </w:r>
      <w:r w:rsidRPr="00D97714">
        <w:rPr>
          <w:rFonts w:ascii="Times New Roman" w:hAnsi="Times New Roman" w:cs="Times New Roman"/>
          <w:sz w:val="24"/>
          <w:szCs w:val="24"/>
        </w:rPr>
        <w:t>we highlight that the positive externalities of shareholder activism depend on the ownership held by institutional investors. The higher the proportion of their shareholdings, the larger is the wealth effect and the decline in risk measures. However, the volatility in their holdings of the portfolio firms produces an opposite effect.</w:t>
      </w:r>
    </w:p>
    <w:p w14:paraId="51063A7C" w14:textId="58CFE639" w:rsidR="00323D79" w:rsidRPr="00D97714" w:rsidRDefault="00323D79" w:rsidP="005C10A4">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lastRenderedPageBreak/>
        <w:t xml:space="preserve">The rest of the paper proceeds as follows. We review the literature and develop our hypotheses in Section II. We </w:t>
      </w:r>
      <w:r w:rsidR="009465EE" w:rsidRPr="00D97714">
        <w:rPr>
          <w:rFonts w:ascii="Times New Roman" w:hAnsi="Times New Roman" w:cs="Times New Roman"/>
          <w:sz w:val="24"/>
          <w:szCs w:val="24"/>
        </w:rPr>
        <w:t xml:space="preserve">describe </w:t>
      </w:r>
      <w:r w:rsidRPr="00D97714">
        <w:rPr>
          <w:rFonts w:ascii="Times New Roman" w:hAnsi="Times New Roman" w:cs="Times New Roman"/>
          <w:sz w:val="24"/>
          <w:szCs w:val="24"/>
        </w:rPr>
        <w:t>the sample in Section III. We explain the methods used in Section IV. We present and discuss our findings in Section V. Section VI concludes.</w:t>
      </w:r>
    </w:p>
    <w:p w14:paraId="7DCC07AF" w14:textId="025EA51C" w:rsidR="0006068D" w:rsidRPr="00D97714" w:rsidRDefault="00512C4D" w:rsidP="002F3EC8">
      <w:pPr>
        <w:spacing w:line="480" w:lineRule="auto"/>
        <w:rPr>
          <w:rFonts w:ascii="Times New Roman" w:hAnsi="Times New Roman" w:cs="Times New Roman"/>
          <w:b/>
          <w:sz w:val="24"/>
          <w:szCs w:val="24"/>
        </w:rPr>
      </w:pPr>
      <w:r w:rsidRPr="00D97714">
        <w:rPr>
          <w:rFonts w:ascii="Times New Roman" w:hAnsi="Times New Roman" w:cs="Times New Roman"/>
          <w:b/>
          <w:sz w:val="24"/>
          <w:szCs w:val="24"/>
        </w:rPr>
        <w:t xml:space="preserve">II. </w:t>
      </w:r>
      <w:r w:rsidR="0006068D" w:rsidRPr="00D97714">
        <w:rPr>
          <w:rFonts w:ascii="Times New Roman" w:hAnsi="Times New Roman" w:cs="Times New Roman"/>
          <w:b/>
          <w:sz w:val="24"/>
          <w:szCs w:val="24"/>
        </w:rPr>
        <w:t>Literature Review and Hypotheses</w:t>
      </w:r>
    </w:p>
    <w:p w14:paraId="49266FB6" w14:textId="77777777" w:rsidR="009F6BEF" w:rsidRPr="00D97714" w:rsidRDefault="009F6BEF" w:rsidP="009E35D2">
      <w:pPr>
        <w:spacing w:line="480" w:lineRule="auto"/>
        <w:rPr>
          <w:rFonts w:ascii="Times New Roman" w:hAnsi="Times New Roman" w:cs="Times New Roman"/>
          <w:b/>
          <w:i/>
          <w:sz w:val="24"/>
          <w:szCs w:val="24"/>
        </w:rPr>
      </w:pPr>
      <w:r w:rsidRPr="00D97714">
        <w:rPr>
          <w:rFonts w:ascii="Times New Roman" w:hAnsi="Times New Roman" w:cs="Times New Roman"/>
          <w:b/>
          <w:i/>
          <w:sz w:val="24"/>
          <w:szCs w:val="24"/>
        </w:rPr>
        <w:t xml:space="preserve">Literature Review </w:t>
      </w:r>
    </w:p>
    <w:p w14:paraId="2EC97762" w14:textId="3F9B8B4F" w:rsidR="00FD5B51" w:rsidRPr="00D97714" w:rsidRDefault="0024426A" w:rsidP="002F42C6">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The empirical evidence on the </w:t>
      </w:r>
      <w:r w:rsidR="00FD5B51" w:rsidRPr="00D97714">
        <w:rPr>
          <w:rFonts w:ascii="Times New Roman" w:hAnsi="Times New Roman" w:cs="Times New Roman"/>
          <w:sz w:val="24"/>
          <w:szCs w:val="24"/>
        </w:rPr>
        <w:t xml:space="preserve">short-term </w:t>
      </w:r>
      <w:r w:rsidRPr="00D97714">
        <w:rPr>
          <w:rFonts w:ascii="Times New Roman" w:hAnsi="Times New Roman" w:cs="Times New Roman"/>
          <w:sz w:val="24"/>
          <w:szCs w:val="24"/>
        </w:rPr>
        <w:t xml:space="preserve">wealth effects of shareholder activism is mixed </w:t>
      </w:r>
      <w:r w:rsidR="00746CA5" w:rsidRPr="00D97714">
        <w:rPr>
          <w:rFonts w:ascii="Times New Roman" w:hAnsi="Times New Roman" w:cs="Times New Roman"/>
          <w:sz w:val="24"/>
          <w:szCs w:val="24"/>
        </w:rPr>
        <w:t xml:space="preserve">as summarized by </w:t>
      </w:r>
      <w:r w:rsidRPr="00D97714">
        <w:rPr>
          <w:rFonts w:ascii="Times New Roman" w:hAnsi="Times New Roman" w:cs="Times New Roman"/>
          <w:sz w:val="24"/>
          <w:szCs w:val="24"/>
        </w:rPr>
        <w:t>Gillan and Starks (2007)</w:t>
      </w:r>
      <w:r w:rsidR="00746CA5" w:rsidRPr="00D97714">
        <w:rPr>
          <w:rFonts w:ascii="Times New Roman" w:hAnsi="Times New Roman" w:cs="Times New Roman"/>
          <w:sz w:val="24"/>
          <w:szCs w:val="24"/>
        </w:rPr>
        <w:t>,</w:t>
      </w:r>
      <w:r w:rsidRPr="00D97714">
        <w:rPr>
          <w:rFonts w:ascii="Times New Roman" w:hAnsi="Times New Roman" w:cs="Times New Roman"/>
          <w:sz w:val="24"/>
          <w:szCs w:val="24"/>
        </w:rPr>
        <w:t xml:space="preserve"> ranging from no effect (Smith (1996); Wahal (1996); Karpoff </w:t>
      </w:r>
      <w:r w:rsidRPr="00D97714">
        <w:rPr>
          <w:rFonts w:ascii="Times New Roman" w:hAnsi="Times New Roman" w:cs="Times New Roman"/>
          <w:i/>
          <w:sz w:val="24"/>
          <w:szCs w:val="24"/>
        </w:rPr>
        <w:t>et al</w:t>
      </w:r>
      <w:r w:rsidRPr="00D97714">
        <w:rPr>
          <w:rFonts w:ascii="Times New Roman" w:hAnsi="Times New Roman" w:cs="Times New Roman"/>
          <w:sz w:val="24"/>
          <w:szCs w:val="24"/>
        </w:rPr>
        <w:t>. (1996); Del Guercio and Hawkins (1999); and, Gillian and Starks (2000))</w:t>
      </w:r>
      <w:r w:rsidR="003D6316" w:rsidRPr="00D97714">
        <w:rPr>
          <w:rFonts w:ascii="Times New Roman" w:hAnsi="Times New Roman" w:cs="Times New Roman"/>
          <w:sz w:val="24"/>
          <w:szCs w:val="24"/>
        </w:rPr>
        <w:t>,</w:t>
      </w:r>
      <w:r w:rsidRPr="00D97714">
        <w:rPr>
          <w:rFonts w:ascii="Times New Roman" w:hAnsi="Times New Roman" w:cs="Times New Roman"/>
          <w:sz w:val="24"/>
          <w:szCs w:val="24"/>
        </w:rPr>
        <w:t xml:space="preserve"> to positive </w:t>
      </w:r>
      <w:r w:rsidR="006D2DD9" w:rsidRPr="00D97714">
        <w:rPr>
          <w:rFonts w:ascii="Times New Roman" w:hAnsi="Times New Roman" w:cs="Times New Roman"/>
          <w:sz w:val="24"/>
          <w:szCs w:val="24"/>
        </w:rPr>
        <w:t>effects</w:t>
      </w:r>
      <w:r w:rsidRPr="00D97714">
        <w:rPr>
          <w:rFonts w:ascii="Times New Roman" w:hAnsi="Times New Roman" w:cs="Times New Roman"/>
          <w:sz w:val="24"/>
          <w:szCs w:val="24"/>
        </w:rPr>
        <w:t xml:space="preserve"> involving private negotiations (Strickland et al. </w:t>
      </w:r>
      <w:r w:rsidR="00FD5B51" w:rsidRPr="00D97714">
        <w:rPr>
          <w:rFonts w:ascii="Times New Roman" w:hAnsi="Times New Roman" w:cs="Times New Roman"/>
          <w:sz w:val="24"/>
          <w:szCs w:val="24"/>
        </w:rPr>
        <w:t>(1996))</w:t>
      </w:r>
      <w:r w:rsidR="003D6316" w:rsidRPr="00D97714">
        <w:rPr>
          <w:rFonts w:ascii="Times New Roman" w:hAnsi="Times New Roman" w:cs="Times New Roman"/>
          <w:sz w:val="24"/>
          <w:szCs w:val="24"/>
        </w:rPr>
        <w:t>, and</w:t>
      </w:r>
      <w:r w:rsidR="00FD5B51" w:rsidRPr="00D97714">
        <w:rPr>
          <w:rFonts w:ascii="Times New Roman" w:hAnsi="Times New Roman" w:cs="Times New Roman"/>
          <w:sz w:val="24"/>
          <w:szCs w:val="24"/>
        </w:rPr>
        <w:t xml:space="preserve"> to negative effects (Prevost and Rao (2000)) where private negotiations </w:t>
      </w:r>
      <w:r w:rsidR="006D2DD9" w:rsidRPr="00D97714">
        <w:rPr>
          <w:rFonts w:ascii="Times New Roman" w:hAnsi="Times New Roman" w:cs="Times New Roman"/>
          <w:sz w:val="24"/>
          <w:szCs w:val="24"/>
        </w:rPr>
        <w:t>fail</w:t>
      </w:r>
      <w:r w:rsidR="00FD5B51" w:rsidRPr="00D97714">
        <w:rPr>
          <w:rFonts w:ascii="Times New Roman" w:hAnsi="Times New Roman" w:cs="Times New Roman"/>
          <w:sz w:val="24"/>
          <w:szCs w:val="24"/>
        </w:rPr>
        <w:t xml:space="preserve"> and shareholder proposals </w:t>
      </w:r>
      <w:r w:rsidR="00CD73B3" w:rsidRPr="00D97714">
        <w:rPr>
          <w:rFonts w:ascii="Times New Roman" w:hAnsi="Times New Roman" w:cs="Times New Roman"/>
          <w:sz w:val="24"/>
          <w:szCs w:val="24"/>
        </w:rPr>
        <w:t>are</w:t>
      </w:r>
      <w:r w:rsidR="00FD5B51" w:rsidRPr="00D97714">
        <w:rPr>
          <w:rFonts w:ascii="Times New Roman" w:hAnsi="Times New Roman" w:cs="Times New Roman"/>
          <w:sz w:val="24"/>
          <w:szCs w:val="24"/>
        </w:rPr>
        <w:t xml:space="preserve"> needed. In the long run, Nesbitt (1994) and Smith (1996) find positive abnormal stock returns, while Del Guercio and Hawkins (1999) report none. </w:t>
      </w:r>
    </w:p>
    <w:p w14:paraId="18A79A0E" w14:textId="23220068" w:rsidR="000A6251" w:rsidRPr="00D97714" w:rsidRDefault="000A348F" w:rsidP="002F42C6">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As regards the spillover effects of </w:t>
      </w:r>
      <w:r w:rsidR="00746CA5" w:rsidRPr="00D97714">
        <w:rPr>
          <w:rFonts w:ascii="Times New Roman" w:hAnsi="Times New Roman" w:cs="Times New Roman"/>
          <w:sz w:val="24"/>
          <w:szCs w:val="24"/>
        </w:rPr>
        <w:t xml:space="preserve">hedge fund </w:t>
      </w:r>
      <w:r w:rsidRPr="00D97714">
        <w:rPr>
          <w:rFonts w:ascii="Times New Roman" w:hAnsi="Times New Roman" w:cs="Times New Roman"/>
          <w:sz w:val="24"/>
          <w:szCs w:val="24"/>
        </w:rPr>
        <w:t xml:space="preserve">activism, </w:t>
      </w:r>
      <w:r w:rsidR="00197AE1" w:rsidRPr="00D97714">
        <w:rPr>
          <w:rFonts w:ascii="Times New Roman" w:hAnsi="Times New Roman" w:cs="Times New Roman"/>
          <w:sz w:val="24"/>
          <w:szCs w:val="24"/>
        </w:rPr>
        <w:t xml:space="preserve">Gantchev, Gredil and Jotikasthira (2014) argue that unlike hostile takeovers, the threat of </w:t>
      </w:r>
      <w:r w:rsidR="002F42C6" w:rsidRPr="00D97714">
        <w:rPr>
          <w:rFonts w:ascii="Times New Roman" w:hAnsi="Times New Roman" w:cs="Times New Roman"/>
          <w:sz w:val="24"/>
          <w:szCs w:val="24"/>
        </w:rPr>
        <w:t>activism</w:t>
      </w:r>
      <w:r w:rsidR="00197AE1" w:rsidRPr="00D97714">
        <w:rPr>
          <w:rFonts w:ascii="Times New Roman" w:hAnsi="Times New Roman" w:cs="Times New Roman"/>
          <w:sz w:val="24"/>
          <w:szCs w:val="24"/>
        </w:rPr>
        <w:t xml:space="preserve"> is more </w:t>
      </w:r>
      <w:r w:rsidR="002F42C6" w:rsidRPr="00D97714">
        <w:rPr>
          <w:rFonts w:ascii="Times New Roman" w:hAnsi="Times New Roman" w:cs="Times New Roman"/>
          <w:sz w:val="24"/>
          <w:szCs w:val="24"/>
        </w:rPr>
        <w:t>effective</w:t>
      </w:r>
      <w:r w:rsidR="00197AE1" w:rsidRPr="00D97714">
        <w:rPr>
          <w:rFonts w:ascii="Times New Roman" w:hAnsi="Times New Roman" w:cs="Times New Roman"/>
          <w:sz w:val="24"/>
          <w:szCs w:val="24"/>
        </w:rPr>
        <w:t xml:space="preserve"> and </w:t>
      </w:r>
      <w:r w:rsidR="002F42C6" w:rsidRPr="00D97714">
        <w:rPr>
          <w:rFonts w:ascii="Times New Roman" w:hAnsi="Times New Roman" w:cs="Times New Roman"/>
          <w:sz w:val="24"/>
          <w:szCs w:val="24"/>
        </w:rPr>
        <w:t>difficult</w:t>
      </w:r>
      <w:r w:rsidR="00197AE1" w:rsidRPr="00D97714">
        <w:rPr>
          <w:rFonts w:ascii="Times New Roman" w:hAnsi="Times New Roman" w:cs="Times New Roman"/>
          <w:sz w:val="24"/>
          <w:szCs w:val="24"/>
        </w:rPr>
        <w:t xml:space="preserve"> </w:t>
      </w:r>
      <w:r w:rsidR="002F42C6" w:rsidRPr="00D97714">
        <w:rPr>
          <w:rFonts w:ascii="Times New Roman" w:hAnsi="Times New Roman" w:cs="Times New Roman"/>
          <w:sz w:val="24"/>
          <w:szCs w:val="24"/>
        </w:rPr>
        <w:t>for firms to ignore</w:t>
      </w:r>
      <w:r w:rsidR="00197AE1" w:rsidRPr="00D97714">
        <w:rPr>
          <w:rFonts w:ascii="Times New Roman" w:hAnsi="Times New Roman" w:cs="Times New Roman"/>
          <w:sz w:val="24"/>
          <w:szCs w:val="24"/>
        </w:rPr>
        <w:t>.</w:t>
      </w:r>
      <w:r w:rsidR="002F42C6" w:rsidRPr="00D97714">
        <w:rPr>
          <w:rFonts w:ascii="Times New Roman" w:hAnsi="Times New Roman" w:cs="Times New Roman"/>
          <w:sz w:val="24"/>
          <w:szCs w:val="24"/>
        </w:rPr>
        <w:t xml:space="preserve"> </w:t>
      </w:r>
      <w:r w:rsidR="002F5028" w:rsidRPr="00D97714">
        <w:rPr>
          <w:rFonts w:ascii="Times New Roman" w:hAnsi="Times New Roman" w:cs="Times New Roman"/>
          <w:sz w:val="24"/>
          <w:szCs w:val="24"/>
        </w:rPr>
        <w:t>It forces</w:t>
      </w:r>
      <w:r w:rsidR="002F42C6" w:rsidRPr="00D97714">
        <w:rPr>
          <w:rFonts w:ascii="Times New Roman" w:hAnsi="Times New Roman" w:cs="Times New Roman"/>
          <w:sz w:val="24"/>
          <w:szCs w:val="24"/>
        </w:rPr>
        <w:t xml:space="preserve"> </w:t>
      </w:r>
      <w:r w:rsidR="00903E10" w:rsidRPr="00D97714">
        <w:rPr>
          <w:rFonts w:ascii="Times New Roman" w:hAnsi="Times New Roman" w:cs="Times New Roman"/>
          <w:sz w:val="24"/>
          <w:szCs w:val="24"/>
        </w:rPr>
        <w:t>non-targeted</w:t>
      </w:r>
      <w:r w:rsidR="002F42C6" w:rsidRPr="00D97714">
        <w:rPr>
          <w:rFonts w:ascii="Times New Roman" w:hAnsi="Times New Roman" w:cs="Times New Roman"/>
          <w:sz w:val="24"/>
          <w:szCs w:val="24"/>
        </w:rPr>
        <w:t xml:space="preserve"> firms to take actions to </w:t>
      </w:r>
      <w:r w:rsidR="002F5028" w:rsidRPr="00D97714">
        <w:rPr>
          <w:rFonts w:ascii="Times New Roman" w:hAnsi="Times New Roman" w:cs="Times New Roman"/>
          <w:sz w:val="24"/>
          <w:szCs w:val="24"/>
        </w:rPr>
        <w:t>address</w:t>
      </w:r>
      <w:r w:rsidR="002F42C6" w:rsidRPr="00D97714">
        <w:rPr>
          <w:rFonts w:ascii="Times New Roman" w:hAnsi="Times New Roman" w:cs="Times New Roman"/>
          <w:sz w:val="24"/>
          <w:szCs w:val="24"/>
        </w:rPr>
        <w:t xml:space="preserve"> potential vulnerabilities and keep activist investors at bay. For instance, a company with a large stash of cash may opt to </w:t>
      </w:r>
      <w:r w:rsidR="002F5028" w:rsidRPr="00D97714">
        <w:rPr>
          <w:rFonts w:ascii="Times New Roman" w:hAnsi="Times New Roman" w:cs="Times New Roman"/>
          <w:sz w:val="24"/>
          <w:szCs w:val="24"/>
        </w:rPr>
        <w:t xml:space="preserve">start </w:t>
      </w:r>
      <w:r w:rsidR="00DD4977" w:rsidRPr="00D97714">
        <w:rPr>
          <w:rFonts w:ascii="Times New Roman" w:hAnsi="Times New Roman" w:cs="Times New Roman"/>
          <w:sz w:val="24"/>
          <w:szCs w:val="24"/>
        </w:rPr>
        <w:t>paying</w:t>
      </w:r>
      <w:r w:rsidR="002F5028" w:rsidRPr="00D97714">
        <w:rPr>
          <w:rFonts w:ascii="Times New Roman" w:hAnsi="Times New Roman" w:cs="Times New Roman"/>
          <w:sz w:val="24"/>
          <w:szCs w:val="24"/>
        </w:rPr>
        <w:t xml:space="preserve"> dividend</w:t>
      </w:r>
      <w:r w:rsidR="002F42C6" w:rsidRPr="00D97714">
        <w:rPr>
          <w:rFonts w:ascii="Times New Roman" w:hAnsi="Times New Roman" w:cs="Times New Roman"/>
          <w:sz w:val="24"/>
          <w:szCs w:val="24"/>
        </w:rPr>
        <w:t xml:space="preserve"> to </w:t>
      </w:r>
      <w:r w:rsidR="002F5028" w:rsidRPr="00D97714">
        <w:rPr>
          <w:rFonts w:ascii="Times New Roman" w:hAnsi="Times New Roman" w:cs="Times New Roman"/>
          <w:sz w:val="24"/>
          <w:szCs w:val="24"/>
        </w:rPr>
        <w:t>its</w:t>
      </w:r>
      <w:r w:rsidR="002F42C6" w:rsidRPr="00D97714">
        <w:rPr>
          <w:rFonts w:ascii="Times New Roman" w:hAnsi="Times New Roman" w:cs="Times New Roman"/>
          <w:sz w:val="24"/>
          <w:szCs w:val="24"/>
        </w:rPr>
        <w:t xml:space="preserve"> shareholders. </w:t>
      </w:r>
      <w:r w:rsidR="002F5028" w:rsidRPr="00D97714">
        <w:rPr>
          <w:rFonts w:ascii="Times New Roman" w:hAnsi="Times New Roman" w:cs="Times New Roman"/>
          <w:sz w:val="24"/>
          <w:szCs w:val="24"/>
        </w:rPr>
        <w:t>The authors</w:t>
      </w:r>
      <w:r w:rsidR="000A6251" w:rsidRPr="00D97714">
        <w:rPr>
          <w:rFonts w:ascii="Times New Roman" w:hAnsi="Times New Roman" w:cs="Times New Roman"/>
          <w:sz w:val="24"/>
          <w:szCs w:val="24"/>
        </w:rPr>
        <w:t xml:space="preserve"> document a momentum effect in activism activity, i.e., recent activity </w:t>
      </w:r>
      <w:r w:rsidR="002F5028" w:rsidRPr="00D97714">
        <w:rPr>
          <w:rFonts w:ascii="Times New Roman" w:hAnsi="Times New Roman" w:cs="Times New Roman"/>
          <w:sz w:val="24"/>
          <w:szCs w:val="24"/>
        </w:rPr>
        <w:t>acts as a harbinger for</w:t>
      </w:r>
      <w:r w:rsidR="000A6251" w:rsidRPr="00D97714">
        <w:rPr>
          <w:rFonts w:ascii="Times New Roman" w:hAnsi="Times New Roman" w:cs="Times New Roman"/>
          <w:sz w:val="24"/>
          <w:szCs w:val="24"/>
        </w:rPr>
        <w:t xml:space="preserve"> future </w:t>
      </w:r>
      <w:r w:rsidR="002F5028" w:rsidRPr="00D97714">
        <w:rPr>
          <w:rFonts w:ascii="Times New Roman" w:hAnsi="Times New Roman" w:cs="Times New Roman"/>
          <w:sz w:val="24"/>
          <w:szCs w:val="24"/>
        </w:rPr>
        <w:t>activist</w:t>
      </w:r>
      <w:r w:rsidR="000A6251" w:rsidRPr="00D97714">
        <w:rPr>
          <w:rFonts w:ascii="Times New Roman" w:hAnsi="Times New Roman" w:cs="Times New Roman"/>
          <w:sz w:val="24"/>
          <w:szCs w:val="24"/>
        </w:rPr>
        <w:t xml:space="preserve"> </w:t>
      </w:r>
      <w:r w:rsidR="002F5028" w:rsidRPr="00D97714">
        <w:rPr>
          <w:rFonts w:ascii="Times New Roman" w:hAnsi="Times New Roman" w:cs="Times New Roman"/>
          <w:sz w:val="24"/>
          <w:szCs w:val="24"/>
        </w:rPr>
        <w:t>actions in</w:t>
      </w:r>
      <w:r w:rsidR="000A6251" w:rsidRPr="00D97714">
        <w:rPr>
          <w:rFonts w:ascii="Times New Roman" w:hAnsi="Times New Roman" w:cs="Times New Roman"/>
          <w:sz w:val="24"/>
          <w:szCs w:val="24"/>
        </w:rPr>
        <w:t xml:space="preserve"> an industry.</w:t>
      </w:r>
      <w:r w:rsidR="002F5028" w:rsidRPr="00D97714">
        <w:rPr>
          <w:rFonts w:ascii="Times New Roman" w:hAnsi="Times New Roman" w:cs="Times New Roman"/>
          <w:sz w:val="24"/>
          <w:szCs w:val="24"/>
        </w:rPr>
        <w:t xml:space="preserve"> Peers that are under threats from activists share similar fundamentals </w:t>
      </w:r>
      <w:r w:rsidR="00C33E0F" w:rsidRPr="00D97714">
        <w:rPr>
          <w:rFonts w:ascii="Times New Roman" w:hAnsi="Times New Roman" w:cs="Times New Roman"/>
          <w:sz w:val="24"/>
          <w:szCs w:val="24"/>
        </w:rPr>
        <w:t>as</w:t>
      </w:r>
      <w:r w:rsidR="002F5028" w:rsidRPr="00D97714">
        <w:rPr>
          <w:rFonts w:ascii="Times New Roman" w:hAnsi="Times New Roman" w:cs="Times New Roman"/>
          <w:sz w:val="24"/>
          <w:szCs w:val="24"/>
        </w:rPr>
        <w:t xml:space="preserve"> targeted </w:t>
      </w:r>
      <w:r w:rsidR="00C33E0F" w:rsidRPr="00D97714">
        <w:rPr>
          <w:rFonts w:ascii="Times New Roman" w:hAnsi="Times New Roman" w:cs="Times New Roman"/>
          <w:sz w:val="24"/>
          <w:szCs w:val="24"/>
        </w:rPr>
        <w:t>firms</w:t>
      </w:r>
      <w:r w:rsidR="002F5028" w:rsidRPr="00D97714">
        <w:rPr>
          <w:rFonts w:ascii="Times New Roman" w:hAnsi="Times New Roman" w:cs="Times New Roman"/>
          <w:sz w:val="24"/>
          <w:szCs w:val="24"/>
        </w:rPr>
        <w:t xml:space="preserve">. </w:t>
      </w:r>
      <w:r w:rsidR="00C33E0F" w:rsidRPr="00D97714">
        <w:rPr>
          <w:rFonts w:ascii="Times New Roman" w:hAnsi="Times New Roman" w:cs="Times New Roman"/>
          <w:sz w:val="24"/>
          <w:szCs w:val="24"/>
        </w:rPr>
        <w:t>They</w:t>
      </w:r>
      <w:r w:rsidR="002F5028" w:rsidRPr="00D97714">
        <w:rPr>
          <w:rFonts w:ascii="Times New Roman" w:hAnsi="Times New Roman" w:cs="Times New Roman"/>
          <w:sz w:val="24"/>
          <w:szCs w:val="24"/>
        </w:rPr>
        <w:t xml:space="preserve"> respond by reducing agency costs and improving operating performance. </w:t>
      </w:r>
      <w:r w:rsidR="00DD4977" w:rsidRPr="00D97714">
        <w:rPr>
          <w:rFonts w:ascii="Times New Roman" w:hAnsi="Times New Roman" w:cs="Times New Roman"/>
          <w:sz w:val="24"/>
          <w:szCs w:val="24"/>
        </w:rPr>
        <w:t>These</w:t>
      </w:r>
      <w:r w:rsidR="002F5028" w:rsidRPr="00D97714">
        <w:rPr>
          <w:rFonts w:ascii="Times New Roman" w:hAnsi="Times New Roman" w:cs="Times New Roman"/>
          <w:sz w:val="24"/>
          <w:szCs w:val="24"/>
        </w:rPr>
        <w:t xml:space="preserve"> changes translate </w:t>
      </w:r>
      <w:r w:rsidR="00C33E0F" w:rsidRPr="00D97714">
        <w:rPr>
          <w:rFonts w:ascii="Times New Roman" w:hAnsi="Times New Roman" w:cs="Times New Roman"/>
          <w:sz w:val="24"/>
          <w:szCs w:val="24"/>
        </w:rPr>
        <w:t>in</w:t>
      </w:r>
      <w:r w:rsidR="002F5028" w:rsidRPr="00D97714">
        <w:rPr>
          <w:rFonts w:ascii="Times New Roman" w:hAnsi="Times New Roman" w:cs="Times New Roman"/>
          <w:sz w:val="24"/>
          <w:szCs w:val="24"/>
        </w:rPr>
        <w:t xml:space="preserve"> higher stock returns and lessen the prospect of </w:t>
      </w:r>
      <w:r w:rsidR="00237B56" w:rsidRPr="00D97714">
        <w:rPr>
          <w:rFonts w:ascii="Times New Roman" w:hAnsi="Times New Roman" w:cs="Times New Roman"/>
          <w:sz w:val="24"/>
          <w:szCs w:val="24"/>
        </w:rPr>
        <w:t>a</w:t>
      </w:r>
      <w:r w:rsidR="002F5028" w:rsidRPr="00D97714">
        <w:rPr>
          <w:rFonts w:ascii="Times New Roman" w:hAnsi="Times New Roman" w:cs="Times New Roman"/>
          <w:sz w:val="24"/>
          <w:szCs w:val="24"/>
        </w:rPr>
        <w:t xml:space="preserve"> firm becoming a target.</w:t>
      </w:r>
      <w:r w:rsidR="00A6793D" w:rsidRPr="00D97714">
        <w:rPr>
          <w:rFonts w:ascii="Times New Roman" w:hAnsi="Times New Roman" w:cs="Times New Roman"/>
          <w:sz w:val="24"/>
          <w:szCs w:val="24"/>
        </w:rPr>
        <w:t xml:space="preserve"> </w:t>
      </w:r>
      <w:r w:rsidR="003D6316" w:rsidRPr="00D97714">
        <w:rPr>
          <w:rFonts w:ascii="Times New Roman" w:hAnsi="Times New Roman" w:cs="Times New Roman"/>
          <w:sz w:val="24"/>
          <w:szCs w:val="24"/>
        </w:rPr>
        <w:t xml:space="preserve">While they consider firms in the same industry, they </w:t>
      </w:r>
      <w:r w:rsidR="008B7A8C" w:rsidRPr="00D97714">
        <w:rPr>
          <w:rFonts w:ascii="Times New Roman" w:hAnsi="Times New Roman" w:cs="Times New Roman"/>
          <w:sz w:val="24"/>
          <w:szCs w:val="24"/>
        </w:rPr>
        <w:t xml:space="preserve">do not </w:t>
      </w:r>
      <w:r w:rsidR="003D6316" w:rsidRPr="00D97714">
        <w:rPr>
          <w:rFonts w:ascii="Times New Roman" w:hAnsi="Times New Roman" w:cs="Times New Roman"/>
          <w:sz w:val="24"/>
          <w:szCs w:val="24"/>
        </w:rPr>
        <w:t xml:space="preserve">to take into account the existing institutional ownership structure at the non-target firms. The presence of institutional investors poses an immediate and serious threat at non-targeted firms that they could be targeted next. We conjecture that the presence of institutional owners is a critical pre-existing condition </w:t>
      </w:r>
      <w:r w:rsidR="008B7A8C" w:rsidRPr="00D97714">
        <w:rPr>
          <w:rFonts w:ascii="Times New Roman" w:hAnsi="Times New Roman" w:cs="Times New Roman"/>
          <w:sz w:val="24"/>
          <w:szCs w:val="24"/>
        </w:rPr>
        <w:t>that significantly impacts</w:t>
      </w:r>
      <w:r w:rsidR="003D6316" w:rsidRPr="00D97714">
        <w:rPr>
          <w:rFonts w:ascii="Times New Roman" w:hAnsi="Times New Roman" w:cs="Times New Roman"/>
          <w:sz w:val="24"/>
          <w:szCs w:val="24"/>
        </w:rPr>
        <w:t xml:space="preserve"> the threat of </w:t>
      </w:r>
      <w:r w:rsidR="008B7A8C" w:rsidRPr="00D97714">
        <w:rPr>
          <w:rFonts w:ascii="Times New Roman" w:hAnsi="Times New Roman" w:cs="Times New Roman"/>
          <w:sz w:val="24"/>
          <w:szCs w:val="24"/>
        </w:rPr>
        <w:t>activism</w:t>
      </w:r>
      <w:r w:rsidR="003D6316" w:rsidRPr="00D97714">
        <w:rPr>
          <w:rFonts w:ascii="Times New Roman" w:hAnsi="Times New Roman" w:cs="Times New Roman"/>
          <w:sz w:val="24"/>
          <w:szCs w:val="24"/>
        </w:rPr>
        <w:t>.</w:t>
      </w:r>
    </w:p>
    <w:p w14:paraId="5327D1A8" w14:textId="02E2BD73" w:rsidR="00DB66FF" w:rsidRPr="00D97714" w:rsidRDefault="00AC232F" w:rsidP="00CC6FCD">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Mietzner, Schweizer and Tyrell (2011) examine the valuation effects of industry rivals </w:t>
      </w:r>
      <w:r w:rsidR="00055487" w:rsidRPr="00D97714">
        <w:rPr>
          <w:rFonts w:ascii="Times New Roman" w:hAnsi="Times New Roman" w:cs="Times New Roman"/>
          <w:sz w:val="24"/>
          <w:szCs w:val="24"/>
        </w:rPr>
        <w:t xml:space="preserve">in Germany </w:t>
      </w:r>
      <w:r w:rsidRPr="00D97714">
        <w:rPr>
          <w:rFonts w:ascii="Times New Roman" w:hAnsi="Times New Roman" w:cs="Times New Roman"/>
          <w:sz w:val="24"/>
          <w:szCs w:val="24"/>
        </w:rPr>
        <w:t>targeted by hedge funds and private equity investors, which are more likely to</w:t>
      </w:r>
      <w:r w:rsidR="00D93A62" w:rsidRPr="00D97714">
        <w:rPr>
          <w:rFonts w:ascii="Times New Roman" w:hAnsi="Times New Roman" w:cs="Times New Roman"/>
          <w:sz w:val="24"/>
          <w:szCs w:val="24"/>
        </w:rPr>
        <w:t xml:space="preserve"> actively monitor their investees</w:t>
      </w:r>
      <w:r w:rsidR="00CC6FCD" w:rsidRPr="00D97714">
        <w:rPr>
          <w:rFonts w:ascii="Times New Roman" w:hAnsi="Times New Roman" w:cs="Times New Roman"/>
          <w:sz w:val="24"/>
          <w:szCs w:val="24"/>
        </w:rPr>
        <w:t xml:space="preserve"> due to their strong drive and ability</w:t>
      </w:r>
      <w:r w:rsidR="00D93A62" w:rsidRPr="00D97714">
        <w:rPr>
          <w:rFonts w:ascii="Times New Roman" w:hAnsi="Times New Roman" w:cs="Times New Roman"/>
          <w:sz w:val="24"/>
          <w:szCs w:val="24"/>
        </w:rPr>
        <w:t>.</w:t>
      </w:r>
      <w:r w:rsidR="00822F28" w:rsidRPr="00D97714">
        <w:rPr>
          <w:rFonts w:ascii="Times New Roman" w:hAnsi="Times New Roman" w:cs="Times New Roman"/>
          <w:sz w:val="24"/>
          <w:szCs w:val="24"/>
        </w:rPr>
        <w:t xml:space="preserve"> </w:t>
      </w:r>
      <w:r w:rsidR="00DB420D" w:rsidRPr="00D97714">
        <w:rPr>
          <w:rFonts w:ascii="Times New Roman" w:hAnsi="Times New Roman" w:cs="Times New Roman"/>
          <w:sz w:val="24"/>
          <w:szCs w:val="24"/>
        </w:rPr>
        <w:t>T</w:t>
      </w:r>
      <w:r w:rsidR="00822F28" w:rsidRPr="00D97714">
        <w:rPr>
          <w:rFonts w:ascii="Times New Roman" w:hAnsi="Times New Roman" w:cs="Times New Roman"/>
          <w:sz w:val="24"/>
          <w:szCs w:val="24"/>
        </w:rPr>
        <w:t xml:space="preserve">he authors argue in favor of an intra-industry effect </w:t>
      </w:r>
      <w:r w:rsidR="00DB420D" w:rsidRPr="00D97714">
        <w:rPr>
          <w:rFonts w:ascii="Times New Roman" w:hAnsi="Times New Roman" w:cs="Times New Roman"/>
          <w:sz w:val="24"/>
          <w:szCs w:val="24"/>
        </w:rPr>
        <w:t>because</w:t>
      </w:r>
      <w:r w:rsidR="00822F28" w:rsidRPr="00D97714">
        <w:rPr>
          <w:rFonts w:ascii="Times New Roman" w:hAnsi="Times New Roman" w:cs="Times New Roman"/>
          <w:sz w:val="24"/>
          <w:szCs w:val="24"/>
        </w:rPr>
        <w:t xml:space="preserve"> the investments incurred by these investors in collecting and </w:t>
      </w:r>
      <w:r w:rsidR="00DB420D" w:rsidRPr="00D97714">
        <w:rPr>
          <w:rFonts w:ascii="Times New Roman" w:hAnsi="Times New Roman" w:cs="Times New Roman"/>
          <w:sz w:val="24"/>
          <w:szCs w:val="24"/>
        </w:rPr>
        <w:t>processing</w:t>
      </w:r>
      <w:r w:rsidR="00822F28" w:rsidRPr="00D97714">
        <w:rPr>
          <w:rFonts w:ascii="Times New Roman" w:hAnsi="Times New Roman" w:cs="Times New Roman"/>
          <w:sz w:val="24"/>
          <w:szCs w:val="24"/>
        </w:rPr>
        <w:t xml:space="preserve"> data about a target firm also convey </w:t>
      </w:r>
      <w:r w:rsidR="00DB420D" w:rsidRPr="00D97714">
        <w:rPr>
          <w:rFonts w:ascii="Times New Roman" w:hAnsi="Times New Roman" w:cs="Times New Roman"/>
          <w:sz w:val="24"/>
          <w:szCs w:val="24"/>
        </w:rPr>
        <w:t>insights</w:t>
      </w:r>
      <w:r w:rsidR="00822F28" w:rsidRPr="00D97714">
        <w:rPr>
          <w:rFonts w:ascii="Times New Roman" w:hAnsi="Times New Roman" w:cs="Times New Roman"/>
          <w:sz w:val="24"/>
          <w:szCs w:val="24"/>
        </w:rPr>
        <w:t xml:space="preserve"> about the industry</w:t>
      </w:r>
      <w:r w:rsidR="00AA638C" w:rsidRPr="00D97714">
        <w:rPr>
          <w:rFonts w:ascii="Times New Roman" w:hAnsi="Times New Roman" w:cs="Times New Roman"/>
          <w:sz w:val="24"/>
          <w:szCs w:val="24"/>
        </w:rPr>
        <w:t xml:space="preserve">. Consistent with the </w:t>
      </w:r>
      <w:r w:rsidR="00AA638C" w:rsidRPr="00D97714">
        <w:rPr>
          <w:rFonts w:ascii="Times New Roman" w:hAnsi="Times New Roman" w:cs="Times New Roman"/>
          <w:i/>
          <w:sz w:val="24"/>
          <w:szCs w:val="24"/>
        </w:rPr>
        <w:t>information signaling hypothesis</w:t>
      </w:r>
      <w:r w:rsidR="00AA638C" w:rsidRPr="00D97714">
        <w:rPr>
          <w:rFonts w:ascii="Times New Roman" w:hAnsi="Times New Roman" w:cs="Times New Roman"/>
          <w:sz w:val="24"/>
          <w:szCs w:val="24"/>
        </w:rPr>
        <w:t>, the information spillovers will impact rival firms and investors would expect parallel gains at these firms.</w:t>
      </w:r>
      <w:r w:rsidR="00DB66FF" w:rsidRPr="00D97714">
        <w:rPr>
          <w:rFonts w:ascii="Times New Roman" w:hAnsi="Times New Roman" w:cs="Times New Roman"/>
          <w:sz w:val="24"/>
          <w:szCs w:val="24"/>
        </w:rPr>
        <w:t xml:space="preserve"> </w:t>
      </w:r>
      <w:r w:rsidR="00556139" w:rsidRPr="00D97714">
        <w:rPr>
          <w:rFonts w:ascii="Times New Roman" w:hAnsi="Times New Roman" w:cs="Times New Roman"/>
          <w:sz w:val="24"/>
          <w:szCs w:val="24"/>
        </w:rPr>
        <w:t xml:space="preserve">Raff (2011) shows that shareholders free-ride on information acquisition </w:t>
      </w:r>
      <w:r w:rsidR="004B4DDD" w:rsidRPr="00D97714">
        <w:rPr>
          <w:rFonts w:ascii="Times New Roman" w:hAnsi="Times New Roman" w:cs="Times New Roman"/>
          <w:sz w:val="24"/>
          <w:szCs w:val="24"/>
        </w:rPr>
        <w:t>at</w:t>
      </w:r>
      <w:r w:rsidR="00556139" w:rsidRPr="00D97714">
        <w:rPr>
          <w:rFonts w:ascii="Times New Roman" w:hAnsi="Times New Roman" w:cs="Times New Roman"/>
          <w:sz w:val="24"/>
          <w:szCs w:val="24"/>
        </w:rPr>
        <w:t xml:space="preserve"> rival firms and an externality arises because informed intervention transmits valuable information about a common performance shock to peers. This is </w:t>
      </w:r>
      <w:r w:rsidR="00752C5A" w:rsidRPr="00D97714">
        <w:rPr>
          <w:rFonts w:ascii="Times New Roman" w:hAnsi="Times New Roman" w:cs="Times New Roman"/>
          <w:sz w:val="24"/>
          <w:szCs w:val="24"/>
        </w:rPr>
        <w:t>also consistent</w:t>
      </w:r>
      <w:r w:rsidR="00556139" w:rsidRPr="00D97714">
        <w:rPr>
          <w:rFonts w:ascii="Times New Roman" w:hAnsi="Times New Roman" w:cs="Times New Roman"/>
          <w:sz w:val="24"/>
          <w:szCs w:val="24"/>
        </w:rPr>
        <w:t xml:space="preserve"> with the </w:t>
      </w:r>
      <w:r w:rsidR="00556139" w:rsidRPr="00D97714">
        <w:rPr>
          <w:rFonts w:ascii="Times New Roman" w:hAnsi="Times New Roman" w:cs="Times New Roman"/>
          <w:i/>
          <w:sz w:val="24"/>
          <w:szCs w:val="24"/>
        </w:rPr>
        <w:t xml:space="preserve">monitoring spillover </w:t>
      </w:r>
      <w:r w:rsidR="00CC6FCD" w:rsidRPr="00D97714">
        <w:rPr>
          <w:rFonts w:ascii="Times New Roman" w:hAnsi="Times New Roman" w:cs="Times New Roman"/>
          <w:i/>
          <w:sz w:val="24"/>
          <w:szCs w:val="24"/>
        </w:rPr>
        <w:t>hypothesis</w:t>
      </w:r>
      <w:r w:rsidR="00CC6FCD" w:rsidRPr="00D97714">
        <w:rPr>
          <w:rFonts w:ascii="Times New Roman" w:hAnsi="Times New Roman" w:cs="Times New Roman"/>
          <w:sz w:val="24"/>
          <w:szCs w:val="24"/>
        </w:rPr>
        <w:t>. The</w:t>
      </w:r>
      <w:r w:rsidR="00DB66FF" w:rsidRPr="00D97714">
        <w:rPr>
          <w:rFonts w:ascii="Times New Roman" w:hAnsi="Times New Roman" w:cs="Times New Roman"/>
          <w:sz w:val="24"/>
          <w:szCs w:val="24"/>
        </w:rPr>
        <w:t xml:space="preserve"> </w:t>
      </w:r>
      <w:r w:rsidR="00DB66FF" w:rsidRPr="00D97714">
        <w:rPr>
          <w:rFonts w:ascii="Times New Roman" w:hAnsi="Times New Roman" w:cs="Times New Roman"/>
          <w:i/>
          <w:sz w:val="24"/>
          <w:szCs w:val="24"/>
        </w:rPr>
        <w:t>competition hypothesis</w:t>
      </w:r>
      <w:r w:rsidR="00DB66FF" w:rsidRPr="00D97714">
        <w:rPr>
          <w:rFonts w:ascii="Times New Roman" w:hAnsi="Times New Roman" w:cs="Times New Roman"/>
          <w:sz w:val="24"/>
          <w:szCs w:val="24"/>
        </w:rPr>
        <w:t xml:space="preserve"> though suggests that the targeted firm will adversely affect the performance of rival firms owing to its improved governance and performance that render the firm more dominant in its industry</w:t>
      </w:r>
      <w:r w:rsidR="000741ED" w:rsidRPr="00D97714">
        <w:rPr>
          <w:rFonts w:ascii="Times New Roman" w:hAnsi="Times New Roman" w:cs="Times New Roman"/>
          <w:sz w:val="24"/>
          <w:szCs w:val="24"/>
        </w:rPr>
        <w:t xml:space="preserve"> (Mietzner, Schweizer and Tyrell (2011), Aslan and Kumar (2013)</w:t>
      </w:r>
      <w:r w:rsidR="00F71CC7" w:rsidRPr="00D97714">
        <w:rPr>
          <w:rFonts w:ascii="Times New Roman" w:hAnsi="Times New Roman" w:cs="Times New Roman"/>
          <w:sz w:val="24"/>
          <w:szCs w:val="24"/>
        </w:rPr>
        <w:t>, Gantchev, Gredil and Jotikasthira (2014)</w:t>
      </w:r>
      <w:r w:rsidR="000741ED" w:rsidRPr="00D97714">
        <w:rPr>
          <w:rFonts w:ascii="Times New Roman" w:hAnsi="Times New Roman" w:cs="Times New Roman"/>
          <w:sz w:val="24"/>
          <w:szCs w:val="24"/>
        </w:rPr>
        <w:t>)</w:t>
      </w:r>
      <w:r w:rsidR="00DB66FF" w:rsidRPr="00D97714">
        <w:rPr>
          <w:rFonts w:ascii="Times New Roman" w:hAnsi="Times New Roman" w:cs="Times New Roman"/>
          <w:sz w:val="24"/>
          <w:szCs w:val="24"/>
        </w:rPr>
        <w:t>.</w:t>
      </w:r>
    </w:p>
    <w:p w14:paraId="2E557EC7" w14:textId="6A764CB4" w:rsidR="00941D99" w:rsidRPr="00D97714" w:rsidRDefault="00941D99" w:rsidP="00DB420D">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Mietzner </w:t>
      </w:r>
      <w:r w:rsidRPr="00D97714">
        <w:rPr>
          <w:rFonts w:ascii="Times New Roman" w:hAnsi="Times New Roman" w:cs="Times New Roman"/>
          <w:i/>
          <w:sz w:val="24"/>
          <w:szCs w:val="24"/>
        </w:rPr>
        <w:t>et al.</w:t>
      </w:r>
      <w:r w:rsidRPr="00D97714">
        <w:rPr>
          <w:rFonts w:ascii="Times New Roman" w:hAnsi="Times New Roman" w:cs="Times New Roman"/>
          <w:sz w:val="24"/>
          <w:szCs w:val="24"/>
        </w:rPr>
        <w:t xml:space="preserve"> (2011) find that the extent of the intra-industry effect depends on the type of the activist investor. First, investments from private equity investors elicit a higher surge in the target firm’s stock price than investments from hedge funds. Second, the intra-industry effect on rival firms’ stock prices is positive following a private equity investment, </w:t>
      </w:r>
      <w:r w:rsidR="00A4017D" w:rsidRPr="00D97714">
        <w:rPr>
          <w:rFonts w:ascii="Times New Roman" w:hAnsi="Times New Roman" w:cs="Times New Roman"/>
          <w:sz w:val="24"/>
          <w:szCs w:val="24"/>
        </w:rPr>
        <w:t>but</w:t>
      </w:r>
      <w:r w:rsidRPr="00D97714">
        <w:rPr>
          <w:rFonts w:ascii="Times New Roman" w:hAnsi="Times New Roman" w:cs="Times New Roman"/>
          <w:sz w:val="24"/>
          <w:szCs w:val="24"/>
        </w:rPr>
        <w:t xml:space="preserve"> negative </w:t>
      </w:r>
      <w:r w:rsidR="00A4017D" w:rsidRPr="00D97714">
        <w:rPr>
          <w:rFonts w:ascii="Times New Roman" w:hAnsi="Times New Roman" w:cs="Times New Roman"/>
          <w:sz w:val="24"/>
          <w:szCs w:val="24"/>
        </w:rPr>
        <w:t>following investments from</w:t>
      </w:r>
      <w:r w:rsidRPr="00D97714">
        <w:rPr>
          <w:rFonts w:ascii="Times New Roman" w:hAnsi="Times New Roman" w:cs="Times New Roman"/>
          <w:sz w:val="24"/>
          <w:szCs w:val="24"/>
        </w:rPr>
        <w:t xml:space="preserve"> hedge funds.</w:t>
      </w:r>
      <w:r w:rsidR="00A4017D" w:rsidRPr="00D97714">
        <w:rPr>
          <w:rFonts w:ascii="Times New Roman" w:hAnsi="Times New Roman" w:cs="Times New Roman"/>
          <w:sz w:val="24"/>
          <w:szCs w:val="24"/>
        </w:rPr>
        <w:t xml:space="preserve"> </w:t>
      </w:r>
      <w:r w:rsidR="009669EE" w:rsidRPr="00D97714">
        <w:rPr>
          <w:rFonts w:ascii="Times New Roman" w:hAnsi="Times New Roman" w:cs="Times New Roman"/>
          <w:sz w:val="24"/>
          <w:szCs w:val="24"/>
        </w:rPr>
        <w:t>Funds targeted by hedge funds</w:t>
      </w:r>
      <w:r w:rsidR="00A4017D" w:rsidRPr="00D97714">
        <w:rPr>
          <w:rFonts w:ascii="Times New Roman" w:hAnsi="Times New Roman" w:cs="Times New Roman"/>
          <w:sz w:val="24"/>
          <w:szCs w:val="24"/>
        </w:rPr>
        <w:t xml:space="preserve"> tend to increase dividend payments and decrease capital investments.</w:t>
      </w:r>
      <w:r w:rsidR="00636C43" w:rsidRPr="00D97714">
        <w:rPr>
          <w:rFonts w:ascii="Times New Roman" w:hAnsi="Times New Roman" w:cs="Times New Roman"/>
          <w:sz w:val="24"/>
          <w:szCs w:val="24"/>
        </w:rPr>
        <w:t xml:space="preserve"> However, in long-run analyses, the stock performance of rival firms of hedge funds’ targets outperforms.</w:t>
      </w:r>
    </w:p>
    <w:p w14:paraId="689ADF61" w14:textId="4C865E8E" w:rsidR="00055487" w:rsidRPr="00D97714" w:rsidRDefault="00055487" w:rsidP="002F42C6">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Lee and Park (2009) argue that the first announcement of </w:t>
      </w:r>
      <w:r w:rsidR="009669EE" w:rsidRPr="00D97714">
        <w:rPr>
          <w:rFonts w:ascii="Times New Roman" w:hAnsi="Times New Roman" w:cs="Times New Roman"/>
          <w:sz w:val="24"/>
          <w:szCs w:val="24"/>
        </w:rPr>
        <w:t>an activist campaign</w:t>
      </w:r>
      <w:r w:rsidRPr="00D97714">
        <w:rPr>
          <w:rFonts w:ascii="Times New Roman" w:hAnsi="Times New Roman" w:cs="Times New Roman"/>
          <w:sz w:val="24"/>
          <w:szCs w:val="24"/>
        </w:rPr>
        <w:t xml:space="preserve"> </w:t>
      </w:r>
      <w:r w:rsidR="009669EE" w:rsidRPr="00D97714">
        <w:rPr>
          <w:rFonts w:ascii="Times New Roman" w:hAnsi="Times New Roman" w:cs="Times New Roman"/>
          <w:sz w:val="24"/>
          <w:szCs w:val="24"/>
        </w:rPr>
        <w:t xml:space="preserve">triggers an </w:t>
      </w:r>
      <w:r w:rsidR="004B67D1" w:rsidRPr="00D97714">
        <w:rPr>
          <w:rFonts w:ascii="Times New Roman" w:hAnsi="Times New Roman" w:cs="Times New Roman"/>
          <w:sz w:val="24"/>
          <w:szCs w:val="24"/>
        </w:rPr>
        <w:t>anticipation</w:t>
      </w:r>
      <w:r w:rsidRPr="00D97714">
        <w:rPr>
          <w:rFonts w:ascii="Times New Roman" w:hAnsi="Times New Roman" w:cs="Times New Roman"/>
          <w:sz w:val="24"/>
          <w:szCs w:val="24"/>
        </w:rPr>
        <w:t xml:space="preserve"> that </w:t>
      </w:r>
      <w:r w:rsidR="004B67D1" w:rsidRPr="00D97714">
        <w:rPr>
          <w:rFonts w:ascii="Times New Roman" w:hAnsi="Times New Roman" w:cs="Times New Roman"/>
          <w:sz w:val="24"/>
          <w:szCs w:val="24"/>
        </w:rPr>
        <w:t>similar</w:t>
      </w:r>
      <w:r w:rsidRPr="00D97714">
        <w:rPr>
          <w:rFonts w:ascii="Times New Roman" w:hAnsi="Times New Roman" w:cs="Times New Roman"/>
          <w:sz w:val="24"/>
          <w:szCs w:val="24"/>
        </w:rPr>
        <w:t xml:space="preserve"> activism will be aimed at other companies.</w:t>
      </w:r>
      <w:r w:rsidR="004B67D1" w:rsidRPr="00D97714">
        <w:rPr>
          <w:rFonts w:ascii="Times New Roman" w:hAnsi="Times New Roman" w:cs="Times New Roman"/>
          <w:sz w:val="24"/>
          <w:szCs w:val="24"/>
        </w:rPr>
        <w:t xml:space="preserve"> They examine the effects of such announcements on the stock </w:t>
      </w:r>
      <w:r w:rsidR="004408E4" w:rsidRPr="00D97714">
        <w:rPr>
          <w:rFonts w:ascii="Times New Roman" w:hAnsi="Times New Roman" w:cs="Times New Roman"/>
          <w:sz w:val="24"/>
          <w:szCs w:val="24"/>
        </w:rPr>
        <w:t>prices of non-target companies and document strong evidence for a positive spillover wealth effect of institutional activism.</w:t>
      </w:r>
    </w:p>
    <w:p w14:paraId="25B60345" w14:textId="60C8207C" w:rsidR="00AA638C" w:rsidRPr="00D97714" w:rsidRDefault="000E102F" w:rsidP="000E102F">
      <w:pPr>
        <w:spacing w:line="480" w:lineRule="auto"/>
        <w:rPr>
          <w:rFonts w:ascii="Times New Roman" w:hAnsi="Times New Roman" w:cs="Times New Roman"/>
          <w:b/>
          <w:i/>
          <w:sz w:val="24"/>
          <w:szCs w:val="24"/>
        </w:rPr>
      </w:pPr>
      <w:r w:rsidRPr="00D97714">
        <w:rPr>
          <w:rFonts w:ascii="Times New Roman" w:hAnsi="Times New Roman" w:cs="Times New Roman"/>
          <w:b/>
          <w:i/>
          <w:sz w:val="24"/>
          <w:szCs w:val="24"/>
        </w:rPr>
        <w:t>Hypotheses</w:t>
      </w:r>
      <w:r w:rsidR="00E10676" w:rsidRPr="00D97714">
        <w:rPr>
          <w:rFonts w:ascii="Times New Roman" w:hAnsi="Times New Roman" w:cs="Times New Roman"/>
          <w:b/>
          <w:i/>
          <w:sz w:val="24"/>
          <w:szCs w:val="24"/>
        </w:rPr>
        <w:t xml:space="preserve"> </w:t>
      </w:r>
    </w:p>
    <w:p w14:paraId="0CAF0B32" w14:textId="203C9E3D" w:rsidR="00756E29" w:rsidRPr="00D97714" w:rsidRDefault="00756E29" w:rsidP="002F42C6">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﻿We expect agency costs to be significantly reduced as a result of </w:t>
      </w:r>
      <w:r w:rsidR="00666F0C" w:rsidRPr="00D97714">
        <w:rPr>
          <w:rFonts w:ascii="Times New Roman" w:hAnsi="Times New Roman" w:cs="Times New Roman"/>
          <w:sz w:val="24"/>
          <w:szCs w:val="24"/>
        </w:rPr>
        <w:t xml:space="preserve">institutional shareholders’ </w:t>
      </w:r>
      <w:r w:rsidRPr="00D97714">
        <w:rPr>
          <w:rFonts w:ascii="Times New Roman" w:hAnsi="Times New Roman" w:cs="Times New Roman"/>
          <w:sz w:val="24"/>
          <w:szCs w:val="24"/>
        </w:rPr>
        <w:t xml:space="preserve">activist actions. The active monitoring performed by the investors would reduce the information asymmetry and promote trading and liquidity in the company shares. Additionally, it has been documented that activist investors are able to constrain managerial hazard. Ellias (2015) finds little evidence </w:t>
      </w:r>
      <w:r w:rsidR="00C818E2" w:rsidRPr="00D97714">
        <w:rPr>
          <w:rFonts w:ascii="Times New Roman" w:hAnsi="Times New Roman" w:cs="Times New Roman"/>
          <w:sz w:val="24"/>
          <w:szCs w:val="24"/>
        </w:rPr>
        <w:t xml:space="preserve">to suggest </w:t>
      </w:r>
      <w:r w:rsidRPr="00D97714">
        <w:rPr>
          <w:rFonts w:ascii="Times New Roman" w:hAnsi="Times New Roman" w:cs="Times New Roman"/>
          <w:sz w:val="24"/>
          <w:szCs w:val="24"/>
        </w:rPr>
        <w:t xml:space="preserve">that activists </w:t>
      </w:r>
      <w:r w:rsidR="00666F0C" w:rsidRPr="00D97714">
        <w:rPr>
          <w:rFonts w:ascii="Times New Roman" w:hAnsi="Times New Roman" w:cs="Times New Roman"/>
          <w:sz w:val="24"/>
          <w:szCs w:val="24"/>
        </w:rPr>
        <w:t>abuse current processes</w:t>
      </w:r>
      <w:r w:rsidRPr="00D97714">
        <w:rPr>
          <w:rFonts w:ascii="Times New Roman" w:hAnsi="Times New Roman" w:cs="Times New Roman"/>
          <w:sz w:val="24"/>
          <w:szCs w:val="24"/>
        </w:rPr>
        <w:t xml:space="preserve"> to extract value solely for themselves. The author's findings suggest that activist investors constrain managerial self-dealing and end up benefiting all stakeholders.</w:t>
      </w:r>
    </w:p>
    <w:p w14:paraId="76C31C21" w14:textId="09DCA92C" w:rsidR="007851FA" w:rsidRPr="00D97714" w:rsidRDefault="00AF274E" w:rsidP="002F42C6">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H</w:t>
      </w:r>
      <w:r w:rsidR="004F2881" w:rsidRPr="00D97714">
        <w:rPr>
          <w:rFonts w:ascii="Times New Roman" w:hAnsi="Times New Roman" w:cs="Times New Roman"/>
          <w:sz w:val="24"/>
          <w:szCs w:val="24"/>
        </w:rPr>
        <w:t xml:space="preserve">andling </w:t>
      </w:r>
      <w:r w:rsidR="000E102F" w:rsidRPr="00D97714">
        <w:rPr>
          <w:rFonts w:ascii="Times New Roman" w:hAnsi="Times New Roman" w:cs="Times New Roman"/>
          <w:sz w:val="24"/>
          <w:szCs w:val="24"/>
        </w:rPr>
        <w:t xml:space="preserve">activist shareholders </w:t>
      </w:r>
      <w:r w:rsidR="004F2881" w:rsidRPr="00D97714">
        <w:rPr>
          <w:rFonts w:ascii="Times New Roman" w:hAnsi="Times New Roman" w:cs="Times New Roman"/>
          <w:sz w:val="24"/>
          <w:szCs w:val="24"/>
        </w:rPr>
        <w:t>can be</w:t>
      </w:r>
      <w:r w:rsidR="000E102F" w:rsidRPr="00D97714">
        <w:rPr>
          <w:rFonts w:ascii="Times New Roman" w:hAnsi="Times New Roman" w:cs="Times New Roman"/>
          <w:sz w:val="24"/>
          <w:szCs w:val="24"/>
        </w:rPr>
        <w:t xml:space="preserve"> costly, time consuming and distracting. </w:t>
      </w:r>
      <w:r w:rsidR="0002763D" w:rsidRPr="00D97714">
        <w:rPr>
          <w:rFonts w:ascii="Times New Roman" w:hAnsi="Times New Roman" w:cs="Times New Roman"/>
          <w:sz w:val="24"/>
          <w:szCs w:val="24"/>
        </w:rPr>
        <w:t xml:space="preserve">The ultimate price paid by existing management is possibly that they are asked to leave (also see Brav </w:t>
      </w:r>
      <w:r w:rsidR="0002763D" w:rsidRPr="00D97714">
        <w:rPr>
          <w:rFonts w:ascii="Times New Roman" w:hAnsi="Times New Roman" w:cs="Times New Roman"/>
          <w:i/>
          <w:sz w:val="24"/>
          <w:szCs w:val="24"/>
        </w:rPr>
        <w:t>et al</w:t>
      </w:r>
      <w:r w:rsidR="0002763D" w:rsidRPr="00D97714">
        <w:rPr>
          <w:rFonts w:ascii="Times New Roman" w:hAnsi="Times New Roman" w:cs="Times New Roman"/>
          <w:sz w:val="24"/>
          <w:szCs w:val="24"/>
        </w:rPr>
        <w:t>. (2008))</w:t>
      </w:r>
      <w:r w:rsidR="004737B7" w:rsidRPr="00D97714">
        <w:rPr>
          <w:rFonts w:ascii="Times New Roman" w:hAnsi="Times New Roman" w:cs="Times New Roman"/>
          <w:sz w:val="24"/>
          <w:szCs w:val="24"/>
        </w:rPr>
        <w:t>, which prompts management at potential target firms to take remedial actions to fend off activists</w:t>
      </w:r>
      <w:r w:rsidR="0002763D" w:rsidRPr="00D97714">
        <w:rPr>
          <w:rFonts w:ascii="Times New Roman" w:hAnsi="Times New Roman" w:cs="Times New Roman"/>
          <w:sz w:val="24"/>
          <w:szCs w:val="24"/>
        </w:rPr>
        <w:t xml:space="preserve">. </w:t>
      </w:r>
      <w:r w:rsidR="00E10676" w:rsidRPr="00D97714">
        <w:rPr>
          <w:rFonts w:ascii="Times New Roman" w:hAnsi="Times New Roman" w:cs="Times New Roman"/>
          <w:sz w:val="24"/>
          <w:szCs w:val="24"/>
        </w:rPr>
        <w:t xml:space="preserve">Edmans, Goldstein and Jiang (2012) argue that while managerial underperformance increases the threat of a takeover, the anticipation effect </w:t>
      </w:r>
      <w:r w:rsidR="00F47A23" w:rsidRPr="00D97714">
        <w:rPr>
          <w:rFonts w:ascii="Times New Roman" w:hAnsi="Times New Roman" w:cs="Times New Roman"/>
          <w:sz w:val="24"/>
          <w:szCs w:val="24"/>
        </w:rPr>
        <w:t>dampens</w:t>
      </w:r>
      <w:r w:rsidR="00E10676" w:rsidRPr="00D97714">
        <w:rPr>
          <w:rFonts w:ascii="Times New Roman" w:hAnsi="Times New Roman" w:cs="Times New Roman"/>
          <w:sz w:val="24"/>
          <w:szCs w:val="24"/>
        </w:rPr>
        <w:t xml:space="preserve"> </w:t>
      </w:r>
      <w:r w:rsidR="007851FA" w:rsidRPr="00D97714">
        <w:rPr>
          <w:rFonts w:ascii="Times New Roman" w:hAnsi="Times New Roman" w:cs="Times New Roman"/>
          <w:sz w:val="24"/>
          <w:szCs w:val="24"/>
        </w:rPr>
        <w:t>it</w:t>
      </w:r>
      <w:r w:rsidR="00E10676" w:rsidRPr="00D97714">
        <w:rPr>
          <w:rFonts w:ascii="Times New Roman" w:hAnsi="Times New Roman" w:cs="Times New Roman"/>
          <w:sz w:val="24"/>
          <w:szCs w:val="24"/>
        </w:rPr>
        <w:t xml:space="preserve">. </w:t>
      </w:r>
      <w:r w:rsidR="007851FA" w:rsidRPr="00D97714">
        <w:rPr>
          <w:rFonts w:ascii="Times New Roman" w:hAnsi="Times New Roman" w:cs="Times New Roman"/>
          <w:sz w:val="24"/>
          <w:szCs w:val="24"/>
        </w:rPr>
        <w:t xml:space="preserve">The effect prompts managers to take actions that </w:t>
      </w:r>
      <w:r w:rsidR="00614833" w:rsidRPr="00D97714">
        <w:rPr>
          <w:rFonts w:ascii="Times New Roman" w:hAnsi="Times New Roman" w:cs="Times New Roman"/>
          <w:sz w:val="24"/>
          <w:szCs w:val="24"/>
        </w:rPr>
        <w:t>diminish</w:t>
      </w:r>
      <w:r w:rsidR="007851FA" w:rsidRPr="00D97714">
        <w:rPr>
          <w:rFonts w:ascii="Times New Roman" w:hAnsi="Times New Roman" w:cs="Times New Roman"/>
          <w:sz w:val="24"/>
          <w:szCs w:val="24"/>
        </w:rPr>
        <w:t xml:space="preserve"> their </w:t>
      </w:r>
      <w:r w:rsidR="00614833" w:rsidRPr="00D97714">
        <w:rPr>
          <w:rFonts w:ascii="Times New Roman" w:hAnsi="Times New Roman" w:cs="Times New Roman"/>
          <w:sz w:val="24"/>
          <w:szCs w:val="24"/>
        </w:rPr>
        <w:t xml:space="preserve">firm’s </w:t>
      </w:r>
      <w:r w:rsidR="007851FA" w:rsidRPr="00D97714">
        <w:rPr>
          <w:rFonts w:ascii="Times New Roman" w:hAnsi="Times New Roman" w:cs="Times New Roman"/>
          <w:sz w:val="24"/>
          <w:szCs w:val="24"/>
        </w:rPr>
        <w:t>attractiveness as a takeover candidate. The same argument applies to firms responding to activist threats at rival companies.</w:t>
      </w:r>
    </w:p>
    <w:p w14:paraId="0986B487" w14:textId="79D857BE" w:rsidR="00E305CC" w:rsidRPr="00D97714" w:rsidRDefault="00E305CC" w:rsidP="00AA176E">
      <w:pPr>
        <w:spacing w:line="480" w:lineRule="auto"/>
        <w:ind w:left="1440" w:hanging="720"/>
        <w:rPr>
          <w:rFonts w:ascii="Times New Roman" w:hAnsi="Times New Roman" w:cs="Times New Roman"/>
          <w:sz w:val="24"/>
          <w:szCs w:val="24"/>
        </w:rPr>
      </w:pPr>
      <w:r w:rsidRPr="00D97714">
        <w:rPr>
          <w:rFonts w:ascii="Times New Roman" w:hAnsi="Times New Roman" w:cs="Times New Roman"/>
          <w:sz w:val="24"/>
          <w:szCs w:val="24"/>
        </w:rPr>
        <w:t xml:space="preserve">H1: </w:t>
      </w:r>
      <w:r w:rsidRPr="00D97714">
        <w:rPr>
          <w:rFonts w:ascii="Times New Roman" w:hAnsi="Times New Roman" w:cs="Times New Roman"/>
          <w:sz w:val="24"/>
          <w:szCs w:val="24"/>
        </w:rPr>
        <w:tab/>
        <w:t>The stock returns of targeted firms would increase following announcements of institutional investor activism.</w:t>
      </w:r>
    </w:p>
    <w:p w14:paraId="645F75E9" w14:textId="0DB2343F" w:rsidR="007410C6" w:rsidRPr="00D97714" w:rsidRDefault="00903E10" w:rsidP="003B73A7">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Non-targeted</w:t>
      </w:r>
      <w:r w:rsidR="000E102F" w:rsidRPr="00D97714">
        <w:rPr>
          <w:rFonts w:ascii="Times New Roman" w:hAnsi="Times New Roman" w:cs="Times New Roman"/>
          <w:sz w:val="24"/>
          <w:szCs w:val="24"/>
        </w:rPr>
        <w:t xml:space="preserve"> firms save on </w:t>
      </w:r>
      <w:r w:rsidR="00887892" w:rsidRPr="00D97714">
        <w:rPr>
          <w:rFonts w:ascii="Times New Roman" w:hAnsi="Times New Roman" w:cs="Times New Roman"/>
          <w:sz w:val="24"/>
          <w:szCs w:val="24"/>
        </w:rPr>
        <w:t>the aforementioned</w:t>
      </w:r>
      <w:r w:rsidR="004737B7" w:rsidRPr="00D97714">
        <w:rPr>
          <w:rFonts w:ascii="Times New Roman" w:hAnsi="Times New Roman" w:cs="Times New Roman"/>
          <w:sz w:val="24"/>
          <w:szCs w:val="24"/>
        </w:rPr>
        <w:t xml:space="preserve"> </w:t>
      </w:r>
      <w:r w:rsidR="000E102F" w:rsidRPr="00D97714">
        <w:rPr>
          <w:rFonts w:ascii="Times New Roman" w:hAnsi="Times New Roman" w:cs="Times New Roman"/>
          <w:sz w:val="24"/>
          <w:szCs w:val="24"/>
        </w:rPr>
        <w:t>costs until they become the target of activist investors.</w:t>
      </w:r>
      <w:r w:rsidR="00026EB7" w:rsidRPr="00D97714">
        <w:rPr>
          <w:rFonts w:ascii="Times New Roman" w:hAnsi="Times New Roman" w:cs="Times New Roman"/>
          <w:sz w:val="24"/>
          <w:szCs w:val="24"/>
        </w:rPr>
        <w:t xml:space="preserve"> To avoid confrontations with activist investors, managers at these firms initiate actions to redress their weaknesses</w:t>
      </w:r>
      <w:r w:rsidR="00F67CD2" w:rsidRPr="00D97714">
        <w:rPr>
          <w:rFonts w:ascii="Times New Roman" w:hAnsi="Times New Roman" w:cs="Times New Roman"/>
          <w:sz w:val="24"/>
          <w:szCs w:val="24"/>
        </w:rPr>
        <w:t xml:space="preserve"> </w:t>
      </w:r>
      <w:r w:rsidR="007B7ECF" w:rsidRPr="00D97714">
        <w:rPr>
          <w:rFonts w:ascii="Times New Roman" w:hAnsi="Times New Roman" w:cs="Times New Roman"/>
          <w:sz w:val="24"/>
          <w:szCs w:val="24"/>
        </w:rPr>
        <w:t>-</w:t>
      </w:r>
      <w:r w:rsidR="00F67CD2" w:rsidRPr="00D97714">
        <w:rPr>
          <w:rFonts w:ascii="Times New Roman" w:hAnsi="Times New Roman" w:cs="Times New Roman"/>
          <w:sz w:val="24"/>
          <w:szCs w:val="24"/>
        </w:rPr>
        <w:t xml:space="preserve"> for instance, reducing agency costs and/or improving operating performance</w:t>
      </w:r>
      <w:r w:rsidR="00026EB7" w:rsidRPr="00D97714">
        <w:rPr>
          <w:rFonts w:ascii="Times New Roman" w:hAnsi="Times New Roman" w:cs="Times New Roman"/>
          <w:sz w:val="24"/>
          <w:szCs w:val="24"/>
        </w:rPr>
        <w:t xml:space="preserve">. </w:t>
      </w:r>
      <w:r w:rsidR="00CF30C7" w:rsidRPr="00D97714">
        <w:rPr>
          <w:rFonts w:ascii="Times New Roman" w:hAnsi="Times New Roman" w:cs="Times New Roman"/>
          <w:sz w:val="24"/>
          <w:szCs w:val="24"/>
        </w:rPr>
        <w:t>As a</w:t>
      </w:r>
      <w:r w:rsidR="00026EB7" w:rsidRPr="00D97714">
        <w:rPr>
          <w:rFonts w:ascii="Times New Roman" w:hAnsi="Times New Roman" w:cs="Times New Roman"/>
          <w:sz w:val="24"/>
          <w:szCs w:val="24"/>
        </w:rPr>
        <w:t xml:space="preserve"> consequence, </w:t>
      </w:r>
      <w:r w:rsidRPr="00D97714">
        <w:rPr>
          <w:rFonts w:ascii="Times New Roman" w:hAnsi="Times New Roman" w:cs="Times New Roman"/>
          <w:sz w:val="24"/>
          <w:szCs w:val="24"/>
        </w:rPr>
        <w:t>non-targeted</w:t>
      </w:r>
      <w:r w:rsidR="00026EB7" w:rsidRPr="00D97714">
        <w:rPr>
          <w:rFonts w:ascii="Times New Roman" w:hAnsi="Times New Roman" w:cs="Times New Roman"/>
          <w:sz w:val="24"/>
          <w:szCs w:val="24"/>
        </w:rPr>
        <w:t xml:space="preserve"> firm</w:t>
      </w:r>
      <w:r w:rsidR="00CE748A" w:rsidRPr="00D97714">
        <w:rPr>
          <w:rFonts w:ascii="Times New Roman" w:hAnsi="Times New Roman" w:cs="Times New Roman"/>
          <w:sz w:val="24"/>
          <w:szCs w:val="24"/>
        </w:rPr>
        <w:t>s</w:t>
      </w:r>
      <w:r w:rsidR="00026EB7" w:rsidRPr="00D97714">
        <w:rPr>
          <w:rFonts w:ascii="Times New Roman" w:hAnsi="Times New Roman" w:cs="Times New Roman"/>
          <w:sz w:val="24"/>
          <w:szCs w:val="24"/>
        </w:rPr>
        <w:t xml:space="preserve"> </w:t>
      </w:r>
      <w:r w:rsidR="00CE748A" w:rsidRPr="00D97714">
        <w:rPr>
          <w:rFonts w:ascii="Times New Roman" w:hAnsi="Times New Roman" w:cs="Times New Roman"/>
          <w:sz w:val="24"/>
          <w:szCs w:val="24"/>
        </w:rPr>
        <w:t xml:space="preserve">benefit from the </w:t>
      </w:r>
      <w:r w:rsidR="007B7ECF" w:rsidRPr="00D97714">
        <w:rPr>
          <w:rFonts w:ascii="Times New Roman" w:hAnsi="Times New Roman" w:cs="Times New Roman"/>
          <w:sz w:val="24"/>
          <w:szCs w:val="24"/>
        </w:rPr>
        <w:t xml:space="preserve">preemptive </w:t>
      </w:r>
      <w:r w:rsidR="00CE748A" w:rsidRPr="00D97714">
        <w:rPr>
          <w:rFonts w:ascii="Times New Roman" w:hAnsi="Times New Roman" w:cs="Times New Roman"/>
          <w:sz w:val="24"/>
          <w:szCs w:val="24"/>
        </w:rPr>
        <w:t xml:space="preserve">actions taken by their managers to avoid </w:t>
      </w:r>
      <w:r w:rsidR="00887892" w:rsidRPr="00D97714">
        <w:rPr>
          <w:rFonts w:ascii="Times New Roman" w:hAnsi="Times New Roman" w:cs="Times New Roman"/>
          <w:sz w:val="24"/>
          <w:szCs w:val="24"/>
        </w:rPr>
        <w:t>conflicts</w:t>
      </w:r>
      <w:r w:rsidR="00CE748A" w:rsidRPr="00D97714">
        <w:rPr>
          <w:rFonts w:ascii="Times New Roman" w:hAnsi="Times New Roman" w:cs="Times New Roman"/>
          <w:sz w:val="24"/>
          <w:szCs w:val="24"/>
        </w:rPr>
        <w:t xml:space="preserve"> with activists</w:t>
      </w:r>
      <w:r w:rsidR="00CF30C7" w:rsidRPr="00D97714">
        <w:rPr>
          <w:rFonts w:ascii="Times New Roman" w:hAnsi="Times New Roman" w:cs="Times New Roman"/>
          <w:sz w:val="24"/>
          <w:szCs w:val="24"/>
        </w:rPr>
        <w:t>,</w:t>
      </w:r>
      <w:r w:rsidR="00CE748A" w:rsidRPr="00D97714">
        <w:rPr>
          <w:rFonts w:ascii="Times New Roman" w:hAnsi="Times New Roman" w:cs="Times New Roman"/>
          <w:sz w:val="24"/>
          <w:szCs w:val="24"/>
        </w:rPr>
        <w:t xml:space="preserve"> </w:t>
      </w:r>
      <w:r w:rsidR="00F67CD2" w:rsidRPr="00D97714">
        <w:rPr>
          <w:rFonts w:ascii="Times New Roman" w:hAnsi="Times New Roman" w:cs="Times New Roman"/>
          <w:sz w:val="24"/>
          <w:szCs w:val="24"/>
        </w:rPr>
        <w:t>but</w:t>
      </w:r>
      <w:r w:rsidR="00CE748A" w:rsidRPr="00D97714">
        <w:rPr>
          <w:rFonts w:ascii="Times New Roman" w:hAnsi="Times New Roman" w:cs="Times New Roman"/>
          <w:sz w:val="24"/>
          <w:szCs w:val="24"/>
        </w:rPr>
        <w:t xml:space="preserve"> do</w:t>
      </w:r>
      <w:r w:rsidR="009D2FC1" w:rsidRPr="00D97714">
        <w:rPr>
          <w:rFonts w:ascii="Times New Roman" w:hAnsi="Times New Roman" w:cs="Times New Roman"/>
          <w:sz w:val="24"/>
          <w:szCs w:val="24"/>
        </w:rPr>
        <w:t xml:space="preserve"> not </w:t>
      </w:r>
      <w:r w:rsidR="007B7ECF" w:rsidRPr="00D97714">
        <w:rPr>
          <w:rFonts w:ascii="Times New Roman" w:hAnsi="Times New Roman" w:cs="Times New Roman"/>
          <w:sz w:val="24"/>
          <w:szCs w:val="24"/>
        </w:rPr>
        <w:t xml:space="preserve">suffer </w:t>
      </w:r>
      <w:r w:rsidR="00026EB7" w:rsidRPr="00D97714">
        <w:rPr>
          <w:rFonts w:ascii="Times New Roman" w:hAnsi="Times New Roman" w:cs="Times New Roman"/>
          <w:sz w:val="24"/>
          <w:szCs w:val="24"/>
        </w:rPr>
        <w:t xml:space="preserve">the </w:t>
      </w:r>
      <w:r w:rsidR="00F67CD2" w:rsidRPr="00D97714">
        <w:rPr>
          <w:rFonts w:ascii="Times New Roman" w:hAnsi="Times New Roman" w:cs="Times New Roman"/>
          <w:sz w:val="24"/>
          <w:szCs w:val="24"/>
        </w:rPr>
        <w:t>same costs</w:t>
      </w:r>
      <w:r w:rsidR="00026EB7" w:rsidRPr="00D97714">
        <w:rPr>
          <w:rFonts w:ascii="Times New Roman" w:hAnsi="Times New Roman" w:cs="Times New Roman"/>
          <w:sz w:val="24"/>
          <w:szCs w:val="24"/>
        </w:rPr>
        <w:t xml:space="preserve"> </w:t>
      </w:r>
      <w:r w:rsidR="007B7ECF" w:rsidRPr="00D97714">
        <w:rPr>
          <w:rFonts w:ascii="Times New Roman" w:hAnsi="Times New Roman" w:cs="Times New Roman"/>
          <w:sz w:val="24"/>
          <w:szCs w:val="24"/>
        </w:rPr>
        <w:t>as</w:t>
      </w:r>
      <w:r w:rsidR="00026EB7" w:rsidRPr="00D97714">
        <w:rPr>
          <w:rFonts w:ascii="Times New Roman" w:hAnsi="Times New Roman" w:cs="Times New Roman"/>
          <w:sz w:val="24"/>
          <w:szCs w:val="24"/>
        </w:rPr>
        <w:t xml:space="preserve"> </w:t>
      </w:r>
      <w:r w:rsidR="007410C6" w:rsidRPr="00D97714">
        <w:rPr>
          <w:rFonts w:ascii="Times New Roman" w:hAnsi="Times New Roman" w:cs="Times New Roman"/>
          <w:sz w:val="24"/>
          <w:szCs w:val="24"/>
        </w:rPr>
        <w:t>the targeted</w:t>
      </w:r>
      <w:r w:rsidR="00026EB7" w:rsidRPr="00D97714">
        <w:rPr>
          <w:rFonts w:ascii="Times New Roman" w:hAnsi="Times New Roman" w:cs="Times New Roman"/>
          <w:sz w:val="24"/>
          <w:szCs w:val="24"/>
        </w:rPr>
        <w:t xml:space="preserve"> firms. </w:t>
      </w:r>
      <w:r w:rsidR="00CE748A" w:rsidRPr="00D97714">
        <w:rPr>
          <w:rFonts w:ascii="Times New Roman" w:hAnsi="Times New Roman" w:cs="Times New Roman"/>
          <w:sz w:val="24"/>
          <w:szCs w:val="24"/>
        </w:rPr>
        <w:t xml:space="preserve">This dual effect tends to add value at the </w:t>
      </w:r>
      <w:r w:rsidRPr="00D97714">
        <w:rPr>
          <w:rFonts w:ascii="Times New Roman" w:hAnsi="Times New Roman" w:cs="Times New Roman"/>
          <w:sz w:val="24"/>
          <w:szCs w:val="24"/>
        </w:rPr>
        <w:t>non-targeted</w:t>
      </w:r>
      <w:r w:rsidR="00CE748A" w:rsidRPr="00D97714">
        <w:rPr>
          <w:rFonts w:ascii="Times New Roman" w:hAnsi="Times New Roman" w:cs="Times New Roman"/>
          <w:sz w:val="24"/>
          <w:szCs w:val="24"/>
        </w:rPr>
        <w:t xml:space="preserve"> firms. Thus, we</w:t>
      </w:r>
      <w:r w:rsidR="00026EB7" w:rsidRPr="00D97714">
        <w:rPr>
          <w:rFonts w:ascii="Times New Roman" w:hAnsi="Times New Roman" w:cs="Times New Roman"/>
          <w:sz w:val="24"/>
          <w:szCs w:val="24"/>
        </w:rPr>
        <w:t xml:space="preserve"> </w:t>
      </w:r>
      <w:r w:rsidR="007B7ECF" w:rsidRPr="00D97714">
        <w:rPr>
          <w:rFonts w:ascii="Times New Roman" w:hAnsi="Times New Roman" w:cs="Times New Roman"/>
          <w:sz w:val="24"/>
          <w:szCs w:val="24"/>
        </w:rPr>
        <w:t>expect</w:t>
      </w:r>
      <w:r w:rsidR="00026EB7" w:rsidRPr="00D97714">
        <w:rPr>
          <w:rFonts w:ascii="Times New Roman" w:hAnsi="Times New Roman" w:cs="Times New Roman"/>
          <w:sz w:val="24"/>
          <w:szCs w:val="24"/>
        </w:rPr>
        <w:t xml:space="preserve"> the value of </w:t>
      </w:r>
      <w:r w:rsidR="007410C6" w:rsidRPr="00D97714">
        <w:rPr>
          <w:rFonts w:ascii="Times New Roman" w:hAnsi="Times New Roman" w:cs="Times New Roman"/>
          <w:sz w:val="24"/>
          <w:szCs w:val="24"/>
        </w:rPr>
        <w:t>these</w:t>
      </w:r>
      <w:r w:rsidR="00026EB7" w:rsidRPr="00D97714">
        <w:rPr>
          <w:rFonts w:ascii="Times New Roman" w:hAnsi="Times New Roman" w:cs="Times New Roman"/>
          <w:sz w:val="24"/>
          <w:szCs w:val="24"/>
        </w:rPr>
        <w:t xml:space="preserve"> firms </w:t>
      </w:r>
      <w:r w:rsidR="00CF30C7" w:rsidRPr="00D97714">
        <w:rPr>
          <w:rFonts w:ascii="Times New Roman" w:hAnsi="Times New Roman" w:cs="Times New Roman"/>
          <w:sz w:val="24"/>
          <w:szCs w:val="24"/>
        </w:rPr>
        <w:t xml:space="preserve">to </w:t>
      </w:r>
      <w:r w:rsidR="00026EB7" w:rsidRPr="00D97714">
        <w:rPr>
          <w:rFonts w:ascii="Times New Roman" w:hAnsi="Times New Roman" w:cs="Times New Roman"/>
          <w:sz w:val="24"/>
          <w:szCs w:val="24"/>
        </w:rPr>
        <w:t>increase following activist actions at targeted firms.</w:t>
      </w:r>
      <w:r w:rsidR="00B879B4" w:rsidRPr="00D97714">
        <w:rPr>
          <w:rFonts w:ascii="Times New Roman" w:hAnsi="Times New Roman" w:cs="Times New Roman"/>
          <w:sz w:val="24"/>
          <w:szCs w:val="24"/>
        </w:rPr>
        <w:t xml:space="preserve"> </w:t>
      </w:r>
      <w:r w:rsidR="00F67CD2" w:rsidRPr="00D97714">
        <w:rPr>
          <w:rFonts w:ascii="Times New Roman" w:hAnsi="Times New Roman" w:cs="Times New Roman"/>
          <w:sz w:val="24"/>
          <w:szCs w:val="24"/>
        </w:rPr>
        <w:t xml:space="preserve">Moreover, the </w:t>
      </w:r>
      <w:r w:rsidRPr="00D97714">
        <w:rPr>
          <w:rFonts w:ascii="Times New Roman" w:hAnsi="Times New Roman" w:cs="Times New Roman"/>
          <w:sz w:val="24"/>
          <w:szCs w:val="24"/>
        </w:rPr>
        <w:t>non-targeted</w:t>
      </w:r>
      <w:r w:rsidR="00F67CD2" w:rsidRPr="00D97714">
        <w:rPr>
          <w:rFonts w:ascii="Times New Roman" w:hAnsi="Times New Roman" w:cs="Times New Roman"/>
          <w:sz w:val="24"/>
          <w:szCs w:val="24"/>
        </w:rPr>
        <w:t xml:space="preserve"> firms are shielding their owners from the actions of </w:t>
      </w:r>
      <w:r w:rsidR="0041716C" w:rsidRPr="00D97714">
        <w:rPr>
          <w:rFonts w:ascii="Times New Roman" w:hAnsi="Times New Roman" w:cs="Times New Roman"/>
          <w:sz w:val="24"/>
          <w:szCs w:val="24"/>
        </w:rPr>
        <w:t>potential</w:t>
      </w:r>
      <w:r w:rsidR="00F67CD2" w:rsidRPr="00D97714">
        <w:rPr>
          <w:rFonts w:ascii="Times New Roman" w:hAnsi="Times New Roman" w:cs="Times New Roman"/>
          <w:sz w:val="24"/>
          <w:szCs w:val="24"/>
        </w:rPr>
        <w:t xml:space="preserve"> self-serving activists, </w:t>
      </w:r>
      <w:r w:rsidR="00C569C5" w:rsidRPr="00D97714">
        <w:rPr>
          <w:rFonts w:ascii="Times New Roman" w:hAnsi="Times New Roman" w:cs="Times New Roman"/>
          <w:sz w:val="24"/>
          <w:szCs w:val="24"/>
        </w:rPr>
        <w:t>and this</w:t>
      </w:r>
      <w:r w:rsidR="007410C6" w:rsidRPr="00D97714">
        <w:rPr>
          <w:rFonts w:ascii="Times New Roman" w:hAnsi="Times New Roman" w:cs="Times New Roman"/>
          <w:sz w:val="24"/>
          <w:szCs w:val="24"/>
        </w:rPr>
        <w:t xml:space="preserve"> ought to be</w:t>
      </w:r>
      <w:r w:rsidR="00C569C5" w:rsidRPr="00D97714">
        <w:rPr>
          <w:rFonts w:ascii="Times New Roman" w:hAnsi="Times New Roman" w:cs="Times New Roman"/>
          <w:sz w:val="24"/>
          <w:szCs w:val="24"/>
        </w:rPr>
        <w:t xml:space="preserve"> beneficial to the current shareholders.</w:t>
      </w:r>
    </w:p>
    <w:p w14:paraId="370037D1" w14:textId="4BB85FA2" w:rsidR="00DD5742" w:rsidRPr="00D97714" w:rsidRDefault="006155F5" w:rsidP="002F42C6">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The notion of </w:t>
      </w:r>
      <w:r w:rsidR="00F64223" w:rsidRPr="00D97714">
        <w:rPr>
          <w:rFonts w:ascii="Times New Roman" w:hAnsi="Times New Roman" w:cs="Times New Roman"/>
          <w:sz w:val="24"/>
          <w:szCs w:val="24"/>
        </w:rPr>
        <w:t>potential target</w:t>
      </w:r>
      <w:r w:rsidRPr="00D97714">
        <w:rPr>
          <w:rFonts w:ascii="Times New Roman" w:hAnsi="Times New Roman" w:cs="Times New Roman"/>
          <w:sz w:val="24"/>
          <w:szCs w:val="24"/>
        </w:rPr>
        <w:t xml:space="preserve"> firms </w:t>
      </w:r>
      <w:r w:rsidR="008555CD" w:rsidRPr="00D97714">
        <w:rPr>
          <w:rFonts w:ascii="Times New Roman" w:hAnsi="Times New Roman" w:cs="Times New Roman"/>
          <w:sz w:val="24"/>
          <w:szCs w:val="24"/>
        </w:rPr>
        <w:t>is genuine and real</w:t>
      </w:r>
      <w:r w:rsidRPr="00D97714">
        <w:rPr>
          <w:rFonts w:ascii="Times New Roman" w:hAnsi="Times New Roman" w:cs="Times New Roman"/>
          <w:sz w:val="24"/>
          <w:szCs w:val="24"/>
        </w:rPr>
        <w:t xml:space="preserve">. </w:t>
      </w:r>
      <w:r w:rsidR="00A12A23" w:rsidRPr="00D97714">
        <w:rPr>
          <w:rFonts w:ascii="Times New Roman" w:hAnsi="Times New Roman" w:cs="Times New Roman"/>
          <w:sz w:val="24"/>
          <w:szCs w:val="24"/>
        </w:rPr>
        <w:t>Many a</w:t>
      </w:r>
      <w:r w:rsidRPr="00D97714">
        <w:rPr>
          <w:rFonts w:ascii="Times New Roman" w:hAnsi="Times New Roman" w:cs="Times New Roman"/>
          <w:sz w:val="24"/>
          <w:szCs w:val="24"/>
        </w:rPr>
        <w:t xml:space="preserve">ctivist investors are serial raiders. Examples </w:t>
      </w:r>
      <w:r w:rsidR="00A12A23" w:rsidRPr="00D97714">
        <w:rPr>
          <w:rFonts w:ascii="Times New Roman" w:hAnsi="Times New Roman" w:cs="Times New Roman"/>
          <w:sz w:val="24"/>
          <w:szCs w:val="24"/>
        </w:rPr>
        <w:t>include Carl Icahn, Robert Chapman, Daniel Loeb, Bill Ackman, Phil Falcone, Bruce Berkowitz, Boone Pickens, Philip Goldstein, Ralph Whitworth and David Batchelder amongst others.</w:t>
      </w:r>
      <w:r w:rsidR="00A12A23" w:rsidRPr="00D97714">
        <w:rPr>
          <w:rStyle w:val="FootnoteReference"/>
          <w:rFonts w:ascii="Times New Roman" w:hAnsi="Times New Roman" w:cs="Times New Roman"/>
          <w:sz w:val="24"/>
          <w:szCs w:val="24"/>
        </w:rPr>
        <w:footnoteReference w:id="2"/>
      </w:r>
      <w:r w:rsidR="00A12A23" w:rsidRPr="00D97714">
        <w:rPr>
          <w:rFonts w:ascii="Times New Roman" w:hAnsi="Times New Roman" w:cs="Times New Roman"/>
          <w:sz w:val="24"/>
          <w:szCs w:val="24"/>
        </w:rPr>
        <w:t xml:space="preserve"> They suggest that serial activist investors are </w:t>
      </w:r>
      <w:r w:rsidR="00090F32" w:rsidRPr="00D97714">
        <w:rPr>
          <w:rFonts w:ascii="Times New Roman" w:hAnsi="Times New Roman" w:cs="Times New Roman"/>
          <w:sz w:val="24"/>
          <w:szCs w:val="24"/>
        </w:rPr>
        <w:t>constantly looking for</w:t>
      </w:r>
      <w:r w:rsidR="00A12A23" w:rsidRPr="00D97714">
        <w:rPr>
          <w:rFonts w:ascii="Times New Roman" w:hAnsi="Times New Roman" w:cs="Times New Roman"/>
          <w:sz w:val="24"/>
          <w:szCs w:val="24"/>
        </w:rPr>
        <w:t xml:space="preserve"> the next target firm. </w:t>
      </w:r>
      <w:r w:rsidR="00090F32" w:rsidRPr="00D97714">
        <w:rPr>
          <w:rFonts w:ascii="Times New Roman" w:hAnsi="Times New Roman" w:cs="Times New Roman"/>
          <w:sz w:val="24"/>
          <w:szCs w:val="24"/>
        </w:rPr>
        <w:t>The</w:t>
      </w:r>
      <w:r w:rsidR="00A12A23" w:rsidRPr="00D97714">
        <w:rPr>
          <w:rFonts w:ascii="Times New Roman" w:hAnsi="Times New Roman" w:cs="Times New Roman"/>
          <w:sz w:val="24"/>
          <w:szCs w:val="24"/>
        </w:rPr>
        <w:t xml:space="preserve"> state of play </w:t>
      </w:r>
      <w:r w:rsidR="00090F32" w:rsidRPr="00D97714">
        <w:rPr>
          <w:rFonts w:ascii="Times New Roman" w:hAnsi="Times New Roman" w:cs="Times New Roman"/>
          <w:sz w:val="24"/>
          <w:szCs w:val="24"/>
        </w:rPr>
        <w:t>confirms</w:t>
      </w:r>
      <w:r w:rsidR="00A12A23" w:rsidRPr="00D97714">
        <w:rPr>
          <w:rFonts w:ascii="Times New Roman" w:hAnsi="Times New Roman" w:cs="Times New Roman"/>
          <w:sz w:val="24"/>
          <w:szCs w:val="24"/>
        </w:rPr>
        <w:t xml:space="preserve"> that there are ripple effects </w:t>
      </w:r>
      <w:r w:rsidR="00090F32" w:rsidRPr="00D97714">
        <w:rPr>
          <w:rFonts w:ascii="Times New Roman" w:hAnsi="Times New Roman" w:cs="Times New Roman"/>
          <w:sz w:val="24"/>
          <w:szCs w:val="24"/>
        </w:rPr>
        <w:t>emanating from the actions of activist investors at one firm</w:t>
      </w:r>
      <w:r w:rsidR="00A12A23" w:rsidRPr="00D97714">
        <w:rPr>
          <w:rFonts w:ascii="Times New Roman" w:hAnsi="Times New Roman" w:cs="Times New Roman"/>
          <w:sz w:val="24"/>
          <w:szCs w:val="24"/>
        </w:rPr>
        <w:t xml:space="preserve"> to other firms.</w:t>
      </w:r>
      <w:r w:rsidR="002405D2" w:rsidRPr="00D97714">
        <w:rPr>
          <w:rFonts w:ascii="Times New Roman" w:hAnsi="Times New Roman" w:cs="Times New Roman"/>
          <w:sz w:val="24"/>
          <w:szCs w:val="24"/>
        </w:rPr>
        <w:t xml:space="preserve"> </w:t>
      </w:r>
    </w:p>
    <w:p w14:paraId="68FE4471" w14:textId="77777777" w:rsidR="00E305CC" w:rsidRPr="00D97714" w:rsidRDefault="00E305CC" w:rsidP="00E305CC">
      <w:pPr>
        <w:spacing w:line="480" w:lineRule="auto"/>
        <w:ind w:left="1440" w:hanging="720"/>
        <w:rPr>
          <w:rFonts w:ascii="Times New Roman" w:hAnsi="Times New Roman" w:cs="Times New Roman"/>
          <w:sz w:val="24"/>
          <w:szCs w:val="24"/>
        </w:rPr>
      </w:pPr>
      <w:r w:rsidRPr="00D97714">
        <w:rPr>
          <w:rFonts w:ascii="Times New Roman" w:hAnsi="Times New Roman" w:cs="Times New Roman"/>
          <w:sz w:val="24"/>
          <w:szCs w:val="24"/>
        </w:rPr>
        <w:t xml:space="preserve">H2: </w:t>
      </w:r>
      <w:r w:rsidRPr="00D97714">
        <w:rPr>
          <w:rFonts w:ascii="Times New Roman" w:hAnsi="Times New Roman" w:cs="Times New Roman"/>
          <w:sz w:val="24"/>
          <w:szCs w:val="24"/>
        </w:rPr>
        <w:tab/>
        <w:t>The stock returns of matching non-targeted firms would increase following announcements of activism at targeted firms.</w:t>
      </w:r>
    </w:p>
    <w:p w14:paraId="0D453B93" w14:textId="4903A1BD" w:rsidR="00BE5D2A" w:rsidRPr="00D97714" w:rsidRDefault="002405D2" w:rsidP="005D15FA">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In a study on the disciplinary effects of proxy contests, Fos (2013) finds changes in corporate </w:t>
      </w:r>
      <w:r w:rsidR="002434D9" w:rsidRPr="00D97714">
        <w:rPr>
          <w:rFonts w:ascii="Times New Roman" w:hAnsi="Times New Roman" w:cs="Times New Roman"/>
          <w:sz w:val="24"/>
          <w:szCs w:val="24"/>
        </w:rPr>
        <w:t>polices</w:t>
      </w:r>
      <w:r w:rsidRPr="00D97714">
        <w:rPr>
          <w:rFonts w:ascii="Times New Roman" w:hAnsi="Times New Roman" w:cs="Times New Roman"/>
          <w:sz w:val="24"/>
          <w:szCs w:val="24"/>
        </w:rPr>
        <w:t xml:space="preserve"> </w:t>
      </w:r>
      <w:r w:rsidR="002434D9" w:rsidRPr="00D97714">
        <w:rPr>
          <w:rFonts w:ascii="Times New Roman" w:hAnsi="Times New Roman" w:cs="Times New Roman"/>
          <w:sz w:val="24"/>
          <w:szCs w:val="24"/>
        </w:rPr>
        <w:t>geared towards improving</w:t>
      </w:r>
      <w:r w:rsidRPr="00D97714">
        <w:rPr>
          <w:rFonts w:ascii="Times New Roman" w:hAnsi="Times New Roman" w:cs="Times New Roman"/>
          <w:sz w:val="24"/>
          <w:szCs w:val="24"/>
        </w:rPr>
        <w:t xml:space="preserve"> operating performance both in the sample of ex post targeted companies as well as </w:t>
      </w:r>
      <w:r w:rsidR="002434D9" w:rsidRPr="00D97714">
        <w:rPr>
          <w:rFonts w:ascii="Times New Roman" w:hAnsi="Times New Roman" w:cs="Times New Roman"/>
          <w:sz w:val="24"/>
          <w:szCs w:val="24"/>
        </w:rPr>
        <w:t>the sample non-</w:t>
      </w:r>
      <w:r w:rsidRPr="00D97714">
        <w:rPr>
          <w:rFonts w:ascii="Times New Roman" w:hAnsi="Times New Roman" w:cs="Times New Roman"/>
          <w:sz w:val="24"/>
          <w:szCs w:val="24"/>
        </w:rPr>
        <w:t>targets.</w:t>
      </w:r>
      <w:r w:rsidR="002434D9" w:rsidRPr="00D97714">
        <w:rPr>
          <w:rFonts w:ascii="Times New Roman" w:hAnsi="Times New Roman" w:cs="Times New Roman"/>
          <w:sz w:val="24"/>
          <w:szCs w:val="24"/>
        </w:rPr>
        <w:t xml:space="preserve"> Otchere and Ip (2005) find that target firms' rivals realize significantly positive abnormal returns following both acquisition proposal and termination announcements.</w:t>
      </w:r>
      <w:r w:rsidR="00FB0C9E" w:rsidRPr="00D97714">
        <w:rPr>
          <w:rFonts w:ascii="Times New Roman" w:hAnsi="Times New Roman" w:cs="Times New Roman"/>
          <w:sz w:val="24"/>
          <w:szCs w:val="24"/>
        </w:rPr>
        <w:t xml:space="preserve"> </w:t>
      </w:r>
      <w:r w:rsidR="00D949E0" w:rsidRPr="00D97714">
        <w:rPr>
          <w:rFonts w:ascii="Times New Roman" w:hAnsi="Times New Roman" w:cs="Times New Roman"/>
          <w:sz w:val="24"/>
          <w:szCs w:val="24"/>
        </w:rPr>
        <w:t>Servaes and Tamayo (2014) find that firms respond to hostile takeover attempts at other firms in the same industry. Industry peers cut their capital spending, free cash flows, and cash holdings, and increase their leverage and payouts to shareholders. They also adopt more takeover defenses and experience a positive stock price reaction upon announcement of a takeover at a rival firm. These</w:t>
      </w:r>
      <w:r w:rsidR="00FB0C9E" w:rsidRPr="00D97714">
        <w:rPr>
          <w:rFonts w:ascii="Times New Roman" w:hAnsi="Times New Roman" w:cs="Times New Roman"/>
          <w:sz w:val="24"/>
          <w:szCs w:val="24"/>
        </w:rPr>
        <w:t xml:space="preserve"> results are </w:t>
      </w:r>
      <w:r w:rsidR="00CF30C7" w:rsidRPr="00D97714">
        <w:rPr>
          <w:rFonts w:ascii="Times New Roman" w:hAnsi="Times New Roman" w:cs="Times New Roman"/>
          <w:sz w:val="24"/>
          <w:szCs w:val="24"/>
        </w:rPr>
        <w:t>suggestive of</w:t>
      </w:r>
      <w:r w:rsidR="00FB0C9E" w:rsidRPr="00D97714">
        <w:rPr>
          <w:rFonts w:ascii="Times New Roman" w:hAnsi="Times New Roman" w:cs="Times New Roman"/>
          <w:sz w:val="24"/>
          <w:szCs w:val="24"/>
        </w:rPr>
        <w:t xml:space="preserve"> a spillover effect originating from </w:t>
      </w:r>
      <w:r w:rsidR="00752C5A" w:rsidRPr="00D97714">
        <w:rPr>
          <w:rFonts w:ascii="Times New Roman" w:hAnsi="Times New Roman" w:cs="Times New Roman"/>
          <w:sz w:val="24"/>
          <w:szCs w:val="24"/>
        </w:rPr>
        <w:t>the actions</w:t>
      </w:r>
      <w:r w:rsidR="00FB0C9E" w:rsidRPr="00D97714">
        <w:rPr>
          <w:rFonts w:ascii="Times New Roman" w:hAnsi="Times New Roman" w:cs="Times New Roman"/>
          <w:sz w:val="24"/>
          <w:szCs w:val="24"/>
        </w:rPr>
        <w:t xml:space="preserve"> taken by thir</w:t>
      </w:r>
      <w:r w:rsidR="00A97CF5" w:rsidRPr="00D97714">
        <w:rPr>
          <w:rFonts w:ascii="Times New Roman" w:hAnsi="Times New Roman" w:cs="Times New Roman"/>
          <w:sz w:val="24"/>
          <w:szCs w:val="24"/>
        </w:rPr>
        <w:t>d parties at other corporations and we test for such effects.</w:t>
      </w:r>
      <w:r w:rsidR="005D15FA" w:rsidRPr="00D97714">
        <w:rPr>
          <w:rFonts w:ascii="Times New Roman" w:hAnsi="Times New Roman" w:cs="Times New Roman"/>
          <w:sz w:val="24"/>
          <w:szCs w:val="24"/>
        </w:rPr>
        <w:t xml:space="preserve"> Thus, in terms of hypotheses (H3), we expect to find that institutional </w:t>
      </w:r>
      <w:r w:rsidR="00BE5D2A" w:rsidRPr="00D97714">
        <w:rPr>
          <w:rFonts w:ascii="Times New Roman" w:hAnsi="Times New Roman" w:cs="Times New Roman"/>
          <w:sz w:val="24"/>
          <w:szCs w:val="24"/>
        </w:rPr>
        <w:t>investor activism prompts matching non-targeted firms to (</w:t>
      </w:r>
      <w:r w:rsidR="005D15FA" w:rsidRPr="00D97714">
        <w:rPr>
          <w:rFonts w:ascii="Times New Roman" w:hAnsi="Times New Roman" w:cs="Times New Roman"/>
          <w:sz w:val="24"/>
          <w:szCs w:val="24"/>
        </w:rPr>
        <w:t>i</w:t>
      </w:r>
      <w:r w:rsidR="00BE5D2A" w:rsidRPr="00D97714">
        <w:rPr>
          <w:rFonts w:ascii="Times New Roman" w:hAnsi="Times New Roman" w:cs="Times New Roman"/>
          <w:sz w:val="24"/>
          <w:szCs w:val="24"/>
        </w:rPr>
        <w:t>) improve profitability; (</w:t>
      </w:r>
      <w:r w:rsidR="005D15FA" w:rsidRPr="00D97714">
        <w:rPr>
          <w:rFonts w:ascii="Times New Roman" w:hAnsi="Times New Roman" w:cs="Times New Roman"/>
          <w:sz w:val="24"/>
          <w:szCs w:val="24"/>
        </w:rPr>
        <w:t>ii</w:t>
      </w:r>
      <w:r w:rsidR="00BE5D2A" w:rsidRPr="00D97714">
        <w:rPr>
          <w:rFonts w:ascii="Times New Roman" w:hAnsi="Times New Roman" w:cs="Times New Roman"/>
          <w:sz w:val="24"/>
          <w:szCs w:val="24"/>
        </w:rPr>
        <w:t>) decrease capital and revenue expenditure; (</w:t>
      </w:r>
      <w:r w:rsidR="005D15FA" w:rsidRPr="00D97714">
        <w:rPr>
          <w:rFonts w:ascii="Times New Roman" w:hAnsi="Times New Roman" w:cs="Times New Roman"/>
          <w:sz w:val="24"/>
          <w:szCs w:val="24"/>
        </w:rPr>
        <w:t>iii</w:t>
      </w:r>
      <w:r w:rsidR="00BE5D2A" w:rsidRPr="00D97714">
        <w:rPr>
          <w:rFonts w:ascii="Times New Roman" w:hAnsi="Times New Roman" w:cs="Times New Roman"/>
          <w:sz w:val="24"/>
          <w:szCs w:val="24"/>
        </w:rPr>
        <w:t xml:space="preserve">) decrease </w:t>
      </w:r>
      <w:r w:rsidR="005F1DFF" w:rsidRPr="00D97714">
        <w:rPr>
          <w:rFonts w:ascii="Times New Roman" w:hAnsi="Times New Roman" w:cs="Times New Roman"/>
          <w:sz w:val="24"/>
          <w:szCs w:val="24"/>
        </w:rPr>
        <w:t>their cash</w:t>
      </w:r>
      <w:r w:rsidR="00BE5D2A" w:rsidRPr="00D97714">
        <w:rPr>
          <w:rFonts w:ascii="Times New Roman" w:hAnsi="Times New Roman" w:cs="Times New Roman"/>
          <w:sz w:val="24"/>
          <w:szCs w:val="24"/>
        </w:rPr>
        <w:t xml:space="preserve"> balance; (</w:t>
      </w:r>
      <w:r w:rsidR="005D15FA" w:rsidRPr="00D97714">
        <w:rPr>
          <w:rFonts w:ascii="Times New Roman" w:hAnsi="Times New Roman" w:cs="Times New Roman"/>
          <w:sz w:val="24"/>
          <w:szCs w:val="24"/>
        </w:rPr>
        <w:t>iv</w:t>
      </w:r>
      <w:r w:rsidR="00BE5D2A" w:rsidRPr="00D97714">
        <w:rPr>
          <w:rFonts w:ascii="Times New Roman" w:hAnsi="Times New Roman" w:cs="Times New Roman"/>
          <w:sz w:val="24"/>
          <w:szCs w:val="24"/>
        </w:rPr>
        <w:t>) decrease financial risk by repaying debt; and, (</w:t>
      </w:r>
      <w:r w:rsidR="005D15FA" w:rsidRPr="00D97714">
        <w:rPr>
          <w:rFonts w:ascii="Times New Roman" w:hAnsi="Times New Roman" w:cs="Times New Roman"/>
          <w:sz w:val="24"/>
          <w:szCs w:val="24"/>
        </w:rPr>
        <w:t>v</w:t>
      </w:r>
      <w:r w:rsidR="00BE5D2A" w:rsidRPr="00D97714">
        <w:rPr>
          <w:rFonts w:ascii="Times New Roman" w:hAnsi="Times New Roman" w:cs="Times New Roman"/>
          <w:sz w:val="24"/>
          <w:szCs w:val="24"/>
        </w:rPr>
        <w:t>) increase dividend payments, respectively.</w:t>
      </w:r>
    </w:p>
    <w:p w14:paraId="3B6C5816" w14:textId="7496093C" w:rsidR="00826F41" w:rsidRPr="00D97714" w:rsidRDefault="00826F41" w:rsidP="005D15FA">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The choice of these performance variables follows Brav, Jiang and Kim (2009) review of shareholder activism by hedge funds. They find that the actions of the activist investors culminate in creating value at target firms in the areas of governance, capital structure and operating performance. They show that changes can lead to increases in dividend payments, debt, improvements in asset utilization, and decreases in cash balances and capital expenditure.</w:t>
      </w:r>
    </w:p>
    <w:p w14:paraId="070BECF3" w14:textId="358C82C1" w:rsidR="0026729C" w:rsidRPr="00D97714" w:rsidRDefault="00CF30C7" w:rsidP="0095059F">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In examining spillover effects </w:t>
      </w:r>
      <w:r w:rsidR="000F2DE7" w:rsidRPr="00D97714">
        <w:rPr>
          <w:rFonts w:ascii="Times New Roman" w:hAnsi="Times New Roman" w:cs="Times New Roman"/>
          <w:sz w:val="24"/>
          <w:szCs w:val="24"/>
        </w:rPr>
        <w:t xml:space="preserve">from </w:t>
      </w:r>
      <w:r w:rsidRPr="00D97714">
        <w:rPr>
          <w:rFonts w:ascii="Times New Roman" w:hAnsi="Times New Roman" w:cs="Times New Roman"/>
          <w:sz w:val="24"/>
          <w:szCs w:val="24"/>
        </w:rPr>
        <w:t xml:space="preserve">corporate events, prior studies </w:t>
      </w:r>
      <w:r w:rsidR="0026729C" w:rsidRPr="00D97714">
        <w:rPr>
          <w:rFonts w:ascii="Times New Roman" w:hAnsi="Times New Roman" w:cs="Times New Roman"/>
          <w:sz w:val="24"/>
          <w:szCs w:val="24"/>
        </w:rPr>
        <w:t xml:space="preserve">identify </w:t>
      </w:r>
      <w:r w:rsidR="000F2DE7" w:rsidRPr="00D97714">
        <w:rPr>
          <w:rFonts w:ascii="Times New Roman" w:hAnsi="Times New Roman" w:cs="Times New Roman"/>
          <w:sz w:val="24"/>
          <w:szCs w:val="24"/>
        </w:rPr>
        <w:t>the matching</w:t>
      </w:r>
      <w:r w:rsidR="0095059F" w:rsidRPr="00D97714">
        <w:rPr>
          <w:rFonts w:ascii="Times New Roman" w:hAnsi="Times New Roman" w:cs="Times New Roman"/>
          <w:sz w:val="24"/>
          <w:szCs w:val="24"/>
        </w:rPr>
        <w:t xml:space="preserve"> </w:t>
      </w:r>
      <w:r w:rsidR="0026729C" w:rsidRPr="00D97714">
        <w:rPr>
          <w:rFonts w:ascii="Times New Roman" w:hAnsi="Times New Roman" w:cs="Times New Roman"/>
          <w:sz w:val="24"/>
          <w:szCs w:val="24"/>
        </w:rPr>
        <w:t xml:space="preserve">non-targeted firms </w:t>
      </w:r>
      <w:r w:rsidR="0095059F" w:rsidRPr="00D97714">
        <w:rPr>
          <w:rFonts w:ascii="Times New Roman" w:hAnsi="Times New Roman" w:cs="Times New Roman"/>
          <w:sz w:val="24"/>
          <w:szCs w:val="24"/>
        </w:rPr>
        <w:t xml:space="preserve">to either be from </w:t>
      </w:r>
      <w:r w:rsidR="0026729C" w:rsidRPr="00D97714">
        <w:rPr>
          <w:rFonts w:ascii="Times New Roman" w:hAnsi="Times New Roman" w:cs="Times New Roman"/>
          <w:sz w:val="24"/>
          <w:szCs w:val="24"/>
        </w:rPr>
        <w:t xml:space="preserve">the same industry or </w:t>
      </w:r>
      <w:r w:rsidR="0095059F" w:rsidRPr="00D97714">
        <w:rPr>
          <w:rFonts w:ascii="Times New Roman" w:hAnsi="Times New Roman" w:cs="Times New Roman"/>
          <w:sz w:val="24"/>
          <w:szCs w:val="24"/>
        </w:rPr>
        <w:t xml:space="preserve">are similar in </w:t>
      </w:r>
      <w:r w:rsidR="0026729C" w:rsidRPr="00D97714">
        <w:rPr>
          <w:rFonts w:ascii="Times New Roman" w:hAnsi="Times New Roman" w:cs="Times New Roman"/>
          <w:sz w:val="24"/>
          <w:szCs w:val="24"/>
        </w:rPr>
        <w:t xml:space="preserve">size </w:t>
      </w:r>
      <w:r w:rsidR="0095059F" w:rsidRPr="00D97714">
        <w:rPr>
          <w:rFonts w:ascii="Times New Roman" w:hAnsi="Times New Roman" w:cs="Times New Roman"/>
          <w:sz w:val="24"/>
          <w:szCs w:val="24"/>
        </w:rPr>
        <w:t>and/</w:t>
      </w:r>
      <w:r w:rsidR="0026729C" w:rsidRPr="00D97714">
        <w:rPr>
          <w:rFonts w:ascii="Times New Roman" w:hAnsi="Times New Roman" w:cs="Times New Roman"/>
          <w:sz w:val="24"/>
          <w:szCs w:val="24"/>
        </w:rPr>
        <w:t xml:space="preserve">or market-to-book ratio. </w:t>
      </w:r>
      <w:r w:rsidR="00F67CD2" w:rsidRPr="00D97714">
        <w:rPr>
          <w:rFonts w:ascii="Times New Roman" w:hAnsi="Times New Roman" w:cs="Times New Roman"/>
          <w:sz w:val="24"/>
          <w:szCs w:val="24"/>
        </w:rPr>
        <w:t xml:space="preserve">For instance, </w:t>
      </w:r>
      <w:r w:rsidR="006517EB" w:rsidRPr="00D97714">
        <w:rPr>
          <w:rFonts w:ascii="Times New Roman" w:hAnsi="Times New Roman" w:cs="Times New Roman"/>
          <w:sz w:val="24"/>
          <w:szCs w:val="24"/>
        </w:rPr>
        <w:t xml:space="preserve">Gantchev </w:t>
      </w:r>
      <w:r w:rsidR="006517EB" w:rsidRPr="00D97714">
        <w:rPr>
          <w:rFonts w:ascii="Times New Roman" w:hAnsi="Times New Roman" w:cs="Times New Roman"/>
          <w:i/>
          <w:sz w:val="24"/>
          <w:szCs w:val="24"/>
        </w:rPr>
        <w:t>et al</w:t>
      </w:r>
      <w:r w:rsidR="006517EB" w:rsidRPr="00D97714">
        <w:rPr>
          <w:rFonts w:ascii="Times New Roman" w:hAnsi="Times New Roman" w:cs="Times New Roman"/>
          <w:sz w:val="24"/>
          <w:szCs w:val="24"/>
        </w:rPr>
        <w:t xml:space="preserve">. (2014) </w:t>
      </w:r>
      <w:r w:rsidR="00F67CD2" w:rsidRPr="00D97714">
        <w:rPr>
          <w:rFonts w:ascii="Times New Roman" w:hAnsi="Times New Roman" w:cs="Times New Roman"/>
          <w:sz w:val="24"/>
          <w:szCs w:val="24"/>
        </w:rPr>
        <w:t>examine</w:t>
      </w:r>
      <w:r w:rsidR="006517EB" w:rsidRPr="00D97714">
        <w:rPr>
          <w:rFonts w:ascii="Times New Roman" w:hAnsi="Times New Roman" w:cs="Times New Roman"/>
          <w:sz w:val="24"/>
          <w:szCs w:val="24"/>
        </w:rPr>
        <w:t xml:space="preserve"> the effects of shareholder activism on peers </w:t>
      </w:r>
      <w:r w:rsidR="00F67CD2" w:rsidRPr="00D97714">
        <w:rPr>
          <w:rFonts w:ascii="Times New Roman" w:hAnsi="Times New Roman" w:cs="Times New Roman"/>
          <w:sz w:val="24"/>
          <w:szCs w:val="24"/>
        </w:rPr>
        <w:t xml:space="preserve">from the same industry </w:t>
      </w:r>
      <w:r w:rsidR="006517EB" w:rsidRPr="00D97714">
        <w:rPr>
          <w:rFonts w:ascii="Times New Roman" w:hAnsi="Times New Roman" w:cs="Times New Roman"/>
          <w:sz w:val="24"/>
          <w:szCs w:val="24"/>
        </w:rPr>
        <w:t xml:space="preserve">with fundamentals similar to </w:t>
      </w:r>
      <w:r w:rsidR="008435D9" w:rsidRPr="00D97714">
        <w:rPr>
          <w:rFonts w:ascii="Times New Roman" w:hAnsi="Times New Roman" w:cs="Times New Roman"/>
          <w:sz w:val="24"/>
          <w:szCs w:val="24"/>
        </w:rPr>
        <w:t>the target</w:t>
      </w:r>
      <w:r w:rsidR="006517EB" w:rsidRPr="00D97714">
        <w:rPr>
          <w:rFonts w:ascii="Times New Roman" w:hAnsi="Times New Roman" w:cs="Times New Roman"/>
          <w:sz w:val="24"/>
          <w:szCs w:val="24"/>
        </w:rPr>
        <w:t xml:space="preserve"> </w:t>
      </w:r>
      <w:r w:rsidR="00F67CD2" w:rsidRPr="00D97714">
        <w:rPr>
          <w:rFonts w:ascii="Times New Roman" w:hAnsi="Times New Roman" w:cs="Times New Roman"/>
          <w:sz w:val="24"/>
          <w:szCs w:val="24"/>
        </w:rPr>
        <w:t>firms.</w:t>
      </w:r>
      <w:r w:rsidR="008435D9" w:rsidRPr="00D97714">
        <w:rPr>
          <w:rFonts w:ascii="Times New Roman" w:hAnsi="Times New Roman" w:cs="Times New Roman"/>
          <w:sz w:val="24"/>
          <w:szCs w:val="24"/>
        </w:rPr>
        <w:t xml:space="preserve"> Lee and Part (2009)</w:t>
      </w:r>
      <w:r w:rsidR="0026729C" w:rsidRPr="00D97714">
        <w:rPr>
          <w:rFonts w:ascii="Times New Roman" w:hAnsi="Times New Roman" w:cs="Times New Roman"/>
          <w:sz w:val="24"/>
          <w:szCs w:val="24"/>
        </w:rPr>
        <w:t xml:space="preserve"> identify</w:t>
      </w:r>
      <w:r w:rsidR="008435D9" w:rsidRPr="00D97714">
        <w:rPr>
          <w:rFonts w:ascii="Times New Roman" w:hAnsi="Times New Roman" w:cs="Times New Roman"/>
          <w:sz w:val="24"/>
          <w:szCs w:val="24"/>
        </w:rPr>
        <w:t xml:space="preserve"> small firms and high market-to-book </w:t>
      </w:r>
      <w:r w:rsidR="000F2DE7" w:rsidRPr="00D97714">
        <w:rPr>
          <w:rFonts w:ascii="Times New Roman" w:hAnsi="Times New Roman" w:cs="Times New Roman"/>
          <w:sz w:val="24"/>
          <w:szCs w:val="24"/>
        </w:rPr>
        <w:t>companies</w:t>
      </w:r>
      <w:r w:rsidR="008435D9" w:rsidRPr="00D97714">
        <w:rPr>
          <w:rFonts w:ascii="Times New Roman" w:hAnsi="Times New Roman" w:cs="Times New Roman"/>
          <w:sz w:val="24"/>
          <w:szCs w:val="24"/>
        </w:rPr>
        <w:t xml:space="preserve"> </w:t>
      </w:r>
      <w:r w:rsidR="0095059F" w:rsidRPr="00D97714">
        <w:rPr>
          <w:rFonts w:ascii="Times New Roman" w:hAnsi="Times New Roman" w:cs="Times New Roman"/>
          <w:sz w:val="24"/>
          <w:szCs w:val="24"/>
        </w:rPr>
        <w:t xml:space="preserve">as </w:t>
      </w:r>
      <w:r w:rsidR="008435D9" w:rsidRPr="00D97714">
        <w:rPr>
          <w:rFonts w:ascii="Times New Roman" w:hAnsi="Times New Roman" w:cs="Times New Roman"/>
          <w:sz w:val="24"/>
          <w:szCs w:val="24"/>
        </w:rPr>
        <w:t xml:space="preserve">potential </w:t>
      </w:r>
      <w:r w:rsidR="0095059F" w:rsidRPr="00D97714">
        <w:rPr>
          <w:rFonts w:ascii="Times New Roman" w:hAnsi="Times New Roman" w:cs="Times New Roman"/>
          <w:sz w:val="24"/>
          <w:szCs w:val="24"/>
        </w:rPr>
        <w:t>targets. However, in this study we argue</w:t>
      </w:r>
      <w:r w:rsidR="0026729C" w:rsidRPr="00D97714">
        <w:rPr>
          <w:rFonts w:ascii="Times New Roman" w:hAnsi="Times New Roman" w:cs="Times New Roman"/>
          <w:sz w:val="24"/>
          <w:szCs w:val="24"/>
        </w:rPr>
        <w:t xml:space="preserve"> that a </w:t>
      </w:r>
      <w:r w:rsidR="0095059F" w:rsidRPr="00D97714">
        <w:rPr>
          <w:rFonts w:ascii="Times New Roman" w:hAnsi="Times New Roman" w:cs="Times New Roman"/>
          <w:sz w:val="24"/>
          <w:szCs w:val="24"/>
        </w:rPr>
        <w:t xml:space="preserve">non-targeted </w:t>
      </w:r>
      <w:r w:rsidR="0026729C" w:rsidRPr="00D97714">
        <w:rPr>
          <w:rFonts w:ascii="Times New Roman" w:hAnsi="Times New Roman" w:cs="Times New Roman"/>
          <w:sz w:val="24"/>
          <w:szCs w:val="24"/>
        </w:rPr>
        <w:t xml:space="preserve">firm is more susceptible to activist actions if it already has significant institutional shareholders </w:t>
      </w:r>
      <w:r w:rsidR="0095059F" w:rsidRPr="00D97714">
        <w:rPr>
          <w:rFonts w:ascii="Times New Roman" w:hAnsi="Times New Roman" w:cs="Times New Roman"/>
          <w:sz w:val="24"/>
          <w:szCs w:val="24"/>
        </w:rPr>
        <w:t xml:space="preserve">since </w:t>
      </w:r>
      <w:r w:rsidR="0026729C" w:rsidRPr="00D97714">
        <w:rPr>
          <w:rFonts w:ascii="Times New Roman" w:hAnsi="Times New Roman" w:cs="Times New Roman"/>
          <w:sz w:val="24"/>
          <w:szCs w:val="24"/>
        </w:rPr>
        <w:t>they tend to be the catalyst of activism and of change.</w:t>
      </w:r>
    </w:p>
    <w:p w14:paraId="3C6EF03E" w14:textId="04ABE50F" w:rsidR="0026729C" w:rsidRPr="00D97714" w:rsidRDefault="0026729C" w:rsidP="00B52D4D">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PricewaterhouseCoopers suggests that a firm is most vulnerable to activist attacks when institutional investors accumulate a vast majority of the firm shares.</w:t>
      </w:r>
      <w:r w:rsidRPr="00D97714">
        <w:rPr>
          <w:rStyle w:val="FootnoteReference"/>
          <w:rFonts w:ascii="Times New Roman" w:hAnsi="Times New Roman" w:cs="Times New Roman"/>
          <w:sz w:val="24"/>
          <w:szCs w:val="24"/>
        </w:rPr>
        <w:footnoteReference w:id="3"/>
      </w:r>
      <w:r w:rsidRPr="00D97714">
        <w:rPr>
          <w:rFonts w:ascii="Times New Roman" w:hAnsi="Times New Roman" w:cs="Times New Roman"/>
          <w:sz w:val="24"/>
          <w:szCs w:val="24"/>
        </w:rPr>
        <w:t xml:space="preserve"> </w:t>
      </w:r>
      <w:r w:rsidR="000F2DE7" w:rsidRPr="00D97714">
        <w:rPr>
          <w:rFonts w:ascii="Times New Roman" w:hAnsi="Times New Roman" w:cs="Times New Roman"/>
          <w:sz w:val="24"/>
          <w:szCs w:val="24"/>
        </w:rPr>
        <w:t>High</w:t>
      </w:r>
      <w:r w:rsidRPr="00D97714">
        <w:rPr>
          <w:rFonts w:ascii="Times New Roman" w:hAnsi="Times New Roman" w:cs="Times New Roman"/>
          <w:sz w:val="24"/>
          <w:szCs w:val="24"/>
        </w:rPr>
        <w:t xml:space="preserve"> level</w:t>
      </w:r>
      <w:r w:rsidR="000F2DE7" w:rsidRPr="00D97714">
        <w:rPr>
          <w:rFonts w:ascii="Times New Roman" w:hAnsi="Times New Roman" w:cs="Times New Roman"/>
          <w:sz w:val="24"/>
          <w:szCs w:val="24"/>
        </w:rPr>
        <w:t>s</w:t>
      </w:r>
      <w:r w:rsidRPr="00D97714">
        <w:rPr>
          <w:rFonts w:ascii="Times New Roman" w:hAnsi="Times New Roman" w:cs="Times New Roman"/>
          <w:sz w:val="24"/>
          <w:szCs w:val="24"/>
        </w:rPr>
        <w:t xml:space="preserve"> of ownership </w:t>
      </w:r>
      <w:r w:rsidR="000F2DE7" w:rsidRPr="00D97714">
        <w:rPr>
          <w:rFonts w:ascii="Times New Roman" w:hAnsi="Times New Roman" w:cs="Times New Roman"/>
          <w:sz w:val="24"/>
          <w:szCs w:val="24"/>
        </w:rPr>
        <w:t>both incentivize and empower</w:t>
      </w:r>
      <w:r w:rsidRPr="00D97714">
        <w:rPr>
          <w:rFonts w:ascii="Times New Roman" w:hAnsi="Times New Roman" w:cs="Times New Roman"/>
          <w:sz w:val="24"/>
          <w:szCs w:val="24"/>
        </w:rPr>
        <w:t xml:space="preserve"> institutional investors to </w:t>
      </w:r>
      <w:r w:rsidR="000F2DE7" w:rsidRPr="00D97714">
        <w:rPr>
          <w:rFonts w:ascii="Times New Roman" w:hAnsi="Times New Roman" w:cs="Times New Roman"/>
          <w:sz w:val="24"/>
          <w:szCs w:val="24"/>
        </w:rPr>
        <w:t>proactively monitor the firm</w:t>
      </w:r>
      <w:r w:rsidRPr="00D97714">
        <w:rPr>
          <w:rFonts w:ascii="Times New Roman" w:hAnsi="Times New Roman" w:cs="Times New Roman"/>
          <w:sz w:val="24"/>
          <w:szCs w:val="24"/>
        </w:rPr>
        <w:t xml:space="preserve">. Besides, SEC regulations require institutional investors to vote their shares on all proxy issues, which </w:t>
      </w:r>
      <w:r w:rsidR="000F2DE7" w:rsidRPr="00D97714">
        <w:rPr>
          <w:rFonts w:ascii="Times New Roman" w:hAnsi="Times New Roman" w:cs="Times New Roman"/>
          <w:sz w:val="24"/>
          <w:szCs w:val="24"/>
        </w:rPr>
        <w:t>underlie the power they exercise on management</w:t>
      </w:r>
      <w:r w:rsidRPr="00D97714">
        <w:rPr>
          <w:rFonts w:ascii="Times New Roman" w:hAnsi="Times New Roman" w:cs="Times New Roman"/>
          <w:sz w:val="24"/>
          <w:szCs w:val="24"/>
        </w:rPr>
        <w:t xml:space="preserve">. The presence of institutional owners </w:t>
      </w:r>
      <w:r w:rsidR="000F2DE7" w:rsidRPr="00D97714">
        <w:rPr>
          <w:rFonts w:ascii="Times New Roman" w:hAnsi="Times New Roman" w:cs="Times New Roman"/>
          <w:sz w:val="24"/>
          <w:szCs w:val="24"/>
        </w:rPr>
        <w:t xml:space="preserve">at </w:t>
      </w:r>
      <w:r w:rsidRPr="00D97714">
        <w:rPr>
          <w:rFonts w:ascii="Times New Roman" w:hAnsi="Times New Roman" w:cs="Times New Roman"/>
          <w:sz w:val="24"/>
          <w:szCs w:val="24"/>
        </w:rPr>
        <w:t xml:space="preserve">non-targeted firms </w:t>
      </w:r>
      <w:r w:rsidR="000F2DE7" w:rsidRPr="00D97714">
        <w:rPr>
          <w:rFonts w:ascii="Times New Roman" w:hAnsi="Times New Roman" w:cs="Times New Roman"/>
          <w:sz w:val="24"/>
          <w:szCs w:val="24"/>
        </w:rPr>
        <w:t>increases the possibility of</w:t>
      </w:r>
      <w:r w:rsidRPr="00D97714">
        <w:rPr>
          <w:rFonts w:ascii="Times New Roman" w:hAnsi="Times New Roman" w:cs="Times New Roman"/>
          <w:sz w:val="24"/>
          <w:szCs w:val="24"/>
        </w:rPr>
        <w:t xml:space="preserve"> activism campaigns</w:t>
      </w:r>
      <w:r w:rsidR="000F2DE7" w:rsidRPr="00D97714">
        <w:rPr>
          <w:rFonts w:ascii="Times New Roman" w:hAnsi="Times New Roman" w:cs="Times New Roman"/>
          <w:sz w:val="24"/>
          <w:szCs w:val="24"/>
        </w:rPr>
        <w:t>. Consequently</w:t>
      </w:r>
      <w:r w:rsidRPr="00D97714">
        <w:rPr>
          <w:rFonts w:ascii="Times New Roman" w:hAnsi="Times New Roman" w:cs="Times New Roman"/>
          <w:sz w:val="24"/>
          <w:szCs w:val="24"/>
        </w:rPr>
        <w:t xml:space="preserve">, </w:t>
      </w:r>
      <w:r w:rsidR="000F2DE7" w:rsidRPr="00D97714">
        <w:rPr>
          <w:rFonts w:ascii="Times New Roman" w:hAnsi="Times New Roman" w:cs="Times New Roman"/>
          <w:sz w:val="24"/>
          <w:szCs w:val="24"/>
        </w:rPr>
        <w:t>their presence</w:t>
      </w:r>
      <w:r w:rsidRPr="00D97714">
        <w:rPr>
          <w:rFonts w:ascii="Times New Roman" w:hAnsi="Times New Roman" w:cs="Times New Roman"/>
          <w:sz w:val="24"/>
          <w:szCs w:val="24"/>
        </w:rPr>
        <w:t xml:space="preserve"> prompts managers </w:t>
      </w:r>
      <w:r w:rsidR="00371798" w:rsidRPr="00D97714">
        <w:rPr>
          <w:rFonts w:ascii="Times New Roman" w:hAnsi="Times New Roman" w:cs="Times New Roman"/>
          <w:sz w:val="24"/>
          <w:szCs w:val="24"/>
        </w:rPr>
        <w:t xml:space="preserve">at </w:t>
      </w:r>
      <w:r w:rsidRPr="00D97714">
        <w:rPr>
          <w:rFonts w:ascii="Times New Roman" w:hAnsi="Times New Roman" w:cs="Times New Roman"/>
          <w:sz w:val="24"/>
          <w:szCs w:val="24"/>
        </w:rPr>
        <w:t xml:space="preserve">non-targeted firms to take </w:t>
      </w:r>
      <w:r w:rsidR="00635ED0" w:rsidRPr="00D97714">
        <w:rPr>
          <w:rFonts w:ascii="Times New Roman" w:hAnsi="Times New Roman" w:cs="Times New Roman"/>
          <w:sz w:val="24"/>
          <w:szCs w:val="24"/>
        </w:rPr>
        <w:t>preemptive</w:t>
      </w:r>
      <w:r w:rsidR="00371798" w:rsidRPr="00D97714">
        <w:rPr>
          <w:rFonts w:ascii="Times New Roman" w:hAnsi="Times New Roman" w:cs="Times New Roman"/>
          <w:sz w:val="24"/>
          <w:szCs w:val="24"/>
        </w:rPr>
        <w:t xml:space="preserve"> </w:t>
      </w:r>
      <w:r w:rsidRPr="00D97714">
        <w:rPr>
          <w:rFonts w:ascii="Times New Roman" w:hAnsi="Times New Roman" w:cs="Times New Roman"/>
          <w:sz w:val="24"/>
          <w:szCs w:val="24"/>
        </w:rPr>
        <w:t xml:space="preserve">actions to </w:t>
      </w:r>
      <w:r w:rsidR="00371798" w:rsidRPr="00D97714">
        <w:rPr>
          <w:rFonts w:ascii="Times New Roman" w:hAnsi="Times New Roman" w:cs="Times New Roman"/>
          <w:sz w:val="24"/>
          <w:szCs w:val="24"/>
        </w:rPr>
        <w:t>lessen</w:t>
      </w:r>
      <w:r w:rsidRPr="00D97714">
        <w:rPr>
          <w:rFonts w:ascii="Times New Roman" w:hAnsi="Times New Roman" w:cs="Times New Roman"/>
          <w:sz w:val="24"/>
          <w:szCs w:val="24"/>
        </w:rPr>
        <w:t xml:space="preserve"> the prospect of </w:t>
      </w:r>
      <w:r w:rsidR="000F2DE7" w:rsidRPr="00D97714">
        <w:rPr>
          <w:rFonts w:ascii="Times New Roman" w:hAnsi="Times New Roman" w:cs="Times New Roman"/>
          <w:sz w:val="24"/>
          <w:szCs w:val="24"/>
        </w:rPr>
        <w:t xml:space="preserve">a </w:t>
      </w:r>
      <w:r w:rsidR="008217AB" w:rsidRPr="00D97714">
        <w:rPr>
          <w:rFonts w:ascii="Times New Roman" w:hAnsi="Times New Roman" w:cs="Times New Roman"/>
          <w:sz w:val="24"/>
          <w:szCs w:val="24"/>
        </w:rPr>
        <w:t xml:space="preserve">potentially </w:t>
      </w:r>
      <w:r w:rsidR="000F2DE7" w:rsidRPr="00D97714">
        <w:rPr>
          <w:rFonts w:ascii="Times New Roman" w:hAnsi="Times New Roman" w:cs="Times New Roman"/>
          <w:sz w:val="24"/>
          <w:szCs w:val="24"/>
        </w:rPr>
        <w:t>taxing</w:t>
      </w:r>
      <w:r w:rsidRPr="00D97714">
        <w:rPr>
          <w:rFonts w:ascii="Times New Roman" w:hAnsi="Times New Roman" w:cs="Times New Roman"/>
          <w:sz w:val="24"/>
          <w:szCs w:val="24"/>
        </w:rPr>
        <w:t xml:space="preserve"> activist campaign. </w:t>
      </w:r>
    </w:p>
    <w:p w14:paraId="64304235" w14:textId="3A577BCC" w:rsidR="00A40D6B" w:rsidRPr="00D97714" w:rsidRDefault="00A40D6B" w:rsidP="00A40D6B">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The </w:t>
      </w:r>
      <w:r w:rsidR="0026729C" w:rsidRPr="00D97714">
        <w:rPr>
          <w:rFonts w:ascii="Times New Roman" w:hAnsi="Times New Roman" w:cs="Times New Roman"/>
          <w:sz w:val="24"/>
          <w:szCs w:val="24"/>
        </w:rPr>
        <w:t xml:space="preserve">focus </w:t>
      </w:r>
      <w:r w:rsidRPr="00D97714">
        <w:rPr>
          <w:rFonts w:ascii="Times New Roman" w:hAnsi="Times New Roman" w:cs="Times New Roman"/>
          <w:sz w:val="24"/>
          <w:szCs w:val="24"/>
        </w:rPr>
        <w:t xml:space="preserve">of </w:t>
      </w:r>
      <w:r w:rsidR="0026729C" w:rsidRPr="00D97714">
        <w:rPr>
          <w:rFonts w:ascii="Times New Roman" w:hAnsi="Times New Roman" w:cs="Times New Roman"/>
          <w:sz w:val="24"/>
          <w:szCs w:val="24"/>
        </w:rPr>
        <w:t xml:space="preserve">the </w:t>
      </w:r>
      <w:r w:rsidRPr="00D97714">
        <w:rPr>
          <w:rFonts w:ascii="Times New Roman" w:hAnsi="Times New Roman" w:cs="Times New Roman"/>
          <w:sz w:val="24"/>
          <w:szCs w:val="24"/>
        </w:rPr>
        <w:t>paper is on institutional investors, who are the likeliest group of investors to initiate activist actions.</w:t>
      </w:r>
      <w:r w:rsidR="0026729C" w:rsidRPr="00D97714">
        <w:rPr>
          <w:rFonts w:ascii="Times New Roman" w:hAnsi="Times New Roman" w:cs="Times New Roman"/>
          <w:sz w:val="24"/>
          <w:szCs w:val="24"/>
        </w:rPr>
        <w:t xml:space="preserve"> Smith </w:t>
      </w:r>
      <w:r w:rsidRPr="00D97714">
        <w:rPr>
          <w:rFonts w:ascii="Times New Roman" w:hAnsi="Times New Roman" w:cs="Times New Roman"/>
          <w:sz w:val="24"/>
          <w:szCs w:val="24"/>
        </w:rPr>
        <w:t xml:space="preserve">(1996) </w:t>
      </w:r>
      <w:r w:rsidR="0026729C" w:rsidRPr="00D97714">
        <w:rPr>
          <w:rFonts w:ascii="Times New Roman" w:hAnsi="Times New Roman" w:cs="Times New Roman"/>
          <w:sz w:val="24"/>
          <w:szCs w:val="24"/>
        </w:rPr>
        <w:t xml:space="preserve">finds that firms with high institutional ownership tend to be targets for activism (also see Shleifer and Vishny (1986)). According to an article in the </w:t>
      </w:r>
      <w:r w:rsidR="0026729C" w:rsidRPr="00D97714">
        <w:rPr>
          <w:rFonts w:ascii="Times New Roman" w:hAnsi="Times New Roman" w:cs="Times New Roman"/>
          <w:i/>
          <w:sz w:val="24"/>
          <w:szCs w:val="24"/>
        </w:rPr>
        <w:t>Financial Times</w:t>
      </w:r>
      <w:r w:rsidR="0026729C" w:rsidRPr="00D97714">
        <w:rPr>
          <w:rFonts w:ascii="Times New Roman" w:hAnsi="Times New Roman" w:cs="Times New Roman"/>
          <w:sz w:val="24"/>
          <w:szCs w:val="24"/>
        </w:rPr>
        <w:t>, ‘More hedge funds today are styling themselves as activists […]’</w:t>
      </w:r>
      <w:r w:rsidR="0026729C" w:rsidRPr="00D97714">
        <w:rPr>
          <w:rStyle w:val="FootnoteReference"/>
          <w:rFonts w:ascii="Times New Roman" w:hAnsi="Times New Roman" w:cs="Times New Roman"/>
          <w:sz w:val="24"/>
          <w:szCs w:val="24"/>
        </w:rPr>
        <w:footnoteReference w:id="4"/>
      </w:r>
      <w:r w:rsidR="0026729C" w:rsidRPr="00D97714">
        <w:rPr>
          <w:rFonts w:ascii="Times New Roman" w:hAnsi="Times New Roman" w:cs="Times New Roman"/>
          <w:sz w:val="24"/>
          <w:szCs w:val="24"/>
        </w:rPr>
        <w:t xml:space="preserve"> The article further adds that activists and the largest institutional shareholders are teaming up to fight for better tools to unseat directors. </w:t>
      </w:r>
    </w:p>
    <w:p w14:paraId="32F3843D" w14:textId="1471B84C" w:rsidR="00A40D6B" w:rsidRPr="00D97714" w:rsidRDefault="00A40D6B" w:rsidP="00A40D6B">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Based on the above arguments, the approach adopted in this paper is </w:t>
      </w:r>
      <w:r w:rsidR="00D66F95" w:rsidRPr="00D97714">
        <w:rPr>
          <w:rFonts w:ascii="Times New Roman" w:hAnsi="Times New Roman" w:cs="Times New Roman"/>
          <w:sz w:val="24"/>
          <w:szCs w:val="24"/>
        </w:rPr>
        <w:t xml:space="preserve">to examine the effects of shareholder activism by considering the type of investors initiating the activism and requiring that similar investors are present at potential </w:t>
      </w:r>
      <w:r w:rsidRPr="00D97714">
        <w:rPr>
          <w:rFonts w:ascii="Times New Roman" w:hAnsi="Times New Roman" w:cs="Times New Roman"/>
          <w:sz w:val="24"/>
          <w:szCs w:val="24"/>
        </w:rPr>
        <w:t>target firms</w:t>
      </w:r>
      <w:r w:rsidR="00D66F95" w:rsidRPr="00D97714">
        <w:rPr>
          <w:rFonts w:ascii="Times New Roman" w:hAnsi="Times New Roman" w:cs="Times New Roman"/>
          <w:sz w:val="24"/>
          <w:szCs w:val="24"/>
        </w:rPr>
        <w:t xml:space="preserve">. </w:t>
      </w:r>
      <w:r w:rsidRPr="00D97714">
        <w:rPr>
          <w:rFonts w:ascii="Times New Roman" w:hAnsi="Times New Roman" w:cs="Times New Roman"/>
          <w:sz w:val="24"/>
          <w:szCs w:val="24"/>
        </w:rPr>
        <w:t xml:space="preserve">Thus, the method adopted in this paper takes into consideration the characteristics of both the investors that initiate the activist campaigns and the firms that are potential targets of the investors’ actions. </w:t>
      </w:r>
    </w:p>
    <w:p w14:paraId="4108DBE4" w14:textId="2B55076E" w:rsidR="008F2A3C" w:rsidRPr="00D97714" w:rsidRDefault="008F2A3C" w:rsidP="00F50FB4">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To select matching non-targeted firms, first we match each targeted firm with one non-targeted firm, and separately we match each targeted firm with a portfolio of matching non-targeted </w:t>
      </w:r>
      <w:r w:rsidR="00AA176E" w:rsidRPr="00D97714">
        <w:rPr>
          <w:rFonts w:ascii="Times New Roman" w:hAnsi="Times New Roman" w:cs="Times New Roman"/>
          <w:sz w:val="24"/>
          <w:szCs w:val="24"/>
        </w:rPr>
        <w:t>firms. Matching</w:t>
      </w:r>
      <w:r w:rsidR="00E13591" w:rsidRPr="00D97714">
        <w:rPr>
          <w:rFonts w:ascii="Times New Roman" w:hAnsi="Times New Roman" w:cs="Times New Roman"/>
          <w:sz w:val="24"/>
          <w:szCs w:val="24"/>
        </w:rPr>
        <w:t xml:space="preserve"> </w:t>
      </w:r>
      <w:r w:rsidR="00903E10" w:rsidRPr="00D97714">
        <w:rPr>
          <w:rFonts w:ascii="Times New Roman" w:hAnsi="Times New Roman" w:cs="Times New Roman"/>
          <w:sz w:val="24"/>
          <w:szCs w:val="24"/>
        </w:rPr>
        <w:t>non-targeted</w:t>
      </w:r>
      <w:r w:rsidR="00E13591" w:rsidRPr="00D97714">
        <w:rPr>
          <w:rFonts w:ascii="Times New Roman" w:hAnsi="Times New Roman" w:cs="Times New Roman"/>
          <w:sz w:val="24"/>
          <w:szCs w:val="24"/>
        </w:rPr>
        <w:t xml:space="preserve"> firms </w:t>
      </w:r>
      <w:r w:rsidRPr="00D97714">
        <w:rPr>
          <w:rFonts w:ascii="Times New Roman" w:hAnsi="Times New Roman" w:cs="Times New Roman"/>
          <w:sz w:val="24"/>
          <w:szCs w:val="24"/>
        </w:rPr>
        <w:t xml:space="preserve">are in </w:t>
      </w:r>
      <w:r w:rsidR="003B73A7" w:rsidRPr="00D97714">
        <w:rPr>
          <w:rFonts w:ascii="Times New Roman" w:hAnsi="Times New Roman" w:cs="Times New Roman"/>
          <w:sz w:val="24"/>
          <w:szCs w:val="24"/>
        </w:rPr>
        <w:t>the same</w:t>
      </w:r>
      <w:r w:rsidR="00E13591" w:rsidRPr="00D97714">
        <w:rPr>
          <w:rFonts w:ascii="Times New Roman" w:hAnsi="Times New Roman" w:cs="Times New Roman"/>
          <w:sz w:val="24"/>
          <w:szCs w:val="24"/>
        </w:rPr>
        <w:t xml:space="preserve"> </w:t>
      </w:r>
      <w:r w:rsidR="003B73A7" w:rsidRPr="00D97714">
        <w:rPr>
          <w:rFonts w:ascii="Times New Roman" w:hAnsi="Times New Roman" w:cs="Times New Roman"/>
          <w:sz w:val="24"/>
          <w:szCs w:val="24"/>
        </w:rPr>
        <w:t xml:space="preserve">quartile </w:t>
      </w:r>
      <w:r w:rsidR="00E13591" w:rsidRPr="00D97714">
        <w:rPr>
          <w:rFonts w:ascii="Times New Roman" w:hAnsi="Times New Roman" w:cs="Times New Roman"/>
          <w:sz w:val="24"/>
          <w:szCs w:val="24"/>
        </w:rPr>
        <w:t xml:space="preserve">of </w:t>
      </w:r>
      <w:r w:rsidRPr="00D97714">
        <w:rPr>
          <w:rFonts w:ascii="Times New Roman" w:hAnsi="Times New Roman" w:cs="Times New Roman"/>
          <w:sz w:val="24"/>
          <w:szCs w:val="24"/>
        </w:rPr>
        <w:t>institutional ownership</w:t>
      </w:r>
      <w:r w:rsidR="00E13591" w:rsidRPr="00D97714">
        <w:rPr>
          <w:rFonts w:ascii="Times New Roman" w:hAnsi="Times New Roman" w:cs="Times New Roman"/>
          <w:sz w:val="24"/>
          <w:szCs w:val="24"/>
        </w:rPr>
        <w:t xml:space="preserve"> </w:t>
      </w:r>
      <m:oMath>
        <m:r>
          <w:rPr>
            <w:rFonts w:ascii="Cambria Math" w:hAnsi="Cambria Math" w:cs="Times New Roman"/>
            <w:sz w:val="24"/>
            <w:szCs w:val="24"/>
          </w:rPr>
          <m:t>(IOPr)</m:t>
        </m:r>
      </m:oMath>
      <w:r w:rsidR="003B73A7" w:rsidRPr="00D97714">
        <w:rPr>
          <w:rFonts w:ascii="Times New Roman" w:eastAsiaTheme="minorEastAsia" w:hAnsi="Times New Roman" w:cs="Times New Roman"/>
          <w:sz w:val="24"/>
          <w:szCs w:val="24"/>
        </w:rPr>
        <w:t xml:space="preserve"> as the target firm</w:t>
      </w:r>
      <w:r w:rsidR="00E13591" w:rsidRPr="00D97714">
        <w:rPr>
          <w:rFonts w:ascii="Times New Roman" w:hAnsi="Times New Roman" w:cs="Times New Roman"/>
          <w:sz w:val="24"/>
          <w:szCs w:val="24"/>
        </w:rPr>
        <w:t>.</w:t>
      </w:r>
      <w:r w:rsidR="00F12006" w:rsidRPr="00D97714">
        <w:rPr>
          <w:rFonts w:ascii="Times New Roman" w:hAnsi="Times New Roman" w:cs="Times New Roman"/>
          <w:sz w:val="24"/>
          <w:szCs w:val="24"/>
        </w:rPr>
        <w:t xml:space="preserve"> </w:t>
      </w:r>
      <w:r w:rsidRPr="00D97714">
        <w:rPr>
          <w:rFonts w:ascii="Times New Roman" w:hAnsi="Times New Roman" w:cs="Times New Roman"/>
          <w:sz w:val="24"/>
          <w:szCs w:val="24"/>
        </w:rPr>
        <w:t>Furthermore, they</w:t>
      </w:r>
      <w:r w:rsidR="003B73A7" w:rsidRPr="00D97714">
        <w:rPr>
          <w:rFonts w:ascii="Times New Roman" w:hAnsi="Times New Roman" w:cs="Times New Roman"/>
          <w:sz w:val="24"/>
          <w:szCs w:val="24"/>
        </w:rPr>
        <w:t xml:space="preserve"> </w:t>
      </w:r>
      <w:r w:rsidRPr="00D97714">
        <w:rPr>
          <w:rFonts w:ascii="Times New Roman" w:hAnsi="Times New Roman" w:cs="Times New Roman"/>
          <w:sz w:val="24"/>
          <w:szCs w:val="24"/>
        </w:rPr>
        <w:t xml:space="preserve">are in </w:t>
      </w:r>
      <w:r w:rsidR="00E13591" w:rsidRPr="00D97714">
        <w:rPr>
          <w:rFonts w:ascii="Times New Roman" w:hAnsi="Times New Roman" w:cs="Times New Roman"/>
          <w:sz w:val="24"/>
          <w:szCs w:val="24"/>
        </w:rPr>
        <w:t xml:space="preserve">the same size quartile as the targeted firm. </w:t>
      </w:r>
    </w:p>
    <w:p w14:paraId="37D9E79F" w14:textId="780ACCB7" w:rsidR="00266040" w:rsidRPr="00D97714" w:rsidRDefault="008F2A3C" w:rsidP="001143ED">
      <w:pPr>
        <w:spacing w:line="480" w:lineRule="auto"/>
        <w:ind w:left="1440" w:hanging="720"/>
        <w:rPr>
          <w:rFonts w:ascii="Times New Roman" w:hAnsi="Times New Roman" w:cs="Times New Roman"/>
          <w:sz w:val="24"/>
          <w:szCs w:val="24"/>
        </w:rPr>
      </w:pPr>
      <w:r w:rsidRPr="00D97714">
        <w:rPr>
          <w:rFonts w:ascii="Times New Roman" w:hAnsi="Times New Roman" w:cs="Times New Roman"/>
          <w:sz w:val="24"/>
          <w:szCs w:val="24"/>
        </w:rPr>
        <w:t xml:space="preserve">H4: </w:t>
      </w:r>
      <w:r w:rsidRPr="00D97714">
        <w:rPr>
          <w:rFonts w:ascii="Times New Roman" w:hAnsi="Times New Roman" w:cs="Times New Roman"/>
          <w:sz w:val="24"/>
          <w:szCs w:val="24"/>
        </w:rPr>
        <w:tab/>
        <w:t>S</w:t>
      </w:r>
      <w:r w:rsidR="00E13591" w:rsidRPr="00D97714">
        <w:rPr>
          <w:rFonts w:ascii="Times New Roman" w:hAnsi="Times New Roman" w:cs="Times New Roman"/>
          <w:sz w:val="24"/>
          <w:szCs w:val="24"/>
        </w:rPr>
        <w:t xml:space="preserve">hareholder activism at one firm leads to changes in </w:t>
      </w:r>
      <w:r w:rsidR="008547F5" w:rsidRPr="00D97714">
        <w:rPr>
          <w:rFonts w:ascii="Times New Roman" w:hAnsi="Times New Roman" w:cs="Times New Roman"/>
          <w:sz w:val="24"/>
          <w:szCs w:val="24"/>
        </w:rPr>
        <w:t>a</w:t>
      </w:r>
      <w:r w:rsidR="00E13591" w:rsidRPr="00D97714">
        <w:rPr>
          <w:rFonts w:ascii="Times New Roman" w:hAnsi="Times New Roman" w:cs="Times New Roman"/>
          <w:sz w:val="24"/>
          <w:szCs w:val="24"/>
        </w:rPr>
        <w:t xml:space="preserve"> portfolio of </w:t>
      </w:r>
      <w:r w:rsidR="00903E10" w:rsidRPr="00D97714">
        <w:rPr>
          <w:rFonts w:ascii="Times New Roman" w:hAnsi="Times New Roman" w:cs="Times New Roman"/>
          <w:sz w:val="24"/>
          <w:szCs w:val="24"/>
        </w:rPr>
        <w:t>non-targeted</w:t>
      </w:r>
      <w:r w:rsidR="00E13591" w:rsidRPr="00D97714">
        <w:rPr>
          <w:rFonts w:ascii="Times New Roman" w:hAnsi="Times New Roman" w:cs="Times New Roman"/>
          <w:sz w:val="24"/>
          <w:szCs w:val="24"/>
        </w:rPr>
        <w:t xml:space="preserve"> firms that share the same </w:t>
      </w:r>
      <m:oMath>
        <m:r>
          <w:rPr>
            <w:rFonts w:ascii="Cambria Math" w:hAnsi="Cambria Math" w:cs="Times New Roman"/>
            <w:sz w:val="24"/>
            <w:szCs w:val="24"/>
          </w:rPr>
          <m:t>IOPr</m:t>
        </m:r>
      </m:oMath>
      <w:r w:rsidR="00E13591" w:rsidRPr="00D97714">
        <w:rPr>
          <w:rFonts w:ascii="Times New Roman" w:hAnsi="Times New Roman" w:cs="Times New Roman"/>
          <w:sz w:val="24"/>
          <w:szCs w:val="24"/>
        </w:rPr>
        <w:t>- and size quartile</w:t>
      </w:r>
      <w:r w:rsidR="008547F5" w:rsidRPr="00D97714">
        <w:rPr>
          <w:rFonts w:ascii="Times New Roman" w:hAnsi="Times New Roman" w:cs="Times New Roman"/>
          <w:sz w:val="24"/>
          <w:szCs w:val="24"/>
        </w:rPr>
        <w:t xml:space="preserve"> as the targeted firm</w:t>
      </w:r>
      <w:r w:rsidR="00E13591" w:rsidRPr="00D97714">
        <w:rPr>
          <w:rFonts w:ascii="Times New Roman" w:hAnsi="Times New Roman" w:cs="Times New Roman"/>
          <w:sz w:val="24"/>
          <w:szCs w:val="24"/>
        </w:rPr>
        <w:t>.</w:t>
      </w:r>
    </w:p>
    <w:p w14:paraId="789C5268" w14:textId="6D7172D6" w:rsidR="00111270" w:rsidRPr="00D97714" w:rsidRDefault="00885097" w:rsidP="00111270">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It would be rash, though, to categorize all institutional investors as keen activists. </w:t>
      </w:r>
      <w:r w:rsidR="006A3EBB" w:rsidRPr="00D97714">
        <w:rPr>
          <w:rFonts w:ascii="Times New Roman" w:hAnsi="Times New Roman" w:cs="Times New Roman"/>
          <w:sz w:val="24"/>
          <w:szCs w:val="24"/>
        </w:rPr>
        <w:t xml:space="preserve">Pozen (1991) points out that many institutional investors perform a cost-benefit analysis prior to deciding whether it’s worth fighting company management. In many </w:t>
      </w:r>
      <w:r w:rsidR="0068779B" w:rsidRPr="00D97714">
        <w:rPr>
          <w:rFonts w:ascii="Times New Roman" w:hAnsi="Times New Roman" w:cs="Times New Roman"/>
          <w:sz w:val="24"/>
          <w:szCs w:val="24"/>
        </w:rPr>
        <w:t>instances</w:t>
      </w:r>
      <w:r w:rsidR="006A3EBB" w:rsidRPr="00D97714">
        <w:rPr>
          <w:rFonts w:ascii="Times New Roman" w:hAnsi="Times New Roman" w:cs="Times New Roman"/>
          <w:sz w:val="24"/>
          <w:szCs w:val="24"/>
        </w:rPr>
        <w:t xml:space="preserve">, dissatisfied investors would </w:t>
      </w:r>
      <w:r w:rsidR="0068779B" w:rsidRPr="00D97714">
        <w:rPr>
          <w:rFonts w:ascii="Times New Roman" w:hAnsi="Times New Roman" w:cs="Times New Roman"/>
          <w:sz w:val="24"/>
          <w:szCs w:val="24"/>
        </w:rPr>
        <w:t xml:space="preserve">rather </w:t>
      </w:r>
      <w:r w:rsidR="006A3EBB" w:rsidRPr="00D97714">
        <w:rPr>
          <w:rFonts w:ascii="Times New Roman" w:hAnsi="Times New Roman" w:cs="Times New Roman"/>
          <w:sz w:val="24"/>
          <w:szCs w:val="24"/>
        </w:rPr>
        <w:t>vote with their feet</w:t>
      </w:r>
      <w:r w:rsidR="0068779B" w:rsidRPr="00D97714">
        <w:rPr>
          <w:rFonts w:ascii="Times New Roman" w:hAnsi="Times New Roman" w:cs="Times New Roman"/>
          <w:sz w:val="24"/>
          <w:szCs w:val="24"/>
        </w:rPr>
        <w:t>,</w:t>
      </w:r>
      <w:r w:rsidR="006A3EBB" w:rsidRPr="00D97714">
        <w:rPr>
          <w:rFonts w:ascii="Times New Roman" w:hAnsi="Times New Roman" w:cs="Times New Roman"/>
          <w:sz w:val="24"/>
          <w:szCs w:val="24"/>
        </w:rPr>
        <w:t xml:space="preserve"> sell their target company’s stock and leave </w:t>
      </w:r>
      <w:r w:rsidR="00D97714">
        <w:rPr>
          <w:rFonts w:ascii="Times New Roman" w:hAnsi="Times New Roman" w:cs="Times New Roman"/>
          <w:sz w:val="24"/>
          <w:szCs w:val="24"/>
        </w:rPr>
        <w:t>rather than challenging</w:t>
      </w:r>
      <w:r w:rsidR="0068779B" w:rsidRPr="00D97714">
        <w:rPr>
          <w:rFonts w:ascii="Times New Roman" w:hAnsi="Times New Roman" w:cs="Times New Roman"/>
          <w:sz w:val="24"/>
          <w:szCs w:val="24"/>
        </w:rPr>
        <w:t xml:space="preserve"> the firm’s management </w:t>
      </w:r>
      <w:r w:rsidR="006A3EBB" w:rsidRPr="00D97714">
        <w:rPr>
          <w:rFonts w:ascii="Times New Roman" w:hAnsi="Times New Roman" w:cs="Times New Roman"/>
          <w:sz w:val="24"/>
          <w:szCs w:val="24"/>
        </w:rPr>
        <w:t xml:space="preserve">(also see Bushee (2001)). </w:t>
      </w:r>
      <w:r w:rsidR="00756E29" w:rsidRPr="00D97714">
        <w:rPr>
          <w:rFonts w:ascii="Times New Roman" w:hAnsi="Times New Roman" w:cs="Times New Roman"/>
          <w:sz w:val="24"/>
          <w:szCs w:val="24"/>
        </w:rPr>
        <w:t>Maug (1998) argues that stock market liquidity allows investors to sell out if they are dissatisfied with company management. These</w:t>
      </w:r>
      <w:r w:rsidR="00111270" w:rsidRPr="00D97714">
        <w:rPr>
          <w:rFonts w:ascii="Times New Roman" w:hAnsi="Times New Roman" w:cs="Times New Roman"/>
          <w:sz w:val="24"/>
          <w:szCs w:val="24"/>
        </w:rPr>
        <w:t xml:space="preserve"> investors might also favor </w:t>
      </w:r>
      <w:r w:rsidR="00054E48" w:rsidRPr="00D97714">
        <w:rPr>
          <w:rFonts w:ascii="Times New Roman" w:hAnsi="Times New Roman" w:cs="Times New Roman"/>
          <w:sz w:val="24"/>
          <w:szCs w:val="24"/>
        </w:rPr>
        <w:t xml:space="preserve">short-term </w:t>
      </w:r>
      <w:r w:rsidR="00111270" w:rsidRPr="00D97714">
        <w:rPr>
          <w:rFonts w:ascii="Times New Roman" w:hAnsi="Times New Roman" w:cs="Times New Roman"/>
          <w:sz w:val="24"/>
          <w:szCs w:val="24"/>
        </w:rPr>
        <w:t xml:space="preserve">investing </w:t>
      </w:r>
      <w:r w:rsidR="00720243" w:rsidRPr="00D97714">
        <w:rPr>
          <w:rFonts w:ascii="Times New Roman" w:hAnsi="Times New Roman" w:cs="Times New Roman"/>
          <w:sz w:val="24"/>
          <w:szCs w:val="24"/>
        </w:rPr>
        <w:t xml:space="preserve">and </w:t>
      </w:r>
      <w:r w:rsidR="00111270" w:rsidRPr="00D97714">
        <w:rPr>
          <w:rFonts w:ascii="Times New Roman" w:hAnsi="Times New Roman" w:cs="Times New Roman"/>
          <w:sz w:val="24"/>
          <w:szCs w:val="24"/>
        </w:rPr>
        <w:t>active trading</w:t>
      </w:r>
      <w:r w:rsidR="00054E48" w:rsidRPr="00D97714">
        <w:rPr>
          <w:rFonts w:ascii="Times New Roman" w:hAnsi="Times New Roman" w:cs="Times New Roman"/>
          <w:sz w:val="24"/>
          <w:szCs w:val="24"/>
        </w:rPr>
        <w:t xml:space="preserve">. </w:t>
      </w:r>
      <w:r w:rsidR="00111270" w:rsidRPr="00D97714">
        <w:rPr>
          <w:rFonts w:ascii="Times New Roman" w:hAnsi="Times New Roman" w:cs="Times New Roman"/>
          <w:sz w:val="24"/>
          <w:szCs w:val="24"/>
        </w:rPr>
        <w:t>We control for this possibility by calculating the</w:t>
      </w:r>
      <w:r w:rsidR="00054E48" w:rsidRPr="00D97714">
        <w:rPr>
          <w:rFonts w:ascii="Times New Roman" w:hAnsi="Times New Roman" w:cs="Times New Roman"/>
          <w:sz w:val="24"/>
          <w:szCs w:val="24"/>
        </w:rPr>
        <w:t xml:space="preserve"> volatility in </w:t>
      </w:r>
      <w:r w:rsidR="00111270" w:rsidRPr="00D97714">
        <w:rPr>
          <w:rFonts w:ascii="Times New Roman" w:hAnsi="Times New Roman" w:cs="Times New Roman"/>
          <w:sz w:val="24"/>
          <w:szCs w:val="24"/>
        </w:rPr>
        <w:t xml:space="preserve">the institutional </w:t>
      </w:r>
      <w:r w:rsidR="00054E48" w:rsidRPr="00D97714">
        <w:rPr>
          <w:rFonts w:ascii="Times New Roman" w:hAnsi="Times New Roman" w:cs="Times New Roman"/>
          <w:sz w:val="24"/>
          <w:szCs w:val="24"/>
        </w:rPr>
        <w:t xml:space="preserve">shareholdings </w:t>
      </w:r>
      <m:oMath>
        <m:r>
          <w:rPr>
            <w:rFonts w:ascii="Cambria Math" w:hAnsi="Cambria Math" w:cs="Times New Roman"/>
            <w:sz w:val="24"/>
            <w:szCs w:val="24"/>
          </w:rPr>
          <m:t>(IOV)</m:t>
        </m:r>
      </m:oMath>
      <w:r w:rsidR="00054E48" w:rsidRPr="00D97714">
        <w:rPr>
          <w:rFonts w:ascii="Times New Roman" w:hAnsi="Times New Roman" w:cs="Times New Roman"/>
          <w:sz w:val="24"/>
          <w:szCs w:val="24"/>
        </w:rPr>
        <w:t>.</w:t>
      </w:r>
      <w:r w:rsidR="00DD25FC" w:rsidRPr="00D97714">
        <w:rPr>
          <w:rFonts w:ascii="Times New Roman" w:hAnsi="Times New Roman" w:cs="Times New Roman"/>
          <w:sz w:val="24"/>
          <w:szCs w:val="24"/>
        </w:rPr>
        <w:t xml:space="preserve"> </w:t>
      </w:r>
    </w:p>
    <w:p w14:paraId="70D418C1" w14:textId="5267F28F" w:rsidR="00940F7D" w:rsidRPr="00D97714" w:rsidRDefault="00940F7D" w:rsidP="00111270">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﻿High (low) IOV suggests high (low) volatility in institutional ownership. The success of an activist campaign will depend on the sponsoring shareholder's desire to stay the course. On this subject, it would be important that the firm institutional shareholdings are stable such that the activist campaign fulfills its objectives. Conversely, high volatility or turnover in the shareholdings of institutional investors would make activist campaigns less likely and/or less successful.</w:t>
      </w:r>
    </w:p>
    <w:p w14:paraId="2FF1B988" w14:textId="617D9136" w:rsidR="008435D9" w:rsidRPr="00D97714" w:rsidRDefault="00940F7D" w:rsidP="00AA176E">
      <w:pPr>
        <w:spacing w:line="480" w:lineRule="auto"/>
        <w:ind w:left="1440" w:hanging="720"/>
        <w:rPr>
          <w:rFonts w:ascii="Times New Roman" w:hAnsi="Times New Roman" w:cs="Times New Roman"/>
          <w:sz w:val="24"/>
          <w:szCs w:val="24"/>
        </w:rPr>
      </w:pPr>
      <w:r w:rsidRPr="00D97714">
        <w:rPr>
          <w:rFonts w:ascii="Times New Roman" w:hAnsi="Times New Roman" w:cs="Times New Roman"/>
          <w:sz w:val="24"/>
          <w:szCs w:val="24"/>
        </w:rPr>
        <w:t xml:space="preserve">H5: </w:t>
      </w:r>
      <w:r w:rsidRPr="00D97714">
        <w:rPr>
          <w:rFonts w:ascii="Times New Roman" w:hAnsi="Times New Roman" w:cs="Times New Roman"/>
          <w:sz w:val="24"/>
          <w:szCs w:val="24"/>
        </w:rPr>
        <w:tab/>
        <w:t xml:space="preserve">Firms associated with </w:t>
      </w:r>
      <w:r w:rsidR="005F1DFF" w:rsidRPr="00D97714">
        <w:rPr>
          <w:rFonts w:ascii="Times New Roman" w:hAnsi="Times New Roman" w:cs="Times New Roman"/>
          <w:sz w:val="24"/>
          <w:szCs w:val="24"/>
        </w:rPr>
        <w:t>a high</w:t>
      </w:r>
      <w:r w:rsidRPr="00D97714">
        <w:rPr>
          <w:rFonts w:ascii="Times New Roman" w:hAnsi="Times New Roman" w:cs="Times New Roman"/>
          <w:sz w:val="24"/>
          <w:szCs w:val="24"/>
        </w:rPr>
        <w:t xml:space="preserve"> volatility in institutional ownership are less likely to benefit from institutional investors’ activism.</w:t>
      </w:r>
    </w:p>
    <w:p w14:paraId="44EF3661" w14:textId="167F0BAE" w:rsidR="00EC47AA" w:rsidRPr="00D97714" w:rsidRDefault="00512C4D" w:rsidP="00512C4D">
      <w:pPr>
        <w:spacing w:line="480" w:lineRule="auto"/>
        <w:rPr>
          <w:rFonts w:ascii="Times New Roman" w:hAnsi="Times New Roman" w:cs="Times New Roman"/>
          <w:b/>
          <w:sz w:val="24"/>
          <w:szCs w:val="24"/>
        </w:rPr>
      </w:pPr>
      <w:r w:rsidRPr="00D97714">
        <w:rPr>
          <w:rFonts w:ascii="Times New Roman" w:hAnsi="Times New Roman" w:cs="Times New Roman"/>
          <w:b/>
          <w:sz w:val="24"/>
          <w:szCs w:val="24"/>
        </w:rPr>
        <w:t xml:space="preserve">III. </w:t>
      </w:r>
      <w:r w:rsidR="00EC47AA" w:rsidRPr="00D97714">
        <w:rPr>
          <w:rFonts w:ascii="Times New Roman" w:hAnsi="Times New Roman" w:cs="Times New Roman"/>
          <w:b/>
          <w:sz w:val="24"/>
          <w:szCs w:val="24"/>
        </w:rPr>
        <w:t>Sample</w:t>
      </w:r>
      <w:r w:rsidR="0006068D" w:rsidRPr="00D97714">
        <w:rPr>
          <w:rFonts w:ascii="Times New Roman" w:hAnsi="Times New Roman" w:cs="Times New Roman"/>
          <w:b/>
          <w:sz w:val="24"/>
          <w:szCs w:val="24"/>
        </w:rPr>
        <w:t xml:space="preserve"> </w:t>
      </w:r>
    </w:p>
    <w:p w14:paraId="0BDF715C" w14:textId="079712E5" w:rsidR="0073398C" w:rsidRPr="00D97714" w:rsidRDefault="0073398C" w:rsidP="00EC47AA">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We </w:t>
      </w:r>
      <w:r w:rsidR="003B73A7" w:rsidRPr="00D97714">
        <w:rPr>
          <w:rFonts w:ascii="Times New Roman" w:hAnsi="Times New Roman" w:cs="Times New Roman"/>
          <w:sz w:val="24"/>
          <w:szCs w:val="24"/>
        </w:rPr>
        <w:t xml:space="preserve">obtain </w:t>
      </w:r>
      <w:r w:rsidRPr="00D97714">
        <w:rPr>
          <w:rFonts w:ascii="Times New Roman" w:hAnsi="Times New Roman" w:cs="Times New Roman"/>
          <w:sz w:val="24"/>
          <w:szCs w:val="24"/>
        </w:rPr>
        <w:t xml:space="preserve">the announcement dates of shareholder activism events from the </w:t>
      </w:r>
      <w:r w:rsidR="003F0449" w:rsidRPr="00D97714">
        <w:rPr>
          <w:rFonts w:ascii="Times New Roman" w:hAnsi="Times New Roman" w:cs="Times New Roman"/>
          <w:i/>
          <w:sz w:val="24"/>
          <w:szCs w:val="24"/>
        </w:rPr>
        <w:t xml:space="preserve">Thomson Reuters Shareholder Activism Intelligence </w:t>
      </w:r>
      <w:r w:rsidR="003F0449" w:rsidRPr="00D97714">
        <w:rPr>
          <w:rFonts w:ascii="Times New Roman" w:hAnsi="Times New Roman" w:cs="Times New Roman"/>
          <w:sz w:val="24"/>
          <w:szCs w:val="24"/>
        </w:rPr>
        <w:t xml:space="preserve">(TRSAI) </w:t>
      </w:r>
      <w:r w:rsidRPr="00D97714">
        <w:rPr>
          <w:rFonts w:ascii="Times New Roman" w:hAnsi="Times New Roman" w:cs="Times New Roman"/>
          <w:sz w:val="24"/>
          <w:szCs w:val="24"/>
        </w:rPr>
        <w:t xml:space="preserve">database. </w:t>
      </w:r>
      <w:r w:rsidR="0023072D" w:rsidRPr="00D97714">
        <w:rPr>
          <w:rFonts w:ascii="Times New Roman" w:hAnsi="Times New Roman" w:cs="Times New Roman"/>
          <w:sz w:val="24"/>
          <w:szCs w:val="24"/>
        </w:rPr>
        <w:t>W</w:t>
      </w:r>
      <w:r w:rsidRPr="00D97714">
        <w:rPr>
          <w:rFonts w:ascii="Times New Roman" w:hAnsi="Times New Roman" w:cs="Times New Roman"/>
          <w:sz w:val="24"/>
          <w:szCs w:val="24"/>
        </w:rPr>
        <w:t xml:space="preserve">e retain the companies for which we could identify the following: </w:t>
      </w:r>
      <w:r w:rsidR="00D56745" w:rsidRPr="00D97714">
        <w:rPr>
          <w:rFonts w:ascii="Times New Roman" w:hAnsi="Times New Roman" w:cs="Times New Roman"/>
          <w:sz w:val="24"/>
          <w:szCs w:val="24"/>
        </w:rPr>
        <w:t xml:space="preserve">institutional </w:t>
      </w:r>
      <w:r w:rsidRPr="00D97714">
        <w:rPr>
          <w:rFonts w:ascii="Times New Roman" w:hAnsi="Times New Roman" w:cs="Times New Roman"/>
          <w:sz w:val="24"/>
          <w:szCs w:val="24"/>
        </w:rPr>
        <w:t xml:space="preserve">ownership data from the </w:t>
      </w:r>
      <w:r w:rsidR="003F0449" w:rsidRPr="00D97714">
        <w:rPr>
          <w:rFonts w:ascii="Times New Roman" w:hAnsi="Times New Roman" w:cs="Times New Roman"/>
          <w:i/>
          <w:sz w:val="24"/>
          <w:szCs w:val="24"/>
        </w:rPr>
        <w:t>Thomson One Financial</w:t>
      </w:r>
      <w:r w:rsidR="00007C92" w:rsidRPr="00D97714">
        <w:rPr>
          <w:rFonts w:ascii="Times New Roman" w:hAnsi="Times New Roman" w:cs="Times New Roman"/>
          <w:i/>
          <w:sz w:val="24"/>
          <w:szCs w:val="24"/>
        </w:rPr>
        <w:t xml:space="preserve"> </w:t>
      </w:r>
      <w:r w:rsidRPr="00D97714">
        <w:rPr>
          <w:rFonts w:ascii="Times New Roman" w:hAnsi="Times New Roman" w:cs="Times New Roman"/>
          <w:sz w:val="24"/>
          <w:szCs w:val="24"/>
        </w:rPr>
        <w:t xml:space="preserve">database, stock price data from the </w:t>
      </w:r>
      <w:r w:rsidRPr="00D97714">
        <w:rPr>
          <w:rFonts w:ascii="Times New Roman" w:hAnsi="Times New Roman" w:cs="Times New Roman"/>
          <w:i/>
          <w:sz w:val="24"/>
          <w:szCs w:val="24"/>
        </w:rPr>
        <w:t>University of Chicago Center for Research in Security Prices</w:t>
      </w:r>
      <w:r w:rsidRPr="00D97714">
        <w:rPr>
          <w:rFonts w:ascii="Times New Roman" w:hAnsi="Times New Roman" w:cs="Times New Roman"/>
          <w:sz w:val="24"/>
          <w:szCs w:val="24"/>
        </w:rPr>
        <w:t xml:space="preserve"> (CRSP) database and accounting data from the COMPUSTAT database. Our final sample consists of 507 </w:t>
      </w:r>
      <w:r w:rsidR="00442FE8" w:rsidRPr="00D97714">
        <w:rPr>
          <w:rFonts w:ascii="Times New Roman" w:hAnsi="Times New Roman" w:cs="Times New Roman"/>
          <w:sz w:val="24"/>
          <w:szCs w:val="24"/>
        </w:rPr>
        <w:t xml:space="preserve">announcements of </w:t>
      </w:r>
      <w:r w:rsidR="005A108D" w:rsidRPr="00D97714">
        <w:rPr>
          <w:rFonts w:ascii="Times New Roman" w:hAnsi="Times New Roman" w:cs="Times New Roman"/>
          <w:sz w:val="24"/>
          <w:szCs w:val="24"/>
        </w:rPr>
        <w:t>shareholder</w:t>
      </w:r>
      <w:r w:rsidR="00442FE8" w:rsidRPr="00D97714">
        <w:rPr>
          <w:rFonts w:ascii="Times New Roman" w:hAnsi="Times New Roman" w:cs="Times New Roman"/>
          <w:sz w:val="24"/>
          <w:szCs w:val="24"/>
        </w:rPr>
        <w:t xml:space="preserve"> activism between 2000 and</w:t>
      </w:r>
      <w:r w:rsidRPr="00D97714">
        <w:rPr>
          <w:rFonts w:ascii="Times New Roman" w:hAnsi="Times New Roman" w:cs="Times New Roman"/>
          <w:sz w:val="24"/>
          <w:szCs w:val="24"/>
        </w:rPr>
        <w:t xml:space="preserve"> 2010.</w:t>
      </w:r>
      <w:r w:rsidR="00B00B7A" w:rsidRPr="00D97714">
        <w:rPr>
          <w:rStyle w:val="FootnoteReference"/>
          <w:rFonts w:ascii="Times New Roman" w:hAnsi="Times New Roman" w:cs="Times New Roman"/>
          <w:sz w:val="24"/>
          <w:szCs w:val="24"/>
        </w:rPr>
        <w:footnoteReference w:id="5"/>
      </w:r>
      <w:r w:rsidR="00B00B7A" w:rsidRPr="00D97714" w:rsidDel="00B00B7A">
        <w:rPr>
          <w:rStyle w:val="CommentReference"/>
          <w:rFonts w:ascii="Times New Roman" w:hAnsi="Times New Roman" w:cs="Times New Roman"/>
          <w:sz w:val="24"/>
          <w:szCs w:val="24"/>
        </w:rPr>
        <w:t xml:space="preserve"> </w:t>
      </w:r>
    </w:p>
    <w:p w14:paraId="2F725F42" w14:textId="78E2538B" w:rsidR="00D61D81" w:rsidRPr="00D97714" w:rsidRDefault="00007C92" w:rsidP="00EC47AA">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TRSAI </w:t>
      </w:r>
      <w:r w:rsidR="00D61D81" w:rsidRPr="00D97714">
        <w:rPr>
          <w:rFonts w:ascii="Times New Roman" w:hAnsi="Times New Roman" w:cs="Times New Roman"/>
          <w:sz w:val="24"/>
          <w:szCs w:val="24"/>
        </w:rPr>
        <w:t>covers all major forms of dissident shareholder activit</w:t>
      </w:r>
      <w:r w:rsidR="00D56745" w:rsidRPr="00D97714">
        <w:rPr>
          <w:rFonts w:ascii="Times New Roman" w:hAnsi="Times New Roman" w:cs="Times New Roman"/>
          <w:sz w:val="24"/>
          <w:szCs w:val="24"/>
        </w:rPr>
        <w:t>ies</w:t>
      </w:r>
      <w:r w:rsidR="00D61D81" w:rsidRPr="00D97714">
        <w:rPr>
          <w:rFonts w:ascii="Times New Roman" w:hAnsi="Times New Roman" w:cs="Times New Roman"/>
          <w:sz w:val="24"/>
          <w:szCs w:val="24"/>
        </w:rPr>
        <w:t xml:space="preserve"> for the most prominent activists from public announcements and proposals, to formal proxy fights.</w:t>
      </w:r>
      <w:r w:rsidR="00D61D81" w:rsidRPr="00D97714">
        <w:rPr>
          <w:rStyle w:val="FootnoteReference"/>
          <w:rFonts w:ascii="Times New Roman" w:hAnsi="Times New Roman" w:cs="Times New Roman"/>
          <w:sz w:val="24"/>
          <w:szCs w:val="24"/>
        </w:rPr>
        <w:footnoteReference w:id="6"/>
      </w:r>
      <w:r w:rsidR="00D61D81" w:rsidRPr="00D97714">
        <w:rPr>
          <w:rFonts w:ascii="Times New Roman" w:hAnsi="Times New Roman" w:cs="Times New Roman"/>
          <w:sz w:val="24"/>
          <w:szCs w:val="24"/>
        </w:rPr>
        <w:t xml:space="preserve"> The </w:t>
      </w:r>
      <w:r w:rsidR="00BE04D3" w:rsidRPr="00D97714">
        <w:rPr>
          <w:rFonts w:ascii="Times New Roman" w:hAnsi="Times New Roman" w:cs="Times New Roman"/>
          <w:i/>
          <w:sz w:val="24"/>
          <w:szCs w:val="24"/>
        </w:rPr>
        <w:t>Shareholder Activism</w:t>
      </w:r>
      <w:r w:rsidR="00D61D81" w:rsidRPr="00D97714">
        <w:rPr>
          <w:rFonts w:ascii="Times New Roman" w:hAnsi="Times New Roman" w:cs="Times New Roman"/>
          <w:i/>
          <w:sz w:val="24"/>
          <w:szCs w:val="24"/>
        </w:rPr>
        <w:t xml:space="preserve"> Module</w:t>
      </w:r>
      <w:r w:rsidR="00D61D81" w:rsidRPr="00D97714">
        <w:rPr>
          <w:rFonts w:ascii="Times New Roman" w:hAnsi="Times New Roman" w:cs="Times New Roman"/>
          <w:sz w:val="24"/>
          <w:szCs w:val="24"/>
        </w:rPr>
        <w:t xml:space="preserve"> </w:t>
      </w:r>
      <w:r w:rsidR="00807D8C" w:rsidRPr="00D97714">
        <w:rPr>
          <w:rFonts w:ascii="Times New Roman" w:hAnsi="Times New Roman" w:cs="Times New Roman"/>
          <w:sz w:val="24"/>
          <w:szCs w:val="24"/>
        </w:rPr>
        <w:t xml:space="preserve">accessed via </w:t>
      </w:r>
      <w:r w:rsidR="00807D8C" w:rsidRPr="00D97714">
        <w:rPr>
          <w:rFonts w:ascii="Times New Roman" w:hAnsi="Times New Roman" w:cs="Times New Roman"/>
          <w:i/>
          <w:sz w:val="24"/>
          <w:szCs w:val="24"/>
        </w:rPr>
        <w:t>Thomson</w:t>
      </w:r>
      <w:r w:rsidR="00D61D81" w:rsidRPr="00D97714">
        <w:rPr>
          <w:rFonts w:ascii="Times New Roman" w:hAnsi="Times New Roman" w:cs="Times New Roman"/>
          <w:i/>
          <w:sz w:val="24"/>
          <w:szCs w:val="24"/>
        </w:rPr>
        <w:t>One</w:t>
      </w:r>
      <w:r w:rsidR="00807D8C" w:rsidRPr="00D97714">
        <w:rPr>
          <w:rFonts w:ascii="Times New Roman" w:hAnsi="Times New Roman" w:cs="Times New Roman"/>
          <w:i/>
          <w:sz w:val="24"/>
          <w:szCs w:val="24"/>
        </w:rPr>
        <w:t>.com</w:t>
      </w:r>
      <w:r w:rsidR="00D61D81" w:rsidRPr="00D97714">
        <w:rPr>
          <w:rFonts w:ascii="Times New Roman" w:hAnsi="Times New Roman" w:cs="Times New Roman"/>
          <w:sz w:val="24"/>
          <w:szCs w:val="24"/>
        </w:rPr>
        <w:t xml:space="preserve"> provides the following information per event: campaign announcement date, target name and its economic sector, target market cap (in $ millions), the activist group name, the demand made by the group, the status of the demand and the campaign history.</w:t>
      </w:r>
      <w:r w:rsidR="00F52428" w:rsidRPr="00D97714">
        <w:rPr>
          <w:rFonts w:ascii="Times New Roman" w:hAnsi="Times New Roman" w:cs="Times New Roman"/>
          <w:sz w:val="24"/>
          <w:szCs w:val="24"/>
        </w:rPr>
        <w:t xml:space="preserve"> The database covers formal proxy fights launched for Board control since </w:t>
      </w:r>
      <w:r w:rsidR="000A348F" w:rsidRPr="00D97714">
        <w:rPr>
          <w:rFonts w:ascii="Times New Roman" w:hAnsi="Times New Roman" w:cs="Times New Roman"/>
          <w:sz w:val="24"/>
          <w:szCs w:val="24"/>
        </w:rPr>
        <w:t>2000;</w:t>
      </w:r>
      <w:r w:rsidR="00F52428" w:rsidRPr="00D97714">
        <w:rPr>
          <w:rFonts w:ascii="Times New Roman" w:hAnsi="Times New Roman" w:cs="Times New Roman"/>
          <w:sz w:val="24"/>
          <w:szCs w:val="24"/>
        </w:rPr>
        <w:t xml:space="preserve"> all major campaigns </w:t>
      </w:r>
      <w:r w:rsidR="000A348F" w:rsidRPr="00D97714">
        <w:rPr>
          <w:rFonts w:ascii="Times New Roman" w:hAnsi="Times New Roman" w:cs="Times New Roman"/>
          <w:sz w:val="24"/>
          <w:szCs w:val="24"/>
        </w:rPr>
        <w:t>launched by the Most Prominent Activist Investors; Proxy Fights; Shareholder Proposals; Public Letters to Management; Press Releases and Selected 13D Filings.</w:t>
      </w:r>
    </w:p>
    <w:p w14:paraId="160C936B" w14:textId="6D993B24" w:rsidR="0073398C" w:rsidRPr="00D97714" w:rsidRDefault="007254A7" w:rsidP="00EC47AA">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To analyze the spillover effects from the shareholder actions, we construct </w:t>
      </w:r>
      <w:r w:rsidR="00584041" w:rsidRPr="00D97714">
        <w:rPr>
          <w:rFonts w:ascii="Times New Roman" w:hAnsi="Times New Roman" w:cs="Times New Roman"/>
          <w:sz w:val="24"/>
          <w:szCs w:val="24"/>
        </w:rPr>
        <w:t>two</w:t>
      </w:r>
      <w:r w:rsidRPr="00D97714">
        <w:rPr>
          <w:rFonts w:ascii="Times New Roman" w:hAnsi="Times New Roman" w:cs="Times New Roman"/>
          <w:sz w:val="24"/>
          <w:szCs w:val="24"/>
        </w:rPr>
        <w:t xml:space="preserve"> portfolio</w:t>
      </w:r>
      <w:r w:rsidR="00584041" w:rsidRPr="00D97714">
        <w:rPr>
          <w:rFonts w:ascii="Times New Roman" w:hAnsi="Times New Roman" w:cs="Times New Roman"/>
          <w:sz w:val="24"/>
          <w:szCs w:val="24"/>
        </w:rPr>
        <w:t>s</w:t>
      </w:r>
      <w:r w:rsidRPr="00D97714">
        <w:rPr>
          <w:rFonts w:ascii="Times New Roman" w:hAnsi="Times New Roman" w:cs="Times New Roman"/>
          <w:sz w:val="24"/>
          <w:szCs w:val="24"/>
        </w:rPr>
        <w:t xml:space="preserve"> of matching </w:t>
      </w:r>
      <w:r w:rsidR="00D56745" w:rsidRPr="00D97714">
        <w:rPr>
          <w:rFonts w:ascii="Times New Roman" w:hAnsi="Times New Roman" w:cs="Times New Roman"/>
          <w:sz w:val="24"/>
          <w:szCs w:val="24"/>
        </w:rPr>
        <w:t xml:space="preserve">non-targeted </w:t>
      </w:r>
      <w:r w:rsidRPr="00D97714">
        <w:rPr>
          <w:rFonts w:ascii="Times New Roman" w:hAnsi="Times New Roman" w:cs="Times New Roman"/>
          <w:sz w:val="24"/>
          <w:szCs w:val="24"/>
        </w:rPr>
        <w:t xml:space="preserve">firms that are not subject to such actions. </w:t>
      </w:r>
      <w:r w:rsidR="00584041" w:rsidRPr="00D97714">
        <w:rPr>
          <w:rFonts w:ascii="Times New Roman" w:hAnsi="Times New Roman" w:cs="Times New Roman"/>
          <w:sz w:val="24"/>
          <w:szCs w:val="24"/>
        </w:rPr>
        <w:t xml:space="preserve">A matching </w:t>
      </w:r>
      <w:r w:rsidR="00D56745" w:rsidRPr="00D97714">
        <w:rPr>
          <w:rFonts w:ascii="Times New Roman" w:hAnsi="Times New Roman" w:cs="Times New Roman"/>
          <w:sz w:val="24"/>
          <w:szCs w:val="24"/>
        </w:rPr>
        <w:t xml:space="preserve">non-target </w:t>
      </w:r>
      <w:r w:rsidR="00584041" w:rsidRPr="00D97714">
        <w:rPr>
          <w:rFonts w:ascii="Times New Roman" w:hAnsi="Times New Roman" w:cs="Times New Roman"/>
          <w:sz w:val="24"/>
          <w:szCs w:val="24"/>
        </w:rPr>
        <w:t>firm is in the same institutional ownership quartile and market capitalization quartile as the target firm. Using market capitalization as weight, the first portfolio is value weighted while the second is equally weighted.</w:t>
      </w:r>
    </w:p>
    <w:p w14:paraId="7B801DCD" w14:textId="7C2D1667" w:rsidR="00FC0B8A" w:rsidRPr="00D97714" w:rsidRDefault="00BE04D3" w:rsidP="00BE04D3">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The method of finding potential target firms matched on institutional ownership size is new. Nonetheless, such a matching is imperative for this study since institutional investors act as a conduit for activist campaigns. Firms </w:t>
      </w:r>
      <w:r w:rsidR="000001BD" w:rsidRPr="00D97714">
        <w:rPr>
          <w:rFonts w:ascii="Times New Roman" w:hAnsi="Times New Roman" w:cs="Times New Roman"/>
          <w:sz w:val="24"/>
          <w:szCs w:val="24"/>
        </w:rPr>
        <w:t xml:space="preserve">without </w:t>
      </w:r>
      <w:r w:rsidRPr="00D97714">
        <w:rPr>
          <w:rFonts w:ascii="Times New Roman" w:hAnsi="Times New Roman" w:cs="Times New Roman"/>
          <w:sz w:val="24"/>
          <w:szCs w:val="24"/>
        </w:rPr>
        <w:t xml:space="preserve">institutional shareholdings </w:t>
      </w:r>
      <w:r w:rsidR="000001BD" w:rsidRPr="00D97714">
        <w:rPr>
          <w:rFonts w:ascii="Times New Roman" w:hAnsi="Times New Roman" w:cs="Times New Roman"/>
          <w:sz w:val="24"/>
          <w:szCs w:val="24"/>
        </w:rPr>
        <w:t>won’t</w:t>
      </w:r>
      <w:r w:rsidRPr="00D97714">
        <w:rPr>
          <w:rFonts w:ascii="Times New Roman" w:hAnsi="Times New Roman" w:cs="Times New Roman"/>
          <w:sz w:val="24"/>
          <w:szCs w:val="24"/>
        </w:rPr>
        <w:t xml:space="preserve"> be subject to institutional investors’ activism. </w:t>
      </w:r>
      <w:r w:rsidR="000001BD" w:rsidRPr="00D97714">
        <w:rPr>
          <w:rFonts w:ascii="Times New Roman" w:hAnsi="Times New Roman" w:cs="Times New Roman"/>
          <w:sz w:val="24"/>
          <w:szCs w:val="24"/>
        </w:rPr>
        <w:t>In consequence</w:t>
      </w:r>
      <w:r w:rsidRPr="00D97714">
        <w:rPr>
          <w:rFonts w:ascii="Times New Roman" w:hAnsi="Times New Roman" w:cs="Times New Roman"/>
          <w:sz w:val="24"/>
          <w:szCs w:val="24"/>
        </w:rPr>
        <w:t xml:space="preserve">, the presence of institutional investors is </w:t>
      </w:r>
      <w:r w:rsidR="00311E7E" w:rsidRPr="00D97714">
        <w:rPr>
          <w:rFonts w:ascii="Times New Roman" w:hAnsi="Times New Roman" w:cs="Times New Roman"/>
          <w:sz w:val="24"/>
          <w:szCs w:val="24"/>
        </w:rPr>
        <w:t xml:space="preserve">important for </w:t>
      </w:r>
      <w:r w:rsidR="00961137" w:rsidRPr="00D97714">
        <w:rPr>
          <w:rFonts w:ascii="Times New Roman" w:hAnsi="Times New Roman" w:cs="Times New Roman"/>
          <w:sz w:val="24"/>
          <w:szCs w:val="24"/>
        </w:rPr>
        <w:t xml:space="preserve">institutional </w:t>
      </w:r>
      <w:r w:rsidR="00311E7E" w:rsidRPr="00D97714">
        <w:rPr>
          <w:rFonts w:ascii="Times New Roman" w:hAnsi="Times New Roman" w:cs="Times New Roman"/>
          <w:sz w:val="24"/>
          <w:szCs w:val="24"/>
        </w:rPr>
        <w:t>activist</w:t>
      </w:r>
      <w:r w:rsidR="00961137" w:rsidRPr="00D97714">
        <w:rPr>
          <w:rFonts w:ascii="Times New Roman" w:hAnsi="Times New Roman" w:cs="Times New Roman"/>
          <w:sz w:val="24"/>
          <w:szCs w:val="24"/>
        </w:rPr>
        <w:t>-related</w:t>
      </w:r>
      <w:r w:rsidR="00311E7E" w:rsidRPr="00D97714">
        <w:rPr>
          <w:rFonts w:ascii="Times New Roman" w:hAnsi="Times New Roman" w:cs="Times New Roman"/>
          <w:sz w:val="24"/>
          <w:szCs w:val="24"/>
        </w:rPr>
        <w:t xml:space="preserve"> actions. Recognizing the role of institutional investors in enabling activist campaigns, we control for their presence in documenting the spillover effects of shareholder activism.</w:t>
      </w:r>
    </w:p>
    <w:p w14:paraId="5E8D351A" w14:textId="68C160BB" w:rsidR="0068170F" w:rsidRPr="00D97714" w:rsidRDefault="00C11B4F" w:rsidP="0008045A">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We present the distribution of shareholder activism events in Panel A of Table 1.</w:t>
      </w:r>
      <w:r w:rsidR="00D77C47" w:rsidRPr="00D97714">
        <w:rPr>
          <w:rFonts w:ascii="Times New Roman" w:hAnsi="Times New Roman" w:cs="Times New Roman"/>
          <w:sz w:val="24"/>
          <w:szCs w:val="24"/>
        </w:rPr>
        <w:t xml:space="preserve"> </w:t>
      </w:r>
      <w:r w:rsidR="004F4AB0" w:rsidRPr="00D97714">
        <w:rPr>
          <w:rFonts w:ascii="Times New Roman" w:hAnsi="Times New Roman" w:cs="Times New Roman"/>
          <w:sz w:val="24"/>
          <w:szCs w:val="24"/>
        </w:rPr>
        <w:t>The year 2006 marks a significant increase in activism events</w:t>
      </w:r>
      <w:r w:rsidR="0068170F" w:rsidRPr="00D97714">
        <w:rPr>
          <w:rFonts w:ascii="Times New Roman" w:hAnsi="Times New Roman" w:cs="Times New Roman"/>
          <w:sz w:val="24"/>
          <w:szCs w:val="24"/>
        </w:rPr>
        <w:t>.</w:t>
      </w:r>
      <w:r w:rsidR="0098415C" w:rsidRPr="00D97714">
        <w:rPr>
          <w:rStyle w:val="FootnoteReference"/>
          <w:rFonts w:ascii="Times New Roman" w:hAnsi="Times New Roman" w:cs="Times New Roman"/>
          <w:sz w:val="24"/>
          <w:szCs w:val="24"/>
        </w:rPr>
        <w:footnoteReference w:id="7"/>
      </w:r>
      <w:r w:rsidR="0068170F" w:rsidRPr="00D97714">
        <w:rPr>
          <w:rFonts w:ascii="Times New Roman" w:hAnsi="Times New Roman" w:cs="Times New Roman"/>
          <w:sz w:val="24"/>
          <w:szCs w:val="24"/>
        </w:rPr>
        <w:t xml:space="preserve"> </w:t>
      </w:r>
      <w:r w:rsidR="00772CDF" w:rsidRPr="00D97714">
        <w:rPr>
          <w:rFonts w:ascii="Times New Roman" w:hAnsi="Times New Roman" w:cs="Times New Roman"/>
          <w:sz w:val="24"/>
          <w:szCs w:val="24"/>
        </w:rPr>
        <w:t xml:space="preserve">For each </w:t>
      </w:r>
      <w:r w:rsidR="0068170F" w:rsidRPr="00D97714">
        <w:rPr>
          <w:rFonts w:ascii="Times New Roman" w:hAnsi="Times New Roman" w:cs="Times New Roman"/>
          <w:sz w:val="24"/>
          <w:szCs w:val="24"/>
        </w:rPr>
        <w:t>shareholder activism</w:t>
      </w:r>
      <w:r w:rsidR="00772CDF" w:rsidRPr="00D97714">
        <w:rPr>
          <w:rFonts w:ascii="Times New Roman" w:hAnsi="Times New Roman" w:cs="Times New Roman"/>
          <w:sz w:val="24"/>
          <w:szCs w:val="24"/>
        </w:rPr>
        <w:t xml:space="preserve"> </w:t>
      </w:r>
      <w:r w:rsidR="0068170F" w:rsidRPr="00D97714">
        <w:rPr>
          <w:rFonts w:ascii="Times New Roman" w:hAnsi="Times New Roman" w:cs="Times New Roman"/>
          <w:sz w:val="24"/>
          <w:szCs w:val="24"/>
        </w:rPr>
        <w:t>event</w:t>
      </w:r>
      <w:r w:rsidR="00772CDF" w:rsidRPr="00D97714">
        <w:rPr>
          <w:rFonts w:ascii="Times New Roman" w:hAnsi="Times New Roman" w:cs="Times New Roman"/>
          <w:sz w:val="24"/>
          <w:szCs w:val="24"/>
        </w:rPr>
        <w:t xml:space="preserve">, </w:t>
      </w:r>
      <w:r w:rsidR="0068170F" w:rsidRPr="00D97714">
        <w:rPr>
          <w:rFonts w:ascii="Times New Roman" w:hAnsi="Times New Roman" w:cs="Times New Roman"/>
          <w:sz w:val="24"/>
          <w:szCs w:val="24"/>
        </w:rPr>
        <w:t xml:space="preserve">the number of matching </w:t>
      </w:r>
      <w:r w:rsidR="004F4AB0" w:rsidRPr="00D97714">
        <w:rPr>
          <w:rFonts w:ascii="Times New Roman" w:hAnsi="Times New Roman" w:cs="Times New Roman"/>
          <w:sz w:val="24"/>
          <w:szCs w:val="24"/>
        </w:rPr>
        <w:t xml:space="preserve">non-targeted </w:t>
      </w:r>
      <w:r w:rsidR="0068170F" w:rsidRPr="00D97714">
        <w:rPr>
          <w:rFonts w:ascii="Times New Roman" w:hAnsi="Times New Roman" w:cs="Times New Roman"/>
          <w:sz w:val="24"/>
          <w:szCs w:val="24"/>
        </w:rPr>
        <w:t>firms ranges between 243 and 318.</w:t>
      </w:r>
      <w:r w:rsidR="00223A36" w:rsidRPr="00D97714">
        <w:rPr>
          <w:rFonts w:ascii="Times New Roman" w:hAnsi="Times New Roman" w:cs="Times New Roman"/>
          <w:sz w:val="24"/>
          <w:szCs w:val="24"/>
        </w:rPr>
        <w:t xml:space="preserve"> We also report the sample distribution by Fama-French 12 sector classification in Panel A of Table 1. Business equipment (22.922%) and Money (16.01%) are the two leading sectors in our sample.</w:t>
      </w:r>
    </w:p>
    <w:p w14:paraId="1CD5A640" w14:textId="4B57A709" w:rsidR="003E6F20" w:rsidRPr="00D97714" w:rsidRDefault="003E6F20" w:rsidP="00D61D81">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[INSERT TABLE 1 ABOUT HERE]</w:t>
      </w:r>
    </w:p>
    <w:p w14:paraId="13F7BB91" w14:textId="4434BC90" w:rsidR="008508FA" w:rsidRPr="00D97714" w:rsidRDefault="00C94642" w:rsidP="00C94642">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The demand of activist investors vary. Forty-two percent of the sample activist demands covered in the study centered on board representation. This was by far the most popular demand of activist investors. The next set of popular activist demands include shareholder rights (15.22%), seeking alternatives (14.82%) and board control (11.46%). Taken together, we observe that the focus of the most popular activist demands is the protection of shareholder rights. Other significant activist demands include (in descending order): hostile acquisition (5.53%), opposition to selling the company (3.75%), changes to strategic direction (2.77%), forcing a sale (2.37%) and demanding a spinoff (1.19%). </w:t>
      </w:r>
    </w:p>
    <w:p w14:paraId="36D6A12D" w14:textId="4DE1A360" w:rsidR="0068170F" w:rsidRPr="00D97714" w:rsidRDefault="008508FA" w:rsidP="00C94642">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The</w:t>
      </w:r>
      <w:r w:rsidR="00BB53BA" w:rsidRPr="00D97714">
        <w:rPr>
          <w:rFonts w:ascii="Times New Roman" w:hAnsi="Times New Roman" w:cs="Times New Roman"/>
          <w:sz w:val="24"/>
          <w:szCs w:val="24"/>
        </w:rPr>
        <w:t xml:space="preserve"> success rate of the shareholder campaigns is </w:t>
      </w:r>
      <w:r w:rsidRPr="00D97714">
        <w:rPr>
          <w:rFonts w:ascii="Times New Roman" w:hAnsi="Times New Roman" w:cs="Times New Roman"/>
          <w:sz w:val="24"/>
          <w:szCs w:val="24"/>
        </w:rPr>
        <w:t>quite high at 44</w:t>
      </w:r>
      <w:r w:rsidR="00C94642" w:rsidRPr="00D97714">
        <w:rPr>
          <w:rFonts w:ascii="Times New Roman" w:hAnsi="Times New Roman" w:cs="Times New Roman"/>
          <w:sz w:val="24"/>
          <w:szCs w:val="24"/>
        </w:rPr>
        <w:t>.</w:t>
      </w:r>
      <w:r w:rsidRPr="00D97714">
        <w:rPr>
          <w:rFonts w:ascii="Times New Roman" w:hAnsi="Times New Roman" w:cs="Times New Roman"/>
          <w:sz w:val="24"/>
          <w:szCs w:val="24"/>
        </w:rPr>
        <w:t>87</w:t>
      </w:r>
      <w:r w:rsidR="00BB53BA" w:rsidRPr="00D97714">
        <w:rPr>
          <w:rFonts w:ascii="Times New Roman" w:hAnsi="Times New Roman" w:cs="Times New Roman"/>
          <w:sz w:val="24"/>
          <w:szCs w:val="24"/>
        </w:rPr>
        <w:t>%</w:t>
      </w:r>
      <w:r w:rsidR="00C94642" w:rsidRPr="00D97714">
        <w:rPr>
          <w:rFonts w:ascii="Times New Roman" w:hAnsi="Times New Roman" w:cs="Times New Roman"/>
          <w:sz w:val="24"/>
          <w:szCs w:val="24"/>
        </w:rPr>
        <w:t xml:space="preserve"> (which</w:t>
      </w:r>
      <w:r w:rsidRPr="00D97714">
        <w:rPr>
          <w:rFonts w:ascii="Times New Roman" w:hAnsi="Times New Roman" w:cs="Times New Roman"/>
          <w:sz w:val="24"/>
          <w:szCs w:val="24"/>
        </w:rPr>
        <w:t xml:space="preserve"> is the sum of outright victory (3.56%), dissident victory (18.58%) and settlements (22.73%)). </w:t>
      </w:r>
      <w:r w:rsidR="00BB53BA" w:rsidRPr="00D97714">
        <w:rPr>
          <w:rFonts w:ascii="Times New Roman" w:hAnsi="Times New Roman" w:cs="Times New Roman"/>
          <w:sz w:val="24"/>
          <w:szCs w:val="24"/>
        </w:rPr>
        <w:t xml:space="preserve">Fourteen percent of the actions initiated by shareholder activists </w:t>
      </w:r>
      <w:r w:rsidR="004F4AB0" w:rsidRPr="00D97714">
        <w:rPr>
          <w:rFonts w:ascii="Times New Roman" w:hAnsi="Times New Roman" w:cs="Times New Roman"/>
          <w:sz w:val="24"/>
          <w:szCs w:val="24"/>
        </w:rPr>
        <w:t>are eventually</w:t>
      </w:r>
      <w:r w:rsidR="00BB53BA" w:rsidRPr="00D97714">
        <w:rPr>
          <w:rFonts w:ascii="Times New Roman" w:hAnsi="Times New Roman" w:cs="Times New Roman"/>
          <w:sz w:val="24"/>
          <w:szCs w:val="24"/>
        </w:rPr>
        <w:t xml:space="preserve"> withdrawn.</w:t>
      </w:r>
      <w:r w:rsidR="00C94642" w:rsidRPr="00D97714">
        <w:rPr>
          <w:rFonts w:ascii="Times New Roman" w:hAnsi="Times New Roman" w:cs="Times New Roman"/>
          <w:sz w:val="24"/>
          <w:szCs w:val="24"/>
        </w:rPr>
        <w:t xml:space="preserve"> In 13% of the cases, management ends up defeating the activists.</w:t>
      </w:r>
    </w:p>
    <w:p w14:paraId="22EFBCFF" w14:textId="08C94085" w:rsidR="00512C4D" w:rsidRPr="00D97714" w:rsidRDefault="00512C4D" w:rsidP="00512C4D">
      <w:pPr>
        <w:spacing w:line="480" w:lineRule="auto"/>
        <w:rPr>
          <w:rFonts w:ascii="Times New Roman" w:hAnsi="Times New Roman" w:cs="Times New Roman"/>
          <w:b/>
          <w:sz w:val="24"/>
          <w:szCs w:val="24"/>
        </w:rPr>
      </w:pPr>
      <w:r w:rsidRPr="00D97714">
        <w:rPr>
          <w:rFonts w:ascii="Times New Roman" w:hAnsi="Times New Roman" w:cs="Times New Roman"/>
          <w:b/>
          <w:sz w:val="24"/>
          <w:szCs w:val="24"/>
        </w:rPr>
        <w:t>IV. Methodology</w:t>
      </w:r>
    </w:p>
    <w:p w14:paraId="0DCC8F30" w14:textId="64456F97" w:rsidR="009F6BEF" w:rsidRPr="00D97714" w:rsidRDefault="009F6BEF" w:rsidP="009E35D2">
      <w:pPr>
        <w:spacing w:line="480" w:lineRule="auto"/>
        <w:rPr>
          <w:rFonts w:ascii="Times New Roman" w:hAnsi="Times New Roman" w:cs="Times New Roman"/>
          <w:b/>
          <w:i/>
          <w:sz w:val="24"/>
          <w:szCs w:val="24"/>
        </w:rPr>
      </w:pPr>
      <w:r w:rsidRPr="00D97714">
        <w:rPr>
          <w:rFonts w:ascii="Times New Roman" w:hAnsi="Times New Roman" w:cs="Times New Roman"/>
          <w:b/>
          <w:i/>
          <w:sz w:val="24"/>
          <w:szCs w:val="24"/>
        </w:rPr>
        <w:t xml:space="preserve">Measures of institutional </w:t>
      </w:r>
      <w:r w:rsidR="00995864" w:rsidRPr="00D97714">
        <w:rPr>
          <w:rFonts w:ascii="Times New Roman" w:hAnsi="Times New Roman" w:cs="Times New Roman"/>
          <w:b/>
          <w:i/>
          <w:sz w:val="24"/>
          <w:szCs w:val="24"/>
        </w:rPr>
        <w:t>ownership</w:t>
      </w:r>
    </w:p>
    <w:p w14:paraId="23EA1A70" w14:textId="53618141" w:rsidR="00316B23" w:rsidRPr="00D97714" w:rsidRDefault="00316B23" w:rsidP="00316B23">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To compute institutional ownership, we use two measures</w:t>
      </w:r>
      <w:r w:rsidR="00CF660A" w:rsidRPr="00D97714">
        <w:rPr>
          <w:rFonts w:ascii="Times New Roman" w:hAnsi="Times New Roman" w:cs="Times New Roman"/>
          <w:sz w:val="24"/>
          <w:szCs w:val="24"/>
        </w:rPr>
        <w:t>, i.e.,</w:t>
      </w:r>
      <w:r w:rsidRPr="00D97714">
        <w:rPr>
          <w:rFonts w:ascii="Times New Roman" w:hAnsi="Times New Roman" w:cs="Times New Roman"/>
          <w:sz w:val="24"/>
          <w:szCs w:val="24"/>
        </w:rPr>
        <w:t xml:space="preserve"> the proportion of shares held by </w:t>
      </w:r>
      <w:r w:rsidR="00311E7E" w:rsidRPr="00D97714">
        <w:rPr>
          <w:rFonts w:ascii="Times New Roman" w:hAnsi="Times New Roman" w:cs="Times New Roman"/>
          <w:sz w:val="24"/>
          <w:szCs w:val="24"/>
        </w:rPr>
        <w:t>the institutional</w:t>
      </w:r>
      <w:r w:rsidRPr="00D97714">
        <w:rPr>
          <w:rFonts w:ascii="Times New Roman" w:hAnsi="Times New Roman" w:cs="Times New Roman"/>
          <w:sz w:val="24"/>
          <w:szCs w:val="24"/>
        </w:rPr>
        <w:t xml:space="preserve"> investors (</w:t>
      </w:r>
      <m:oMath>
        <m:r>
          <w:rPr>
            <w:rFonts w:ascii="Cambria Math" w:hAnsi="Cambria Math" w:cs="Times New Roman"/>
            <w:sz w:val="24"/>
            <w:szCs w:val="24"/>
          </w:rPr>
          <m:t>IOPr</m:t>
        </m:r>
      </m:oMath>
      <w:r w:rsidRPr="00D97714">
        <w:rPr>
          <w:rFonts w:ascii="Times New Roman" w:hAnsi="Times New Roman" w:cs="Times New Roman"/>
          <w:sz w:val="24"/>
          <w:szCs w:val="24"/>
        </w:rPr>
        <w:t>) and the standard deviation of the institutional shareholding proportions (</w:t>
      </w:r>
      <m:oMath>
        <m:r>
          <w:rPr>
            <w:rFonts w:ascii="Cambria Math" w:hAnsi="Cambria Math" w:cs="Times New Roman"/>
            <w:sz w:val="24"/>
            <w:szCs w:val="24"/>
          </w:rPr>
          <m:t>IOV</m:t>
        </m:r>
      </m:oMath>
      <w:r w:rsidRPr="00D97714">
        <w:rPr>
          <w:rFonts w:ascii="Times New Roman" w:hAnsi="Times New Roman" w:cs="Times New Roman"/>
          <w:sz w:val="24"/>
          <w:szCs w:val="24"/>
        </w:rPr>
        <w:t xml:space="preserve">). We follow Elyasiani </w:t>
      </w:r>
      <m:oMath>
        <m:r>
          <w:rPr>
            <w:rFonts w:ascii="Cambria Math" w:hAnsi="Cambria Math" w:cs="Times New Roman"/>
            <w:sz w:val="24"/>
            <w:szCs w:val="24"/>
          </w:rPr>
          <m:t>et al</m:t>
        </m:r>
      </m:oMath>
      <w:r w:rsidRPr="00D97714">
        <w:rPr>
          <w:rFonts w:ascii="Times New Roman" w:hAnsi="Times New Roman" w:cs="Times New Roman"/>
          <w:sz w:val="24"/>
          <w:szCs w:val="24"/>
        </w:rPr>
        <w:t xml:space="preserve">. (2010) and use their formula as </w:t>
      </w:r>
      <w:r w:rsidR="00CF660A" w:rsidRPr="00D97714">
        <w:rPr>
          <w:rFonts w:ascii="Times New Roman" w:hAnsi="Times New Roman" w:cs="Times New Roman"/>
          <w:sz w:val="24"/>
          <w:szCs w:val="24"/>
        </w:rPr>
        <w:t>explained</w:t>
      </w:r>
      <w:r w:rsidRPr="00D97714">
        <w:rPr>
          <w:rFonts w:ascii="Times New Roman" w:hAnsi="Times New Roman" w:cs="Times New Roman"/>
          <w:sz w:val="24"/>
          <w:szCs w:val="24"/>
        </w:rPr>
        <w:t xml:space="preserve"> next.</w:t>
      </w:r>
    </w:p>
    <w:p w14:paraId="6704FB20" w14:textId="77777777" w:rsidR="00316B23" w:rsidRPr="00D97714" w:rsidRDefault="00316B23" w:rsidP="00316B23">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The aggregate shareholding proportion of a firm (</w:t>
      </w:r>
      <m:oMath>
        <m:r>
          <w:rPr>
            <w:rFonts w:ascii="Cambria Math" w:hAnsi="Cambria Math" w:cs="Times New Roman"/>
            <w:sz w:val="24"/>
            <w:szCs w:val="24"/>
          </w:rPr>
          <m:t>IOPr</m:t>
        </m:r>
      </m:oMath>
      <w:r w:rsidRPr="00D97714">
        <w:rPr>
          <w:rFonts w:ascii="Times New Roman" w:hAnsi="Times New Roman" w:cs="Times New Roman"/>
          <w:sz w:val="24"/>
          <w:szCs w:val="24"/>
        </w:rPr>
        <w:t>) is computed over 20 quarters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21"/>
      </w:tblGrid>
      <w:tr w:rsidR="00316B23" w:rsidRPr="00D97714" w14:paraId="3286E580" w14:textId="77777777" w:rsidTr="00316B23">
        <w:tc>
          <w:tcPr>
            <w:tcW w:w="8755" w:type="dxa"/>
            <w:vAlign w:val="center"/>
          </w:tcPr>
          <w:p w14:paraId="4522DC8E" w14:textId="77777777" w:rsidR="00316B23" w:rsidRPr="00D97714" w:rsidRDefault="00316B23" w:rsidP="00316B23">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IOPr=</m:t>
                </m:r>
                <m:f>
                  <m:fPr>
                    <m:ctrlPr>
                      <w:rPr>
                        <w:rFonts w:ascii="Cambria Math" w:hAnsi="Cambria Math" w:cs="Times New Roman"/>
                        <w:i/>
                        <w:sz w:val="24"/>
                        <w:szCs w:val="24"/>
                      </w:rPr>
                    </m:ctrlPr>
                  </m:fPr>
                  <m:num>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20</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i</m:t>
                                    </m:r>
                                  </m:sub>
                                </m:sSub>
                              </m:sup>
                              <m:e>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i,t</m:t>
                                    </m:r>
                                  </m:sub>
                                  <m:sup>
                                    <m:r>
                                      <w:rPr>
                                        <w:rFonts w:ascii="Cambria Math" w:hAnsi="Cambria Math" w:cs="Times New Roman"/>
                                        <w:sz w:val="24"/>
                                        <w:szCs w:val="24"/>
                                      </w:rPr>
                                      <m:t>j</m:t>
                                    </m:r>
                                  </m:sup>
                                </m:sSubSup>
                              </m:e>
                            </m:nary>
                          </m:e>
                        </m:nary>
                      </m:e>
                    </m:d>
                  </m:num>
                  <m:den>
                    <m:r>
                      <w:rPr>
                        <w:rFonts w:ascii="Cambria Math" w:hAnsi="Cambria Math" w:cs="Times New Roman"/>
                        <w:sz w:val="24"/>
                        <w:szCs w:val="24"/>
                      </w:rPr>
                      <m:t>20</m:t>
                    </m:r>
                  </m:den>
                </m:f>
              </m:oMath>
            </m:oMathPara>
          </w:p>
        </w:tc>
        <w:tc>
          <w:tcPr>
            <w:tcW w:w="821" w:type="dxa"/>
            <w:vAlign w:val="center"/>
          </w:tcPr>
          <w:p w14:paraId="65741CEF" w14:textId="288A3619" w:rsidR="00316B23" w:rsidRPr="00D97714" w:rsidRDefault="00316B23" w:rsidP="00A66416">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w:t>
            </w:r>
            <w:r w:rsidR="00A66416" w:rsidRPr="00D97714">
              <w:rPr>
                <w:rFonts w:ascii="Times New Roman" w:hAnsi="Times New Roman" w:cs="Times New Roman"/>
                <w:sz w:val="24"/>
                <w:szCs w:val="24"/>
              </w:rPr>
              <w:t>1</w:t>
            </w:r>
            <w:r w:rsidRPr="00D97714">
              <w:rPr>
                <w:rFonts w:ascii="Times New Roman" w:hAnsi="Times New Roman" w:cs="Times New Roman"/>
                <w:sz w:val="24"/>
                <w:szCs w:val="24"/>
              </w:rPr>
              <w:t>)</w:t>
            </w:r>
          </w:p>
        </w:tc>
      </w:tr>
    </w:tbl>
    <w:p w14:paraId="7C1F2FD2" w14:textId="02E35B1B" w:rsidR="00316B23" w:rsidRPr="00D97714" w:rsidRDefault="00316B23" w:rsidP="00316B23">
      <w:pPr>
        <w:spacing w:line="480" w:lineRule="auto"/>
        <w:rPr>
          <w:rFonts w:ascii="Times New Roman" w:hAnsi="Times New Roman" w:cs="Times New Roman"/>
          <w:sz w:val="24"/>
          <w:szCs w:val="24"/>
        </w:rPr>
      </w:pPr>
      <w:r w:rsidRPr="00D97714">
        <w:rPr>
          <w:rFonts w:ascii="Times New Roman" w:hAnsi="Times New Roman" w:cs="Times New Roman"/>
          <w:sz w:val="24"/>
          <w:szCs w:val="24"/>
        </w:rPr>
        <w:t xml:space="preserve">where </w:t>
      </w:r>
      <m:oMath>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j,t</m:t>
            </m:r>
          </m:sub>
          <m:sup>
            <m:r>
              <w:rPr>
                <w:rFonts w:ascii="Cambria Math" w:hAnsi="Cambria Math" w:cs="Times New Roman"/>
                <w:sz w:val="24"/>
                <w:szCs w:val="24"/>
              </w:rPr>
              <m:t>i</m:t>
            </m:r>
          </m:sup>
        </m:sSubSup>
      </m:oMath>
      <w:r w:rsidRPr="00D97714">
        <w:rPr>
          <w:rFonts w:ascii="Times New Roman" w:hAnsi="Times New Roman" w:cs="Times New Roman"/>
          <w:sz w:val="24"/>
          <w:szCs w:val="24"/>
        </w:rPr>
        <w:t xml:space="preserve"> is the proportion of firm </w:t>
      </w:r>
      <m:oMath>
        <m:r>
          <w:rPr>
            <w:rFonts w:ascii="Cambria Math" w:hAnsi="Cambria Math" w:cs="Times New Roman"/>
            <w:sz w:val="24"/>
            <w:szCs w:val="24"/>
          </w:rPr>
          <m:t>i</m:t>
        </m:r>
      </m:oMath>
      <w:r w:rsidRPr="00D97714">
        <w:rPr>
          <w:rFonts w:ascii="Times New Roman" w:hAnsi="Times New Roman" w:cs="Times New Roman"/>
          <w:sz w:val="24"/>
          <w:szCs w:val="24"/>
        </w:rPr>
        <w:t xml:space="preserve"> held by investor </w:t>
      </w:r>
      <m:oMath>
        <m:r>
          <w:rPr>
            <w:rFonts w:ascii="Cambria Math" w:hAnsi="Cambria Math" w:cs="Times New Roman"/>
            <w:sz w:val="24"/>
            <w:szCs w:val="24"/>
          </w:rPr>
          <m:t>j</m:t>
        </m:r>
      </m:oMath>
      <w:r w:rsidRPr="00D97714">
        <w:rPr>
          <w:rFonts w:ascii="Times New Roman" w:hAnsi="Times New Roman" w:cs="Times New Roman"/>
          <w:sz w:val="24"/>
          <w:szCs w:val="24"/>
        </w:rPr>
        <w:t xml:space="preserve"> </w:t>
      </w:r>
      <w:r w:rsidR="00516AC3" w:rsidRPr="00D97714">
        <w:rPr>
          <w:rFonts w:ascii="Times New Roman" w:hAnsi="Times New Roman" w:cs="Times New Roman"/>
          <w:sz w:val="24"/>
          <w:szCs w:val="24"/>
        </w:rPr>
        <w:t>in</w:t>
      </w:r>
      <w:r w:rsidRPr="00D97714">
        <w:rPr>
          <w:rFonts w:ascii="Times New Roman" w:hAnsi="Times New Roman" w:cs="Times New Roman"/>
          <w:sz w:val="24"/>
          <w:szCs w:val="24"/>
        </w:rPr>
        <w:t xml:space="preserve"> quarter </w:t>
      </w:r>
      <m:oMath>
        <m:r>
          <w:rPr>
            <w:rFonts w:ascii="Cambria Math" w:hAnsi="Cambria Math" w:cs="Times New Roman"/>
            <w:sz w:val="24"/>
            <w:szCs w:val="24"/>
          </w:rPr>
          <m:t>t</m:t>
        </m:r>
      </m:oMath>
      <w:r w:rsidRPr="00D97714">
        <w:rPr>
          <w:rFonts w:ascii="Times New Roman" w:hAnsi="Times New Roman" w:cs="Times New Roman"/>
          <w:sz w:val="24"/>
          <w:szCs w:val="24"/>
        </w:rPr>
        <w:t xml:space="preserve"> (</w:t>
      </w:r>
      <m:oMath>
        <m:r>
          <w:rPr>
            <w:rFonts w:ascii="Cambria Math" w:hAnsi="Cambria Math" w:cs="Times New Roman"/>
            <w:sz w:val="24"/>
            <w:szCs w:val="24"/>
          </w:rPr>
          <m:t>t=1,2…20)</m:t>
        </m:r>
      </m:oMath>
      <w:r w:rsidRPr="00D97714">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i</m:t>
            </m:r>
          </m:sub>
        </m:sSub>
      </m:oMath>
      <w:r w:rsidRPr="00D97714">
        <w:rPr>
          <w:rFonts w:ascii="Times New Roman" w:hAnsi="Times New Roman" w:cs="Times New Roman"/>
          <w:sz w:val="24"/>
          <w:szCs w:val="24"/>
        </w:rPr>
        <w:t xml:space="preserve"> is the number of institutional investors in firm </w:t>
      </w:r>
      <m:oMath>
        <m:r>
          <w:rPr>
            <w:rFonts w:ascii="Cambria Math" w:hAnsi="Cambria Math" w:cs="Times New Roman"/>
            <w:sz w:val="24"/>
            <w:szCs w:val="24"/>
          </w:rPr>
          <m:t>i</m:t>
        </m:r>
      </m:oMath>
      <w:r w:rsidRPr="00D97714">
        <w:rPr>
          <w:rFonts w:ascii="Times New Roman" w:hAnsi="Times New Roman" w:cs="Times New Roman"/>
          <w:sz w:val="24"/>
          <w:szCs w:val="24"/>
        </w:rPr>
        <w:t>.</w:t>
      </w:r>
    </w:p>
    <w:p w14:paraId="537A80B3" w14:textId="3F0AF691" w:rsidR="00316B23" w:rsidRPr="00D97714" w:rsidRDefault="00316B23" w:rsidP="00D56745">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The institutional ownership volatility </w:t>
      </w:r>
      <m:oMath>
        <m:r>
          <w:rPr>
            <w:rFonts w:ascii="Cambria Math" w:hAnsi="Cambria Math" w:cs="Times New Roman"/>
            <w:sz w:val="24"/>
            <w:szCs w:val="24"/>
          </w:rPr>
          <m:t>(IOV)</m:t>
        </m:r>
      </m:oMath>
      <w:r w:rsidRPr="00D97714">
        <w:rPr>
          <w:rFonts w:ascii="Times New Roman" w:hAnsi="Times New Roman" w:cs="Times New Roman"/>
          <w:sz w:val="24"/>
          <w:szCs w:val="24"/>
        </w:rPr>
        <w:t xml:space="preserve"> for firm </w:t>
      </w:r>
      <m:oMath>
        <m:r>
          <w:rPr>
            <w:rFonts w:ascii="Cambria Math" w:hAnsi="Cambria Math" w:cs="Times New Roman"/>
            <w:sz w:val="24"/>
            <w:szCs w:val="24"/>
          </w:rPr>
          <m:t>i</m:t>
        </m:r>
      </m:oMath>
      <w:r w:rsidRPr="00D97714">
        <w:rPr>
          <w:rFonts w:ascii="Times New Roman" w:hAnsi="Times New Roman" w:cs="Times New Roman"/>
          <w:sz w:val="24"/>
          <w:szCs w:val="24"/>
        </w:rPr>
        <w:t xml:space="preserve"> is the average of the standard deviations of quarterly institutional shareholding proportions across all investors </w:t>
      </w:r>
      <m:oMath>
        <m:r>
          <w:rPr>
            <w:rFonts w:ascii="Cambria Math" w:hAnsi="Cambria Math" w:cs="Times New Roman"/>
            <w:sz w:val="24"/>
            <w:szCs w:val="24"/>
          </w:rPr>
          <m:t>j</m:t>
        </m:r>
      </m:oMath>
      <w:r w:rsidRPr="00D97714">
        <w:rPr>
          <w:rFonts w:ascii="Times New Roman" w:hAnsi="Times New Roman" w:cs="Times New Roman"/>
          <w:sz w:val="24"/>
          <w:szCs w:val="24"/>
        </w:rPr>
        <w:t xml:space="preserve"> in firm </w:t>
      </w:r>
      <m:oMath>
        <m:r>
          <w:rPr>
            <w:rFonts w:ascii="Cambria Math" w:hAnsi="Cambria Math" w:cs="Times New Roman"/>
            <w:sz w:val="24"/>
            <w:szCs w:val="24"/>
          </w:rPr>
          <m:t>i</m:t>
        </m:r>
      </m:oMath>
      <w:r w:rsidRPr="00D97714">
        <w:rPr>
          <w:rFonts w:ascii="Times New Roman" w:hAnsi="Times New Roman" w:cs="Times New Roman"/>
          <w:sz w:val="24"/>
          <w:szCs w:val="24"/>
        </w:rPr>
        <w:t xml:space="preserve"> </w:t>
      </w:r>
      <m:oMath>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i</m:t>
            </m:r>
          </m:sub>
          <m:sup>
            <m:r>
              <w:rPr>
                <w:rFonts w:ascii="Cambria Math" w:hAnsi="Cambria Math" w:cs="Times New Roman"/>
                <w:sz w:val="24"/>
                <w:szCs w:val="24"/>
              </w:rPr>
              <m:t>j</m:t>
            </m:r>
          </m:sup>
        </m:sSubSup>
        <m:r>
          <w:rPr>
            <w:rFonts w:ascii="Cambria Math" w:hAnsi="Cambria Math" w:cs="Times New Roman"/>
            <w:sz w:val="24"/>
            <w:szCs w:val="24"/>
          </w:rPr>
          <m:t>)</m:t>
        </m:r>
      </m:oMath>
      <w:r w:rsidRPr="00D97714">
        <w:rPr>
          <w:rFonts w:ascii="Times New Roman" w:hAnsi="Times New Roman" w:cs="Times New Roman"/>
          <w:sz w:val="24"/>
          <w:szCs w:val="24"/>
        </w:rPr>
        <w:t xml:space="preserve"> including the sample year and the four years preceding it (i.e., 20 quarters). </w:t>
      </w:r>
      <w:r w:rsidR="00D56745" w:rsidRPr="00D97714">
        <w:rPr>
          <w:rFonts w:ascii="Times New Roman" w:hAnsi="Times New Roman" w:cs="Times New Roman"/>
          <w:sz w:val="24"/>
          <w:szCs w:val="24"/>
        </w:rPr>
        <w:t xml:space="preserve">The higher the ownership volatility (i.e., the value of </w:t>
      </w:r>
      <m:oMath>
        <m:r>
          <w:rPr>
            <w:rFonts w:ascii="Cambria Math" w:hAnsi="Cambria Math" w:cs="Times New Roman"/>
            <w:sz w:val="24"/>
            <w:szCs w:val="24"/>
          </w:rPr>
          <m:t>IOV</m:t>
        </m:r>
      </m:oMath>
      <w:r w:rsidR="00D56745" w:rsidRPr="00D97714">
        <w:rPr>
          <w:rFonts w:ascii="Times New Roman" w:hAnsi="Times New Roman" w:cs="Times New Roman"/>
          <w:sz w:val="24"/>
          <w:szCs w:val="24"/>
        </w:rPr>
        <w:t xml:space="preserve">), the lower is the ownership stability. </w:t>
      </w:r>
      <w:r w:rsidRPr="00D97714">
        <w:rPr>
          <w:rFonts w:ascii="Times New Roman" w:hAnsi="Times New Roman" w:cs="Times New Roman"/>
          <w:sz w:val="24"/>
          <w:szCs w:val="24"/>
        </w:rPr>
        <w:t>The formula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21"/>
      </w:tblGrid>
      <w:tr w:rsidR="00316B23" w:rsidRPr="00D97714" w14:paraId="28BFB1C1" w14:textId="77777777" w:rsidTr="00316B23">
        <w:tc>
          <w:tcPr>
            <w:tcW w:w="8755" w:type="dxa"/>
            <w:vAlign w:val="center"/>
          </w:tcPr>
          <w:p w14:paraId="1DA84525" w14:textId="77777777" w:rsidR="00316B23" w:rsidRPr="00D97714" w:rsidRDefault="00316B23" w:rsidP="00316B23">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IO</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i</m:t>
                            </m:r>
                          </m:sub>
                        </m:sSub>
                      </m:sup>
                      <m:e>
                        <m:r>
                          <w:rPr>
                            <w:rFonts w:ascii="Cambria Math" w:hAnsi="Cambria Math" w:cs="Times New Roman"/>
                            <w:sz w:val="24"/>
                            <w:szCs w:val="24"/>
                          </w:rPr>
                          <m:t>Stdev(</m:t>
                        </m:r>
                        <m:sSubSup>
                          <m:sSubSupPr>
                            <m:ctrlPr>
                              <w:rPr>
                                <w:rFonts w:ascii="Cambria Math" w:hAnsi="Cambria Math" w:cs="Times New Roman"/>
                                <w:i/>
                                <w:sz w:val="24"/>
                                <w:szCs w:val="24"/>
                              </w:rPr>
                            </m:ctrlPr>
                          </m:sSubSupPr>
                          <m:e>
                            <m:r>
                              <w:rPr>
                                <w:rFonts w:ascii="Cambria Math" w:hAnsi="Cambria Math" w:cs="Times New Roman"/>
                                <w:sz w:val="24"/>
                                <w:szCs w:val="24"/>
                              </w:rPr>
                              <m:t>p</m:t>
                            </m:r>
                          </m:e>
                          <m:sub>
                            <m:r>
                              <w:rPr>
                                <w:rFonts w:ascii="Cambria Math" w:hAnsi="Cambria Math" w:cs="Times New Roman"/>
                                <w:sz w:val="24"/>
                                <w:szCs w:val="24"/>
                              </w:rPr>
                              <m:t>i,t</m:t>
                            </m:r>
                          </m:sub>
                          <m:sup>
                            <m:r>
                              <w:rPr>
                                <w:rFonts w:ascii="Cambria Math" w:hAnsi="Cambria Math" w:cs="Times New Roman"/>
                                <w:sz w:val="24"/>
                                <w:szCs w:val="24"/>
                              </w:rPr>
                              <m:t>j</m:t>
                            </m:r>
                          </m:sup>
                        </m:sSubSup>
                        <m:r>
                          <w:rPr>
                            <w:rFonts w:ascii="Cambria Math" w:hAnsi="Cambria Math" w:cs="Times New Roman"/>
                            <w:sz w:val="24"/>
                            <w:szCs w:val="24"/>
                          </w:rPr>
                          <m:t xml:space="preserve">) </m:t>
                        </m:r>
                      </m:e>
                    </m:nary>
                  </m:num>
                  <m:den>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i</m:t>
                        </m:r>
                      </m:sub>
                    </m:sSub>
                  </m:den>
                </m:f>
              </m:oMath>
            </m:oMathPara>
          </w:p>
        </w:tc>
        <w:tc>
          <w:tcPr>
            <w:tcW w:w="821" w:type="dxa"/>
            <w:vAlign w:val="center"/>
          </w:tcPr>
          <w:p w14:paraId="5B71686B" w14:textId="0AB1C0E2" w:rsidR="00316B23" w:rsidRPr="00D97714" w:rsidRDefault="00316B23" w:rsidP="00A66416">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w:t>
            </w:r>
            <w:r w:rsidR="00A66416" w:rsidRPr="00D97714">
              <w:rPr>
                <w:rFonts w:ascii="Times New Roman" w:hAnsi="Times New Roman" w:cs="Times New Roman"/>
                <w:sz w:val="24"/>
                <w:szCs w:val="24"/>
              </w:rPr>
              <w:t>2</w:t>
            </w:r>
            <w:r w:rsidRPr="00D97714">
              <w:rPr>
                <w:rFonts w:ascii="Times New Roman" w:hAnsi="Times New Roman" w:cs="Times New Roman"/>
                <w:sz w:val="24"/>
                <w:szCs w:val="24"/>
              </w:rPr>
              <w:t>)</w:t>
            </w:r>
          </w:p>
        </w:tc>
      </w:tr>
    </w:tbl>
    <w:p w14:paraId="5D130DA2" w14:textId="77777777" w:rsidR="00316B23" w:rsidRPr="00D97714" w:rsidRDefault="00316B23" w:rsidP="00316B23">
      <w:pPr>
        <w:spacing w:line="480" w:lineRule="auto"/>
        <w:rPr>
          <w:rFonts w:ascii="Times New Roman" w:hAnsi="Times New Roman" w:cs="Times New Roman"/>
          <w:sz w:val="24"/>
          <w:szCs w:val="24"/>
        </w:rPr>
      </w:pPr>
    </w:p>
    <w:p w14:paraId="519BB2D0" w14:textId="653DBCB2" w:rsidR="00316B23" w:rsidRPr="00D97714" w:rsidRDefault="001B299D" w:rsidP="00311591">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Since the control samples are matched based on the proportion of institutional ownership (IOPr),</w:t>
      </w:r>
      <w:r w:rsidR="007F5BFF" w:rsidRPr="00D97714">
        <w:rPr>
          <w:rFonts w:ascii="Times New Roman" w:hAnsi="Times New Roman" w:cs="Times New Roman"/>
          <w:sz w:val="24"/>
          <w:szCs w:val="24"/>
        </w:rPr>
        <w:t xml:space="preserve"> the mean values of </w:t>
      </w:r>
      <m:oMath>
        <m:r>
          <w:rPr>
            <w:rFonts w:ascii="Cambria Math" w:hAnsi="Cambria Math" w:cs="Times New Roman"/>
            <w:sz w:val="24"/>
            <w:szCs w:val="24"/>
          </w:rPr>
          <m:t>IOPr</m:t>
        </m:r>
      </m:oMath>
      <w:r w:rsidR="007F5BFF" w:rsidRPr="00D97714">
        <w:rPr>
          <w:rFonts w:ascii="Times New Roman" w:hAnsi="Times New Roman" w:cs="Times New Roman"/>
          <w:sz w:val="24"/>
          <w:szCs w:val="24"/>
        </w:rPr>
        <w:t xml:space="preserve"> across the three groups </w:t>
      </w:r>
      <w:r w:rsidRPr="00D97714">
        <w:rPr>
          <w:rFonts w:ascii="Times New Roman" w:hAnsi="Times New Roman" w:cs="Times New Roman"/>
          <w:sz w:val="24"/>
          <w:szCs w:val="24"/>
        </w:rPr>
        <w:t xml:space="preserve">(i.e., the target firms, the value- and equally-weighted portfolios of matching non-targeted firms) </w:t>
      </w:r>
      <w:r w:rsidR="007F5BFF" w:rsidRPr="00D97714">
        <w:rPr>
          <w:rFonts w:ascii="Times New Roman" w:hAnsi="Times New Roman" w:cs="Times New Roman"/>
          <w:sz w:val="24"/>
          <w:szCs w:val="24"/>
        </w:rPr>
        <w:t xml:space="preserve">are </w:t>
      </w:r>
      <w:r w:rsidRPr="00D97714">
        <w:rPr>
          <w:rFonts w:ascii="Times New Roman" w:hAnsi="Times New Roman" w:cs="Times New Roman"/>
          <w:sz w:val="24"/>
          <w:szCs w:val="24"/>
        </w:rPr>
        <w:t xml:space="preserve">similar, i.e., </w:t>
      </w:r>
      <w:r w:rsidR="007F5BFF" w:rsidRPr="00D97714">
        <w:rPr>
          <w:rFonts w:ascii="Times New Roman" w:hAnsi="Times New Roman" w:cs="Times New Roman"/>
          <w:sz w:val="24"/>
          <w:szCs w:val="24"/>
        </w:rPr>
        <w:t>50.40%, 62.60% and 49.40%, respectively</w:t>
      </w:r>
      <w:r w:rsidRPr="00D97714">
        <w:rPr>
          <w:rFonts w:ascii="Times New Roman" w:hAnsi="Times New Roman" w:cs="Times New Roman"/>
          <w:sz w:val="24"/>
          <w:szCs w:val="24"/>
        </w:rPr>
        <w:t xml:space="preserve"> (Panel B, Table 1)</w:t>
      </w:r>
      <w:r w:rsidR="007F5BFF" w:rsidRPr="00D97714">
        <w:rPr>
          <w:rFonts w:ascii="Times New Roman" w:hAnsi="Times New Roman" w:cs="Times New Roman"/>
          <w:sz w:val="24"/>
          <w:szCs w:val="24"/>
        </w:rPr>
        <w:t>.</w:t>
      </w:r>
      <w:r w:rsidR="00530A6F" w:rsidRPr="00D97714">
        <w:rPr>
          <w:rFonts w:ascii="Times New Roman" w:hAnsi="Times New Roman" w:cs="Times New Roman"/>
          <w:sz w:val="24"/>
          <w:szCs w:val="24"/>
        </w:rPr>
        <w:t xml:space="preserve"> </w:t>
      </w:r>
      <w:r w:rsidRPr="00D97714">
        <w:rPr>
          <w:rFonts w:ascii="Times New Roman" w:hAnsi="Times New Roman" w:cs="Times New Roman"/>
          <w:sz w:val="24"/>
          <w:szCs w:val="24"/>
        </w:rPr>
        <w:t xml:space="preserve">The corresponding </w:t>
      </w:r>
      <w:r w:rsidR="00530A6F" w:rsidRPr="00D97714">
        <w:rPr>
          <w:rFonts w:ascii="Times New Roman" w:hAnsi="Times New Roman" w:cs="Times New Roman"/>
          <w:sz w:val="24"/>
          <w:szCs w:val="24"/>
        </w:rPr>
        <w:t xml:space="preserve">values of </w:t>
      </w:r>
      <m:oMath>
        <m:r>
          <w:rPr>
            <w:rFonts w:ascii="Cambria Math" w:hAnsi="Cambria Math" w:cs="Times New Roman"/>
            <w:sz w:val="24"/>
            <w:szCs w:val="24"/>
          </w:rPr>
          <m:t>IOV</m:t>
        </m:r>
      </m:oMath>
      <w:r w:rsidR="00530A6F" w:rsidRPr="00D97714">
        <w:rPr>
          <w:rFonts w:ascii="Times New Roman" w:hAnsi="Times New Roman" w:cs="Times New Roman"/>
          <w:sz w:val="24"/>
          <w:szCs w:val="24"/>
        </w:rPr>
        <w:t xml:space="preserve"> are 0.4</w:t>
      </w:r>
      <w:r w:rsidR="009B6F1F" w:rsidRPr="00D97714">
        <w:rPr>
          <w:rFonts w:ascii="Times New Roman" w:hAnsi="Times New Roman" w:cs="Times New Roman"/>
          <w:sz w:val="24"/>
          <w:szCs w:val="24"/>
        </w:rPr>
        <w:t>%</w:t>
      </w:r>
      <w:r w:rsidR="00530A6F" w:rsidRPr="00D97714">
        <w:rPr>
          <w:rFonts w:ascii="Times New Roman" w:hAnsi="Times New Roman" w:cs="Times New Roman"/>
          <w:sz w:val="24"/>
          <w:szCs w:val="24"/>
        </w:rPr>
        <w:t>, 0.5</w:t>
      </w:r>
      <w:r w:rsidR="009B6F1F" w:rsidRPr="00D97714">
        <w:rPr>
          <w:rFonts w:ascii="Times New Roman" w:hAnsi="Times New Roman" w:cs="Times New Roman"/>
          <w:sz w:val="24"/>
          <w:szCs w:val="24"/>
        </w:rPr>
        <w:t>%</w:t>
      </w:r>
      <w:r w:rsidR="00530A6F" w:rsidRPr="00D97714">
        <w:rPr>
          <w:rFonts w:ascii="Times New Roman" w:hAnsi="Times New Roman" w:cs="Times New Roman"/>
          <w:sz w:val="24"/>
          <w:szCs w:val="24"/>
        </w:rPr>
        <w:t xml:space="preserve"> and 0.4</w:t>
      </w:r>
      <w:r w:rsidR="009B6F1F" w:rsidRPr="00D97714">
        <w:rPr>
          <w:rFonts w:ascii="Times New Roman" w:hAnsi="Times New Roman" w:cs="Times New Roman"/>
          <w:sz w:val="24"/>
          <w:szCs w:val="24"/>
        </w:rPr>
        <w:t>%</w:t>
      </w:r>
      <w:r w:rsidR="00530A6F" w:rsidRPr="00D97714">
        <w:rPr>
          <w:rFonts w:ascii="Times New Roman" w:hAnsi="Times New Roman" w:cs="Times New Roman"/>
          <w:sz w:val="24"/>
          <w:szCs w:val="24"/>
        </w:rPr>
        <w:t xml:space="preserve">, respectively. The median market capitalization </w:t>
      </w:r>
      <w:r w:rsidRPr="00D97714">
        <w:rPr>
          <w:rFonts w:ascii="Times New Roman" w:hAnsi="Times New Roman" w:cs="Times New Roman"/>
          <w:sz w:val="24"/>
          <w:szCs w:val="24"/>
        </w:rPr>
        <w:t xml:space="preserve">values </w:t>
      </w:r>
      <w:r w:rsidR="00530A6F" w:rsidRPr="00D97714">
        <w:rPr>
          <w:rFonts w:ascii="Times New Roman" w:hAnsi="Times New Roman" w:cs="Times New Roman"/>
          <w:sz w:val="24"/>
          <w:szCs w:val="24"/>
        </w:rPr>
        <w:t>across the three groups are $207.254 million, $225.096 million and $178.983 million, respectively. We also present summary statistics of a range of other financial variables (see Panel B of Table 1).</w:t>
      </w:r>
    </w:p>
    <w:p w14:paraId="7F00A2C6" w14:textId="344F732E" w:rsidR="008B3EC3" w:rsidRPr="00D97714" w:rsidRDefault="008B3EC3" w:rsidP="002F3EC8">
      <w:pPr>
        <w:spacing w:line="480" w:lineRule="auto"/>
        <w:rPr>
          <w:rFonts w:ascii="Times New Roman" w:eastAsiaTheme="minorEastAsia" w:hAnsi="Times New Roman" w:cs="Times New Roman"/>
          <w:b/>
          <w:i/>
          <w:sz w:val="24"/>
          <w:szCs w:val="24"/>
        </w:rPr>
      </w:pPr>
      <w:r w:rsidRPr="00D97714">
        <w:rPr>
          <w:rFonts w:ascii="Times New Roman" w:hAnsi="Times New Roman" w:cs="Times New Roman"/>
          <w:b/>
          <w:i/>
          <w:sz w:val="24"/>
          <w:szCs w:val="24"/>
        </w:rPr>
        <w:t xml:space="preserve">Measuring the wealth effect of shareholder activism </w:t>
      </w:r>
    </w:p>
    <w:p w14:paraId="50A0890E" w14:textId="2D4AFD87" w:rsidR="00736EA0" w:rsidRPr="00D97714" w:rsidRDefault="00C63BB1" w:rsidP="00736EA0">
      <w:pPr>
        <w:spacing w:line="480" w:lineRule="auto"/>
        <w:ind w:firstLine="720"/>
        <w:contextualSpacing/>
        <w:jc w:val="both"/>
        <w:rPr>
          <w:rFonts w:ascii="Times New Roman" w:eastAsiaTheme="minorEastAsia" w:hAnsi="Times New Roman" w:cs="Times New Roman"/>
          <w:sz w:val="24"/>
          <w:szCs w:val="24"/>
        </w:rPr>
      </w:pPr>
      <w:r w:rsidRPr="00D97714">
        <w:rPr>
          <w:rFonts w:ascii="Times New Roman" w:eastAsiaTheme="minorEastAsia" w:hAnsi="Times New Roman" w:cs="Times New Roman"/>
          <w:sz w:val="24"/>
          <w:szCs w:val="24"/>
        </w:rPr>
        <w:t xml:space="preserve">To measure the wealth effects of shareholder activism, we compute abnormal stock returns </w:t>
      </w:r>
      <m:oMath>
        <m:r>
          <w:rPr>
            <w:rFonts w:ascii="Cambria Math" w:eastAsiaTheme="minorEastAsia" w:hAnsi="Cambria Math" w:cs="Times New Roman"/>
            <w:sz w:val="24"/>
            <w:szCs w:val="24"/>
          </w:rPr>
          <m:t>(ARs)</m:t>
        </m:r>
      </m:oMath>
      <w:r w:rsidRPr="00D97714">
        <w:rPr>
          <w:rFonts w:ascii="Times New Roman" w:eastAsiaTheme="minorEastAsia" w:hAnsi="Times New Roman" w:cs="Times New Roman"/>
          <w:sz w:val="24"/>
          <w:szCs w:val="24"/>
        </w:rPr>
        <w:t xml:space="preserve"> surrounding the days of the </w:t>
      </w:r>
      <w:r w:rsidR="001B299D" w:rsidRPr="00D97714">
        <w:rPr>
          <w:rFonts w:ascii="Times New Roman" w:eastAsiaTheme="minorEastAsia" w:hAnsi="Times New Roman" w:cs="Times New Roman"/>
          <w:sz w:val="24"/>
          <w:szCs w:val="24"/>
        </w:rPr>
        <w:t>activism announcement</w:t>
      </w:r>
      <w:r w:rsidRPr="00D97714">
        <w:rPr>
          <w:rFonts w:ascii="Times New Roman" w:eastAsiaTheme="minorEastAsia" w:hAnsi="Times New Roman" w:cs="Times New Roman"/>
          <w:sz w:val="24"/>
          <w:szCs w:val="24"/>
        </w:rPr>
        <w:t xml:space="preserve">. We cumulate the abnormal returns over the following windows (defined in days): (-10, +5), (-5, +5) and (-2, +1) with 0 </w:t>
      </w:r>
      <w:r w:rsidR="00F85FAD" w:rsidRPr="00D97714">
        <w:rPr>
          <w:rFonts w:ascii="Times New Roman" w:eastAsiaTheme="minorEastAsia" w:hAnsi="Times New Roman" w:cs="Times New Roman"/>
          <w:sz w:val="24"/>
          <w:szCs w:val="24"/>
        </w:rPr>
        <w:t>representing</w:t>
      </w:r>
      <w:r w:rsidRPr="00D97714">
        <w:rPr>
          <w:rFonts w:ascii="Times New Roman" w:eastAsiaTheme="minorEastAsia" w:hAnsi="Times New Roman" w:cs="Times New Roman"/>
          <w:sz w:val="24"/>
          <w:szCs w:val="24"/>
        </w:rPr>
        <w:t xml:space="preserve"> the day of the announcement of an action initiated by a shareholder activist group. </w:t>
      </w:r>
      <w:r w:rsidR="00820515" w:rsidRPr="00D97714">
        <w:rPr>
          <w:rFonts w:ascii="Times New Roman" w:eastAsiaTheme="minorEastAsia" w:hAnsi="Times New Roman" w:cs="Times New Roman"/>
          <w:sz w:val="24"/>
          <w:szCs w:val="24"/>
        </w:rPr>
        <w:t xml:space="preserve">The choice of multiple and extended windows follows other studies (for instance, Lee and Park (2009)). </w:t>
      </w:r>
      <w:r w:rsidR="00736EA0" w:rsidRPr="00D97714">
        <w:rPr>
          <w:rFonts w:ascii="Times New Roman" w:eastAsiaTheme="minorEastAsia" w:hAnsi="Times New Roman" w:cs="Times New Roman"/>
          <w:sz w:val="24"/>
          <w:szCs w:val="24"/>
        </w:rPr>
        <w:t>Karpoff (2001) points out that it is difficult to ascertain the true event date when the activism news first arrives in the market</w:t>
      </w:r>
      <w:r w:rsidR="00E52E92" w:rsidRPr="00D97714">
        <w:rPr>
          <w:rFonts w:ascii="Times New Roman" w:eastAsiaTheme="minorEastAsia" w:hAnsi="Times New Roman" w:cs="Times New Roman"/>
          <w:sz w:val="24"/>
          <w:szCs w:val="24"/>
        </w:rPr>
        <w:t xml:space="preserve"> pointing to the need to use extended windows in measuring the effects of activism. </w:t>
      </w:r>
    </w:p>
    <w:p w14:paraId="0031FCB9" w14:textId="0A372DEE" w:rsidR="00C63BB1" w:rsidRPr="00D97714" w:rsidRDefault="00C63BB1" w:rsidP="00B52D4D">
      <w:pPr>
        <w:spacing w:line="480" w:lineRule="auto"/>
        <w:ind w:firstLine="720"/>
        <w:rPr>
          <w:rFonts w:ascii="Times New Roman" w:eastAsiaTheme="minorEastAsia" w:hAnsi="Times New Roman" w:cs="Times New Roman"/>
          <w:sz w:val="24"/>
          <w:szCs w:val="24"/>
        </w:rPr>
      </w:pPr>
      <w:r w:rsidRPr="00D97714">
        <w:rPr>
          <w:rFonts w:ascii="Times New Roman" w:eastAsiaTheme="minorEastAsia" w:hAnsi="Times New Roman" w:cs="Times New Roman"/>
          <w:sz w:val="24"/>
          <w:szCs w:val="24"/>
        </w:rPr>
        <w:t xml:space="preserve">We measure the cumulative abnormal returns </w:t>
      </w:r>
      <m:oMath>
        <m:r>
          <w:rPr>
            <w:rFonts w:ascii="Cambria Math" w:eastAsiaTheme="minorEastAsia" w:hAnsi="Cambria Math" w:cs="Times New Roman"/>
            <w:sz w:val="24"/>
            <w:szCs w:val="24"/>
          </w:rPr>
          <m:t>(CARs)</m:t>
        </m:r>
      </m:oMath>
      <w:r w:rsidRPr="00D97714">
        <w:rPr>
          <w:rFonts w:ascii="Times New Roman" w:eastAsiaTheme="minorEastAsia" w:hAnsi="Times New Roman" w:cs="Times New Roman"/>
          <w:sz w:val="24"/>
          <w:szCs w:val="24"/>
        </w:rPr>
        <w:t xml:space="preserve"> of the matching </w:t>
      </w:r>
      <w:r w:rsidR="00903E10" w:rsidRPr="00D97714">
        <w:rPr>
          <w:rFonts w:ascii="Times New Roman" w:eastAsiaTheme="minorEastAsia" w:hAnsi="Times New Roman" w:cs="Times New Roman"/>
          <w:sz w:val="24"/>
          <w:szCs w:val="24"/>
        </w:rPr>
        <w:t>non-targeted</w:t>
      </w:r>
      <w:r w:rsidRPr="00D97714">
        <w:rPr>
          <w:rFonts w:ascii="Times New Roman" w:eastAsiaTheme="minorEastAsia" w:hAnsi="Times New Roman" w:cs="Times New Roman"/>
          <w:sz w:val="24"/>
          <w:szCs w:val="24"/>
        </w:rPr>
        <w:t xml:space="preserve"> </w:t>
      </w:r>
      <w:r w:rsidR="00ED4FAB" w:rsidRPr="00D97714">
        <w:rPr>
          <w:rFonts w:ascii="Times New Roman" w:eastAsiaTheme="minorEastAsia" w:hAnsi="Times New Roman" w:cs="Times New Roman"/>
          <w:sz w:val="24"/>
          <w:szCs w:val="24"/>
        </w:rPr>
        <w:t>portfolio of firms</w:t>
      </w:r>
      <w:r w:rsidRPr="00D97714">
        <w:rPr>
          <w:rFonts w:ascii="Times New Roman" w:eastAsiaTheme="minorEastAsia" w:hAnsi="Times New Roman" w:cs="Times New Roman"/>
          <w:sz w:val="24"/>
          <w:szCs w:val="24"/>
        </w:rPr>
        <w:t xml:space="preserve"> </w:t>
      </w:r>
      <w:r w:rsidR="00132838" w:rsidRPr="00D97714">
        <w:rPr>
          <w:rFonts w:ascii="Times New Roman" w:eastAsiaTheme="minorEastAsia" w:hAnsi="Times New Roman" w:cs="Times New Roman"/>
          <w:sz w:val="24"/>
          <w:szCs w:val="24"/>
        </w:rPr>
        <w:t>over the same time windows</w:t>
      </w:r>
      <w:r w:rsidRPr="00D97714">
        <w:rPr>
          <w:rFonts w:ascii="Times New Roman" w:eastAsiaTheme="minorEastAsia" w:hAnsi="Times New Roman" w:cs="Times New Roman"/>
          <w:sz w:val="24"/>
          <w:szCs w:val="24"/>
        </w:rPr>
        <w:t xml:space="preserve">. We form two portfolios of </w:t>
      </w:r>
      <w:r w:rsidR="00ED4FAB" w:rsidRPr="00D97714">
        <w:rPr>
          <w:rFonts w:ascii="Times New Roman" w:eastAsiaTheme="minorEastAsia" w:hAnsi="Times New Roman" w:cs="Times New Roman"/>
          <w:sz w:val="24"/>
          <w:szCs w:val="24"/>
        </w:rPr>
        <w:t xml:space="preserve">the </w:t>
      </w:r>
      <w:r w:rsidRPr="00D97714">
        <w:rPr>
          <w:rFonts w:ascii="Times New Roman" w:eastAsiaTheme="minorEastAsia" w:hAnsi="Times New Roman" w:cs="Times New Roman"/>
          <w:sz w:val="24"/>
          <w:szCs w:val="24"/>
        </w:rPr>
        <w:t xml:space="preserve">matching </w:t>
      </w:r>
      <w:r w:rsidR="00903E10" w:rsidRPr="00D97714">
        <w:rPr>
          <w:rFonts w:ascii="Times New Roman" w:eastAsiaTheme="minorEastAsia" w:hAnsi="Times New Roman" w:cs="Times New Roman"/>
          <w:sz w:val="24"/>
          <w:szCs w:val="24"/>
        </w:rPr>
        <w:t>non-targeted</w:t>
      </w:r>
      <w:r w:rsidRPr="00D97714">
        <w:rPr>
          <w:rFonts w:ascii="Times New Roman" w:eastAsiaTheme="minorEastAsia" w:hAnsi="Times New Roman" w:cs="Times New Roman"/>
          <w:sz w:val="24"/>
          <w:szCs w:val="24"/>
        </w:rPr>
        <w:t xml:space="preserve"> firms: the first one is a value-weighted average of the </w:t>
      </w:r>
      <m:oMath>
        <m:r>
          <w:rPr>
            <w:rFonts w:ascii="Cambria Math" w:eastAsiaTheme="minorEastAsia" w:hAnsi="Cambria Math" w:cs="Times New Roman"/>
            <w:sz w:val="24"/>
            <w:szCs w:val="24"/>
          </w:rPr>
          <m:t>CARs</m:t>
        </m:r>
      </m:oMath>
      <w:r w:rsidRPr="00D97714">
        <w:rPr>
          <w:rFonts w:ascii="Times New Roman" w:eastAsiaTheme="minorEastAsia" w:hAnsi="Times New Roman" w:cs="Times New Roman"/>
          <w:sz w:val="24"/>
          <w:szCs w:val="24"/>
        </w:rPr>
        <w:t xml:space="preserve"> based on market capitalization, and the second one is an equally weighted average of the </w:t>
      </w:r>
      <m:oMath>
        <m:r>
          <w:rPr>
            <w:rFonts w:ascii="Cambria Math" w:eastAsiaTheme="minorEastAsia" w:hAnsi="Cambria Math" w:cs="Times New Roman"/>
            <w:sz w:val="24"/>
            <w:szCs w:val="24"/>
          </w:rPr>
          <m:t>CARs</m:t>
        </m:r>
      </m:oMath>
      <w:r w:rsidRPr="00D97714">
        <w:rPr>
          <w:rFonts w:ascii="Times New Roman" w:eastAsiaTheme="minorEastAsia" w:hAnsi="Times New Roman" w:cs="Times New Roman"/>
          <w:sz w:val="24"/>
          <w:szCs w:val="24"/>
        </w:rPr>
        <w:t xml:space="preserve">. </w:t>
      </w:r>
      <w:r w:rsidR="00311591" w:rsidRPr="00D97714">
        <w:rPr>
          <w:rFonts w:ascii="Times New Roman" w:hAnsi="Times New Roman" w:cs="Times New Roman"/>
          <w:sz w:val="24"/>
          <w:szCs w:val="24"/>
        </w:rPr>
        <w:t xml:space="preserve">We report the test statistics from the skewness corrected test </w:t>
      </w:r>
      <w:r w:rsidR="00A95714" w:rsidRPr="00D97714">
        <w:rPr>
          <w:rFonts w:ascii="Times New Roman" w:hAnsi="Times New Roman" w:cs="Times New Roman"/>
          <w:sz w:val="24"/>
          <w:szCs w:val="24"/>
        </w:rPr>
        <w:t xml:space="preserve">(Hall, 1992) </w:t>
      </w:r>
      <w:r w:rsidR="00311591" w:rsidRPr="00D97714">
        <w:rPr>
          <w:rFonts w:ascii="Times New Roman" w:hAnsi="Times New Roman" w:cs="Times New Roman"/>
          <w:sz w:val="24"/>
          <w:szCs w:val="24"/>
        </w:rPr>
        <w:t xml:space="preserve">and the sign rank test for the significance level of the estimated CARs. </w:t>
      </w:r>
    </w:p>
    <w:p w14:paraId="48AA5A37" w14:textId="01350951" w:rsidR="007F5BFF" w:rsidRPr="00D97714" w:rsidRDefault="00C63BB1" w:rsidP="00444F6F">
      <w:pPr>
        <w:spacing w:line="480" w:lineRule="auto"/>
        <w:ind w:firstLine="720"/>
        <w:contextualSpacing/>
        <w:jc w:val="both"/>
        <w:rPr>
          <w:rFonts w:ascii="Times New Roman" w:eastAsiaTheme="minorEastAsia" w:hAnsi="Times New Roman" w:cs="Times New Roman"/>
          <w:sz w:val="24"/>
          <w:szCs w:val="24"/>
        </w:rPr>
      </w:pPr>
      <w:r w:rsidRPr="00D97714">
        <w:rPr>
          <w:rFonts w:ascii="Times New Roman" w:eastAsiaTheme="minorEastAsia" w:hAnsi="Times New Roman" w:cs="Times New Roman"/>
          <w:sz w:val="24"/>
          <w:szCs w:val="24"/>
        </w:rPr>
        <w:t xml:space="preserve"> </w:t>
      </w:r>
      <w:r w:rsidR="00ED4FAB" w:rsidRPr="00D97714">
        <w:rPr>
          <w:rFonts w:ascii="Times New Roman" w:eastAsiaTheme="minorEastAsia" w:hAnsi="Times New Roman" w:cs="Times New Roman"/>
          <w:sz w:val="24"/>
          <w:szCs w:val="24"/>
        </w:rPr>
        <w:t xml:space="preserve">We use three methods of computing </w:t>
      </w:r>
      <m:oMath>
        <m:r>
          <w:rPr>
            <w:rFonts w:ascii="Cambria Math" w:eastAsiaTheme="minorEastAsia" w:hAnsi="Cambria Math" w:cs="Times New Roman"/>
            <w:sz w:val="24"/>
            <w:szCs w:val="24"/>
          </w:rPr>
          <m:t>AR</m:t>
        </m:r>
      </m:oMath>
      <w:r w:rsidR="00ED4FAB" w:rsidRPr="00D97714">
        <w:rPr>
          <w:rFonts w:ascii="Times New Roman" w:eastAsiaTheme="minorEastAsia" w:hAnsi="Times New Roman" w:cs="Times New Roman"/>
          <w:sz w:val="24"/>
          <w:szCs w:val="24"/>
        </w:rPr>
        <w:t xml:space="preserve">s </w:t>
      </w:r>
      <w:r w:rsidR="00BE5470" w:rsidRPr="00D97714">
        <w:rPr>
          <w:rFonts w:ascii="Times New Roman" w:eastAsiaTheme="minorEastAsia" w:hAnsi="Times New Roman" w:cs="Times New Roman"/>
          <w:sz w:val="24"/>
          <w:szCs w:val="24"/>
        </w:rPr>
        <w:t>including</w:t>
      </w:r>
      <w:r w:rsidR="00471851" w:rsidRPr="00D97714">
        <w:rPr>
          <w:rFonts w:ascii="Times New Roman" w:eastAsiaTheme="minorEastAsia" w:hAnsi="Times New Roman" w:cs="Times New Roman"/>
          <w:sz w:val="24"/>
          <w:szCs w:val="24"/>
        </w:rPr>
        <w:t xml:space="preserve"> the market-adjusted model, the market model and the Fama and French (1993) three-factor model, </w:t>
      </w:r>
      <w:r w:rsidR="00BE5470" w:rsidRPr="00D97714">
        <w:rPr>
          <w:rFonts w:ascii="Times New Roman" w:eastAsiaTheme="minorEastAsia" w:hAnsi="Times New Roman" w:cs="Times New Roman"/>
          <w:sz w:val="24"/>
          <w:szCs w:val="24"/>
        </w:rPr>
        <w:t>alternatively</w:t>
      </w:r>
      <w:r w:rsidR="00471851" w:rsidRPr="00D97714">
        <w:rPr>
          <w:rFonts w:ascii="Times New Roman" w:eastAsiaTheme="minorEastAsia"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21"/>
      </w:tblGrid>
      <w:tr w:rsidR="00A66416" w:rsidRPr="00D97714" w14:paraId="316360B3" w14:textId="77777777" w:rsidTr="00D7572A">
        <w:tc>
          <w:tcPr>
            <w:tcW w:w="8755" w:type="dxa"/>
            <w:vAlign w:val="center"/>
          </w:tcPr>
          <w:p w14:paraId="239AAB5F" w14:textId="71E763AB" w:rsidR="00A66416" w:rsidRPr="00D97714" w:rsidRDefault="00A66416" w:rsidP="00D7572A">
            <w:pPr>
              <w:spacing w:line="480" w:lineRule="auto"/>
              <w:jc w:val="center"/>
              <w:rPr>
                <w:rFonts w:ascii="Times New Roman" w:hAnsi="Times New Roman" w:cs="Times New Roman"/>
                <w:sz w:val="24"/>
                <w:szCs w:val="24"/>
              </w:rPr>
            </w:pPr>
            <m:oMathPara>
              <m:oMath>
                <m:r>
                  <w:rPr>
                    <w:rFonts w:ascii="Cambria Math" w:eastAsiaTheme="minorEastAsia" w:hAnsi="Cambria Math" w:cs="Times New Roman"/>
                    <w:sz w:val="24"/>
                    <w:szCs w:val="24"/>
                  </w:rPr>
                  <m:t>Market Adjusted 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M,t</m:t>
                    </m:r>
                  </m:sub>
                </m:sSub>
              </m:oMath>
            </m:oMathPara>
          </w:p>
        </w:tc>
        <w:tc>
          <w:tcPr>
            <w:tcW w:w="821" w:type="dxa"/>
            <w:vAlign w:val="center"/>
          </w:tcPr>
          <w:p w14:paraId="7FAD2B4F" w14:textId="07E087C0" w:rsidR="00A66416" w:rsidRPr="00D97714" w:rsidRDefault="00A66416" w:rsidP="00D7572A">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(3)</w:t>
            </w:r>
          </w:p>
        </w:tc>
      </w:tr>
    </w:tbl>
    <w:p w14:paraId="6F0B67D1" w14:textId="77777777" w:rsidR="00A66416" w:rsidRPr="00D97714" w:rsidRDefault="00A66416" w:rsidP="00B52D4D">
      <w:pPr>
        <w:spacing w:line="480" w:lineRule="auto"/>
        <w:contextualSpacing/>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21"/>
      </w:tblGrid>
      <w:tr w:rsidR="00A66416" w:rsidRPr="00D97714" w14:paraId="16962D7F" w14:textId="77777777" w:rsidTr="00D7572A">
        <w:tc>
          <w:tcPr>
            <w:tcW w:w="8755" w:type="dxa"/>
            <w:vAlign w:val="center"/>
          </w:tcPr>
          <w:p w14:paraId="52CC2955" w14:textId="7C87FA38" w:rsidR="00A66416" w:rsidRPr="00D97714" w:rsidRDefault="00A66416" w:rsidP="00D7572A">
            <w:pPr>
              <w:spacing w:line="480" w:lineRule="auto"/>
              <w:jc w:val="center"/>
              <w:rPr>
                <w:rFonts w:ascii="Times New Roman" w:hAnsi="Times New Roman" w:cs="Times New Roman"/>
                <w:sz w:val="24"/>
                <w:szCs w:val="24"/>
              </w:rPr>
            </w:pPr>
            <m:oMathPara>
              <m:oMath>
                <m:r>
                  <w:rPr>
                    <w:rFonts w:ascii="Cambria Math" w:eastAsiaTheme="minorEastAsia" w:hAnsi="Cambria Math" w:cs="Times New Roman"/>
                    <w:sz w:val="24"/>
                    <w:szCs w:val="24"/>
                  </w:rPr>
                  <m:t>Market Model 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M,t</m:t>
                    </m:r>
                  </m:sub>
                </m:sSub>
                <m:r>
                  <w:rPr>
                    <w:rFonts w:ascii="Cambria Math" w:eastAsiaTheme="minorEastAsia" w:hAnsi="Cambria Math" w:cs="Times New Roman"/>
                    <w:sz w:val="24"/>
                    <w:szCs w:val="24"/>
                  </w:rPr>
                  <m:t>)</m:t>
                </m:r>
              </m:oMath>
            </m:oMathPara>
          </w:p>
        </w:tc>
        <w:tc>
          <w:tcPr>
            <w:tcW w:w="821" w:type="dxa"/>
            <w:vAlign w:val="center"/>
          </w:tcPr>
          <w:p w14:paraId="7D5A91BE" w14:textId="4E5C07DE" w:rsidR="00A66416" w:rsidRPr="00D97714" w:rsidRDefault="00A66416" w:rsidP="00D7572A">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(4)</w:t>
            </w:r>
          </w:p>
        </w:tc>
      </w:tr>
    </w:tbl>
    <w:p w14:paraId="715130DB" w14:textId="77777777" w:rsidR="00A66416" w:rsidRPr="00D97714" w:rsidRDefault="00A66416" w:rsidP="00444F6F">
      <w:pPr>
        <w:spacing w:line="480" w:lineRule="auto"/>
        <w:ind w:firstLine="720"/>
        <w:contextualSpacing/>
        <w:jc w:val="both"/>
        <w:rPr>
          <w:rFonts w:ascii="Times New Roman" w:eastAsiaTheme="minorEastAsia"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21"/>
      </w:tblGrid>
      <w:tr w:rsidR="00A66416" w:rsidRPr="00D97714" w14:paraId="517C74D7" w14:textId="77777777" w:rsidTr="00D7572A">
        <w:tc>
          <w:tcPr>
            <w:tcW w:w="8755" w:type="dxa"/>
            <w:vAlign w:val="center"/>
          </w:tcPr>
          <w:p w14:paraId="5BE581CE" w14:textId="35AB2565" w:rsidR="00A66416" w:rsidRPr="00D97714" w:rsidRDefault="00A66416" w:rsidP="00D7572A">
            <w:pPr>
              <w:spacing w:line="480" w:lineRule="auto"/>
              <w:jc w:val="center"/>
              <w:rPr>
                <w:rFonts w:ascii="Times New Roman" w:hAnsi="Times New Roman" w:cs="Times New Roman"/>
                <w:sz w:val="24"/>
                <w:szCs w:val="24"/>
              </w:rPr>
            </w:pPr>
            <m:oMathPara>
              <m:oMath>
                <m:r>
                  <w:rPr>
                    <w:rFonts w:ascii="Cambria Math" w:eastAsiaTheme="minorEastAsia" w:hAnsi="Cambria Math" w:cs="Times New Roman"/>
                    <w:sz w:val="24"/>
                    <w:szCs w:val="24"/>
                  </w:rPr>
                  <m:t>Three factor Model 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M,t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SM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HM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m:oMathPara>
          </w:p>
        </w:tc>
        <w:tc>
          <w:tcPr>
            <w:tcW w:w="821" w:type="dxa"/>
            <w:vAlign w:val="center"/>
          </w:tcPr>
          <w:p w14:paraId="0EB1AE68" w14:textId="0767280E" w:rsidR="00A66416" w:rsidRPr="00D97714" w:rsidRDefault="00A66416" w:rsidP="00D7572A">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(5)</w:t>
            </w:r>
          </w:p>
        </w:tc>
      </w:tr>
    </w:tbl>
    <w:p w14:paraId="1A5C2433" w14:textId="77777777" w:rsidR="00A66416" w:rsidRPr="00D97714" w:rsidRDefault="00A66416" w:rsidP="00444F6F">
      <w:pPr>
        <w:spacing w:line="480" w:lineRule="auto"/>
        <w:ind w:firstLine="720"/>
        <w:contextualSpacing/>
        <w:jc w:val="both"/>
        <w:rPr>
          <w:rFonts w:ascii="Times New Roman" w:eastAsiaTheme="minorEastAsia" w:hAnsi="Times New Roman" w:cs="Times New Roman"/>
          <w:sz w:val="24"/>
          <w:szCs w:val="24"/>
        </w:rPr>
      </w:pPr>
    </w:p>
    <w:p w14:paraId="0C955F46" w14:textId="34310E68" w:rsidR="00ED4FAB" w:rsidRPr="00D97714" w:rsidRDefault="00A66416" w:rsidP="008B67E3">
      <w:pPr>
        <w:spacing w:line="480" w:lineRule="auto"/>
        <w:rPr>
          <w:rFonts w:ascii="Times New Roman" w:hAnsi="Times New Roman" w:cs="Times New Roman"/>
          <w:sz w:val="24"/>
          <w:szCs w:val="24"/>
        </w:rPr>
      </w:pPr>
      <w:r w:rsidRPr="00D97714">
        <w:rPr>
          <w:rFonts w:ascii="Times New Roman" w:hAnsi="Times New Roman" w:cs="Times New Roman"/>
          <w:sz w:val="24"/>
          <w:szCs w:val="24"/>
        </w:rPr>
        <w:t>w</w:t>
      </w:r>
      <w:r w:rsidR="00ED4FAB" w:rsidRPr="00D97714">
        <w:rPr>
          <w:rFonts w:ascii="Times New Roman" w:hAnsi="Times New Roman" w:cs="Times New Roman"/>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oMath>
      <w:r w:rsidR="00ED4FAB" w:rsidRPr="00D97714">
        <w:rPr>
          <w:rFonts w:ascii="Times New Roman" w:eastAsiaTheme="minorEastAsia" w:hAnsi="Times New Roman" w:cs="Times New Roman"/>
          <w:sz w:val="24"/>
          <w:szCs w:val="24"/>
        </w:rPr>
        <w:t xml:space="preserve"> is the rate of return of the common stock of 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th</m:t>
            </m:r>
          </m:sup>
        </m:sSup>
      </m:oMath>
      <w:r w:rsidR="00ED4FAB" w:rsidRPr="00D97714">
        <w:rPr>
          <w:rFonts w:ascii="Times New Roman" w:eastAsiaTheme="minorEastAsia" w:hAnsi="Times New Roman" w:cs="Times New Roman"/>
          <w:sz w:val="24"/>
          <w:szCs w:val="24"/>
        </w:rPr>
        <w:t xml:space="preserve"> firm on day </w:t>
      </w:r>
      <w:r w:rsidR="00ED4FAB" w:rsidRPr="00D97714">
        <w:rPr>
          <w:rFonts w:ascii="Times New Roman" w:eastAsiaTheme="minorEastAsia" w:hAnsi="Times New Roman" w:cs="Times New Roman"/>
          <w:i/>
          <w:sz w:val="24"/>
          <w:szCs w:val="24"/>
        </w:rPr>
        <w:t>t</w:t>
      </w:r>
      <w:r w:rsidR="00B44941" w:rsidRPr="00D97714">
        <w:rPr>
          <w:rFonts w:ascii="Times New Roman" w:eastAsiaTheme="minorEastAsia" w:hAnsi="Times New Roman" w:cs="Times New Roman"/>
          <w:sz w:val="24"/>
          <w:szCs w:val="24"/>
        </w:rPr>
        <w:t>;</w:t>
      </w:r>
      <w:r w:rsidR="00ED4FAB" w:rsidRPr="00D97714">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M,t</m:t>
            </m:r>
          </m:sub>
        </m:sSub>
      </m:oMath>
      <w:r w:rsidR="00B44941" w:rsidRPr="00D97714">
        <w:rPr>
          <w:rFonts w:ascii="Times New Roman" w:eastAsiaTheme="minorEastAsia" w:hAnsi="Times New Roman" w:cs="Times New Roman"/>
          <w:sz w:val="24"/>
          <w:szCs w:val="24"/>
        </w:rPr>
        <w:t xml:space="preserve"> is the CRSP equally weighted index return</w:t>
      </w:r>
      <w:r w:rsidR="00471851" w:rsidRPr="00D9771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SM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t</m:t>
            </m:r>
          </m:sub>
        </m:sSub>
      </m:oMath>
      <w:r w:rsidR="00471851" w:rsidRPr="00D97714">
        <w:rPr>
          <w:rFonts w:ascii="Times New Roman" w:eastAsiaTheme="minorEastAsia" w:hAnsi="Times New Roman" w:cs="Times New Roman"/>
          <w:sz w:val="24"/>
          <w:szCs w:val="24"/>
        </w:rPr>
        <w:t xml:space="preserve"> is the average return on small market capitalization portfolios minus the average return on three large market capitalization portfolios; </w:t>
      </w:r>
      <m:oMath>
        <m:r>
          <w:rPr>
            <w:rFonts w:ascii="Cambria Math" w:eastAsiaTheme="minorEastAsia" w:hAnsi="Cambria Math" w:cs="Times New Roman"/>
            <w:sz w:val="24"/>
            <w:szCs w:val="24"/>
          </w:rPr>
          <m:t>HM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t</m:t>
            </m:r>
          </m:sub>
        </m:sSub>
      </m:oMath>
      <w:r w:rsidR="00471851" w:rsidRPr="00D97714">
        <w:rPr>
          <w:rFonts w:ascii="Times New Roman" w:eastAsiaTheme="minorEastAsia" w:hAnsi="Times New Roman" w:cs="Times New Roman"/>
          <w:sz w:val="24"/>
          <w:szCs w:val="24"/>
        </w:rPr>
        <w:t xml:space="preserve"> is the average return on two high book-to-market equity portfolios minus the average return on two low book-to-market equity portfolios</w:t>
      </w:r>
      <w:r w:rsidR="00B44941" w:rsidRPr="00D97714">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oMath>
      <w:r w:rsidR="00B44941" w:rsidRPr="00D97714">
        <w:rPr>
          <w:rFonts w:ascii="Times New Roman" w:eastAsiaTheme="minorEastAsia" w:hAnsi="Times New Roman" w:cs="Times New Roman"/>
          <w:sz w:val="24"/>
          <w:szCs w:val="24"/>
        </w:rPr>
        <w:t xml:space="preserve"> is a parameter that measures the sensitivity of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oMath>
      <w:r w:rsidR="00B44941" w:rsidRPr="00D97714">
        <w:rPr>
          <w:rFonts w:ascii="Times New Roman" w:eastAsiaTheme="minorEastAsia" w:hAnsi="Times New Roman" w:cs="Times New Roman"/>
          <w:sz w:val="24"/>
          <w:szCs w:val="24"/>
        </w:rPr>
        <w:t xml:space="preserve"> to the CRSP equally weighted index of stock returns. </w:t>
      </w:r>
      <m:oMath>
        <m:r>
          <w:rPr>
            <w:rFonts w:ascii="Cambria Math" w:eastAsiaTheme="minorEastAsia" w:hAnsi="Cambria Math" w:cs="Times New Roman"/>
            <w:sz w:val="24"/>
            <w:szCs w:val="24"/>
          </w:rPr>
          <m:t>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i,t</m:t>
            </m:r>
          </m:sub>
        </m:sSub>
      </m:oMath>
      <w:r w:rsidR="00471851" w:rsidRPr="00D97714">
        <w:rPr>
          <w:rFonts w:ascii="Times New Roman" w:eastAsiaTheme="minorEastAsia" w:hAnsi="Times New Roman" w:cs="Times New Roman"/>
          <w:sz w:val="24"/>
          <w:szCs w:val="24"/>
        </w:rPr>
        <w:t xml:space="preserve"> is the abnormal return (or prediction error) for the common stock of the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i</m:t>
            </m:r>
          </m:e>
          <m:sup>
            <m:r>
              <w:rPr>
                <w:rFonts w:ascii="Cambria Math" w:eastAsiaTheme="minorEastAsia" w:hAnsi="Cambria Math" w:cs="Times New Roman"/>
                <w:sz w:val="24"/>
                <w:szCs w:val="24"/>
              </w:rPr>
              <m:t>th</m:t>
            </m:r>
          </m:sup>
        </m:sSup>
      </m:oMath>
      <w:r w:rsidR="00471851" w:rsidRPr="00D97714">
        <w:rPr>
          <w:rFonts w:ascii="Times New Roman" w:eastAsiaTheme="minorEastAsia" w:hAnsi="Times New Roman" w:cs="Times New Roman"/>
          <w:sz w:val="24"/>
          <w:szCs w:val="24"/>
        </w:rPr>
        <w:t xml:space="preserve"> firm on day </w:t>
      </w:r>
      <m:oMath>
        <m:r>
          <w:rPr>
            <w:rFonts w:ascii="Cambria Math" w:eastAsiaTheme="minorEastAsia" w:hAnsi="Cambria Math" w:cs="Times New Roman"/>
            <w:sz w:val="24"/>
            <w:szCs w:val="24"/>
          </w:rPr>
          <m:t>t</m:t>
        </m:r>
      </m:oMath>
      <w:r w:rsidR="00471851" w:rsidRPr="00D97714">
        <w:rPr>
          <w:rFonts w:ascii="Times New Roman" w:eastAsiaTheme="minorEastAsia" w:hAnsi="Times New Roman" w:cs="Times New Roman"/>
          <w:sz w:val="24"/>
          <w:szCs w:val="24"/>
        </w:rPr>
        <w:t>. The parameters of the market model and the Fama-French three-factor model are estimated over the (-252, -31) days relative to the announcement day 0.</w:t>
      </w:r>
      <w:r w:rsidR="00820515" w:rsidRPr="00D97714">
        <w:rPr>
          <w:rFonts w:ascii="Times New Roman" w:eastAsiaTheme="minorEastAsia" w:hAnsi="Times New Roman" w:cs="Times New Roman"/>
          <w:sz w:val="24"/>
          <w:szCs w:val="24"/>
        </w:rPr>
        <w:t xml:space="preserve"> The choice of the different </w:t>
      </w:r>
      <w:r w:rsidR="00B931E4" w:rsidRPr="00D97714">
        <w:rPr>
          <w:rFonts w:ascii="Times New Roman" w:eastAsiaTheme="minorEastAsia" w:hAnsi="Times New Roman" w:cs="Times New Roman"/>
          <w:sz w:val="24"/>
          <w:szCs w:val="24"/>
        </w:rPr>
        <w:t>models</w:t>
      </w:r>
      <w:r w:rsidR="00820515" w:rsidRPr="00D97714">
        <w:rPr>
          <w:rFonts w:ascii="Times New Roman" w:eastAsiaTheme="minorEastAsia" w:hAnsi="Times New Roman" w:cs="Times New Roman"/>
          <w:sz w:val="24"/>
          <w:szCs w:val="24"/>
        </w:rPr>
        <w:t xml:space="preserve"> </w:t>
      </w:r>
      <w:r w:rsidR="00B931E4" w:rsidRPr="00D97714">
        <w:rPr>
          <w:rFonts w:ascii="Times New Roman" w:eastAsiaTheme="minorEastAsia" w:hAnsi="Times New Roman" w:cs="Times New Roman"/>
          <w:sz w:val="24"/>
          <w:szCs w:val="24"/>
        </w:rPr>
        <w:t xml:space="preserve">and methods </w:t>
      </w:r>
      <w:r w:rsidR="00820515" w:rsidRPr="00D97714">
        <w:rPr>
          <w:rFonts w:ascii="Times New Roman" w:eastAsiaTheme="minorEastAsia" w:hAnsi="Times New Roman" w:cs="Times New Roman"/>
          <w:sz w:val="24"/>
          <w:szCs w:val="24"/>
        </w:rPr>
        <w:t>follows Jory, Madura and Ngo (2012), and Jory and Ngo (2014).</w:t>
      </w:r>
    </w:p>
    <w:p w14:paraId="5974C7D6" w14:textId="4A985A1B" w:rsidR="00ED4FAB" w:rsidRPr="00D97714" w:rsidRDefault="002F3EC8" w:rsidP="00ED4FAB">
      <w:pPr>
        <w:spacing w:line="480" w:lineRule="auto"/>
        <w:ind w:left="360"/>
        <w:rPr>
          <w:rFonts w:ascii="Times New Roman" w:hAnsi="Times New Roman" w:cs="Times New Roman"/>
          <w:sz w:val="24"/>
          <w:szCs w:val="24"/>
        </w:rPr>
      </w:pPr>
      <w:r w:rsidRPr="00D97714">
        <w:rPr>
          <w:rFonts w:ascii="Times New Roman" w:hAnsi="Times New Roman" w:cs="Times New Roman"/>
          <w:sz w:val="24"/>
          <w:szCs w:val="24"/>
        </w:rPr>
        <w:t>The CARs are computed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21"/>
      </w:tblGrid>
      <w:tr w:rsidR="00A90726" w:rsidRPr="00D97714" w14:paraId="0C17F91D" w14:textId="77777777" w:rsidTr="00D7572A">
        <w:tc>
          <w:tcPr>
            <w:tcW w:w="8755" w:type="dxa"/>
            <w:vAlign w:val="center"/>
          </w:tcPr>
          <w:p w14:paraId="472E7537" w14:textId="33D9F918" w:rsidR="00A90726" w:rsidRPr="00D97714" w:rsidRDefault="00A90726" w:rsidP="00D7572A">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CAR</m:t>
                </m:r>
                <m:d>
                  <m:dPr>
                    <m:ctrlPr>
                      <w:rPr>
                        <w:rFonts w:ascii="Cambria Math" w:hAnsi="Cambria Math" w:cs="Times New Roman"/>
                        <w:i/>
                        <w:sz w:val="24"/>
                        <w:szCs w:val="24"/>
                      </w:rPr>
                    </m:ctrlPr>
                  </m:dPr>
                  <m:e>
                    <m:r>
                      <w:rPr>
                        <w:rFonts w:ascii="Cambria Math" w:hAnsi="Cambria Math" w:cs="Times New Roman"/>
                        <w:sz w:val="24"/>
                        <w:szCs w:val="24"/>
                      </w:rPr>
                      <m:t>-d,+d</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t=-d</m:t>
                        </m:r>
                      </m:sub>
                      <m:sup>
                        <m:r>
                          <w:rPr>
                            <w:rFonts w:ascii="Cambria Math" w:hAnsi="Cambria Math" w:cs="Times New Roman"/>
                            <w:sz w:val="24"/>
                            <w:szCs w:val="24"/>
                          </w:rPr>
                          <m:t>+d</m:t>
                        </m:r>
                      </m:sup>
                      <m:e>
                        <m:r>
                          <w:rPr>
                            <w:rFonts w:ascii="Cambria Math" w:hAnsi="Cambria Math" w:cs="Times New Roman"/>
                            <w:sz w:val="24"/>
                            <w:szCs w:val="24"/>
                          </w:rPr>
                          <m:t>A</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nary>
                  </m:e>
                </m:nary>
              </m:oMath>
            </m:oMathPara>
          </w:p>
        </w:tc>
        <w:tc>
          <w:tcPr>
            <w:tcW w:w="821" w:type="dxa"/>
            <w:vAlign w:val="center"/>
          </w:tcPr>
          <w:p w14:paraId="5C538B68" w14:textId="49BF391B" w:rsidR="00A90726" w:rsidRPr="00D97714" w:rsidRDefault="00A90726" w:rsidP="00D7572A">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(6)</w:t>
            </w:r>
          </w:p>
        </w:tc>
      </w:tr>
    </w:tbl>
    <w:p w14:paraId="70233A8D" w14:textId="06C512E0" w:rsidR="00ED4FAB" w:rsidRPr="00D97714" w:rsidRDefault="00F64609" w:rsidP="008B67E3">
      <w:pPr>
        <w:spacing w:line="480" w:lineRule="auto"/>
        <w:rPr>
          <w:rFonts w:ascii="Times New Roman" w:hAnsi="Times New Roman" w:cs="Times New Roman"/>
          <w:sz w:val="24"/>
          <w:szCs w:val="24"/>
        </w:rPr>
      </w:pPr>
      <w:r w:rsidRPr="00D97714">
        <w:rPr>
          <w:rFonts w:ascii="Times New Roman" w:hAnsi="Times New Roman" w:cs="Times New Roman"/>
          <w:sz w:val="24"/>
          <w:szCs w:val="24"/>
        </w:rPr>
        <w:t>w</w:t>
      </w:r>
      <w:r w:rsidR="002F3EC8" w:rsidRPr="00D97714">
        <w:rPr>
          <w:rFonts w:ascii="Times New Roman" w:hAnsi="Times New Roman" w:cs="Times New Roman"/>
          <w:sz w:val="24"/>
          <w:szCs w:val="24"/>
        </w:rPr>
        <w:t xml:space="preserve">here </w:t>
      </w:r>
      <m:oMath>
        <m:r>
          <w:rPr>
            <w:rFonts w:ascii="Cambria Math" w:hAnsi="Cambria Math" w:cs="Times New Roman"/>
            <w:sz w:val="24"/>
            <w:szCs w:val="24"/>
          </w:rPr>
          <m:t>t</m:t>
        </m:r>
      </m:oMath>
      <w:r w:rsidR="002F3EC8" w:rsidRPr="00D97714">
        <w:rPr>
          <w:rFonts w:ascii="Times New Roman" w:eastAsiaTheme="minorEastAsia" w:hAnsi="Times New Roman" w:cs="Times New Roman"/>
          <w:sz w:val="24"/>
          <w:szCs w:val="24"/>
        </w:rPr>
        <w:t xml:space="preserve"> is defined in trading days </w:t>
      </w:r>
      <m:oMath>
        <m:r>
          <w:rPr>
            <w:rFonts w:ascii="Cambria Math" w:eastAsiaTheme="minorEastAsia" w:hAnsi="Cambria Math" w:cs="Times New Roman"/>
            <w:sz w:val="24"/>
            <w:szCs w:val="24"/>
          </w:rPr>
          <m:t>(d)</m:t>
        </m:r>
      </m:oMath>
      <w:r w:rsidR="00A90726" w:rsidRPr="00D97714">
        <w:rPr>
          <w:rFonts w:ascii="Times New Roman" w:eastAsiaTheme="minorEastAsia" w:hAnsi="Times New Roman" w:cs="Times New Roman"/>
          <w:sz w:val="24"/>
          <w:szCs w:val="24"/>
        </w:rPr>
        <w:t xml:space="preserve"> </w:t>
      </w:r>
      <w:r w:rsidR="002F3EC8" w:rsidRPr="00D97714">
        <w:rPr>
          <w:rFonts w:ascii="Times New Roman" w:eastAsiaTheme="minorEastAsia" w:hAnsi="Times New Roman" w:cs="Times New Roman"/>
          <w:sz w:val="24"/>
          <w:szCs w:val="24"/>
        </w:rPr>
        <w:t>relative to the event date 0.</w:t>
      </w:r>
    </w:p>
    <w:p w14:paraId="4D8EFDA7" w14:textId="5AEE6267" w:rsidR="002F3EC8" w:rsidRPr="00D97714" w:rsidRDefault="002F3EC8" w:rsidP="00D125AF">
      <w:pPr>
        <w:spacing w:line="480" w:lineRule="auto"/>
        <w:rPr>
          <w:rFonts w:ascii="Times New Roman" w:hAnsi="Times New Roman" w:cs="Times New Roman"/>
          <w:b/>
          <w:i/>
          <w:sz w:val="24"/>
          <w:szCs w:val="24"/>
        </w:rPr>
      </w:pPr>
      <w:r w:rsidRPr="00D97714">
        <w:rPr>
          <w:rFonts w:ascii="Times New Roman" w:hAnsi="Times New Roman" w:cs="Times New Roman"/>
          <w:b/>
          <w:i/>
          <w:sz w:val="24"/>
          <w:szCs w:val="24"/>
        </w:rPr>
        <w:t>Multiple Regressions of CARs</w:t>
      </w:r>
    </w:p>
    <w:p w14:paraId="2EBE2014" w14:textId="677EDB4B" w:rsidR="006F38C2" w:rsidRPr="00D97714" w:rsidRDefault="004B67D1" w:rsidP="00BE0513">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The anticipated </w:t>
      </w:r>
      <w:r w:rsidR="00F713AB" w:rsidRPr="00D97714">
        <w:rPr>
          <w:rFonts w:ascii="Times New Roman" w:hAnsi="Times New Roman" w:cs="Times New Roman"/>
          <w:sz w:val="24"/>
          <w:szCs w:val="24"/>
        </w:rPr>
        <w:t>spillover</w:t>
      </w:r>
      <w:r w:rsidRPr="00D97714">
        <w:rPr>
          <w:rFonts w:ascii="Times New Roman" w:hAnsi="Times New Roman" w:cs="Times New Roman"/>
          <w:sz w:val="24"/>
          <w:szCs w:val="24"/>
        </w:rPr>
        <w:t xml:space="preserve"> effects </w:t>
      </w:r>
      <w:r w:rsidR="00BE0513" w:rsidRPr="00D97714">
        <w:rPr>
          <w:rFonts w:ascii="Times New Roman" w:hAnsi="Times New Roman" w:cs="Times New Roman"/>
          <w:sz w:val="24"/>
          <w:szCs w:val="24"/>
        </w:rPr>
        <w:t xml:space="preserve">will </w:t>
      </w:r>
      <w:r w:rsidR="00AE2A72" w:rsidRPr="00D97714">
        <w:rPr>
          <w:rFonts w:ascii="Times New Roman" w:hAnsi="Times New Roman" w:cs="Times New Roman"/>
          <w:sz w:val="24"/>
          <w:szCs w:val="24"/>
        </w:rPr>
        <w:t>vary</w:t>
      </w:r>
      <w:r w:rsidRPr="00D97714">
        <w:rPr>
          <w:rFonts w:ascii="Times New Roman" w:hAnsi="Times New Roman" w:cs="Times New Roman"/>
          <w:sz w:val="24"/>
          <w:szCs w:val="24"/>
        </w:rPr>
        <w:t xml:space="preserve"> </w:t>
      </w:r>
      <w:r w:rsidR="00AE2A72" w:rsidRPr="00D97714">
        <w:rPr>
          <w:rFonts w:ascii="Times New Roman" w:hAnsi="Times New Roman" w:cs="Times New Roman"/>
          <w:sz w:val="24"/>
          <w:szCs w:val="24"/>
        </w:rPr>
        <w:t>by non-target firm characteristics</w:t>
      </w:r>
      <w:r w:rsidRPr="00D97714">
        <w:rPr>
          <w:rFonts w:ascii="Times New Roman" w:hAnsi="Times New Roman" w:cs="Times New Roman"/>
          <w:sz w:val="24"/>
          <w:szCs w:val="24"/>
        </w:rPr>
        <w:t xml:space="preserve">. For instance, </w:t>
      </w:r>
      <w:r w:rsidR="00BE0513" w:rsidRPr="00D97714">
        <w:rPr>
          <w:rFonts w:ascii="Times New Roman" w:hAnsi="Times New Roman" w:cs="Times New Roman"/>
          <w:sz w:val="24"/>
          <w:szCs w:val="24"/>
        </w:rPr>
        <w:t>activist investors are keener to target firms with poor governance. M</w:t>
      </w:r>
      <w:r w:rsidR="00AE2A72" w:rsidRPr="00D97714">
        <w:rPr>
          <w:rFonts w:ascii="Times New Roman" w:hAnsi="Times New Roman" w:cs="Times New Roman"/>
          <w:sz w:val="24"/>
          <w:szCs w:val="24"/>
        </w:rPr>
        <w:t xml:space="preserve">anagers </w:t>
      </w:r>
      <w:r w:rsidR="00BE0513" w:rsidRPr="00D97714">
        <w:rPr>
          <w:rFonts w:ascii="Times New Roman" w:hAnsi="Times New Roman" w:cs="Times New Roman"/>
          <w:sz w:val="24"/>
          <w:szCs w:val="24"/>
        </w:rPr>
        <w:t xml:space="preserve">at </w:t>
      </w:r>
      <w:r w:rsidR="00AE2A72" w:rsidRPr="00D97714">
        <w:rPr>
          <w:rFonts w:ascii="Times New Roman" w:hAnsi="Times New Roman" w:cs="Times New Roman"/>
          <w:sz w:val="24"/>
          <w:szCs w:val="24"/>
        </w:rPr>
        <w:t>these firms</w:t>
      </w:r>
      <w:r w:rsidRPr="00D97714">
        <w:rPr>
          <w:rFonts w:ascii="Times New Roman" w:hAnsi="Times New Roman" w:cs="Times New Roman"/>
          <w:sz w:val="24"/>
          <w:szCs w:val="24"/>
        </w:rPr>
        <w:t xml:space="preserve"> </w:t>
      </w:r>
      <w:r w:rsidR="00AE2A72" w:rsidRPr="00D97714">
        <w:rPr>
          <w:rFonts w:ascii="Times New Roman" w:hAnsi="Times New Roman" w:cs="Times New Roman"/>
          <w:sz w:val="24"/>
          <w:szCs w:val="24"/>
        </w:rPr>
        <w:t>are likely to</w:t>
      </w:r>
      <w:r w:rsidRPr="00D97714">
        <w:rPr>
          <w:rFonts w:ascii="Times New Roman" w:hAnsi="Times New Roman" w:cs="Times New Roman"/>
          <w:sz w:val="24"/>
          <w:szCs w:val="24"/>
        </w:rPr>
        <w:t xml:space="preserve"> </w:t>
      </w:r>
      <w:r w:rsidR="00BE0513" w:rsidRPr="00D97714">
        <w:rPr>
          <w:rFonts w:ascii="Times New Roman" w:hAnsi="Times New Roman" w:cs="Times New Roman"/>
          <w:sz w:val="24"/>
          <w:szCs w:val="24"/>
        </w:rPr>
        <w:t>make</w:t>
      </w:r>
      <w:r w:rsidR="00CC5C40" w:rsidRPr="00D97714">
        <w:rPr>
          <w:rFonts w:ascii="Times New Roman" w:hAnsi="Times New Roman" w:cs="Times New Roman"/>
          <w:sz w:val="24"/>
          <w:szCs w:val="24"/>
        </w:rPr>
        <w:t xml:space="preserve"> </w:t>
      </w:r>
      <w:r w:rsidRPr="00D97714">
        <w:rPr>
          <w:rFonts w:ascii="Times New Roman" w:hAnsi="Times New Roman" w:cs="Times New Roman"/>
          <w:sz w:val="24"/>
          <w:szCs w:val="24"/>
        </w:rPr>
        <w:t>changes</w:t>
      </w:r>
      <w:r w:rsidR="00AE2A72" w:rsidRPr="00D97714">
        <w:rPr>
          <w:rFonts w:ascii="Times New Roman" w:hAnsi="Times New Roman" w:cs="Times New Roman"/>
          <w:sz w:val="24"/>
          <w:szCs w:val="24"/>
        </w:rPr>
        <w:t xml:space="preserve"> to fend off </w:t>
      </w:r>
      <w:r w:rsidR="00BE0513" w:rsidRPr="00D97714">
        <w:rPr>
          <w:rFonts w:ascii="Times New Roman" w:hAnsi="Times New Roman" w:cs="Times New Roman"/>
          <w:sz w:val="24"/>
          <w:szCs w:val="24"/>
        </w:rPr>
        <w:t>the activists</w:t>
      </w:r>
      <w:r w:rsidRPr="00D97714">
        <w:rPr>
          <w:rFonts w:ascii="Times New Roman" w:hAnsi="Times New Roman" w:cs="Times New Roman"/>
          <w:sz w:val="24"/>
          <w:szCs w:val="24"/>
        </w:rPr>
        <w:t>.</w:t>
      </w:r>
      <w:r w:rsidR="00BE5470" w:rsidRPr="00D97714">
        <w:rPr>
          <w:rFonts w:ascii="Times New Roman" w:hAnsi="Times New Roman" w:cs="Times New Roman"/>
          <w:sz w:val="24"/>
          <w:szCs w:val="24"/>
        </w:rPr>
        <w:t xml:space="preserve"> </w:t>
      </w:r>
      <w:r w:rsidR="002F3EC8" w:rsidRPr="00D97714">
        <w:rPr>
          <w:rFonts w:ascii="Times New Roman" w:hAnsi="Times New Roman" w:cs="Times New Roman"/>
          <w:sz w:val="24"/>
          <w:szCs w:val="24"/>
        </w:rPr>
        <w:t xml:space="preserve">To </w:t>
      </w:r>
      <w:r w:rsidR="00BE0513" w:rsidRPr="00D97714">
        <w:rPr>
          <w:rFonts w:ascii="Times New Roman" w:hAnsi="Times New Roman" w:cs="Times New Roman"/>
          <w:sz w:val="24"/>
          <w:szCs w:val="24"/>
        </w:rPr>
        <w:t>control for these and related characteristics</w:t>
      </w:r>
      <w:r w:rsidR="00AE2A72" w:rsidRPr="00D97714">
        <w:rPr>
          <w:rFonts w:ascii="Times New Roman" w:hAnsi="Times New Roman" w:cs="Times New Roman"/>
          <w:sz w:val="24"/>
          <w:szCs w:val="24"/>
        </w:rPr>
        <w:t>,</w:t>
      </w:r>
      <w:r w:rsidR="002F3EC8" w:rsidRPr="00D97714">
        <w:rPr>
          <w:rFonts w:ascii="Times New Roman" w:hAnsi="Times New Roman" w:cs="Times New Roman"/>
          <w:sz w:val="24"/>
          <w:szCs w:val="24"/>
        </w:rPr>
        <w:t xml:space="preserve"> we run the following multiple regression equation on the sample of </w:t>
      </w:r>
      <w:r w:rsidR="00F713AB" w:rsidRPr="00D97714">
        <w:rPr>
          <w:rFonts w:ascii="Times New Roman" w:hAnsi="Times New Roman" w:cs="Times New Roman"/>
          <w:sz w:val="24"/>
          <w:szCs w:val="24"/>
        </w:rPr>
        <w:t xml:space="preserve">the </w:t>
      </w:r>
      <w:r w:rsidR="00903E10" w:rsidRPr="00D97714">
        <w:rPr>
          <w:rFonts w:ascii="Times New Roman" w:hAnsi="Times New Roman" w:cs="Times New Roman"/>
          <w:sz w:val="24"/>
          <w:szCs w:val="24"/>
        </w:rPr>
        <w:t>non-targeted</w:t>
      </w:r>
      <w:r w:rsidR="002F3EC8" w:rsidRPr="00D97714">
        <w:rPr>
          <w:rFonts w:ascii="Times New Roman" w:hAnsi="Times New Roman" w:cs="Times New Roman"/>
          <w:sz w:val="24"/>
          <w:szCs w:val="24"/>
        </w:rPr>
        <w:t xml:space="preserve"> matching firms: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21"/>
      </w:tblGrid>
      <w:tr w:rsidR="006F38C2" w:rsidRPr="00D97714" w14:paraId="1539D8D1" w14:textId="77777777" w:rsidTr="000B36BE">
        <w:tc>
          <w:tcPr>
            <w:tcW w:w="8755" w:type="dxa"/>
            <w:vAlign w:val="center"/>
          </w:tcPr>
          <w:p w14:paraId="3A79F7C9" w14:textId="45180FFA" w:rsidR="006F38C2" w:rsidRPr="00D97714" w:rsidRDefault="006F38C2" w:rsidP="000B36BE">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CA</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WI</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CHANG</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MKCAP</m:t>
                            </m:r>
                          </m:e>
                        </m:d>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IOP</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IO</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RO</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r>
                      <w:rPr>
                        <w:rFonts w:ascii="Cambria Math" w:hAnsi="Cambria Math" w:cs="Times New Roman"/>
                        <w:sz w:val="24"/>
                        <w:szCs w:val="24"/>
                      </w:rPr>
                      <m:t>DEB</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r>
                      <w:rPr>
                        <w:rFonts w:ascii="Cambria Math" w:hAnsi="Cambria Math" w:cs="Times New Roman"/>
                        <w:sz w:val="24"/>
                        <w:szCs w:val="24"/>
                      </w:rPr>
                      <m:t>MKB</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e>
                </m:func>
              </m:oMath>
            </m:oMathPara>
          </w:p>
        </w:tc>
        <w:tc>
          <w:tcPr>
            <w:tcW w:w="821" w:type="dxa"/>
            <w:vAlign w:val="center"/>
          </w:tcPr>
          <w:p w14:paraId="74239C8E" w14:textId="27BA0247" w:rsidR="006F38C2" w:rsidRPr="00D97714" w:rsidRDefault="006F38C2" w:rsidP="006F38C2">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(7)</w:t>
            </w:r>
          </w:p>
        </w:tc>
      </w:tr>
    </w:tbl>
    <w:p w14:paraId="64E83095" w14:textId="44DB92E7" w:rsidR="00D655EE" w:rsidRPr="00D97714" w:rsidRDefault="00367452" w:rsidP="00AE2A72">
      <w:pPr>
        <w:spacing w:line="480" w:lineRule="auto"/>
        <w:rPr>
          <w:rFonts w:ascii="Times New Roman" w:hAnsi="Times New Roman" w:cs="Times New Roman"/>
          <w:sz w:val="24"/>
          <w:szCs w:val="24"/>
        </w:rPr>
      </w:pPr>
      <w:r w:rsidRPr="00D97714">
        <w:rPr>
          <w:rFonts w:ascii="Times New Roman" w:hAnsi="Times New Roman" w:cs="Times New Roman"/>
          <w:sz w:val="24"/>
          <w:szCs w:val="24"/>
        </w:rPr>
        <w:t>w</w:t>
      </w:r>
      <w:r w:rsidR="00D233D6" w:rsidRPr="00D97714">
        <w:rPr>
          <w:rFonts w:ascii="Times New Roman" w:hAnsi="Times New Roman" w:cs="Times New Roman"/>
          <w:sz w:val="24"/>
          <w:szCs w:val="24"/>
        </w:rPr>
        <w:t xml:space="preserve">here </w:t>
      </w:r>
      <m:oMath>
        <m:r>
          <w:rPr>
            <w:rFonts w:ascii="Cambria Math" w:hAnsi="Cambria Math" w:cs="Times New Roman"/>
            <w:sz w:val="24"/>
            <w:szCs w:val="24"/>
          </w:rPr>
          <m:t>CAR</m:t>
        </m:r>
      </m:oMath>
      <w:r w:rsidR="00D233D6" w:rsidRPr="00D97714">
        <w:rPr>
          <w:rFonts w:ascii="Times New Roman" w:hAnsi="Times New Roman" w:cs="Times New Roman"/>
          <w:sz w:val="24"/>
          <w:szCs w:val="24"/>
        </w:rPr>
        <w:t xml:space="preserve"> is the (-5,+5) </w:t>
      </w:r>
      <m:oMath>
        <m:r>
          <w:rPr>
            <w:rFonts w:ascii="Cambria Math" w:hAnsi="Cambria Math" w:cs="Times New Roman"/>
            <w:sz w:val="24"/>
            <w:szCs w:val="24"/>
          </w:rPr>
          <m:t>CAR</m:t>
        </m:r>
      </m:oMath>
      <w:r w:rsidR="00D233D6" w:rsidRPr="00D97714">
        <w:rPr>
          <w:rFonts w:ascii="Times New Roman" w:hAnsi="Times New Roman" w:cs="Times New Roman"/>
          <w:sz w:val="24"/>
          <w:szCs w:val="24"/>
        </w:rPr>
        <w:t xml:space="preserve"> of the matching portfolio of </w:t>
      </w:r>
      <w:r w:rsidR="00903E10" w:rsidRPr="00D97714">
        <w:rPr>
          <w:rFonts w:ascii="Times New Roman" w:hAnsi="Times New Roman" w:cs="Times New Roman"/>
          <w:sz w:val="24"/>
          <w:szCs w:val="24"/>
        </w:rPr>
        <w:t>non-targeted</w:t>
      </w:r>
      <w:r w:rsidR="00D233D6" w:rsidRPr="00D97714">
        <w:rPr>
          <w:rFonts w:ascii="Times New Roman" w:hAnsi="Times New Roman" w:cs="Times New Roman"/>
          <w:sz w:val="24"/>
          <w:szCs w:val="24"/>
        </w:rPr>
        <w:t xml:space="preserve"> firms; </w:t>
      </w:r>
      <m:oMath>
        <m:r>
          <w:rPr>
            <w:rFonts w:ascii="Cambria Math" w:hAnsi="Cambria Math" w:cs="Times New Roman"/>
            <w:sz w:val="24"/>
            <w:szCs w:val="24"/>
          </w:rPr>
          <m:t>WIN</m:t>
        </m:r>
      </m:oMath>
      <w:r w:rsidR="00D233D6" w:rsidRPr="00D97714">
        <w:rPr>
          <w:rFonts w:ascii="Times New Roman" w:eastAsiaTheme="minorEastAsia" w:hAnsi="Times New Roman" w:cs="Times New Roman"/>
          <w:sz w:val="24"/>
          <w:szCs w:val="24"/>
        </w:rPr>
        <w:t xml:space="preserve"> is a dummy variable </w:t>
      </w:r>
      <w:r w:rsidR="00F708AE" w:rsidRPr="00D97714">
        <w:rPr>
          <w:rFonts w:ascii="Times New Roman" w:eastAsiaTheme="minorEastAsia" w:hAnsi="Times New Roman" w:cs="Times New Roman"/>
          <w:sz w:val="24"/>
          <w:szCs w:val="24"/>
        </w:rPr>
        <w:t>that takes a value of 1 for shareholder activist campaigns that are successful and 0 otherwise</w:t>
      </w:r>
      <w:r w:rsidR="00D233D6" w:rsidRPr="00D9771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CHANGE</m:t>
        </m:r>
      </m:oMath>
      <w:r w:rsidR="00D233D6" w:rsidRPr="00D97714">
        <w:rPr>
          <w:rFonts w:ascii="Times New Roman" w:eastAsiaTheme="minorEastAsia" w:hAnsi="Times New Roman" w:cs="Times New Roman"/>
          <w:sz w:val="24"/>
          <w:szCs w:val="24"/>
        </w:rPr>
        <w:t xml:space="preserve"> is a dummy variable </w:t>
      </w:r>
      <w:r w:rsidR="00F708AE" w:rsidRPr="00D97714">
        <w:rPr>
          <w:rFonts w:ascii="Times New Roman" w:eastAsiaTheme="minorEastAsia" w:hAnsi="Times New Roman" w:cs="Times New Roman"/>
          <w:sz w:val="24"/>
          <w:szCs w:val="24"/>
        </w:rPr>
        <w:t>that takes a value of 1 to represent cases where</w:t>
      </w:r>
      <w:r w:rsidR="00D233D6" w:rsidRPr="00D97714">
        <w:rPr>
          <w:rFonts w:ascii="Times New Roman" w:eastAsiaTheme="minorEastAsia" w:hAnsi="Times New Roman" w:cs="Times New Roman"/>
          <w:sz w:val="24"/>
          <w:szCs w:val="24"/>
        </w:rPr>
        <w:t xml:space="preserve"> the activists </w:t>
      </w:r>
      <w:r w:rsidR="00F708AE" w:rsidRPr="00D97714">
        <w:rPr>
          <w:rFonts w:ascii="Times New Roman" w:eastAsiaTheme="minorEastAsia" w:hAnsi="Times New Roman" w:cs="Times New Roman"/>
          <w:sz w:val="24"/>
          <w:szCs w:val="24"/>
        </w:rPr>
        <w:t xml:space="preserve">either </w:t>
      </w:r>
      <w:r w:rsidR="00D233D6" w:rsidRPr="00D97714">
        <w:rPr>
          <w:rFonts w:ascii="Times New Roman" w:eastAsiaTheme="minorEastAsia" w:hAnsi="Times New Roman" w:cs="Times New Roman"/>
          <w:sz w:val="24"/>
          <w:szCs w:val="24"/>
        </w:rPr>
        <w:t xml:space="preserve">demand control of the board or </w:t>
      </w:r>
      <w:r w:rsidR="003A3427" w:rsidRPr="00D97714">
        <w:rPr>
          <w:rFonts w:ascii="Times New Roman" w:eastAsiaTheme="minorEastAsia" w:hAnsi="Times New Roman" w:cs="Times New Roman"/>
          <w:sz w:val="24"/>
          <w:szCs w:val="24"/>
        </w:rPr>
        <w:t xml:space="preserve">ask for a </w:t>
      </w:r>
      <w:r w:rsidR="00D233D6" w:rsidRPr="00D97714">
        <w:rPr>
          <w:rFonts w:ascii="Times New Roman" w:eastAsiaTheme="minorEastAsia" w:hAnsi="Times New Roman" w:cs="Times New Roman"/>
          <w:sz w:val="24"/>
          <w:szCs w:val="24"/>
        </w:rPr>
        <w:t>board representation</w:t>
      </w:r>
      <w:r w:rsidR="00F708AE" w:rsidRPr="00D97714">
        <w:rPr>
          <w:rFonts w:ascii="Times New Roman" w:eastAsiaTheme="minorEastAsia" w:hAnsi="Times New Roman" w:cs="Times New Roman"/>
          <w:sz w:val="24"/>
          <w:szCs w:val="24"/>
        </w:rPr>
        <w:t>, else it takes a value of 0</w:t>
      </w:r>
      <w:r w:rsidR="00D233D6" w:rsidRPr="00D97714">
        <w:rPr>
          <w:rFonts w:ascii="Times New Roman" w:eastAsiaTheme="minorEastAsia" w:hAnsi="Times New Roman" w:cs="Times New Roman"/>
          <w:sz w:val="24"/>
          <w:szCs w:val="24"/>
        </w:rPr>
        <w:t>;</w:t>
      </w:r>
      <w:r w:rsidR="009F5A5F" w:rsidRPr="00D9771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MKCAP</m:t>
        </m:r>
      </m:oMath>
      <w:r w:rsidR="009F5A5F" w:rsidRPr="00D97714">
        <w:rPr>
          <w:rFonts w:ascii="Times New Roman" w:eastAsiaTheme="minorEastAsia" w:hAnsi="Times New Roman" w:cs="Times New Roman"/>
          <w:sz w:val="24"/>
          <w:szCs w:val="24"/>
        </w:rPr>
        <w:t xml:space="preserve"> is the median market cap of the </w:t>
      </w:r>
      <w:r w:rsidR="00903E10" w:rsidRPr="00D97714">
        <w:rPr>
          <w:rFonts w:ascii="Times New Roman" w:eastAsiaTheme="minorEastAsia" w:hAnsi="Times New Roman" w:cs="Times New Roman"/>
          <w:sz w:val="24"/>
          <w:szCs w:val="24"/>
        </w:rPr>
        <w:t>non-targeted</w:t>
      </w:r>
      <w:r w:rsidR="009F5A5F" w:rsidRPr="00D97714">
        <w:rPr>
          <w:rFonts w:ascii="Times New Roman" w:eastAsiaTheme="minorEastAsia" w:hAnsi="Times New Roman" w:cs="Times New Roman"/>
          <w:sz w:val="24"/>
          <w:szCs w:val="24"/>
        </w:rPr>
        <w:t xml:space="preserve"> firms that comprise the portfolio; </w:t>
      </w:r>
      <m:oMath>
        <m:r>
          <w:rPr>
            <w:rFonts w:ascii="Cambria Math" w:eastAsiaTheme="minorEastAsia" w:hAnsi="Cambria Math" w:cs="Times New Roman"/>
            <w:sz w:val="24"/>
            <w:szCs w:val="24"/>
          </w:rPr>
          <m:t>IOPr</m:t>
        </m:r>
      </m:oMath>
      <w:r w:rsidR="009F5A5F" w:rsidRPr="00D97714">
        <w:rPr>
          <w:rFonts w:ascii="Times New Roman" w:eastAsiaTheme="minorEastAsia" w:hAnsi="Times New Roman" w:cs="Times New Roman"/>
          <w:sz w:val="24"/>
          <w:szCs w:val="24"/>
        </w:rPr>
        <w:t xml:space="preserve"> represents the mean proportion of </w:t>
      </w:r>
      <w:r w:rsidRPr="00D97714">
        <w:rPr>
          <w:rFonts w:ascii="Times New Roman" w:eastAsiaTheme="minorEastAsia" w:hAnsi="Times New Roman" w:cs="Times New Roman"/>
          <w:sz w:val="24"/>
          <w:szCs w:val="24"/>
        </w:rPr>
        <w:t xml:space="preserve">the </w:t>
      </w:r>
      <w:r w:rsidR="009F5A5F" w:rsidRPr="00D97714">
        <w:rPr>
          <w:rFonts w:ascii="Times New Roman" w:eastAsiaTheme="minorEastAsia" w:hAnsi="Times New Roman" w:cs="Times New Roman"/>
          <w:sz w:val="24"/>
          <w:szCs w:val="24"/>
        </w:rPr>
        <w:t xml:space="preserve">shares held by </w:t>
      </w:r>
      <w:r w:rsidRPr="00D97714">
        <w:rPr>
          <w:rFonts w:ascii="Times New Roman" w:eastAsiaTheme="minorEastAsia" w:hAnsi="Times New Roman" w:cs="Times New Roman"/>
          <w:sz w:val="24"/>
          <w:szCs w:val="24"/>
        </w:rPr>
        <w:t xml:space="preserve">the </w:t>
      </w:r>
      <w:r w:rsidR="009F5A5F" w:rsidRPr="00D97714">
        <w:rPr>
          <w:rFonts w:ascii="Times New Roman" w:eastAsiaTheme="minorEastAsia" w:hAnsi="Times New Roman" w:cs="Times New Roman"/>
          <w:sz w:val="24"/>
          <w:szCs w:val="24"/>
        </w:rPr>
        <w:t xml:space="preserve">institutional investors in the </w:t>
      </w:r>
      <w:r w:rsidR="00903E10" w:rsidRPr="00D97714">
        <w:rPr>
          <w:rFonts w:ascii="Times New Roman" w:eastAsiaTheme="minorEastAsia" w:hAnsi="Times New Roman" w:cs="Times New Roman"/>
          <w:sz w:val="24"/>
          <w:szCs w:val="24"/>
        </w:rPr>
        <w:t>non-targeted</w:t>
      </w:r>
      <w:r w:rsidR="009F5A5F" w:rsidRPr="00D97714">
        <w:rPr>
          <w:rFonts w:ascii="Times New Roman" w:eastAsiaTheme="minorEastAsia" w:hAnsi="Times New Roman" w:cs="Times New Roman"/>
          <w:sz w:val="24"/>
          <w:szCs w:val="24"/>
        </w:rPr>
        <w:t xml:space="preserve"> firms comprising the matching portfolio; </w:t>
      </w:r>
      <m:oMath>
        <m:r>
          <w:rPr>
            <w:rFonts w:ascii="Cambria Math" w:eastAsiaTheme="minorEastAsia" w:hAnsi="Cambria Math" w:cs="Times New Roman"/>
            <w:sz w:val="24"/>
            <w:szCs w:val="24"/>
          </w:rPr>
          <m:t>IOV</m:t>
        </m:r>
      </m:oMath>
      <w:r w:rsidR="009F5A5F" w:rsidRPr="00D97714">
        <w:rPr>
          <w:rFonts w:ascii="Times New Roman" w:eastAsiaTheme="minorEastAsia" w:hAnsi="Times New Roman" w:cs="Times New Roman"/>
          <w:sz w:val="24"/>
          <w:szCs w:val="24"/>
        </w:rPr>
        <w:t xml:space="preserve"> represents the standard deviation of the institutional shareholding proportions</w:t>
      </w:r>
      <w:r w:rsidRPr="00D97714">
        <w:rPr>
          <w:rFonts w:ascii="Times New Roman" w:eastAsiaTheme="minorEastAsia" w:hAnsi="Times New Roman" w:cs="Times New Roman"/>
          <w:sz w:val="24"/>
          <w:szCs w:val="24"/>
        </w:rPr>
        <w:t xml:space="preserve"> of the </w:t>
      </w:r>
      <w:r w:rsidR="00903E10" w:rsidRPr="00D97714">
        <w:rPr>
          <w:rFonts w:ascii="Times New Roman" w:eastAsiaTheme="minorEastAsia" w:hAnsi="Times New Roman" w:cs="Times New Roman"/>
          <w:sz w:val="24"/>
          <w:szCs w:val="24"/>
        </w:rPr>
        <w:t>non-targeted</w:t>
      </w:r>
      <w:r w:rsidRPr="00D97714">
        <w:rPr>
          <w:rFonts w:ascii="Times New Roman" w:eastAsiaTheme="minorEastAsia" w:hAnsi="Times New Roman" w:cs="Times New Roman"/>
          <w:sz w:val="24"/>
          <w:szCs w:val="24"/>
        </w:rPr>
        <w:t xml:space="preserve"> firms comprising the matching portfolio</w:t>
      </w:r>
      <w:r w:rsidR="009F5A5F" w:rsidRPr="00D97714">
        <w:rPr>
          <w:rFonts w:ascii="Times New Roman" w:eastAsiaTheme="minorEastAsia" w:hAnsi="Times New Roman" w:cs="Times New Roman"/>
          <w:sz w:val="24"/>
          <w:szCs w:val="24"/>
        </w:rPr>
        <w:t>;</w:t>
      </w:r>
      <w:r w:rsidRPr="00D9771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ROA</m:t>
        </m:r>
      </m:oMath>
      <w:r w:rsidRPr="00D9771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DEBT</m:t>
        </m:r>
      </m:oMath>
      <w:r w:rsidRPr="00D97714">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MKBK</m:t>
        </m:r>
      </m:oMath>
      <w:r w:rsidRPr="00D97714">
        <w:rPr>
          <w:rFonts w:ascii="Times New Roman" w:eastAsiaTheme="minorEastAsia" w:hAnsi="Times New Roman" w:cs="Times New Roman"/>
          <w:sz w:val="24"/>
          <w:szCs w:val="24"/>
        </w:rPr>
        <w:t xml:space="preserve"> represent mean industry-adjusted figures of return on assets, the ratio of total debt-to-total assets and the market-to-book ratio of the firms comprising the matching </w:t>
      </w:r>
      <w:r w:rsidR="00903E10" w:rsidRPr="00D97714">
        <w:rPr>
          <w:rFonts w:ascii="Times New Roman" w:eastAsiaTheme="minorEastAsia" w:hAnsi="Times New Roman" w:cs="Times New Roman"/>
          <w:sz w:val="24"/>
          <w:szCs w:val="24"/>
        </w:rPr>
        <w:t>non-targeted</w:t>
      </w:r>
      <w:r w:rsidRPr="00D97714">
        <w:rPr>
          <w:rFonts w:ascii="Times New Roman" w:eastAsiaTheme="minorEastAsia" w:hAnsi="Times New Roman" w:cs="Times New Roman"/>
          <w:sz w:val="24"/>
          <w:szCs w:val="24"/>
        </w:rPr>
        <w:t xml:space="preserve"> portfolio, respectively</w:t>
      </w:r>
      <w:r w:rsidR="003A3427" w:rsidRPr="00D97714">
        <w:rPr>
          <w:rFonts w:ascii="Times New Roman" w:eastAsiaTheme="minorEastAsia" w:hAnsi="Times New Roman" w:cs="Times New Roman"/>
          <w:sz w:val="24"/>
          <w:szCs w:val="24"/>
        </w:rPr>
        <w:t>. The financial variables are</w:t>
      </w:r>
      <w:r w:rsidRPr="00D97714">
        <w:rPr>
          <w:rFonts w:ascii="Times New Roman" w:eastAsiaTheme="minorEastAsia" w:hAnsi="Times New Roman" w:cs="Times New Roman"/>
          <w:sz w:val="24"/>
          <w:szCs w:val="24"/>
        </w:rPr>
        <w:t xml:space="preserve"> measured at the end of the fiscal year preceding the announcement date. </w:t>
      </w:r>
      <w:r w:rsidR="00702229" w:rsidRPr="00D97714">
        <w:rPr>
          <w:rFonts w:ascii="Times New Roman" w:eastAsiaTheme="minorEastAsia" w:hAnsi="Times New Roman" w:cs="Times New Roman"/>
          <w:sz w:val="24"/>
          <w:szCs w:val="24"/>
        </w:rPr>
        <w:t xml:space="preserve">We control for year-fixed effects and calculate robust </w:t>
      </w:r>
      <m:oMath>
        <m:r>
          <w:rPr>
            <w:rFonts w:ascii="Cambria Math" w:eastAsiaTheme="minorEastAsia" w:hAnsi="Cambria Math" w:cs="Times New Roman"/>
            <w:sz w:val="24"/>
            <w:szCs w:val="24"/>
          </w:rPr>
          <m:t>t</m:t>
        </m:r>
      </m:oMath>
      <w:r w:rsidR="00702229" w:rsidRPr="00D97714">
        <w:rPr>
          <w:rFonts w:ascii="Times New Roman" w:eastAsiaTheme="minorEastAsia" w:hAnsi="Times New Roman" w:cs="Times New Roman"/>
          <w:sz w:val="24"/>
          <w:szCs w:val="24"/>
        </w:rPr>
        <w:t xml:space="preserve">-statistics to </w:t>
      </w:r>
      <w:r w:rsidR="002F7845" w:rsidRPr="00D97714">
        <w:rPr>
          <w:rFonts w:ascii="Times New Roman" w:eastAsiaTheme="minorEastAsia" w:hAnsi="Times New Roman" w:cs="Times New Roman"/>
          <w:sz w:val="24"/>
          <w:szCs w:val="24"/>
        </w:rPr>
        <w:t>assess</w:t>
      </w:r>
      <w:r w:rsidR="00702229" w:rsidRPr="00D97714">
        <w:rPr>
          <w:rFonts w:ascii="Times New Roman" w:eastAsiaTheme="minorEastAsia" w:hAnsi="Times New Roman" w:cs="Times New Roman"/>
          <w:sz w:val="24"/>
          <w:szCs w:val="24"/>
        </w:rPr>
        <w:t xml:space="preserve"> the significance levels of the coefficients. </w:t>
      </w:r>
    </w:p>
    <w:p w14:paraId="22768159" w14:textId="00CD8530" w:rsidR="0035627D" w:rsidRPr="00D97714" w:rsidRDefault="00A54809" w:rsidP="002F7845">
      <w:pPr>
        <w:spacing w:line="480" w:lineRule="auto"/>
        <w:rPr>
          <w:rFonts w:ascii="Times New Roman" w:hAnsi="Times New Roman" w:cs="Times New Roman"/>
          <w:b/>
          <w:i/>
          <w:sz w:val="24"/>
          <w:szCs w:val="24"/>
        </w:rPr>
      </w:pPr>
      <w:r w:rsidRPr="00D97714">
        <w:rPr>
          <w:rFonts w:ascii="Times New Roman" w:hAnsi="Times New Roman" w:cs="Times New Roman"/>
          <w:b/>
          <w:i/>
          <w:sz w:val="24"/>
          <w:szCs w:val="24"/>
        </w:rPr>
        <w:t>Measures of</w:t>
      </w:r>
      <w:r w:rsidR="00655B9C" w:rsidRPr="00D97714">
        <w:rPr>
          <w:rFonts w:ascii="Times New Roman" w:hAnsi="Times New Roman" w:cs="Times New Roman"/>
          <w:b/>
          <w:i/>
          <w:sz w:val="24"/>
          <w:szCs w:val="24"/>
        </w:rPr>
        <w:t xml:space="preserve"> </w:t>
      </w:r>
      <w:r w:rsidR="00903E10" w:rsidRPr="00D97714">
        <w:rPr>
          <w:rFonts w:ascii="Times New Roman" w:hAnsi="Times New Roman" w:cs="Times New Roman"/>
          <w:b/>
          <w:i/>
          <w:sz w:val="24"/>
          <w:szCs w:val="24"/>
        </w:rPr>
        <w:t>non-targeted</w:t>
      </w:r>
      <w:r w:rsidR="00655B9C" w:rsidRPr="00D97714">
        <w:rPr>
          <w:rFonts w:ascii="Times New Roman" w:hAnsi="Times New Roman" w:cs="Times New Roman"/>
          <w:b/>
          <w:i/>
          <w:sz w:val="24"/>
          <w:szCs w:val="24"/>
        </w:rPr>
        <w:t xml:space="preserve"> firms’ operating performance, </w:t>
      </w:r>
      <w:r w:rsidR="006F2BE7" w:rsidRPr="00D97714">
        <w:rPr>
          <w:rFonts w:ascii="Times New Roman" w:hAnsi="Times New Roman" w:cs="Times New Roman"/>
          <w:b/>
          <w:i/>
          <w:sz w:val="24"/>
          <w:szCs w:val="24"/>
        </w:rPr>
        <w:t>leverage, cash holdings and payout policy</w:t>
      </w:r>
    </w:p>
    <w:p w14:paraId="098C2C3C" w14:textId="369F7911" w:rsidR="00A3094B" w:rsidRPr="00D97714" w:rsidRDefault="00811ACB" w:rsidP="00491E0E">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W</w:t>
      </w:r>
      <w:r w:rsidR="00AD2008" w:rsidRPr="00D97714">
        <w:rPr>
          <w:rFonts w:ascii="Times New Roman" w:hAnsi="Times New Roman" w:cs="Times New Roman"/>
          <w:sz w:val="24"/>
          <w:szCs w:val="24"/>
        </w:rPr>
        <w:t xml:space="preserve">e </w:t>
      </w:r>
      <w:r w:rsidR="0060667B" w:rsidRPr="00D97714">
        <w:rPr>
          <w:rFonts w:ascii="Times New Roman" w:hAnsi="Times New Roman" w:cs="Times New Roman"/>
          <w:sz w:val="24"/>
          <w:szCs w:val="24"/>
        </w:rPr>
        <w:t>compare and contrast</w:t>
      </w:r>
      <w:r w:rsidR="00AD2008" w:rsidRPr="00D97714">
        <w:rPr>
          <w:rFonts w:ascii="Times New Roman" w:hAnsi="Times New Roman" w:cs="Times New Roman"/>
          <w:sz w:val="24"/>
          <w:szCs w:val="24"/>
        </w:rPr>
        <w:t xml:space="preserve"> the</w:t>
      </w:r>
      <w:r w:rsidRPr="00D97714">
        <w:rPr>
          <w:rFonts w:ascii="Times New Roman" w:hAnsi="Times New Roman" w:cs="Times New Roman"/>
          <w:sz w:val="24"/>
          <w:szCs w:val="24"/>
        </w:rPr>
        <w:t xml:space="preserve"> changes in the</w:t>
      </w:r>
      <w:r w:rsidR="00AD2008" w:rsidRPr="00D97714">
        <w:rPr>
          <w:rFonts w:ascii="Times New Roman" w:hAnsi="Times New Roman" w:cs="Times New Roman"/>
          <w:sz w:val="24"/>
          <w:szCs w:val="24"/>
        </w:rPr>
        <w:t xml:space="preserve"> industry-adjusted operating performance (</w:t>
      </w:r>
      <w:r w:rsidR="005767EC" w:rsidRPr="00D97714">
        <w:rPr>
          <w:rFonts w:ascii="Times New Roman" w:hAnsi="Times New Roman" w:cs="Times New Roman"/>
          <w:sz w:val="24"/>
          <w:szCs w:val="24"/>
        </w:rPr>
        <w:t xml:space="preserve">i.e., </w:t>
      </w:r>
      <w:r w:rsidR="00AD2008" w:rsidRPr="00D97714">
        <w:rPr>
          <w:rFonts w:ascii="Times New Roman" w:hAnsi="Times New Roman" w:cs="Times New Roman"/>
          <w:sz w:val="24"/>
          <w:szCs w:val="24"/>
        </w:rPr>
        <w:t xml:space="preserve">ROA and </w:t>
      </w:r>
      <w:r w:rsidR="005767EC" w:rsidRPr="00D97714">
        <w:rPr>
          <w:rFonts w:ascii="Times New Roman" w:hAnsi="Times New Roman" w:cs="Times New Roman"/>
          <w:sz w:val="24"/>
          <w:szCs w:val="24"/>
        </w:rPr>
        <w:t xml:space="preserve">the ratio of </w:t>
      </w:r>
      <w:r w:rsidR="00AD2008" w:rsidRPr="00D97714">
        <w:rPr>
          <w:rFonts w:ascii="Times New Roman" w:hAnsi="Times New Roman" w:cs="Times New Roman"/>
          <w:sz w:val="24"/>
          <w:szCs w:val="24"/>
        </w:rPr>
        <w:t>EBIT-to-</w:t>
      </w:r>
      <w:r w:rsidR="005767EC" w:rsidRPr="00D97714">
        <w:rPr>
          <w:rFonts w:ascii="Times New Roman" w:hAnsi="Times New Roman" w:cs="Times New Roman"/>
          <w:sz w:val="24"/>
          <w:szCs w:val="24"/>
        </w:rPr>
        <w:t>Total Assets</w:t>
      </w:r>
      <w:r w:rsidR="002B5339" w:rsidRPr="00D97714">
        <w:rPr>
          <w:rFonts w:ascii="Times New Roman" w:hAnsi="Times New Roman" w:cs="Times New Roman"/>
          <w:sz w:val="24"/>
          <w:szCs w:val="24"/>
        </w:rPr>
        <w:t xml:space="preserve"> (EBIT/TA)</w:t>
      </w:r>
      <w:r w:rsidR="00AD2008" w:rsidRPr="00D97714">
        <w:rPr>
          <w:rFonts w:ascii="Times New Roman" w:hAnsi="Times New Roman" w:cs="Times New Roman"/>
          <w:sz w:val="24"/>
          <w:szCs w:val="24"/>
        </w:rPr>
        <w:t xml:space="preserve">), </w:t>
      </w:r>
      <w:r w:rsidR="005767EC" w:rsidRPr="00D97714">
        <w:rPr>
          <w:rFonts w:ascii="Times New Roman" w:hAnsi="Times New Roman" w:cs="Times New Roman"/>
          <w:sz w:val="24"/>
          <w:szCs w:val="24"/>
        </w:rPr>
        <w:t xml:space="preserve">Market-to-Book </w:t>
      </w:r>
      <w:r w:rsidR="00AD2008" w:rsidRPr="00D97714">
        <w:rPr>
          <w:rFonts w:ascii="Times New Roman" w:hAnsi="Times New Roman" w:cs="Times New Roman"/>
          <w:sz w:val="24"/>
          <w:szCs w:val="24"/>
        </w:rPr>
        <w:t xml:space="preserve">ratio, </w:t>
      </w:r>
      <w:r w:rsidR="005767EC" w:rsidRPr="00D97714">
        <w:rPr>
          <w:rFonts w:ascii="Times New Roman" w:hAnsi="Times New Roman" w:cs="Times New Roman"/>
          <w:sz w:val="24"/>
          <w:szCs w:val="24"/>
        </w:rPr>
        <w:t>Capital Expenditure-to-Total Assets</w:t>
      </w:r>
      <w:r w:rsidR="00AD2008" w:rsidRPr="00D97714">
        <w:rPr>
          <w:rFonts w:ascii="Times New Roman" w:hAnsi="Times New Roman" w:cs="Times New Roman"/>
          <w:sz w:val="24"/>
          <w:szCs w:val="24"/>
        </w:rPr>
        <w:t xml:space="preserve">, </w:t>
      </w:r>
      <w:r w:rsidR="005767EC" w:rsidRPr="00D97714">
        <w:rPr>
          <w:rFonts w:ascii="Times New Roman" w:hAnsi="Times New Roman" w:cs="Times New Roman"/>
          <w:sz w:val="24"/>
          <w:szCs w:val="24"/>
        </w:rPr>
        <w:t>Operating Expenses-to-Total Assets</w:t>
      </w:r>
      <w:r w:rsidR="00AD2008" w:rsidRPr="00D97714">
        <w:rPr>
          <w:rFonts w:ascii="Times New Roman" w:hAnsi="Times New Roman" w:cs="Times New Roman"/>
          <w:sz w:val="24"/>
          <w:szCs w:val="24"/>
        </w:rPr>
        <w:t xml:space="preserve">, </w:t>
      </w:r>
      <w:r w:rsidR="005767EC" w:rsidRPr="00D97714">
        <w:rPr>
          <w:rFonts w:ascii="Times New Roman" w:hAnsi="Times New Roman" w:cs="Times New Roman"/>
          <w:sz w:val="24"/>
          <w:szCs w:val="24"/>
        </w:rPr>
        <w:t>liquidity</w:t>
      </w:r>
      <w:r w:rsidR="00AD2008" w:rsidRPr="00D97714">
        <w:rPr>
          <w:rFonts w:ascii="Times New Roman" w:hAnsi="Times New Roman" w:cs="Times New Roman"/>
          <w:sz w:val="24"/>
          <w:szCs w:val="24"/>
        </w:rPr>
        <w:t xml:space="preserve"> ratio</w:t>
      </w:r>
      <w:r w:rsidR="005767EC" w:rsidRPr="00D97714">
        <w:rPr>
          <w:rFonts w:ascii="Times New Roman" w:hAnsi="Times New Roman" w:cs="Times New Roman"/>
          <w:sz w:val="24"/>
          <w:szCs w:val="24"/>
        </w:rPr>
        <w:t xml:space="preserve"> (i.e., the ratio of total cash and bank balances-to-Total Assets),</w:t>
      </w:r>
      <w:r w:rsidR="00AD2008" w:rsidRPr="00D97714">
        <w:rPr>
          <w:rFonts w:ascii="Times New Roman" w:hAnsi="Times New Roman" w:cs="Times New Roman"/>
          <w:sz w:val="24"/>
          <w:szCs w:val="24"/>
        </w:rPr>
        <w:t xml:space="preserve"> </w:t>
      </w:r>
      <w:r w:rsidR="005767EC" w:rsidRPr="00D97714">
        <w:rPr>
          <w:rFonts w:ascii="Times New Roman" w:hAnsi="Times New Roman" w:cs="Times New Roman"/>
          <w:sz w:val="24"/>
          <w:szCs w:val="24"/>
        </w:rPr>
        <w:t xml:space="preserve">Total Debt-to-Total Assets </w:t>
      </w:r>
      <w:r w:rsidR="00AD2008" w:rsidRPr="00D97714">
        <w:rPr>
          <w:rFonts w:ascii="Times New Roman" w:hAnsi="Times New Roman" w:cs="Times New Roman"/>
          <w:sz w:val="24"/>
          <w:szCs w:val="24"/>
        </w:rPr>
        <w:t xml:space="preserve">ratio and </w:t>
      </w:r>
      <w:r w:rsidR="005767EC" w:rsidRPr="00D97714">
        <w:rPr>
          <w:rFonts w:ascii="Times New Roman" w:hAnsi="Times New Roman" w:cs="Times New Roman"/>
          <w:sz w:val="24"/>
          <w:szCs w:val="24"/>
        </w:rPr>
        <w:t xml:space="preserve">the </w:t>
      </w:r>
      <w:r w:rsidR="00AD2008" w:rsidRPr="00D97714">
        <w:rPr>
          <w:rFonts w:ascii="Times New Roman" w:hAnsi="Times New Roman" w:cs="Times New Roman"/>
          <w:sz w:val="24"/>
          <w:szCs w:val="24"/>
        </w:rPr>
        <w:t xml:space="preserve">dividend per share of the portfolio of matching </w:t>
      </w:r>
      <w:r w:rsidRPr="00D97714">
        <w:rPr>
          <w:rFonts w:ascii="Times New Roman" w:hAnsi="Times New Roman" w:cs="Times New Roman"/>
          <w:sz w:val="24"/>
          <w:szCs w:val="24"/>
        </w:rPr>
        <w:t xml:space="preserve">non-targeted </w:t>
      </w:r>
      <w:r w:rsidR="00AD2008" w:rsidRPr="00D97714">
        <w:rPr>
          <w:rFonts w:ascii="Times New Roman" w:hAnsi="Times New Roman" w:cs="Times New Roman"/>
          <w:sz w:val="24"/>
          <w:szCs w:val="24"/>
        </w:rPr>
        <w:t xml:space="preserve">firms </w:t>
      </w:r>
      <w:r w:rsidR="005767EC" w:rsidRPr="00D97714">
        <w:rPr>
          <w:rFonts w:ascii="Times New Roman" w:hAnsi="Times New Roman" w:cs="Times New Roman"/>
          <w:sz w:val="24"/>
          <w:szCs w:val="24"/>
        </w:rPr>
        <w:t xml:space="preserve">from </w:t>
      </w:r>
      <w:r w:rsidR="0092095B" w:rsidRPr="00D97714">
        <w:rPr>
          <w:rFonts w:ascii="Times New Roman" w:hAnsi="Times New Roman" w:cs="Times New Roman"/>
          <w:sz w:val="24"/>
          <w:szCs w:val="24"/>
        </w:rPr>
        <w:t>the</w:t>
      </w:r>
      <w:r w:rsidR="005767EC" w:rsidRPr="00D97714">
        <w:rPr>
          <w:rFonts w:ascii="Times New Roman" w:hAnsi="Times New Roman" w:cs="Times New Roman"/>
          <w:sz w:val="24"/>
          <w:szCs w:val="24"/>
        </w:rPr>
        <w:t xml:space="preserve"> years prior to </w:t>
      </w:r>
      <w:r w:rsidR="0092095B" w:rsidRPr="00D97714">
        <w:rPr>
          <w:rFonts w:ascii="Times New Roman" w:hAnsi="Times New Roman" w:cs="Times New Roman"/>
          <w:sz w:val="24"/>
          <w:szCs w:val="24"/>
        </w:rPr>
        <w:t>the</w:t>
      </w:r>
      <w:r w:rsidR="005767EC" w:rsidRPr="00D97714">
        <w:rPr>
          <w:rFonts w:ascii="Times New Roman" w:hAnsi="Times New Roman" w:cs="Times New Roman"/>
          <w:sz w:val="24"/>
          <w:szCs w:val="24"/>
        </w:rPr>
        <w:t xml:space="preserve"> years following the announcement date.</w:t>
      </w:r>
      <w:r w:rsidR="00D62908" w:rsidRPr="00D97714">
        <w:rPr>
          <w:rFonts w:ascii="Times New Roman" w:hAnsi="Times New Roman" w:cs="Times New Roman"/>
          <w:sz w:val="24"/>
          <w:szCs w:val="24"/>
        </w:rPr>
        <w:t xml:space="preserve"> All measures are industry-adjusted, i.e., for each </w:t>
      </w:r>
      <w:r w:rsidR="00903E10" w:rsidRPr="00D97714">
        <w:rPr>
          <w:rFonts w:ascii="Times New Roman" w:hAnsi="Times New Roman" w:cs="Times New Roman"/>
          <w:sz w:val="24"/>
          <w:szCs w:val="24"/>
        </w:rPr>
        <w:t>non-targeted</w:t>
      </w:r>
      <w:r w:rsidR="00D62908" w:rsidRPr="00D97714">
        <w:rPr>
          <w:rFonts w:ascii="Times New Roman" w:hAnsi="Times New Roman" w:cs="Times New Roman"/>
          <w:sz w:val="24"/>
          <w:szCs w:val="24"/>
        </w:rPr>
        <w:t xml:space="preserve"> matching firm, we subtract the median industry (</w:t>
      </w:r>
      <w:r w:rsidR="00F67E7C" w:rsidRPr="00D97714">
        <w:rPr>
          <w:rFonts w:ascii="Times New Roman" w:hAnsi="Times New Roman" w:cs="Times New Roman"/>
          <w:sz w:val="24"/>
          <w:szCs w:val="24"/>
        </w:rPr>
        <w:t>based on</w:t>
      </w:r>
      <w:r w:rsidR="00D62908" w:rsidRPr="00D97714">
        <w:rPr>
          <w:rFonts w:ascii="Times New Roman" w:hAnsi="Times New Roman" w:cs="Times New Roman"/>
          <w:sz w:val="24"/>
          <w:szCs w:val="24"/>
        </w:rPr>
        <w:t xml:space="preserve"> the same four-digit SIC code) ratio and then we take the average of the adjusted ratios of all the firms in the portfolio.</w:t>
      </w:r>
    </w:p>
    <w:p w14:paraId="28D99BF8" w14:textId="510D4336" w:rsidR="0038741A" w:rsidRPr="00D97714" w:rsidRDefault="00A54809" w:rsidP="00D62908">
      <w:pPr>
        <w:spacing w:line="480" w:lineRule="auto"/>
        <w:rPr>
          <w:rFonts w:ascii="Times New Roman" w:hAnsi="Times New Roman" w:cs="Times New Roman"/>
          <w:b/>
          <w:i/>
          <w:sz w:val="24"/>
          <w:szCs w:val="24"/>
        </w:rPr>
      </w:pPr>
      <w:r w:rsidRPr="00D97714">
        <w:rPr>
          <w:rFonts w:ascii="Times New Roman" w:hAnsi="Times New Roman" w:cs="Times New Roman"/>
          <w:b/>
          <w:i/>
          <w:sz w:val="24"/>
          <w:szCs w:val="24"/>
        </w:rPr>
        <w:t>Measures of</w:t>
      </w:r>
      <w:r w:rsidR="006F2BE7" w:rsidRPr="00D97714">
        <w:rPr>
          <w:rFonts w:ascii="Times New Roman" w:hAnsi="Times New Roman" w:cs="Times New Roman"/>
          <w:b/>
          <w:i/>
          <w:sz w:val="24"/>
          <w:szCs w:val="24"/>
        </w:rPr>
        <w:t xml:space="preserve"> </w:t>
      </w:r>
      <w:r w:rsidR="00903E10" w:rsidRPr="00D97714">
        <w:rPr>
          <w:rFonts w:ascii="Times New Roman" w:hAnsi="Times New Roman" w:cs="Times New Roman"/>
          <w:b/>
          <w:i/>
          <w:sz w:val="24"/>
          <w:szCs w:val="24"/>
        </w:rPr>
        <w:t>non-targeted</w:t>
      </w:r>
      <w:r w:rsidR="006F2BE7" w:rsidRPr="00D97714">
        <w:rPr>
          <w:rFonts w:ascii="Times New Roman" w:hAnsi="Times New Roman" w:cs="Times New Roman"/>
          <w:b/>
          <w:i/>
          <w:sz w:val="24"/>
          <w:szCs w:val="24"/>
        </w:rPr>
        <w:t xml:space="preserve"> firms’ risk</w:t>
      </w:r>
    </w:p>
    <w:p w14:paraId="40BBE8F1" w14:textId="50F886BA" w:rsidR="00245B4E" w:rsidRPr="00D97714" w:rsidRDefault="008E0047" w:rsidP="00811ACB">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We compare and contrast</w:t>
      </w:r>
      <w:r w:rsidR="0038741A" w:rsidRPr="00D97714">
        <w:rPr>
          <w:rFonts w:ascii="Times New Roman" w:hAnsi="Times New Roman" w:cs="Times New Roman"/>
          <w:sz w:val="24"/>
          <w:szCs w:val="24"/>
        </w:rPr>
        <w:t xml:space="preserve"> the total risk</w:t>
      </w:r>
      <w:r w:rsidR="002F4339" w:rsidRPr="00D97714">
        <w:rPr>
          <w:rFonts w:ascii="Times New Roman" w:hAnsi="Times New Roman" w:cs="Times New Roman"/>
          <w:sz w:val="24"/>
          <w:szCs w:val="24"/>
        </w:rPr>
        <w:t xml:space="preserve">, systematic risk and </w:t>
      </w:r>
      <w:r w:rsidR="0038741A" w:rsidRPr="00D97714">
        <w:rPr>
          <w:rFonts w:ascii="Times New Roman" w:hAnsi="Times New Roman" w:cs="Times New Roman"/>
          <w:sz w:val="24"/>
          <w:szCs w:val="24"/>
        </w:rPr>
        <w:t xml:space="preserve">idiosyncratic risk of </w:t>
      </w:r>
      <w:r w:rsidRPr="00D97714">
        <w:rPr>
          <w:rFonts w:ascii="Times New Roman" w:hAnsi="Times New Roman" w:cs="Times New Roman"/>
          <w:sz w:val="24"/>
          <w:szCs w:val="24"/>
        </w:rPr>
        <w:t xml:space="preserve">the </w:t>
      </w:r>
      <w:r w:rsidR="00903E10" w:rsidRPr="00D97714">
        <w:rPr>
          <w:rFonts w:ascii="Times New Roman" w:hAnsi="Times New Roman" w:cs="Times New Roman"/>
          <w:sz w:val="24"/>
          <w:szCs w:val="24"/>
        </w:rPr>
        <w:t>non-targeted</w:t>
      </w:r>
      <w:r w:rsidRPr="00D97714">
        <w:rPr>
          <w:rFonts w:ascii="Times New Roman" w:hAnsi="Times New Roman" w:cs="Times New Roman"/>
          <w:sz w:val="24"/>
          <w:szCs w:val="24"/>
        </w:rPr>
        <w:t xml:space="preserve"> matching firm</w:t>
      </w:r>
      <w:r w:rsidR="00811ACB" w:rsidRPr="00D97714">
        <w:rPr>
          <w:rFonts w:ascii="Times New Roman" w:hAnsi="Times New Roman" w:cs="Times New Roman"/>
          <w:sz w:val="24"/>
          <w:szCs w:val="24"/>
        </w:rPr>
        <w:t xml:space="preserve"> portfolios</w:t>
      </w:r>
      <w:r w:rsidRPr="00D97714">
        <w:rPr>
          <w:rFonts w:ascii="Times New Roman" w:hAnsi="Times New Roman" w:cs="Times New Roman"/>
          <w:sz w:val="24"/>
          <w:szCs w:val="24"/>
        </w:rPr>
        <w:t xml:space="preserve"> </w:t>
      </w:r>
      <w:r w:rsidR="00890659" w:rsidRPr="00D97714">
        <w:rPr>
          <w:rFonts w:ascii="Times New Roman" w:hAnsi="Times New Roman" w:cs="Times New Roman"/>
          <w:sz w:val="24"/>
          <w:szCs w:val="24"/>
        </w:rPr>
        <w:t>from</w:t>
      </w:r>
      <w:r w:rsidR="0038741A" w:rsidRPr="00D97714">
        <w:rPr>
          <w:rFonts w:ascii="Times New Roman" w:hAnsi="Times New Roman" w:cs="Times New Roman"/>
          <w:sz w:val="24"/>
          <w:szCs w:val="24"/>
        </w:rPr>
        <w:t xml:space="preserve"> the year before </w:t>
      </w:r>
      <w:r w:rsidR="00890659" w:rsidRPr="00D97714">
        <w:rPr>
          <w:rFonts w:ascii="Times New Roman" w:hAnsi="Times New Roman" w:cs="Times New Roman"/>
          <w:sz w:val="24"/>
          <w:szCs w:val="24"/>
        </w:rPr>
        <w:t>(i.e., (-252, -31) in days) to</w:t>
      </w:r>
      <w:r w:rsidR="0038741A" w:rsidRPr="00D97714">
        <w:rPr>
          <w:rFonts w:ascii="Times New Roman" w:hAnsi="Times New Roman" w:cs="Times New Roman"/>
          <w:sz w:val="24"/>
          <w:szCs w:val="24"/>
        </w:rPr>
        <w:t xml:space="preserve"> the year after </w:t>
      </w:r>
      <w:r w:rsidR="00890659" w:rsidRPr="00D97714">
        <w:rPr>
          <w:rFonts w:ascii="Times New Roman" w:hAnsi="Times New Roman" w:cs="Times New Roman"/>
          <w:sz w:val="24"/>
          <w:szCs w:val="24"/>
        </w:rPr>
        <w:t>(i.e., (+31, +252)</w:t>
      </w:r>
      <w:r w:rsidR="00826F41" w:rsidRPr="00D97714">
        <w:rPr>
          <w:rFonts w:ascii="Times New Roman" w:hAnsi="Times New Roman" w:cs="Times New Roman"/>
          <w:sz w:val="24"/>
          <w:szCs w:val="24"/>
        </w:rPr>
        <w:t xml:space="preserve"> in days</w:t>
      </w:r>
      <w:r w:rsidR="00890659" w:rsidRPr="00D97714">
        <w:rPr>
          <w:rFonts w:ascii="Times New Roman" w:hAnsi="Times New Roman" w:cs="Times New Roman"/>
          <w:sz w:val="24"/>
          <w:szCs w:val="24"/>
        </w:rPr>
        <w:t xml:space="preserve">) </w:t>
      </w:r>
      <w:r w:rsidR="00826F41" w:rsidRPr="00D97714">
        <w:rPr>
          <w:rFonts w:ascii="Times New Roman" w:hAnsi="Times New Roman" w:cs="Times New Roman"/>
          <w:sz w:val="24"/>
          <w:szCs w:val="24"/>
        </w:rPr>
        <w:t xml:space="preserve">the </w:t>
      </w:r>
      <w:r w:rsidR="00890659" w:rsidRPr="00D97714">
        <w:rPr>
          <w:rFonts w:ascii="Times New Roman" w:hAnsi="Times New Roman" w:cs="Times New Roman"/>
          <w:sz w:val="24"/>
          <w:szCs w:val="24"/>
        </w:rPr>
        <w:t>announcement (i.e., day 0)</w:t>
      </w:r>
      <w:r w:rsidR="0038741A" w:rsidRPr="00D97714">
        <w:rPr>
          <w:rFonts w:ascii="Times New Roman" w:hAnsi="Times New Roman" w:cs="Times New Roman"/>
          <w:sz w:val="24"/>
          <w:szCs w:val="24"/>
        </w:rPr>
        <w:t xml:space="preserve">. </w:t>
      </w:r>
      <w:r w:rsidR="002F4339" w:rsidRPr="00D97714">
        <w:rPr>
          <w:rFonts w:ascii="Times New Roman" w:hAnsi="Times New Roman" w:cs="Times New Roman"/>
          <w:sz w:val="24"/>
          <w:szCs w:val="24"/>
        </w:rPr>
        <w:t xml:space="preserve">Total risk is measured as the standard deviation of the daily returns of matching firms. Idiosyncratic risk and systematic risk are measured as the standard deviations of the residuals and the predicted values from the Fama-French </w:t>
      </w:r>
      <w:r w:rsidR="00826F41" w:rsidRPr="00D97714">
        <w:rPr>
          <w:rFonts w:ascii="Times New Roman" w:hAnsi="Times New Roman" w:cs="Times New Roman"/>
          <w:sz w:val="24"/>
          <w:szCs w:val="24"/>
        </w:rPr>
        <w:t>three</w:t>
      </w:r>
      <w:r w:rsidR="00D97714">
        <w:rPr>
          <w:rFonts w:ascii="Times New Roman" w:hAnsi="Times New Roman" w:cs="Times New Roman"/>
          <w:sz w:val="24"/>
          <w:szCs w:val="24"/>
        </w:rPr>
        <w:t xml:space="preserve">-factor model </w:t>
      </w:r>
      <w:r w:rsidR="002F4339" w:rsidRPr="00D97714">
        <w:rPr>
          <w:rFonts w:ascii="Times New Roman" w:hAnsi="Times New Roman" w:cs="Times New Roman"/>
          <w:sz w:val="24"/>
          <w:szCs w:val="24"/>
        </w:rPr>
        <w:t>Ri = αi + βi Rmt + ɤi SMBt + ɸi HMLt + ɛit</w:t>
      </w:r>
      <w:r w:rsidR="00826F41" w:rsidRPr="00D97714">
        <w:rPr>
          <w:rFonts w:ascii="Times New Roman" w:hAnsi="Times New Roman" w:cs="Times New Roman"/>
          <w:sz w:val="24"/>
          <w:szCs w:val="24"/>
        </w:rPr>
        <w:t xml:space="preserve"> following the same definition of variables from Equation (5)</w:t>
      </w:r>
      <w:r w:rsidR="002F4339" w:rsidRPr="00D97714">
        <w:rPr>
          <w:rFonts w:ascii="Times New Roman" w:hAnsi="Times New Roman" w:cs="Times New Roman"/>
          <w:sz w:val="24"/>
          <w:szCs w:val="24"/>
        </w:rPr>
        <w:t xml:space="preserve">. </w:t>
      </w:r>
    </w:p>
    <w:p w14:paraId="56C744C1" w14:textId="2BBCEC95" w:rsidR="0006068D" w:rsidRPr="00D97714" w:rsidRDefault="00512C4D" w:rsidP="006F0DEC">
      <w:pPr>
        <w:spacing w:line="480" w:lineRule="auto"/>
        <w:rPr>
          <w:rFonts w:ascii="Times New Roman" w:hAnsi="Times New Roman" w:cs="Times New Roman"/>
          <w:b/>
          <w:sz w:val="24"/>
          <w:szCs w:val="24"/>
        </w:rPr>
      </w:pPr>
      <w:r w:rsidRPr="00D97714">
        <w:rPr>
          <w:rFonts w:ascii="Times New Roman" w:hAnsi="Times New Roman" w:cs="Times New Roman"/>
          <w:b/>
          <w:sz w:val="24"/>
          <w:szCs w:val="24"/>
        </w:rPr>
        <w:t xml:space="preserve">V. </w:t>
      </w:r>
      <w:r w:rsidR="006F0DEC" w:rsidRPr="00D97714">
        <w:rPr>
          <w:rFonts w:ascii="Times New Roman" w:hAnsi="Times New Roman" w:cs="Times New Roman"/>
          <w:b/>
          <w:sz w:val="24"/>
          <w:szCs w:val="24"/>
        </w:rPr>
        <w:t>Results</w:t>
      </w:r>
    </w:p>
    <w:p w14:paraId="73D4FDBF" w14:textId="4D177B2D" w:rsidR="002D1100" w:rsidRPr="00D97714" w:rsidRDefault="002D1100" w:rsidP="002D1100">
      <w:pPr>
        <w:spacing w:line="480" w:lineRule="auto"/>
        <w:rPr>
          <w:rFonts w:ascii="Times New Roman" w:hAnsi="Times New Roman" w:cs="Times New Roman"/>
          <w:b/>
          <w:i/>
          <w:sz w:val="24"/>
          <w:szCs w:val="24"/>
        </w:rPr>
      </w:pPr>
      <w:r w:rsidRPr="00D97714">
        <w:rPr>
          <w:rFonts w:ascii="Times New Roman" w:hAnsi="Times New Roman" w:cs="Times New Roman"/>
          <w:b/>
          <w:i/>
          <w:sz w:val="24"/>
          <w:szCs w:val="24"/>
        </w:rPr>
        <w:t>Market Reaction to Activism Announcements</w:t>
      </w:r>
    </w:p>
    <w:p w14:paraId="35A574EF" w14:textId="1F2AE6A1" w:rsidR="0008045A" w:rsidRPr="00D97714" w:rsidRDefault="00F97C26" w:rsidP="00F97C26">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We present our findings on the market reaction to the announcements of shareholder activism in Table 2. In Panel A, we present the </w:t>
      </w:r>
      <m:oMath>
        <m:r>
          <w:rPr>
            <w:rFonts w:ascii="Cambria Math" w:hAnsi="Cambria Math" w:cs="Times New Roman"/>
            <w:sz w:val="24"/>
            <w:szCs w:val="24"/>
          </w:rPr>
          <m:t>CARs</m:t>
        </m:r>
      </m:oMath>
      <w:r w:rsidRPr="00D97714">
        <w:rPr>
          <w:rFonts w:ascii="Times New Roman" w:hAnsi="Times New Roman" w:cs="Times New Roman"/>
          <w:sz w:val="24"/>
          <w:szCs w:val="24"/>
        </w:rPr>
        <w:t xml:space="preserve"> of </w:t>
      </w:r>
      <w:r w:rsidR="002D1100" w:rsidRPr="00D97714">
        <w:rPr>
          <w:rFonts w:ascii="Times New Roman" w:hAnsi="Times New Roman" w:cs="Times New Roman"/>
          <w:sz w:val="24"/>
          <w:szCs w:val="24"/>
        </w:rPr>
        <w:t>the target</w:t>
      </w:r>
      <w:r w:rsidRPr="00D97714">
        <w:rPr>
          <w:rFonts w:ascii="Times New Roman" w:hAnsi="Times New Roman" w:cs="Times New Roman"/>
          <w:sz w:val="24"/>
          <w:szCs w:val="24"/>
        </w:rPr>
        <w:t xml:space="preserve"> firms. </w:t>
      </w:r>
      <w:r w:rsidR="003E5C1C" w:rsidRPr="00D97714">
        <w:rPr>
          <w:rFonts w:ascii="Times New Roman" w:hAnsi="Times New Roman" w:cs="Times New Roman"/>
          <w:sz w:val="24"/>
          <w:szCs w:val="24"/>
        </w:rPr>
        <w:t>T</w:t>
      </w:r>
      <w:r w:rsidRPr="00D97714">
        <w:rPr>
          <w:rFonts w:ascii="Times New Roman" w:hAnsi="Times New Roman" w:cs="Times New Roman"/>
          <w:sz w:val="24"/>
          <w:szCs w:val="24"/>
        </w:rPr>
        <w:t xml:space="preserve">he announcement of an activist action elicits a positive market response. The </w:t>
      </w:r>
      <m:oMath>
        <m:r>
          <w:rPr>
            <w:rFonts w:ascii="Cambria Math" w:hAnsi="Cambria Math" w:cs="Times New Roman"/>
            <w:sz w:val="24"/>
            <w:szCs w:val="24"/>
          </w:rPr>
          <m:t>CARs</m:t>
        </m:r>
      </m:oMath>
      <w:r w:rsidRPr="00D97714">
        <w:rPr>
          <w:rFonts w:ascii="Times New Roman" w:hAnsi="Times New Roman" w:cs="Times New Roman"/>
          <w:sz w:val="24"/>
          <w:szCs w:val="24"/>
        </w:rPr>
        <w:t xml:space="preserve"> for all the various windows presented are positive and highly significant irrespective of the method used</w:t>
      </w:r>
      <w:r w:rsidR="003E6F20" w:rsidRPr="00D97714">
        <w:rPr>
          <w:rFonts w:ascii="Times New Roman" w:hAnsi="Times New Roman" w:cs="Times New Roman"/>
          <w:sz w:val="24"/>
          <w:szCs w:val="24"/>
        </w:rPr>
        <w:t xml:space="preserve"> (consistent with Strickland </w:t>
      </w:r>
      <w:r w:rsidR="003E6F20" w:rsidRPr="00D97714">
        <w:rPr>
          <w:rFonts w:ascii="Times New Roman" w:hAnsi="Times New Roman" w:cs="Times New Roman"/>
          <w:i/>
          <w:sz w:val="24"/>
          <w:szCs w:val="24"/>
        </w:rPr>
        <w:t>et al</w:t>
      </w:r>
      <w:r w:rsidR="003E6F20" w:rsidRPr="00D97714">
        <w:rPr>
          <w:rFonts w:ascii="Times New Roman" w:hAnsi="Times New Roman" w:cs="Times New Roman"/>
          <w:sz w:val="24"/>
          <w:szCs w:val="24"/>
        </w:rPr>
        <w:t>. (1996)</w:t>
      </w:r>
      <w:r w:rsidR="00F204F8" w:rsidRPr="00D97714">
        <w:rPr>
          <w:rFonts w:ascii="Times New Roman" w:hAnsi="Times New Roman" w:cs="Times New Roman"/>
          <w:sz w:val="24"/>
          <w:szCs w:val="24"/>
        </w:rPr>
        <w:t xml:space="preserve">, Brav </w:t>
      </w:r>
      <w:r w:rsidR="00F204F8" w:rsidRPr="00D97714">
        <w:rPr>
          <w:rFonts w:ascii="Times New Roman" w:hAnsi="Times New Roman" w:cs="Times New Roman"/>
          <w:i/>
          <w:sz w:val="24"/>
          <w:szCs w:val="24"/>
        </w:rPr>
        <w:t>et al</w:t>
      </w:r>
      <w:r w:rsidR="00F204F8" w:rsidRPr="00D97714">
        <w:rPr>
          <w:rFonts w:ascii="Times New Roman" w:hAnsi="Times New Roman" w:cs="Times New Roman"/>
          <w:sz w:val="24"/>
          <w:szCs w:val="24"/>
        </w:rPr>
        <w:t xml:space="preserve">. (2008), Brav </w:t>
      </w:r>
      <w:r w:rsidR="00F204F8" w:rsidRPr="00D97714">
        <w:rPr>
          <w:rFonts w:ascii="Times New Roman" w:hAnsi="Times New Roman" w:cs="Times New Roman"/>
          <w:i/>
          <w:sz w:val="24"/>
          <w:szCs w:val="24"/>
        </w:rPr>
        <w:t>et al</w:t>
      </w:r>
      <w:r w:rsidR="00F204F8" w:rsidRPr="00D97714">
        <w:rPr>
          <w:rFonts w:ascii="Times New Roman" w:hAnsi="Times New Roman" w:cs="Times New Roman"/>
          <w:sz w:val="24"/>
          <w:szCs w:val="24"/>
        </w:rPr>
        <w:t>. (2009), Klein and Zur (2009),</w:t>
      </w:r>
      <w:r w:rsidR="003E6F20" w:rsidRPr="00D97714">
        <w:rPr>
          <w:rFonts w:ascii="Times New Roman" w:hAnsi="Times New Roman" w:cs="Times New Roman"/>
          <w:sz w:val="24"/>
          <w:szCs w:val="24"/>
        </w:rPr>
        <w:t xml:space="preserve"> and Renneboog and Szilagyi (2011))</w:t>
      </w:r>
      <w:r w:rsidRPr="00D97714">
        <w:rPr>
          <w:rFonts w:ascii="Times New Roman" w:hAnsi="Times New Roman" w:cs="Times New Roman"/>
          <w:sz w:val="24"/>
          <w:szCs w:val="24"/>
        </w:rPr>
        <w:t>.</w:t>
      </w:r>
      <w:r w:rsidR="00096FE9" w:rsidRPr="00D97714">
        <w:rPr>
          <w:rFonts w:ascii="Times New Roman" w:hAnsi="Times New Roman" w:cs="Times New Roman"/>
          <w:sz w:val="24"/>
          <w:szCs w:val="24"/>
        </w:rPr>
        <w:t xml:space="preserve"> The mean (-2, +1) </w:t>
      </w:r>
      <m:oMath>
        <m:r>
          <w:rPr>
            <w:rFonts w:ascii="Cambria Math" w:hAnsi="Cambria Math" w:cs="Times New Roman"/>
            <w:sz w:val="24"/>
            <w:szCs w:val="24"/>
          </w:rPr>
          <m:t>CARs</m:t>
        </m:r>
      </m:oMath>
      <w:r w:rsidR="00096FE9" w:rsidRPr="00D97714">
        <w:rPr>
          <w:rFonts w:ascii="Times New Roman" w:hAnsi="Times New Roman" w:cs="Times New Roman"/>
          <w:sz w:val="24"/>
          <w:szCs w:val="24"/>
        </w:rPr>
        <w:t xml:space="preserve"> range between 2.86% and 3.09% depending on the model used, while the mean (-10, +5) </w:t>
      </w:r>
      <m:oMath>
        <m:r>
          <w:rPr>
            <w:rFonts w:ascii="Cambria Math" w:hAnsi="Cambria Math" w:cs="Times New Roman"/>
            <w:sz w:val="24"/>
            <w:szCs w:val="24"/>
          </w:rPr>
          <m:t>CARs</m:t>
        </m:r>
      </m:oMath>
      <w:r w:rsidR="00096FE9" w:rsidRPr="00D97714">
        <w:rPr>
          <w:rFonts w:ascii="Times New Roman" w:hAnsi="Times New Roman" w:cs="Times New Roman"/>
          <w:sz w:val="24"/>
          <w:szCs w:val="24"/>
        </w:rPr>
        <w:t xml:space="preserve"> range between 4.91% and 5.89%.</w:t>
      </w:r>
      <w:r w:rsidR="00EF31B6" w:rsidRPr="00D97714">
        <w:rPr>
          <w:rFonts w:ascii="Times New Roman" w:hAnsi="Times New Roman" w:cs="Times New Roman"/>
          <w:sz w:val="24"/>
          <w:szCs w:val="24"/>
        </w:rPr>
        <w:t xml:space="preserve"> Thus, there is support for hypothesis H1, i.e., stock returns of targeted firms would increase following the announcements of institutional shareholder activism.</w:t>
      </w:r>
    </w:p>
    <w:p w14:paraId="4D061F92" w14:textId="7EF5F482" w:rsidR="00074724" w:rsidRPr="00D97714" w:rsidRDefault="00074724" w:rsidP="00D61D81">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[INSERT TABLE 2 ABOUT HERE]</w:t>
      </w:r>
    </w:p>
    <w:p w14:paraId="3C513DF1" w14:textId="747FFFD7" w:rsidR="00521F77" w:rsidRPr="00D97714" w:rsidRDefault="00F97C26" w:rsidP="00F97C26">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The revelation of activism prompt</w:t>
      </w:r>
      <w:r w:rsidR="00311591" w:rsidRPr="00D97714">
        <w:rPr>
          <w:rFonts w:ascii="Times New Roman" w:hAnsi="Times New Roman" w:cs="Times New Roman"/>
          <w:sz w:val="24"/>
          <w:szCs w:val="24"/>
        </w:rPr>
        <w:t>s</w:t>
      </w:r>
      <w:r w:rsidRPr="00D97714">
        <w:rPr>
          <w:rFonts w:ascii="Times New Roman" w:hAnsi="Times New Roman" w:cs="Times New Roman"/>
          <w:sz w:val="24"/>
          <w:szCs w:val="24"/>
        </w:rPr>
        <w:t xml:space="preserve"> investors to reevaluate </w:t>
      </w:r>
      <w:r w:rsidR="00311591" w:rsidRPr="00D97714">
        <w:rPr>
          <w:rFonts w:ascii="Times New Roman" w:hAnsi="Times New Roman" w:cs="Times New Roman"/>
          <w:sz w:val="24"/>
          <w:szCs w:val="24"/>
        </w:rPr>
        <w:t xml:space="preserve">not only </w:t>
      </w:r>
      <w:r w:rsidRPr="00D97714">
        <w:rPr>
          <w:rFonts w:ascii="Times New Roman" w:hAnsi="Times New Roman" w:cs="Times New Roman"/>
          <w:sz w:val="24"/>
          <w:szCs w:val="24"/>
        </w:rPr>
        <w:t xml:space="preserve">the beleaguered company but also other companies that share the same institutional ownership and size profiles as the targeted company. </w:t>
      </w:r>
      <w:r w:rsidR="00521F77" w:rsidRPr="00D97714">
        <w:rPr>
          <w:rFonts w:ascii="Times New Roman" w:hAnsi="Times New Roman" w:cs="Times New Roman"/>
          <w:sz w:val="24"/>
          <w:szCs w:val="24"/>
        </w:rPr>
        <w:t>In Panel B</w:t>
      </w:r>
      <w:r w:rsidR="00311591" w:rsidRPr="00D97714">
        <w:rPr>
          <w:rFonts w:ascii="Times New Roman" w:hAnsi="Times New Roman" w:cs="Times New Roman"/>
          <w:sz w:val="24"/>
          <w:szCs w:val="24"/>
        </w:rPr>
        <w:t xml:space="preserve"> of Table 2</w:t>
      </w:r>
      <w:r w:rsidR="00521F77" w:rsidRPr="00D97714">
        <w:rPr>
          <w:rFonts w:ascii="Times New Roman" w:hAnsi="Times New Roman" w:cs="Times New Roman"/>
          <w:sz w:val="24"/>
          <w:szCs w:val="24"/>
        </w:rPr>
        <w:t xml:space="preserve">, we consider </w:t>
      </w:r>
      <w:r w:rsidR="00311591" w:rsidRPr="00D97714">
        <w:rPr>
          <w:rFonts w:ascii="Times New Roman" w:hAnsi="Times New Roman" w:cs="Times New Roman"/>
          <w:sz w:val="24"/>
          <w:szCs w:val="24"/>
        </w:rPr>
        <w:t xml:space="preserve">CARs accrued to </w:t>
      </w:r>
      <w:r w:rsidR="00521F77" w:rsidRPr="00D97714">
        <w:rPr>
          <w:rFonts w:ascii="Times New Roman" w:hAnsi="Times New Roman" w:cs="Times New Roman"/>
          <w:sz w:val="24"/>
          <w:szCs w:val="24"/>
        </w:rPr>
        <w:t xml:space="preserve">the value-weighted portfolio of </w:t>
      </w:r>
      <w:r w:rsidR="00311591" w:rsidRPr="00D97714">
        <w:rPr>
          <w:rFonts w:ascii="Times New Roman" w:hAnsi="Times New Roman" w:cs="Times New Roman"/>
          <w:sz w:val="24"/>
          <w:szCs w:val="24"/>
        </w:rPr>
        <w:t>matching</w:t>
      </w:r>
      <w:r w:rsidR="00521F77" w:rsidRPr="00D97714">
        <w:rPr>
          <w:rFonts w:ascii="Times New Roman" w:hAnsi="Times New Roman" w:cs="Times New Roman"/>
          <w:sz w:val="24"/>
          <w:szCs w:val="24"/>
        </w:rPr>
        <w:t xml:space="preserve"> </w:t>
      </w:r>
      <w:r w:rsidR="00903E10" w:rsidRPr="00D97714">
        <w:rPr>
          <w:rFonts w:ascii="Times New Roman" w:hAnsi="Times New Roman" w:cs="Times New Roman"/>
          <w:sz w:val="24"/>
          <w:szCs w:val="24"/>
        </w:rPr>
        <w:t>non-targeted</w:t>
      </w:r>
      <w:r w:rsidR="00521F77" w:rsidRPr="00D97714">
        <w:rPr>
          <w:rFonts w:ascii="Times New Roman" w:hAnsi="Times New Roman" w:cs="Times New Roman"/>
          <w:sz w:val="24"/>
          <w:szCs w:val="24"/>
        </w:rPr>
        <w:t xml:space="preserve"> firms. All the </w:t>
      </w:r>
      <m:oMath>
        <m:r>
          <w:rPr>
            <w:rFonts w:ascii="Cambria Math" w:hAnsi="Cambria Math" w:cs="Times New Roman"/>
            <w:sz w:val="24"/>
            <w:szCs w:val="24"/>
          </w:rPr>
          <m:t>CARs</m:t>
        </m:r>
      </m:oMath>
      <w:r w:rsidR="00521F77" w:rsidRPr="00D97714">
        <w:rPr>
          <w:rFonts w:ascii="Times New Roman" w:hAnsi="Times New Roman" w:cs="Times New Roman"/>
          <w:sz w:val="24"/>
          <w:szCs w:val="24"/>
        </w:rPr>
        <w:t xml:space="preserve"> presented are positive and highly significant. </w:t>
      </w:r>
      <w:r w:rsidR="00096FE9" w:rsidRPr="00D97714">
        <w:rPr>
          <w:rFonts w:ascii="Times New Roman" w:hAnsi="Times New Roman" w:cs="Times New Roman"/>
          <w:sz w:val="24"/>
          <w:szCs w:val="24"/>
        </w:rPr>
        <w:t xml:space="preserve">The mean (-2, +1) </w:t>
      </w:r>
      <m:oMath>
        <m:r>
          <w:rPr>
            <w:rFonts w:ascii="Cambria Math" w:hAnsi="Cambria Math" w:cs="Times New Roman"/>
            <w:sz w:val="24"/>
            <w:szCs w:val="24"/>
          </w:rPr>
          <m:t>CARs</m:t>
        </m:r>
      </m:oMath>
      <w:r w:rsidR="00096FE9" w:rsidRPr="00D97714">
        <w:rPr>
          <w:rFonts w:ascii="Times New Roman" w:hAnsi="Times New Roman" w:cs="Times New Roman"/>
          <w:sz w:val="24"/>
          <w:szCs w:val="24"/>
        </w:rPr>
        <w:t xml:space="preserve"> range between 0.24% and 0.58% depending on the model used, while the mean (-10, +5) </w:t>
      </w:r>
      <m:oMath>
        <m:r>
          <w:rPr>
            <w:rFonts w:ascii="Cambria Math" w:hAnsi="Cambria Math" w:cs="Times New Roman"/>
            <w:sz w:val="24"/>
            <w:szCs w:val="24"/>
          </w:rPr>
          <m:t>CARs</m:t>
        </m:r>
      </m:oMath>
      <w:r w:rsidR="00096FE9" w:rsidRPr="00D97714">
        <w:rPr>
          <w:rFonts w:ascii="Times New Roman" w:hAnsi="Times New Roman" w:cs="Times New Roman"/>
          <w:sz w:val="24"/>
          <w:szCs w:val="24"/>
        </w:rPr>
        <w:t xml:space="preserve"> range between 1.16% and 2.39%. </w:t>
      </w:r>
      <w:r w:rsidR="00521F77" w:rsidRPr="00D97714">
        <w:rPr>
          <w:rFonts w:ascii="Times New Roman" w:hAnsi="Times New Roman" w:cs="Times New Roman"/>
          <w:sz w:val="24"/>
          <w:szCs w:val="24"/>
        </w:rPr>
        <w:t xml:space="preserve">We observe a similar trend in Panel C with the equally weighted portfolio of the matching firms. </w:t>
      </w:r>
      <w:r w:rsidR="00311591" w:rsidRPr="00D97714">
        <w:rPr>
          <w:rFonts w:ascii="Times New Roman" w:hAnsi="Times New Roman" w:cs="Times New Roman"/>
          <w:sz w:val="24"/>
          <w:szCs w:val="24"/>
        </w:rPr>
        <w:t xml:space="preserve">Thus, </w:t>
      </w:r>
      <w:r w:rsidR="0071500A" w:rsidRPr="00D97714">
        <w:rPr>
          <w:rFonts w:ascii="Times New Roman" w:hAnsi="Times New Roman" w:cs="Times New Roman"/>
          <w:sz w:val="24"/>
          <w:szCs w:val="24"/>
        </w:rPr>
        <w:t>there is a positive wealth effect of shareholder activism announcements on not only targeted firms but also on matching</w:t>
      </w:r>
      <w:r w:rsidR="00311591" w:rsidRPr="00D97714">
        <w:rPr>
          <w:rFonts w:ascii="Times New Roman" w:hAnsi="Times New Roman" w:cs="Times New Roman"/>
          <w:sz w:val="24"/>
          <w:szCs w:val="24"/>
        </w:rPr>
        <w:t xml:space="preserve"> non-target</w:t>
      </w:r>
      <w:r w:rsidR="0071500A" w:rsidRPr="00D97714">
        <w:rPr>
          <w:rFonts w:ascii="Times New Roman" w:hAnsi="Times New Roman" w:cs="Times New Roman"/>
          <w:sz w:val="24"/>
          <w:szCs w:val="24"/>
        </w:rPr>
        <w:t>ed firms</w:t>
      </w:r>
      <w:r w:rsidR="00EF31B6" w:rsidRPr="00D97714">
        <w:rPr>
          <w:rFonts w:ascii="Times New Roman" w:hAnsi="Times New Roman" w:cs="Times New Roman"/>
          <w:sz w:val="24"/>
          <w:szCs w:val="24"/>
        </w:rPr>
        <w:t>, which is consistent with Hypothesis H2. The latter states that the stock returns of matching non-targeted firms would increase following activism announcements at targeted firms.</w:t>
      </w:r>
    </w:p>
    <w:p w14:paraId="1FFF868D" w14:textId="65385C8A" w:rsidR="00096FE9" w:rsidRPr="00D97714" w:rsidRDefault="002D1100" w:rsidP="00096FE9">
      <w:pPr>
        <w:spacing w:line="480" w:lineRule="auto"/>
        <w:rPr>
          <w:rFonts w:ascii="Times New Roman" w:hAnsi="Times New Roman" w:cs="Times New Roman"/>
          <w:b/>
          <w:i/>
          <w:sz w:val="24"/>
          <w:szCs w:val="24"/>
        </w:rPr>
      </w:pPr>
      <w:r w:rsidRPr="00D97714">
        <w:rPr>
          <w:rFonts w:ascii="Times New Roman" w:hAnsi="Times New Roman" w:cs="Times New Roman"/>
          <w:b/>
          <w:i/>
          <w:sz w:val="24"/>
          <w:szCs w:val="24"/>
        </w:rPr>
        <w:t xml:space="preserve">What prompts investors to reassess the valuation of the </w:t>
      </w:r>
      <w:r w:rsidR="000B41D9" w:rsidRPr="00D97714">
        <w:rPr>
          <w:rFonts w:ascii="Times New Roman" w:hAnsi="Times New Roman" w:cs="Times New Roman"/>
          <w:b/>
          <w:i/>
          <w:sz w:val="24"/>
          <w:szCs w:val="24"/>
        </w:rPr>
        <w:t>matching</w:t>
      </w:r>
      <w:r w:rsidRPr="00D97714">
        <w:rPr>
          <w:rFonts w:ascii="Times New Roman" w:hAnsi="Times New Roman" w:cs="Times New Roman"/>
          <w:b/>
          <w:i/>
          <w:sz w:val="24"/>
          <w:szCs w:val="24"/>
        </w:rPr>
        <w:t xml:space="preserve"> </w:t>
      </w:r>
      <w:r w:rsidR="00903E10" w:rsidRPr="00D97714">
        <w:rPr>
          <w:rFonts w:ascii="Times New Roman" w:hAnsi="Times New Roman" w:cs="Times New Roman"/>
          <w:b/>
          <w:i/>
          <w:sz w:val="24"/>
          <w:szCs w:val="24"/>
        </w:rPr>
        <w:t>non-targeted</w:t>
      </w:r>
      <w:r w:rsidRPr="00D97714">
        <w:rPr>
          <w:rFonts w:ascii="Times New Roman" w:hAnsi="Times New Roman" w:cs="Times New Roman"/>
          <w:b/>
          <w:i/>
          <w:sz w:val="24"/>
          <w:szCs w:val="24"/>
        </w:rPr>
        <w:t xml:space="preserve"> firms? </w:t>
      </w:r>
    </w:p>
    <w:p w14:paraId="403AA7DE" w14:textId="77777777" w:rsidR="00096FE9" w:rsidRPr="00D97714" w:rsidRDefault="002D1100" w:rsidP="00096FE9">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To answer this question, we compare the performance measures that activist investors tend to </w:t>
      </w:r>
      <w:r w:rsidR="00486346" w:rsidRPr="00D97714">
        <w:rPr>
          <w:rFonts w:ascii="Times New Roman" w:hAnsi="Times New Roman" w:cs="Times New Roman"/>
          <w:sz w:val="24"/>
          <w:szCs w:val="24"/>
        </w:rPr>
        <w:t>focus</w:t>
      </w:r>
      <w:r w:rsidRPr="00D97714">
        <w:rPr>
          <w:rFonts w:ascii="Times New Roman" w:hAnsi="Times New Roman" w:cs="Times New Roman"/>
          <w:sz w:val="24"/>
          <w:szCs w:val="24"/>
        </w:rPr>
        <w:t xml:space="preserve"> from before to after the activism announcement.</w:t>
      </w:r>
      <w:r w:rsidR="00486346" w:rsidRPr="00D97714">
        <w:rPr>
          <w:rFonts w:ascii="Times New Roman" w:hAnsi="Times New Roman" w:cs="Times New Roman"/>
          <w:sz w:val="24"/>
          <w:szCs w:val="24"/>
        </w:rPr>
        <w:t xml:space="preserve"> If firms are responding to the concerns of activist investors elsewhere, then we should find an </w:t>
      </w:r>
      <w:r w:rsidR="00351EE9" w:rsidRPr="00D97714">
        <w:rPr>
          <w:rFonts w:ascii="Times New Roman" w:hAnsi="Times New Roman" w:cs="Times New Roman"/>
          <w:sz w:val="24"/>
          <w:szCs w:val="24"/>
        </w:rPr>
        <w:t xml:space="preserve">improvement </w:t>
      </w:r>
      <w:r w:rsidR="00486346" w:rsidRPr="00D97714">
        <w:rPr>
          <w:rFonts w:ascii="Times New Roman" w:hAnsi="Times New Roman" w:cs="Times New Roman"/>
          <w:sz w:val="24"/>
          <w:szCs w:val="24"/>
        </w:rPr>
        <w:t>in the metrics that are of concern to activist investors.</w:t>
      </w:r>
      <w:r w:rsidR="00351EE9" w:rsidRPr="00D97714">
        <w:rPr>
          <w:rFonts w:ascii="Times New Roman" w:hAnsi="Times New Roman" w:cs="Times New Roman"/>
          <w:sz w:val="24"/>
          <w:szCs w:val="24"/>
        </w:rPr>
        <w:t xml:space="preserve"> </w:t>
      </w:r>
    </w:p>
    <w:p w14:paraId="189659C0" w14:textId="00490686" w:rsidR="00F951DC" w:rsidRPr="00D97714" w:rsidRDefault="00351EE9" w:rsidP="00096FE9">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In Table 3, we </w:t>
      </w:r>
      <w:r w:rsidR="00127EBC" w:rsidRPr="00D97714">
        <w:rPr>
          <w:rFonts w:ascii="Times New Roman" w:hAnsi="Times New Roman" w:cs="Times New Roman"/>
          <w:sz w:val="24"/>
          <w:szCs w:val="24"/>
        </w:rPr>
        <w:t>show</w:t>
      </w:r>
      <w:r w:rsidRPr="00D97714">
        <w:rPr>
          <w:rFonts w:ascii="Times New Roman" w:hAnsi="Times New Roman" w:cs="Times New Roman"/>
          <w:sz w:val="24"/>
          <w:szCs w:val="24"/>
        </w:rPr>
        <w:t xml:space="preserve"> an improvement in the following ratios</w:t>
      </w:r>
      <w:r w:rsidR="00127EBC" w:rsidRPr="00D97714">
        <w:rPr>
          <w:rFonts w:ascii="Times New Roman" w:hAnsi="Times New Roman" w:cs="Times New Roman"/>
          <w:sz w:val="24"/>
          <w:szCs w:val="24"/>
        </w:rPr>
        <w:t xml:space="preserve"> amongst the portfolios of </w:t>
      </w:r>
      <w:r w:rsidR="00903E10" w:rsidRPr="00D97714">
        <w:rPr>
          <w:rFonts w:ascii="Times New Roman" w:hAnsi="Times New Roman" w:cs="Times New Roman"/>
          <w:sz w:val="24"/>
          <w:szCs w:val="24"/>
        </w:rPr>
        <w:t>non-targeted</w:t>
      </w:r>
      <w:r w:rsidR="00127EBC" w:rsidRPr="00D97714">
        <w:rPr>
          <w:rFonts w:ascii="Times New Roman" w:hAnsi="Times New Roman" w:cs="Times New Roman"/>
          <w:sz w:val="24"/>
          <w:szCs w:val="24"/>
        </w:rPr>
        <w:t xml:space="preserve"> firms</w:t>
      </w:r>
      <w:r w:rsidRPr="00D97714">
        <w:rPr>
          <w:rFonts w:ascii="Times New Roman" w:hAnsi="Times New Roman" w:cs="Times New Roman"/>
          <w:sz w:val="24"/>
          <w:szCs w:val="24"/>
        </w:rPr>
        <w:t xml:space="preserve">: </w:t>
      </w:r>
      <w:r w:rsidR="00127EBC" w:rsidRPr="00D97714">
        <w:rPr>
          <w:rFonts w:ascii="Times New Roman" w:hAnsi="Times New Roman" w:cs="Times New Roman"/>
          <w:sz w:val="24"/>
          <w:szCs w:val="24"/>
        </w:rPr>
        <w:t xml:space="preserve">Return on Assets </w:t>
      </w:r>
      <w:r w:rsidRPr="00D97714">
        <w:rPr>
          <w:rFonts w:ascii="Times New Roman" w:hAnsi="Times New Roman" w:cs="Times New Roman"/>
          <w:sz w:val="24"/>
          <w:szCs w:val="24"/>
        </w:rPr>
        <w:t>(ROA), the ratio of Earnings before Interest and Taxes-to-Total Assets</w:t>
      </w:r>
      <w:r w:rsidR="00743BB1" w:rsidRPr="00D97714">
        <w:rPr>
          <w:rFonts w:ascii="Times New Roman" w:hAnsi="Times New Roman" w:cs="Times New Roman"/>
          <w:sz w:val="24"/>
          <w:szCs w:val="24"/>
        </w:rPr>
        <w:t xml:space="preserve"> (EBIT/TA)</w:t>
      </w:r>
      <w:r w:rsidRPr="00D97714">
        <w:rPr>
          <w:rFonts w:ascii="Times New Roman" w:hAnsi="Times New Roman" w:cs="Times New Roman"/>
          <w:sz w:val="24"/>
          <w:szCs w:val="24"/>
        </w:rPr>
        <w:t xml:space="preserve">, and the dividend per share. </w:t>
      </w:r>
      <w:r w:rsidR="00465E72" w:rsidRPr="00D97714">
        <w:rPr>
          <w:rFonts w:ascii="Times New Roman" w:hAnsi="Times New Roman" w:cs="Times New Roman"/>
          <w:sz w:val="24"/>
          <w:szCs w:val="24"/>
        </w:rPr>
        <w:t xml:space="preserve">There is a decrease in the debt ratio. </w:t>
      </w:r>
      <w:r w:rsidRPr="00D97714">
        <w:rPr>
          <w:rFonts w:ascii="Times New Roman" w:hAnsi="Times New Roman" w:cs="Times New Roman"/>
          <w:sz w:val="24"/>
          <w:szCs w:val="24"/>
        </w:rPr>
        <w:t xml:space="preserve">Concurrently, we observe a significant decline in the following ratios: Capital Expenditure-to-Total Assets, Operating Expenses-to-Total Assets and the Cash Balance-to-Total Assets. Thus, </w:t>
      </w:r>
      <w:r w:rsidR="00903E10" w:rsidRPr="00D97714">
        <w:rPr>
          <w:rFonts w:ascii="Times New Roman" w:hAnsi="Times New Roman" w:cs="Times New Roman"/>
          <w:sz w:val="24"/>
          <w:szCs w:val="24"/>
        </w:rPr>
        <w:t>non-targeted</w:t>
      </w:r>
      <w:r w:rsidRPr="00D97714">
        <w:rPr>
          <w:rFonts w:ascii="Times New Roman" w:hAnsi="Times New Roman" w:cs="Times New Roman"/>
          <w:sz w:val="24"/>
          <w:szCs w:val="24"/>
        </w:rPr>
        <w:t xml:space="preserve"> firms</w:t>
      </w:r>
      <w:r w:rsidR="00127EBC" w:rsidRPr="00D97714">
        <w:rPr>
          <w:rFonts w:ascii="Times New Roman" w:hAnsi="Times New Roman" w:cs="Times New Roman"/>
          <w:sz w:val="24"/>
          <w:szCs w:val="24"/>
        </w:rPr>
        <w:t>’</w:t>
      </w:r>
      <w:r w:rsidRPr="00D97714">
        <w:rPr>
          <w:rFonts w:ascii="Times New Roman" w:hAnsi="Times New Roman" w:cs="Times New Roman"/>
          <w:sz w:val="24"/>
          <w:szCs w:val="24"/>
        </w:rPr>
        <w:t xml:space="preserve"> profitability and payout ratios improve </w:t>
      </w:r>
      <w:r w:rsidR="00764BD1" w:rsidRPr="00D97714">
        <w:rPr>
          <w:rFonts w:ascii="Times New Roman" w:hAnsi="Times New Roman" w:cs="Times New Roman"/>
          <w:sz w:val="24"/>
          <w:szCs w:val="24"/>
        </w:rPr>
        <w:t xml:space="preserve">significantly </w:t>
      </w:r>
      <w:r w:rsidRPr="00D97714">
        <w:rPr>
          <w:rFonts w:ascii="Times New Roman" w:hAnsi="Times New Roman" w:cs="Times New Roman"/>
          <w:sz w:val="24"/>
          <w:szCs w:val="24"/>
        </w:rPr>
        <w:t xml:space="preserve">following </w:t>
      </w:r>
      <w:r w:rsidR="00764BD1" w:rsidRPr="00D97714">
        <w:rPr>
          <w:rFonts w:ascii="Times New Roman" w:hAnsi="Times New Roman" w:cs="Times New Roman"/>
          <w:sz w:val="24"/>
          <w:szCs w:val="24"/>
        </w:rPr>
        <w:t xml:space="preserve">the </w:t>
      </w:r>
      <w:r w:rsidRPr="00D97714">
        <w:rPr>
          <w:rFonts w:ascii="Times New Roman" w:hAnsi="Times New Roman" w:cs="Times New Roman"/>
          <w:sz w:val="24"/>
          <w:szCs w:val="24"/>
        </w:rPr>
        <w:t>announcements of activist actions elsewhere. At the same time</w:t>
      </w:r>
      <w:r w:rsidR="00127EBC" w:rsidRPr="00D97714">
        <w:rPr>
          <w:rFonts w:ascii="Times New Roman" w:hAnsi="Times New Roman" w:cs="Times New Roman"/>
          <w:sz w:val="24"/>
          <w:szCs w:val="24"/>
        </w:rPr>
        <w:t>,</w:t>
      </w:r>
      <w:r w:rsidRPr="00D97714">
        <w:rPr>
          <w:rFonts w:ascii="Times New Roman" w:hAnsi="Times New Roman" w:cs="Times New Roman"/>
          <w:sz w:val="24"/>
          <w:szCs w:val="24"/>
        </w:rPr>
        <w:t xml:space="preserve"> they hold back </w:t>
      </w:r>
      <w:r w:rsidR="00127EBC" w:rsidRPr="00D97714">
        <w:rPr>
          <w:rFonts w:ascii="Times New Roman" w:hAnsi="Times New Roman" w:cs="Times New Roman"/>
          <w:sz w:val="24"/>
          <w:szCs w:val="24"/>
        </w:rPr>
        <w:t>on both</w:t>
      </w:r>
      <w:r w:rsidRPr="00D97714">
        <w:rPr>
          <w:rFonts w:ascii="Times New Roman" w:hAnsi="Times New Roman" w:cs="Times New Roman"/>
          <w:sz w:val="24"/>
          <w:szCs w:val="24"/>
        </w:rPr>
        <w:t xml:space="preserve"> revenue</w:t>
      </w:r>
      <w:r w:rsidR="000B41D9" w:rsidRPr="00D97714">
        <w:rPr>
          <w:rFonts w:ascii="Times New Roman" w:hAnsi="Times New Roman" w:cs="Times New Roman"/>
          <w:sz w:val="24"/>
          <w:szCs w:val="24"/>
        </w:rPr>
        <w:t xml:space="preserve"> expenditures</w:t>
      </w:r>
      <w:r w:rsidRPr="00D97714">
        <w:rPr>
          <w:rFonts w:ascii="Times New Roman" w:hAnsi="Times New Roman" w:cs="Times New Roman"/>
          <w:sz w:val="24"/>
          <w:szCs w:val="24"/>
        </w:rPr>
        <w:t xml:space="preserve"> and capital expenditures </w:t>
      </w:r>
      <w:r w:rsidR="00127EBC" w:rsidRPr="00D97714">
        <w:rPr>
          <w:rFonts w:ascii="Times New Roman" w:hAnsi="Times New Roman" w:cs="Times New Roman"/>
          <w:sz w:val="24"/>
          <w:szCs w:val="24"/>
        </w:rPr>
        <w:t>as well as</w:t>
      </w:r>
      <w:r w:rsidRPr="00D97714">
        <w:rPr>
          <w:rFonts w:ascii="Times New Roman" w:hAnsi="Times New Roman" w:cs="Times New Roman"/>
          <w:sz w:val="24"/>
          <w:szCs w:val="24"/>
        </w:rPr>
        <w:t xml:space="preserve"> decrease their cash balance</w:t>
      </w:r>
      <w:r w:rsidR="00127EBC" w:rsidRPr="00D97714">
        <w:rPr>
          <w:rFonts w:ascii="Times New Roman" w:hAnsi="Times New Roman" w:cs="Times New Roman"/>
          <w:sz w:val="24"/>
          <w:szCs w:val="24"/>
        </w:rPr>
        <w:t>s</w:t>
      </w:r>
      <w:r w:rsidRPr="00D97714">
        <w:rPr>
          <w:rFonts w:ascii="Times New Roman" w:hAnsi="Times New Roman" w:cs="Times New Roman"/>
          <w:sz w:val="24"/>
          <w:szCs w:val="24"/>
        </w:rPr>
        <w:t>.</w:t>
      </w:r>
      <w:r w:rsidR="00F951DC" w:rsidRPr="00D97714">
        <w:rPr>
          <w:rFonts w:ascii="Times New Roman" w:hAnsi="Times New Roman" w:cs="Times New Roman"/>
          <w:sz w:val="24"/>
          <w:szCs w:val="24"/>
        </w:rPr>
        <w:t xml:space="preserve"> These findings are consistent with </w:t>
      </w:r>
      <w:r w:rsidR="00491E0E" w:rsidRPr="00D97714">
        <w:rPr>
          <w:rFonts w:ascii="Times New Roman" w:hAnsi="Times New Roman" w:cs="Times New Roman"/>
          <w:sz w:val="24"/>
          <w:szCs w:val="24"/>
        </w:rPr>
        <w:t xml:space="preserve">hypothesis H3 as well as </w:t>
      </w:r>
      <w:r w:rsidR="00F951DC" w:rsidRPr="00D97714">
        <w:rPr>
          <w:rFonts w:ascii="Times New Roman" w:hAnsi="Times New Roman" w:cs="Times New Roman"/>
          <w:sz w:val="24"/>
          <w:szCs w:val="24"/>
        </w:rPr>
        <w:t>previous studies</w:t>
      </w:r>
      <w:r w:rsidR="00764BD1" w:rsidRPr="00D97714">
        <w:rPr>
          <w:rFonts w:ascii="Times New Roman" w:hAnsi="Times New Roman" w:cs="Times New Roman"/>
          <w:sz w:val="24"/>
          <w:szCs w:val="24"/>
        </w:rPr>
        <w:t>,</w:t>
      </w:r>
      <w:r w:rsidR="00F951DC" w:rsidRPr="00D97714">
        <w:rPr>
          <w:rFonts w:ascii="Times New Roman" w:hAnsi="Times New Roman" w:cs="Times New Roman"/>
          <w:sz w:val="24"/>
          <w:szCs w:val="24"/>
        </w:rPr>
        <w:t xml:space="preserve"> which argue that increases in leverage and payouts tend to limit managers’ ability to misuse firm resources (</w:t>
      </w:r>
      <w:r w:rsidR="009B0F42" w:rsidRPr="00D97714">
        <w:rPr>
          <w:rFonts w:ascii="Times New Roman" w:hAnsi="Times New Roman" w:cs="Times New Roman"/>
          <w:sz w:val="24"/>
          <w:szCs w:val="24"/>
        </w:rPr>
        <w:t xml:space="preserve">Jensen (1986); </w:t>
      </w:r>
      <w:r w:rsidR="00F951DC" w:rsidRPr="00D97714">
        <w:rPr>
          <w:rFonts w:ascii="Times New Roman" w:hAnsi="Times New Roman" w:cs="Times New Roman"/>
          <w:sz w:val="24"/>
          <w:szCs w:val="24"/>
        </w:rPr>
        <w:t xml:space="preserve">Easterbrook (1994); Lambrecht and Myers (2007); Clifford (2008); </w:t>
      </w:r>
      <w:r w:rsidR="009B0F42" w:rsidRPr="00D97714">
        <w:rPr>
          <w:rFonts w:ascii="Times New Roman" w:hAnsi="Times New Roman" w:cs="Times New Roman"/>
          <w:sz w:val="24"/>
          <w:szCs w:val="24"/>
        </w:rPr>
        <w:t xml:space="preserve">and, </w:t>
      </w:r>
      <w:r w:rsidR="00F951DC" w:rsidRPr="00D97714">
        <w:rPr>
          <w:rFonts w:ascii="Times New Roman" w:hAnsi="Times New Roman" w:cs="Times New Roman"/>
          <w:sz w:val="24"/>
          <w:szCs w:val="24"/>
        </w:rPr>
        <w:t>Klein and Zur (2009</w:t>
      </w:r>
      <w:r w:rsidR="009B0F42" w:rsidRPr="00D97714">
        <w:rPr>
          <w:rFonts w:ascii="Times New Roman" w:hAnsi="Times New Roman" w:cs="Times New Roman"/>
          <w:sz w:val="24"/>
          <w:szCs w:val="24"/>
        </w:rPr>
        <w:t>)</w:t>
      </w:r>
      <w:r w:rsidR="00F951DC" w:rsidRPr="00D97714">
        <w:rPr>
          <w:rFonts w:ascii="Times New Roman" w:hAnsi="Times New Roman" w:cs="Times New Roman"/>
          <w:sz w:val="24"/>
          <w:szCs w:val="24"/>
        </w:rPr>
        <w:t>).</w:t>
      </w:r>
    </w:p>
    <w:p w14:paraId="3CB22294" w14:textId="0CB1C0B0" w:rsidR="00074724" w:rsidRDefault="00F951DC" w:rsidP="00D61D81">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 xml:space="preserve"> </w:t>
      </w:r>
      <w:r w:rsidR="00074724" w:rsidRPr="00D97714">
        <w:rPr>
          <w:rFonts w:ascii="Times New Roman" w:hAnsi="Times New Roman" w:cs="Times New Roman"/>
          <w:sz w:val="24"/>
          <w:szCs w:val="24"/>
        </w:rPr>
        <w:t>[INSERT TABLE 3 ABOUT HERE]</w:t>
      </w:r>
    </w:p>
    <w:p w14:paraId="695576B1" w14:textId="77777777" w:rsidR="00D97714" w:rsidRPr="00D97714" w:rsidRDefault="00D97714" w:rsidP="00D61D81">
      <w:pPr>
        <w:spacing w:line="480" w:lineRule="auto"/>
        <w:jc w:val="center"/>
        <w:rPr>
          <w:rFonts w:ascii="Times New Roman" w:hAnsi="Times New Roman" w:cs="Times New Roman"/>
          <w:sz w:val="24"/>
          <w:szCs w:val="24"/>
        </w:rPr>
      </w:pPr>
    </w:p>
    <w:p w14:paraId="3A412E70" w14:textId="0B87EE82" w:rsidR="00127EBC" w:rsidRPr="00D97714" w:rsidRDefault="00B640F4" w:rsidP="00127EBC">
      <w:pPr>
        <w:spacing w:line="480" w:lineRule="auto"/>
        <w:rPr>
          <w:rFonts w:ascii="Times New Roman" w:hAnsi="Times New Roman" w:cs="Times New Roman"/>
          <w:b/>
          <w:i/>
          <w:sz w:val="24"/>
          <w:szCs w:val="24"/>
        </w:rPr>
      </w:pPr>
      <w:r w:rsidRPr="00D97714">
        <w:rPr>
          <w:rFonts w:ascii="Times New Roman" w:hAnsi="Times New Roman" w:cs="Times New Roman"/>
          <w:b/>
          <w:i/>
          <w:sz w:val="24"/>
          <w:szCs w:val="24"/>
        </w:rPr>
        <w:t xml:space="preserve">Which non-targeted firms benefit most from shareholder activism at similar firms? </w:t>
      </w:r>
    </w:p>
    <w:p w14:paraId="2783BFFB" w14:textId="0FEA0165" w:rsidR="0008045A" w:rsidRPr="00D97714" w:rsidRDefault="009030E7" w:rsidP="00561C7B">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To ascertain which non-targeted firms benefit the most from spillover effects of shareholder activism, we </w:t>
      </w:r>
      <w:r w:rsidR="00B914D6" w:rsidRPr="00D97714">
        <w:rPr>
          <w:rFonts w:ascii="Times New Roman" w:hAnsi="Times New Roman" w:cs="Times New Roman"/>
          <w:sz w:val="24"/>
          <w:szCs w:val="24"/>
        </w:rPr>
        <w:t xml:space="preserve">perform a multiple regression of </w:t>
      </w:r>
      <w:r w:rsidRPr="00D97714">
        <w:rPr>
          <w:rFonts w:ascii="Times New Roman" w:hAnsi="Times New Roman" w:cs="Times New Roman"/>
          <w:sz w:val="24"/>
          <w:szCs w:val="24"/>
        </w:rPr>
        <w:t xml:space="preserve">their </w:t>
      </w:r>
      <w:r w:rsidR="00B914D6" w:rsidRPr="00D97714">
        <w:rPr>
          <w:rFonts w:ascii="Times New Roman" w:hAnsi="Times New Roman" w:cs="Times New Roman"/>
          <w:sz w:val="24"/>
          <w:szCs w:val="24"/>
        </w:rPr>
        <w:t xml:space="preserve">CARs and present our findings in Table </w:t>
      </w:r>
      <w:r w:rsidR="00877D1D" w:rsidRPr="00D97714">
        <w:rPr>
          <w:rFonts w:ascii="Times New Roman" w:hAnsi="Times New Roman" w:cs="Times New Roman"/>
          <w:sz w:val="24"/>
          <w:szCs w:val="24"/>
        </w:rPr>
        <w:t>4</w:t>
      </w:r>
      <w:r w:rsidR="00F50FB4" w:rsidRPr="00D97714">
        <w:rPr>
          <w:rFonts w:ascii="Times New Roman" w:hAnsi="Times New Roman" w:cs="Times New Roman"/>
          <w:sz w:val="24"/>
          <w:szCs w:val="24"/>
        </w:rPr>
        <w:t xml:space="preserve"> </w:t>
      </w:r>
      <w:r w:rsidR="00B914D6" w:rsidRPr="00D97714">
        <w:rPr>
          <w:rFonts w:ascii="Times New Roman" w:hAnsi="Times New Roman" w:cs="Times New Roman"/>
          <w:sz w:val="24"/>
          <w:szCs w:val="24"/>
        </w:rPr>
        <w:t>.</w:t>
      </w:r>
      <w:r w:rsidR="00074724" w:rsidRPr="00D97714">
        <w:rPr>
          <w:rFonts w:ascii="Times New Roman" w:hAnsi="Times New Roman" w:cs="Times New Roman"/>
          <w:sz w:val="24"/>
          <w:szCs w:val="24"/>
        </w:rPr>
        <w:t xml:space="preserve"> The </w:t>
      </w:r>
      <w:r w:rsidRPr="00D97714">
        <w:rPr>
          <w:rFonts w:ascii="Times New Roman" w:hAnsi="Times New Roman" w:cs="Times New Roman"/>
          <w:sz w:val="24"/>
          <w:szCs w:val="24"/>
        </w:rPr>
        <w:t xml:space="preserve">statistically significant </w:t>
      </w:r>
      <w:r w:rsidR="00074724" w:rsidRPr="00D97714">
        <w:rPr>
          <w:rFonts w:ascii="Times New Roman" w:hAnsi="Times New Roman" w:cs="Times New Roman"/>
          <w:sz w:val="24"/>
          <w:szCs w:val="24"/>
        </w:rPr>
        <w:t xml:space="preserve">determinants are: the proportion of institutional ownership </w:t>
      </w:r>
      <m:oMath>
        <m:r>
          <w:rPr>
            <w:rFonts w:ascii="Cambria Math" w:hAnsi="Cambria Math" w:cs="Times New Roman"/>
            <w:sz w:val="24"/>
            <w:szCs w:val="24"/>
          </w:rPr>
          <m:t>(IOPr)</m:t>
        </m:r>
      </m:oMath>
      <w:r w:rsidR="00074724" w:rsidRPr="00D97714">
        <w:rPr>
          <w:rFonts w:ascii="Times New Roman" w:hAnsi="Times New Roman" w:cs="Times New Roman"/>
          <w:sz w:val="24"/>
          <w:szCs w:val="24"/>
        </w:rPr>
        <w:t xml:space="preserve">, the volatility in IOPr </w:t>
      </w:r>
      <m:oMath>
        <m:r>
          <w:rPr>
            <w:rFonts w:ascii="Cambria Math" w:hAnsi="Cambria Math" w:cs="Times New Roman"/>
            <w:sz w:val="24"/>
            <w:szCs w:val="24"/>
          </w:rPr>
          <m:t>(IOV)</m:t>
        </m:r>
      </m:oMath>
      <w:r w:rsidR="00743BB1" w:rsidRPr="00D97714">
        <w:rPr>
          <w:rFonts w:ascii="Times New Roman" w:hAnsi="Times New Roman" w:cs="Times New Roman"/>
          <w:sz w:val="24"/>
          <w:szCs w:val="24"/>
        </w:rPr>
        <w:t xml:space="preserve"> </w:t>
      </w:r>
      <w:r w:rsidR="00074724" w:rsidRPr="00D97714">
        <w:rPr>
          <w:rFonts w:ascii="Times New Roman" w:hAnsi="Times New Roman" w:cs="Times New Roman"/>
          <w:sz w:val="24"/>
          <w:szCs w:val="24"/>
        </w:rPr>
        <w:t xml:space="preserve">and the Return on Assets </w:t>
      </w:r>
      <m:oMath>
        <m:r>
          <w:rPr>
            <w:rFonts w:ascii="Cambria Math" w:hAnsi="Cambria Math" w:cs="Times New Roman"/>
            <w:sz w:val="24"/>
            <w:szCs w:val="24"/>
          </w:rPr>
          <m:t>(ROA)</m:t>
        </m:r>
      </m:oMath>
      <w:r w:rsidR="00074724" w:rsidRPr="00D97714">
        <w:rPr>
          <w:rFonts w:ascii="Times New Roman" w:hAnsi="Times New Roman" w:cs="Times New Roman"/>
          <w:sz w:val="24"/>
          <w:szCs w:val="24"/>
        </w:rPr>
        <w:t xml:space="preserve">. The wealth effects are positively related to </w:t>
      </w:r>
      <w:r w:rsidR="001272D6" w:rsidRPr="00D97714">
        <w:rPr>
          <w:rFonts w:ascii="Times New Roman" w:hAnsi="Times New Roman" w:cs="Times New Roman"/>
          <w:sz w:val="24"/>
          <w:szCs w:val="24"/>
        </w:rPr>
        <w:t xml:space="preserve">both the institutional ownership proportion and volatility. The feasibility of potential future activist campaigns is stronger when there is higher existing institutional ownership proportion at non-targeted firms. </w:t>
      </w:r>
      <w:r w:rsidR="00744731" w:rsidRPr="00D97714">
        <w:rPr>
          <w:rFonts w:ascii="Times New Roman" w:hAnsi="Times New Roman" w:cs="Times New Roman"/>
          <w:sz w:val="24"/>
          <w:szCs w:val="24"/>
        </w:rPr>
        <w:t>The existence of prominent institutional owners ensures enough voting pow</w:t>
      </w:r>
      <w:r w:rsidR="001F3E3E" w:rsidRPr="00D97714">
        <w:rPr>
          <w:rFonts w:ascii="Times New Roman" w:hAnsi="Times New Roman" w:cs="Times New Roman"/>
          <w:sz w:val="24"/>
          <w:szCs w:val="24"/>
        </w:rPr>
        <w:t xml:space="preserve">er, pressure and influence to put in place successful campaigns. As such, investor reactions are stronger among such non-targeted firms. </w:t>
      </w:r>
      <w:r w:rsidR="00C94543" w:rsidRPr="00D97714">
        <w:rPr>
          <w:rFonts w:ascii="Times New Roman" w:hAnsi="Times New Roman" w:cs="Times New Roman"/>
          <w:sz w:val="24"/>
          <w:szCs w:val="24"/>
        </w:rPr>
        <w:t>Simultaneously</w:t>
      </w:r>
      <w:r w:rsidR="007C7386" w:rsidRPr="00D97714">
        <w:rPr>
          <w:rFonts w:ascii="Times New Roman" w:hAnsi="Times New Roman" w:cs="Times New Roman"/>
          <w:sz w:val="24"/>
          <w:szCs w:val="24"/>
        </w:rPr>
        <w:t xml:space="preserve">, frequent turnover </w:t>
      </w:r>
      <w:r w:rsidR="00C94543" w:rsidRPr="00D97714">
        <w:rPr>
          <w:rFonts w:ascii="Times New Roman" w:hAnsi="Times New Roman" w:cs="Times New Roman"/>
          <w:sz w:val="24"/>
          <w:szCs w:val="24"/>
        </w:rPr>
        <w:t>in</w:t>
      </w:r>
      <w:r w:rsidR="007C7386" w:rsidRPr="00D97714">
        <w:rPr>
          <w:rFonts w:ascii="Times New Roman" w:hAnsi="Times New Roman" w:cs="Times New Roman"/>
          <w:sz w:val="24"/>
          <w:szCs w:val="24"/>
        </w:rPr>
        <w:t xml:space="preserve"> institutional ownership </w:t>
      </w:r>
      <w:r w:rsidR="0061456C" w:rsidRPr="00D97714">
        <w:rPr>
          <w:rFonts w:ascii="Times New Roman" w:hAnsi="Times New Roman" w:cs="Times New Roman"/>
          <w:sz w:val="24"/>
          <w:szCs w:val="24"/>
        </w:rPr>
        <w:t>could attract the attention</w:t>
      </w:r>
      <w:r w:rsidR="007C7386" w:rsidRPr="00D97714">
        <w:rPr>
          <w:rFonts w:ascii="Times New Roman" w:hAnsi="Times New Roman" w:cs="Times New Roman"/>
          <w:sz w:val="24"/>
          <w:szCs w:val="24"/>
        </w:rPr>
        <w:t xml:space="preserve"> </w:t>
      </w:r>
      <w:r w:rsidR="0061456C" w:rsidRPr="00D97714">
        <w:rPr>
          <w:rFonts w:ascii="Times New Roman" w:hAnsi="Times New Roman" w:cs="Times New Roman"/>
          <w:sz w:val="24"/>
          <w:szCs w:val="24"/>
        </w:rPr>
        <w:t>of activist investors</w:t>
      </w:r>
      <w:r w:rsidR="007C7386" w:rsidRPr="00D97714">
        <w:rPr>
          <w:rFonts w:ascii="Times New Roman" w:hAnsi="Times New Roman" w:cs="Times New Roman"/>
          <w:sz w:val="24"/>
          <w:szCs w:val="24"/>
        </w:rPr>
        <w:t xml:space="preserve">. </w:t>
      </w:r>
      <w:r w:rsidR="00561C7B" w:rsidRPr="00D97714">
        <w:rPr>
          <w:rFonts w:ascii="Times New Roman" w:hAnsi="Times New Roman" w:cs="Times New Roman"/>
          <w:sz w:val="24"/>
          <w:szCs w:val="24"/>
        </w:rPr>
        <w:t xml:space="preserve">Once alerted, activist institutional investors may monitor managerial decisions carefully to determine whether they need to increase control and launch an activism campaign. </w:t>
      </w:r>
      <w:r w:rsidR="007C7386" w:rsidRPr="00D97714">
        <w:rPr>
          <w:rFonts w:ascii="Times New Roman" w:hAnsi="Times New Roman" w:cs="Times New Roman"/>
          <w:sz w:val="24"/>
          <w:szCs w:val="24"/>
        </w:rPr>
        <w:t xml:space="preserve">The CARs are </w:t>
      </w:r>
      <w:r w:rsidR="00074724" w:rsidRPr="00D97714">
        <w:rPr>
          <w:rFonts w:ascii="Times New Roman" w:hAnsi="Times New Roman" w:cs="Times New Roman"/>
          <w:sz w:val="24"/>
          <w:szCs w:val="24"/>
        </w:rPr>
        <w:t>inversely related to ROA</w:t>
      </w:r>
      <w:r w:rsidR="00743BB1" w:rsidRPr="00D97714">
        <w:rPr>
          <w:rFonts w:ascii="Times New Roman" w:hAnsi="Times New Roman" w:cs="Times New Roman"/>
          <w:sz w:val="24"/>
          <w:szCs w:val="24"/>
        </w:rPr>
        <w:t xml:space="preserve"> across all the four models presented</w:t>
      </w:r>
      <w:r w:rsidR="007C7386" w:rsidRPr="00D97714">
        <w:rPr>
          <w:rFonts w:ascii="Times New Roman" w:hAnsi="Times New Roman" w:cs="Times New Roman"/>
          <w:sz w:val="24"/>
          <w:szCs w:val="24"/>
        </w:rPr>
        <w:t xml:space="preserve">, suggesting that </w:t>
      </w:r>
      <w:r w:rsidR="00074724" w:rsidRPr="00D97714">
        <w:rPr>
          <w:rFonts w:ascii="Times New Roman" w:hAnsi="Times New Roman" w:cs="Times New Roman"/>
          <w:sz w:val="24"/>
          <w:szCs w:val="24"/>
        </w:rPr>
        <w:t xml:space="preserve">investors do not expect much gain from </w:t>
      </w:r>
      <w:r w:rsidR="00743BB1" w:rsidRPr="00D97714">
        <w:rPr>
          <w:rFonts w:ascii="Times New Roman" w:hAnsi="Times New Roman" w:cs="Times New Roman"/>
          <w:sz w:val="24"/>
          <w:szCs w:val="24"/>
        </w:rPr>
        <w:t>activist actions</w:t>
      </w:r>
      <w:r w:rsidR="00074724" w:rsidRPr="00D97714">
        <w:rPr>
          <w:rFonts w:ascii="Times New Roman" w:hAnsi="Times New Roman" w:cs="Times New Roman"/>
          <w:sz w:val="24"/>
          <w:szCs w:val="24"/>
        </w:rPr>
        <w:t xml:space="preserve"> at firms that are already profitable. </w:t>
      </w:r>
    </w:p>
    <w:p w14:paraId="2F85AF85" w14:textId="73568931" w:rsidR="00074724" w:rsidRPr="00D97714" w:rsidRDefault="00074724" w:rsidP="00D61D81">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 xml:space="preserve">[INSERT TABLE </w:t>
      </w:r>
      <w:r w:rsidR="00877D1D" w:rsidRPr="00D97714">
        <w:rPr>
          <w:rFonts w:ascii="Times New Roman" w:hAnsi="Times New Roman" w:cs="Times New Roman"/>
          <w:sz w:val="24"/>
          <w:szCs w:val="24"/>
        </w:rPr>
        <w:t>4</w:t>
      </w:r>
      <w:r w:rsidRPr="00D97714">
        <w:rPr>
          <w:rFonts w:ascii="Times New Roman" w:hAnsi="Times New Roman" w:cs="Times New Roman"/>
          <w:sz w:val="24"/>
          <w:szCs w:val="24"/>
        </w:rPr>
        <w:t xml:space="preserve"> ABOUT HERE]</w:t>
      </w:r>
    </w:p>
    <w:p w14:paraId="347D695E" w14:textId="2CBF6CE5" w:rsidR="000C789C" w:rsidRPr="00D97714" w:rsidRDefault="00E56E1F" w:rsidP="00B914D6">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Earlier, we documen</w:t>
      </w:r>
      <w:r w:rsidR="007C7386" w:rsidRPr="00D97714">
        <w:rPr>
          <w:rFonts w:ascii="Times New Roman" w:hAnsi="Times New Roman" w:cs="Times New Roman"/>
          <w:sz w:val="24"/>
          <w:szCs w:val="24"/>
        </w:rPr>
        <w:t>t</w:t>
      </w:r>
      <w:r w:rsidRPr="00D97714">
        <w:rPr>
          <w:rFonts w:ascii="Times New Roman" w:hAnsi="Times New Roman" w:cs="Times New Roman"/>
          <w:sz w:val="24"/>
          <w:szCs w:val="24"/>
        </w:rPr>
        <w:t xml:space="preserve"> an improvement in </w:t>
      </w:r>
      <w:r w:rsidR="00743BB1" w:rsidRPr="00D97714">
        <w:rPr>
          <w:rFonts w:ascii="Times New Roman" w:hAnsi="Times New Roman" w:cs="Times New Roman"/>
          <w:sz w:val="24"/>
          <w:szCs w:val="24"/>
        </w:rPr>
        <w:t xml:space="preserve">the </w:t>
      </w:r>
      <w:r w:rsidRPr="00D97714">
        <w:rPr>
          <w:rFonts w:ascii="Times New Roman" w:hAnsi="Times New Roman" w:cs="Times New Roman"/>
          <w:sz w:val="24"/>
          <w:szCs w:val="24"/>
        </w:rPr>
        <w:t xml:space="preserve">mean and median ratios of operating performance (i.e., </w:t>
      </w:r>
      <m:oMath>
        <m:r>
          <w:rPr>
            <w:rFonts w:ascii="Cambria Math" w:hAnsi="Cambria Math" w:cs="Times New Roman"/>
            <w:sz w:val="24"/>
            <w:szCs w:val="24"/>
          </w:rPr>
          <m:t>ROA</m:t>
        </m:r>
      </m:oMath>
      <w:r w:rsidRPr="00D97714">
        <w:rPr>
          <w:rFonts w:ascii="Times New Roman" w:hAnsi="Times New Roman" w:cs="Times New Roman"/>
          <w:sz w:val="24"/>
          <w:szCs w:val="24"/>
        </w:rPr>
        <w:t xml:space="preserve"> and </w:t>
      </w:r>
      <m:oMath>
        <m:r>
          <w:rPr>
            <w:rFonts w:ascii="Cambria Math" w:hAnsi="Cambria Math" w:cs="Times New Roman"/>
            <w:sz w:val="24"/>
            <w:szCs w:val="24"/>
          </w:rPr>
          <m:t>EBIT/TA</m:t>
        </m:r>
      </m:oMath>
      <w:r w:rsidRPr="00D97714">
        <w:rPr>
          <w:rFonts w:ascii="Times New Roman" w:hAnsi="Times New Roman" w:cs="Times New Roman"/>
          <w:sz w:val="24"/>
          <w:szCs w:val="24"/>
        </w:rPr>
        <w:t xml:space="preserve">) amongst </w:t>
      </w:r>
      <w:r w:rsidR="004C277A" w:rsidRPr="00D97714">
        <w:rPr>
          <w:rFonts w:ascii="Times New Roman" w:hAnsi="Times New Roman" w:cs="Times New Roman"/>
          <w:sz w:val="24"/>
          <w:szCs w:val="24"/>
        </w:rPr>
        <w:t xml:space="preserve">the </w:t>
      </w:r>
      <w:r w:rsidR="00903E10" w:rsidRPr="00D97714">
        <w:rPr>
          <w:rFonts w:ascii="Times New Roman" w:hAnsi="Times New Roman" w:cs="Times New Roman"/>
          <w:sz w:val="24"/>
          <w:szCs w:val="24"/>
        </w:rPr>
        <w:t>non-targeted</w:t>
      </w:r>
      <w:r w:rsidRPr="00D97714">
        <w:rPr>
          <w:rFonts w:ascii="Times New Roman" w:hAnsi="Times New Roman" w:cs="Times New Roman"/>
          <w:sz w:val="24"/>
          <w:szCs w:val="24"/>
        </w:rPr>
        <w:t xml:space="preserve"> firms </w:t>
      </w:r>
      <w:r w:rsidR="007C7386" w:rsidRPr="00D97714">
        <w:rPr>
          <w:rFonts w:ascii="Times New Roman" w:hAnsi="Times New Roman" w:cs="Times New Roman"/>
          <w:sz w:val="24"/>
          <w:szCs w:val="24"/>
        </w:rPr>
        <w:t>upon</w:t>
      </w:r>
      <w:r w:rsidRPr="00D97714">
        <w:rPr>
          <w:rFonts w:ascii="Times New Roman" w:hAnsi="Times New Roman" w:cs="Times New Roman"/>
          <w:sz w:val="24"/>
          <w:szCs w:val="24"/>
        </w:rPr>
        <w:t xml:space="preserve"> the announcements of activism. In this section, we perform multiple regressions of the industry-adjusted </w:t>
      </w:r>
      <m:oMath>
        <m:r>
          <w:rPr>
            <w:rFonts w:ascii="Cambria Math" w:hAnsi="Cambria Math" w:cs="Times New Roman"/>
            <w:sz w:val="24"/>
            <w:szCs w:val="24"/>
          </w:rPr>
          <m:t>ROA</m:t>
        </m:r>
      </m:oMath>
      <w:r w:rsidRPr="00D97714">
        <w:rPr>
          <w:rFonts w:ascii="Times New Roman" w:hAnsi="Times New Roman" w:cs="Times New Roman"/>
          <w:sz w:val="24"/>
          <w:szCs w:val="24"/>
        </w:rPr>
        <w:t xml:space="preserve">s </w:t>
      </w:r>
      <w:r w:rsidR="00CB2FB3" w:rsidRPr="00D97714">
        <w:rPr>
          <w:rFonts w:ascii="Times New Roman" w:hAnsi="Times New Roman" w:cs="Times New Roman"/>
          <w:sz w:val="24"/>
          <w:szCs w:val="24"/>
        </w:rPr>
        <w:t xml:space="preserve">and </w:t>
      </w:r>
      <m:oMath>
        <m:r>
          <w:rPr>
            <w:rFonts w:ascii="Cambria Math" w:hAnsi="Cambria Math" w:cs="Times New Roman"/>
            <w:sz w:val="24"/>
            <w:szCs w:val="24"/>
          </w:rPr>
          <m:t>EBIT/TA</m:t>
        </m:r>
      </m:oMath>
      <w:r w:rsidR="00CB2FB3" w:rsidRPr="00D97714">
        <w:rPr>
          <w:rFonts w:ascii="Times New Roman" w:hAnsi="Times New Roman" w:cs="Times New Roman"/>
          <w:sz w:val="24"/>
          <w:szCs w:val="24"/>
        </w:rPr>
        <w:t xml:space="preserve"> </w:t>
      </w:r>
      <w:r w:rsidRPr="00D97714">
        <w:rPr>
          <w:rFonts w:ascii="Times New Roman" w:hAnsi="Times New Roman" w:cs="Times New Roman"/>
          <w:sz w:val="24"/>
          <w:szCs w:val="24"/>
        </w:rPr>
        <w:t>to determine which factors affect the changes in the operating performance of the matching firm portfolios</w:t>
      </w:r>
      <w:r w:rsidR="004C277A" w:rsidRPr="00D97714">
        <w:rPr>
          <w:rFonts w:ascii="Times New Roman" w:hAnsi="Times New Roman" w:cs="Times New Roman"/>
          <w:sz w:val="24"/>
          <w:szCs w:val="24"/>
        </w:rPr>
        <w:t xml:space="preserve"> using the following equation:</w:t>
      </w:r>
      <w:r w:rsidRPr="00D97714">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21"/>
      </w:tblGrid>
      <w:tr w:rsidR="006B78B1" w:rsidRPr="00D97714" w14:paraId="07C9A61A" w14:textId="77777777" w:rsidTr="000B36BE">
        <w:tc>
          <w:tcPr>
            <w:tcW w:w="8755" w:type="dxa"/>
            <w:vAlign w:val="center"/>
          </w:tcPr>
          <w:p w14:paraId="0DD51232" w14:textId="70490ABE" w:rsidR="006B78B1" w:rsidRPr="00D97714" w:rsidRDefault="006B78B1" w:rsidP="000B36BE">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RO</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WI</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CHANG</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MKCAP</m:t>
                            </m:r>
                          </m:e>
                        </m:d>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IOP</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IO</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OPE</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r>
                      <w:rPr>
                        <w:rFonts w:ascii="Cambria Math" w:hAnsi="Cambria Math" w:cs="Times New Roman"/>
                        <w:sz w:val="24"/>
                        <w:szCs w:val="24"/>
                      </w:rPr>
                      <m:t>CAPE</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r>
                      <w:rPr>
                        <w:rFonts w:ascii="Cambria Math" w:hAnsi="Cambria Math" w:cs="Times New Roman"/>
                        <w:sz w:val="24"/>
                        <w:szCs w:val="24"/>
                      </w:rPr>
                      <m:t>DEB</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m:t>
                        </m:r>
                      </m:sub>
                    </m:sSub>
                  </m:e>
                </m:func>
              </m:oMath>
            </m:oMathPara>
          </w:p>
        </w:tc>
        <w:tc>
          <w:tcPr>
            <w:tcW w:w="821" w:type="dxa"/>
            <w:vAlign w:val="center"/>
          </w:tcPr>
          <w:p w14:paraId="4227B14D" w14:textId="29A6F68C" w:rsidR="006B78B1" w:rsidRPr="00D97714" w:rsidRDefault="006B78B1" w:rsidP="006B78B1">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(8)</w:t>
            </w:r>
          </w:p>
        </w:tc>
      </w:tr>
    </w:tbl>
    <w:p w14:paraId="65A18027" w14:textId="46C164C8" w:rsidR="000C789C" w:rsidRPr="00D97714" w:rsidRDefault="000C789C" w:rsidP="000C789C">
      <w:pPr>
        <w:spacing w:line="480" w:lineRule="auto"/>
        <w:rPr>
          <w:rFonts w:ascii="Times New Roman" w:hAnsi="Times New Roman" w:cs="Times New Roman"/>
          <w:sz w:val="24"/>
          <w:szCs w:val="24"/>
        </w:rPr>
      </w:pPr>
      <w:r w:rsidRPr="00D97714">
        <w:rPr>
          <w:rFonts w:ascii="Times New Roman" w:hAnsi="Times New Roman" w:cs="Times New Roman"/>
          <w:sz w:val="24"/>
          <w:szCs w:val="24"/>
        </w:rPr>
        <w:t xml:space="preserve">where </w:t>
      </w:r>
      <m:oMath>
        <m:r>
          <w:rPr>
            <w:rFonts w:ascii="Cambria Math" w:hAnsi="Cambria Math" w:cs="Times New Roman"/>
            <w:sz w:val="24"/>
            <w:szCs w:val="24"/>
          </w:rPr>
          <m:t>ROA</m:t>
        </m:r>
      </m:oMath>
      <w:r w:rsidRPr="00D97714">
        <w:rPr>
          <w:rFonts w:ascii="Times New Roman" w:hAnsi="Times New Roman" w:cs="Times New Roman"/>
          <w:sz w:val="24"/>
          <w:szCs w:val="24"/>
        </w:rPr>
        <w:t xml:space="preserve"> is the industry-adjusted </w:t>
      </w:r>
      <m:oMath>
        <m:r>
          <w:rPr>
            <w:rFonts w:ascii="Cambria Math" w:hAnsi="Cambria Math" w:cs="Times New Roman"/>
            <w:sz w:val="24"/>
            <w:szCs w:val="24"/>
          </w:rPr>
          <m:t>ROA</m:t>
        </m:r>
      </m:oMath>
      <w:r w:rsidRPr="00D97714">
        <w:rPr>
          <w:rFonts w:ascii="Times New Roman" w:hAnsi="Times New Roman" w:cs="Times New Roman"/>
          <w:sz w:val="24"/>
          <w:szCs w:val="24"/>
        </w:rPr>
        <w:t xml:space="preserve">, </w:t>
      </w:r>
      <m:oMath>
        <m:r>
          <w:rPr>
            <w:rFonts w:ascii="Cambria Math" w:hAnsi="Cambria Math" w:cs="Times New Roman"/>
            <w:sz w:val="24"/>
            <w:szCs w:val="24"/>
          </w:rPr>
          <m:t>OPEX</m:t>
        </m:r>
      </m:oMath>
      <w:r w:rsidRPr="00D97714">
        <w:rPr>
          <w:rFonts w:ascii="Times New Roman" w:hAnsi="Times New Roman" w:cs="Times New Roman"/>
          <w:sz w:val="24"/>
          <w:szCs w:val="24"/>
        </w:rPr>
        <w:t xml:space="preserve"> is the ratio of operating expenses-to-Total Assets and </w:t>
      </w:r>
      <m:oMath>
        <m:r>
          <w:rPr>
            <w:rFonts w:ascii="Cambria Math" w:hAnsi="Cambria Math" w:cs="Times New Roman"/>
            <w:sz w:val="24"/>
            <w:szCs w:val="24"/>
          </w:rPr>
          <m:t>CAPEX</m:t>
        </m:r>
      </m:oMath>
      <w:r w:rsidRPr="00D97714">
        <w:rPr>
          <w:rFonts w:ascii="Times New Roman" w:hAnsi="Times New Roman" w:cs="Times New Roman"/>
          <w:sz w:val="24"/>
          <w:szCs w:val="24"/>
        </w:rPr>
        <w:t xml:space="preserve"> is the ratio of Capital Expenditure-to-Total Assets. The remainder variables are as defined earlier. In a second regression, we replace the dependent variable by the industry-adjusted figure of </w:t>
      </w:r>
      <m:oMath>
        <m:r>
          <w:rPr>
            <w:rFonts w:ascii="Cambria Math" w:hAnsi="Cambria Math" w:cs="Times New Roman"/>
            <w:sz w:val="24"/>
            <w:szCs w:val="24"/>
          </w:rPr>
          <m:t>EBIT/TA</m:t>
        </m:r>
      </m:oMath>
      <w:r w:rsidR="007C7386" w:rsidRPr="00D97714">
        <w:rPr>
          <w:rFonts w:ascii="Times New Roman" w:hAnsi="Times New Roman" w:cs="Times New Roman"/>
          <w:sz w:val="24"/>
          <w:szCs w:val="24"/>
        </w:rPr>
        <w:t xml:space="preserve"> as an alternative m</w:t>
      </w:r>
      <w:r w:rsidR="00DE53E8" w:rsidRPr="00D97714">
        <w:rPr>
          <w:rFonts w:ascii="Times New Roman" w:hAnsi="Times New Roman" w:cs="Times New Roman"/>
          <w:sz w:val="24"/>
          <w:szCs w:val="24"/>
        </w:rPr>
        <w:t xml:space="preserve">easure of operating performance. </w:t>
      </w:r>
      <w:r w:rsidR="00144868" w:rsidRPr="00D97714">
        <w:rPr>
          <w:rFonts w:ascii="Times New Roman" w:hAnsi="Times New Roman" w:cs="Times New Roman"/>
          <w:sz w:val="24"/>
          <w:szCs w:val="24"/>
        </w:rPr>
        <w:t xml:space="preserve">We present our findings in Table </w:t>
      </w:r>
      <w:r w:rsidR="0019693E" w:rsidRPr="00D97714">
        <w:rPr>
          <w:rFonts w:ascii="Times New Roman" w:hAnsi="Times New Roman" w:cs="Times New Roman"/>
          <w:sz w:val="24"/>
          <w:szCs w:val="24"/>
        </w:rPr>
        <w:t>5</w:t>
      </w:r>
      <w:r w:rsidR="00144868" w:rsidRPr="00D97714">
        <w:rPr>
          <w:rFonts w:ascii="Times New Roman" w:hAnsi="Times New Roman" w:cs="Times New Roman"/>
          <w:sz w:val="24"/>
          <w:szCs w:val="24"/>
        </w:rPr>
        <w:t xml:space="preserve">. </w:t>
      </w:r>
    </w:p>
    <w:p w14:paraId="36DBE83E" w14:textId="20245AB3" w:rsidR="003D5C21" w:rsidRPr="00D97714" w:rsidRDefault="003D5C21" w:rsidP="003D5C21">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 xml:space="preserve">[INSERT TABLE </w:t>
      </w:r>
      <w:r w:rsidR="0019693E" w:rsidRPr="00D97714">
        <w:rPr>
          <w:rFonts w:ascii="Times New Roman" w:hAnsi="Times New Roman" w:cs="Times New Roman"/>
          <w:sz w:val="24"/>
          <w:szCs w:val="24"/>
        </w:rPr>
        <w:t>5</w:t>
      </w:r>
      <w:r w:rsidRPr="00D97714">
        <w:rPr>
          <w:rFonts w:ascii="Times New Roman" w:hAnsi="Times New Roman" w:cs="Times New Roman"/>
          <w:sz w:val="24"/>
          <w:szCs w:val="24"/>
        </w:rPr>
        <w:t xml:space="preserve"> ABOUT HERE]</w:t>
      </w:r>
    </w:p>
    <w:p w14:paraId="36AB5B28" w14:textId="1B02644A" w:rsidR="00074724" w:rsidRPr="00D97714" w:rsidRDefault="00DE53E8" w:rsidP="003D5C21">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We pool </w:t>
      </w:r>
      <w:r w:rsidR="0061456C" w:rsidRPr="00D97714">
        <w:rPr>
          <w:rFonts w:ascii="Times New Roman" w:hAnsi="Times New Roman" w:cs="Times New Roman"/>
          <w:sz w:val="24"/>
          <w:szCs w:val="24"/>
        </w:rPr>
        <w:t>observation</w:t>
      </w:r>
      <w:r w:rsidR="00E11451" w:rsidRPr="00D97714">
        <w:rPr>
          <w:rFonts w:ascii="Times New Roman" w:hAnsi="Times New Roman" w:cs="Times New Roman"/>
          <w:sz w:val="24"/>
          <w:szCs w:val="24"/>
        </w:rPr>
        <w:t>s</w:t>
      </w:r>
      <w:r w:rsidR="0061456C" w:rsidRPr="00D97714">
        <w:rPr>
          <w:rFonts w:ascii="Times New Roman" w:hAnsi="Times New Roman" w:cs="Times New Roman"/>
          <w:sz w:val="24"/>
          <w:szCs w:val="24"/>
        </w:rPr>
        <w:t xml:space="preserve"> from</w:t>
      </w:r>
      <w:r w:rsidR="009871B7" w:rsidRPr="00D97714">
        <w:rPr>
          <w:rFonts w:ascii="Times New Roman" w:hAnsi="Times New Roman" w:cs="Times New Roman"/>
          <w:sz w:val="24"/>
          <w:szCs w:val="24"/>
        </w:rPr>
        <w:t xml:space="preserve"> </w:t>
      </w:r>
      <w:r w:rsidR="0061456C" w:rsidRPr="00D97714">
        <w:rPr>
          <w:rFonts w:ascii="Times New Roman" w:hAnsi="Times New Roman" w:cs="Times New Roman"/>
          <w:sz w:val="24"/>
          <w:szCs w:val="24"/>
        </w:rPr>
        <w:t>prior to and after</w:t>
      </w:r>
      <w:r w:rsidR="009871B7" w:rsidRPr="00D97714">
        <w:rPr>
          <w:rFonts w:ascii="Times New Roman" w:hAnsi="Times New Roman" w:cs="Times New Roman"/>
          <w:sz w:val="24"/>
          <w:szCs w:val="24"/>
        </w:rPr>
        <w:t xml:space="preserve"> the activism announcement. </w:t>
      </w:r>
      <w:r w:rsidR="00E56E1F" w:rsidRPr="00D97714">
        <w:rPr>
          <w:rFonts w:ascii="Times New Roman" w:hAnsi="Times New Roman" w:cs="Times New Roman"/>
          <w:sz w:val="24"/>
          <w:szCs w:val="24"/>
        </w:rPr>
        <w:t xml:space="preserve">We include a dummy variable </w:t>
      </w:r>
      <m:oMath>
        <m:r>
          <w:rPr>
            <w:rFonts w:ascii="Cambria Math" w:hAnsi="Cambria Math" w:cs="Times New Roman"/>
            <w:sz w:val="24"/>
            <w:szCs w:val="24"/>
          </w:rPr>
          <m:t>AFTER</m:t>
        </m:r>
      </m:oMath>
      <w:r w:rsidR="00E56E1F" w:rsidRPr="00D97714">
        <w:rPr>
          <w:rFonts w:ascii="Times New Roman" w:hAnsi="Times New Roman" w:cs="Times New Roman"/>
          <w:sz w:val="24"/>
          <w:szCs w:val="24"/>
        </w:rPr>
        <w:t xml:space="preserve"> to represent </w:t>
      </w:r>
      <w:r w:rsidR="0061456C" w:rsidRPr="00D97714">
        <w:rPr>
          <w:rFonts w:ascii="Times New Roman" w:hAnsi="Times New Roman" w:cs="Times New Roman"/>
          <w:sz w:val="24"/>
          <w:szCs w:val="24"/>
        </w:rPr>
        <w:t>the time period</w:t>
      </w:r>
      <w:r w:rsidR="00E56E1F" w:rsidRPr="00D97714">
        <w:rPr>
          <w:rFonts w:ascii="Times New Roman" w:hAnsi="Times New Roman" w:cs="Times New Roman"/>
          <w:sz w:val="24"/>
          <w:szCs w:val="24"/>
        </w:rPr>
        <w:t xml:space="preserve"> following the announcement.</w:t>
      </w:r>
      <w:r w:rsidR="00B90D61" w:rsidRPr="00D97714">
        <w:rPr>
          <w:rFonts w:ascii="Times New Roman" w:hAnsi="Times New Roman" w:cs="Times New Roman"/>
          <w:sz w:val="24"/>
          <w:szCs w:val="24"/>
        </w:rPr>
        <w:t xml:space="preserve"> </w:t>
      </w:r>
      <w:r w:rsidR="0061456C" w:rsidRPr="00D97714">
        <w:rPr>
          <w:rFonts w:ascii="Times New Roman" w:hAnsi="Times New Roman" w:cs="Times New Roman"/>
          <w:sz w:val="24"/>
          <w:szCs w:val="24"/>
        </w:rPr>
        <w:t xml:space="preserve">Consistent with hypothesis H3, </w:t>
      </w:r>
      <w:r w:rsidR="00B90D61" w:rsidRPr="00D97714">
        <w:rPr>
          <w:rFonts w:ascii="Times New Roman" w:hAnsi="Times New Roman" w:cs="Times New Roman"/>
          <w:sz w:val="24"/>
          <w:szCs w:val="24"/>
        </w:rPr>
        <w:t xml:space="preserve">the coefficient of the dummy variable is positive and highly significant, which </w:t>
      </w:r>
      <w:r w:rsidR="00E11451" w:rsidRPr="00D97714">
        <w:rPr>
          <w:rFonts w:ascii="Times New Roman" w:hAnsi="Times New Roman" w:cs="Times New Roman"/>
          <w:sz w:val="24"/>
          <w:szCs w:val="24"/>
        </w:rPr>
        <w:t>indicates</w:t>
      </w:r>
      <w:r w:rsidR="00B90D61" w:rsidRPr="00D97714">
        <w:rPr>
          <w:rFonts w:ascii="Times New Roman" w:hAnsi="Times New Roman" w:cs="Times New Roman"/>
          <w:sz w:val="24"/>
          <w:szCs w:val="24"/>
        </w:rPr>
        <w:t xml:space="preserve"> an improvement in the </w:t>
      </w:r>
      <w:r w:rsidR="00CB2FB3" w:rsidRPr="00D97714">
        <w:rPr>
          <w:rFonts w:ascii="Times New Roman" w:hAnsi="Times New Roman" w:cs="Times New Roman"/>
          <w:sz w:val="24"/>
          <w:szCs w:val="24"/>
        </w:rPr>
        <w:t>operating performance</w:t>
      </w:r>
      <w:r w:rsidR="00B90D61" w:rsidRPr="00D97714">
        <w:rPr>
          <w:rFonts w:ascii="Times New Roman" w:hAnsi="Times New Roman" w:cs="Times New Roman"/>
          <w:sz w:val="24"/>
          <w:szCs w:val="24"/>
        </w:rPr>
        <w:t xml:space="preserve"> of the matched firms following the activism announcements.</w:t>
      </w:r>
    </w:p>
    <w:p w14:paraId="51CFC185" w14:textId="3B3F3F1B" w:rsidR="00712A92" w:rsidRPr="00D97714" w:rsidRDefault="00CB2FB3" w:rsidP="006853FA">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Consistent with the findings on stock performance (i.e., </w:t>
      </w:r>
      <m:oMath>
        <m:r>
          <w:rPr>
            <w:rFonts w:ascii="Cambria Math" w:hAnsi="Cambria Math" w:cs="Times New Roman"/>
            <w:sz w:val="24"/>
            <w:szCs w:val="24"/>
          </w:rPr>
          <m:t>CARs</m:t>
        </m:r>
      </m:oMath>
      <w:r w:rsidRPr="00D97714">
        <w:rPr>
          <w:rFonts w:ascii="Times New Roman" w:hAnsi="Times New Roman" w:cs="Times New Roman"/>
          <w:sz w:val="24"/>
          <w:szCs w:val="24"/>
        </w:rPr>
        <w:t>)</w:t>
      </w:r>
      <w:r w:rsidR="00E11451" w:rsidRPr="00D97714">
        <w:rPr>
          <w:rFonts w:ascii="Times New Roman" w:hAnsi="Times New Roman" w:cs="Times New Roman"/>
          <w:sz w:val="24"/>
          <w:szCs w:val="24"/>
        </w:rPr>
        <w:t xml:space="preserve"> and hypothesis H4</w:t>
      </w:r>
      <w:r w:rsidRPr="00D97714">
        <w:rPr>
          <w:rFonts w:ascii="Times New Roman" w:hAnsi="Times New Roman" w:cs="Times New Roman"/>
          <w:sz w:val="24"/>
          <w:szCs w:val="24"/>
        </w:rPr>
        <w:t>,</w:t>
      </w:r>
      <w:r w:rsidR="00DD53DB" w:rsidRPr="00D97714">
        <w:rPr>
          <w:rFonts w:ascii="Times New Roman" w:hAnsi="Times New Roman" w:cs="Times New Roman"/>
          <w:sz w:val="24"/>
          <w:szCs w:val="24"/>
        </w:rPr>
        <w:t xml:space="preserve"> we find that </w:t>
      </w:r>
      <w:r w:rsidR="00E11451" w:rsidRPr="00D97714">
        <w:rPr>
          <w:rFonts w:ascii="Times New Roman" w:hAnsi="Times New Roman" w:cs="Times New Roman"/>
          <w:sz w:val="24"/>
          <w:szCs w:val="24"/>
        </w:rPr>
        <w:t>the operating</w:t>
      </w:r>
      <w:r w:rsidRPr="00D97714">
        <w:rPr>
          <w:rFonts w:ascii="Times New Roman" w:hAnsi="Times New Roman" w:cs="Times New Roman"/>
          <w:sz w:val="24"/>
          <w:szCs w:val="24"/>
        </w:rPr>
        <w:t xml:space="preserve"> performance</w:t>
      </w:r>
      <w:r w:rsidR="00E11451" w:rsidRPr="00D97714">
        <w:rPr>
          <w:rFonts w:ascii="Times New Roman" w:hAnsi="Times New Roman" w:cs="Times New Roman"/>
          <w:sz w:val="24"/>
          <w:szCs w:val="24"/>
        </w:rPr>
        <w:t>,</w:t>
      </w:r>
      <w:r w:rsidR="00E11451" w:rsidRPr="00D97714" w:rsidDel="00E11451">
        <w:rPr>
          <w:rFonts w:ascii="Times New Roman" w:hAnsi="Times New Roman" w:cs="Times New Roman"/>
          <w:sz w:val="24"/>
          <w:szCs w:val="24"/>
        </w:rPr>
        <w:t xml:space="preserve"> </w:t>
      </w:r>
      <w:r w:rsidR="00E11451" w:rsidRPr="00D97714">
        <w:rPr>
          <w:rFonts w:ascii="Times New Roman" w:hAnsi="Times New Roman" w:cs="Times New Roman"/>
          <w:sz w:val="24"/>
          <w:szCs w:val="24"/>
        </w:rPr>
        <w:t xml:space="preserve">either </w:t>
      </w:r>
      <m:oMath>
        <m:r>
          <w:rPr>
            <w:rFonts w:ascii="Cambria Math" w:hAnsi="Cambria Math" w:cs="Times New Roman"/>
            <w:sz w:val="24"/>
            <w:szCs w:val="24"/>
          </w:rPr>
          <m:t>ROA</m:t>
        </m:r>
      </m:oMath>
      <w:r w:rsidR="00DD53DB" w:rsidRPr="00D97714">
        <w:rPr>
          <w:rFonts w:ascii="Times New Roman" w:hAnsi="Times New Roman" w:cs="Times New Roman"/>
          <w:sz w:val="24"/>
          <w:szCs w:val="24"/>
        </w:rPr>
        <w:t xml:space="preserve"> </w:t>
      </w:r>
      <w:r w:rsidR="00E11451" w:rsidRPr="00D97714">
        <w:rPr>
          <w:rFonts w:ascii="Times New Roman" w:hAnsi="Times New Roman" w:cs="Times New Roman"/>
          <w:sz w:val="24"/>
          <w:szCs w:val="24"/>
        </w:rPr>
        <w:t xml:space="preserve">or </w:t>
      </w:r>
      <m:oMath>
        <m:r>
          <w:rPr>
            <w:rFonts w:ascii="Cambria Math" w:hAnsi="Cambria Math" w:cs="Times New Roman"/>
            <w:sz w:val="24"/>
            <w:szCs w:val="24"/>
          </w:rPr>
          <m:t>EBIT/TA</m:t>
        </m:r>
      </m:oMath>
      <w:r w:rsidRPr="00D97714">
        <w:rPr>
          <w:rFonts w:ascii="Times New Roman" w:hAnsi="Times New Roman" w:cs="Times New Roman"/>
          <w:sz w:val="24"/>
          <w:szCs w:val="24"/>
        </w:rPr>
        <w:t xml:space="preserve"> is positively correlated </w:t>
      </w:r>
      <w:r w:rsidR="00A15E61" w:rsidRPr="00D97714">
        <w:rPr>
          <w:rFonts w:ascii="Times New Roman" w:hAnsi="Times New Roman" w:cs="Times New Roman"/>
          <w:sz w:val="24"/>
          <w:szCs w:val="24"/>
        </w:rPr>
        <w:t xml:space="preserve">to </w:t>
      </w:r>
      <w:r w:rsidRPr="00D97714">
        <w:rPr>
          <w:rFonts w:ascii="Times New Roman" w:hAnsi="Times New Roman" w:cs="Times New Roman"/>
          <w:sz w:val="24"/>
          <w:szCs w:val="24"/>
        </w:rPr>
        <w:t xml:space="preserve">the variable </w:t>
      </w:r>
      <m:oMath>
        <m:r>
          <w:rPr>
            <w:rFonts w:ascii="Cambria Math" w:hAnsi="Cambria Math" w:cs="Times New Roman"/>
            <w:sz w:val="24"/>
            <w:szCs w:val="24"/>
          </w:rPr>
          <m:t>IOPr</m:t>
        </m:r>
      </m:oMath>
      <w:r w:rsidRPr="00D97714">
        <w:rPr>
          <w:rFonts w:ascii="Times New Roman" w:hAnsi="Times New Roman" w:cs="Times New Roman"/>
          <w:sz w:val="24"/>
          <w:szCs w:val="24"/>
        </w:rPr>
        <w:t xml:space="preserve"> (</w:t>
      </w:r>
      <w:r w:rsidR="00E11451" w:rsidRPr="00D97714">
        <w:rPr>
          <w:rFonts w:ascii="Times New Roman" w:hAnsi="Times New Roman" w:cs="Times New Roman"/>
          <w:sz w:val="24"/>
          <w:szCs w:val="24"/>
        </w:rPr>
        <w:t xml:space="preserve">both </w:t>
      </w:r>
      <w:r w:rsidR="00DD53DB" w:rsidRPr="00D97714">
        <w:rPr>
          <w:rFonts w:ascii="Times New Roman" w:hAnsi="Times New Roman" w:cs="Times New Roman"/>
          <w:sz w:val="24"/>
          <w:szCs w:val="24"/>
        </w:rPr>
        <w:t>coefficient</w:t>
      </w:r>
      <w:r w:rsidR="00E11451" w:rsidRPr="00D97714">
        <w:rPr>
          <w:rFonts w:ascii="Times New Roman" w:hAnsi="Times New Roman" w:cs="Times New Roman"/>
          <w:sz w:val="24"/>
          <w:szCs w:val="24"/>
        </w:rPr>
        <w:t>s</w:t>
      </w:r>
      <w:r w:rsidR="00DD53DB" w:rsidRPr="00D97714">
        <w:rPr>
          <w:rFonts w:ascii="Times New Roman" w:hAnsi="Times New Roman" w:cs="Times New Roman"/>
          <w:sz w:val="24"/>
          <w:szCs w:val="24"/>
        </w:rPr>
        <w:t xml:space="preserve"> </w:t>
      </w:r>
      <w:r w:rsidR="00E11451" w:rsidRPr="00D97714">
        <w:rPr>
          <w:rFonts w:ascii="Times New Roman" w:hAnsi="Times New Roman" w:cs="Times New Roman"/>
          <w:sz w:val="24"/>
          <w:szCs w:val="24"/>
        </w:rPr>
        <w:t xml:space="preserve">are </w:t>
      </w:r>
      <w:r w:rsidR="00DD53DB" w:rsidRPr="00D97714">
        <w:rPr>
          <w:rFonts w:ascii="Times New Roman" w:hAnsi="Times New Roman" w:cs="Times New Roman"/>
          <w:sz w:val="24"/>
          <w:szCs w:val="24"/>
        </w:rPr>
        <w:t>positive and highly significant</w:t>
      </w:r>
      <w:r w:rsidRPr="00D97714">
        <w:rPr>
          <w:rFonts w:ascii="Times New Roman" w:hAnsi="Times New Roman" w:cs="Times New Roman"/>
          <w:sz w:val="24"/>
          <w:szCs w:val="24"/>
        </w:rPr>
        <w:t>)</w:t>
      </w:r>
      <w:r w:rsidR="00DD53DB" w:rsidRPr="00D97714">
        <w:rPr>
          <w:rFonts w:ascii="Times New Roman" w:hAnsi="Times New Roman" w:cs="Times New Roman"/>
          <w:sz w:val="24"/>
          <w:szCs w:val="24"/>
        </w:rPr>
        <w:t>.</w:t>
      </w:r>
      <w:r w:rsidR="006853FA" w:rsidRPr="00D97714">
        <w:rPr>
          <w:rFonts w:ascii="Times New Roman" w:hAnsi="Times New Roman" w:cs="Times New Roman"/>
          <w:sz w:val="24"/>
          <w:szCs w:val="24"/>
        </w:rPr>
        <w:t xml:space="preserve"> Managers at non-targeted firms </w:t>
      </w:r>
      <w:r w:rsidR="00E11451" w:rsidRPr="00D97714">
        <w:rPr>
          <w:rFonts w:ascii="Times New Roman" w:hAnsi="Times New Roman" w:cs="Times New Roman"/>
          <w:sz w:val="24"/>
          <w:szCs w:val="24"/>
        </w:rPr>
        <w:t>would be wary of potential activist campaigns in the presence of high institutional share ownership</w:t>
      </w:r>
      <w:r w:rsidR="006853FA" w:rsidRPr="00D97714">
        <w:rPr>
          <w:rFonts w:ascii="Times New Roman" w:hAnsi="Times New Roman" w:cs="Times New Roman"/>
          <w:sz w:val="24"/>
          <w:szCs w:val="24"/>
        </w:rPr>
        <w:t xml:space="preserve">. With their voting power and significant influence on all other shareholders, </w:t>
      </w:r>
      <w:r w:rsidR="00712A92" w:rsidRPr="00D97714">
        <w:rPr>
          <w:rFonts w:ascii="Times New Roman" w:hAnsi="Times New Roman" w:cs="Times New Roman"/>
          <w:sz w:val="24"/>
          <w:szCs w:val="24"/>
        </w:rPr>
        <w:t>large</w:t>
      </w:r>
      <w:r w:rsidR="006853FA" w:rsidRPr="00D97714">
        <w:rPr>
          <w:rFonts w:ascii="Times New Roman" w:hAnsi="Times New Roman" w:cs="Times New Roman"/>
          <w:sz w:val="24"/>
          <w:szCs w:val="24"/>
        </w:rPr>
        <w:t xml:space="preserve"> institutional investors are likely to be successful in erecting activism campaigns, which in turn prompts management at these firms to </w:t>
      </w:r>
      <w:r w:rsidR="00712A92" w:rsidRPr="00D97714">
        <w:rPr>
          <w:rFonts w:ascii="Times New Roman" w:hAnsi="Times New Roman" w:cs="Times New Roman"/>
          <w:sz w:val="24"/>
          <w:szCs w:val="24"/>
        </w:rPr>
        <w:t>take remedial actions</w:t>
      </w:r>
      <w:r w:rsidR="006853FA" w:rsidRPr="00D97714">
        <w:rPr>
          <w:rFonts w:ascii="Times New Roman" w:hAnsi="Times New Roman" w:cs="Times New Roman"/>
          <w:sz w:val="24"/>
          <w:szCs w:val="24"/>
        </w:rPr>
        <w:t xml:space="preserve"> to preempt </w:t>
      </w:r>
      <w:r w:rsidR="00712A92" w:rsidRPr="00D97714">
        <w:rPr>
          <w:rFonts w:ascii="Times New Roman" w:hAnsi="Times New Roman" w:cs="Times New Roman"/>
          <w:sz w:val="24"/>
          <w:szCs w:val="24"/>
        </w:rPr>
        <w:t>the investors</w:t>
      </w:r>
      <w:r w:rsidR="006853FA" w:rsidRPr="00D97714">
        <w:rPr>
          <w:rFonts w:ascii="Times New Roman" w:hAnsi="Times New Roman" w:cs="Times New Roman"/>
          <w:sz w:val="24"/>
          <w:szCs w:val="24"/>
        </w:rPr>
        <w:t xml:space="preserve">. </w:t>
      </w:r>
    </w:p>
    <w:p w14:paraId="2997E05A" w14:textId="2AD28AA4" w:rsidR="00CB2FB3" w:rsidRPr="00D97714" w:rsidRDefault="00712A92" w:rsidP="006853FA">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Next, and consistent with hypothesis H5, the </w:t>
      </w:r>
      <w:r w:rsidR="00DD53DB" w:rsidRPr="00D97714">
        <w:rPr>
          <w:rFonts w:ascii="Times New Roman" w:hAnsi="Times New Roman" w:cs="Times New Roman"/>
          <w:sz w:val="24"/>
          <w:szCs w:val="24"/>
        </w:rPr>
        <w:t xml:space="preserve">coefficient of </w:t>
      </w:r>
      <m:oMath>
        <m:r>
          <w:rPr>
            <w:rFonts w:ascii="Cambria Math" w:hAnsi="Cambria Math" w:cs="Times New Roman"/>
            <w:sz w:val="24"/>
            <w:szCs w:val="24"/>
          </w:rPr>
          <m:t>IOV</m:t>
        </m:r>
      </m:oMath>
      <w:r w:rsidR="00DD53DB" w:rsidRPr="00D97714">
        <w:rPr>
          <w:rFonts w:ascii="Times New Roman" w:hAnsi="Times New Roman" w:cs="Times New Roman"/>
          <w:sz w:val="24"/>
          <w:szCs w:val="24"/>
        </w:rPr>
        <w:t xml:space="preserve"> is negative and significant, suggesting that matching </w:t>
      </w:r>
      <w:r w:rsidR="00DD20E1" w:rsidRPr="00D97714">
        <w:rPr>
          <w:rFonts w:ascii="Times New Roman" w:hAnsi="Times New Roman" w:cs="Times New Roman"/>
          <w:sz w:val="24"/>
          <w:szCs w:val="24"/>
        </w:rPr>
        <w:t xml:space="preserve">non-targeted </w:t>
      </w:r>
      <w:r w:rsidR="00DD53DB" w:rsidRPr="00D97714">
        <w:rPr>
          <w:rFonts w:ascii="Times New Roman" w:hAnsi="Times New Roman" w:cs="Times New Roman"/>
          <w:sz w:val="24"/>
          <w:szCs w:val="24"/>
        </w:rPr>
        <w:t>firms that experience constant changes</w:t>
      </w:r>
      <w:r w:rsidR="00DD20E1" w:rsidRPr="00D97714">
        <w:rPr>
          <w:rFonts w:ascii="Times New Roman" w:hAnsi="Times New Roman" w:cs="Times New Roman"/>
          <w:sz w:val="24"/>
          <w:szCs w:val="24"/>
        </w:rPr>
        <w:t xml:space="preserve"> in institutional ownership</w:t>
      </w:r>
      <w:r w:rsidR="00DD53DB" w:rsidRPr="00D97714">
        <w:rPr>
          <w:rFonts w:ascii="Times New Roman" w:hAnsi="Times New Roman" w:cs="Times New Roman"/>
          <w:sz w:val="24"/>
          <w:szCs w:val="24"/>
        </w:rPr>
        <w:t xml:space="preserve"> fail to </w:t>
      </w:r>
      <w:r w:rsidRPr="00D97714">
        <w:rPr>
          <w:rFonts w:ascii="Times New Roman" w:hAnsi="Times New Roman" w:cs="Times New Roman"/>
          <w:sz w:val="24"/>
          <w:szCs w:val="24"/>
        </w:rPr>
        <w:t>realize</w:t>
      </w:r>
      <w:r w:rsidR="00DD53DB" w:rsidRPr="00D97714">
        <w:rPr>
          <w:rFonts w:ascii="Times New Roman" w:hAnsi="Times New Roman" w:cs="Times New Roman"/>
          <w:sz w:val="24"/>
          <w:szCs w:val="24"/>
        </w:rPr>
        <w:t xml:space="preserve"> improvements in their operating performance.</w:t>
      </w:r>
      <w:r w:rsidR="00144868" w:rsidRPr="00D97714">
        <w:rPr>
          <w:rFonts w:ascii="Times New Roman" w:hAnsi="Times New Roman" w:cs="Times New Roman"/>
          <w:sz w:val="24"/>
          <w:szCs w:val="24"/>
        </w:rPr>
        <w:t xml:space="preserve"> </w:t>
      </w:r>
      <w:r w:rsidR="00BF71ED" w:rsidRPr="00D97714">
        <w:rPr>
          <w:rFonts w:ascii="Times New Roman" w:hAnsi="Times New Roman" w:cs="Times New Roman"/>
          <w:sz w:val="24"/>
          <w:szCs w:val="24"/>
        </w:rPr>
        <w:t xml:space="preserve">Constant turnover of institutional ownership </w:t>
      </w:r>
      <w:r w:rsidRPr="00D97714">
        <w:rPr>
          <w:rFonts w:ascii="Times New Roman" w:hAnsi="Times New Roman" w:cs="Times New Roman"/>
          <w:sz w:val="24"/>
          <w:szCs w:val="24"/>
        </w:rPr>
        <w:t>inhibits</w:t>
      </w:r>
      <w:r w:rsidR="006374D6" w:rsidRPr="00D97714">
        <w:rPr>
          <w:rFonts w:ascii="Times New Roman" w:hAnsi="Times New Roman" w:cs="Times New Roman"/>
          <w:sz w:val="24"/>
          <w:szCs w:val="24"/>
        </w:rPr>
        <w:t xml:space="preserve"> effective </w:t>
      </w:r>
      <w:r w:rsidRPr="00D97714">
        <w:rPr>
          <w:rFonts w:ascii="Times New Roman" w:hAnsi="Times New Roman" w:cs="Times New Roman"/>
          <w:sz w:val="24"/>
          <w:szCs w:val="24"/>
        </w:rPr>
        <w:t>strategy implementation, which is in part due to the absence of the monitoring performed by more stable and long-term institutional investors</w:t>
      </w:r>
      <w:r w:rsidR="006374D6" w:rsidRPr="00D97714">
        <w:rPr>
          <w:rFonts w:ascii="Times New Roman" w:hAnsi="Times New Roman" w:cs="Times New Roman"/>
          <w:sz w:val="24"/>
          <w:szCs w:val="24"/>
        </w:rPr>
        <w:t xml:space="preserve">. </w:t>
      </w:r>
      <w:r w:rsidRPr="00D97714">
        <w:rPr>
          <w:rFonts w:ascii="Times New Roman" w:hAnsi="Times New Roman" w:cs="Times New Roman"/>
          <w:sz w:val="24"/>
          <w:szCs w:val="24"/>
        </w:rPr>
        <w:t>I</w:t>
      </w:r>
      <w:r w:rsidR="006374D6" w:rsidRPr="00D97714">
        <w:rPr>
          <w:rFonts w:ascii="Times New Roman" w:hAnsi="Times New Roman" w:cs="Times New Roman"/>
          <w:sz w:val="24"/>
          <w:szCs w:val="24"/>
        </w:rPr>
        <w:t xml:space="preserve">nstitutional owners who constantly adjust their holdings of portfolio firms are short-term oriented and </w:t>
      </w:r>
      <w:r w:rsidRPr="00D97714">
        <w:rPr>
          <w:rFonts w:ascii="Times New Roman" w:hAnsi="Times New Roman" w:cs="Times New Roman"/>
          <w:sz w:val="24"/>
          <w:szCs w:val="24"/>
        </w:rPr>
        <w:t>are less inclined</w:t>
      </w:r>
      <w:r w:rsidR="0056172B" w:rsidRPr="00D97714">
        <w:rPr>
          <w:rFonts w:ascii="Times New Roman" w:hAnsi="Times New Roman" w:cs="Times New Roman"/>
          <w:sz w:val="24"/>
          <w:szCs w:val="24"/>
        </w:rPr>
        <w:t xml:space="preserve"> to </w:t>
      </w:r>
      <w:r w:rsidRPr="00D97714">
        <w:rPr>
          <w:rFonts w:ascii="Times New Roman" w:hAnsi="Times New Roman" w:cs="Times New Roman"/>
          <w:sz w:val="24"/>
          <w:szCs w:val="24"/>
        </w:rPr>
        <w:t>petition</w:t>
      </w:r>
      <w:r w:rsidR="0056172B" w:rsidRPr="00D97714">
        <w:rPr>
          <w:rFonts w:ascii="Times New Roman" w:hAnsi="Times New Roman" w:cs="Times New Roman"/>
          <w:sz w:val="24"/>
          <w:szCs w:val="24"/>
        </w:rPr>
        <w:t xml:space="preserve"> </w:t>
      </w:r>
      <w:r w:rsidRPr="00D97714">
        <w:rPr>
          <w:rFonts w:ascii="Times New Roman" w:hAnsi="Times New Roman" w:cs="Times New Roman"/>
          <w:sz w:val="24"/>
          <w:szCs w:val="24"/>
        </w:rPr>
        <w:t xml:space="preserve">for </w:t>
      </w:r>
      <w:r w:rsidR="0056172B" w:rsidRPr="00D97714">
        <w:rPr>
          <w:rFonts w:ascii="Times New Roman" w:hAnsi="Times New Roman" w:cs="Times New Roman"/>
          <w:sz w:val="24"/>
          <w:szCs w:val="24"/>
        </w:rPr>
        <w:t xml:space="preserve">strategic changes </w:t>
      </w:r>
      <w:r w:rsidRPr="00D97714">
        <w:rPr>
          <w:rFonts w:ascii="Times New Roman" w:hAnsi="Times New Roman" w:cs="Times New Roman"/>
          <w:sz w:val="24"/>
          <w:szCs w:val="24"/>
        </w:rPr>
        <w:t>at</w:t>
      </w:r>
      <w:r w:rsidR="0056172B" w:rsidRPr="00D97714">
        <w:rPr>
          <w:rFonts w:ascii="Times New Roman" w:hAnsi="Times New Roman" w:cs="Times New Roman"/>
          <w:sz w:val="24"/>
          <w:szCs w:val="24"/>
        </w:rPr>
        <w:t xml:space="preserve"> portfolio firms. </w:t>
      </w:r>
    </w:p>
    <w:p w14:paraId="66301C6C" w14:textId="6904E454" w:rsidR="00144868" w:rsidRPr="00D97714" w:rsidRDefault="00144868" w:rsidP="00D61D81">
      <w:pPr>
        <w:spacing w:line="480" w:lineRule="auto"/>
        <w:rPr>
          <w:rFonts w:ascii="Times New Roman" w:hAnsi="Times New Roman" w:cs="Times New Roman"/>
          <w:b/>
          <w:i/>
          <w:sz w:val="24"/>
          <w:szCs w:val="24"/>
        </w:rPr>
      </w:pPr>
      <w:r w:rsidRPr="00D97714">
        <w:rPr>
          <w:rFonts w:ascii="Times New Roman" w:hAnsi="Times New Roman" w:cs="Times New Roman"/>
          <w:b/>
          <w:i/>
          <w:sz w:val="24"/>
          <w:szCs w:val="24"/>
        </w:rPr>
        <w:t>Robustness Tests</w:t>
      </w:r>
    </w:p>
    <w:p w14:paraId="5EBF3945" w14:textId="0596B14E" w:rsidR="00144868" w:rsidRPr="00D97714" w:rsidRDefault="00712A92" w:rsidP="00B914D6">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In this section</w:t>
      </w:r>
      <w:r w:rsidR="00144868" w:rsidRPr="00D97714">
        <w:rPr>
          <w:rFonts w:ascii="Times New Roman" w:hAnsi="Times New Roman" w:cs="Times New Roman"/>
          <w:sz w:val="24"/>
          <w:szCs w:val="24"/>
        </w:rPr>
        <w:t xml:space="preserve">, we </w:t>
      </w:r>
      <w:r w:rsidRPr="00D97714">
        <w:rPr>
          <w:rFonts w:ascii="Times New Roman" w:hAnsi="Times New Roman" w:cs="Times New Roman"/>
          <w:sz w:val="24"/>
          <w:szCs w:val="24"/>
        </w:rPr>
        <w:t xml:space="preserve">repeat </w:t>
      </w:r>
      <w:r w:rsidR="00144868" w:rsidRPr="00D97714">
        <w:rPr>
          <w:rFonts w:ascii="Times New Roman" w:hAnsi="Times New Roman" w:cs="Times New Roman"/>
          <w:sz w:val="24"/>
          <w:szCs w:val="24"/>
        </w:rPr>
        <w:t xml:space="preserve">the multiple regressions </w:t>
      </w:r>
      <w:r w:rsidR="00FF152D" w:rsidRPr="00D97714">
        <w:rPr>
          <w:rFonts w:ascii="Times New Roman" w:hAnsi="Times New Roman" w:cs="Times New Roman"/>
          <w:sz w:val="24"/>
          <w:szCs w:val="24"/>
        </w:rPr>
        <w:t>using the</w:t>
      </w:r>
      <w:r w:rsidR="00F64609" w:rsidRPr="00D97714">
        <w:rPr>
          <w:rFonts w:ascii="Times New Roman" w:hAnsi="Times New Roman" w:cs="Times New Roman"/>
          <w:sz w:val="24"/>
          <w:szCs w:val="24"/>
        </w:rPr>
        <w:t xml:space="preserve"> sample of</w:t>
      </w:r>
      <w:r w:rsidR="00144868" w:rsidRPr="00D97714">
        <w:rPr>
          <w:rFonts w:ascii="Times New Roman" w:hAnsi="Times New Roman" w:cs="Times New Roman"/>
          <w:sz w:val="24"/>
          <w:szCs w:val="24"/>
        </w:rPr>
        <w:t xml:space="preserve"> </w:t>
      </w:r>
      <w:r w:rsidR="00FF152D" w:rsidRPr="00D97714">
        <w:rPr>
          <w:rFonts w:ascii="Times New Roman" w:hAnsi="Times New Roman" w:cs="Times New Roman"/>
          <w:sz w:val="24"/>
          <w:szCs w:val="24"/>
        </w:rPr>
        <w:t xml:space="preserve">individual </w:t>
      </w:r>
      <w:r w:rsidR="00F54BDA" w:rsidRPr="00D97714">
        <w:rPr>
          <w:rFonts w:ascii="Times New Roman" w:hAnsi="Times New Roman" w:cs="Times New Roman"/>
          <w:sz w:val="24"/>
          <w:szCs w:val="24"/>
        </w:rPr>
        <w:t xml:space="preserve">matching </w:t>
      </w:r>
      <w:r w:rsidR="00FF152D" w:rsidRPr="00D97714">
        <w:rPr>
          <w:rFonts w:ascii="Times New Roman" w:hAnsi="Times New Roman" w:cs="Times New Roman"/>
          <w:sz w:val="24"/>
          <w:szCs w:val="24"/>
        </w:rPr>
        <w:t>non-target</w:t>
      </w:r>
      <w:r w:rsidR="00144868" w:rsidRPr="00D97714">
        <w:rPr>
          <w:rFonts w:ascii="Times New Roman" w:hAnsi="Times New Roman" w:cs="Times New Roman"/>
          <w:sz w:val="24"/>
          <w:szCs w:val="24"/>
        </w:rPr>
        <w:t xml:space="preserve"> firms </w:t>
      </w:r>
      <w:r w:rsidRPr="00D97714">
        <w:rPr>
          <w:rFonts w:ascii="Times New Roman" w:hAnsi="Times New Roman" w:cs="Times New Roman"/>
          <w:sz w:val="24"/>
          <w:szCs w:val="24"/>
        </w:rPr>
        <w:t>instead of</w:t>
      </w:r>
      <w:r w:rsidR="00144868" w:rsidRPr="00D97714">
        <w:rPr>
          <w:rFonts w:ascii="Times New Roman" w:hAnsi="Times New Roman" w:cs="Times New Roman"/>
          <w:sz w:val="24"/>
          <w:szCs w:val="24"/>
        </w:rPr>
        <w:t xml:space="preserve"> </w:t>
      </w:r>
      <w:r w:rsidR="00F64609" w:rsidRPr="00D97714">
        <w:rPr>
          <w:rFonts w:ascii="Times New Roman" w:hAnsi="Times New Roman" w:cs="Times New Roman"/>
          <w:sz w:val="24"/>
          <w:szCs w:val="24"/>
        </w:rPr>
        <w:t>portfolios</w:t>
      </w:r>
      <w:r w:rsidRPr="00D97714">
        <w:rPr>
          <w:rFonts w:ascii="Times New Roman" w:hAnsi="Times New Roman" w:cs="Times New Roman"/>
          <w:sz w:val="24"/>
          <w:szCs w:val="24"/>
        </w:rPr>
        <w:t>, and</w:t>
      </w:r>
      <w:r w:rsidR="00EB6246" w:rsidRPr="00D97714">
        <w:rPr>
          <w:rFonts w:ascii="Times New Roman" w:hAnsi="Times New Roman" w:cs="Times New Roman"/>
          <w:sz w:val="24"/>
          <w:szCs w:val="24"/>
        </w:rPr>
        <w:t xml:space="preserve"> present our findings in Table </w:t>
      </w:r>
      <w:r w:rsidR="0019693E" w:rsidRPr="00D97714">
        <w:rPr>
          <w:rFonts w:ascii="Times New Roman" w:hAnsi="Times New Roman" w:cs="Times New Roman"/>
          <w:sz w:val="24"/>
          <w:szCs w:val="24"/>
        </w:rPr>
        <w:t>6</w:t>
      </w:r>
      <w:r w:rsidR="00EB6246" w:rsidRPr="00D97714">
        <w:rPr>
          <w:rFonts w:ascii="Times New Roman" w:hAnsi="Times New Roman" w:cs="Times New Roman"/>
          <w:sz w:val="24"/>
          <w:szCs w:val="24"/>
        </w:rPr>
        <w:t>.</w:t>
      </w:r>
    </w:p>
    <w:p w14:paraId="03B525C8" w14:textId="6172D80A" w:rsidR="00EB6246" w:rsidRPr="00D97714" w:rsidRDefault="00EB6246" w:rsidP="0019693E">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 xml:space="preserve">[INSERT TABLE </w:t>
      </w:r>
      <w:r w:rsidR="0019693E" w:rsidRPr="00D97714">
        <w:rPr>
          <w:rFonts w:ascii="Times New Roman" w:hAnsi="Times New Roman" w:cs="Times New Roman"/>
          <w:sz w:val="24"/>
          <w:szCs w:val="24"/>
        </w:rPr>
        <w:t>6</w:t>
      </w:r>
      <w:r w:rsidRPr="00D97714">
        <w:rPr>
          <w:rFonts w:ascii="Times New Roman" w:hAnsi="Times New Roman" w:cs="Times New Roman"/>
          <w:sz w:val="24"/>
          <w:szCs w:val="24"/>
        </w:rPr>
        <w:t xml:space="preserve"> ABOUT HERE]</w:t>
      </w:r>
    </w:p>
    <w:p w14:paraId="181F3264" w14:textId="7D46D61C" w:rsidR="00F64609" w:rsidRPr="00D97714" w:rsidRDefault="00F64609" w:rsidP="00F64609">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Our findings stay the same</w:t>
      </w:r>
      <w:r w:rsidR="00712A92" w:rsidRPr="00D97714">
        <w:rPr>
          <w:rFonts w:ascii="Times New Roman" w:hAnsi="Times New Roman" w:cs="Times New Roman"/>
          <w:sz w:val="24"/>
          <w:szCs w:val="24"/>
        </w:rPr>
        <w:t>, i.e.,</w:t>
      </w:r>
      <w:r w:rsidRPr="00D97714">
        <w:rPr>
          <w:rFonts w:ascii="Times New Roman" w:hAnsi="Times New Roman" w:cs="Times New Roman"/>
          <w:sz w:val="24"/>
          <w:szCs w:val="24"/>
        </w:rPr>
        <w:t xml:space="preserve"> both stock- </w:t>
      </w:r>
      <m:oMath>
        <m:r>
          <w:rPr>
            <w:rFonts w:ascii="Cambria Math" w:hAnsi="Cambria Math" w:cs="Times New Roman"/>
            <w:sz w:val="24"/>
            <w:szCs w:val="24"/>
          </w:rPr>
          <m:t>(CAR)</m:t>
        </m:r>
      </m:oMath>
      <w:r w:rsidRPr="00D97714">
        <w:rPr>
          <w:rFonts w:ascii="Times New Roman" w:hAnsi="Times New Roman" w:cs="Times New Roman"/>
          <w:sz w:val="24"/>
          <w:szCs w:val="24"/>
        </w:rPr>
        <w:t xml:space="preserve"> and operating performance (industry-adjusted </w:t>
      </w:r>
      <m:oMath>
        <m:r>
          <w:rPr>
            <w:rFonts w:ascii="Cambria Math" w:hAnsi="Cambria Math" w:cs="Times New Roman"/>
            <w:sz w:val="24"/>
            <w:szCs w:val="24"/>
          </w:rPr>
          <m:t>ROA</m:t>
        </m:r>
      </m:oMath>
      <w:r w:rsidRPr="00D97714">
        <w:rPr>
          <w:rFonts w:ascii="Times New Roman" w:hAnsi="Times New Roman" w:cs="Times New Roman"/>
          <w:sz w:val="24"/>
          <w:szCs w:val="24"/>
        </w:rPr>
        <w:t xml:space="preserve">) are positively related </w:t>
      </w:r>
      <w:r w:rsidR="00F54BDA" w:rsidRPr="00D97714">
        <w:rPr>
          <w:rFonts w:ascii="Times New Roman" w:hAnsi="Times New Roman" w:cs="Times New Roman"/>
          <w:sz w:val="24"/>
          <w:szCs w:val="24"/>
        </w:rPr>
        <w:t xml:space="preserve">to the proportion of </w:t>
      </w:r>
      <w:r w:rsidR="00712A92" w:rsidRPr="00D97714">
        <w:rPr>
          <w:rFonts w:ascii="Times New Roman" w:hAnsi="Times New Roman" w:cs="Times New Roman"/>
          <w:sz w:val="24"/>
          <w:szCs w:val="24"/>
        </w:rPr>
        <w:t>institutional</w:t>
      </w:r>
      <w:r w:rsidR="00F54BDA" w:rsidRPr="00D97714">
        <w:rPr>
          <w:rFonts w:ascii="Times New Roman" w:hAnsi="Times New Roman" w:cs="Times New Roman"/>
          <w:sz w:val="24"/>
          <w:szCs w:val="24"/>
        </w:rPr>
        <w:t xml:space="preserve"> ownership at the non-targeted firms</w:t>
      </w:r>
      <w:r w:rsidRPr="00D97714">
        <w:rPr>
          <w:rFonts w:ascii="Times New Roman" w:hAnsi="Times New Roman" w:cs="Times New Roman"/>
          <w:sz w:val="24"/>
          <w:szCs w:val="24"/>
        </w:rPr>
        <w:t xml:space="preserve">. The stock performance </w:t>
      </w:r>
      <w:r w:rsidR="00712A92" w:rsidRPr="00D97714">
        <w:rPr>
          <w:rFonts w:ascii="Times New Roman" w:hAnsi="Times New Roman" w:cs="Times New Roman"/>
          <w:sz w:val="24"/>
          <w:szCs w:val="24"/>
        </w:rPr>
        <w:t xml:space="preserve">of </w:t>
      </w:r>
      <w:r w:rsidRPr="00D97714">
        <w:rPr>
          <w:rFonts w:ascii="Times New Roman" w:hAnsi="Times New Roman" w:cs="Times New Roman"/>
          <w:sz w:val="24"/>
          <w:szCs w:val="24"/>
        </w:rPr>
        <w:t xml:space="preserve">the </w:t>
      </w:r>
      <w:r w:rsidR="00903E10" w:rsidRPr="00D97714">
        <w:rPr>
          <w:rFonts w:ascii="Times New Roman" w:hAnsi="Times New Roman" w:cs="Times New Roman"/>
          <w:sz w:val="24"/>
          <w:szCs w:val="24"/>
        </w:rPr>
        <w:t>non-targeted</w:t>
      </w:r>
      <w:r w:rsidRPr="00D97714">
        <w:rPr>
          <w:rFonts w:ascii="Times New Roman" w:hAnsi="Times New Roman" w:cs="Times New Roman"/>
          <w:sz w:val="24"/>
          <w:szCs w:val="24"/>
        </w:rPr>
        <w:t xml:space="preserve"> firms is inversely related to </w:t>
      </w:r>
      <m:oMath>
        <m:r>
          <w:rPr>
            <w:rFonts w:ascii="Cambria Math" w:hAnsi="Cambria Math" w:cs="Times New Roman"/>
            <w:sz w:val="24"/>
            <w:szCs w:val="24"/>
          </w:rPr>
          <m:t>ROA</m:t>
        </m:r>
      </m:oMath>
      <w:r w:rsidR="00F54BDA" w:rsidRPr="00D97714">
        <w:rPr>
          <w:rFonts w:ascii="Times New Roman" w:hAnsi="Times New Roman" w:cs="Times New Roman"/>
          <w:sz w:val="24"/>
          <w:szCs w:val="24"/>
        </w:rPr>
        <w:t>,</w:t>
      </w:r>
      <w:r w:rsidRPr="00D97714">
        <w:rPr>
          <w:rFonts w:ascii="Times New Roman" w:hAnsi="Times New Roman" w:cs="Times New Roman"/>
          <w:sz w:val="24"/>
          <w:szCs w:val="24"/>
        </w:rPr>
        <w:t xml:space="preserve"> </w:t>
      </w:r>
      <w:r w:rsidR="00F54BDA" w:rsidRPr="00D97714">
        <w:rPr>
          <w:rFonts w:ascii="Times New Roman" w:hAnsi="Times New Roman" w:cs="Times New Roman"/>
          <w:sz w:val="24"/>
          <w:szCs w:val="24"/>
        </w:rPr>
        <w:t xml:space="preserve">implying that </w:t>
      </w:r>
      <w:r w:rsidRPr="00D97714">
        <w:rPr>
          <w:rFonts w:ascii="Times New Roman" w:hAnsi="Times New Roman" w:cs="Times New Roman"/>
          <w:sz w:val="24"/>
          <w:szCs w:val="24"/>
        </w:rPr>
        <w:t xml:space="preserve">investors expect </w:t>
      </w:r>
      <w:r w:rsidR="00712A92" w:rsidRPr="00D97714">
        <w:rPr>
          <w:rFonts w:ascii="Times New Roman" w:hAnsi="Times New Roman" w:cs="Times New Roman"/>
          <w:sz w:val="24"/>
          <w:szCs w:val="24"/>
        </w:rPr>
        <w:t>little benefits</w:t>
      </w:r>
      <w:r w:rsidRPr="00D97714">
        <w:rPr>
          <w:rFonts w:ascii="Times New Roman" w:hAnsi="Times New Roman" w:cs="Times New Roman"/>
          <w:sz w:val="24"/>
          <w:szCs w:val="24"/>
        </w:rPr>
        <w:t xml:space="preserve"> from activism at firms that are already profitable. </w:t>
      </w:r>
      <w:r w:rsidR="00712A92" w:rsidRPr="00D97714">
        <w:rPr>
          <w:rFonts w:ascii="Times New Roman" w:hAnsi="Times New Roman" w:cs="Times New Roman"/>
          <w:sz w:val="24"/>
          <w:szCs w:val="24"/>
        </w:rPr>
        <w:t xml:space="preserve">There is an increase in the </w:t>
      </w:r>
      <m:oMath>
        <m:r>
          <w:rPr>
            <w:rFonts w:ascii="Cambria Math" w:hAnsi="Cambria Math" w:cs="Times New Roman"/>
            <w:sz w:val="24"/>
            <w:szCs w:val="24"/>
          </w:rPr>
          <m:t>ROA</m:t>
        </m:r>
      </m:oMath>
      <w:r w:rsidRPr="00D97714">
        <w:rPr>
          <w:rFonts w:ascii="Times New Roman" w:hAnsi="Times New Roman" w:cs="Times New Roman"/>
          <w:sz w:val="24"/>
          <w:szCs w:val="24"/>
        </w:rPr>
        <w:t xml:space="preserve"> in the year following the activism announcement</w:t>
      </w:r>
      <w:r w:rsidR="00712A92" w:rsidRPr="00D97714">
        <w:rPr>
          <w:rFonts w:ascii="Times New Roman" w:hAnsi="Times New Roman" w:cs="Times New Roman"/>
          <w:sz w:val="24"/>
          <w:szCs w:val="24"/>
        </w:rPr>
        <w:t>. The</w:t>
      </w:r>
      <w:r w:rsidRPr="00D97714">
        <w:rPr>
          <w:rFonts w:ascii="Times New Roman" w:hAnsi="Times New Roman" w:cs="Times New Roman"/>
          <w:sz w:val="24"/>
          <w:szCs w:val="24"/>
        </w:rPr>
        <w:t xml:space="preserve"> coefficient of the dummy variable </w:t>
      </w:r>
      <m:oMath>
        <m:r>
          <w:rPr>
            <w:rFonts w:ascii="Cambria Math" w:hAnsi="Cambria Math" w:cs="Times New Roman"/>
            <w:sz w:val="24"/>
            <w:szCs w:val="24"/>
          </w:rPr>
          <m:t>AFTER</m:t>
        </m:r>
      </m:oMath>
      <w:r w:rsidRPr="00D97714">
        <w:rPr>
          <w:rFonts w:ascii="Times New Roman" w:hAnsi="Times New Roman" w:cs="Times New Roman"/>
          <w:sz w:val="24"/>
          <w:szCs w:val="24"/>
        </w:rPr>
        <w:t xml:space="preserve"> is positive and highly significant.</w:t>
      </w:r>
      <w:r w:rsidR="000706CB" w:rsidRPr="00D97714">
        <w:rPr>
          <w:rFonts w:ascii="Times New Roman" w:hAnsi="Times New Roman" w:cs="Times New Roman"/>
          <w:sz w:val="24"/>
          <w:szCs w:val="24"/>
        </w:rPr>
        <w:t xml:space="preserve"> </w:t>
      </w:r>
      <w:r w:rsidR="00712A92" w:rsidRPr="00D97714">
        <w:rPr>
          <w:rFonts w:ascii="Times New Roman" w:hAnsi="Times New Roman" w:cs="Times New Roman"/>
          <w:sz w:val="24"/>
          <w:szCs w:val="24"/>
        </w:rPr>
        <w:t>We further</w:t>
      </w:r>
      <w:r w:rsidR="000706CB" w:rsidRPr="00D97714">
        <w:rPr>
          <w:rFonts w:ascii="Times New Roman" w:hAnsi="Times New Roman" w:cs="Times New Roman"/>
          <w:sz w:val="24"/>
          <w:szCs w:val="24"/>
        </w:rPr>
        <w:t xml:space="preserve"> find that a dissident victory leads to better stock and operating performance amongst the </w:t>
      </w:r>
      <w:r w:rsidR="00903E10" w:rsidRPr="00D97714">
        <w:rPr>
          <w:rFonts w:ascii="Times New Roman" w:hAnsi="Times New Roman" w:cs="Times New Roman"/>
          <w:sz w:val="24"/>
          <w:szCs w:val="24"/>
        </w:rPr>
        <w:t>non-targeted</w:t>
      </w:r>
      <w:r w:rsidR="000706CB" w:rsidRPr="00D97714">
        <w:rPr>
          <w:rFonts w:ascii="Times New Roman" w:hAnsi="Times New Roman" w:cs="Times New Roman"/>
          <w:sz w:val="24"/>
          <w:szCs w:val="24"/>
        </w:rPr>
        <w:t xml:space="preserve"> firms.</w:t>
      </w:r>
      <w:r w:rsidR="006C00D5" w:rsidRPr="00D97714">
        <w:rPr>
          <w:rFonts w:ascii="Times New Roman" w:hAnsi="Times New Roman" w:cs="Times New Roman"/>
          <w:sz w:val="24"/>
          <w:szCs w:val="24"/>
        </w:rPr>
        <w:t xml:space="preserve"> The coefficient of the variable </w:t>
      </w:r>
      <m:oMath>
        <m:r>
          <w:rPr>
            <w:rFonts w:ascii="Cambria Math" w:hAnsi="Cambria Math" w:cs="Times New Roman"/>
            <w:sz w:val="24"/>
            <w:szCs w:val="24"/>
          </w:rPr>
          <m:t>WIN</m:t>
        </m:r>
      </m:oMath>
      <w:r w:rsidR="006C00D5" w:rsidRPr="00D97714">
        <w:rPr>
          <w:rFonts w:ascii="Times New Roman" w:hAnsi="Times New Roman" w:cs="Times New Roman"/>
          <w:sz w:val="24"/>
          <w:szCs w:val="24"/>
        </w:rPr>
        <w:t xml:space="preserve"> is positive and significant at the 5% level or better.</w:t>
      </w:r>
    </w:p>
    <w:p w14:paraId="0FD38F70" w14:textId="349EDC8E" w:rsidR="00892597" w:rsidRPr="00D97714" w:rsidRDefault="00892597" w:rsidP="00892597">
      <w:pPr>
        <w:spacing w:line="480" w:lineRule="auto"/>
        <w:rPr>
          <w:rFonts w:ascii="Times New Roman" w:hAnsi="Times New Roman" w:cs="Times New Roman"/>
          <w:b/>
          <w:sz w:val="24"/>
          <w:szCs w:val="24"/>
        </w:rPr>
      </w:pPr>
      <w:r w:rsidRPr="00D97714">
        <w:rPr>
          <w:rFonts w:ascii="Times New Roman" w:hAnsi="Times New Roman" w:cs="Times New Roman"/>
          <w:b/>
          <w:sz w:val="24"/>
          <w:szCs w:val="24"/>
        </w:rPr>
        <w:t>Total Risk</w:t>
      </w:r>
      <w:r w:rsidR="00851D8C" w:rsidRPr="00D97714">
        <w:rPr>
          <w:rFonts w:ascii="Times New Roman" w:hAnsi="Times New Roman" w:cs="Times New Roman"/>
          <w:b/>
          <w:sz w:val="24"/>
          <w:szCs w:val="24"/>
        </w:rPr>
        <w:t xml:space="preserve">, Systematic Risk and </w:t>
      </w:r>
      <w:r w:rsidRPr="00D97714">
        <w:rPr>
          <w:rFonts w:ascii="Times New Roman" w:hAnsi="Times New Roman" w:cs="Times New Roman"/>
          <w:b/>
          <w:sz w:val="24"/>
          <w:szCs w:val="24"/>
        </w:rPr>
        <w:t>Idiosyncratic Risk</w:t>
      </w:r>
    </w:p>
    <w:p w14:paraId="256A3A64" w14:textId="2190F339" w:rsidR="002F4339" w:rsidRPr="00D97714" w:rsidRDefault="00892597" w:rsidP="002F4339">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We compare and contrast the total risk</w:t>
      </w:r>
      <w:r w:rsidR="002F4339" w:rsidRPr="00D97714">
        <w:rPr>
          <w:rFonts w:ascii="Times New Roman" w:hAnsi="Times New Roman" w:cs="Times New Roman"/>
          <w:sz w:val="24"/>
          <w:szCs w:val="24"/>
        </w:rPr>
        <w:t>, systematic risk and</w:t>
      </w:r>
      <w:r w:rsidRPr="00D97714">
        <w:rPr>
          <w:rFonts w:ascii="Times New Roman" w:hAnsi="Times New Roman" w:cs="Times New Roman"/>
          <w:sz w:val="24"/>
          <w:szCs w:val="24"/>
        </w:rPr>
        <w:t xml:space="preserve"> idiosyncratic risk of the </w:t>
      </w:r>
      <w:r w:rsidR="00970838" w:rsidRPr="00D97714">
        <w:rPr>
          <w:rFonts w:ascii="Times New Roman" w:hAnsi="Times New Roman" w:cs="Times New Roman"/>
          <w:sz w:val="24"/>
          <w:szCs w:val="24"/>
        </w:rPr>
        <w:t xml:space="preserve">matching </w:t>
      </w:r>
      <w:r w:rsidR="00903E10" w:rsidRPr="00D97714">
        <w:rPr>
          <w:rFonts w:ascii="Times New Roman" w:hAnsi="Times New Roman" w:cs="Times New Roman"/>
          <w:sz w:val="24"/>
          <w:szCs w:val="24"/>
        </w:rPr>
        <w:t>non-targeted</w:t>
      </w:r>
      <w:r w:rsidRPr="00D97714">
        <w:rPr>
          <w:rFonts w:ascii="Times New Roman" w:hAnsi="Times New Roman" w:cs="Times New Roman"/>
          <w:sz w:val="24"/>
          <w:szCs w:val="24"/>
        </w:rPr>
        <w:t xml:space="preserve"> firm</w:t>
      </w:r>
      <w:r w:rsidR="00970838" w:rsidRPr="00D97714">
        <w:rPr>
          <w:rFonts w:ascii="Times New Roman" w:hAnsi="Times New Roman" w:cs="Times New Roman"/>
          <w:sz w:val="24"/>
          <w:szCs w:val="24"/>
        </w:rPr>
        <w:t xml:space="preserve"> portfolios</w:t>
      </w:r>
      <w:r w:rsidRPr="00D97714">
        <w:rPr>
          <w:rFonts w:ascii="Times New Roman" w:hAnsi="Times New Roman" w:cs="Times New Roman"/>
          <w:sz w:val="24"/>
          <w:szCs w:val="24"/>
        </w:rPr>
        <w:t xml:space="preserve"> from the year before to the year </w:t>
      </w:r>
      <w:r w:rsidR="00CB0F9A" w:rsidRPr="00D97714">
        <w:rPr>
          <w:rFonts w:ascii="Times New Roman" w:hAnsi="Times New Roman" w:cs="Times New Roman"/>
          <w:sz w:val="24"/>
          <w:szCs w:val="24"/>
        </w:rPr>
        <w:t>following</w:t>
      </w:r>
      <w:r w:rsidRPr="00D97714">
        <w:rPr>
          <w:rFonts w:ascii="Times New Roman" w:hAnsi="Times New Roman" w:cs="Times New Roman"/>
          <w:sz w:val="24"/>
          <w:szCs w:val="24"/>
        </w:rPr>
        <w:t xml:space="preserve"> the shareholder activism announcement and present our findings in Table </w:t>
      </w:r>
      <w:r w:rsidR="00B54CA5" w:rsidRPr="00D97714">
        <w:rPr>
          <w:rFonts w:ascii="Times New Roman" w:hAnsi="Times New Roman" w:cs="Times New Roman"/>
          <w:sz w:val="24"/>
          <w:szCs w:val="24"/>
        </w:rPr>
        <w:t>7</w:t>
      </w:r>
      <w:r w:rsidRPr="00D97714">
        <w:rPr>
          <w:rFonts w:ascii="Times New Roman" w:hAnsi="Times New Roman" w:cs="Times New Roman"/>
          <w:sz w:val="24"/>
          <w:szCs w:val="24"/>
        </w:rPr>
        <w:t xml:space="preserve">. </w:t>
      </w:r>
      <w:r w:rsidR="002F4339" w:rsidRPr="00D97714">
        <w:rPr>
          <w:rFonts w:ascii="Times New Roman" w:hAnsi="Times New Roman" w:cs="Times New Roman"/>
          <w:sz w:val="24"/>
          <w:szCs w:val="24"/>
        </w:rPr>
        <w:t xml:space="preserve">The declines in the mean values of the different risk measures are all statistically significant. The findings based on the value weighted matching portfolio suggest declines of 0.603% in total risk, and either 0.595% or 0.606% in idiosyncratic risk depending on the method used (Panel A of Table </w:t>
      </w:r>
      <w:r w:rsidR="00C45FA5" w:rsidRPr="00D97714">
        <w:rPr>
          <w:rFonts w:ascii="Times New Roman" w:hAnsi="Times New Roman" w:cs="Times New Roman"/>
          <w:sz w:val="24"/>
          <w:szCs w:val="24"/>
        </w:rPr>
        <w:t>7</w:t>
      </w:r>
      <w:r w:rsidR="002F4339" w:rsidRPr="00D97714">
        <w:rPr>
          <w:rFonts w:ascii="Times New Roman" w:hAnsi="Times New Roman" w:cs="Times New Roman"/>
          <w:sz w:val="24"/>
          <w:szCs w:val="24"/>
        </w:rPr>
        <w:t xml:space="preserve">). We obtain similar findings from the equally weighted portfolio in Panel B. </w:t>
      </w:r>
    </w:p>
    <w:p w14:paraId="00DD083E" w14:textId="10A17858" w:rsidR="00892597" w:rsidRPr="00D97714" w:rsidRDefault="00892597" w:rsidP="00CB0F9A">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 xml:space="preserve">[INSERT TABLE </w:t>
      </w:r>
      <w:r w:rsidR="00B54CA5" w:rsidRPr="00D97714">
        <w:rPr>
          <w:rFonts w:ascii="Times New Roman" w:hAnsi="Times New Roman" w:cs="Times New Roman"/>
          <w:sz w:val="24"/>
          <w:szCs w:val="24"/>
        </w:rPr>
        <w:t>7</w:t>
      </w:r>
      <w:r w:rsidRPr="00D97714">
        <w:rPr>
          <w:rFonts w:ascii="Times New Roman" w:hAnsi="Times New Roman" w:cs="Times New Roman"/>
          <w:sz w:val="24"/>
          <w:szCs w:val="24"/>
        </w:rPr>
        <w:t xml:space="preserve"> ABOUT HERE]</w:t>
      </w:r>
    </w:p>
    <w:p w14:paraId="63607A4E" w14:textId="60087242" w:rsidR="009A7119" w:rsidRPr="00D97714" w:rsidRDefault="00CB0F9A" w:rsidP="00F64609">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We present the findings of the multiple regressions of the different risk measures in Table 8.</w:t>
      </w:r>
      <w:r w:rsidR="009A7119" w:rsidRPr="00D97714">
        <w:rPr>
          <w:rFonts w:ascii="Times New Roman" w:hAnsi="Times New Roman" w:cs="Times New Roman"/>
          <w:sz w:val="24"/>
          <w:szCs w:val="24"/>
        </w:rPr>
        <w:t xml:space="preserve"> The coefficient of the dummy variable </w:t>
      </w:r>
      <m:oMath>
        <m:r>
          <w:rPr>
            <w:rFonts w:ascii="Cambria Math" w:hAnsi="Cambria Math" w:cs="Times New Roman"/>
            <w:sz w:val="24"/>
            <w:szCs w:val="24"/>
          </w:rPr>
          <m:t>AFTER</m:t>
        </m:r>
      </m:oMath>
      <w:r w:rsidR="009A7119" w:rsidRPr="00D97714">
        <w:rPr>
          <w:rFonts w:ascii="Times New Roman" w:hAnsi="Times New Roman" w:cs="Times New Roman"/>
          <w:sz w:val="24"/>
          <w:szCs w:val="24"/>
        </w:rPr>
        <w:t xml:space="preserve"> is negative and significant in the regressions of the total risk and idiosyncratic risk measures. This confirms the univariate findings that the volatility in the stock prices decline following the announcements of shareholder activism</w:t>
      </w:r>
      <w:r w:rsidR="00465E72" w:rsidRPr="00D97714">
        <w:rPr>
          <w:rFonts w:ascii="Times New Roman" w:hAnsi="Times New Roman" w:cs="Times New Roman"/>
          <w:sz w:val="24"/>
          <w:szCs w:val="24"/>
        </w:rPr>
        <w:t xml:space="preserve"> at similar firms elsewhere</w:t>
      </w:r>
      <w:r w:rsidR="009A7119" w:rsidRPr="00D97714">
        <w:rPr>
          <w:rFonts w:ascii="Times New Roman" w:hAnsi="Times New Roman" w:cs="Times New Roman"/>
          <w:sz w:val="24"/>
          <w:szCs w:val="24"/>
        </w:rPr>
        <w:t>.</w:t>
      </w:r>
    </w:p>
    <w:p w14:paraId="168F87CD" w14:textId="5A0693B7" w:rsidR="00892597" w:rsidRPr="00D97714" w:rsidRDefault="009A7119" w:rsidP="00614FDD">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[INSERT TABLE 8 ABOUT HERE]</w:t>
      </w:r>
    </w:p>
    <w:p w14:paraId="039D1272" w14:textId="44873F12" w:rsidR="00614FDD" w:rsidRPr="00D97714" w:rsidRDefault="009A7119" w:rsidP="00F64609">
      <w:pPr>
        <w:spacing w:line="480" w:lineRule="auto"/>
        <w:ind w:firstLine="720"/>
        <w:rPr>
          <w:rFonts w:ascii="Times New Roman" w:eastAsiaTheme="minorEastAsia" w:hAnsi="Times New Roman" w:cs="Times New Roman"/>
          <w:sz w:val="24"/>
          <w:szCs w:val="24"/>
        </w:rPr>
      </w:pPr>
      <w:r w:rsidRPr="00D97714">
        <w:rPr>
          <w:rFonts w:ascii="Times New Roman" w:hAnsi="Times New Roman" w:cs="Times New Roman"/>
          <w:sz w:val="24"/>
          <w:szCs w:val="24"/>
        </w:rPr>
        <w:t>Successful activists’ actions also lead to a decline in total and idiosyncratic risks</w:t>
      </w:r>
      <w:r w:rsidR="00465E72" w:rsidRPr="00D97714">
        <w:rPr>
          <w:rFonts w:ascii="Times New Roman" w:hAnsi="Times New Roman" w:cs="Times New Roman"/>
          <w:sz w:val="24"/>
          <w:szCs w:val="24"/>
        </w:rPr>
        <w:t xml:space="preserve"> at non-targeted firms</w:t>
      </w:r>
      <w:r w:rsidRPr="00D97714">
        <w:rPr>
          <w:rFonts w:ascii="Times New Roman" w:hAnsi="Times New Roman" w:cs="Times New Roman"/>
          <w:sz w:val="24"/>
          <w:szCs w:val="24"/>
        </w:rPr>
        <w:t xml:space="preserve">. The coefficient of the variable </w:t>
      </w:r>
      <m:oMath>
        <m:r>
          <w:rPr>
            <w:rFonts w:ascii="Cambria Math" w:hAnsi="Cambria Math" w:cs="Times New Roman"/>
            <w:sz w:val="24"/>
            <w:szCs w:val="24"/>
          </w:rPr>
          <m:t>WIN</m:t>
        </m:r>
      </m:oMath>
      <w:r w:rsidRPr="00D97714">
        <w:rPr>
          <w:rFonts w:ascii="Times New Roman" w:hAnsi="Times New Roman" w:cs="Times New Roman"/>
          <w:sz w:val="24"/>
          <w:szCs w:val="24"/>
        </w:rPr>
        <w:t xml:space="preserve"> is negative and significant. Larger firms experience the most declines in volatility.</w:t>
      </w:r>
      <w:r w:rsidR="003F4F9D" w:rsidRPr="00D97714">
        <w:rPr>
          <w:rStyle w:val="FootnoteReference"/>
          <w:rFonts w:ascii="Times New Roman" w:hAnsi="Times New Roman" w:cs="Times New Roman"/>
          <w:sz w:val="24"/>
          <w:szCs w:val="24"/>
        </w:rPr>
        <w:footnoteReference w:id="8"/>
      </w:r>
      <w:r w:rsidRPr="00D97714">
        <w:rPr>
          <w:rFonts w:ascii="Times New Roman" w:hAnsi="Times New Roman" w:cs="Times New Roman"/>
          <w:sz w:val="24"/>
          <w:szCs w:val="24"/>
        </w:rPr>
        <w:t xml:space="preserve"> The coefficient of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(MKCAP)</m:t>
            </m:r>
          </m:e>
        </m:func>
      </m:oMath>
      <w:r w:rsidRPr="00D97714">
        <w:rPr>
          <w:rFonts w:ascii="Times New Roman" w:eastAsiaTheme="minorEastAsia" w:hAnsi="Times New Roman" w:cs="Times New Roman"/>
          <w:sz w:val="24"/>
          <w:szCs w:val="24"/>
        </w:rPr>
        <w:t xml:space="preserve"> is negative and highly significant in the regressions of all </w:t>
      </w:r>
      <w:r w:rsidR="005441C3" w:rsidRPr="00D97714">
        <w:rPr>
          <w:rFonts w:ascii="Times New Roman" w:eastAsiaTheme="minorEastAsia" w:hAnsi="Times New Roman" w:cs="Times New Roman"/>
          <w:sz w:val="24"/>
          <w:szCs w:val="24"/>
        </w:rPr>
        <w:t>the three</w:t>
      </w:r>
      <w:r w:rsidRPr="00D97714">
        <w:rPr>
          <w:rFonts w:ascii="Times New Roman" w:eastAsiaTheme="minorEastAsia" w:hAnsi="Times New Roman" w:cs="Times New Roman"/>
          <w:sz w:val="24"/>
          <w:szCs w:val="24"/>
        </w:rPr>
        <w:t xml:space="preserve"> risk measures. </w:t>
      </w:r>
      <w:r w:rsidR="00970838" w:rsidRPr="00D97714">
        <w:rPr>
          <w:rFonts w:ascii="Times New Roman" w:eastAsiaTheme="minorEastAsia" w:hAnsi="Times New Roman" w:cs="Times New Roman"/>
          <w:sz w:val="24"/>
          <w:szCs w:val="24"/>
        </w:rPr>
        <w:t xml:space="preserve">The coefficient of </w:t>
      </w:r>
      <m:oMath>
        <m:r>
          <w:rPr>
            <w:rFonts w:ascii="Cambria Math" w:eastAsiaTheme="minorEastAsia" w:hAnsi="Cambria Math" w:cs="Times New Roman"/>
            <w:sz w:val="24"/>
            <w:szCs w:val="24"/>
          </w:rPr>
          <m:t>IOPr</m:t>
        </m:r>
      </m:oMath>
      <w:r w:rsidR="00970838" w:rsidRPr="00D97714">
        <w:rPr>
          <w:rFonts w:ascii="Times New Roman" w:eastAsiaTheme="minorEastAsia" w:hAnsi="Times New Roman" w:cs="Times New Roman"/>
          <w:sz w:val="24"/>
          <w:szCs w:val="24"/>
        </w:rPr>
        <w:t xml:space="preserve"> is negative and highly significant</w:t>
      </w:r>
      <w:r w:rsidR="000E3BF5" w:rsidRPr="00D97714">
        <w:rPr>
          <w:rFonts w:ascii="Times New Roman" w:eastAsiaTheme="minorEastAsia" w:hAnsi="Times New Roman" w:cs="Times New Roman"/>
          <w:sz w:val="24"/>
          <w:szCs w:val="24"/>
        </w:rPr>
        <w:t>, which suggests that the</w:t>
      </w:r>
      <w:r w:rsidRPr="00D97714">
        <w:rPr>
          <w:rFonts w:ascii="Times New Roman" w:eastAsiaTheme="minorEastAsia" w:hAnsi="Times New Roman" w:cs="Times New Roman"/>
          <w:sz w:val="24"/>
          <w:szCs w:val="24"/>
        </w:rPr>
        <w:t xml:space="preserve"> higher the proportion of shares held by institutional owners, the larger is the decline in total</w:t>
      </w:r>
      <w:r w:rsidR="00970838" w:rsidRPr="00D97714">
        <w:rPr>
          <w:rFonts w:ascii="Times New Roman" w:eastAsiaTheme="minorEastAsia" w:hAnsi="Times New Roman" w:cs="Times New Roman"/>
          <w:sz w:val="24"/>
          <w:szCs w:val="24"/>
        </w:rPr>
        <w:t xml:space="preserve"> and</w:t>
      </w:r>
      <w:r w:rsidRPr="00D97714">
        <w:rPr>
          <w:rFonts w:ascii="Times New Roman" w:eastAsiaTheme="minorEastAsia" w:hAnsi="Times New Roman" w:cs="Times New Roman"/>
          <w:sz w:val="24"/>
          <w:szCs w:val="24"/>
        </w:rPr>
        <w:t xml:space="preserve"> idiosyncratic risk. </w:t>
      </w:r>
      <w:r w:rsidR="00614FDD" w:rsidRPr="00D97714">
        <w:rPr>
          <w:rFonts w:ascii="Times New Roman" w:eastAsiaTheme="minorEastAsia" w:hAnsi="Times New Roman" w:cs="Times New Roman"/>
          <w:sz w:val="24"/>
          <w:szCs w:val="24"/>
        </w:rPr>
        <w:t xml:space="preserve">We also find the risk measures to be positively associated with </w:t>
      </w:r>
      <m:oMath>
        <m:r>
          <w:rPr>
            <w:rFonts w:ascii="Cambria Math" w:eastAsiaTheme="minorEastAsia" w:hAnsi="Cambria Math" w:cs="Times New Roman"/>
            <w:sz w:val="24"/>
            <w:szCs w:val="24"/>
          </w:rPr>
          <m:t>IOV</m:t>
        </m:r>
      </m:oMath>
      <w:r w:rsidR="00614FDD" w:rsidRPr="00D9771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CAPEX</m:t>
        </m:r>
      </m:oMath>
      <w:r w:rsidR="00614FDD" w:rsidRPr="00D97714">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DEBT</m:t>
        </m:r>
      </m:oMath>
      <w:r w:rsidR="00614FDD" w:rsidRPr="00D97714">
        <w:rPr>
          <w:rFonts w:ascii="Times New Roman" w:eastAsiaTheme="minorEastAsia" w:hAnsi="Times New Roman" w:cs="Times New Roman"/>
          <w:sz w:val="24"/>
          <w:szCs w:val="24"/>
        </w:rPr>
        <w:t>. Thus, firms with volatile institutional ownership fail to achieve a decline in their risk measures despite activist actions at similar firms elsewhere. Furthermore, the actions of the shareholder activists fail to reduce the risk at capital intensive and/or highly levered firms.</w:t>
      </w:r>
    </w:p>
    <w:p w14:paraId="254244C5" w14:textId="07B9F36B" w:rsidR="002F4339" w:rsidRPr="00D97714" w:rsidRDefault="000E3BF5" w:rsidP="002F4339">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We repeat </w:t>
      </w:r>
      <w:r w:rsidR="00614FDD" w:rsidRPr="00D97714">
        <w:rPr>
          <w:rFonts w:ascii="Times New Roman" w:hAnsi="Times New Roman" w:cs="Times New Roman"/>
          <w:sz w:val="24"/>
          <w:szCs w:val="24"/>
        </w:rPr>
        <w:t xml:space="preserve">the multiple regressions on </w:t>
      </w:r>
      <w:r w:rsidR="00BB4BAC" w:rsidRPr="00D97714">
        <w:rPr>
          <w:rFonts w:ascii="Times New Roman" w:hAnsi="Times New Roman" w:cs="Times New Roman"/>
          <w:sz w:val="24"/>
          <w:szCs w:val="24"/>
        </w:rPr>
        <w:t xml:space="preserve">the </w:t>
      </w:r>
      <w:r w:rsidR="00614FDD" w:rsidRPr="00D97714">
        <w:rPr>
          <w:rFonts w:ascii="Times New Roman" w:hAnsi="Times New Roman" w:cs="Times New Roman"/>
          <w:sz w:val="24"/>
          <w:szCs w:val="24"/>
        </w:rPr>
        <w:t xml:space="preserve">sample of </w:t>
      </w:r>
      <w:r w:rsidR="00417851" w:rsidRPr="00D97714">
        <w:rPr>
          <w:rFonts w:ascii="Times New Roman" w:hAnsi="Times New Roman" w:cs="Times New Roman"/>
          <w:sz w:val="24"/>
          <w:szCs w:val="24"/>
        </w:rPr>
        <w:t xml:space="preserve">individual </w:t>
      </w:r>
      <w:r w:rsidR="00614FDD" w:rsidRPr="00D97714">
        <w:rPr>
          <w:rFonts w:ascii="Times New Roman" w:hAnsi="Times New Roman" w:cs="Times New Roman"/>
          <w:sz w:val="24"/>
          <w:szCs w:val="24"/>
        </w:rPr>
        <w:t>match</w:t>
      </w:r>
      <w:r w:rsidR="00417851" w:rsidRPr="00D97714">
        <w:rPr>
          <w:rFonts w:ascii="Times New Roman" w:hAnsi="Times New Roman" w:cs="Times New Roman"/>
          <w:sz w:val="24"/>
          <w:szCs w:val="24"/>
        </w:rPr>
        <w:t xml:space="preserve">ing non-targeted </w:t>
      </w:r>
      <w:r w:rsidR="00614FDD" w:rsidRPr="00D97714">
        <w:rPr>
          <w:rFonts w:ascii="Times New Roman" w:hAnsi="Times New Roman" w:cs="Times New Roman"/>
          <w:sz w:val="24"/>
          <w:szCs w:val="24"/>
        </w:rPr>
        <w:t xml:space="preserve">firms rather than portfolios. The </w:t>
      </w:r>
      <w:r w:rsidR="00417851" w:rsidRPr="00D97714">
        <w:rPr>
          <w:rFonts w:ascii="Times New Roman" w:hAnsi="Times New Roman" w:cs="Times New Roman"/>
          <w:sz w:val="24"/>
          <w:szCs w:val="24"/>
        </w:rPr>
        <w:t>matching</w:t>
      </w:r>
      <w:r w:rsidR="00614FDD" w:rsidRPr="00D97714">
        <w:rPr>
          <w:rFonts w:ascii="Times New Roman" w:hAnsi="Times New Roman" w:cs="Times New Roman"/>
          <w:sz w:val="24"/>
          <w:szCs w:val="24"/>
        </w:rPr>
        <w:t xml:space="preserve"> </w:t>
      </w:r>
      <w:r w:rsidR="00903E10" w:rsidRPr="00D97714">
        <w:rPr>
          <w:rFonts w:ascii="Times New Roman" w:hAnsi="Times New Roman" w:cs="Times New Roman"/>
          <w:sz w:val="24"/>
          <w:szCs w:val="24"/>
        </w:rPr>
        <w:t>non-targeted</w:t>
      </w:r>
      <w:r w:rsidR="00614FDD" w:rsidRPr="00D97714">
        <w:rPr>
          <w:rFonts w:ascii="Times New Roman" w:hAnsi="Times New Roman" w:cs="Times New Roman"/>
          <w:sz w:val="24"/>
          <w:szCs w:val="24"/>
        </w:rPr>
        <w:t xml:space="preserve"> firm shares the same </w:t>
      </w:r>
      <m:oMath>
        <m:r>
          <w:rPr>
            <w:rFonts w:ascii="Cambria Math" w:hAnsi="Cambria Math" w:cs="Times New Roman"/>
            <w:sz w:val="24"/>
            <w:szCs w:val="24"/>
          </w:rPr>
          <m:t>IOPr</m:t>
        </m:r>
      </m:oMath>
      <w:r w:rsidR="00614FDD" w:rsidRPr="00D97714">
        <w:rPr>
          <w:rFonts w:ascii="Times New Roman" w:hAnsi="Times New Roman" w:cs="Times New Roman"/>
          <w:sz w:val="24"/>
          <w:szCs w:val="24"/>
        </w:rPr>
        <w:t xml:space="preserve"> and market cap quartiles as the target firm. We present our findings in Table </w:t>
      </w:r>
      <w:r w:rsidR="00417851" w:rsidRPr="00D97714">
        <w:rPr>
          <w:rFonts w:ascii="Times New Roman" w:hAnsi="Times New Roman" w:cs="Times New Roman"/>
          <w:sz w:val="24"/>
          <w:szCs w:val="24"/>
        </w:rPr>
        <w:t>9</w:t>
      </w:r>
      <w:r w:rsidR="00614FDD" w:rsidRPr="00D97714">
        <w:rPr>
          <w:rFonts w:ascii="Times New Roman" w:hAnsi="Times New Roman" w:cs="Times New Roman"/>
          <w:sz w:val="24"/>
          <w:szCs w:val="24"/>
        </w:rPr>
        <w:t>.</w:t>
      </w:r>
      <w:r w:rsidR="002F4339" w:rsidRPr="00D97714">
        <w:rPr>
          <w:rFonts w:ascii="Times New Roman" w:hAnsi="Times New Roman" w:cs="Times New Roman"/>
          <w:sz w:val="24"/>
          <w:szCs w:val="24"/>
        </w:rPr>
        <w:t xml:space="preserve"> Our findings stay the same, i.e., the risk measures are inversely related to </w:t>
      </w:r>
      <m:oMath>
        <m:r>
          <w:rPr>
            <w:rFonts w:ascii="Cambria Math" w:hAnsi="Cambria Math" w:cs="Times New Roman"/>
            <w:sz w:val="24"/>
            <w:szCs w:val="24"/>
          </w:rPr>
          <m:t>IOPr</m:t>
        </m:r>
      </m:oMath>
      <w:r w:rsidR="002F4339" w:rsidRPr="00D97714">
        <w:rPr>
          <w:rFonts w:ascii="Times New Roman" w:hAnsi="Times New Roman" w:cs="Times New Roman"/>
          <w:sz w:val="24"/>
          <w:szCs w:val="24"/>
        </w:rPr>
        <w:t xml:space="preserve"> and positively related to </w:t>
      </w:r>
      <m:oMath>
        <m:r>
          <w:rPr>
            <w:rFonts w:ascii="Cambria Math" w:hAnsi="Cambria Math" w:cs="Times New Roman"/>
            <w:sz w:val="24"/>
            <w:szCs w:val="24"/>
          </w:rPr>
          <m:t>IOV</m:t>
        </m:r>
      </m:oMath>
      <w:r w:rsidR="002F4339" w:rsidRPr="00D97714">
        <w:rPr>
          <w:rFonts w:ascii="Times New Roman" w:hAnsi="Times New Roman" w:cs="Times New Roman"/>
          <w:sz w:val="24"/>
          <w:szCs w:val="24"/>
        </w:rPr>
        <w:t xml:space="preserve">. </w:t>
      </w:r>
      <m:oMath>
        <m:r>
          <w:rPr>
            <w:rFonts w:ascii="Cambria Math" w:hAnsi="Cambria Math" w:cs="Times New Roman"/>
            <w:sz w:val="24"/>
            <w:szCs w:val="24"/>
          </w:rPr>
          <m:t>DEBT</m:t>
        </m:r>
      </m:oMath>
      <w:r w:rsidR="002F4339" w:rsidRPr="00D97714">
        <w:rPr>
          <w:rFonts w:ascii="Times New Roman" w:hAnsi="Times New Roman" w:cs="Times New Roman"/>
          <w:sz w:val="24"/>
          <w:szCs w:val="24"/>
        </w:rPr>
        <w:t xml:space="preserve"> continues to be positively associated with the risk measures. Risks are lower in the period following the shareholder activism and when the activists’ demands are met. Demands for changes in a company’s board composition also cause the idiosyncratic and systematic risks to fall. Finally, larger firms continue to be associated with larger declines in the risk measures.</w:t>
      </w:r>
    </w:p>
    <w:p w14:paraId="7CA8BEB9" w14:textId="3486FE9F" w:rsidR="00614FDD" w:rsidRPr="00D97714" w:rsidRDefault="00614FDD" w:rsidP="00614FDD">
      <w:pPr>
        <w:spacing w:line="480" w:lineRule="auto"/>
        <w:jc w:val="center"/>
        <w:rPr>
          <w:rFonts w:ascii="Times New Roman" w:hAnsi="Times New Roman" w:cs="Times New Roman"/>
          <w:sz w:val="24"/>
          <w:szCs w:val="24"/>
        </w:rPr>
      </w:pPr>
      <w:r w:rsidRPr="00D97714">
        <w:rPr>
          <w:rFonts w:ascii="Times New Roman" w:hAnsi="Times New Roman" w:cs="Times New Roman"/>
          <w:sz w:val="24"/>
          <w:szCs w:val="24"/>
        </w:rPr>
        <w:t xml:space="preserve">[INSERT TABLE </w:t>
      </w:r>
      <w:r w:rsidR="002B424B" w:rsidRPr="00D97714">
        <w:rPr>
          <w:rFonts w:ascii="Times New Roman" w:hAnsi="Times New Roman" w:cs="Times New Roman"/>
          <w:sz w:val="24"/>
          <w:szCs w:val="24"/>
        </w:rPr>
        <w:t>9</w:t>
      </w:r>
      <w:r w:rsidRPr="00D97714">
        <w:rPr>
          <w:rFonts w:ascii="Times New Roman" w:hAnsi="Times New Roman" w:cs="Times New Roman"/>
          <w:sz w:val="24"/>
          <w:szCs w:val="24"/>
        </w:rPr>
        <w:t xml:space="preserve"> ABOUT HERE]</w:t>
      </w:r>
    </w:p>
    <w:p w14:paraId="0468BAC8" w14:textId="09CCE7CC" w:rsidR="0006068D" w:rsidRPr="00D97714" w:rsidRDefault="00512C4D" w:rsidP="006F0DEC">
      <w:pPr>
        <w:spacing w:line="480" w:lineRule="auto"/>
        <w:rPr>
          <w:rFonts w:ascii="Times New Roman" w:hAnsi="Times New Roman" w:cs="Times New Roman"/>
          <w:b/>
          <w:sz w:val="24"/>
          <w:szCs w:val="24"/>
        </w:rPr>
      </w:pPr>
      <w:r w:rsidRPr="00D97714">
        <w:rPr>
          <w:rFonts w:ascii="Times New Roman" w:hAnsi="Times New Roman" w:cs="Times New Roman"/>
          <w:b/>
          <w:sz w:val="24"/>
          <w:szCs w:val="24"/>
        </w:rPr>
        <w:t xml:space="preserve">VI. </w:t>
      </w:r>
      <w:r w:rsidR="0006068D" w:rsidRPr="00D97714">
        <w:rPr>
          <w:rFonts w:ascii="Times New Roman" w:hAnsi="Times New Roman" w:cs="Times New Roman"/>
          <w:b/>
          <w:sz w:val="24"/>
          <w:szCs w:val="24"/>
        </w:rPr>
        <w:t>Conclusion</w:t>
      </w:r>
    </w:p>
    <w:p w14:paraId="2DEDA4EA" w14:textId="0260B8CE" w:rsidR="005441C3" w:rsidRPr="00D97714" w:rsidRDefault="00D02F55" w:rsidP="007E17E2">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We</w:t>
      </w:r>
      <w:r w:rsidR="00E442BD" w:rsidRPr="00D97714">
        <w:rPr>
          <w:rFonts w:ascii="Times New Roman" w:hAnsi="Times New Roman" w:cs="Times New Roman"/>
          <w:sz w:val="24"/>
          <w:szCs w:val="24"/>
        </w:rPr>
        <w:t xml:space="preserve"> provide evidence </w:t>
      </w:r>
      <w:r w:rsidR="007264DA" w:rsidRPr="00D97714">
        <w:rPr>
          <w:rFonts w:ascii="Times New Roman" w:hAnsi="Times New Roman" w:cs="Times New Roman"/>
          <w:sz w:val="24"/>
          <w:szCs w:val="24"/>
        </w:rPr>
        <w:t>on the extent of</w:t>
      </w:r>
      <w:r w:rsidR="00E442BD" w:rsidRPr="00D97714">
        <w:rPr>
          <w:rFonts w:ascii="Times New Roman" w:hAnsi="Times New Roman" w:cs="Times New Roman"/>
          <w:sz w:val="24"/>
          <w:szCs w:val="24"/>
        </w:rPr>
        <w:t xml:space="preserve"> spillover effects of shareholder activism </w:t>
      </w:r>
      <w:r w:rsidR="007264DA" w:rsidRPr="00D97714">
        <w:rPr>
          <w:rFonts w:ascii="Times New Roman" w:hAnsi="Times New Roman" w:cs="Times New Roman"/>
          <w:sz w:val="24"/>
          <w:szCs w:val="24"/>
        </w:rPr>
        <w:t>based on</w:t>
      </w:r>
      <w:r w:rsidR="00137BE7" w:rsidRPr="00D97714">
        <w:rPr>
          <w:rFonts w:ascii="Times New Roman" w:hAnsi="Times New Roman" w:cs="Times New Roman"/>
          <w:sz w:val="24"/>
          <w:szCs w:val="24"/>
        </w:rPr>
        <w:t xml:space="preserve"> a portfolio approach. We measure the announcement </w:t>
      </w:r>
      <w:r w:rsidR="005441C3" w:rsidRPr="00D97714">
        <w:rPr>
          <w:rFonts w:ascii="Times New Roman" w:hAnsi="Times New Roman" w:cs="Times New Roman"/>
          <w:sz w:val="24"/>
          <w:szCs w:val="24"/>
        </w:rPr>
        <w:t>effects</w:t>
      </w:r>
      <w:r w:rsidR="00137BE7" w:rsidRPr="00D97714">
        <w:rPr>
          <w:rFonts w:ascii="Times New Roman" w:hAnsi="Times New Roman" w:cs="Times New Roman"/>
          <w:sz w:val="24"/>
          <w:szCs w:val="24"/>
        </w:rPr>
        <w:t xml:space="preserve"> </w:t>
      </w:r>
      <w:r w:rsidR="005441C3" w:rsidRPr="00D97714">
        <w:rPr>
          <w:rFonts w:ascii="Times New Roman" w:hAnsi="Times New Roman" w:cs="Times New Roman"/>
          <w:sz w:val="24"/>
          <w:szCs w:val="24"/>
        </w:rPr>
        <w:t xml:space="preserve">of shareholder activism </w:t>
      </w:r>
      <w:r w:rsidR="00137BE7" w:rsidRPr="00D97714">
        <w:rPr>
          <w:rFonts w:ascii="Times New Roman" w:hAnsi="Times New Roman" w:cs="Times New Roman"/>
          <w:sz w:val="24"/>
          <w:szCs w:val="24"/>
        </w:rPr>
        <w:t xml:space="preserve">on the sample of target firms and on the portfolios of non-targeted firms matched on the proportion of institutional </w:t>
      </w:r>
      <w:r w:rsidR="00D12A18" w:rsidRPr="00D97714">
        <w:rPr>
          <w:rFonts w:ascii="Times New Roman" w:hAnsi="Times New Roman" w:cs="Times New Roman"/>
          <w:sz w:val="24"/>
          <w:szCs w:val="24"/>
        </w:rPr>
        <w:t>ownership</w:t>
      </w:r>
      <w:r w:rsidR="00137BE7" w:rsidRPr="00D97714">
        <w:rPr>
          <w:rFonts w:ascii="Times New Roman" w:hAnsi="Times New Roman" w:cs="Times New Roman"/>
          <w:sz w:val="24"/>
          <w:szCs w:val="24"/>
        </w:rPr>
        <w:t xml:space="preserve"> and market capitalization. </w:t>
      </w:r>
      <w:r w:rsidR="00037427" w:rsidRPr="00D97714">
        <w:rPr>
          <w:rFonts w:ascii="Times New Roman" w:hAnsi="Times New Roman" w:cs="Times New Roman"/>
          <w:sz w:val="24"/>
          <w:szCs w:val="24"/>
        </w:rPr>
        <w:t xml:space="preserve">We find that shareholder activism acts as an effective disciplinary mechanism at both targeted- and non-targeted firms of similar institutional ownership and size characteristics. </w:t>
      </w:r>
      <w:r w:rsidR="005441C3" w:rsidRPr="00D97714">
        <w:rPr>
          <w:rFonts w:ascii="Times New Roman" w:hAnsi="Times New Roman" w:cs="Times New Roman"/>
          <w:sz w:val="24"/>
          <w:szCs w:val="24"/>
        </w:rPr>
        <w:t>T</w:t>
      </w:r>
      <w:r w:rsidR="00037427" w:rsidRPr="00D97714">
        <w:rPr>
          <w:rFonts w:ascii="Times New Roman" w:hAnsi="Times New Roman" w:cs="Times New Roman"/>
          <w:sz w:val="24"/>
          <w:szCs w:val="24"/>
        </w:rPr>
        <w:t>he portfolios of</w:t>
      </w:r>
      <w:r w:rsidR="00BC0D5C" w:rsidRPr="00D97714">
        <w:rPr>
          <w:rFonts w:ascii="Times New Roman" w:hAnsi="Times New Roman" w:cs="Times New Roman"/>
          <w:sz w:val="24"/>
          <w:szCs w:val="24"/>
        </w:rPr>
        <w:t xml:space="preserve"> </w:t>
      </w:r>
      <w:r w:rsidR="00037427" w:rsidRPr="00D97714">
        <w:rPr>
          <w:rFonts w:ascii="Times New Roman" w:hAnsi="Times New Roman" w:cs="Times New Roman"/>
          <w:sz w:val="24"/>
          <w:szCs w:val="24"/>
        </w:rPr>
        <w:t xml:space="preserve">the matched but </w:t>
      </w:r>
      <w:r w:rsidR="00903E10" w:rsidRPr="00D97714">
        <w:rPr>
          <w:rFonts w:ascii="Times New Roman" w:hAnsi="Times New Roman" w:cs="Times New Roman"/>
          <w:sz w:val="24"/>
          <w:szCs w:val="24"/>
        </w:rPr>
        <w:t>non-targeted</w:t>
      </w:r>
      <w:r w:rsidR="00BC0D5C" w:rsidRPr="00D97714">
        <w:rPr>
          <w:rFonts w:ascii="Times New Roman" w:hAnsi="Times New Roman" w:cs="Times New Roman"/>
          <w:sz w:val="24"/>
          <w:szCs w:val="24"/>
        </w:rPr>
        <w:t xml:space="preserve"> firms cut their capital spending, operating expenses, and cash holdings, increase their leverage and </w:t>
      </w:r>
      <w:r w:rsidR="00037427" w:rsidRPr="00D97714">
        <w:rPr>
          <w:rFonts w:ascii="Times New Roman" w:hAnsi="Times New Roman" w:cs="Times New Roman"/>
          <w:sz w:val="24"/>
          <w:szCs w:val="24"/>
        </w:rPr>
        <w:t xml:space="preserve">dividend </w:t>
      </w:r>
      <w:r w:rsidR="00BC0D5C" w:rsidRPr="00D97714">
        <w:rPr>
          <w:rFonts w:ascii="Times New Roman" w:hAnsi="Times New Roman" w:cs="Times New Roman"/>
          <w:sz w:val="24"/>
          <w:szCs w:val="24"/>
        </w:rPr>
        <w:t xml:space="preserve">payouts </w:t>
      </w:r>
      <w:r w:rsidR="00037427" w:rsidRPr="00D97714">
        <w:rPr>
          <w:rFonts w:ascii="Times New Roman" w:hAnsi="Times New Roman" w:cs="Times New Roman"/>
          <w:sz w:val="24"/>
          <w:szCs w:val="24"/>
        </w:rPr>
        <w:t>following activism announcements</w:t>
      </w:r>
      <w:r w:rsidR="005227A2" w:rsidRPr="00D97714">
        <w:rPr>
          <w:rFonts w:ascii="Times New Roman" w:hAnsi="Times New Roman" w:cs="Times New Roman"/>
          <w:sz w:val="24"/>
          <w:szCs w:val="24"/>
        </w:rPr>
        <w:t xml:space="preserve"> elsewhere at similar firms</w:t>
      </w:r>
      <w:r w:rsidR="00BC0D5C" w:rsidRPr="00D97714">
        <w:rPr>
          <w:rFonts w:ascii="Times New Roman" w:hAnsi="Times New Roman" w:cs="Times New Roman"/>
          <w:sz w:val="24"/>
          <w:szCs w:val="24"/>
        </w:rPr>
        <w:t xml:space="preserve">. </w:t>
      </w:r>
      <w:r w:rsidR="00037427" w:rsidRPr="00D97714">
        <w:rPr>
          <w:rFonts w:ascii="Times New Roman" w:hAnsi="Times New Roman" w:cs="Times New Roman"/>
          <w:sz w:val="24"/>
          <w:szCs w:val="24"/>
        </w:rPr>
        <w:t>Both stock return</w:t>
      </w:r>
      <w:r w:rsidR="005227A2" w:rsidRPr="00D97714">
        <w:rPr>
          <w:rFonts w:ascii="Times New Roman" w:hAnsi="Times New Roman" w:cs="Times New Roman"/>
          <w:sz w:val="24"/>
          <w:szCs w:val="24"/>
        </w:rPr>
        <w:t>s</w:t>
      </w:r>
      <w:r w:rsidR="00037427" w:rsidRPr="00D97714">
        <w:rPr>
          <w:rFonts w:ascii="Times New Roman" w:hAnsi="Times New Roman" w:cs="Times New Roman"/>
          <w:sz w:val="24"/>
          <w:szCs w:val="24"/>
        </w:rPr>
        <w:t xml:space="preserve"> and operating performance improve </w:t>
      </w:r>
      <w:r w:rsidR="007E17E2" w:rsidRPr="00D97714">
        <w:rPr>
          <w:rFonts w:ascii="Times New Roman" w:hAnsi="Times New Roman" w:cs="Times New Roman"/>
          <w:sz w:val="24"/>
          <w:szCs w:val="24"/>
        </w:rPr>
        <w:t xml:space="preserve">significantly </w:t>
      </w:r>
      <w:r w:rsidR="00037427" w:rsidRPr="00D97714">
        <w:rPr>
          <w:rFonts w:ascii="Times New Roman" w:hAnsi="Times New Roman" w:cs="Times New Roman"/>
          <w:sz w:val="24"/>
          <w:szCs w:val="24"/>
        </w:rPr>
        <w:t xml:space="preserve">after the shareholder activism announcement. </w:t>
      </w:r>
      <w:r w:rsidR="00BC0D5C" w:rsidRPr="00D97714">
        <w:rPr>
          <w:rFonts w:ascii="Times New Roman" w:hAnsi="Times New Roman" w:cs="Times New Roman"/>
          <w:sz w:val="24"/>
          <w:szCs w:val="24"/>
        </w:rPr>
        <w:t xml:space="preserve">The stock price reaction </w:t>
      </w:r>
      <w:r w:rsidR="00037427" w:rsidRPr="00D97714">
        <w:rPr>
          <w:rFonts w:ascii="Times New Roman" w:hAnsi="Times New Roman" w:cs="Times New Roman"/>
          <w:sz w:val="24"/>
          <w:szCs w:val="24"/>
        </w:rPr>
        <w:t>and operating performance are</w:t>
      </w:r>
      <w:r w:rsidR="00BC0D5C" w:rsidRPr="00D97714">
        <w:rPr>
          <w:rFonts w:ascii="Times New Roman" w:hAnsi="Times New Roman" w:cs="Times New Roman"/>
          <w:sz w:val="24"/>
          <w:szCs w:val="24"/>
        </w:rPr>
        <w:t xml:space="preserve"> positive and larger for </w:t>
      </w:r>
      <w:r w:rsidR="00903E10" w:rsidRPr="00D97714">
        <w:rPr>
          <w:rFonts w:ascii="Times New Roman" w:hAnsi="Times New Roman" w:cs="Times New Roman"/>
          <w:sz w:val="24"/>
          <w:szCs w:val="24"/>
        </w:rPr>
        <w:t>non-targeted</w:t>
      </w:r>
      <w:r w:rsidR="00BC0D5C" w:rsidRPr="00D97714">
        <w:rPr>
          <w:rFonts w:ascii="Times New Roman" w:hAnsi="Times New Roman" w:cs="Times New Roman"/>
          <w:sz w:val="24"/>
          <w:szCs w:val="24"/>
        </w:rPr>
        <w:t xml:space="preserve"> firms </w:t>
      </w:r>
      <w:r w:rsidR="007264DA" w:rsidRPr="00D97714">
        <w:rPr>
          <w:rFonts w:ascii="Times New Roman" w:hAnsi="Times New Roman" w:cs="Times New Roman"/>
          <w:sz w:val="24"/>
          <w:szCs w:val="24"/>
        </w:rPr>
        <w:t>with a higher proportion</w:t>
      </w:r>
      <w:r w:rsidR="00BC0D5C" w:rsidRPr="00D97714">
        <w:rPr>
          <w:rFonts w:ascii="Times New Roman" w:hAnsi="Times New Roman" w:cs="Times New Roman"/>
          <w:sz w:val="24"/>
          <w:szCs w:val="24"/>
        </w:rPr>
        <w:t xml:space="preserve"> of institutional ownership. </w:t>
      </w:r>
      <w:r w:rsidR="005441C3" w:rsidRPr="00D97714">
        <w:rPr>
          <w:rFonts w:ascii="Times New Roman" w:hAnsi="Times New Roman" w:cs="Times New Roman"/>
          <w:sz w:val="24"/>
          <w:szCs w:val="24"/>
        </w:rPr>
        <w:t xml:space="preserve">The presence of institutional investors causes </w:t>
      </w:r>
      <w:r w:rsidR="007E17E2" w:rsidRPr="00D97714">
        <w:rPr>
          <w:rFonts w:ascii="Times New Roman" w:hAnsi="Times New Roman" w:cs="Times New Roman"/>
          <w:sz w:val="24"/>
          <w:szCs w:val="24"/>
        </w:rPr>
        <w:t xml:space="preserve">non-target </w:t>
      </w:r>
      <w:r w:rsidR="005441C3" w:rsidRPr="00D97714">
        <w:rPr>
          <w:rFonts w:ascii="Times New Roman" w:hAnsi="Times New Roman" w:cs="Times New Roman"/>
          <w:sz w:val="24"/>
          <w:szCs w:val="24"/>
        </w:rPr>
        <w:t xml:space="preserve">firms to respond to </w:t>
      </w:r>
      <w:r w:rsidR="00961577" w:rsidRPr="00D97714">
        <w:rPr>
          <w:rFonts w:ascii="Times New Roman" w:hAnsi="Times New Roman" w:cs="Times New Roman"/>
          <w:sz w:val="24"/>
          <w:szCs w:val="24"/>
        </w:rPr>
        <w:t xml:space="preserve">shareholder activism occurring elsewhere. Thus, </w:t>
      </w:r>
      <w:r w:rsidR="005227A2" w:rsidRPr="00D97714">
        <w:rPr>
          <w:rFonts w:ascii="Times New Roman" w:hAnsi="Times New Roman" w:cs="Times New Roman"/>
          <w:sz w:val="24"/>
          <w:szCs w:val="24"/>
        </w:rPr>
        <w:t>the mere threat of institutional activism</w:t>
      </w:r>
      <w:r w:rsidR="00961577" w:rsidRPr="00D97714">
        <w:rPr>
          <w:rFonts w:ascii="Times New Roman" w:hAnsi="Times New Roman" w:cs="Times New Roman"/>
          <w:sz w:val="24"/>
          <w:szCs w:val="24"/>
        </w:rPr>
        <w:t xml:space="preserve"> serves as an important disciplinary function.</w:t>
      </w:r>
    </w:p>
    <w:p w14:paraId="6DDA0B99" w14:textId="08ED4657" w:rsidR="00FB0C9E" w:rsidRPr="00D97714" w:rsidRDefault="00711069" w:rsidP="00711069">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 xml:space="preserve">We document the effects of shareholder activism on the volatility of the stock price of </w:t>
      </w:r>
      <w:r w:rsidR="005227A2" w:rsidRPr="00D97714">
        <w:rPr>
          <w:rFonts w:ascii="Times New Roman" w:hAnsi="Times New Roman" w:cs="Times New Roman"/>
          <w:sz w:val="24"/>
          <w:szCs w:val="24"/>
        </w:rPr>
        <w:t>the non</w:t>
      </w:r>
      <w:r w:rsidR="00903E10" w:rsidRPr="00D97714">
        <w:rPr>
          <w:rFonts w:ascii="Times New Roman" w:hAnsi="Times New Roman" w:cs="Times New Roman"/>
          <w:sz w:val="24"/>
          <w:szCs w:val="24"/>
        </w:rPr>
        <w:t>-targeted</w:t>
      </w:r>
      <w:r w:rsidRPr="00D97714">
        <w:rPr>
          <w:rFonts w:ascii="Times New Roman" w:hAnsi="Times New Roman" w:cs="Times New Roman"/>
          <w:sz w:val="24"/>
          <w:szCs w:val="24"/>
        </w:rPr>
        <w:t xml:space="preserve"> firms. The announcement of shareholder activism at a </w:t>
      </w:r>
      <w:r w:rsidR="007E17E2" w:rsidRPr="00D97714">
        <w:rPr>
          <w:rFonts w:ascii="Times New Roman" w:hAnsi="Times New Roman" w:cs="Times New Roman"/>
          <w:sz w:val="24"/>
          <w:szCs w:val="24"/>
        </w:rPr>
        <w:t xml:space="preserve">target </w:t>
      </w:r>
      <w:r w:rsidRPr="00D97714">
        <w:rPr>
          <w:rFonts w:ascii="Times New Roman" w:hAnsi="Times New Roman" w:cs="Times New Roman"/>
          <w:sz w:val="24"/>
          <w:szCs w:val="24"/>
        </w:rPr>
        <w:t xml:space="preserve">firm leads to a decline in the volatility of the share prices of the portfolio of non-targeted firms that share similar institutional ownership and size characteristics. The factors that contribute to improved performance are the same ones that lead to further declines in the stock market-based risk measures at </w:t>
      </w:r>
      <w:r w:rsidR="00903E10" w:rsidRPr="00D97714">
        <w:rPr>
          <w:rFonts w:ascii="Times New Roman" w:hAnsi="Times New Roman" w:cs="Times New Roman"/>
          <w:sz w:val="24"/>
          <w:szCs w:val="24"/>
        </w:rPr>
        <w:t>non-targeted</w:t>
      </w:r>
      <w:r w:rsidRPr="00D97714">
        <w:rPr>
          <w:rFonts w:ascii="Times New Roman" w:hAnsi="Times New Roman" w:cs="Times New Roman"/>
          <w:sz w:val="24"/>
          <w:szCs w:val="24"/>
        </w:rPr>
        <w:t xml:space="preserve"> firms. The proportion of shares held by institutional investors contributes to decreases in the risk measures while the volatility in the shareholdings leads to increases in the measures. Large </w:t>
      </w:r>
      <w:r w:rsidR="007E17E2" w:rsidRPr="00D97714">
        <w:rPr>
          <w:rFonts w:ascii="Times New Roman" w:hAnsi="Times New Roman" w:cs="Times New Roman"/>
          <w:sz w:val="24"/>
          <w:szCs w:val="24"/>
        </w:rPr>
        <w:t xml:space="preserve">non-target </w:t>
      </w:r>
      <w:r w:rsidRPr="00D97714">
        <w:rPr>
          <w:rFonts w:ascii="Times New Roman" w:hAnsi="Times New Roman" w:cs="Times New Roman"/>
          <w:sz w:val="24"/>
          <w:szCs w:val="24"/>
        </w:rPr>
        <w:t>firms are the ones that experience the most declines in stock price volatility following shareholder activism.</w:t>
      </w:r>
      <w:r w:rsidR="00B21962" w:rsidRPr="00D97714">
        <w:rPr>
          <w:rFonts w:ascii="Times New Roman" w:hAnsi="Times New Roman" w:cs="Times New Roman"/>
          <w:sz w:val="24"/>
          <w:szCs w:val="24"/>
        </w:rPr>
        <w:t xml:space="preserve"> Successful activists’ campaigns and demands for changes in the board composition </w:t>
      </w:r>
      <w:r w:rsidR="005227A2" w:rsidRPr="00D97714">
        <w:rPr>
          <w:rFonts w:ascii="Times New Roman" w:hAnsi="Times New Roman" w:cs="Times New Roman"/>
          <w:sz w:val="24"/>
          <w:szCs w:val="24"/>
        </w:rPr>
        <w:t xml:space="preserve">also </w:t>
      </w:r>
      <w:r w:rsidR="00B21962" w:rsidRPr="00D97714">
        <w:rPr>
          <w:rFonts w:ascii="Times New Roman" w:hAnsi="Times New Roman" w:cs="Times New Roman"/>
          <w:sz w:val="24"/>
          <w:szCs w:val="24"/>
        </w:rPr>
        <w:t>lead to declines in stock price volatility.</w:t>
      </w:r>
    </w:p>
    <w:p w14:paraId="2D6D3BAA" w14:textId="169D5978" w:rsidR="00571AE2" w:rsidRPr="00D97714" w:rsidRDefault="00571AE2" w:rsidP="00711069">
      <w:pPr>
        <w:spacing w:line="480" w:lineRule="auto"/>
        <w:ind w:firstLine="720"/>
        <w:rPr>
          <w:rFonts w:ascii="Times New Roman" w:hAnsi="Times New Roman" w:cs="Times New Roman"/>
          <w:sz w:val="24"/>
          <w:szCs w:val="24"/>
        </w:rPr>
      </w:pPr>
      <w:r w:rsidRPr="00D97714">
        <w:rPr>
          <w:rFonts w:ascii="Times New Roman" w:hAnsi="Times New Roman" w:cs="Times New Roman"/>
          <w:sz w:val="24"/>
          <w:szCs w:val="24"/>
        </w:rPr>
        <w:t>﻿While the present study points to a transmission effect of shareholder activism amongst firms with comparable institutional shareholdings profile, it does not examine which kind of institutional shareholder is the ultimate cause of the transmission owing to the limited availability of consistent data. Future studies should explore the consequences of the different types of institutional stockholders. For instance, future research should look into the contagion effect conditional on the interests of pressure-sensitive (i.e., those investors with a business interest at the portfolio firm) versus pressure-insensitive investors, who do not have any additional business aside from their share investments.</w:t>
      </w:r>
    </w:p>
    <w:p w14:paraId="6137BAEB" w14:textId="77777777" w:rsidR="00B6798D" w:rsidRPr="00D97714" w:rsidRDefault="00B6798D" w:rsidP="00711069">
      <w:pPr>
        <w:spacing w:line="480" w:lineRule="auto"/>
        <w:ind w:firstLine="720"/>
        <w:rPr>
          <w:rFonts w:ascii="Times New Roman" w:hAnsi="Times New Roman" w:cs="Times New Roman"/>
          <w:sz w:val="24"/>
          <w:szCs w:val="24"/>
        </w:rPr>
      </w:pPr>
    </w:p>
    <w:p w14:paraId="5CE5AD2D" w14:textId="0EB75E70" w:rsidR="0006068D" w:rsidRPr="00D97714" w:rsidRDefault="00A12E21" w:rsidP="00F743C0">
      <w:pPr>
        <w:rPr>
          <w:rFonts w:ascii="Times New Roman" w:hAnsi="Times New Roman" w:cs="Times New Roman"/>
          <w:b/>
          <w:sz w:val="24"/>
          <w:szCs w:val="24"/>
        </w:rPr>
      </w:pPr>
      <w:r w:rsidRPr="00D97714">
        <w:rPr>
          <w:rFonts w:ascii="Times New Roman" w:hAnsi="Times New Roman" w:cs="Times New Roman"/>
          <w:sz w:val="24"/>
          <w:szCs w:val="24"/>
        </w:rPr>
        <w:br w:type="page"/>
      </w:r>
      <w:r w:rsidRPr="00D97714">
        <w:rPr>
          <w:rFonts w:ascii="Times New Roman" w:hAnsi="Times New Roman" w:cs="Times New Roman"/>
          <w:b/>
          <w:sz w:val="24"/>
          <w:szCs w:val="24"/>
        </w:rPr>
        <w:t>References</w:t>
      </w:r>
    </w:p>
    <w:p w14:paraId="68C5098D" w14:textId="47AE8CFE" w:rsidR="000741ED" w:rsidRPr="00D97714" w:rsidRDefault="000741ED" w:rsidP="00F743C0">
      <w:pPr>
        <w:rPr>
          <w:rFonts w:ascii="Times New Roman" w:hAnsi="Times New Roman" w:cs="Times New Roman"/>
          <w:sz w:val="24"/>
          <w:szCs w:val="24"/>
        </w:rPr>
      </w:pPr>
      <w:r w:rsidRPr="00D97714">
        <w:rPr>
          <w:rFonts w:ascii="Times New Roman" w:hAnsi="Times New Roman" w:cs="Times New Roman"/>
          <w:sz w:val="24"/>
          <w:szCs w:val="24"/>
        </w:rPr>
        <w:t>Aslan, H., &amp; Kumar, P. (2013). The product market effects of shareholder activism. Unpublished working paper. University of Houston.</w:t>
      </w:r>
    </w:p>
    <w:p w14:paraId="27CCE0B8" w14:textId="77777777"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Brav, A., Jiang, W., Kim, H., 2009. Hedge fund activism: A review. Foundations and Trends in Finance 4, 185-246.</w:t>
      </w:r>
    </w:p>
    <w:p w14:paraId="79D5B2C1" w14:textId="68AD5AC5" w:rsidR="009B0F42" w:rsidRPr="00D97714" w:rsidRDefault="009B0F42" w:rsidP="00F204F8">
      <w:pPr>
        <w:rPr>
          <w:rFonts w:ascii="Times New Roman" w:hAnsi="Times New Roman" w:cs="Times New Roman"/>
          <w:sz w:val="24"/>
          <w:szCs w:val="24"/>
        </w:rPr>
      </w:pPr>
      <w:r w:rsidRPr="00D97714">
        <w:rPr>
          <w:rFonts w:ascii="Times New Roman" w:hAnsi="Times New Roman" w:cs="Times New Roman"/>
          <w:sz w:val="24"/>
          <w:szCs w:val="24"/>
        </w:rPr>
        <w:t xml:space="preserve">Brav, A., Jiang, W., Partnoy, F., Thomas, R., 2008. Hedge </w:t>
      </w:r>
      <w:r w:rsidR="007A17A3" w:rsidRPr="00D97714">
        <w:rPr>
          <w:rFonts w:ascii="Times New Roman" w:hAnsi="Times New Roman" w:cs="Times New Roman"/>
          <w:sz w:val="24"/>
          <w:szCs w:val="24"/>
        </w:rPr>
        <w:t>fund activism, corporate governance, and firm performance</w:t>
      </w:r>
      <w:r w:rsidRPr="00D97714">
        <w:rPr>
          <w:rFonts w:ascii="Times New Roman" w:hAnsi="Times New Roman" w:cs="Times New Roman"/>
          <w:sz w:val="24"/>
          <w:szCs w:val="24"/>
        </w:rPr>
        <w:t>. The Journal of Finance 63, 1729-1775</w:t>
      </w:r>
    </w:p>
    <w:p w14:paraId="163793FF" w14:textId="5B21B39D" w:rsidR="009B0F42" w:rsidRPr="00D97714" w:rsidRDefault="009B0F42" w:rsidP="00F204F8">
      <w:pPr>
        <w:rPr>
          <w:rFonts w:ascii="Times New Roman" w:hAnsi="Times New Roman" w:cs="Times New Roman"/>
          <w:sz w:val="24"/>
          <w:szCs w:val="24"/>
        </w:rPr>
      </w:pPr>
      <w:r w:rsidRPr="00D97714">
        <w:rPr>
          <w:rFonts w:ascii="Times New Roman" w:hAnsi="Times New Roman" w:cs="Times New Roman"/>
          <w:sz w:val="24"/>
          <w:szCs w:val="24"/>
        </w:rPr>
        <w:t xml:space="preserve">Bushee, B. J. (2001). Do </w:t>
      </w:r>
      <w:r w:rsidR="007A17A3" w:rsidRPr="00D97714">
        <w:rPr>
          <w:rFonts w:ascii="Times New Roman" w:hAnsi="Times New Roman" w:cs="Times New Roman"/>
          <w:sz w:val="24"/>
          <w:szCs w:val="24"/>
        </w:rPr>
        <w:t>institutional investors prefer near</w:t>
      </w:r>
      <w:r w:rsidR="007A17A3" w:rsidRPr="00D97714">
        <w:rPr>
          <w:rFonts w:ascii="Calibri" w:eastAsia="Calibri" w:hAnsi="Calibri" w:cs="Calibri"/>
          <w:sz w:val="24"/>
          <w:szCs w:val="24"/>
        </w:rPr>
        <w:t>‐</w:t>
      </w:r>
      <w:r w:rsidR="007A17A3" w:rsidRPr="00D97714">
        <w:rPr>
          <w:rFonts w:ascii="Times New Roman" w:hAnsi="Times New Roman" w:cs="Times New Roman"/>
          <w:sz w:val="24"/>
          <w:szCs w:val="24"/>
        </w:rPr>
        <w:t>term earnings over long</w:t>
      </w:r>
      <w:r w:rsidR="007A17A3" w:rsidRPr="00D97714">
        <w:rPr>
          <w:rFonts w:ascii="Calibri" w:eastAsia="Calibri" w:hAnsi="Calibri" w:cs="Calibri"/>
          <w:sz w:val="24"/>
          <w:szCs w:val="24"/>
        </w:rPr>
        <w:t>‐</w:t>
      </w:r>
      <w:r w:rsidR="007A17A3" w:rsidRPr="00D97714">
        <w:rPr>
          <w:rFonts w:ascii="Times New Roman" w:hAnsi="Times New Roman" w:cs="Times New Roman"/>
          <w:sz w:val="24"/>
          <w:szCs w:val="24"/>
        </w:rPr>
        <w:t>run value</w:t>
      </w:r>
      <w:r w:rsidRPr="00D97714">
        <w:rPr>
          <w:rFonts w:ascii="Times New Roman" w:hAnsi="Times New Roman" w:cs="Times New Roman"/>
          <w:sz w:val="24"/>
          <w:szCs w:val="24"/>
        </w:rPr>
        <w:t>? Contemporary Accounting Research, 18(2), 207-246.</w:t>
      </w:r>
    </w:p>
    <w:p w14:paraId="6D35571B" w14:textId="77777777" w:rsidR="009B0F42" w:rsidRPr="00D97714" w:rsidRDefault="009B0F42" w:rsidP="009B0F42">
      <w:pPr>
        <w:rPr>
          <w:rFonts w:ascii="Times New Roman" w:hAnsi="Times New Roman" w:cs="Times New Roman"/>
          <w:sz w:val="24"/>
          <w:szCs w:val="24"/>
        </w:rPr>
      </w:pPr>
      <w:r w:rsidRPr="00D97714">
        <w:rPr>
          <w:rFonts w:ascii="Times New Roman" w:hAnsi="Times New Roman" w:cs="Times New Roman"/>
          <w:sz w:val="24"/>
          <w:szCs w:val="24"/>
        </w:rPr>
        <w:t>Clifford, C., 2008. Value creation or destruction? Hedge funds as shareholder activists. Journal of Corporate Finance 14, 323-336.</w:t>
      </w:r>
    </w:p>
    <w:p w14:paraId="69807CAB" w14:textId="08D9FEF9" w:rsidR="00FD5B51" w:rsidRPr="00D97714" w:rsidRDefault="00FD5B51" w:rsidP="009B0F42">
      <w:pPr>
        <w:rPr>
          <w:rFonts w:ascii="Times New Roman" w:hAnsi="Times New Roman" w:cs="Times New Roman"/>
          <w:sz w:val="24"/>
          <w:szCs w:val="24"/>
        </w:rPr>
      </w:pPr>
      <w:r w:rsidRPr="00D97714">
        <w:rPr>
          <w:rFonts w:ascii="Times New Roman" w:hAnsi="Times New Roman" w:cs="Times New Roman"/>
          <w:sz w:val="24"/>
          <w:szCs w:val="24"/>
        </w:rPr>
        <w:t>Del Guercio, D., Hawkins, J., 1999. The motivation and impact of pension fund activism. Journal of Financial Economics 293–340.</w:t>
      </w:r>
    </w:p>
    <w:p w14:paraId="325B8CDD" w14:textId="77777777" w:rsidR="009B0F42" w:rsidRPr="00D97714" w:rsidRDefault="009B0F42" w:rsidP="009B0F42">
      <w:pPr>
        <w:rPr>
          <w:rFonts w:ascii="Times New Roman" w:hAnsi="Times New Roman" w:cs="Times New Roman"/>
          <w:sz w:val="24"/>
          <w:szCs w:val="24"/>
        </w:rPr>
      </w:pPr>
      <w:r w:rsidRPr="00D97714">
        <w:rPr>
          <w:rFonts w:ascii="Times New Roman" w:hAnsi="Times New Roman" w:cs="Times New Roman"/>
          <w:sz w:val="24"/>
          <w:szCs w:val="24"/>
        </w:rPr>
        <w:t>Easterbrook, F. H., 1984. Two agency-cost explanations of dividends. The American Economic Review 74, 650–659.</w:t>
      </w:r>
    </w:p>
    <w:p w14:paraId="03A19C37" w14:textId="77026F52" w:rsidR="00E10676" w:rsidRPr="00D97714" w:rsidRDefault="00E10676" w:rsidP="009B0F42">
      <w:pPr>
        <w:rPr>
          <w:rFonts w:ascii="Times New Roman" w:hAnsi="Times New Roman" w:cs="Times New Roman"/>
          <w:sz w:val="24"/>
          <w:szCs w:val="24"/>
        </w:rPr>
      </w:pPr>
      <w:r w:rsidRPr="00D97714">
        <w:rPr>
          <w:rFonts w:ascii="Times New Roman" w:hAnsi="Times New Roman" w:cs="Times New Roman"/>
          <w:sz w:val="24"/>
          <w:szCs w:val="24"/>
        </w:rPr>
        <w:t>Edmans, A., Goldstein, I., &amp; Jiang, W. (2012). The real effects of financial markets: The impact of prices on takeovers. The Journal of Finance, 67(3), 933-971.</w:t>
      </w:r>
    </w:p>
    <w:p w14:paraId="59251AC7" w14:textId="787E478E" w:rsidR="0098415C" w:rsidRPr="00D97714" w:rsidRDefault="0098415C" w:rsidP="0098415C">
      <w:pPr>
        <w:rPr>
          <w:rFonts w:ascii="Times New Roman" w:hAnsi="Times New Roman" w:cs="Times New Roman"/>
          <w:sz w:val="24"/>
          <w:szCs w:val="24"/>
        </w:rPr>
      </w:pPr>
      <w:r w:rsidRPr="00D97714">
        <w:rPr>
          <w:rFonts w:ascii="Times New Roman" w:hAnsi="Times New Roman" w:cs="Times New Roman"/>
          <w:sz w:val="24"/>
          <w:szCs w:val="24"/>
        </w:rPr>
        <w:t>Eisinger, J. (2005) “Hedge Funds Set Sights on Company Cash Hoards.” The Wall Street</w:t>
      </w:r>
      <w:r w:rsidR="006905FB">
        <w:rPr>
          <w:rFonts w:ascii="Times New Roman" w:hAnsi="Times New Roman" w:cs="Times New Roman"/>
          <w:sz w:val="24"/>
          <w:szCs w:val="24"/>
        </w:rPr>
        <w:t xml:space="preserve"> </w:t>
      </w:r>
      <w:r w:rsidRPr="00D97714">
        <w:rPr>
          <w:rFonts w:ascii="Times New Roman" w:hAnsi="Times New Roman" w:cs="Times New Roman"/>
          <w:sz w:val="24"/>
          <w:szCs w:val="24"/>
        </w:rPr>
        <w:t>Journal, October 12.</w:t>
      </w:r>
    </w:p>
    <w:p w14:paraId="677111B8" w14:textId="5D20F0E3" w:rsidR="00756E29" w:rsidRPr="00D97714" w:rsidRDefault="00756E29" w:rsidP="009B0F42">
      <w:pPr>
        <w:rPr>
          <w:rFonts w:ascii="Times New Roman" w:hAnsi="Times New Roman" w:cs="Times New Roman"/>
          <w:sz w:val="24"/>
          <w:szCs w:val="24"/>
        </w:rPr>
      </w:pPr>
      <w:r w:rsidRPr="00D97714">
        <w:rPr>
          <w:rFonts w:ascii="Times New Roman" w:hAnsi="Times New Roman" w:cs="Times New Roman"/>
          <w:sz w:val="24"/>
          <w:szCs w:val="24"/>
        </w:rPr>
        <w:t>Ellias, J. A. (2015). Do Activist Investors Constrain Managerial M</w:t>
      </w:r>
      <w:r w:rsidR="006905FB">
        <w:rPr>
          <w:rFonts w:ascii="Times New Roman" w:hAnsi="Times New Roman" w:cs="Times New Roman"/>
          <w:sz w:val="24"/>
          <w:szCs w:val="24"/>
        </w:rPr>
        <w:t>oral Hazard in Chapter 11</w:t>
      </w:r>
      <w:r w:rsidRPr="00D97714">
        <w:rPr>
          <w:rFonts w:ascii="Times New Roman" w:hAnsi="Times New Roman" w:cs="Times New Roman"/>
          <w:sz w:val="24"/>
          <w:szCs w:val="24"/>
        </w:rPr>
        <w:t>: Evidence from Junior Activist Investing. Journal of Legal Analysis, lav010.</w:t>
      </w:r>
    </w:p>
    <w:p w14:paraId="7D37BCE5" w14:textId="7EB4CB14"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 xml:space="preserve">Elyasiani, E., and J. J. Jia, 2008, Institutional </w:t>
      </w:r>
      <w:r w:rsidR="007A17A3" w:rsidRPr="00D97714">
        <w:rPr>
          <w:rFonts w:ascii="Times New Roman" w:hAnsi="Times New Roman" w:cs="Times New Roman"/>
          <w:sz w:val="24"/>
          <w:szCs w:val="24"/>
        </w:rPr>
        <w:t xml:space="preserve">ownership stability </w:t>
      </w:r>
      <w:r w:rsidRPr="00D97714">
        <w:rPr>
          <w:rFonts w:ascii="Times New Roman" w:hAnsi="Times New Roman" w:cs="Times New Roman"/>
          <w:sz w:val="24"/>
          <w:szCs w:val="24"/>
        </w:rPr>
        <w:t xml:space="preserve">and BHC </w:t>
      </w:r>
      <w:r w:rsidR="007A17A3" w:rsidRPr="00D97714">
        <w:rPr>
          <w:rFonts w:ascii="Times New Roman" w:hAnsi="Times New Roman" w:cs="Times New Roman"/>
          <w:sz w:val="24"/>
          <w:szCs w:val="24"/>
        </w:rPr>
        <w:t>performance</w:t>
      </w:r>
      <w:r w:rsidRPr="00D97714">
        <w:rPr>
          <w:rFonts w:ascii="Times New Roman" w:hAnsi="Times New Roman" w:cs="Times New Roman"/>
          <w:sz w:val="24"/>
          <w:szCs w:val="24"/>
        </w:rPr>
        <w:t xml:space="preserve">, Journal of Banking and Finance, 32 (9): 1767-1781. </w:t>
      </w:r>
    </w:p>
    <w:p w14:paraId="5E568963" w14:textId="77777777"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Elyasiani, E., Jia, J. and Mao, C., 2010. Institutional ownership stability and the cost of debt. Journal of Financial Markets 13(4), 475–500.</w:t>
      </w:r>
    </w:p>
    <w:p w14:paraId="38E17FE5" w14:textId="77777777"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Fos, V. (2011). The disciplinary effects of proxy contests. Available at SSRN, 1705707.</w:t>
      </w:r>
    </w:p>
    <w:p w14:paraId="2E1740DE" w14:textId="1DEF3992" w:rsidR="00FD5B51" w:rsidRPr="00D97714" w:rsidRDefault="00FD5B51" w:rsidP="00F743C0">
      <w:pPr>
        <w:rPr>
          <w:rFonts w:ascii="Times New Roman" w:hAnsi="Times New Roman" w:cs="Times New Roman"/>
          <w:sz w:val="24"/>
          <w:szCs w:val="24"/>
        </w:rPr>
      </w:pPr>
      <w:r w:rsidRPr="00D97714">
        <w:rPr>
          <w:rFonts w:ascii="Times New Roman" w:hAnsi="Times New Roman" w:cs="Times New Roman"/>
          <w:sz w:val="24"/>
          <w:szCs w:val="24"/>
        </w:rPr>
        <w:t>Gillan, S., Starks, L., 2000. Corporate governance proposals and shareholder activism: the role of institutional investors. Journal of Financial Economics 275–305.</w:t>
      </w:r>
    </w:p>
    <w:p w14:paraId="516A479F" w14:textId="67351949" w:rsidR="0024426A" w:rsidRPr="00D97714" w:rsidRDefault="0024426A" w:rsidP="00F743C0">
      <w:pPr>
        <w:rPr>
          <w:rFonts w:ascii="Times New Roman" w:hAnsi="Times New Roman" w:cs="Times New Roman"/>
          <w:sz w:val="24"/>
          <w:szCs w:val="24"/>
        </w:rPr>
      </w:pPr>
      <w:r w:rsidRPr="00D97714">
        <w:rPr>
          <w:rFonts w:ascii="Times New Roman" w:hAnsi="Times New Roman" w:cs="Times New Roman"/>
          <w:sz w:val="24"/>
          <w:szCs w:val="24"/>
        </w:rPr>
        <w:t>Gillan, S., &amp; Starks, L. T. (2007). The evolution of shareholder activism in the United States. Available at SSRN 959670.</w:t>
      </w:r>
    </w:p>
    <w:p w14:paraId="77380072" w14:textId="63D20DCA" w:rsidR="00CF0133" w:rsidRPr="00D97714" w:rsidRDefault="009B0F42" w:rsidP="00F743C0">
      <w:pPr>
        <w:rPr>
          <w:rStyle w:val="Hyperlink"/>
          <w:rFonts w:ascii="Times New Roman" w:hAnsi="Times New Roman" w:cs="Times New Roman"/>
          <w:sz w:val="24"/>
          <w:szCs w:val="24"/>
        </w:rPr>
      </w:pPr>
      <w:r w:rsidRPr="00D97714">
        <w:rPr>
          <w:rFonts w:ascii="Times New Roman" w:hAnsi="Times New Roman" w:cs="Times New Roman"/>
          <w:sz w:val="24"/>
          <w:szCs w:val="24"/>
        </w:rPr>
        <w:t>Gantchev, N</w:t>
      </w:r>
      <w:r w:rsidR="007A17A3" w:rsidRPr="00D97714">
        <w:rPr>
          <w:rFonts w:ascii="Times New Roman" w:hAnsi="Times New Roman" w:cs="Times New Roman"/>
          <w:sz w:val="24"/>
          <w:szCs w:val="24"/>
        </w:rPr>
        <w:t xml:space="preserve">., </w:t>
      </w:r>
      <w:r w:rsidRPr="00D97714">
        <w:rPr>
          <w:rFonts w:ascii="Times New Roman" w:hAnsi="Times New Roman" w:cs="Times New Roman"/>
          <w:sz w:val="24"/>
          <w:szCs w:val="24"/>
        </w:rPr>
        <w:t>Gredil, O</w:t>
      </w:r>
      <w:r w:rsidR="007A17A3" w:rsidRPr="00D97714">
        <w:rPr>
          <w:rFonts w:ascii="Times New Roman" w:hAnsi="Times New Roman" w:cs="Times New Roman"/>
          <w:sz w:val="24"/>
          <w:szCs w:val="24"/>
        </w:rPr>
        <w:t>.</w:t>
      </w:r>
      <w:r w:rsidRPr="00D97714">
        <w:rPr>
          <w:rFonts w:ascii="Times New Roman" w:hAnsi="Times New Roman" w:cs="Times New Roman"/>
          <w:sz w:val="24"/>
          <w:szCs w:val="24"/>
        </w:rPr>
        <w:t xml:space="preserve"> and Jotikasthira, C</w:t>
      </w:r>
      <w:r w:rsidR="007A17A3" w:rsidRPr="00D97714">
        <w:rPr>
          <w:rFonts w:ascii="Times New Roman" w:hAnsi="Times New Roman" w:cs="Times New Roman"/>
          <w:sz w:val="24"/>
          <w:szCs w:val="24"/>
        </w:rPr>
        <w:t>.</w:t>
      </w:r>
      <w:r w:rsidRPr="00D97714">
        <w:rPr>
          <w:rFonts w:ascii="Times New Roman" w:hAnsi="Times New Roman" w:cs="Times New Roman"/>
          <w:sz w:val="24"/>
          <w:szCs w:val="24"/>
        </w:rPr>
        <w:t xml:space="preserve"> Governance under the </w:t>
      </w:r>
      <w:r w:rsidR="007A17A3" w:rsidRPr="00D97714">
        <w:rPr>
          <w:rFonts w:ascii="Times New Roman" w:hAnsi="Times New Roman" w:cs="Times New Roman"/>
          <w:sz w:val="24"/>
          <w:szCs w:val="24"/>
        </w:rPr>
        <w:t>g</w:t>
      </w:r>
      <w:r w:rsidRPr="00D97714">
        <w:rPr>
          <w:rFonts w:ascii="Times New Roman" w:hAnsi="Times New Roman" w:cs="Times New Roman"/>
          <w:sz w:val="24"/>
          <w:szCs w:val="24"/>
        </w:rPr>
        <w:t xml:space="preserve">un: Spillover </w:t>
      </w:r>
      <w:r w:rsidR="007A17A3" w:rsidRPr="00D97714">
        <w:rPr>
          <w:rFonts w:ascii="Times New Roman" w:hAnsi="Times New Roman" w:cs="Times New Roman"/>
          <w:sz w:val="24"/>
          <w:szCs w:val="24"/>
        </w:rPr>
        <w:t>effects of hedge fund activism</w:t>
      </w:r>
      <w:r w:rsidRPr="00D97714">
        <w:rPr>
          <w:rFonts w:ascii="Times New Roman" w:hAnsi="Times New Roman" w:cs="Times New Roman"/>
          <w:sz w:val="24"/>
          <w:szCs w:val="24"/>
        </w:rPr>
        <w:t xml:space="preserve"> (March 15, 2014). Available at SSRN: http://ssrn.com/abstract=2356544 or </w:t>
      </w:r>
      <w:hyperlink r:id="rId11" w:history="1">
        <w:r w:rsidRPr="00D97714">
          <w:rPr>
            <w:rStyle w:val="Hyperlink"/>
            <w:rFonts w:ascii="Times New Roman" w:hAnsi="Times New Roman" w:cs="Times New Roman"/>
            <w:sz w:val="24"/>
            <w:szCs w:val="24"/>
          </w:rPr>
          <w:t>http://dx.doi.org/10.2139/ssrn.2356544</w:t>
        </w:r>
      </w:hyperlink>
      <w:r w:rsidR="00CF0133" w:rsidRPr="00D97714">
        <w:rPr>
          <w:rStyle w:val="Hyperlink"/>
          <w:rFonts w:ascii="Times New Roman" w:hAnsi="Times New Roman" w:cs="Times New Roman"/>
          <w:sz w:val="24"/>
          <w:szCs w:val="24"/>
        </w:rPr>
        <w:t xml:space="preserve">. </w:t>
      </w:r>
    </w:p>
    <w:p w14:paraId="3BABF931" w14:textId="77777777" w:rsidR="00CF0133" w:rsidRPr="00D97714" w:rsidRDefault="00CF0133" w:rsidP="009B0F42">
      <w:pPr>
        <w:rPr>
          <w:rFonts w:ascii="Times New Roman" w:hAnsi="Times New Roman" w:cs="Times New Roman"/>
          <w:sz w:val="24"/>
          <w:szCs w:val="24"/>
        </w:rPr>
      </w:pPr>
      <w:r w:rsidRPr="00D97714">
        <w:rPr>
          <w:rFonts w:ascii="Times New Roman" w:hAnsi="Times New Roman" w:cs="Times New Roman"/>
          <w:sz w:val="24"/>
          <w:szCs w:val="24"/>
        </w:rPr>
        <w:t>Hall, P., 1992, On the removal of skewness by transformation, Journal of the Royal Statistical Society. Series B (Methodological), 54(1), 221-228.</w:t>
      </w:r>
    </w:p>
    <w:p w14:paraId="5E7C906F" w14:textId="60767679" w:rsidR="009B0F42" w:rsidRPr="00D97714" w:rsidRDefault="009B0F42" w:rsidP="009B0F42">
      <w:pPr>
        <w:rPr>
          <w:rFonts w:ascii="Times New Roman" w:hAnsi="Times New Roman" w:cs="Times New Roman"/>
          <w:sz w:val="24"/>
          <w:szCs w:val="24"/>
        </w:rPr>
      </w:pPr>
      <w:r w:rsidRPr="00D97714">
        <w:rPr>
          <w:rFonts w:ascii="Times New Roman" w:hAnsi="Times New Roman" w:cs="Times New Roman"/>
          <w:sz w:val="24"/>
          <w:szCs w:val="24"/>
        </w:rPr>
        <w:t>Jensen, M., 1986. Agency costs of free cash flow, corporate finance, and takeovers. American Economic Review 76, 323-329.</w:t>
      </w:r>
    </w:p>
    <w:p w14:paraId="7F694AEA" w14:textId="5386FC75" w:rsidR="00820515" w:rsidRPr="00D97714" w:rsidRDefault="00820515" w:rsidP="009B0F42">
      <w:pPr>
        <w:rPr>
          <w:rFonts w:ascii="Times New Roman" w:hAnsi="Times New Roman" w:cs="Times New Roman"/>
          <w:sz w:val="24"/>
          <w:szCs w:val="24"/>
        </w:rPr>
      </w:pPr>
      <w:r w:rsidRPr="00D97714">
        <w:rPr>
          <w:rFonts w:ascii="Times New Roman" w:hAnsi="Times New Roman" w:cs="Times New Roman"/>
          <w:sz w:val="24"/>
          <w:szCs w:val="24"/>
        </w:rPr>
        <w:t>Jory, S. R., Madura, J., &amp; Ngo, T. N. (2012). Deal structure decision in the global market for divested assets. International Review of Financial Analysis, 24, 104-116.</w:t>
      </w:r>
    </w:p>
    <w:p w14:paraId="2783C15C" w14:textId="7DF2960B" w:rsidR="00820515" w:rsidRPr="00D97714" w:rsidRDefault="00820515" w:rsidP="009B0F42">
      <w:pPr>
        <w:rPr>
          <w:rFonts w:ascii="Times New Roman" w:hAnsi="Times New Roman" w:cs="Times New Roman"/>
          <w:sz w:val="24"/>
          <w:szCs w:val="24"/>
        </w:rPr>
      </w:pPr>
      <w:r w:rsidRPr="00D97714">
        <w:rPr>
          <w:rFonts w:ascii="Times New Roman" w:hAnsi="Times New Roman" w:cs="Times New Roman"/>
          <w:sz w:val="24"/>
          <w:szCs w:val="24"/>
        </w:rPr>
        <w:t>Jory, S. R., &amp; Ngo, T. N. (2014). Cross-border acquisitions of state-owned enterprises. Journal of International Business Studies, 45(9), 1096-1114.</w:t>
      </w:r>
    </w:p>
    <w:p w14:paraId="547B4E26" w14:textId="68DFB71B" w:rsidR="00FD5B51" w:rsidRPr="00D97714" w:rsidRDefault="00FD5B51" w:rsidP="009B0F42">
      <w:pPr>
        <w:rPr>
          <w:rFonts w:ascii="Times New Roman" w:hAnsi="Times New Roman" w:cs="Times New Roman"/>
          <w:sz w:val="24"/>
          <w:szCs w:val="24"/>
        </w:rPr>
      </w:pPr>
      <w:r w:rsidRPr="00D97714">
        <w:rPr>
          <w:rFonts w:ascii="Times New Roman" w:hAnsi="Times New Roman" w:cs="Times New Roman"/>
          <w:sz w:val="24"/>
          <w:szCs w:val="24"/>
        </w:rPr>
        <w:t>Karpoff, J., Malatesta, P., Walkling, R., 1996. Corporate governance and shareholder initiatives: empirical evidence. Journal of Financial Economics 365–395.</w:t>
      </w:r>
    </w:p>
    <w:p w14:paraId="689B8874" w14:textId="309A8585" w:rsidR="00736EA0" w:rsidRPr="00D97714" w:rsidRDefault="00736EA0" w:rsidP="009B0F42">
      <w:pPr>
        <w:rPr>
          <w:rFonts w:ascii="Times New Roman" w:hAnsi="Times New Roman" w:cs="Times New Roman"/>
          <w:sz w:val="24"/>
          <w:szCs w:val="24"/>
        </w:rPr>
      </w:pPr>
      <w:r w:rsidRPr="00D97714">
        <w:rPr>
          <w:rFonts w:ascii="Times New Roman" w:hAnsi="Times New Roman" w:cs="Times New Roman"/>
          <w:sz w:val="24"/>
          <w:szCs w:val="24"/>
        </w:rPr>
        <w:t>Karpoff, J. M. (2001). The impact of shareholder activism on target companies: A survey of empirical findings. Unpublished working paper.</w:t>
      </w:r>
    </w:p>
    <w:p w14:paraId="6BBDD1A1" w14:textId="0A980CA3"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 xml:space="preserve">Klein, A., Zur, E., 2009. Entrepreneurial </w:t>
      </w:r>
      <w:r w:rsidR="007A17A3" w:rsidRPr="00D97714">
        <w:rPr>
          <w:rFonts w:ascii="Times New Roman" w:hAnsi="Times New Roman" w:cs="Times New Roman"/>
          <w:sz w:val="24"/>
          <w:szCs w:val="24"/>
        </w:rPr>
        <w:t>shareholder activism: Hedge funds and other private investors</w:t>
      </w:r>
      <w:r w:rsidRPr="00D97714">
        <w:rPr>
          <w:rFonts w:ascii="Times New Roman" w:hAnsi="Times New Roman" w:cs="Times New Roman"/>
          <w:sz w:val="24"/>
          <w:szCs w:val="24"/>
        </w:rPr>
        <w:t>. The Journal of Finance 64, 187-229</w:t>
      </w:r>
    </w:p>
    <w:p w14:paraId="24FF0DF2" w14:textId="77777777" w:rsidR="009B0F42" w:rsidRPr="00D97714" w:rsidRDefault="009B0F42" w:rsidP="009B0F42">
      <w:pPr>
        <w:rPr>
          <w:rFonts w:ascii="Times New Roman" w:hAnsi="Times New Roman" w:cs="Times New Roman"/>
          <w:sz w:val="24"/>
          <w:szCs w:val="24"/>
        </w:rPr>
      </w:pPr>
      <w:r w:rsidRPr="00D97714">
        <w:rPr>
          <w:rFonts w:ascii="Times New Roman" w:hAnsi="Times New Roman" w:cs="Times New Roman"/>
          <w:sz w:val="24"/>
          <w:szCs w:val="24"/>
        </w:rPr>
        <w:t>Lambrecht, B. M., &amp; Myers, S. C. (2007). A theory of takeovers and disinvestment. The Journal of Finance, 62(2), 809-845.</w:t>
      </w:r>
    </w:p>
    <w:p w14:paraId="67C6C72A" w14:textId="77777777"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Lee, D. W., &amp; Park, K. S. (2009). Does institutional activism increase shareholder wealth? Evidence from spillovers on non-target companies. Journal of Corporate Finance, 15(4), 488-504.</w:t>
      </w:r>
    </w:p>
    <w:p w14:paraId="63795E8B" w14:textId="2C521DB7" w:rsidR="00756E29" w:rsidRPr="00D97714" w:rsidRDefault="00756E29" w:rsidP="00F743C0">
      <w:pPr>
        <w:rPr>
          <w:rFonts w:ascii="Times New Roman" w:hAnsi="Times New Roman" w:cs="Times New Roman"/>
          <w:sz w:val="24"/>
          <w:szCs w:val="24"/>
        </w:rPr>
      </w:pPr>
      <w:r w:rsidRPr="00D97714">
        <w:rPr>
          <w:rFonts w:ascii="Times New Roman" w:hAnsi="Times New Roman" w:cs="Times New Roman"/>
          <w:sz w:val="24"/>
          <w:szCs w:val="24"/>
        </w:rPr>
        <w:t>Maug, E. (1998). Large shareholders as monitors: is there a trade</w:t>
      </w:r>
      <w:r w:rsidRPr="00D97714">
        <w:rPr>
          <w:rFonts w:ascii="Calibri" w:eastAsia="Calibri" w:hAnsi="Calibri" w:cs="Calibri"/>
          <w:sz w:val="24"/>
          <w:szCs w:val="24"/>
        </w:rPr>
        <w:t>‐</w:t>
      </w:r>
      <w:r w:rsidRPr="00D97714">
        <w:rPr>
          <w:rFonts w:ascii="Times New Roman" w:hAnsi="Times New Roman" w:cs="Times New Roman"/>
          <w:sz w:val="24"/>
          <w:szCs w:val="24"/>
        </w:rPr>
        <w:t>off between liquidity and control?. The Journal of Finance, 53(1), 65-98.</w:t>
      </w:r>
    </w:p>
    <w:p w14:paraId="4FD396AF" w14:textId="13F07055"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Mietzner, M., Schweizer, D., &amp; Tyrell, M. (2011). Intra-</w:t>
      </w:r>
      <w:r w:rsidR="007A17A3" w:rsidRPr="00D97714">
        <w:rPr>
          <w:rFonts w:ascii="Times New Roman" w:hAnsi="Times New Roman" w:cs="Times New Roman"/>
          <w:sz w:val="24"/>
          <w:szCs w:val="24"/>
        </w:rPr>
        <w:t>industry effects of shareholder activism in Germany—is there a difference between hedge fund and private equity investments</w:t>
      </w:r>
      <w:r w:rsidRPr="00D97714">
        <w:rPr>
          <w:rFonts w:ascii="Times New Roman" w:hAnsi="Times New Roman" w:cs="Times New Roman"/>
          <w:sz w:val="24"/>
          <w:szCs w:val="24"/>
        </w:rPr>
        <w:t>? SBR-Schmalenbach Business Review, 63, 151.</w:t>
      </w:r>
    </w:p>
    <w:p w14:paraId="03489E28" w14:textId="6E2BD046"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Nesbitt, S. L. (1994). Long</w:t>
      </w:r>
      <w:r w:rsidRPr="00D97714">
        <w:rPr>
          <w:rFonts w:ascii="Calibri" w:eastAsia="Calibri" w:hAnsi="Calibri" w:cs="Calibri"/>
          <w:sz w:val="24"/>
          <w:szCs w:val="24"/>
        </w:rPr>
        <w:t>‐</w:t>
      </w:r>
      <w:r w:rsidR="007A17A3" w:rsidRPr="00D97714">
        <w:rPr>
          <w:rFonts w:ascii="Times New Roman" w:hAnsi="Times New Roman" w:cs="Times New Roman"/>
          <w:sz w:val="24"/>
          <w:szCs w:val="24"/>
        </w:rPr>
        <w:t xml:space="preserve">term rewards from shareholder activism: A study </w:t>
      </w:r>
      <w:r w:rsidRPr="00D97714">
        <w:rPr>
          <w:rFonts w:ascii="Times New Roman" w:hAnsi="Times New Roman" w:cs="Times New Roman"/>
          <w:sz w:val="24"/>
          <w:szCs w:val="24"/>
        </w:rPr>
        <w:t>of the “CalPERS Effect”. Journal of Applied Corporate Finance, 6(4), 75-80.</w:t>
      </w:r>
    </w:p>
    <w:p w14:paraId="1A7387C8" w14:textId="77777777" w:rsidR="00465E72" w:rsidRPr="00D97714" w:rsidRDefault="00465E72" w:rsidP="00465E72">
      <w:pPr>
        <w:rPr>
          <w:rFonts w:ascii="Times New Roman" w:hAnsi="Times New Roman" w:cs="Times New Roman"/>
          <w:sz w:val="24"/>
          <w:szCs w:val="24"/>
        </w:rPr>
      </w:pPr>
      <w:r w:rsidRPr="00D97714">
        <w:rPr>
          <w:rFonts w:ascii="Times New Roman" w:hAnsi="Times New Roman" w:cs="Times New Roman"/>
          <w:sz w:val="24"/>
          <w:szCs w:val="24"/>
        </w:rPr>
        <w:t>Novy-Marx, R. (2013). The other side of value: The gross profitability premium. Journal of Financial Economics, 108(1), 1-28.</w:t>
      </w:r>
    </w:p>
    <w:p w14:paraId="13E80B33" w14:textId="77777777"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Otchere, I., &amp; Ip, E. (2006). Intra-industry effects of completed and cancelled cross border acquisitions in Australia: A test of the acquisition probability hypothesis. Pacific-Basin Finance Journal, 14(2), 209-230.</w:t>
      </w:r>
    </w:p>
    <w:p w14:paraId="3D7298FF" w14:textId="4586AA55" w:rsidR="00C13F68" w:rsidRPr="00D97714" w:rsidRDefault="00C13F68" w:rsidP="00F743C0">
      <w:pPr>
        <w:rPr>
          <w:rFonts w:ascii="Times New Roman" w:hAnsi="Times New Roman" w:cs="Times New Roman"/>
          <w:sz w:val="24"/>
          <w:szCs w:val="24"/>
        </w:rPr>
      </w:pPr>
      <w:r w:rsidRPr="00D97714">
        <w:rPr>
          <w:rFonts w:ascii="Times New Roman" w:hAnsi="Times New Roman" w:cs="Times New Roman"/>
          <w:sz w:val="24"/>
          <w:szCs w:val="24"/>
        </w:rPr>
        <w:t>Pozen, R. C. (1994). Institutional investors: The reluctant activists. Harvard Business Review, 72(1), 140-149.</w:t>
      </w:r>
    </w:p>
    <w:p w14:paraId="7D806981" w14:textId="53C623CF" w:rsidR="00FD5B51" w:rsidRPr="00D97714" w:rsidRDefault="00FD5B51" w:rsidP="00F743C0">
      <w:pPr>
        <w:rPr>
          <w:rFonts w:ascii="Times New Roman" w:hAnsi="Times New Roman" w:cs="Times New Roman"/>
          <w:sz w:val="24"/>
          <w:szCs w:val="24"/>
        </w:rPr>
      </w:pPr>
      <w:r w:rsidRPr="00D97714">
        <w:rPr>
          <w:rFonts w:ascii="Times New Roman" w:hAnsi="Times New Roman" w:cs="Times New Roman"/>
          <w:sz w:val="24"/>
          <w:szCs w:val="24"/>
        </w:rPr>
        <w:t>Prevost, A., Rao, R., 2000. Of what value are shareholder proposals sponsored by public pension funds? Journal of Business</w:t>
      </w:r>
      <w:r w:rsidR="006905FB">
        <w:rPr>
          <w:rFonts w:ascii="Times New Roman" w:hAnsi="Times New Roman" w:cs="Times New Roman"/>
          <w:sz w:val="24"/>
          <w:szCs w:val="24"/>
        </w:rPr>
        <w:t>,</w:t>
      </w:r>
      <w:r w:rsidRPr="00D97714">
        <w:rPr>
          <w:rFonts w:ascii="Times New Roman" w:hAnsi="Times New Roman" w:cs="Times New Roman"/>
          <w:sz w:val="24"/>
          <w:szCs w:val="24"/>
        </w:rPr>
        <w:t xml:space="preserve"> 177–204.</w:t>
      </w:r>
    </w:p>
    <w:p w14:paraId="48024C84" w14:textId="6528AB34"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 xml:space="preserve">Raff, Konrad, Information </w:t>
      </w:r>
      <w:r w:rsidR="007A17A3" w:rsidRPr="00D97714">
        <w:rPr>
          <w:rFonts w:ascii="Times New Roman" w:hAnsi="Times New Roman" w:cs="Times New Roman"/>
          <w:sz w:val="24"/>
          <w:szCs w:val="24"/>
        </w:rPr>
        <w:t xml:space="preserve">externalities in corporate governance </w:t>
      </w:r>
      <w:r w:rsidRPr="00D97714">
        <w:rPr>
          <w:rFonts w:ascii="Times New Roman" w:hAnsi="Times New Roman" w:cs="Times New Roman"/>
          <w:sz w:val="24"/>
          <w:szCs w:val="24"/>
        </w:rPr>
        <w:t xml:space="preserve">(December 20, 2011). AFA 2012 Chicago Meetings Paper. Available at SSRN: http://ssrn.com/abstract=1787130 or </w:t>
      </w:r>
      <w:hyperlink r:id="rId12" w:history="1">
        <w:r w:rsidRPr="00D97714">
          <w:rPr>
            <w:rStyle w:val="Hyperlink"/>
            <w:rFonts w:ascii="Times New Roman" w:hAnsi="Times New Roman" w:cs="Times New Roman"/>
            <w:sz w:val="24"/>
            <w:szCs w:val="24"/>
          </w:rPr>
          <w:t>http://dx.doi.org/10.2139/ssrn.1787130</w:t>
        </w:r>
      </w:hyperlink>
      <w:r w:rsidRPr="00D97714">
        <w:rPr>
          <w:rFonts w:ascii="Times New Roman" w:hAnsi="Times New Roman" w:cs="Times New Roman"/>
          <w:sz w:val="24"/>
          <w:szCs w:val="24"/>
        </w:rPr>
        <w:t xml:space="preserve"> </w:t>
      </w:r>
    </w:p>
    <w:p w14:paraId="1B3E3C25" w14:textId="77777777" w:rsidR="009B0F42" w:rsidRPr="00D97714" w:rsidRDefault="009B0F42" w:rsidP="003E6F20">
      <w:pPr>
        <w:rPr>
          <w:rFonts w:ascii="Times New Roman" w:hAnsi="Times New Roman" w:cs="Times New Roman"/>
          <w:sz w:val="24"/>
          <w:szCs w:val="24"/>
        </w:rPr>
      </w:pPr>
      <w:bookmarkStart w:id="1" w:name="_ENREF_25"/>
      <w:r w:rsidRPr="00D97714">
        <w:rPr>
          <w:rFonts w:ascii="Times New Roman" w:hAnsi="Times New Roman" w:cs="Times New Roman"/>
          <w:sz w:val="24"/>
          <w:szCs w:val="24"/>
        </w:rPr>
        <w:t>Renneboog, L., Szilagyi, P.G., 2011. The role of shareholder proposals in corporate governance. Journal of Corporate Finance 17, 167-188</w:t>
      </w:r>
      <w:bookmarkEnd w:id="1"/>
    </w:p>
    <w:p w14:paraId="3D962943" w14:textId="7AEB20F5" w:rsidR="009B0F42" w:rsidRPr="00D97714" w:rsidRDefault="009B0F42" w:rsidP="003E6F20">
      <w:pPr>
        <w:rPr>
          <w:rFonts w:ascii="Times New Roman" w:hAnsi="Times New Roman" w:cs="Times New Roman"/>
          <w:sz w:val="24"/>
          <w:szCs w:val="24"/>
        </w:rPr>
      </w:pPr>
      <w:r w:rsidRPr="00D97714">
        <w:rPr>
          <w:rFonts w:ascii="Times New Roman" w:hAnsi="Times New Roman" w:cs="Times New Roman"/>
          <w:sz w:val="24"/>
          <w:szCs w:val="24"/>
        </w:rPr>
        <w:t>Servaes, H., &amp; Tamayo, A. (2014). How do industry pe</w:t>
      </w:r>
      <w:r w:rsidR="007A17A3" w:rsidRPr="00D97714">
        <w:rPr>
          <w:rFonts w:ascii="Times New Roman" w:hAnsi="Times New Roman" w:cs="Times New Roman"/>
          <w:sz w:val="24"/>
          <w:szCs w:val="24"/>
        </w:rPr>
        <w:t>ers respond to control threats?</w:t>
      </w:r>
      <w:r w:rsidRPr="00D97714">
        <w:rPr>
          <w:rFonts w:ascii="Times New Roman" w:hAnsi="Times New Roman" w:cs="Times New Roman"/>
          <w:sz w:val="24"/>
          <w:szCs w:val="24"/>
        </w:rPr>
        <w:t xml:space="preserve"> Management Science, 60(2), 380-399.</w:t>
      </w:r>
    </w:p>
    <w:p w14:paraId="235FFB29" w14:textId="1856E893" w:rsidR="0098415C" w:rsidRPr="00D97714" w:rsidRDefault="0098415C" w:rsidP="0098415C">
      <w:pPr>
        <w:rPr>
          <w:rFonts w:ascii="Times New Roman" w:hAnsi="Times New Roman" w:cs="Times New Roman"/>
          <w:sz w:val="24"/>
          <w:szCs w:val="24"/>
        </w:rPr>
      </w:pPr>
      <w:r w:rsidRPr="00D97714">
        <w:rPr>
          <w:rFonts w:ascii="Times New Roman" w:hAnsi="Times New Roman" w:cs="Times New Roman"/>
          <w:sz w:val="24"/>
          <w:szCs w:val="24"/>
        </w:rPr>
        <w:t>Shearer, B. (2006) “Dangerous Waters for Dealmakers.” Mergers and Acquisitions, 41(3), pp. 30-34.</w:t>
      </w:r>
    </w:p>
    <w:p w14:paraId="44B9D6AA" w14:textId="77777777" w:rsidR="009B0F42" w:rsidRPr="00D97714" w:rsidRDefault="009B0F42" w:rsidP="00E13591">
      <w:pPr>
        <w:rPr>
          <w:rFonts w:ascii="Times New Roman" w:hAnsi="Times New Roman" w:cs="Times New Roman"/>
          <w:sz w:val="24"/>
          <w:szCs w:val="24"/>
        </w:rPr>
      </w:pPr>
      <w:r w:rsidRPr="00D97714">
        <w:rPr>
          <w:rFonts w:ascii="Times New Roman" w:hAnsi="Times New Roman" w:cs="Times New Roman"/>
          <w:sz w:val="24"/>
          <w:szCs w:val="24"/>
        </w:rPr>
        <w:t>Shleifer, Andrei, and Robert Vishny, 1986, Large shareholders and corporate control, Journal of Political Economy 94, 461-488.</w:t>
      </w:r>
    </w:p>
    <w:p w14:paraId="286D241B" w14:textId="77777777"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Smith, M. P. (1996). Shareholder activism by institutional investors: Evidence from CalPERS. The Journal of Finance, 51(1), 227-252.</w:t>
      </w:r>
    </w:p>
    <w:p w14:paraId="7E0EEC4F" w14:textId="180D99B2"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Strickland, D., Wiles, K. W., &amp; Zenner, M.</w:t>
      </w:r>
      <w:r w:rsidR="007A17A3" w:rsidRPr="00D97714">
        <w:rPr>
          <w:rFonts w:ascii="Times New Roman" w:hAnsi="Times New Roman" w:cs="Times New Roman"/>
          <w:sz w:val="24"/>
          <w:szCs w:val="24"/>
        </w:rPr>
        <w:t xml:space="preserve"> (1996). A requiem for the USA i</w:t>
      </w:r>
      <w:r w:rsidRPr="00D97714">
        <w:rPr>
          <w:rFonts w:ascii="Times New Roman" w:hAnsi="Times New Roman" w:cs="Times New Roman"/>
          <w:sz w:val="24"/>
          <w:szCs w:val="24"/>
        </w:rPr>
        <w:t>s small sh</w:t>
      </w:r>
      <w:r w:rsidR="007A17A3" w:rsidRPr="00D97714">
        <w:rPr>
          <w:rFonts w:ascii="Times New Roman" w:hAnsi="Times New Roman" w:cs="Times New Roman"/>
          <w:sz w:val="24"/>
          <w:szCs w:val="24"/>
        </w:rPr>
        <w:t>areholder monitoring effective?</w:t>
      </w:r>
      <w:r w:rsidRPr="00D97714">
        <w:rPr>
          <w:rFonts w:ascii="Times New Roman" w:hAnsi="Times New Roman" w:cs="Times New Roman"/>
          <w:sz w:val="24"/>
          <w:szCs w:val="24"/>
        </w:rPr>
        <w:t xml:space="preserve"> Journal of Financial Economics, 40(2), 319-338.</w:t>
      </w:r>
    </w:p>
    <w:p w14:paraId="1D8C7E00" w14:textId="77777777"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Thomas, R. S., &amp; Cotter, J. F. (2007). Shareholder proposals in the new millennium: Shareholder support, board response, and market reaction. Journal of Corporate Finance, 13(2), 368-391.</w:t>
      </w:r>
    </w:p>
    <w:p w14:paraId="31CA7DAC" w14:textId="77777777" w:rsidR="009B0F42" w:rsidRPr="00D97714" w:rsidRDefault="009B0F42" w:rsidP="00F743C0">
      <w:pPr>
        <w:rPr>
          <w:rFonts w:ascii="Times New Roman" w:hAnsi="Times New Roman" w:cs="Times New Roman"/>
          <w:sz w:val="24"/>
          <w:szCs w:val="24"/>
        </w:rPr>
      </w:pPr>
      <w:r w:rsidRPr="00D97714">
        <w:rPr>
          <w:rFonts w:ascii="Times New Roman" w:hAnsi="Times New Roman" w:cs="Times New Roman"/>
          <w:sz w:val="24"/>
          <w:szCs w:val="24"/>
        </w:rPr>
        <w:t>Wahal, S. (1996). Pension fund activism and firm performance. Journal of Financial and quantitative analysis, 31(01), 1-23.</w:t>
      </w:r>
    </w:p>
    <w:p w14:paraId="1DA218F4" w14:textId="77777777" w:rsidR="0033739C" w:rsidRPr="00D97714" w:rsidRDefault="0033739C" w:rsidP="00F743C0">
      <w:pPr>
        <w:rPr>
          <w:rFonts w:ascii="Times New Roman" w:hAnsi="Times New Roman" w:cs="Times New Roman"/>
          <w:sz w:val="24"/>
          <w:szCs w:val="24"/>
        </w:rPr>
      </w:pPr>
    </w:p>
    <w:p w14:paraId="6EA41A29" w14:textId="77777777" w:rsidR="0033739C" w:rsidRPr="00D97714" w:rsidRDefault="0033739C" w:rsidP="00F743C0">
      <w:pPr>
        <w:rPr>
          <w:rFonts w:ascii="Times New Roman" w:hAnsi="Times New Roman" w:cs="Times New Roman"/>
          <w:sz w:val="24"/>
          <w:szCs w:val="24"/>
        </w:rPr>
      </w:pPr>
    </w:p>
    <w:p w14:paraId="288C88B6" w14:textId="77777777" w:rsidR="0033739C" w:rsidRPr="00D97714" w:rsidRDefault="0033739C" w:rsidP="00F743C0">
      <w:pPr>
        <w:rPr>
          <w:rFonts w:ascii="Times New Roman" w:hAnsi="Times New Roman" w:cs="Times New Roman"/>
          <w:sz w:val="24"/>
          <w:szCs w:val="24"/>
        </w:rPr>
      </w:pPr>
    </w:p>
    <w:p w14:paraId="326584A9" w14:textId="77777777" w:rsidR="0033739C" w:rsidRPr="00D97714" w:rsidRDefault="0033739C" w:rsidP="00F743C0">
      <w:pPr>
        <w:rPr>
          <w:rFonts w:ascii="Times New Roman" w:hAnsi="Times New Roman" w:cs="Times New Roman"/>
          <w:sz w:val="24"/>
          <w:szCs w:val="24"/>
        </w:rPr>
      </w:pPr>
    </w:p>
    <w:p w14:paraId="7B9F195D" w14:textId="77777777" w:rsidR="0033739C" w:rsidRPr="00D97714" w:rsidRDefault="0033739C" w:rsidP="00F743C0">
      <w:pPr>
        <w:rPr>
          <w:rFonts w:ascii="Times New Roman" w:hAnsi="Times New Roman" w:cs="Times New Roman"/>
          <w:sz w:val="24"/>
          <w:szCs w:val="24"/>
        </w:rPr>
      </w:pPr>
    </w:p>
    <w:p w14:paraId="219CFA0D" w14:textId="77777777" w:rsidR="0033739C" w:rsidRPr="00D97714" w:rsidRDefault="0033739C" w:rsidP="00F743C0">
      <w:pPr>
        <w:rPr>
          <w:rFonts w:ascii="Times New Roman" w:hAnsi="Times New Roman" w:cs="Times New Roman"/>
          <w:sz w:val="24"/>
          <w:szCs w:val="24"/>
        </w:rPr>
      </w:pPr>
    </w:p>
    <w:p w14:paraId="1E31828A" w14:textId="77777777" w:rsidR="0033739C" w:rsidRPr="00D97714" w:rsidRDefault="0033739C" w:rsidP="00F743C0">
      <w:pPr>
        <w:rPr>
          <w:rFonts w:ascii="Times New Roman" w:hAnsi="Times New Roman" w:cs="Times New Roman"/>
          <w:sz w:val="24"/>
          <w:szCs w:val="24"/>
        </w:rPr>
      </w:pPr>
    </w:p>
    <w:p w14:paraId="6C69BC5A" w14:textId="77777777" w:rsidR="0033739C" w:rsidRPr="00D97714" w:rsidRDefault="0033739C" w:rsidP="00F743C0">
      <w:pPr>
        <w:rPr>
          <w:rFonts w:ascii="Times New Roman" w:hAnsi="Times New Roman" w:cs="Times New Roman"/>
          <w:sz w:val="24"/>
          <w:szCs w:val="24"/>
        </w:rPr>
      </w:pPr>
    </w:p>
    <w:p w14:paraId="2F6BA8D4" w14:textId="77777777" w:rsidR="0033739C" w:rsidRPr="00D97714" w:rsidRDefault="0033739C" w:rsidP="00F743C0">
      <w:pPr>
        <w:rPr>
          <w:rFonts w:ascii="Times New Roman" w:hAnsi="Times New Roman" w:cs="Times New Roman"/>
          <w:sz w:val="24"/>
          <w:szCs w:val="24"/>
        </w:rPr>
      </w:pPr>
    </w:p>
    <w:p w14:paraId="5038A8A7" w14:textId="77777777" w:rsidR="0033739C" w:rsidRPr="00D97714" w:rsidRDefault="0033739C" w:rsidP="00F743C0">
      <w:pPr>
        <w:rPr>
          <w:rFonts w:ascii="Times New Roman" w:hAnsi="Times New Roman" w:cs="Times New Roman"/>
          <w:sz w:val="24"/>
          <w:szCs w:val="24"/>
        </w:rPr>
      </w:pPr>
    </w:p>
    <w:p w14:paraId="28AAEE21" w14:textId="77777777" w:rsidR="0033739C" w:rsidRPr="00D97714" w:rsidRDefault="0033739C" w:rsidP="00F743C0">
      <w:pPr>
        <w:rPr>
          <w:rFonts w:ascii="Times New Roman" w:hAnsi="Times New Roman" w:cs="Times New Roman"/>
          <w:sz w:val="24"/>
          <w:szCs w:val="24"/>
        </w:rPr>
      </w:pPr>
    </w:p>
    <w:p w14:paraId="7DCB20E5" w14:textId="77777777" w:rsidR="0033739C" w:rsidRPr="00D97714" w:rsidRDefault="0033739C" w:rsidP="00F743C0">
      <w:pPr>
        <w:rPr>
          <w:rFonts w:ascii="Times New Roman" w:hAnsi="Times New Roman" w:cs="Times New Roman"/>
          <w:sz w:val="24"/>
          <w:szCs w:val="24"/>
        </w:rPr>
      </w:pPr>
    </w:p>
    <w:p w14:paraId="17639F12" w14:textId="77777777" w:rsidR="00651248" w:rsidRPr="00D97714" w:rsidRDefault="00651248" w:rsidP="00F743C0">
      <w:pPr>
        <w:rPr>
          <w:rFonts w:ascii="Times New Roman" w:hAnsi="Times New Roman" w:cs="Times New Roman"/>
          <w:sz w:val="24"/>
          <w:szCs w:val="24"/>
        </w:rPr>
      </w:pPr>
    </w:p>
    <w:tbl>
      <w:tblPr>
        <w:tblW w:w="5000" w:type="pct"/>
        <w:tblLayout w:type="fixed"/>
        <w:tblLook w:val="04A0" w:firstRow="1" w:lastRow="0" w:firstColumn="1" w:lastColumn="0" w:noHBand="0" w:noVBand="1"/>
      </w:tblPr>
      <w:tblGrid>
        <w:gridCol w:w="1093"/>
        <w:gridCol w:w="1438"/>
        <w:gridCol w:w="1044"/>
        <w:gridCol w:w="213"/>
        <w:gridCol w:w="50"/>
        <w:gridCol w:w="938"/>
        <w:gridCol w:w="211"/>
        <w:gridCol w:w="509"/>
        <w:gridCol w:w="573"/>
        <w:gridCol w:w="61"/>
        <w:gridCol w:w="257"/>
        <w:gridCol w:w="891"/>
        <w:gridCol w:w="216"/>
        <w:gridCol w:w="714"/>
        <w:gridCol w:w="213"/>
        <w:gridCol w:w="1155"/>
      </w:tblGrid>
      <w:tr w:rsidR="0033739C" w:rsidRPr="00D97714" w14:paraId="7DA97A77" w14:textId="77777777" w:rsidTr="00B05BA5">
        <w:trPr>
          <w:trHeight w:val="20"/>
        </w:trPr>
        <w:tc>
          <w:tcPr>
            <w:tcW w:w="5000" w:type="pct"/>
            <w:gridSpan w:val="16"/>
            <w:tcBorders>
              <w:top w:val="nil"/>
              <w:left w:val="nil"/>
              <w:bottom w:val="nil"/>
              <w:right w:val="nil"/>
            </w:tcBorders>
            <w:shd w:val="clear" w:color="auto" w:fill="auto"/>
            <w:noWrap/>
            <w:vAlign w:val="bottom"/>
            <w:hideMark/>
          </w:tcPr>
          <w:p w14:paraId="1D37B863" w14:textId="77777777" w:rsidR="0033739C" w:rsidRPr="00D97714" w:rsidRDefault="0033739C" w:rsidP="00B05BA5">
            <w:pPr>
              <w:spacing w:after="0" w:line="240" w:lineRule="auto"/>
              <w:rPr>
                <w:rFonts w:ascii="Times New Roman" w:eastAsia="Times New Roman" w:hAnsi="Times New Roman" w:cs="Times New Roman"/>
                <w:sz w:val="24"/>
                <w:szCs w:val="24"/>
              </w:rPr>
            </w:pPr>
            <w:r w:rsidRPr="00D97714">
              <w:rPr>
                <w:rFonts w:ascii="Times New Roman" w:eastAsia="Times New Roman" w:hAnsi="Times New Roman" w:cs="Times New Roman"/>
                <w:b/>
                <w:bCs/>
                <w:color w:val="000000"/>
                <w:sz w:val="24"/>
                <w:szCs w:val="24"/>
              </w:rPr>
              <w:t>Table 1 – Sample Distribution and Descriptive Statistics</w:t>
            </w:r>
          </w:p>
        </w:tc>
      </w:tr>
      <w:tr w:rsidR="0033739C" w:rsidRPr="00D97714" w14:paraId="54EFA314" w14:textId="77777777" w:rsidTr="00B05BA5">
        <w:trPr>
          <w:trHeight w:val="20"/>
        </w:trPr>
        <w:tc>
          <w:tcPr>
            <w:tcW w:w="5000" w:type="pct"/>
            <w:gridSpan w:val="16"/>
            <w:tcBorders>
              <w:top w:val="single" w:sz="4" w:space="0" w:color="auto"/>
              <w:left w:val="nil"/>
              <w:bottom w:val="nil"/>
              <w:right w:val="nil"/>
            </w:tcBorders>
            <w:shd w:val="clear" w:color="auto" w:fill="auto"/>
            <w:noWrap/>
            <w:vAlign w:val="bottom"/>
            <w:hideMark/>
          </w:tcPr>
          <w:p w14:paraId="69CC1287" w14:textId="77777777" w:rsidR="0033739C" w:rsidRPr="00D97714" w:rsidRDefault="0033739C" w:rsidP="00B05BA5">
            <w:pPr>
              <w:spacing w:after="0" w:line="240" w:lineRule="auto"/>
              <w:rPr>
                <w:rFonts w:ascii="Times New Roman" w:eastAsia="Times New Roman" w:hAnsi="Times New Roman" w:cs="Times New Roman"/>
                <w:b/>
                <w:bCs/>
                <w:i/>
                <w:iCs/>
                <w:color w:val="000000"/>
                <w:sz w:val="24"/>
                <w:szCs w:val="24"/>
              </w:rPr>
            </w:pPr>
            <w:r w:rsidRPr="00D97714">
              <w:rPr>
                <w:rFonts w:ascii="Times New Roman" w:eastAsia="Times New Roman" w:hAnsi="Times New Roman" w:cs="Times New Roman"/>
                <w:b/>
                <w:bCs/>
                <w:i/>
                <w:iCs/>
                <w:color w:val="000000"/>
                <w:sz w:val="24"/>
                <w:szCs w:val="24"/>
              </w:rPr>
              <w:t>Panel A - Sample Distribution</w:t>
            </w:r>
          </w:p>
        </w:tc>
      </w:tr>
      <w:tr w:rsidR="0063232D" w:rsidRPr="00D97714" w14:paraId="3BB7AD43" w14:textId="77777777" w:rsidTr="0063232D">
        <w:trPr>
          <w:trHeight w:val="20"/>
        </w:trPr>
        <w:tc>
          <w:tcPr>
            <w:tcW w:w="571" w:type="pct"/>
            <w:tcBorders>
              <w:top w:val="single" w:sz="8" w:space="0" w:color="C1C1C1"/>
              <w:left w:val="single" w:sz="8" w:space="0" w:color="C1C1C1"/>
              <w:bottom w:val="single" w:sz="4" w:space="0" w:color="auto"/>
              <w:right w:val="nil"/>
            </w:tcBorders>
            <w:shd w:val="clear" w:color="auto" w:fill="auto"/>
            <w:hideMark/>
          </w:tcPr>
          <w:p w14:paraId="08500E89"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Year</w:t>
            </w:r>
          </w:p>
        </w:tc>
        <w:tc>
          <w:tcPr>
            <w:tcW w:w="751" w:type="pct"/>
            <w:tcBorders>
              <w:top w:val="single" w:sz="8" w:space="0" w:color="C1C1C1"/>
              <w:left w:val="nil"/>
              <w:bottom w:val="single" w:sz="4" w:space="0" w:color="auto"/>
              <w:right w:val="nil"/>
            </w:tcBorders>
            <w:shd w:val="clear" w:color="auto" w:fill="auto"/>
            <w:hideMark/>
          </w:tcPr>
          <w:p w14:paraId="27F5156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Number of activism events</w:t>
            </w:r>
          </w:p>
        </w:tc>
        <w:tc>
          <w:tcPr>
            <w:tcW w:w="656" w:type="pct"/>
            <w:gridSpan w:val="2"/>
            <w:tcBorders>
              <w:top w:val="single" w:sz="8" w:space="0" w:color="C1C1C1"/>
              <w:left w:val="nil"/>
              <w:bottom w:val="single" w:sz="4" w:space="0" w:color="auto"/>
              <w:right w:val="nil"/>
            </w:tcBorders>
            <w:shd w:val="clear" w:color="auto" w:fill="auto"/>
          </w:tcPr>
          <w:p w14:paraId="024A5033" w14:textId="3CD1512D"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Percent</w:t>
            </w:r>
          </w:p>
        </w:tc>
        <w:tc>
          <w:tcPr>
            <w:tcW w:w="1191" w:type="pct"/>
            <w:gridSpan w:val="5"/>
            <w:tcBorders>
              <w:top w:val="single" w:sz="8" w:space="0" w:color="C1C1C1"/>
              <w:left w:val="nil"/>
              <w:bottom w:val="single" w:sz="4" w:space="0" w:color="auto"/>
              <w:right w:val="nil"/>
            </w:tcBorders>
            <w:shd w:val="clear" w:color="auto" w:fill="auto"/>
          </w:tcPr>
          <w:p w14:paraId="77F3715E" w14:textId="29ED9DE3"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Average number of non-target matching firms per event</w:t>
            </w:r>
          </w:p>
        </w:tc>
        <w:tc>
          <w:tcPr>
            <w:tcW w:w="166" w:type="pct"/>
            <w:gridSpan w:val="2"/>
            <w:tcBorders>
              <w:top w:val="nil"/>
              <w:left w:val="nil"/>
              <w:bottom w:val="single" w:sz="4" w:space="0" w:color="auto"/>
              <w:right w:val="nil"/>
            </w:tcBorders>
            <w:shd w:val="clear" w:color="auto" w:fill="auto"/>
            <w:noWrap/>
            <w:vAlign w:val="bottom"/>
            <w:hideMark/>
          </w:tcPr>
          <w:p w14:paraId="51510FD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 </w:t>
            </w:r>
          </w:p>
        </w:tc>
        <w:tc>
          <w:tcPr>
            <w:tcW w:w="951" w:type="pct"/>
            <w:gridSpan w:val="3"/>
            <w:tcBorders>
              <w:top w:val="nil"/>
              <w:left w:val="nil"/>
              <w:bottom w:val="single" w:sz="4" w:space="0" w:color="auto"/>
              <w:right w:val="nil"/>
            </w:tcBorders>
            <w:shd w:val="clear" w:color="auto" w:fill="auto"/>
            <w:noWrap/>
            <w:vAlign w:val="bottom"/>
            <w:hideMark/>
          </w:tcPr>
          <w:p w14:paraId="7513FE4B" w14:textId="5F450930"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Industry</w:t>
            </w:r>
          </w:p>
        </w:tc>
        <w:tc>
          <w:tcPr>
            <w:tcW w:w="714" w:type="pct"/>
            <w:gridSpan w:val="2"/>
            <w:tcBorders>
              <w:top w:val="nil"/>
              <w:left w:val="nil"/>
              <w:bottom w:val="single" w:sz="4" w:space="0" w:color="auto"/>
              <w:right w:val="nil"/>
            </w:tcBorders>
            <w:shd w:val="clear" w:color="auto" w:fill="auto"/>
            <w:vAlign w:val="bottom"/>
          </w:tcPr>
          <w:p w14:paraId="2DDABDFF" w14:textId="770A9459"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Percent</w:t>
            </w:r>
          </w:p>
        </w:tc>
      </w:tr>
      <w:tr w:rsidR="0063232D" w:rsidRPr="00D97714" w14:paraId="2D9F7326" w14:textId="77777777" w:rsidTr="0063232D">
        <w:trPr>
          <w:trHeight w:val="20"/>
        </w:trPr>
        <w:tc>
          <w:tcPr>
            <w:tcW w:w="571" w:type="pct"/>
            <w:tcBorders>
              <w:top w:val="nil"/>
              <w:left w:val="single" w:sz="8" w:space="0" w:color="C1C1C1"/>
              <w:bottom w:val="nil"/>
              <w:right w:val="nil"/>
            </w:tcBorders>
            <w:shd w:val="clear" w:color="auto" w:fill="auto"/>
            <w:hideMark/>
          </w:tcPr>
          <w:p w14:paraId="107EC413"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2000</w:t>
            </w:r>
          </w:p>
        </w:tc>
        <w:tc>
          <w:tcPr>
            <w:tcW w:w="751" w:type="pct"/>
            <w:tcBorders>
              <w:top w:val="nil"/>
              <w:left w:val="nil"/>
              <w:bottom w:val="nil"/>
              <w:right w:val="nil"/>
            </w:tcBorders>
            <w:shd w:val="clear" w:color="auto" w:fill="auto"/>
            <w:hideMark/>
          </w:tcPr>
          <w:p w14:paraId="6A34D37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w:t>
            </w:r>
          </w:p>
        </w:tc>
        <w:tc>
          <w:tcPr>
            <w:tcW w:w="656" w:type="pct"/>
            <w:gridSpan w:val="2"/>
            <w:tcBorders>
              <w:top w:val="nil"/>
              <w:left w:val="nil"/>
              <w:bottom w:val="nil"/>
              <w:right w:val="nil"/>
            </w:tcBorders>
            <w:shd w:val="clear" w:color="auto" w:fill="auto"/>
            <w:noWrap/>
            <w:hideMark/>
          </w:tcPr>
          <w:p w14:paraId="07A219F0" w14:textId="45240A22"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2.96</w:t>
            </w:r>
          </w:p>
        </w:tc>
        <w:tc>
          <w:tcPr>
            <w:tcW w:w="1191" w:type="pct"/>
            <w:gridSpan w:val="5"/>
            <w:tcBorders>
              <w:top w:val="nil"/>
              <w:left w:val="nil"/>
              <w:bottom w:val="nil"/>
              <w:right w:val="nil"/>
            </w:tcBorders>
            <w:shd w:val="clear" w:color="auto" w:fill="auto"/>
            <w:vAlign w:val="bottom"/>
          </w:tcPr>
          <w:p w14:paraId="70C9B027" w14:textId="4CF57CF5"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243.13</w:t>
            </w:r>
          </w:p>
        </w:tc>
        <w:tc>
          <w:tcPr>
            <w:tcW w:w="166" w:type="pct"/>
            <w:gridSpan w:val="2"/>
            <w:tcBorders>
              <w:top w:val="nil"/>
              <w:left w:val="nil"/>
              <w:bottom w:val="nil"/>
              <w:right w:val="nil"/>
            </w:tcBorders>
            <w:shd w:val="clear" w:color="auto" w:fill="auto"/>
            <w:noWrap/>
            <w:vAlign w:val="bottom"/>
            <w:hideMark/>
          </w:tcPr>
          <w:p w14:paraId="0477A93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7DA2EC0E" w14:textId="60DB75B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BUSEQ</w:t>
            </w:r>
          </w:p>
        </w:tc>
        <w:tc>
          <w:tcPr>
            <w:tcW w:w="714" w:type="pct"/>
            <w:gridSpan w:val="2"/>
            <w:tcBorders>
              <w:top w:val="nil"/>
              <w:left w:val="nil"/>
              <w:bottom w:val="nil"/>
              <w:right w:val="nil"/>
            </w:tcBorders>
            <w:shd w:val="clear" w:color="auto" w:fill="auto"/>
            <w:noWrap/>
            <w:vAlign w:val="bottom"/>
            <w:hideMark/>
          </w:tcPr>
          <w:p w14:paraId="6E46CFD1" w14:textId="5E3FD960"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22.92</w:t>
            </w:r>
          </w:p>
        </w:tc>
      </w:tr>
      <w:tr w:rsidR="0063232D" w:rsidRPr="00D97714" w14:paraId="7322939F" w14:textId="77777777" w:rsidTr="0063232D">
        <w:trPr>
          <w:trHeight w:val="20"/>
        </w:trPr>
        <w:tc>
          <w:tcPr>
            <w:tcW w:w="571" w:type="pct"/>
            <w:tcBorders>
              <w:top w:val="nil"/>
              <w:left w:val="single" w:sz="8" w:space="0" w:color="C1C1C1"/>
              <w:bottom w:val="nil"/>
              <w:right w:val="nil"/>
            </w:tcBorders>
            <w:shd w:val="clear" w:color="auto" w:fill="auto"/>
            <w:hideMark/>
          </w:tcPr>
          <w:p w14:paraId="591133C6"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2001</w:t>
            </w:r>
          </w:p>
        </w:tc>
        <w:tc>
          <w:tcPr>
            <w:tcW w:w="751" w:type="pct"/>
            <w:tcBorders>
              <w:top w:val="nil"/>
              <w:left w:val="nil"/>
              <w:bottom w:val="nil"/>
              <w:right w:val="nil"/>
            </w:tcBorders>
            <w:shd w:val="clear" w:color="auto" w:fill="auto"/>
            <w:hideMark/>
          </w:tcPr>
          <w:p w14:paraId="03FC0AE6"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23</w:t>
            </w:r>
          </w:p>
        </w:tc>
        <w:tc>
          <w:tcPr>
            <w:tcW w:w="656" w:type="pct"/>
            <w:gridSpan w:val="2"/>
            <w:tcBorders>
              <w:top w:val="nil"/>
              <w:left w:val="nil"/>
              <w:bottom w:val="nil"/>
              <w:right w:val="nil"/>
            </w:tcBorders>
            <w:shd w:val="clear" w:color="auto" w:fill="auto"/>
            <w:noWrap/>
            <w:hideMark/>
          </w:tcPr>
          <w:p w14:paraId="773AD678" w14:textId="12A58B94"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4.55</w:t>
            </w:r>
          </w:p>
        </w:tc>
        <w:tc>
          <w:tcPr>
            <w:tcW w:w="1191" w:type="pct"/>
            <w:gridSpan w:val="5"/>
            <w:tcBorders>
              <w:top w:val="nil"/>
              <w:left w:val="nil"/>
              <w:bottom w:val="nil"/>
              <w:right w:val="nil"/>
            </w:tcBorders>
            <w:shd w:val="clear" w:color="auto" w:fill="auto"/>
            <w:vAlign w:val="bottom"/>
          </w:tcPr>
          <w:p w14:paraId="2742AD49" w14:textId="00C7AF0E"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274.04</w:t>
            </w:r>
          </w:p>
        </w:tc>
        <w:tc>
          <w:tcPr>
            <w:tcW w:w="166" w:type="pct"/>
            <w:gridSpan w:val="2"/>
            <w:tcBorders>
              <w:top w:val="nil"/>
              <w:left w:val="nil"/>
              <w:bottom w:val="nil"/>
              <w:right w:val="nil"/>
            </w:tcBorders>
            <w:shd w:val="clear" w:color="auto" w:fill="auto"/>
            <w:noWrap/>
            <w:vAlign w:val="bottom"/>
            <w:hideMark/>
          </w:tcPr>
          <w:p w14:paraId="43FE8E6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17A8F64F" w14:textId="5283274B"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CHEMS</w:t>
            </w:r>
          </w:p>
        </w:tc>
        <w:tc>
          <w:tcPr>
            <w:tcW w:w="714" w:type="pct"/>
            <w:gridSpan w:val="2"/>
            <w:tcBorders>
              <w:top w:val="nil"/>
              <w:left w:val="nil"/>
              <w:bottom w:val="nil"/>
              <w:right w:val="nil"/>
            </w:tcBorders>
            <w:shd w:val="clear" w:color="auto" w:fill="auto"/>
            <w:noWrap/>
            <w:vAlign w:val="bottom"/>
            <w:hideMark/>
          </w:tcPr>
          <w:p w14:paraId="47FDEAB9" w14:textId="0C8745E9"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1.58</w:t>
            </w:r>
          </w:p>
        </w:tc>
      </w:tr>
      <w:tr w:rsidR="0063232D" w:rsidRPr="00D97714" w14:paraId="75E852F7" w14:textId="77777777" w:rsidTr="0063232D">
        <w:trPr>
          <w:trHeight w:val="20"/>
        </w:trPr>
        <w:tc>
          <w:tcPr>
            <w:tcW w:w="571" w:type="pct"/>
            <w:tcBorders>
              <w:top w:val="nil"/>
              <w:left w:val="single" w:sz="8" w:space="0" w:color="C1C1C1"/>
              <w:bottom w:val="nil"/>
              <w:right w:val="nil"/>
            </w:tcBorders>
            <w:shd w:val="clear" w:color="auto" w:fill="auto"/>
            <w:hideMark/>
          </w:tcPr>
          <w:p w14:paraId="1086217E"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2002</w:t>
            </w:r>
          </w:p>
        </w:tc>
        <w:tc>
          <w:tcPr>
            <w:tcW w:w="751" w:type="pct"/>
            <w:tcBorders>
              <w:top w:val="nil"/>
              <w:left w:val="nil"/>
              <w:bottom w:val="nil"/>
              <w:right w:val="nil"/>
            </w:tcBorders>
            <w:shd w:val="clear" w:color="auto" w:fill="auto"/>
            <w:hideMark/>
          </w:tcPr>
          <w:p w14:paraId="04BF937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23</w:t>
            </w:r>
          </w:p>
        </w:tc>
        <w:tc>
          <w:tcPr>
            <w:tcW w:w="656" w:type="pct"/>
            <w:gridSpan w:val="2"/>
            <w:tcBorders>
              <w:top w:val="nil"/>
              <w:left w:val="nil"/>
              <w:bottom w:val="nil"/>
              <w:right w:val="nil"/>
            </w:tcBorders>
            <w:shd w:val="clear" w:color="auto" w:fill="auto"/>
            <w:noWrap/>
            <w:hideMark/>
          </w:tcPr>
          <w:p w14:paraId="448870DA" w14:textId="73E85C58"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4.55</w:t>
            </w:r>
          </w:p>
        </w:tc>
        <w:tc>
          <w:tcPr>
            <w:tcW w:w="1191" w:type="pct"/>
            <w:gridSpan w:val="5"/>
            <w:tcBorders>
              <w:top w:val="nil"/>
              <w:left w:val="nil"/>
              <w:bottom w:val="nil"/>
              <w:right w:val="nil"/>
            </w:tcBorders>
            <w:shd w:val="clear" w:color="auto" w:fill="auto"/>
            <w:vAlign w:val="bottom"/>
          </w:tcPr>
          <w:p w14:paraId="415E3F60" w14:textId="07935CB8"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266.91</w:t>
            </w:r>
          </w:p>
        </w:tc>
        <w:tc>
          <w:tcPr>
            <w:tcW w:w="166" w:type="pct"/>
            <w:gridSpan w:val="2"/>
            <w:tcBorders>
              <w:top w:val="nil"/>
              <w:left w:val="nil"/>
              <w:bottom w:val="nil"/>
              <w:right w:val="nil"/>
            </w:tcBorders>
            <w:shd w:val="clear" w:color="auto" w:fill="auto"/>
            <w:noWrap/>
            <w:vAlign w:val="bottom"/>
            <w:hideMark/>
          </w:tcPr>
          <w:p w14:paraId="57B21A1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669FEADA" w14:textId="3C91B112"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DURBL</w:t>
            </w:r>
          </w:p>
        </w:tc>
        <w:tc>
          <w:tcPr>
            <w:tcW w:w="714" w:type="pct"/>
            <w:gridSpan w:val="2"/>
            <w:tcBorders>
              <w:top w:val="nil"/>
              <w:left w:val="nil"/>
              <w:bottom w:val="nil"/>
              <w:right w:val="nil"/>
            </w:tcBorders>
            <w:shd w:val="clear" w:color="auto" w:fill="auto"/>
            <w:noWrap/>
            <w:vAlign w:val="bottom"/>
            <w:hideMark/>
          </w:tcPr>
          <w:p w14:paraId="200188C3" w14:textId="3C42C692"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2.17</w:t>
            </w:r>
          </w:p>
        </w:tc>
      </w:tr>
      <w:tr w:rsidR="0063232D" w:rsidRPr="00D97714" w14:paraId="4D533DE9" w14:textId="77777777" w:rsidTr="0063232D">
        <w:trPr>
          <w:trHeight w:val="20"/>
        </w:trPr>
        <w:tc>
          <w:tcPr>
            <w:tcW w:w="571" w:type="pct"/>
            <w:tcBorders>
              <w:top w:val="nil"/>
              <w:left w:val="single" w:sz="8" w:space="0" w:color="C1C1C1"/>
              <w:bottom w:val="nil"/>
              <w:right w:val="nil"/>
            </w:tcBorders>
            <w:shd w:val="clear" w:color="auto" w:fill="auto"/>
            <w:hideMark/>
          </w:tcPr>
          <w:p w14:paraId="6CC3BB6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2003</w:t>
            </w:r>
          </w:p>
        </w:tc>
        <w:tc>
          <w:tcPr>
            <w:tcW w:w="751" w:type="pct"/>
            <w:tcBorders>
              <w:top w:val="nil"/>
              <w:left w:val="nil"/>
              <w:bottom w:val="nil"/>
              <w:right w:val="nil"/>
            </w:tcBorders>
            <w:shd w:val="clear" w:color="auto" w:fill="auto"/>
            <w:hideMark/>
          </w:tcPr>
          <w:p w14:paraId="2BFA1B7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28</w:t>
            </w:r>
          </w:p>
        </w:tc>
        <w:tc>
          <w:tcPr>
            <w:tcW w:w="656" w:type="pct"/>
            <w:gridSpan w:val="2"/>
            <w:tcBorders>
              <w:top w:val="nil"/>
              <w:left w:val="nil"/>
              <w:bottom w:val="nil"/>
              <w:right w:val="nil"/>
            </w:tcBorders>
            <w:shd w:val="clear" w:color="auto" w:fill="auto"/>
            <w:noWrap/>
            <w:hideMark/>
          </w:tcPr>
          <w:p w14:paraId="34FB859C" w14:textId="342B82EC"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5.53</w:t>
            </w:r>
          </w:p>
        </w:tc>
        <w:tc>
          <w:tcPr>
            <w:tcW w:w="1191" w:type="pct"/>
            <w:gridSpan w:val="5"/>
            <w:tcBorders>
              <w:top w:val="nil"/>
              <w:left w:val="nil"/>
              <w:bottom w:val="nil"/>
              <w:right w:val="nil"/>
            </w:tcBorders>
            <w:shd w:val="clear" w:color="auto" w:fill="auto"/>
            <w:vAlign w:val="bottom"/>
          </w:tcPr>
          <w:p w14:paraId="3041770F" w14:textId="3B58ADE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290.61</w:t>
            </w:r>
          </w:p>
        </w:tc>
        <w:tc>
          <w:tcPr>
            <w:tcW w:w="166" w:type="pct"/>
            <w:gridSpan w:val="2"/>
            <w:tcBorders>
              <w:top w:val="nil"/>
              <w:left w:val="nil"/>
              <w:bottom w:val="nil"/>
              <w:right w:val="nil"/>
            </w:tcBorders>
            <w:shd w:val="clear" w:color="auto" w:fill="auto"/>
            <w:noWrap/>
            <w:vAlign w:val="bottom"/>
            <w:hideMark/>
          </w:tcPr>
          <w:p w14:paraId="5A81359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29F0E194" w14:textId="68C8B05E"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ENRGY</w:t>
            </w:r>
          </w:p>
        </w:tc>
        <w:tc>
          <w:tcPr>
            <w:tcW w:w="714" w:type="pct"/>
            <w:gridSpan w:val="2"/>
            <w:tcBorders>
              <w:top w:val="nil"/>
              <w:left w:val="nil"/>
              <w:bottom w:val="nil"/>
              <w:right w:val="nil"/>
            </w:tcBorders>
            <w:shd w:val="clear" w:color="auto" w:fill="auto"/>
            <w:noWrap/>
            <w:vAlign w:val="bottom"/>
            <w:hideMark/>
          </w:tcPr>
          <w:p w14:paraId="190AC5CE" w14:textId="76230479"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3.95</w:t>
            </w:r>
          </w:p>
        </w:tc>
      </w:tr>
      <w:tr w:rsidR="0063232D" w:rsidRPr="00D97714" w14:paraId="63088DDB" w14:textId="77777777" w:rsidTr="0063232D">
        <w:trPr>
          <w:trHeight w:val="20"/>
        </w:trPr>
        <w:tc>
          <w:tcPr>
            <w:tcW w:w="571" w:type="pct"/>
            <w:tcBorders>
              <w:top w:val="nil"/>
              <w:left w:val="single" w:sz="8" w:space="0" w:color="C1C1C1"/>
              <w:bottom w:val="nil"/>
              <w:right w:val="nil"/>
            </w:tcBorders>
            <w:shd w:val="clear" w:color="auto" w:fill="auto"/>
            <w:hideMark/>
          </w:tcPr>
          <w:p w14:paraId="0D7AF7D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2004</w:t>
            </w:r>
          </w:p>
        </w:tc>
        <w:tc>
          <w:tcPr>
            <w:tcW w:w="751" w:type="pct"/>
            <w:tcBorders>
              <w:top w:val="nil"/>
              <w:left w:val="nil"/>
              <w:bottom w:val="nil"/>
              <w:right w:val="nil"/>
            </w:tcBorders>
            <w:shd w:val="clear" w:color="auto" w:fill="auto"/>
            <w:hideMark/>
          </w:tcPr>
          <w:p w14:paraId="41822DD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18</w:t>
            </w:r>
          </w:p>
        </w:tc>
        <w:tc>
          <w:tcPr>
            <w:tcW w:w="656" w:type="pct"/>
            <w:gridSpan w:val="2"/>
            <w:tcBorders>
              <w:top w:val="nil"/>
              <w:left w:val="nil"/>
              <w:bottom w:val="nil"/>
              <w:right w:val="nil"/>
            </w:tcBorders>
            <w:shd w:val="clear" w:color="auto" w:fill="auto"/>
            <w:noWrap/>
            <w:hideMark/>
          </w:tcPr>
          <w:p w14:paraId="3A26A425" w14:textId="044A6165"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3.56</w:t>
            </w:r>
          </w:p>
        </w:tc>
        <w:tc>
          <w:tcPr>
            <w:tcW w:w="1191" w:type="pct"/>
            <w:gridSpan w:val="5"/>
            <w:tcBorders>
              <w:top w:val="nil"/>
              <w:left w:val="nil"/>
              <w:bottom w:val="nil"/>
              <w:right w:val="nil"/>
            </w:tcBorders>
            <w:shd w:val="clear" w:color="auto" w:fill="auto"/>
            <w:vAlign w:val="bottom"/>
          </w:tcPr>
          <w:p w14:paraId="7773FB00" w14:textId="5414389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264.44</w:t>
            </w:r>
          </w:p>
        </w:tc>
        <w:tc>
          <w:tcPr>
            <w:tcW w:w="166" w:type="pct"/>
            <w:gridSpan w:val="2"/>
            <w:tcBorders>
              <w:top w:val="nil"/>
              <w:left w:val="nil"/>
              <w:bottom w:val="nil"/>
              <w:right w:val="nil"/>
            </w:tcBorders>
            <w:shd w:val="clear" w:color="auto" w:fill="auto"/>
            <w:noWrap/>
            <w:vAlign w:val="bottom"/>
            <w:hideMark/>
          </w:tcPr>
          <w:p w14:paraId="37712DDB"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0BF8F1F8" w14:textId="386F9F9A"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HLTH</w:t>
            </w:r>
          </w:p>
        </w:tc>
        <w:tc>
          <w:tcPr>
            <w:tcW w:w="714" w:type="pct"/>
            <w:gridSpan w:val="2"/>
            <w:tcBorders>
              <w:top w:val="nil"/>
              <w:left w:val="nil"/>
              <w:bottom w:val="nil"/>
              <w:right w:val="nil"/>
            </w:tcBorders>
            <w:shd w:val="clear" w:color="auto" w:fill="auto"/>
            <w:noWrap/>
            <w:vAlign w:val="bottom"/>
            <w:hideMark/>
          </w:tcPr>
          <w:p w14:paraId="68676E8A" w14:textId="2D4AA459"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13.24</w:t>
            </w:r>
          </w:p>
        </w:tc>
      </w:tr>
      <w:tr w:rsidR="0063232D" w:rsidRPr="00D97714" w14:paraId="5CB836F1" w14:textId="77777777" w:rsidTr="0063232D">
        <w:trPr>
          <w:trHeight w:val="20"/>
        </w:trPr>
        <w:tc>
          <w:tcPr>
            <w:tcW w:w="571" w:type="pct"/>
            <w:tcBorders>
              <w:top w:val="nil"/>
              <w:left w:val="single" w:sz="8" w:space="0" w:color="C1C1C1"/>
              <w:bottom w:val="nil"/>
              <w:right w:val="nil"/>
            </w:tcBorders>
            <w:shd w:val="clear" w:color="auto" w:fill="auto"/>
            <w:hideMark/>
          </w:tcPr>
          <w:p w14:paraId="5A36EFB6"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2005</w:t>
            </w:r>
          </w:p>
        </w:tc>
        <w:tc>
          <w:tcPr>
            <w:tcW w:w="751" w:type="pct"/>
            <w:tcBorders>
              <w:top w:val="nil"/>
              <w:left w:val="nil"/>
              <w:bottom w:val="nil"/>
              <w:right w:val="nil"/>
            </w:tcBorders>
            <w:shd w:val="clear" w:color="auto" w:fill="auto"/>
            <w:hideMark/>
          </w:tcPr>
          <w:p w14:paraId="0896FB3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32</w:t>
            </w:r>
          </w:p>
        </w:tc>
        <w:tc>
          <w:tcPr>
            <w:tcW w:w="656" w:type="pct"/>
            <w:gridSpan w:val="2"/>
            <w:tcBorders>
              <w:top w:val="nil"/>
              <w:left w:val="nil"/>
              <w:bottom w:val="nil"/>
              <w:right w:val="nil"/>
            </w:tcBorders>
            <w:shd w:val="clear" w:color="auto" w:fill="auto"/>
            <w:noWrap/>
            <w:hideMark/>
          </w:tcPr>
          <w:p w14:paraId="232FA474" w14:textId="34870202"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6.32</w:t>
            </w:r>
          </w:p>
        </w:tc>
        <w:tc>
          <w:tcPr>
            <w:tcW w:w="1191" w:type="pct"/>
            <w:gridSpan w:val="5"/>
            <w:tcBorders>
              <w:top w:val="nil"/>
              <w:left w:val="nil"/>
              <w:bottom w:val="nil"/>
              <w:right w:val="nil"/>
            </w:tcBorders>
            <w:shd w:val="clear" w:color="auto" w:fill="auto"/>
            <w:vAlign w:val="bottom"/>
          </w:tcPr>
          <w:p w14:paraId="75C4B035" w14:textId="26CBEDE5"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296.19</w:t>
            </w:r>
          </w:p>
        </w:tc>
        <w:tc>
          <w:tcPr>
            <w:tcW w:w="166" w:type="pct"/>
            <w:gridSpan w:val="2"/>
            <w:tcBorders>
              <w:top w:val="nil"/>
              <w:left w:val="nil"/>
              <w:bottom w:val="nil"/>
              <w:right w:val="nil"/>
            </w:tcBorders>
            <w:shd w:val="clear" w:color="auto" w:fill="auto"/>
            <w:noWrap/>
            <w:vAlign w:val="bottom"/>
            <w:hideMark/>
          </w:tcPr>
          <w:p w14:paraId="15A8D8B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098DC676" w14:textId="238FB629"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MANUF</w:t>
            </w:r>
          </w:p>
        </w:tc>
        <w:tc>
          <w:tcPr>
            <w:tcW w:w="714" w:type="pct"/>
            <w:gridSpan w:val="2"/>
            <w:tcBorders>
              <w:top w:val="nil"/>
              <w:left w:val="nil"/>
              <w:bottom w:val="nil"/>
              <w:right w:val="nil"/>
            </w:tcBorders>
            <w:shd w:val="clear" w:color="auto" w:fill="auto"/>
            <w:noWrap/>
            <w:vAlign w:val="bottom"/>
            <w:hideMark/>
          </w:tcPr>
          <w:p w14:paraId="1F034D46" w14:textId="5B4C15D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7.71</w:t>
            </w:r>
          </w:p>
        </w:tc>
      </w:tr>
      <w:tr w:rsidR="0063232D" w:rsidRPr="00D97714" w14:paraId="5A051027" w14:textId="77777777" w:rsidTr="0063232D">
        <w:trPr>
          <w:trHeight w:val="20"/>
        </w:trPr>
        <w:tc>
          <w:tcPr>
            <w:tcW w:w="571" w:type="pct"/>
            <w:tcBorders>
              <w:top w:val="nil"/>
              <w:left w:val="single" w:sz="8" w:space="0" w:color="C1C1C1"/>
              <w:bottom w:val="nil"/>
              <w:right w:val="nil"/>
            </w:tcBorders>
            <w:shd w:val="clear" w:color="auto" w:fill="auto"/>
            <w:hideMark/>
          </w:tcPr>
          <w:p w14:paraId="2220A47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2006</w:t>
            </w:r>
          </w:p>
        </w:tc>
        <w:tc>
          <w:tcPr>
            <w:tcW w:w="751" w:type="pct"/>
            <w:tcBorders>
              <w:top w:val="nil"/>
              <w:left w:val="nil"/>
              <w:bottom w:val="nil"/>
              <w:right w:val="nil"/>
            </w:tcBorders>
            <w:shd w:val="clear" w:color="auto" w:fill="auto"/>
            <w:hideMark/>
          </w:tcPr>
          <w:p w14:paraId="5951B50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58</w:t>
            </w:r>
          </w:p>
        </w:tc>
        <w:tc>
          <w:tcPr>
            <w:tcW w:w="656" w:type="pct"/>
            <w:gridSpan w:val="2"/>
            <w:tcBorders>
              <w:top w:val="nil"/>
              <w:left w:val="nil"/>
              <w:bottom w:val="nil"/>
              <w:right w:val="nil"/>
            </w:tcBorders>
            <w:shd w:val="clear" w:color="auto" w:fill="auto"/>
            <w:noWrap/>
            <w:hideMark/>
          </w:tcPr>
          <w:p w14:paraId="2E99D06A" w14:textId="3A64E7E9"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11.46</w:t>
            </w:r>
          </w:p>
        </w:tc>
        <w:tc>
          <w:tcPr>
            <w:tcW w:w="1191" w:type="pct"/>
            <w:gridSpan w:val="5"/>
            <w:tcBorders>
              <w:top w:val="nil"/>
              <w:left w:val="nil"/>
              <w:bottom w:val="nil"/>
              <w:right w:val="nil"/>
            </w:tcBorders>
            <w:shd w:val="clear" w:color="auto" w:fill="auto"/>
            <w:vAlign w:val="bottom"/>
          </w:tcPr>
          <w:p w14:paraId="5DDD3F4F" w14:textId="78723963"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287.17</w:t>
            </w:r>
          </w:p>
        </w:tc>
        <w:tc>
          <w:tcPr>
            <w:tcW w:w="166" w:type="pct"/>
            <w:gridSpan w:val="2"/>
            <w:tcBorders>
              <w:top w:val="nil"/>
              <w:left w:val="nil"/>
              <w:bottom w:val="nil"/>
              <w:right w:val="nil"/>
            </w:tcBorders>
            <w:shd w:val="clear" w:color="auto" w:fill="auto"/>
            <w:noWrap/>
            <w:vAlign w:val="bottom"/>
            <w:hideMark/>
          </w:tcPr>
          <w:p w14:paraId="0BD29A83"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297E3AC7" w14:textId="10EEB5DF"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MONEY</w:t>
            </w:r>
          </w:p>
        </w:tc>
        <w:tc>
          <w:tcPr>
            <w:tcW w:w="714" w:type="pct"/>
            <w:gridSpan w:val="2"/>
            <w:tcBorders>
              <w:top w:val="nil"/>
              <w:left w:val="nil"/>
              <w:bottom w:val="nil"/>
              <w:right w:val="nil"/>
            </w:tcBorders>
            <w:shd w:val="clear" w:color="auto" w:fill="auto"/>
            <w:noWrap/>
            <w:vAlign w:val="bottom"/>
            <w:hideMark/>
          </w:tcPr>
          <w:p w14:paraId="6AA1BE0E" w14:textId="30C3DA8B"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16.01</w:t>
            </w:r>
          </w:p>
        </w:tc>
      </w:tr>
      <w:tr w:rsidR="0063232D" w:rsidRPr="00D97714" w14:paraId="7B168ECC" w14:textId="77777777" w:rsidTr="0063232D">
        <w:trPr>
          <w:trHeight w:val="20"/>
        </w:trPr>
        <w:tc>
          <w:tcPr>
            <w:tcW w:w="571" w:type="pct"/>
            <w:tcBorders>
              <w:top w:val="nil"/>
              <w:left w:val="single" w:sz="8" w:space="0" w:color="C1C1C1"/>
              <w:bottom w:val="nil"/>
              <w:right w:val="nil"/>
            </w:tcBorders>
            <w:shd w:val="clear" w:color="auto" w:fill="auto"/>
            <w:hideMark/>
          </w:tcPr>
          <w:p w14:paraId="0F4985A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2007</w:t>
            </w:r>
          </w:p>
        </w:tc>
        <w:tc>
          <w:tcPr>
            <w:tcW w:w="751" w:type="pct"/>
            <w:tcBorders>
              <w:top w:val="nil"/>
              <w:left w:val="nil"/>
              <w:bottom w:val="nil"/>
              <w:right w:val="nil"/>
            </w:tcBorders>
            <w:shd w:val="clear" w:color="auto" w:fill="auto"/>
            <w:hideMark/>
          </w:tcPr>
          <w:p w14:paraId="129A321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62</w:t>
            </w:r>
          </w:p>
        </w:tc>
        <w:tc>
          <w:tcPr>
            <w:tcW w:w="656" w:type="pct"/>
            <w:gridSpan w:val="2"/>
            <w:tcBorders>
              <w:top w:val="nil"/>
              <w:left w:val="nil"/>
              <w:bottom w:val="nil"/>
              <w:right w:val="nil"/>
            </w:tcBorders>
            <w:shd w:val="clear" w:color="auto" w:fill="auto"/>
            <w:noWrap/>
            <w:hideMark/>
          </w:tcPr>
          <w:p w14:paraId="407F5F16" w14:textId="4C219FAC"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12.25</w:t>
            </w:r>
          </w:p>
        </w:tc>
        <w:tc>
          <w:tcPr>
            <w:tcW w:w="1191" w:type="pct"/>
            <w:gridSpan w:val="5"/>
            <w:tcBorders>
              <w:top w:val="nil"/>
              <w:left w:val="nil"/>
              <w:bottom w:val="nil"/>
              <w:right w:val="nil"/>
            </w:tcBorders>
            <w:shd w:val="clear" w:color="auto" w:fill="auto"/>
            <w:vAlign w:val="bottom"/>
          </w:tcPr>
          <w:p w14:paraId="716FAF92" w14:textId="51108AF1"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297.47</w:t>
            </w:r>
          </w:p>
        </w:tc>
        <w:tc>
          <w:tcPr>
            <w:tcW w:w="166" w:type="pct"/>
            <w:gridSpan w:val="2"/>
            <w:tcBorders>
              <w:top w:val="nil"/>
              <w:left w:val="nil"/>
              <w:bottom w:val="nil"/>
              <w:right w:val="nil"/>
            </w:tcBorders>
            <w:shd w:val="clear" w:color="auto" w:fill="auto"/>
            <w:noWrap/>
            <w:vAlign w:val="bottom"/>
            <w:hideMark/>
          </w:tcPr>
          <w:p w14:paraId="64AF7969"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3AD19746" w14:textId="64A3D89E"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NODUR</w:t>
            </w:r>
          </w:p>
        </w:tc>
        <w:tc>
          <w:tcPr>
            <w:tcW w:w="714" w:type="pct"/>
            <w:gridSpan w:val="2"/>
            <w:tcBorders>
              <w:top w:val="nil"/>
              <w:left w:val="nil"/>
              <w:bottom w:val="nil"/>
              <w:right w:val="nil"/>
            </w:tcBorders>
            <w:shd w:val="clear" w:color="auto" w:fill="auto"/>
            <w:noWrap/>
            <w:vAlign w:val="bottom"/>
            <w:hideMark/>
          </w:tcPr>
          <w:p w14:paraId="15A52203" w14:textId="7CBA023B"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3.36</w:t>
            </w:r>
          </w:p>
        </w:tc>
      </w:tr>
      <w:tr w:rsidR="0063232D" w:rsidRPr="00D97714" w14:paraId="2A078534" w14:textId="77777777" w:rsidTr="0063232D">
        <w:trPr>
          <w:trHeight w:val="20"/>
        </w:trPr>
        <w:tc>
          <w:tcPr>
            <w:tcW w:w="571" w:type="pct"/>
            <w:tcBorders>
              <w:top w:val="nil"/>
              <w:left w:val="single" w:sz="8" w:space="0" w:color="C1C1C1"/>
              <w:bottom w:val="nil"/>
              <w:right w:val="nil"/>
            </w:tcBorders>
            <w:shd w:val="clear" w:color="auto" w:fill="auto"/>
            <w:hideMark/>
          </w:tcPr>
          <w:p w14:paraId="2B7133C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2008</w:t>
            </w:r>
          </w:p>
        </w:tc>
        <w:tc>
          <w:tcPr>
            <w:tcW w:w="751" w:type="pct"/>
            <w:tcBorders>
              <w:top w:val="nil"/>
              <w:left w:val="nil"/>
              <w:bottom w:val="nil"/>
              <w:right w:val="nil"/>
            </w:tcBorders>
            <w:shd w:val="clear" w:color="auto" w:fill="auto"/>
            <w:hideMark/>
          </w:tcPr>
          <w:p w14:paraId="30DC22F3"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87</w:t>
            </w:r>
          </w:p>
        </w:tc>
        <w:tc>
          <w:tcPr>
            <w:tcW w:w="656" w:type="pct"/>
            <w:gridSpan w:val="2"/>
            <w:tcBorders>
              <w:top w:val="nil"/>
              <w:left w:val="nil"/>
              <w:bottom w:val="nil"/>
              <w:right w:val="nil"/>
            </w:tcBorders>
            <w:shd w:val="clear" w:color="auto" w:fill="auto"/>
            <w:noWrap/>
            <w:hideMark/>
          </w:tcPr>
          <w:p w14:paraId="08358CF6" w14:textId="40F77502"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17.19</w:t>
            </w:r>
          </w:p>
        </w:tc>
        <w:tc>
          <w:tcPr>
            <w:tcW w:w="1191" w:type="pct"/>
            <w:gridSpan w:val="5"/>
            <w:tcBorders>
              <w:top w:val="nil"/>
              <w:left w:val="nil"/>
              <w:bottom w:val="nil"/>
              <w:right w:val="nil"/>
            </w:tcBorders>
            <w:shd w:val="clear" w:color="auto" w:fill="auto"/>
            <w:vAlign w:val="bottom"/>
          </w:tcPr>
          <w:p w14:paraId="096D7431" w14:textId="02AF22AF"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317.61</w:t>
            </w:r>
          </w:p>
        </w:tc>
        <w:tc>
          <w:tcPr>
            <w:tcW w:w="166" w:type="pct"/>
            <w:gridSpan w:val="2"/>
            <w:tcBorders>
              <w:top w:val="nil"/>
              <w:left w:val="nil"/>
              <w:bottom w:val="nil"/>
              <w:right w:val="nil"/>
            </w:tcBorders>
            <w:shd w:val="clear" w:color="auto" w:fill="auto"/>
            <w:noWrap/>
            <w:vAlign w:val="bottom"/>
            <w:hideMark/>
          </w:tcPr>
          <w:p w14:paraId="470F1F7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2A3703C1" w14:textId="06F493AA"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SHOPS</w:t>
            </w:r>
          </w:p>
        </w:tc>
        <w:tc>
          <w:tcPr>
            <w:tcW w:w="714" w:type="pct"/>
            <w:gridSpan w:val="2"/>
            <w:tcBorders>
              <w:top w:val="nil"/>
              <w:left w:val="nil"/>
              <w:bottom w:val="nil"/>
              <w:right w:val="nil"/>
            </w:tcBorders>
            <w:shd w:val="clear" w:color="auto" w:fill="auto"/>
            <w:noWrap/>
            <w:vAlign w:val="bottom"/>
            <w:hideMark/>
          </w:tcPr>
          <w:p w14:paraId="1B97CFB1" w14:textId="6FD1888B"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11.26</w:t>
            </w:r>
          </w:p>
        </w:tc>
      </w:tr>
      <w:tr w:rsidR="0063232D" w:rsidRPr="00D97714" w14:paraId="5CD272DF" w14:textId="77777777" w:rsidTr="0063232D">
        <w:trPr>
          <w:trHeight w:val="20"/>
        </w:trPr>
        <w:tc>
          <w:tcPr>
            <w:tcW w:w="571" w:type="pct"/>
            <w:tcBorders>
              <w:top w:val="nil"/>
              <w:left w:val="single" w:sz="8" w:space="0" w:color="C1C1C1"/>
              <w:bottom w:val="nil"/>
              <w:right w:val="nil"/>
            </w:tcBorders>
            <w:shd w:val="clear" w:color="auto" w:fill="auto"/>
            <w:hideMark/>
          </w:tcPr>
          <w:p w14:paraId="7D8DF5CD"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2009</w:t>
            </w:r>
          </w:p>
        </w:tc>
        <w:tc>
          <w:tcPr>
            <w:tcW w:w="751" w:type="pct"/>
            <w:tcBorders>
              <w:top w:val="nil"/>
              <w:left w:val="nil"/>
              <w:bottom w:val="nil"/>
              <w:right w:val="nil"/>
            </w:tcBorders>
            <w:shd w:val="clear" w:color="auto" w:fill="auto"/>
            <w:hideMark/>
          </w:tcPr>
          <w:p w14:paraId="4A1BB87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72</w:t>
            </w:r>
          </w:p>
        </w:tc>
        <w:tc>
          <w:tcPr>
            <w:tcW w:w="656" w:type="pct"/>
            <w:gridSpan w:val="2"/>
            <w:tcBorders>
              <w:top w:val="nil"/>
              <w:left w:val="nil"/>
              <w:bottom w:val="nil"/>
              <w:right w:val="nil"/>
            </w:tcBorders>
            <w:shd w:val="clear" w:color="auto" w:fill="auto"/>
            <w:noWrap/>
            <w:hideMark/>
          </w:tcPr>
          <w:p w14:paraId="2480F5AA" w14:textId="70509A4D"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14.23</w:t>
            </w:r>
          </w:p>
        </w:tc>
        <w:tc>
          <w:tcPr>
            <w:tcW w:w="1191" w:type="pct"/>
            <w:gridSpan w:val="5"/>
            <w:tcBorders>
              <w:top w:val="nil"/>
              <w:left w:val="nil"/>
              <w:bottom w:val="nil"/>
              <w:right w:val="nil"/>
            </w:tcBorders>
            <w:shd w:val="clear" w:color="auto" w:fill="auto"/>
            <w:vAlign w:val="bottom"/>
          </w:tcPr>
          <w:p w14:paraId="025D5054" w14:textId="13D252F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270.25</w:t>
            </w:r>
          </w:p>
        </w:tc>
        <w:tc>
          <w:tcPr>
            <w:tcW w:w="166" w:type="pct"/>
            <w:gridSpan w:val="2"/>
            <w:tcBorders>
              <w:top w:val="nil"/>
              <w:left w:val="nil"/>
              <w:bottom w:val="nil"/>
              <w:right w:val="nil"/>
            </w:tcBorders>
            <w:shd w:val="clear" w:color="auto" w:fill="auto"/>
            <w:noWrap/>
            <w:vAlign w:val="bottom"/>
            <w:hideMark/>
          </w:tcPr>
          <w:p w14:paraId="50DF6AA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260A5A3D" w14:textId="547027A5"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TELCM</w:t>
            </w:r>
          </w:p>
        </w:tc>
        <w:tc>
          <w:tcPr>
            <w:tcW w:w="714" w:type="pct"/>
            <w:gridSpan w:val="2"/>
            <w:tcBorders>
              <w:top w:val="nil"/>
              <w:left w:val="nil"/>
              <w:bottom w:val="nil"/>
              <w:right w:val="nil"/>
            </w:tcBorders>
            <w:shd w:val="clear" w:color="auto" w:fill="auto"/>
            <w:noWrap/>
            <w:vAlign w:val="bottom"/>
            <w:hideMark/>
          </w:tcPr>
          <w:p w14:paraId="7634A608" w14:textId="6DADB530"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3.95</w:t>
            </w:r>
          </w:p>
        </w:tc>
      </w:tr>
      <w:tr w:rsidR="0063232D" w:rsidRPr="00D97714" w14:paraId="6836B65E" w14:textId="77777777" w:rsidTr="0063232D">
        <w:trPr>
          <w:trHeight w:val="20"/>
        </w:trPr>
        <w:tc>
          <w:tcPr>
            <w:tcW w:w="571" w:type="pct"/>
            <w:tcBorders>
              <w:top w:val="nil"/>
              <w:left w:val="single" w:sz="8" w:space="0" w:color="C1C1C1"/>
              <w:bottom w:val="nil"/>
              <w:right w:val="nil"/>
            </w:tcBorders>
            <w:shd w:val="clear" w:color="auto" w:fill="auto"/>
            <w:hideMark/>
          </w:tcPr>
          <w:p w14:paraId="108DB97E"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2010</w:t>
            </w:r>
          </w:p>
        </w:tc>
        <w:tc>
          <w:tcPr>
            <w:tcW w:w="751" w:type="pct"/>
            <w:tcBorders>
              <w:top w:val="nil"/>
              <w:left w:val="nil"/>
              <w:bottom w:val="nil"/>
              <w:right w:val="nil"/>
            </w:tcBorders>
            <w:shd w:val="clear" w:color="auto" w:fill="auto"/>
            <w:hideMark/>
          </w:tcPr>
          <w:p w14:paraId="2811E08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88</w:t>
            </w:r>
          </w:p>
        </w:tc>
        <w:tc>
          <w:tcPr>
            <w:tcW w:w="656" w:type="pct"/>
            <w:gridSpan w:val="2"/>
            <w:tcBorders>
              <w:top w:val="nil"/>
              <w:left w:val="nil"/>
              <w:bottom w:val="nil"/>
              <w:right w:val="nil"/>
            </w:tcBorders>
            <w:shd w:val="clear" w:color="auto" w:fill="auto"/>
            <w:noWrap/>
            <w:hideMark/>
          </w:tcPr>
          <w:p w14:paraId="50DE8483" w14:textId="5F3C6E3D"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17.39</w:t>
            </w:r>
          </w:p>
        </w:tc>
        <w:tc>
          <w:tcPr>
            <w:tcW w:w="1191" w:type="pct"/>
            <w:gridSpan w:val="5"/>
            <w:tcBorders>
              <w:top w:val="nil"/>
              <w:left w:val="nil"/>
              <w:bottom w:val="nil"/>
              <w:right w:val="nil"/>
            </w:tcBorders>
            <w:shd w:val="clear" w:color="auto" w:fill="auto"/>
            <w:vAlign w:val="bottom"/>
          </w:tcPr>
          <w:p w14:paraId="038E72A8" w14:textId="06C59AD6"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291.47</w:t>
            </w:r>
          </w:p>
        </w:tc>
        <w:tc>
          <w:tcPr>
            <w:tcW w:w="166" w:type="pct"/>
            <w:gridSpan w:val="2"/>
            <w:tcBorders>
              <w:top w:val="nil"/>
              <w:left w:val="nil"/>
              <w:bottom w:val="nil"/>
              <w:right w:val="nil"/>
            </w:tcBorders>
            <w:shd w:val="clear" w:color="auto" w:fill="auto"/>
            <w:noWrap/>
            <w:vAlign w:val="bottom"/>
            <w:hideMark/>
          </w:tcPr>
          <w:p w14:paraId="0AD13B13"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17D4098B" w14:textId="3C0CE0E2"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UTILS</w:t>
            </w:r>
          </w:p>
        </w:tc>
        <w:tc>
          <w:tcPr>
            <w:tcW w:w="714" w:type="pct"/>
            <w:gridSpan w:val="2"/>
            <w:tcBorders>
              <w:top w:val="nil"/>
              <w:left w:val="nil"/>
              <w:bottom w:val="nil"/>
              <w:right w:val="nil"/>
            </w:tcBorders>
            <w:shd w:val="clear" w:color="auto" w:fill="auto"/>
            <w:noWrap/>
            <w:vAlign w:val="bottom"/>
            <w:hideMark/>
          </w:tcPr>
          <w:p w14:paraId="3C7ED178" w14:textId="551C0E0D"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1.38</w:t>
            </w:r>
          </w:p>
        </w:tc>
      </w:tr>
      <w:tr w:rsidR="0063232D" w:rsidRPr="00D97714" w14:paraId="5C7026FE" w14:textId="77777777" w:rsidTr="0063232D">
        <w:trPr>
          <w:trHeight w:val="20"/>
        </w:trPr>
        <w:tc>
          <w:tcPr>
            <w:tcW w:w="571" w:type="pct"/>
            <w:tcBorders>
              <w:top w:val="nil"/>
              <w:left w:val="single" w:sz="8" w:space="0" w:color="C1C1C1"/>
              <w:bottom w:val="nil"/>
              <w:right w:val="nil"/>
            </w:tcBorders>
            <w:shd w:val="clear" w:color="auto" w:fill="auto"/>
          </w:tcPr>
          <w:p w14:paraId="4B5DCDC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751" w:type="pct"/>
            <w:tcBorders>
              <w:top w:val="nil"/>
              <w:left w:val="nil"/>
              <w:bottom w:val="nil"/>
              <w:right w:val="nil"/>
            </w:tcBorders>
            <w:shd w:val="clear" w:color="auto" w:fill="auto"/>
          </w:tcPr>
          <w:p w14:paraId="68AC33E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656" w:type="pct"/>
            <w:gridSpan w:val="2"/>
            <w:tcBorders>
              <w:top w:val="nil"/>
              <w:left w:val="nil"/>
              <w:bottom w:val="nil"/>
              <w:right w:val="nil"/>
            </w:tcBorders>
            <w:shd w:val="clear" w:color="auto" w:fill="auto"/>
            <w:noWrap/>
          </w:tcPr>
          <w:p w14:paraId="314FA18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191" w:type="pct"/>
            <w:gridSpan w:val="5"/>
            <w:tcBorders>
              <w:top w:val="nil"/>
              <w:left w:val="nil"/>
              <w:bottom w:val="nil"/>
              <w:right w:val="nil"/>
            </w:tcBorders>
            <w:shd w:val="clear" w:color="auto" w:fill="auto"/>
            <w:vAlign w:val="bottom"/>
          </w:tcPr>
          <w:p w14:paraId="56F54B0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66" w:type="pct"/>
            <w:gridSpan w:val="2"/>
            <w:tcBorders>
              <w:top w:val="nil"/>
              <w:left w:val="nil"/>
              <w:bottom w:val="nil"/>
              <w:right w:val="nil"/>
            </w:tcBorders>
            <w:shd w:val="clear" w:color="auto" w:fill="auto"/>
            <w:noWrap/>
            <w:vAlign w:val="bottom"/>
          </w:tcPr>
          <w:p w14:paraId="1B4C3D36"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56D50926" w14:textId="3053DB4B"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OTHER</w:t>
            </w:r>
          </w:p>
        </w:tc>
        <w:tc>
          <w:tcPr>
            <w:tcW w:w="714" w:type="pct"/>
            <w:gridSpan w:val="2"/>
            <w:tcBorders>
              <w:top w:val="nil"/>
              <w:left w:val="nil"/>
              <w:bottom w:val="nil"/>
              <w:right w:val="nil"/>
            </w:tcBorders>
            <w:shd w:val="clear" w:color="auto" w:fill="auto"/>
            <w:noWrap/>
            <w:vAlign w:val="bottom"/>
          </w:tcPr>
          <w:p w14:paraId="45CCCA0D" w14:textId="1C10AC88"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hAnsi="Times New Roman" w:cs="Times New Roman"/>
                <w:color w:val="000000"/>
                <w:sz w:val="24"/>
                <w:szCs w:val="24"/>
              </w:rPr>
              <w:t>12.45</w:t>
            </w:r>
          </w:p>
        </w:tc>
      </w:tr>
      <w:tr w:rsidR="0063232D" w:rsidRPr="00D97714" w14:paraId="3B4AE368" w14:textId="77777777" w:rsidTr="0063232D">
        <w:trPr>
          <w:trHeight w:val="20"/>
        </w:trPr>
        <w:tc>
          <w:tcPr>
            <w:tcW w:w="571" w:type="pct"/>
            <w:tcBorders>
              <w:top w:val="nil"/>
              <w:left w:val="single" w:sz="8" w:space="0" w:color="C1C1C1"/>
              <w:bottom w:val="nil"/>
              <w:right w:val="nil"/>
            </w:tcBorders>
            <w:shd w:val="clear" w:color="auto" w:fill="auto"/>
          </w:tcPr>
          <w:p w14:paraId="5594C90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751" w:type="pct"/>
            <w:tcBorders>
              <w:top w:val="nil"/>
              <w:left w:val="nil"/>
              <w:bottom w:val="nil"/>
              <w:right w:val="nil"/>
            </w:tcBorders>
            <w:shd w:val="clear" w:color="auto" w:fill="auto"/>
          </w:tcPr>
          <w:p w14:paraId="47F1A4FB"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656" w:type="pct"/>
            <w:gridSpan w:val="2"/>
            <w:tcBorders>
              <w:top w:val="nil"/>
              <w:left w:val="nil"/>
              <w:bottom w:val="nil"/>
              <w:right w:val="nil"/>
            </w:tcBorders>
            <w:shd w:val="clear" w:color="auto" w:fill="auto"/>
            <w:noWrap/>
          </w:tcPr>
          <w:p w14:paraId="1C52FFF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191" w:type="pct"/>
            <w:gridSpan w:val="5"/>
            <w:tcBorders>
              <w:top w:val="nil"/>
              <w:left w:val="nil"/>
              <w:bottom w:val="nil"/>
              <w:right w:val="nil"/>
            </w:tcBorders>
            <w:shd w:val="clear" w:color="auto" w:fill="auto"/>
            <w:vAlign w:val="bottom"/>
          </w:tcPr>
          <w:p w14:paraId="373149FE"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66" w:type="pct"/>
            <w:gridSpan w:val="2"/>
            <w:tcBorders>
              <w:top w:val="nil"/>
              <w:left w:val="nil"/>
              <w:bottom w:val="nil"/>
              <w:right w:val="nil"/>
            </w:tcBorders>
            <w:shd w:val="clear" w:color="auto" w:fill="auto"/>
            <w:noWrap/>
            <w:vAlign w:val="bottom"/>
          </w:tcPr>
          <w:p w14:paraId="78F06AC3"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951" w:type="pct"/>
            <w:gridSpan w:val="3"/>
            <w:tcBorders>
              <w:top w:val="nil"/>
              <w:left w:val="nil"/>
              <w:bottom w:val="nil"/>
              <w:right w:val="nil"/>
            </w:tcBorders>
            <w:shd w:val="clear" w:color="auto" w:fill="auto"/>
            <w:noWrap/>
            <w:vAlign w:val="bottom"/>
          </w:tcPr>
          <w:p w14:paraId="3A3CC4B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714" w:type="pct"/>
            <w:gridSpan w:val="2"/>
            <w:tcBorders>
              <w:top w:val="nil"/>
              <w:left w:val="nil"/>
              <w:bottom w:val="nil"/>
              <w:right w:val="nil"/>
            </w:tcBorders>
            <w:shd w:val="clear" w:color="auto" w:fill="auto"/>
            <w:noWrap/>
            <w:vAlign w:val="bottom"/>
          </w:tcPr>
          <w:p w14:paraId="485335F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r>
      <w:tr w:rsidR="0063232D" w:rsidRPr="00D97714" w14:paraId="46E0D9EF" w14:textId="77777777" w:rsidTr="0063232D">
        <w:trPr>
          <w:trHeight w:val="20"/>
        </w:trPr>
        <w:tc>
          <w:tcPr>
            <w:tcW w:w="1322" w:type="pct"/>
            <w:gridSpan w:val="2"/>
            <w:tcBorders>
              <w:top w:val="single" w:sz="4" w:space="0" w:color="auto"/>
              <w:left w:val="nil"/>
              <w:bottom w:val="single" w:sz="4" w:space="0" w:color="auto"/>
              <w:right w:val="nil"/>
            </w:tcBorders>
            <w:shd w:val="clear" w:color="auto" w:fill="auto"/>
            <w:noWrap/>
            <w:vAlign w:val="bottom"/>
            <w:hideMark/>
          </w:tcPr>
          <w:p w14:paraId="15FF22D2"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Demand</w:t>
            </w:r>
          </w:p>
        </w:tc>
        <w:tc>
          <w:tcPr>
            <w:tcW w:w="545" w:type="pct"/>
            <w:tcBorders>
              <w:top w:val="single" w:sz="4" w:space="0" w:color="auto"/>
              <w:left w:val="nil"/>
              <w:bottom w:val="single" w:sz="4" w:space="0" w:color="auto"/>
              <w:right w:val="nil"/>
            </w:tcBorders>
            <w:shd w:val="clear" w:color="auto" w:fill="auto"/>
            <w:noWrap/>
            <w:vAlign w:val="bottom"/>
            <w:hideMark/>
          </w:tcPr>
          <w:p w14:paraId="77E790A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N</w:t>
            </w:r>
          </w:p>
        </w:tc>
        <w:tc>
          <w:tcPr>
            <w:tcW w:w="627" w:type="pct"/>
            <w:gridSpan w:val="3"/>
            <w:tcBorders>
              <w:top w:val="single" w:sz="4" w:space="0" w:color="auto"/>
              <w:left w:val="nil"/>
              <w:bottom w:val="single" w:sz="4" w:space="0" w:color="auto"/>
              <w:right w:val="nil"/>
            </w:tcBorders>
            <w:shd w:val="clear" w:color="auto" w:fill="auto"/>
            <w:noWrap/>
            <w:vAlign w:val="bottom"/>
            <w:hideMark/>
          </w:tcPr>
          <w:p w14:paraId="09A44F2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Percent</w:t>
            </w:r>
          </w:p>
        </w:tc>
        <w:tc>
          <w:tcPr>
            <w:tcW w:w="376" w:type="pct"/>
            <w:gridSpan w:val="2"/>
            <w:tcBorders>
              <w:top w:val="single" w:sz="4" w:space="0" w:color="auto"/>
              <w:left w:val="nil"/>
              <w:bottom w:val="single" w:sz="4" w:space="0" w:color="auto"/>
              <w:right w:val="nil"/>
            </w:tcBorders>
            <w:shd w:val="clear" w:color="auto" w:fill="auto"/>
            <w:noWrap/>
            <w:vAlign w:val="bottom"/>
            <w:hideMark/>
          </w:tcPr>
          <w:p w14:paraId="7F7C41FB"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 </w:t>
            </w:r>
          </w:p>
        </w:tc>
        <w:tc>
          <w:tcPr>
            <w:tcW w:w="1043" w:type="pct"/>
            <w:gridSpan w:val="5"/>
            <w:tcBorders>
              <w:top w:val="single" w:sz="4" w:space="0" w:color="auto"/>
              <w:left w:val="nil"/>
              <w:bottom w:val="single" w:sz="4" w:space="0" w:color="auto"/>
              <w:right w:val="nil"/>
            </w:tcBorders>
            <w:shd w:val="clear" w:color="auto" w:fill="auto"/>
            <w:noWrap/>
            <w:vAlign w:val="bottom"/>
            <w:hideMark/>
          </w:tcPr>
          <w:p w14:paraId="5CFC45B3"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Campaign results</w:t>
            </w:r>
          </w:p>
        </w:tc>
        <w:tc>
          <w:tcPr>
            <w:tcW w:w="373" w:type="pct"/>
            <w:tcBorders>
              <w:top w:val="single" w:sz="4" w:space="0" w:color="auto"/>
              <w:left w:val="nil"/>
              <w:bottom w:val="single" w:sz="4" w:space="0" w:color="auto"/>
              <w:right w:val="nil"/>
            </w:tcBorders>
            <w:shd w:val="clear" w:color="auto" w:fill="auto"/>
            <w:noWrap/>
            <w:vAlign w:val="bottom"/>
            <w:hideMark/>
          </w:tcPr>
          <w:p w14:paraId="550AC642"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N</w:t>
            </w:r>
          </w:p>
        </w:tc>
        <w:tc>
          <w:tcPr>
            <w:tcW w:w="714" w:type="pct"/>
            <w:gridSpan w:val="2"/>
            <w:tcBorders>
              <w:top w:val="single" w:sz="4" w:space="0" w:color="auto"/>
              <w:left w:val="nil"/>
              <w:bottom w:val="single" w:sz="4" w:space="0" w:color="auto"/>
              <w:right w:val="nil"/>
            </w:tcBorders>
            <w:shd w:val="clear" w:color="auto" w:fill="auto"/>
            <w:noWrap/>
            <w:vAlign w:val="bottom"/>
            <w:hideMark/>
          </w:tcPr>
          <w:p w14:paraId="1964B0D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Percent</w:t>
            </w:r>
          </w:p>
        </w:tc>
      </w:tr>
      <w:tr w:rsidR="0063232D" w:rsidRPr="00D97714" w14:paraId="048EB574"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3B1577A6"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Board Control</w:t>
            </w:r>
          </w:p>
        </w:tc>
        <w:tc>
          <w:tcPr>
            <w:tcW w:w="545" w:type="pct"/>
            <w:tcBorders>
              <w:top w:val="nil"/>
              <w:left w:val="nil"/>
              <w:bottom w:val="nil"/>
              <w:right w:val="nil"/>
            </w:tcBorders>
            <w:shd w:val="clear" w:color="auto" w:fill="auto"/>
            <w:noWrap/>
            <w:vAlign w:val="bottom"/>
            <w:hideMark/>
          </w:tcPr>
          <w:p w14:paraId="419BDC4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58</w:t>
            </w:r>
          </w:p>
        </w:tc>
        <w:tc>
          <w:tcPr>
            <w:tcW w:w="627" w:type="pct"/>
            <w:gridSpan w:val="3"/>
            <w:tcBorders>
              <w:top w:val="nil"/>
              <w:left w:val="nil"/>
              <w:bottom w:val="nil"/>
              <w:right w:val="nil"/>
            </w:tcBorders>
            <w:shd w:val="clear" w:color="auto" w:fill="auto"/>
            <w:noWrap/>
            <w:vAlign w:val="bottom"/>
            <w:hideMark/>
          </w:tcPr>
          <w:p w14:paraId="135E090D"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11.46</w:t>
            </w:r>
          </w:p>
        </w:tc>
        <w:tc>
          <w:tcPr>
            <w:tcW w:w="376" w:type="pct"/>
            <w:gridSpan w:val="2"/>
            <w:tcBorders>
              <w:top w:val="nil"/>
              <w:left w:val="nil"/>
              <w:bottom w:val="nil"/>
              <w:right w:val="nil"/>
            </w:tcBorders>
            <w:shd w:val="clear" w:color="auto" w:fill="auto"/>
            <w:noWrap/>
            <w:vAlign w:val="bottom"/>
            <w:hideMark/>
          </w:tcPr>
          <w:p w14:paraId="198E043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043" w:type="pct"/>
            <w:gridSpan w:val="5"/>
            <w:tcBorders>
              <w:top w:val="nil"/>
              <w:left w:val="nil"/>
              <w:bottom w:val="nil"/>
              <w:right w:val="nil"/>
            </w:tcBorders>
            <w:shd w:val="clear" w:color="auto" w:fill="auto"/>
            <w:noWrap/>
            <w:vAlign w:val="bottom"/>
            <w:hideMark/>
          </w:tcPr>
          <w:p w14:paraId="7844EA0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Dissident Part. Victory</w:t>
            </w:r>
          </w:p>
        </w:tc>
        <w:tc>
          <w:tcPr>
            <w:tcW w:w="373" w:type="pct"/>
            <w:tcBorders>
              <w:top w:val="nil"/>
              <w:left w:val="nil"/>
              <w:bottom w:val="nil"/>
              <w:right w:val="nil"/>
            </w:tcBorders>
            <w:shd w:val="clear" w:color="auto" w:fill="auto"/>
            <w:noWrap/>
            <w:vAlign w:val="bottom"/>
            <w:hideMark/>
          </w:tcPr>
          <w:p w14:paraId="06D2066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18</w:t>
            </w:r>
          </w:p>
        </w:tc>
        <w:tc>
          <w:tcPr>
            <w:tcW w:w="714" w:type="pct"/>
            <w:gridSpan w:val="2"/>
            <w:tcBorders>
              <w:top w:val="nil"/>
              <w:left w:val="nil"/>
              <w:bottom w:val="nil"/>
              <w:right w:val="nil"/>
            </w:tcBorders>
            <w:shd w:val="clear" w:color="auto" w:fill="auto"/>
            <w:noWrap/>
            <w:vAlign w:val="bottom"/>
            <w:hideMark/>
          </w:tcPr>
          <w:p w14:paraId="424C4F6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3.56</w:t>
            </w:r>
          </w:p>
        </w:tc>
      </w:tr>
      <w:tr w:rsidR="0063232D" w:rsidRPr="00D97714" w14:paraId="396D7364"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71D3DBD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Board Representation</w:t>
            </w:r>
          </w:p>
        </w:tc>
        <w:tc>
          <w:tcPr>
            <w:tcW w:w="545" w:type="pct"/>
            <w:tcBorders>
              <w:top w:val="nil"/>
              <w:left w:val="nil"/>
              <w:bottom w:val="nil"/>
              <w:right w:val="nil"/>
            </w:tcBorders>
            <w:shd w:val="clear" w:color="auto" w:fill="auto"/>
            <w:noWrap/>
            <w:vAlign w:val="bottom"/>
            <w:hideMark/>
          </w:tcPr>
          <w:p w14:paraId="67A6740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213</w:t>
            </w:r>
          </w:p>
        </w:tc>
        <w:tc>
          <w:tcPr>
            <w:tcW w:w="627" w:type="pct"/>
            <w:gridSpan w:val="3"/>
            <w:tcBorders>
              <w:top w:val="nil"/>
              <w:left w:val="nil"/>
              <w:bottom w:val="nil"/>
              <w:right w:val="nil"/>
            </w:tcBorders>
            <w:shd w:val="clear" w:color="auto" w:fill="auto"/>
            <w:noWrap/>
            <w:vAlign w:val="bottom"/>
            <w:hideMark/>
          </w:tcPr>
          <w:p w14:paraId="77BDA946"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42.09</w:t>
            </w:r>
          </w:p>
        </w:tc>
        <w:tc>
          <w:tcPr>
            <w:tcW w:w="376" w:type="pct"/>
            <w:gridSpan w:val="2"/>
            <w:tcBorders>
              <w:top w:val="nil"/>
              <w:left w:val="nil"/>
              <w:bottom w:val="nil"/>
              <w:right w:val="nil"/>
            </w:tcBorders>
            <w:shd w:val="clear" w:color="auto" w:fill="auto"/>
            <w:noWrap/>
            <w:vAlign w:val="bottom"/>
            <w:hideMark/>
          </w:tcPr>
          <w:p w14:paraId="4213CAE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043" w:type="pct"/>
            <w:gridSpan w:val="5"/>
            <w:tcBorders>
              <w:top w:val="nil"/>
              <w:left w:val="nil"/>
              <w:bottom w:val="nil"/>
              <w:right w:val="nil"/>
            </w:tcBorders>
            <w:shd w:val="clear" w:color="auto" w:fill="auto"/>
            <w:noWrap/>
            <w:vAlign w:val="bottom"/>
            <w:hideMark/>
          </w:tcPr>
          <w:p w14:paraId="0C5AFBA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Dissident Victory</w:t>
            </w:r>
          </w:p>
        </w:tc>
        <w:tc>
          <w:tcPr>
            <w:tcW w:w="373" w:type="pct"/>
            <w:tcBorders>
              <w:top w:val="nil"/>
              <w:left w:val="nil"/>
              <w:bottom w:val="nil"/>
              <w:right w:val="nil"/>
            </w:tcBorders>
            <w:shd w:val="clear" w:color="auto" w:fill="auto"/>
            <w:noWrap/>
            <w:vAlign w:val="bottom"/>
            <w:hideMark/>
          </w:tcPr>
          <w:p w14:paraId="1975B879"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94</w:t>
            </w:r>
          </w:p>
        </w:tc>
        <w:tc>
          <w:tcPr>
            <w:tcW w:w="714" w:type="pct"/>
            <w:gridSpan w:val="2"/>
            <w:tcBorders>
              <w:top w:val="nil"/>
              <w:left w:val="nil"/>
              <w:bottom w:val="nil"/>
              <w:right w:val="nil"/>
            </w:tcBorders>
            <w:shd w:val="clear" w:color="auto" w:fill="auto"/>
            <w:noWrap/>
            <w:vAlign w:val="bottom"/>
            <w:hideMark/>
          </w:tcPr>
          <w:p w14:paraId="5432BC4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18.58</w:t>
            </w:r>
          </w:p>
        </w:tc>
      </w:tr>
      <w:tr w:rsidR="0063232D" w:rsidRPr="00D97714" w14:paraId="5BDC1214"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36F0926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Force Sale</w:t>
            </w:r>
          </w:p>
        </w:tc>
        <w:tc>
          <w:tcPr>
            <w:tcW w:w="545" w:type="pct"/>
            <w:tcBorders>
              <w:top w:val="nil"/>
              <w:left w:val="nil"/>
              <w:bottom w:val="nil"/>
              <w:right w:val="nil"/>
            </w:tcBorders>
            <w:shd w:val="clear" w:color="auto" w:fill="auto"/>
            <w:noWrap/>
            <w:vAlign w:val="bottom"/>
            <w:hideMark/>
          </w:tcPr>
          <w:p w14:paraId="462C5EE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12</w:t>
            </w:r>
          </w:p>
        </w:tc>
        <w:tc>
          <w:tcPr>
            <w:tcW w:w="627" w:type="pct"/>
            <w:gridSpan w:val="3"/>
            <w:tcBorders>
              <w:top w:val="nil"/>
              <w:left w:val="nil"/>
              <w:bottom w:val="nil"/>
              <w:right w:val="nil"/>
            </w:tcBorders>
            <w:shd w:val="clear" w:color="auto" w:fill="auto"/>
            <w:noWrap/>
            <w:vAlign w:val="bottom"/>
            <w:hideMark/>
          </w:tcPr>
          <w:p w14:paraId="2F422262"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2.37</w:t>
            </w:r>
          </w:p>
        </w:tc>
        <w:tc>
          <w:tcPr>
            <w:tcW w:w="376" w:type="pct"/>
            <w:gridSpan w:val="2"/>
            <w:tcBorders>
              <w:top w:val="nil"/>
              <w:left w:val="nil"/>
              <w:bottom w:val="nil"/>
              <w:right w:val="nil"/>
            </w:tcBorders>
            <w:shd w:val="clear" w:color="auto" w:fill="auto"/>
            <w:noWrap/>
            <w:vAlign w:val="bottom"/>
            <w:hideMark/>
          </w:tcPr>
          <w:p w14:paraId="172DC83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043" w:type="pct"/>
            <w:gridSpan w:val="5"/>
            <w:tcBorders>
              <w:top w:val="nil"/>
              <w:left w:val="nil"/>
              <w:bottom w:val="nil"/>
              <w:right w:val="nil"/>
            </w:tcBorders>
            <w:shd w:val="clear" w:color="auto" w:fill="auto"/>
            <w:noWrap/>
            <w:vAlign w:val="bottom"/>
            <w:hideMark/>
          </w:tcPr>
          <w:p w14:paraId="5267C6AB"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Management Victory</w:t>
            </w:r>
          </w:p>
        </w:tc>
        <w:tc>
          <w:tcPr>
            <w:tcW w:w="373" w:type="pct"/>
            <w:tcBorders>
              <w:top w:val="nil"/>
              <w:left w:val="nil"/>
              <w:bottom w:val="nil"/>
              <w:right w:val="nil"/>
            </w:tcBorders>
            <w:shd w:val="clear" w:color="auto" w:fill="auto"/>
            <w:noWrap/>
            <w:vAlign w:val="bottom"/>
            <w:hideMark/>
          </w:tcPr>
          <w:p w14:paraId="723D674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67</w:t>
            </w:r>
          </w:p>
        </w:tc>
        <w:tc>
          <w:tcPr>
            <w:tcW w:w="714" w:type="pct"/>
            <w:gridSpan w:val="2"/>
            <w:tcBorders>
              <w:top w:val="nil"/>
              <w:left w:val="nil"/>
              <w:bottom w:val="nil"/>
              <w:right w:val="nil"/>
            </w:tcBorders>
            <w:shd w:val="clear" w:color="auto" w:fill="auto"/>
            <w:noWrap/>
            <w:vAlign w:val="bottom"/>
            <w:hideMark/>
          </w:tcPr>
          <w:p w14:paraId="38B03B3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13.24</w:t>
            </w:r>
          </w:p>
        </w:tc>
      </w:tr>
      <w:tr w:rsidR="0063232D" w:rsidRPr="00D97714" w14:paraId="4D20357A"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24AE817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Hostile Acquisition</w:t>
            </w:r>
          </w:p>
        </w:tc>
        <w:tc>
          <w:tcPr>
            <w:tcW w:w="545" w:type="pct"/>
            <w:tcBorders>
              <w:top w:val="nil"/>
              <w:left w:val="nil"/>
              <w:bottom w:val="nil"/>
              <w:right w:val="nil"/>
            </w:tcBorders>
            <w:shd w:val="clear" w:color="auto" w:fill="auto"/>
            <w:noWrap/>
            <w:vAlign w:val="bottom"/>
            <w:hideMark/>
          </w:tcPr>
          <w:p w14:paraId="55A9001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28</w:t>
            </w:r>
          </w:p>
        </w:tc>
        <w:tc>
          <w:tcPr>
            <w:tcW w:w="627" w:type="pct"/>
            <w:gridSpan w:val="3"/>
            <w:tcBorders>
              <w:top w:val="nil"/>
              <w:left w:val="nil"/>
              <w:bottom w:val="nil"/>
              <w:right w:val="nil"/>
            </w:tcBorders>
            <w:shd w:val="clear" w:color="auto" w:fill="auto"/>
            <w:noWrap/>
            <w:vAlign w:val="bottom"/>
            <w:hideMark/>
          </w:tcPr>
          <w:p w14:paraId="4F75D1C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5.53</w:t>
            </w:r>
          </w:p>
        </w:tc>
        <w:tc>
          <w:tcPr>
            <w:tcW w:w="376" w:type="pct"/>
            <w:gridSpan w:val="2"/>
            <w:tcBorders>
              <w:top w:val="nil"/>
              <w:left w:val="nil"/>
              <w:bottom w:val="nil"/>
              <w:right w:val="nil"/>
            </w:tcBorders>
            <w:shd w:val="clear" w:color="auto" w:fill="auto"/>
            <w:noWrap/>
            <w:vAlign w:val="bottom"/>
            <w:hideMark/>
          </w:tcPr>
          <w:p w14:paraId="75FE253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043" w:type="pct"/>
            <w:gridSpan w:val="5"/>
            <w:tcBorders>
              <w:top w:val="nil"/>
              <w:left w:val="nil"/>
              <w:bottom w:val="nil"/>
              <w:right w:val="nil"/>
            </w:tcBorders>
            <w:shd w:val="clear" w:color="auto" w:fill="auto"/>
            <w:noWrap/>
            <w:vAlign w:val="bottom"/>
            <w:hideMark/>
          </w:tcPr>
          <w:p w14:paraId="31E7CD2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Pending</w:t>
            </w:r>
          </w:p>
        </w:tc>
        <w:tc>
          <w:tcPr>
            <w:tcW w:w="373" w:type="pct"/>
            <w:tcBorders>
              <w:top w:val="nil"/>
              <w:left w:val="nil"/>
              <w:bottom w:val="nil"/>
              <w:right w:val="nil"/>
            </w:tcBorders>
            <w:shd w:val="clear" w:color="auto" w:fill="auto"/>
            <w:noWrap/>
            <w:vAlign w:val="bottom"/>
            <w:hideMark/>
          </w:tcPr>
          <w:p w14:paraId="24B7621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141</w:t>
            </w:r>
          </w:p>
        </w:tc>
        <w:tc>
          <w:tcPr>
            <w:tcW w:w="714" w:type="pct"/>
            <w:gridSpan w:val="2"/>
            <w:tcBorders>
              <w:top w:val="nil"/>
              <w:left w:val="nil"/>
              <w:bottom w:val="nil"/>
              <w:right w:val="nil"/>
            </w:tcBorders>
            <w:shd w:val="clear" w:color="auto" w:fill="auto"/>
            <w:noWrap/>
            <w:vAlign w:val="bottom"/>
            <w:hideMark/>
          </w:tcPr>
          <w:p w14:paraId="2A3BA47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27.87</w:t>
            </w:r>
          </w:p>
        </w:tc>
      </w:tr>
      <w:tr w:rsidR="0063232D" w:rsidRPr="00D97714" w14:paraId="7FF7E8AC"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67B06C86"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Oppose Reorg.</w:t>
            </w:r>
          </w:p>
        </w:tc>
        <w:tc>
          <w:tcPr>
            <w:tcW w:w="545" w:type="pct"/>
            <w:tcBorders>
              <w:top w:val="nil"/>
              <w:left w:val="nil"/>
              <w:bottom w:val="nil"/>
              <w:right w:val="nil"/>
            </w:tcBorders>
            <w:shd w:val="clear" w:color="auto" w:fill="auto"/>
            <w:noWrap/>
            <w:vAlign w:val="bottom"/>
            <w:hideMark/>
          </w:tcPr>
          <w:p w14:paraId="76403D66"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w:t>
            </w:r>
          </w:p>
        </w:tc>
        <w:tc>
          <w:tcPr>
            <w:tcW w:w="627" w:type="pct"/>
            <w:gridSpan w:val="3"/>
            <w:tcBorders>
              <w:top w:val="nil"/>
              <w:left w:val="nil"/>
              <w:bottom w:val="nil"/>
              <w:right w:val="nil"/>
            </w:tcBorders>
            <w:shd w:val="clear" w:color="auto" w:fill="auto"/>
            <w:noWrap/>
            <w:vAlign w:val="bottom"/>
            <w:hideMark/>
          </w:tcPr>
          <w:p w14:paraId="1980616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w:t>
            </w:r>
          </w:p>
        </w:tc>
        <w:tc>
          <w:tcPr>
            <w:tcW w:w="376" w:type="pct"/>
            <w:gridSpan w:val="2"/>
            <w:tcBorders>
              <w:top w:val="nil"/>
              <w:left w:val="nil"/>
              <w:bottom w:val="nil"/>
              <w:right w:val="nil"/>
            </w:tcBorders>
            <w:shd w:val="clear" w:color="auto" w:fill="auto"/>
            <w:noWrap/>
            <w:vAlign w:val="bottom"/>
            <w:hideMark/>
          </w:tcPr>
          <w:p w14:paraId="6D255CE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043" w:type="pct"/>
            <w:gridSpan w:val="5"/>
            <w:tcBorders>
              <w:top w:val="nil"/>
              <w:left w:val="nil"/>
              <w:bottom w:val="nil"/>
              <w:right w:val="nil"/>
            </w:tcBorders>
            <w:shd w:val="clear" w:color="auto" w:fill="auto"/>
            <w:noWrap/>
            <w:vAlign w:val="bottom"/>
            <w:hideMark/>
          </w:tcPr>
          <w:p w14:paraId="4D69AB09"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Settled</w:t>
            </w:r>
          </w:p>
        </w:tc>
        <w:tc>
          <w:tcPr>
            <w:tcW w:w="373" w:type="pct"/>
            <w:tcBorders>
              <w:top w:val="nil"/>
              <w:left w:val="nil"/>
              <w:bottom w:val="nil"/>
              <w:right w:val="nil"/>
            </w:tcBorders>
            <w:shd w:val="clear" w:color="auto" w:fill="auto"/>
            <w:noWrap/>
            <w:vAlign w:val="bottom"/>
            <w:hideMark/>
          </w:tcPr>
          <w:p w14:paraId="69D35D32"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115</w:t>
            </w:r>
          </w:p>
        </w:tc>
        <w:tc>
          <w:tcPr>
            <w:tcW w:w="714" w:type="pct"/>
            <w:gridSpan w:val="2"/>
            <w:tcBorders>
              <w:top w:val="nil"/>
              <w:left w:val="nil"/>
              <w:bottom w:val="nil"/>
              <w:right w:val="nil"/>
            </w:tcBorders>
            <w:shd w:val="clear" w:color="auto" w:fill="auto"/>
            <w:noWrap/>
            <w:vAlign w:val="bottom"/>
            <w:hideMark/>
          </w:tcPr>
          <w:p w14:paraId="6CAB3AB3"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22.73</w:t>
            </w:r>
          </w:p>
        </w:tc>
      </w:tr>
      <w:tr w:rsidR="0063232D" w:rsidRPr="00D97714" w14:paraId="0FB46E50"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64A6143B"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Oppose Sale</w:t>
            </w:r>
          </w:p>
        </w:tc>
        <w:tc>
          <w:tcPr>
            <w:tcW w:w="545" w:type="pct"/>
            <w:tcBorders>
              <w:top w:val="nil"/>
              <w:left w:val="nil"/>
              <w:bottom w:val="nil"/>
              <w:right w:val="nil"/>
            </w:tcBorders>
            <w:shd w:val="clear" w:color="auto" w:fill="auto"/>
            <w:noWrap/>
            <w:vAlign w:val="bottom"/>
            <w:hideMark/>
          </w:tcPr>
          <w:p w14:paraId="5262FE1D"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19</w:t>
            </w:r>
          </w:p>
        </w:tc>
        <w:tc>
          <w:tcPr>
            <w:tcW w:w="627" w:type="pct"/>
            <w:gridSpan w:val="3"/>
            <w:tcBorders>
              <w:top w:val="nil"/>
              <w:left w:val="nil"/>
              <w:bottom w:val="nil"/>
              <w:right w:val="nil"/>
            </w:tcBorders>
            <w:shd w:val="clear" w:color="auto" w:fill="auto"/>
            <w:noWrap/>
            <w:vAlign w:val="bottom"/>
            <w:hideMark/>
          </w:tcPr>
          <w:p w14:paraId="3ABB80D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3.75</w:t>
            </w:r>
          </w:p>
        </w:tc>
        <w:tc>
          <w:tcPr>
            <w:tcW w:w="376" w:type="pct"/>
            <w:gridSpan w:val="2"/>
            <w:tcBorders>
              <w:top w:val="nil"/>
              <w:left w:val="nil"/>
              <w:bottom w:val="nil"/>
              <w:right w:val="nil"/>
            </w:tcBorders>
            <w:shd w:val="clear" w:color="auto" w:fill="auto"/>
            <w:noWrap/>
            <w:vAlign w:val="bottom"/>
            <w:hideMark/>
          </w:tcPr>
          <w:p w14:paraId="464A9DE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043" w:type="pct"/>
            <w:gridSpan w:val="5"/>
            <w:tcBorders>
              <w:top w:val="nil"/>
              <w:left w:val="nil"/>
              <w:bottom w:val="nil"/>
              <w:right w:val="nil"/>
            </w:tcBorders>
            <w:shd w:val="clear" w:color="auto" w:fill="auto"/>
            <w:noWrap/>
            <w:vAlign w:val="bottom"/>
            <w:hideMark/>
          </w:tcPr>
          <w:p w14:paraId="3799ADE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Withdrawn</w:t>
            </w:r>
          </w:p>
        </w:tc>
        <w:tc>
          <w:tcPr>
            <w:tcW w:w="373" w:type="pct"/>
            <w:tcBorders>
              <w:top w:val="nil"/>
              <w:left w:val="nil"/>
              <w:bottom w:val="nil"/>
              <w:right w:val="nil"/>
            </w:tcBorders>
            <w:shd w:val="clear" w:color="auto" w:fill="auto"/>
            <w:noWrap/>
            <w:vAlign w:val="bottom"/>
            <w:hideMark/>
          </w:tcPr>
          <w:p w14:paraId="1DB0FC6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71</w:t>
            </w:r>
          </w:p>
        </w:tc>
        <w:tc>
          <w:tcPr>
            <w:tcW w:w="714" w:type="pct"/>
            <w:gridSpan w:val="2"/>
            <w:tcBorders>
              <w:top w:val="nil"/>
              <w:left w:val="nil"/>
              <w:bottom w:val="nil"/>
              <w:right w:val="nil"/>
            </w:tcBorders>
            <w:shd w:val="clear" w:color="auto" w:fill="auto"/>
            <w:noWrap/>
            <w:vAlign w:val="bottom"/>
            <w:hideMark/>
          </w:tcPr>
          <w:p w14:paraId="29CF45C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14.03</w:t>
            </w:r>
          </w:p>
        </w:tc>
      </w:tr>
      <w:tr w:rsidR="0063232D" w:rsidRPr="00D97714" w14:paraId="0F5C137F"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17F89B1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Propose Liquidation</w:t>
            </w:r>
          </w:p>
        </w:tc>
        <w:tc>
          <w:tcPr>
            <w:tcW w:w="545" w:type="pct"/>
            <w:tcBorders>
              <w:top w:val="nil"/>
              <w:left w:val="nil"/>
              <w:bottom w:val="nil"/>
              <w:right w:val="nil"/>
            </w:tcBorders>
            <w:shd w:val="clear" w:color="auto" w:fill="auto"/>
            <w:noWrap/>
            <w:vAlign w:val="bottom"/>
            <w:hideMark/>
          </w:tcPr>
          <w:p w14:paraId="3762019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w:t>
            </w:r>
          </w:p>
        </w:tc>
        <w:tc>
          <w:tcPr>
            <w:tcW w:w="627" w:type="pct"/>
            <w:gridSpan w:val="3"/>
            <w:tcBorders>
              <w:top w:val="nil"/>
              <w:left w:val="nil"/>
              <w:bottom w:val="nil"/>
              <w:right w:val="nil"/>
            </w:tcBorders>
            <w:shd w:val="clear" w:color="auto" w:fill="auto"/>
            <w:noWrap/>
            <w:vAlign w:val="bottom"/>
            <w:hideMark/>
          </w:tcPr>
          <w:p w14:paraId="45E3E7F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w:t>
            </w:r>
          </w:p>
        </w:tc>
        <w:tc>
          <w:tcPr>
            <w:tcW w:w="376" w:type="pct"/>
            <w:gridSpan w:val="2"/>
            <w:tcBorders>
              <w:top w:val="nil"/>
              <w:left w:val="nil"/>
              <w:bottom w:val="nil"/>
              <w:right w:val="nil"/>
            </w:tcBorders>
            <w:shd w:val="clear" w:color="auto" w:fill="auto"/>
            <w:noWrap/>
            <w:vAlign w:val="bottom"/>
            <w:hideMark/>
          </w:tcPr>
          <w:p w14:paraId="53465D4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043" w:type="pct"/>
            <w:gridSpan w:val="5"/>
            <w:tcBorders>
              <w:top w:val="nil"/>
              <w:left w:val="nil"/>
              <w:bottom w:val="nil"/>
              <w:right w:val="nil"/>
            </w:tcBorders>
            <w:shd w:val="clear" w:color="auto" w:fill="auto"/>
            <w:noWrap/>
            <w:vAlign w:val="bottom"/>
            <w:hideMark/>
          </w:tcPr>
          <w:p w14:paraId="4D7513E8" w14:textId="77777777" w:rsidR="0063232D" w:rsidRPr="00D97714" w:rsidRDefault="0063232D" w:rsidP="0063232D">
            <w:pPr>
              <w:spacing w:after="0" w:line="240" w:lineRule="auto"/>
              <w:rPr>
                <w:rFonts w:ascii="Times New Roman" w:eastAsia="Times New Roman" w:hAnsi="Times New Roman" w:cs="Times New Roman"/>
                <w:sz w:val="24"/>
                <w:szCs w:val="24"/>
              </w:rPr>
            </w:pPr>
          </w:p>
        </w:tc>
        <w:tc>
          <w:tcPr>
            <w:tcW w:w="373" w:type="pct"/>
            <w:tcBorders>
              <w:top w:val="nil"/>
              <w:left w:val="nil"/>
              <w:bottom w:val="nil"/>
              <w:right w:val="nil"/>
            </w:tcBorders>
            <w:shd w:val="clear" w:color="auto" w:fill="auto"/>
            <w:noWrap/>
            <w:vAlign w:val="bottom"/>
            <w:hideMark/>
          </w:tcPr>
          <w:p w14:paraId="1F897E14" w14:textId="77777777" w:rsidR="0063232D" w:rsidRPr="00D97714" w:rsidRDefault="0063232D" w:rsidP="0063232D">
            <w:pPr>
              <w:spacing w:after="0" w:line="240" w:lineRule="auto"/>
              <w:rPr>
                <w:rFonts w:ascii="Times New Roman" w:eastAsia="Times New Roman" w:hAnsi="Times New Roman" w:cs="Times New Roman"/>
                <w:sz w:val="24"/>
                <w:szCs w:val="24"/>
              </w:rPr>
            </w:pPr>
          </w:p>
        </w:tc>
        <w:tc>
          <w:tcPr>
            <w:tcW w:w="714" w:type="pct"/>
            <w:gridSpan w:val="2"/>
            <w:tcBorders>
              <w:top w:val="nil"/>
              <w:left w:val="nil"/>
              <w:bottom w:val="nil"/>
              <w:right w:val="nil"/>
            </w:tcBorders>
            <w:shd w:val="clear" w:color="auto" w:fill="auto"/>
            <w:noWrap/>
            <w:vAlign w:val="bottom"/>
            <w:hideMark/>
          </w:tcPr>
          <w:p w14:paraId="78B69416" w14:textId="77777777" w:rsidR="0063232D" w:rsidRPr="00D97714" w:rsidRDefault="0063232D" w:rsidP="0063232D">
            <w:pPr>
              <w:spacing w:after="0" w:line="240" w:lineRule="auto"/>
              <w:rPr>
                <w:rFonts w:ascii="Times New Roman" w:eastAsia="Times New Roman" w:hAnsi="Times New Roman" w:cs="Times New Roman"/>
                <w:sz w:val="24"/>
                <w:szCs w:val="24"/>
              </w:rPr>
            </w:pPr>
          </w:p>
        </w:tc>
      </w:tr>
      <w:tr w:rsidR="0063232D" w:rsidRPr="00D97714" w14:paraId="6F044FE5"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5A649A3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Propose Reorg.</w:t>
            </w:r>
          </w:p>
        </w:tc>
        <w:tc>
          <w:tcPr>
            <w:tcW w:w="545" w:type="pct"/>
            <w:tcBorders>
              <w:top w:val="nil"/>
              <w:left w:val="nil"/>
              <w:bottom w:val="nil"/>
              <w:right w:val="nil"/>
            </w:tcBorders>
            <w:shd w:val="clear" w:color="auto" w:fill="auto"/>
            <w:noWrap/>
            <w:vAlign w:val="bottom"/>
            <w:hideMark/>
          </w:tcPr>
          <w:p w14:paraId="607D413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w:t>
            </w:r>
          </w:p>
        </w:tc>
        <w:tc>
          <w:tcPr>
            <w:tcW w:w="627" w:type="pct"/>
            <w:gridSpan w:val="3"/>
            <w:tcBorders>
              <w:top w:val="nil"/>
              <w:left w:val="nil"/>
              <w:bottom w:val="nil"/>
              <w:right w:val="nil"/>
            </w:tcBorders>
            <w:shd w:val="clear" w:color="auto" w:fill="auto"/>
            <w:noWrap/>
            <w:vAlign w:val="bottom"/>
            <w:hideMark/>
          </w:tcPr>
          <w:p w14:paraId="403ACF6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w:t>
            </w:r>
          </w:p>
        </w:tc>
        <w:tc>
          <w:tcPr>
            <w:tcW w:w="376" w:type="pct"/>
            <w:gridSpan w:val="2"/>
            <w:tcBorders>
              <w:top w:val="nil"/>
              <w:left w:val="nil"/>
              <w:bottom w:val="nil"/>
              <w:right w:val="nil"/>
            </w:tcBorders>
            <w:shd w:val="clear" w:color="auto" w:fill="auto"/>
            <w:noWrap/>
            <w:vAlign w:val="bottom"/>
            <w:hideMark/>
          </w:tcPr>
          <w:p w14:paraId="2B32F9F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043" w:type="pct"/>
            <w:gridSpan w:val="5"/>
            <w:tcBorders>
              <w:top w:val="nil"/>
              <w:left w:val="nil"/>
              <w:bottom w:val="nil"/>
              <w:right w:val="nil"/>
            </w:tcBorders>
            <w:shd w:val="clear" w:color="auto" w:fill="auto"/>
            <w:noWrap/>
            <w:vAlign w:val="bottom"/>
            <w:hideMark/>
          </w:tcPr>
          <w:p w14:paraId="5DAC028B" w14:textId="77777777" w:rsidR="0063232D" w:rsidRPr="00D97714" w:rsidRDefault="0063232D" w:rsidP="0063232D">
            <w:pPr>
              <w:spacing w:after="0" w:line="240" w:lineRule="auto"/>
              <w:rPr>
                <w:rFonts w:ascii="Times New Roman" w:eastAsia="Times New Roman" w:hAnsi="Times New Roman" w:cs="Times New Roman"/>
                <w:sz w:val="24"/>
                <w:szCs w:val="24"/>
              </w:rPr>
            </w:pPr>
          </w:p>
        </w:tc>
        <w:tc>
          <w:tcPr>
            <w:tcW w:w="373" w:type="pct"/>
            <w:tcBorders>
              <w:top w:val="nil"/>
              <w:left w:val="nil"/>
              <w:bottom w:val="nil"/>
              <w:right w:val="nil"/>
            </w:tcBorders>
            <w:shd w:val="clear" w:color="auto" w:fill="auto"/>
            <w:noWrap/>
            <w:vAlign w:val="bottom"/>
            <w:hideMark/>
          </w:tcPr>
          <w:p w14:paraId="2AEA86D5" w14:textId="77777777" w:rsidR="0063232D" w:rsidRPr="00D97714" w:rsidRDefault="0063232D" w:rsidP="0063232D">
            <w:pPr>
              <w:spacing w:after="0" w:line="240" w:lineRule="auto"/>
              <w:rPr>
                <w:rFonts w:ascii="Times New Roman" w:eastAsia="Times New Roman" w:hAnsi="Times New Roman" w:cs="Times New Roman"/>
                <w:sz w:val="24"/>
                <w:szCs w:val="24"/>
              </w:rPr>
            </w:pPr>
          </w:p>
        </w:tc>
        <w:tc>
          <w:tcPr>
            <w:tcW w:w="714" w:type="pct"/>
            <w:gridSpan w:val="2"/>
            <w:tcBorders>
              <w:top w:val="nil"/>
              <w:left w:val="nil"/>
              <w:bottom w:val="nil"/>
              <w:right w:val="nil"/>
            </w:tcBorders>
            <w:shd w:val="clear" w:color="auto" w:fill="auto"/>
            <w:noWrap/>
            <w:vAlign w:val="bottom"/>
            <w:hideMark/>
          </w:tcPr>
          <w:p w14:paraId="02436848" w14:textId="77777777" w:rsidR="0063232D" w:rsidRPr="00D97714" w:rsidRDefault="0063232D" w:rsidP="0063232D">
            <w:pPr>
              <w:spacing w:after="0" w:line="240" w:lineRule="auto"/>
              <w:rPr>
                <w:rFonts w:ascii="Times New Roman" w:eastAsia="Times New Roman" w:hAnsi="Times New Roman" w:cs="Times New Roman"/>
                <w:sz w:val="24"/>
                <w:szCs w:val="24"/>
              </w:rPr>
            </w:pPr>
          </w:p>
        </w:tc>
      </w:tr>
      <w:tr w:rsidR="0063232D" w:rsidRPr="00D97714" w14:paraId="2DF65CAE"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1379F7D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Seek Alternatives</w:t>
            </w:r>
          </w:p>
        </w:tc>
        <w:tc>
          <w:tcPr>
            <w:tcW w:w="545" w:type="pct"/>
            <w:tcBorders>
              <w:top w:val="nil"/>
              <w:left w:val="nil"/>
              <w:bottom w:val="nil"/>
              <w:right w:val="nil"/>
            </w:tcBorders>
            <w:shd w:val="clear" w:color="auto" w:fill="auto"/>
            <w:noWrap/>
            <w:vAlign w:val="bottom"/>
            <w:hideMark/>
          </w:tcPr>
          <w:p w14:paraId="4924951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75</w:t>
            </w:r>
          </w:p>
        </w:tc>
        <w:tc>
          <w:tcPr>
            <w:tcW w:w="627" w:type="pct"/>
            <w:gridSpan w:val="3"/>
            <w:tcBorders>
              <w:top w:val="nil"/>
              <w:left w:val="nil"/>
              <w:bottom w:val="nil"/>
              <w:right w:val="nil"/>
            </w:tcBorders>
            <w:shd w:val="clear" w:color="auto" w:fill="auto"/>
            <w:noWrap/>
            <w:vAlign w:val="bottom"/>
            <w:hideMark/>
          </w:tcPr>
          <w:p w14:paraId="1B788BD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14.82</w:t>
            </w:r>
          </w:p>
        </w:tc>
        <w:tc>
          <w:tcPr>
            <w:tcW w:w="376" w:type="pct"/>
            <w:gridSpan w:val="2"/>
            <w:tcBorders>
              <w:top w:val="nil"/>
              <w:left w:val="nil"/>
              <w:bottom w:val="nil"/>
              <w:right w:val="nil"/>
            </w:tcBorders>
            <w:shd w:val="clear" w:color="auto" w:fill="auto"/>
            <w:noWrap/>
            <w:vAlign w:val="bottom"/>
            <w:hideMark/>
          </w:tcPr>
          <w:p w14:paraId="7A9993F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043" w:type="pct"/>
            <w:gridSpan w:val="5"/>
            <w:tcBorders>
              <w:top w:val="nil"/>
              <w:left w:val="nil"/>
              <w:bottom w:val="nil"/>
              <w:right w:val="nil"/>
            </w:tcBorders>
            <w:shd w:val="clear" w:color="auto" w:fill="auto"/>
            <w:noWrap/>
            <w:vAlign w:val="bottom"/>
            <w:hideMark/>
          </w:tcPr>
          <w:p w14:paraId="70CD6069" w14:textId="77777777" w:rsidR="0063232D" w:rsidRPr="00D97714" w:rsidRDefault="0063232D" w:rsidP="0063232D">
            <w:pPr>
              <w:spacing w:after="0" w:line="240" w:lineRule="auto"/>
              <w:rPr>
                <w:rFonts w:ascii="Times New Roman" w:eastAsia="Times New Roman" w:hAnsi="Times New Roman" w:cs="Times New Roman"/>
                <w:sz w:val="24"/>
                <w:szCs w:val="24"/>
              </w:rPr>
            </w:pPr>
          </w:p>
        </w:tc>
        <w:tc>
          <w:tcPr>
            <w:tcW w:w="373" w:type="pct"/>
            <w:tcBorders>
              <w:top w:val="nil"/>
              <w:left w:val="nil"/>
              <w:bottom w:val="nil"/>
              <w:right w:val="nil"/>
            </w:tcBorders>
            <w:shd w:val="clear" w:color="auto" w:fill="auto"/>
            <w:noWrap/>
            <w:vAlign w:val="bottom"/>
            <w:hideMark/>
          </w:tcPr>
          <w:p w14:paraId="11F890A9" w14:textId="77777777" w:rsidR="0063232D" w:rsidRPr="00D97714" w:rsidRDefault="0063232D" w:rsidP="0063232D">
            <w:pPr>
              <w:spacing w:after="0" w:line="240" w:lineRule="auto"/>
              <w:rPr>
                <w:rFonts w:ascii="Times New Roman" w:eastAsia="Times New Roman" w:hAnsi="Times New Roman" w:cs="Times New Roman"/>
                <w:sz w:val="24"/>
                <w:szCs w:val="24"/>
              </w:rPr>
            </w:pPr>
          </w:p>
        </w:tc>
        <w:tc>
          <w:tcPr>
            <w:tcW w:w="714" w:type="pct"/>
            <w:gridSpan w:val="2"/>
            <w:tcBorders>
              <w:top w:val="nil"/>
              <w:left w:val="nil"/>
              <w:bottom w:val="nil"/>
              <w:right w:val="nil"/>
            </w:tcBorders>
            <w:shd w:val="clear" w:color="auto" w:fill="auto"/>
            <w:noWrap/>
            <w:vAlign w:val="bottom"/>
            <w:hideMark/>
          </w:tcPr>
          <w:p w14:paraId="07D26842" w14:textId="77777777" w:rsidR="0063232D" w:rsidRPr="00D97714" w:rsidRDefault="0063232D" w:rsidP="0063232D">
            <w:pPr>
              <w:spacing w:after="0" w:line="240" w:lineRule="auto"/>
              <w:rPr>
                <w:rFonts w:ascii="Times New Roman" w:eastAsia="Times New Roman" w:hAnsi="Times New Roman" w:cs="Times New Roman"/>
                <w:sz w:val="24"/>
                <w:szCs w:val="24"/>
              </w:rPr>
            </w:pPr>
          </w:p>
        </w:tc>
      </w:tr>
      <w:tr w:rsidR="0063232D" w:rsidRPr="00D97714" w14:paraId="6C6D75DB"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5F4E5B99"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Shareholder Rights</w:t>
            </w:r>
          </w:p>
        </w:tc>
        <w:tc>
          <w:tcPr>
            <w:tcW w:w="545" w:type="pct"/>
            <w:tcBorders>
              <w:top w:val="nil"/>
              <w:left w:val="nil"/>
              <w:bottom w:val="nil"/>
              <w:right w:val="nil"/>
            </w:tcBorders>
            <w:shd w:val="clear" w:color="auto" w:fill="auto"/>
            <w:noWrap/>
            <w:vAlign w:val="bottom"/>
            <w:hideMark/>
          </w:tcPr>
          <w:p w14:paraId="5C1CD4F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77</w:t>
            </w:r>
          </w:p>
        </w:tc>
        <w:tc>
          <w:tcPr>
            <w:tcW w:w="627" w:type="pct"/>
            <w:gridSpan w:val="3"/>
            <w:tcBorders>
              <w:top w:val="nil"/>
              <w:left w:val="nil"/>
              <w:bottom w:val="nil"/>
              <w:right w:val="nil"/>
            </w:tcBorders>
            <w:shd w:val="clear" w:color="auto" w:fill="auto"/>
            <w:noWrap/>
            <w:vAlign w:val="bottom"/>
            <w:hideMark/>
          </w:tcPr>
          <w:p w14:paraId="5924215D"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15.22</w:t>
            </w:r>
          </w:p>
        </w:tc>
        <w:tc>
          <w:tcPr>
            <w:tcW w:w="376" w:type="pct"/>
            <w:gridSpan w:val="2"/>
            <w:tcBorders>
              <w:top w:val="nil"/>
              <w:left w:val="nil"/>
              <w:bottom w:val="nil"/>
              <w:right w:val="nil"/>
            </w:tcBorders>
            <w:shd w:val="clear" w:color="auto" w:fill="auto"/>
            <w:noWrap/>
            <w:vAlign w:val="bottom"/>
            <w:hideMark/>
          </w:tcPr>
          <w:p w14:paraId="5A20C7B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043" w:type="pct"/>
            <w:gridSpan w:val="5"/>
            <w:tcBorders>
              <w:top w:val="nil"/>
              <w:left w:val="nil"/>
              <w:bottom w:val="nil"/>
              <w:right w:val="nil"/>
            </w:tcBorders>
            <w:shd w:val="clear" w:color="auto" w:fill="auto"/>
            <w:noWrap/>
            <w:vAlign w:val="bottom"/>
            <w:hideMark/>
          </w:tcPr>
          <w:p w14:paraId="369BD7DC" w14:textId="77777777" w:rsidR="0063232D" w:rsidRPr="00D97714" w:rsidRDefault="0063232D" w:rsidP="0063232D">
            <w:pPr>
              <w:spacing w:after="0" w:line="240" w:lineRule="auto"/>
              <w:rPr>
                <w:rFonts w:ascii="Times New Roman" w:eastAsia="Times New Roman" w:hAnsi="Times New Roman" w:cs="Times New Roman"/>
                <w:sz w:val="24"/>
                <w:szCs w:val="24"/>
              </w:rPr>
            </w:pPr>
          </w:p>
        </w:tc>
        <w:tc>
          <w:tcPr>
            <w:tcW w:w="373" w:type="pct"/>
            <w:tcBorders>
              <w:top w:val="nil"/>
              <w:left w:val="nil"/>
              <w:bottom w:val="nil"/>
              <w:right w:val="nil"/>
            </w:tcBorders>
            <w:shd w:val="clear" w:color="auto" w:fill="auto"/>
            <w:noWrap/>
            <w:vAlign w:val="bottom"/>
            <w:hideMark/>
          </w:tcPr>
          <w:p w14:paraId="13B4D4DD" w14:textId="77777777" w:rsidR="0063232D" w:rsidRPr="00D97714" w:rsidRDefault="0063232D" w:rsidP="0063232D">
            <w:pPr>
              <w:spacing w:after="0" w:line="240" w:lineRule="auto"/>
              <w:rPr>
                <w:rFonts w:ascii="Times New Roman" w:eastAsia="Times New Roman" w:hAnsi="Times New Roman" w:cs="Times New Roman"/>
                <w:sz w:val="24"/>
                <w:szCs w:val="24"/>
              </w:rPr>
            </w:pPr>
          </w:p>
        </w:tc>
        <w:tc>
          <w:tcPr>
            <w:tcW w:w="714" w:type="pct"/>
            <w:gridSpan w:val="2"/>
            <w:tcBorders>
              <w:top w:val="nil"/>
              <w:left w:val="nil"/>
              <w:bottom w:val="nil"/>
              <w:right w:val="nil"/>
            </w:tcBorders>
            <w:shd w:val="clear" w:color="auto" w:fill="auto"/>
            <w:noWrap/>
            <w:vAlign w:val="bottom"/>
            <w:hideMark/>
          </w:tcPr>
          <w:p w14:paraId="1B56CFC5" w14:textId="77777777" w:rsidR="0063232D" w:rsidRPr="00D97714" w:rsidRDefault="0063232D" w:rsidP="0063232D">
            <w:pPr>
              <w:spacing w:after="0" w:line="240" w:lineRule="auto"/>
              <w:rPr>
                <w:rFonts w:ascii="Times New Roman" w:eastAsia="Times New Roman" w:hAnsi="Times New Roman" w:cs="Times New Roman"/>
                <w:sz w:val="24"/>
                <w:szCs w:val="24"/>
              </w:rPr>
            </w:pPr>
          </w:p>
        </w:tc>
      </w:tr>
      <w:tr w:rsidR="0063232D" w:rsidRPr="00D97714" w14:paraId="3DFA8543"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3E4F42B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Spinoff</w:t>
            </w:r>
          </w:p>
        </w:tc>
        <w:tc>
          <w:tcPr>
            <w:tcW w:w="545" w:type="pct"/>
            <w:tcBorders>
              <w:top w:val="nil"/>
              <w:left w:val="nil"/>
              <w:bottom w:val="nil"/>
              <w:right w:val="nil"/>
            </w:tcBorders>
            <w:shd w:val="clear" w:color="auto" w:fill="auto"/>
            <w:noWrap/>
            <w:vAlign w:val="bottom"/>
            <w:hideMark/>
          </w:tcPr>
          <w:p w14:paraId="01BFB04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w:t>
            </w:r>
          </w:p>
        </w:tc>
        <w:tc>
          <w:tcPr>
            <w:tcW w:w="627" w:type="pct"/>
            <w:gridSpan w:val="3"/>
            <w:tcBorders>
              <w:top w:val="nil"/>
              <w:left w:val="nil"/>
              <w:bottom w:val="nil"/>
              <w:right w:val="nil"/>
            </w:tcBorders>
            <w:shd w:val="clear" w:color="auto" w:fill="auto"/>
            <w:noWrap/>
            <w:vAlign w:val="bottom"/>
            <w:hideMark/>
          </w:tcPr>
          <w:p w14:paraId="31D9DA4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1.19</w:t>
            </w:r>
          </w:p>
        </w:tc>
        <w:tc>
          <w:tcPr>
            <w:tcW w:w="376" w:type="pct"/>
            <w:gridSpan w:val="2"/>
            <w:tcBorders>
              <w:top w:val="nil"/>
              <w:left w:val="nil"/>
              <w:bottom w:val="nil"/>
              <w:right w:val="nil"/>
            </w:tcBorders>
            <w:shd w:val="clear" w:color="auto" w:fill="auto"/>
            <w:noWrap/>
            <w:vAlign w:val="bottom"/>
            <w:hideMark/>
          </w:tcPr>
          <w:p w14:paraId="0D968FE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043" w:type="pct"/>
            <w:gridSpan w:val="5"/>
            <w:tcBorders>
              <w:top w:val="nil"/>
              <w:left w:val="nil"/>
              <w:bottom w:val="nil"/>
              <w:right w:val="nil"/>
            </w:tcBorders>
            <w:shd w:val="clear" w:color="auto" w:fill="auto"/>
            <w:noWrap/>
            <w:vAlign w:val="bottom"/>
            <w:hideMark/>
          </w:tcPr>
          <w:p w14:paraId="641BB323" w14:textId="77777777" w:rsidR="0063232D" w:rsidRPr="00D97714" w:rsidRDefault="0063232D" w:rsidP="0063232D">
            <w:pPr>
              <w:spacing w:after="0" w:line="240" w:lineRule="auto"/>
              <w:rPr>
                <w:rFonts w:ascii="Times New Roman" w:eastAsia="Times New Roman" w:hAnsi="Times New Roman" w:cs="Times New Roman"/>
                <w:sz w:val="24"/>
                <w:szCs w:val="24"/>
              </w:rPr>
            </w:pPr>
          </w:p>
        </w:tc>
        <w:tc>
          <w:tcPr>
            <w:tcW w:w="373" w:type="pct"/>
            <w:tcBorders>
              <w:top w:val="nil"/>
              <w:left w:val="nil"/>
              <w:bottom w:val="nil"/>
              <w:right w:val="nil"/>
            </w:tcBorders>
            <w:shd w:val="clear" w:color="auto" w:fill="auto"/>
            <w:noWrap/>
            <w:vAlign w:val="bottom"/>
            <w:hideMark/>
          </w:tcPr>
          <w:p w14:paraId="15B42939" w14:textId="77777777" w:rsidR="0063232D" w:rsidRPr="00D97714" w:rsidRDefault="0063232D" w:rsidP="0063232D">
            <w:pPr>
              <w:spacing w:after="0" w:line="240" w:lineRule="auto"/>
              <w:rPr>
                <w:rFonts w:ascii="Times New Roman" w:eastAsia="Times New Roman" w:hAnsi="Times New Roman" w:cs="Times New Roman"/>
                <w:sz w:val="24"/>
                <w:szCs w:val="24"/>
              </w:rPr>
            </w:pPr>
          </w:p>
        </w:tc>
        <w:tc>
          <w:tcPr>
            <w:tcW w:w="714" w:type="pct"/>
            <w:gridSpan w:val="2"/>
            <w:tcBorders>
              <w:top w:val="nil"/>
              <w:left w:val="nil"/>
              <w:bottom w:val="nil"/>
              <w:right w:val="nil"/>
            </w:tcBorders>
            <w:shd w:val="clear" w:color="auto" w:fill="auto"/>
            <w:noWrap/>
            <w:vAlign w:val="bottom"/>
            <w:hideMark/>
          </w:tcPr>
          <w:p w14:paraId="3B9E2B93" w14:textId="77777777" w:rsidR="0063232D" w:rsidRPr="00D97714" w:rsidRDefault="0063232D" w:rsidP="0063232D">
            <w:pPr>
              <w:spacing w:after="0" w:line="240" w:lineRule="auto"/>
              <w:rPr>
                <w:rFonts w:ascii="Times New Roman" w:eastAsia="Times New Roman" w:hAnsi="Times New Roman" w:cs="Times New Roman"/>
                <w:sz w:val="24"/>
                <w:szCs w:val="24"/>
              </w:rPr>
            </w:pPr>
          </w:p>
        </w:tc>
      </w:tr>
      <w:tr w:rsidR="0063232D" w:rsidRPr="00D97714" w14:paraId="3CA7DFDF"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4ED7338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Strategic Direction</w:t>
            </w:r>
          </w:p>
        </w:tc>
        <w:tc>
          <w:tcPr>
            <w:tcW w:w="545" w:type="pct"/>
            <w:tcBorders>
              <w:top w:val="nil"/>
              <w:left w:val="nil"/>
              <w:bottom w:val="nil"/>
              <w:right w:val="nil"/>
            </w:tcBorders>
            <w:shd w:val="clear" w:color="auto" w:fill="auto"/>
            <w:noWrap/>
            <w:vAlign w:val="bottom"/>
            <w:hideMark/>
          </w:tcPr>
          <w:p w14:paraId="30E0BA3B"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14</w:t>
            </w:r>
          </w:p>
        </w:tc>
        <w:tc>
          <w:tcPr>
            <w:tcW w:w="627" w:type="pct"/>
            <w:gridSpan w:val="3"/>
            <w:tcBorders>
              <w:top w:val="nil"/>
              <w:left w:val="nil"/>
              <w:bottom w:val="nil"/>
              <w:right w:val="nil"/>
            </w:tcBorders>
            <w:shd w:val="clear" w:color="auto" w:fill="auto"/>
            <w:noWrap/>
            <w:vAlign w:val="bottom"/>
            <w:hideMark/>
          </w:tcPr>
          <w:p w14:paraId="38552A66"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2.77</w:t>
            </w:r>
          </w:p>
        </w:tc>
        <w:tc>
          <w:tcPr>
            <w:tcW w:w="376" w:type="pct"/>
            <w:gridSpan w:val="2"/>
            <w:tcBorders>
              <w:top w:val="nil"/>
              <w:left w:val="nil"/>
              <w:bottom w:val="nil"/>
              <w:right w:val="nil"/>
            </w:tcBorders>
            <w:shd w:val="clear" w:color="auto" w:fill="auto"/>
            <w:noWrap/>
            <w:vAlign w:val="bottom"/>
            <w:hideMark/>
          </w:tcPr>
          <w:p w14:paraId="3648510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p>
        </w:tc>
        <w:tc>
          <w:tcPr>
            <w:tcW w:w="1043" w:type="pct"/>
            <w:gridSpan w:val="5"/>
            <w:tcBorders>
              <w:top w:val="nil"/>
              <w:left w:val="nil"/>
              <w:bottom w:val="nil"/>
              <w:right w:val="nil"/>
            </w:tcBorders>
            <w:shd w:val="clear" w:color="auto" w:fill="auto"/>
            <w:noWrap/>
            <w:vAlign w:val="bottom"/>
            <w:hideMark/>
          </w:tcPr>
          <w:p w14:paraId="0F59B923" w14:textId="77777777" w:rsidR="0063232D" w:rsidRPr="00D97714" w:rsidRDefault="0063232D" w:rsidP="0063232D">
            <w:pPr>
              <w:spacing w:after="0" w:line="240" w:lineRule="auto"/>
              <w:rPr>
                <w:rFonts w:ascii="Times New Roman" w:eastAsia="Times New Roman" w:hAnsi="Times New Roman" w:cs="Times New Roman"/>
                <w:sz w:val="24"/>
                <w:szCs w:val="24"/>
              </w:rPr>
            </w:pPr>
          </w:p>
        </w:tc>
        <w:tc>
          <w:tcPr>
            <w:tcW w:w="373" w:type="pct"/>
            <w:tcBorders>
              <w:top w:val="nil"/>
              <w:left w:val="nil"/>
              <w:bottom w:val="nil"/>
              <w:right w:val="nil"/>
            </w:tcBorders>
            <w:shd w:val="clear" w:color="auto" w:fill="auto"/>
            <w:noWrap/>
            <w:vAlign w:val="bottom"/>
            <w:hideMark/>
          </w:tcPr>
          <w:p w14:paraId="002038A7" w14:textId="77777777" w:rsidR="0063232D" w:rsidRPr="00D97714" w:rsidRDefault="0063232D" w:rsidP="0063232D">
            <w:pPr>
              <w:spacing w:after="0" w:line="240" w:lineRule="auto"/>
              <w:rPr>
                <w:rFonts w:ascii="Times New Roman" w:eastAsia="Times New Roman" w:hAnsi="Times New Roman" w:cs="Times New Roman"/>
                <w:sz w:val="24"/>
                <w:szCs w:val="24"/>
              </w:rPr>
            </w:pPr>
          </w:p>
        </w:tc>
        <w:tc>
          <w:tcPr>
            <w:tcW w:w="714" w:type="pct"/>
            <w:gridSpan w:val="2"/>
            <w:tcBorders>
              <w:top w:val="nil"/>
              <w:left w:val="nil"/>
              <w:bottom w:val="nil"/>
              <w:right w:val="nil"/>
            </w:tcBorders>
            <w:shd w:val="clear" w:color="auto" w:fill="auto"/>
            <w:noWrap/>
            <w:vAlign w:val="bottom"/>
            <w:hideMark/>
          </w:tcPr>
          <w:p w14:paraId="6F2A1656" w14:textId="77777777" w:rsidR="0063232D" w:rsidRPr="00D97714" w:rsidRDefault="0063232D" w:rsidP="0063232D">
            <w:pPr>
              <w:spacing w:after="0" w:line="240" w:lineRule="auto"/>
              <w:rPr>
                <w:rFonts w:ascii="Times New Roman" w:eastAsia="Times New Roman" w:hAnsi="Times New Roman" w:cs="Times New Roman"/>
                <w:sz w:val="24"/>
                <w:szCs w:val="24"/>
              </w:rPr>
            </w:pPr>
          </w:p>
        </w:tc>
      </w:tr>
      <w:tr w:rsidR="0063232D" w:rsidRPr="00D97714" w14:paraId="4B84F0D9" w14:textId="77777777" w:rsidTr="00B05BA5">
        <w:trPr>
          <w:trHeight w:val="20"/>
        </w:trPr>
        <w:tc>
          <w:tcPr>
            <w:tcW w:w="5000" w:type="pct"/>
            <w:gridSpan w:val="16"/>
            <w:tcBorders>
              <w:top w:val="single" w:sz="4" w:space="0" w:color="auto"/>
              <w:left w:val="nil"/>
              <w:bottom w:val="nil"/>
              <w:right w:val="nil"/>
            </w:tcBorders>
            <w:shd w:val="clear" w:color="auto" w:fill="auto"/>
            <w:hideMark/>
          </w:tcPr>
          <w:p w14:paraId="0F445531" w14:textId="77777777" w:rsidR="0063232D" w:rsidRPr="00D97714" w:rsidRDefault="0063232D" w:rsidP="0063232D">
            <w:pPr>
              <w:spacing w:after="0" w:line="240" w:lineRule="auto"/>
              <w:rPr>
                <w:rFonts w:ascii="Times New Roman" w:eastAsia="Times New Roman" w:hAnsi="Times New Roman" w:cs="Times New Roman"/>
                <w:b/>
                <w:bCs/>
                <w:i/>
                <w:iCs/>
                <w:color w:val="000000"/>
                <w:sz w:val="24"/>
                <w:szCs w:val="24"/>
              </w:rPr>
            </w:pPr>
            <w:r w:rsidRPr="00D97714">
              <w:rPr>
                <w:rFonts w:ascii="Times New Roman" w:eastAsia="Times New Roman" w:hAnsi="Times New Roman" w:cs="Times New Roman"/>
                <w:b/>
                <w:bCs/>
                <w:i/>
                <w:iCs/>
                <w:color w:val="000000"/>
                <w:sz w:val="24"/>
                <w:szCs w:val="24"/>
              </w:rPr>
              <w:t>Panel B - Sample Descriptive Statistics in the Preceding Year</w:t>
            </w:r>
          </w:p>
        </w:tc>
      </w:tr>
      <w:tr w:rsidR="0063232D" w:rsidRPr="00D97714" w14:paraId="448EC807" w14:textId="77777777" w:rsidTr="0063232D">
        <w:trPr>
          <w:trHeight w:val="20"/>
        </w:trPr>
        <w:tc>
          <w:tcPr>
            <w:tcW w:w="1322" w:type="pct"/>
            <w:gridSpan w:val="2"/>
            <w:tcBorders>
              <w:top w:val="nil"/>
              <w:left w:val="nil"/>
              <w:bottom w:val="nil"/>
              <w:right w:val="nil"/>
            </w:tcBorders>
            <w:shd w:val="clear" w:color="auto" w:fill="auto"/>
            <w:noWrap/>
            <w:vAlign w:val="bottom"/>
            <w:hideMark/>
          </w:tcPr>
          <w:p w14:paraId="46188993" w14:textId="77777777" w:rsidR="0063232D" w:rsidRPr="00D97714" w:rsidRDefault="0063232D" w:rsidP="0063232D">
            <w:pPr>
              <w:spacing w:after="0" w:line="240" w:lineRule="auto"/>
              <w:rPr>
                <w:rFonts w:ascii="Times New Roman" w:eastAsia="Times New Roman" w:hAnsi="Times New Roman" w:cs="Times New Roman"/>
                <w:b/>
                <w:bCs/>
                <w:i/>
                <w:iCs/>
                <w:color w:val="000000"/>
                <w:sz w:val="24"/>
                <w:szCs w:val="24"/>
              </w:rPr>
            </w:pPr>
          </w:p>
        </w:tc>
        <w:tc>
          <w:tcPr>
            <w:tcW w:w="1282" w:type="pct"/>
            <w:gridSpan w:val="5"/>
            <w:tcBorders>
              <w:top w:val="nil"/>
              <w:left w:val="nil"/>
              <w:bottom w:val="nil"/>
              <w:right w:val="nil"/>
            </w:tcBorders>
            <w:shd w:val="clear" w:color="auto" w:fill="auto"/>
            <w:noWrap/>
            <w:vAlign w:val="bottom"/>
            <w:hideMark/>
          </w:tcPr>
          <w:p w14:paraId="3662B6F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Targets Firms</w:t>
            </w:r>
          </w:p>
        </w:tc>
        <w:tc>
          <w:tcPr>
            <w:tcW w:w="1196" w:type="pct"/>
            <w:gridSpan w:val="5"/>
            <w:tcBorders>
              <w:top w:val="nil"/>
              <w:left w:val="nil"/>
              <w:bottom w:val="nil"/>
              <w:right w:val="nil"/>
            </w:tcBorders>
            <w:shd w:val="clear" w:color="auto" w:fill="auto"/>
            <w:noWrap/>
            <w:vAlign w:val="bottom"/>
            <w:hideMark/>
          </w:tcPr>
          <w:p w14:paraId="04116D5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Value-weighted non-target matching portfolios</w:t>
            </w:r>
          </w:p>
        </w:tc>
        <w:tc>
          <w:tcPr>
            <w:tcW w:w="1200" w:type="pct"/>
            <w:gridSpan w:val="4"/>
            <w:tcBorders>
              <w:top w:val="nil"/>
              <w:left w:val="nil"/>
              <w:bottom w:val="nil"/>
              <w:right w:val="nil"/>
            </w:tcBorders>
            <w:shd w:val="clear" w:color="auto" w:fill="auto"/>
            <w:noWrap/>
            <w:vAlign w:val="bottom"/>
            <w:hideMark/>
          </w:tcPr>
          <w:p w14:paraId="2B9D172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Equally-weighted non-target matching portfolios</w:t>
            </w:r>
          </w:p>
        </w:tc>
      </w:tr>
      <w:tr w:rsidR="0063232D" w:rsidRPr="00D97714" w14:paraId="33CD2A10" w14:textId="77777777" w:rsidTr="0063232D">
        <w:trPr>
          <w:trHeight w:val="20"/>
        </w:trPr>
        <w:tc>
          <w:tcPr>
            <w:tcW w:w="1322" w:type="pct"/>
            <w:gridSpan w:val="2"/>
            <w:tcBorders>
              <w:top w:val="nil"/>
              <w:left w:val="nil"/>
              <w:bottom w:val="single" w:sz="4" w:space="0" w:color="auto"/>
              <w:right w:val="nil"/>
            </w:tcBorders>
            <w:shd w:val="clear" w:color="auto" w:fill="auto"/>
            <w:noWrap/>
            <w:vAlign w:val="bottom"/>
            <w:hideMark/>
          </w:tcPr>
          <w:p w14:paraId="349C949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 </w:t>
            </w:r>
          </w:p>
        </w:tc>
        <w:tc>
          <w:tcPr>
            <w:tcW w:w="682" w:type="pct"/>
            <w:gridSpan w:val="3"/>
            <w:tcBorders>
              <w:top w:val="nil"/>
              <w:left w:val="nil"/>
              <w:bottom w:val="single" w:sz="4" w:space="0" w:color="auto"/>
              <w:right w:val="nil"/>
            </w:tcBorders>
            <w:shd w:val="clear" w:color="auto" w:fill="auto"/>
            <w:noWrap/>
            <w:vAlign w:val="bottom"/>
            <w:hideMark/>
          </w:tcPr>
          <w:p w14:paraId="75FDAC89"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Mean</w:t>
            </w:r>
          </w:p>
        </w:tc>
        <w:tc>
          <w:tcPr>
            <w:tcW w:w="600" w:type="pct"/>
            <w:gridSpan w:val="2"/>
            <w:tcBorders>
              <w:top w:val="nil"/>
              <w:left w:val="nil"/>
              <w:bottom w:val="single" w:sz="4" w:space="0" w:color="auto"/>
              <w:right w:val="nil"/>
            </w:tcBorders>
            <w:shd w:val="clear" w:color="auto" w:fill="auto"/>
            <w:noWrap/>
            <w:vAlign w:val="bottom"/>
            <w:hideMark/>
          </w:tcPr>
          <w:p w14:paraId="1FD106B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Median</w:t>
            </w:r>
          </w:p>
        </w:tc>
        <w:tc>
          <w:tcPr>
            <w:tcW w:w="597" w:type="pct"/>
            <w:gridSpan w:val="3"/>
            <w:tcBorders>
              <w:top w:val="nil"/>
              <w:left w:val="nil"/>
              <w:bottom w:val="single" w:sz="4" w:space="0" w:color="auto"/>
              <w:right w:val="nil"/>
            </w:tcBorders>
            <w:shd w:val="clear" w:color="auto" w:fill="auto"/>
            <w:noWrap/>
            <w:vAlign w:val="bottom"/>
            <w:hideMark/>
          </w:tcPr>
          <w:p w14:paraId="30FC945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Mean</w:t>
            </w:r>
          </w:p>
        </w:tc>
        <w:tc>
          <w:tcPr>
            <w:tcW w:w="599" w:type="pct"/>
            <w:gridSpan w:val="2"/>
            <w:tcBorders>
              <w:top w:val="nil"/>
              <w:left w:val="nil"/>
              <w:bottom w:val="single" w:sz="4" w:space="0" w:color="auto"/>
              <w:right w:val="nil"/>
            </w:tcBorders>
            <w:shd w:val="clear" w:color="auto" w:fill="auto"/>
            <w:noWrap/>
            <w:vAlign w:val="bottom"/>
            <w:hideMark/>
          </w:tcPr>
          <w:p w14:paraId="64D3CE5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Median</w:t>
            </w:r>
          </w:p>
        </w:tc>
        <w:tc>
          <w:tcPr>
            <w:tcW w:w="597" w:type="pct"/>
            <w:gridSpan w:val="3"/>
            <w:tcBorders>
              <w:top w:val="nil"/>
              <w:left w:val="nil"/>
              <w:bottom w:val="single" w:sz="4" w:space="0" w:color="auto"/>
              <w:right w:val="nil"/>
            </w:tcBorders>
            <w:shd w:val="clear" w:color="auto" w:fill="auto"/>
            <w:noWrap/>
            <w:vAlign w:val="bottom"/>
            <w:hideMark/>
          </w:tcPr>
          <w:p w14:paraId="2C9F6EF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Mean</w:t>
            </w:r>
          </w:p>
        </w:tc>
        <w:tc>
          <w:tcPr>
            <w:tcW w:w="603" w:type="pct"/>
            <w:tcBorders>
              <w:top w:val="nil"/>
              <w:left w:val="nil"/>
              <w:bottom w:val="single" w:sz="4" w:space="0" w:color="auto"/>
              <w:right w:val="nil"/>
            </w:tcBorders>
            <w:shd w:val="clear" w:color="auto" w:fill="auto"/>
            <w:noWrap/>
            <w:vAlign w:val="bottom"/>
            <w:hideMark/>
          </w:tcPr>
          <w:p w14:paraId="7B70DCA2"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Median</w:t>
            </w:r>
          </w:p>
        </w:tc>
      </w:tr>
      <w:tr w:rsidR="0063232D" w:rsidRPr="00D97714" w14:paraId="768DA569" w14:textId="77777777" w:rsidTr="0063232D">
        <w:trPr>
          <w:trHeight w:val="20"/>
        </w:trPr>
        <w:tc>
          <w:tcPr>
            <w:tcW w:w="1322" w:type="pct"/>
            <w:gridSpan w:val="2"/>
            <w:tcBorders>
              <w:top w:val="nil"/>
              <w:left w:val="single" w:sz="8" w:space="0" w:color="C1C1C1"/>
              <w:bottom w:val="nil"/>
              <w:right w:val="nil"/>
            </w:tcBorders>
            <w:shd w:val="clear" w:color="auto" w:fill="auto"/>
            <w:hideMark/>
          </w:tcPr>
          <w:p w14:paraId="60D3815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Institutional ownership</w:t>
            </w:r>
          </w:p>
        </w:tc>
        <w:tc>
          <w:tcPr>
            <w:tcW w:w="682" w:type="pct"/>
            <w:gridSpan w:val="3"/>
            <w:tcBorders>
              <w:top w:val="nil"/>
              <w:left w:val="nil"/>
              <w:bottom w:val="nil"/>
              <w:right w:val="nil"/>
            </w:tcBorders>
            <w:shd w:val="clear" w:color="auto" w:fill="auto"/>
            <w:hideMark/>
          </w:tcPr>
          <w:p w14:paraId="2D1635D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0.504</w:t>
            </w:r>
          </w:p>
        </w:tc>
        <w:tc>
          <w:tcPr>
            <w:tcW w:w="600" w:type="pct"/>
            <w:gridSpan w:val="2"/>
            <w:tcBorders>
              <w:top w:val="nil"/>
              <w:left w:val="nil"/>
              <w:bottom w:val="nil"/>
              <w:right w:val="nil"/>
            </w:tcBorders>
            <w:shd w:val="clear" w:color="auto" w:fill="auto"/>
            <w:hideMark/>
          </w:tcPr>
          <w:p w14:paraId="481CFC6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0.491</w:t>
            </w:r>
          </w:p>
        </w:tc>
        <w:tc>
          <w:tcPr>
            <w:tcW w:w="597" w:type="pct"/>
            <w:gridSpan w:val="3"/>
            <w:tcBorders>
              <w:top w:val="nil"/>
              <w:left w:val="nil"/>
              <w:bottom w:val="nil"/>
              <w:right w:val="nil"/>
            </w:tcBorders>
            <w:shd w:val="clear" w:color="auto" w:fill="auto"/>
            <w:hideMark/>
          </w:tcPr>
          <w:p w14:paraId="1B0CFB0E"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0.626</w:t>
            </w:r>
          </w:p>
        </w:tc>
        <w:tc>
          <w:tcPr>
            <w:tcW w:w="599" w:type="pct"/>
            <w:gridSpan w:val="2"/>
            <w:tcBorders>
              <w:top w:val="nil"/>
              <w:left w:val="nil"/>
              <w:bottom w:val="nil"/>
              <w:right w:val="nil"/>
            </w:tcBorders>
            <w:shd w:val="clear" w:color="auto" w:fill="auto"/>
            <w:hideMark/>
          </w:tcPr>
          <w:p w14:paraId="5C07FB8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0.558</w:t>
            </w:r>
          </w:p>
        </w:tc>
        <w:tc>
          <w:tcPr>
            <w:tcW w:w="597" w:type="pct"/>
            <w:gridSpan w:val="3"/>
            <w:tcBorders>
              <w:top w:val="nil"/>
              <w:left w:val="nil"/>
              <w:bottom w:val="nil"/>
              <w:right w:val="nil"/>
            </w:tcBorders>
            <w:shd w:val="clear" w:color="auto" w:fill="auto"/>
            <w:hideMark/>
          </w:tcPr>
          <w:p w14:paraId="394A94F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0.494</w:t>
            </w:r>
          </w:p>
        </w:tc>
        <w:tc>
          <w:tcPr>
            <w:tcW w:w="603" w:type="pct"/>
            <w:tcBorders>
              <w:top w:val="nil"/>
              <w:left w:val="nil"/>
              <w:bottom w:val="nil"/>
              <w:right w:val="nil"/>
            </w:tcBorders>
            <w:shd w:val="clear" w:color="auto" w:fill="auto"/>
            <w:hideMark/>
          </w:tcPr>
          <w:p w14:paraId="7D4260E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0.474</w:t>
            </w:r>
          </w:p>
        </w:tc>
      </w:tr>
      <w:tr w:rsidR="0063232D" w:rsidRPr="00D97714" w14:paraId="370E2DED" w14:textId="77777777" w:rsidTr="0063232D">
        <w:trPr>
          <w:trHeight w:val="20"/>
        </w:trPr>
        <w:tc>
          <w:tcPr>
            <w:tcW w:w="1322" w:type="pct"/>
            <w:gridSpan w:val="2"/>
            <w:tcBorders>
              <w:top w:val="nil"/>
              <w:left w:val="single" w:sz="8" w:space="0" w:color="C1C1C1"/>
              <w:bottom w:val="nil"/>
              <w:right w:val="nil"/>
            </w:tcBorders>
            <w:shd w:val="clear" w:color="auto" w:fill="auto"/>
            <w:hideMark/>
          </w:tcPr>
          <w:p w14:paraId="330F9F43"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Institutional ownership volatility</w:t>
            </w:r>
          </w:p>
        </w:tc>
        <w:tc>
          <w:tcPr>
            <w:tcW w:w="682" w:type="pct"/>
            <w:gridSpan w:val="3"/>
            <w:tcBorders>
              <w:top w:val="nil"/>
              <w:left w:val="nil"/>
              <w:bottom w:val="nil"/>
              <w:right w:val="nil"/>
            </w:tcBorders>
            <w:shd w:val="clear" w:color="auto" w:fill="auto"/>
            <w:hideMark/>
          </w:tcPr>
          <w:p w14:paraId="795D996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0.004</w:t>
            </w:r>
          </w:p>
        </w:tc>
        <w:tc>
          <w:tcPr>
            <w:tcW w:w="600" w:type="pct"/>
            <w:gridSpan w:val="2"/>
            <w:tcBorders>
              <w:top w:val="nil"/>
              <w:left w:val="nil"/>
              <w:bottom w:val="nil"/>
              <w:right w:val="nil"/>
            </w:tcBorders>
            <w:shd w:val="clear" w:color="auto" w:fill="auto"/>
            <w:hideMark/>
          </w:tcPr>
          <w:p w14:paraId="16D2792E"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0.003</w:t>
            </w:r>
          </w:p>
        </w:tc>
        <w:tc>
          <w:tcPr>
            <w:tcW w:w="597" w:type="pct"/>
            <w:gridSpan w:val="3"/>
            <w:tcBorders>
              <w:top w:val="nil"/>
              <w:left w:val="nil"/>
              <w:bottom w:val="nil"/>
              <w:right w:val="nil"/>
            </w:tcBorders>
            <w:shd w:val="clear" w:color="auto" w:fill="auto"/>
            <w:hideMark/>
          </w:tcPr>
          <w:p w14:paraId="237FAA43"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0.005</w:t>
            </w:r>
          </w:p>
        </w:tc>
        <w:tc>
          <w:tcPr>
            <w:tcW w:w="599" w:type="pct"/>
            <w:gridSpan w:val="2"/>
            <w:tcBorders>
              <w:top w:val="nil"/>
              <w:left w:val="nil"/>
              <w:bottom w:val="nil"/>
              <w:right w:val="nil"/>
            </w:tcBorders>
            <w:shd w:val="clear" w:color="auto" w:fill="auto"/>
            <w:hideMark/>
          </w:tcPr>
          <w:p w14:paraId="73B389EE"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0.004</w:t>
            </w:r>
          </w:p>
        </w:tc>
        <w:tc>
          <w:tcPr>
            <w:tcW w:w="597" w:type="pct"/>
            <w:gridSpan w:val="3"/>
            <w:tcBorders>
              <w:top w:val="nil"/>
              <w:left w:val="nil"/>
              <w:bottom w:val="nil"/>
              <w:right w:val="nil"/>
            </w:tcBorders>
            <w:shd w:val="clear" w:color="auto" w:fill="auto"/>
            <w:hideMark/>
          </w:tcPr>
          <w:p w14:paraId="49BF5523"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0.004</w:t>
            </w:r>
          </w:p>
        </w:tc>
        <w:tc>
          <w:tcPr>
            <w:tcW w:w="603" w:type="pct"/>
            <w:tcBorders>
              <w:top w:val="nil"/>
              <w:left w:val="nil"/>
              <w:bottom w:val="nil"/>
              <w:right w:val="nil"/>
            </w:tcBorders>
            <w:shd w:val="clear" w:color="auto" w:fill="auto"/>
            <w:hideMark/>
          </w:tcPr>
          <w:p w14:paraId="4C320C49"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0.004</w:t>
            </w:r>
          </w:p>
        </w:tc>
      </w:tr>
      <w:tr w:rsidR="0063232D" w:rsidRPr="00D97714" w14:paraId="1B92053C" w14:textId="77777777" w:rsidTr="0063232D">
        <w:trPr>
          <w:trHeight w:val="20"/>
        </w:trPr>
        <w:tc>
          <w:tcPr>
            <w:tcW w:w="1322" w:type="pct"/>
            <w:gridSpan w:val="2"/>
            <w:tcBorders>
              <w:top w:val="nil"/>
              <w:left w:val="single" w:sz="8" w:space="0" w:color="C1C1C1"/>
              <w:bottom w:val="nil"/>
              <w:right w:val="nil"/>
            </w:tcBorders>
            <w:shd w:val="clear" w:color="auto" w:fill="auto"/>
            <w:hideMark/>
          </w:tcPr>
          <w:p w14:paraId="3604BC0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Market cap.</w:t>
            </w:r>
          </w:p>
        </w:tc>
        <w:tc>
          <w:tcPr>
            <w:tcW w:w="682" w:type="pct"/>
            <w:gridSpan w:val="3"/>
            <w:tcBorders>
              <w:top w:val="nil"/>
              <w:left w:val="nil"/>
              <w:bottom w:val="nil"/>
              <w:right w:val="nil"/>
            </w:tcBorders>
            <w:shd w:val="clear" w:color="auto" w:fill="auto"/>
            <w:hideMark/>
          </w:tcPr>
          <w:p w14:paraId="6EAE5E1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1,830.940</w:t>
            </w:r>
          </w:p>
        </w:tc>
        <w:tc>
          <w:tcPr>
            <w:tcW w:w="600" w:type="pct"/>
            <w:gridSpan w:val="2"/>
            <w:tcBorders>
              <w:top w:val="nil"/>
              <w:left w:val="nil"/>
              <w:bottom w:val="nil"/>
              <w:right w:val="nil"/>
            </w:tcBorders>
            <w:shd w:val="clear" w:color="auto" w:fill="auto"/>
            <w:hideMark/>
          </w:tcPr>
          <w:p w14:paraId="325B7FE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207.254</w:t>
            </w:r>
          </w:p>
        </w:tc>
        <w:tc>
          <w:tcPr>
            <w:tcW w:w="597" w:type="pct"/>
            <w:gridSpan w:val="3"/>
            <w:tcBorders>
              <w:top w:val="nil"/>
              <w:left w:val="nil"/>
              <w:bottom w:val="nil"/>
              <w:right w:val="nil"/>
            </w:tcBorders>
            <w:shd w:val="clear" w:color="auto" w:fill="auto"/>
            <w:hideMark/>
          </w:tcPr>
          <w:p w14:paraId="7B459C26" w14:textId="3036FA72" w:rsidR="0063232D" w:rsidRPr="00D97714" w:rsidRDefault="00561A95" w:rsidP="00632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7,330.04</w:t>
            </w:r>
          </w:p>
        </w:tc>
        <w:tc>
          <w:tcPr>
            <w:tcW w:w="599" w:type="pct"/>
            <w:gridSpan w:val="2"/>
            <w:tcBorders>
              <w:top w:val="nil"/>
              <w:left w:val="nil"/>
              <w:bottom w:val="nil"/>
              <w:right w:val="nil"/>
            </w:tcBorders>
            <w:shd w:val="clear" w:color="auto" w:fill="auto"/>
            <w:hideMark/>
          </w:tcPr>
          <w:p w14:paraId="38844D99"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225.096</w:t>
            </w:r>
          </w:p>
        </w:tc>
        <w:tc>
          <w:tcPr>
            <w:tcW w:w="597" w:type="pct"/>
            <w:gridSpan w:val="3"/>
            <w:tcBorders>
              <w:top w:val="nil"/>
              <w:left w:val="nil"/>
              <w:bottom w:val="nil"/>
              <w:right w:val="nil"/>
            </w:tcBorders>
            <w:shd w:val="clear" w:color="auto" w:fill="auto"/>
            <w:hideMark/>
          </w:tcPr>
          <w:p w14:paraId="46A1C0B8" w14:textId="5C9D1E43" w:rsidR="0063232D" w:rsidRPr="00D97714" w:rsidRDefault="00561A95" w:rsidP="0063232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2,112.11</w:t>
            </w:r>
          </w:p>
        </w:tc>
        <w:tc>
          <w:tcPr>
            <w:tcW w:w="603" w:type="pct"/>
            <w:tcBorders>
              <w:top w:val="nil"/>
              <w:left w:val="nil"/>
              <w:bottom w:val="nil"/>
              <w:right w:val="nil"/>
            </w:tcBorders>
            <w:shd w:val="clear" w:color="auto" w:fill="auto"/>
            <w:hideMark/>
          </w:tcPr>
          <w:p w14:paraId="466B406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178.983</w:t>
            </w:r>
          </w:p>
        </w:tc>
      </w:tr>
      <w:tr w:rsidR="0063232D" w:rsidRPr="00D97714" w14:paraId="6F8F1F28" w14:textId="77777777" w:rsidTr="0063232D">
        <w:trPr>
          <w:trHeight w:val="20"/>
        </w:trPr>
        <w:tc>
          <w:tcPr>
            <w:tcW w:w="1322" w:type="pct"/>
            <w:gridSpan w:val="2"/>
            <w:tcBorders>
              <w:top w:val="nil"/>
              <w:left w:val="single" w:sz="8" w:space="0" w:color="C1C1C1"/>
              <w:bottom w:val="nil"/>
              <w:right w:val="nil"/>
            </w:tcBorders>
            <w:shd w:val="clear" w:color="auto" w:fill="auto"/>
            <w:hideMark/>
          </w:tcPr>
          <w:p w14:paraId="4BDF9E8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Market-to-book ratio</w:t>
            </w:r>
          </w:p>
        </w:tc>
        <w:tc>
          <w:tcPr>
            <w:tcW w:w="682" w:type="pct"/>
            <w:gridSpan w:val="3"/>
            <w:tcBorders>
              <w:top w:val="nil"/>
              <w:left w:val="nil"/>
              <w:bottom w:val="nil"/>
              <w:right w:val="nil"/>
            </w:tcBorders>
            <w:shd w:val="clear" w:color="auto" w:fill="auto"/>
            <w:hideMark/>
          </w:tcPr>
          <w:p w14:paraId="5CD1385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1.563</w:t>
            </w:r>
          </w:p>
        </w:tc>
        <w:tc>
          <w:tcPr>
            <w:tcW w:w="600" w:type="pct"/>
            <w:gridSpan w:val="2"/>
            <w:tcBorders>
              <w:top w:val="nil"/>
              <w:left w:val="nil"/>
              <w:bottom w:val="nil"/>
              <w:right w:val="nil"/>
            </w:tcBorders>
            <w:shd w:val="clear" w:color="auto" w:fill="auto"/>
            <w:hideMark/>
          </w:tcPr>
          <w:p w14:paraId="616B749D"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1.659</w:t>
            </w:r>
          </w:p>
        </w:tc>
        <w:tc>
          <w:tcPr>
            <w:tcW w:w="597" w:type="pct"/>
            <w:gridSpan w:val="3"/>
            <w:tcBorders>
              <w:top w:val="nil"/>
              <w:left w:val="nil"/>
              <w:bottom w:val="nil"/>
              <w:right w:val="nil"/>
            </w:tcBorders>
            <w:shd w:val="clear" w:color="auto" w:fill="auto"/>
            <w:hideMark/>
          </w:tcPr>
          <w:p w14:paraId="7265936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2.749</w:t>
            </w:r>
          </w:p>
        </w:tc>
        <w:tc>
          <w:tcPr>
            <w:tcW w:w="599" w:type="pct"/>
            <w:gridSpan w:val="2"/>
            <w:tcBorders>
              <w:top w:val="nil"/>
              <w:left w:val="nil"/>
              <w:bottom w:val="nil"/>
              <w:right w:val="nil"/>
            </w:tcBorders>
            <w:shd w:val="clear" w:color="auto" w:fill="auto"/>
            <w:hideMark/>
          </w:tcPr>
          <w:p w14:paraId="3DD4FDF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2.506</w:t>
            </w:r>
          </w:p>
        </w:tc>
        <w:tc>
          <w:tcPr>
            <w:tcW w:w="597" w:type="pct"/>
            <w:gridSpan w:val="3"/>
            <w:tcBorders>
              <w:top w:val="nil"/>
              <w:left w:val="nil"/>
              <w:bottom w:val="nil"/>
              <w:right w:val="nil"/>
            </w:tcBorders>
            <w:shd w:val="clear" w:color="auto" w:fill="auto"/>
            <w:hideMark/>
          </w:tcPr>
          <w:p w14:paraId="2F1F7F8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2.586</w:t>
            </w:r>
          </w:p>
        </w:tc>
        <w:tc>
          <w:tcPr>
            <w:tcW w:w="603" w:type="pct"/>
            <w:tcBorders>
              <w:top w:val="nil"/>
              <w:left w:val="nil"/>
              <w:bottom w:val="nil"/>
              <w:right w:val="nil"/>
            </w:tcBorders>
            <w:shd w:val="clear" w:color="auto" w:fill="auto"/>
            <w:hideMark/>
          </w:tcPr>
          <w:p w14:paraId="666C9B4F"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2.015</w:t>
            </w:r>
          </w:p>
        </w:tc>
      </w:tr>
      <w:tr w:rsidR="0063232D" w:rsidRPr="00D97714" w14:paraId="74B2B8E5" w14:textId="77777777" w:rsidTr="0063232D">
        <w:trPr>
          <w:trHeight w:val="20"/>
        </w:trPr>
        <w:tc>
          <w:tcPr>
            <w:tcW w:w="1322" w:type="pct"/>
            <w:gridSpan w:val="2"/>
            <w:tcBorders>
              <w:top w:val="nil"/>
              <w:left w:val="single" w:sz="8" w:space="0" w:color="C1C1C1"/>
              <w:right w:val="nil"/>
            </w:tcBorders>
            <w:shd w:val="clear" w:color="auto" w:fill="auto"/>
          </w:tcPr>
          <w:p w14:paraId="60AB2C3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ROA</w:t>
            </w:r>
          </w:p>
        </w:tc>
        <w:tc>
          <w:tcPr>
            <w:tcW w:w="682" w:type="pct"/>
            <w:gridSpan w:val="3"/>
            <w:tcBorders>
              <w:top w:val="nil"/>
              <w:left w:val="nil"/>
              <w:right w:val="nil"/>
            </w:tcBorders>
            <w:shd w:val="clear" w:color="auto" w:fill="auto"/>
          </w:tcPr>
          <w:p w14:paraId="21CCA016"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-0.028</w:t>
            </w:r>
          </w:p>
        </w:tc>
        <w:tc>
          <w:tcPr>
            <w:tcW w:w="600" w:type="pct"/>
            <w:gridSpan w:val="2"/>
            <w:tcBorders>
              <w:top w:val="nil"/>
              <w:left w:val="nil"/>
              <w:right w:val="nil"/>
            </w:tcBorders>
            <w:shd w:val="clear" w:color="auto" w:fill="auto"/>
          </w:tcPr>
          <w:p w14:paraId="42263EDD"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0.011</w:t>
            </w:r>
          </w:p>
        </w:tc>
        <w:tc>
          <w:tcPr>
            <w:tcW w:w="597" w:type="pct"/>
            <w:gridSpan w:val="3"/>
            <w:tcBorders>
              <w:top w:val="nil"/>
              <w:left w:val="nil"/>
              <w:right w:val="nil"/>
            </w:tcBorders>
            <w:shd w:val="clear" w:color="auto" w:fill="auto"/>
          </w:tcPr>
          <w:p w14:paraId="50467A1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-0.078</w:t>
            </w:r>
          </w:p>
        </w:tc>
        <w:tc>
          <w:tcPr>
            <w:tcW w:w="599" w:type="pct"/>
            <w:gridSpan w:val="2"/>
            <w:tcBorders>
              <w:top w:val="nil"/>
              <w:left w:val="nil"/>
              <w:right w:val="nil"/>
            </w:tcBorders>
            <w:shd w:val="clear" w:color="auto" w:fill="auto"/>
          </w:tcPr>
          <w:p w14:paraId="3AC62A4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-0.036</w:t>
            </w:r>
          </w:p>
        </w:tc>
        <w:tc>
          <w:tcPr>
            <w:tcW w:w="597" w:type="pct"/>
            <w:gridSpan w:val="3"/>
            <w:tcBorders>
              <w:top w:val="nil"/>
              <w:left w:val="nil"/>
              <w:right w:val="nil"/>
            </w:tcBorders>
            <w:shd w:val="clear" w:color="auto" w:fill="auto"/>
          </w:tcPr>
          <w:p w14:paraId="5F50DDE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-0.041</w:t>
            </w:r>
          </w:p>
        </w:tc>
        <w:tc>
          <w:tcPr>
            <w:tcW w:w="603" w:type="pct"/>
            <w:tcBorders>
              <w:top w:val="nil"/>
              <w:left w:val="nil"/>
              <w:right w:val="nil"/>
            </w:tcBorders>
            <w:shd w:val="clear" w:color="auto" w:fill="auto"/>
          </w:tcPr>
          <w:p w14:paraId="3C5DC74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-0.042</w:t>
            </w:r>
          </w:p>
        </w:tc>
      </w:tr>
      <w:tr w:rsidR="0063232D" w:rsidRPr="00D97714" w14:paraId="0DE120C4" w14:textId="77777777" w:rsidTr="0063232D">
        <w:trPr>
          <w:trHeight w:val="20"/>
        </w:trPr>
        <w:tc>
          <w:tcPr>
            <w:tcW w:w="1322" w:type="pct"/>
            <w:gridSpan w:val="2"/>
            <w:tcBorders>
              <w:top w:val="nil"/>
              <w:right w:val="nil"/>
            </w:tcBorders>
            <w:shd w:val="clear" w:color="auto" w:fill="auto"/>
          </w:tcPr>
          <w:p w14:paraId="076C1BB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EBIT/asset</w:t>
            </w:r>
          </w:p>
        </w:tc>
        <w:tc>
          <w:tcPr>
            <w:tcW w:w="682" w:type="pct"/>
            <w:gridSpan w:val="3"/>
            <w:tcBorders>
              <w:top w:val="nil"/>
              <w:left w:val="nil"/>
              <w:right w:val="nil"/>
            </w:tcBorders>
            <w:shd w:val="clear" w:color="auto" w:fill="auto"/>
            <w:vAlign w:val="bottom"/>
          </w:tcPr>
          <w:p w14:paraId="596ED10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0.008</w:t>
            </w:r>
          </w:p>
        </w:tc>
        <w:tc>
          <w:tcPr>
            <w:tcW w:w="600" w:type="pct"/>
            <w:gridSpan w:val="2"/>
            <w:tcBorders>
              <w:top w:val="nil"/>
              <w:left w:val="nil"/>
              <w:right w:val="nil"/>
            </w:tcBorders>
            <w:shd w:val="clear" w:color="auto" w:fill="auto"/>
            <w:vAlign w:val="bottom"/>
          </w:tcPr>
          <w:p w14:paraId="0B55EC3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0.030</w:t>
            </w:r>
          </w:p>
        </w:tc>
        <w:tc>
          <w:tcPr>
            <w:tcW w:w="597" w:type="pct"/>
            <w:gridSpan w:val="3"/>
            <w:tcBorders>
              <w:top w:val="nil"/>
              <w:left w:val="nil"/>
              <w:right w:val="nil"/>
            </w:tcBorders>
            <w:shd w:val="clear" w:color="auto" w:fill="auto"/>
            <w:vAlign w:val="bottom"/>
          </w:tcPr>
          <w:p w14:paraId="7A529D7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-0.011</w:t>
            </w:r>
          </w:p>
        </w:tc>
        <w:tc>
          <w:tcPr>
            <w:tcW w:w="599" w:type="pct"/>
            <w:gridSpan w:val="2"/>
            <w:tcBorders>
              <w:top w:val="nil"/>
              <w:left w:val="nil"/>
              <w:right w:val="nil"/>
            </w:tcBorders>
            <w:shd w:val="clear" w:color="auto" w:fill="auto"/>
            <w:vAlign w:val="bottom"/>
          </w:tcPr>
          <w:p w14:paraId="4E6FC8A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0.003</w:t>
            </w:r>
          </w:p>
        </w:tc>
        <w:tc>
          <w:tcPr>
            <w:tcW w:w="597" w:type="pct"/>
            <w:gridSpan w:val="3"/>
            <w:tcBorders>
              <w:top w:val="nil"/>
              <w:left w:val="nil"/>
              <w:right w:val="nil"/>
            </w:tcBorders>
            <w:shd w:val="clear" w:color="auto" w:fill="auto"/>
            <w:vAlign w:val="bottom"/>
          </w:tcPr>
          <w:p w14:paraId="31709FA2"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0.004</w:t>
            </w:r>
          </w:p>
        </w:tc>
        <w:tc>
          <w:tcPr>
            <w:tcW w:w="603" w:type="pct"/>
            <w:tcBorders>
              <w:top w:val="nil"/>
              <w:left w:val="nil"/>
              <w:right w:val="nil"/>
            </w:tcBorders>
            <w:shd w:val="clear" w:color="auto" w:fill="auto"/>
            <w:vAlign w:val="bottom"/>
          </w:tcPr>
          <w:p w14:paraId="48A8C6D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-0.007</w:t>
            </w:r>
          </w:p>
        </w:tc>
      </w:tr>
      <w:tr w:rsidR="0063232D" w:rsidRPr="00D97714" w14:paraId="78931711" w14:textId="77777777" w:rsidTr="0063232D">
        <w:trPr>
          <w:trHeight w:val="20"/>
        </w:trPr>
        <w:tc>
          <w:tcPr>
            <w:tcW w:w="1322" w:type="pct"/>
            <w:gridSpan w:val="2"/>
            <w:tcBorders>
              <w:top w:val="nil"/>
              <w:right w:val="nil"/>
            </w:tcBorders>
            <w:shd w:val="clear" w:color="auto" w:fill="auto"/>
          </w:tcPr>
          <w:p w14:paraId="10B2BFF2"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Operating earnings per share</w:t>
            </w:r>
          </w:p>
        </w:tc>
        <w:tc>
          <w:tcPr>
            <w:tcW w:w="682" w:type="pct"/>
            <w:gridSpan w:val="3"/>
            <w:tcBorders>
              <w:top w:val="nil"/>
              <w:left w:val="nil"/>
              <w:right w:val="nil"/>
            </w:tcBorders>
            <w:shd w:val="clear" w:color="auto" w:fill="auto"/>
            <w:vAlign w:val="bottom"/>
          </w:tcPr>
          <w:p w14:paraId="347A57FE"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0.327</w:t>
            </w:r>
          </w:p>
        </w:tc>
        <w:tc>
          <w:tcPr>
            <w:tcW w:w="600" w:type="pct"/>
            <w:gridSpan w:val="2"/>
            <w:tcBorders>
              <w:top w:val="nil"/>
              <w:left w:val="nil"/>
              <w:right w:val="nil"/>
            </w:tcBorders>
            <w:shd w:val="clear" w:color="auto" w:fill="auto"/>
            <w:vAlign w:val="bottom"/>
          </w:tcPr>
          <w:p w14:paraId="548E8423"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0.210</w:t>
            </w:r>
          </w:p>
        </w:tc>
        <w:tc>
          <w:tcPr>
            <w:tcW w:w="597" w:type="pct"/>
            <w:gridSpan w:val="3"/>
            <w:tcBorders>
              <w:top w:val="nil"/>
              <w:left w:val="nil"/>
              <w:right w:val="nil"/>
            </w:tcBorders>
            <w:shd w:val="clear" w:color="auto" w:fill="auto"/>
            <w:vAlign w:val="bottom"/>
          </w:tcPr>
          <w:p w14:paraId="7A701CE3"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0.621</w:t>
            </w:r>
          </w:p>
        </w:tc>
        <w:tc>
          <w:tcPr>
            <w:tcW w:w="599" w:type="pct"/>
            <w:gridSpan w:val="2"/>
            <w:tcBorders>
              <w:top w:val="nil"/>
              <w:left w:val="nil"/>
              <w:right w:val="nil"/>
            </w:tcBorders>
            <w:shd w:val="clear" w:color="auto" w:fill="auto"/>
            <w:vAlign w:val="bottom"/>
          </w:tcPr>
          <w:p w14:paraId="3A11191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0.404</w:t>
            </w:r>
          </w:p>
        </w:tc>
        <w:tc>
          <w:tcPr>
            <w:tcW w:w="597" w:type="pct"/>
            <w:gridSpan w:val="3"/>
            <w:tcBorders>
              <w:top w:val="nil"/>
              <w:left w:val="nil"/>
              <w:right w:val="nil"/>
            </w:tcBorders>
            <w:shd w:val="clear" w:color="auto" w:fill="auto"/>
            <w:vAlign w:val="bottom"/>
          </w:tcPr>
          <w:p w14:paraId="3CFB6A8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0.575</w:t>
            </w:r>
          </w:p>
        </w:tc>
        <w:tc>
          <w:tcPr>
            <w:tcW w:w="603" w:type="pct"/>
            <w:tcBorders>
              <w:top w:val="nil"/>
              <w:left w:val="nil"/>
              <w:right w:val="nil"/>
            </w:tcBorders>
            <w:shd w:val="clear" w:color="auto" w:fill="auto"/>
            <w:vAlign w:val="bottom"/>
          </w:tcPr>
          <w:p w14:paraId="1432B69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0.307</w:t>
            </w:r>
          </w:p>
        </w:tc>
      </w:tr>
      <w:tr w:rsidR="0063232D" w:rsidRPr="00D97714" w14:paraId="4BCD0E20" w14:textId="77777777" w:rsidTr="0063232D">
        <w:trPr>
          <w:trHeight w:val="20"/>
        </w:trPr>
        <w:tc>
          <w:tcPr>
            <w:tcW w:w="1322" w:type="pct"/>
            <w:gridSpan w:val="2"/>
            <w:tcBorders>
              <w:top w:val="nil"/>
              <w:bottom w:val="nil"/>
              <w:right w:val="nil"/>
            </w:tcBorders>
            <w:shd w:val="clear" w:color="auto" w:fill="auto"/>
            <w:hideMark/>
          </w:tcPr>
          <w:p w14:paraId="3DE8D612"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Operating expense/asset</w:t>
            </w:r>
          </w:p>
        </w:tc>
        <w:tc>
          <w:tcPr>
            <w:tcW w:w="682" w:type="pct"/>
            <w:gridSpan w:val="3"/>
            <w:tcBorders>
              <w:top w:val="nil"/>
              <w:left w:val="nil"/>
              <w:bottom w:val="nil"/>
              <w:right w:val="nil"/>
            </w:tcBorders>
            <w:shd w:val="clear" w:color="auto" w:fill="auto"/>
            <w:hideMark/>
          </w:tcPr>
          <w:p w14:paraId="286943C9"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0.832</w:t>
            </w:r>
          </w:p>
        </w:tc>
        <w:tc>
          <w:tcPr>
            <w:tcW w:w="600" w:type="pct"/>
            <w:gridSpan w:val="2"/>
            <w:tcBorders>
              <w:top w:val="nil"/>
              <w:left w:val="nil"/>
              <w:bottom w:val="nil"/>
              <w:right w:val="nil"/>
            </w:tcBorders>
            <w:shd w:val="clear" w:color="auto" w:fill="auto"/>
            <w:hideMark/>
          </w:tcPr>
          <w:p w14:paraId="695A484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0.710</w:t>
            </w:r>
          </w:p>
        </w:tc>
        <w:tc>
          <w:tcPr>
            <w:tcW w:w="597" w:type="pct"/>
            <w:gridSpan w:val="3"/>
            <w:tcBorders>
              <w:top w:val="nil"/>
              <w:left w:val="nil"/>
              <w:bottom w:val="nil"/>
              <w:right w:val="nil"/>
            </w:tcBorders>
            <w:shd w:val="clear" w:color="auto" w:fill="auto"/>
            <w:hideMark/>
          </w:tcPr>
          <w:p w14:paraId="479429A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1.093</w:t>
            </w:r>
          </w:p>
        </w:tc>
        <w:tc>
          <w:tcPr>
            <w:tcW w:w="599" w:type="pct"/>
            <w:gridSpan w:val="2"/>
            <w:tcBorders>
              <w:top w:val="nil"/>
              <w:left w:val="nil"/>
              <w:bottom w:val="nil"/>
              <w:right w:val="nil"/>
            </w:tcBorders>
            <w:shd w:val="clear" w:color="auto" w:fill="auto"/>
            <w:hideMark/>
          </w:tcPr>
          <w:p w14:paraId="1A0EE5A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1.015</w:t>
            </w:r>
          </w:p>
        </w:tc>
        <w:tc>
          <w:tcPr>
            <w:tcW w:w="597" w:type="pct"/>
            <w:gridSpan w:val="3"/>
            <w:tcBorders>
              <w:top w:val="nil"/>
              <w:left w:val="nil"/>
              <w:bottom w:val="nil"/>
              <w:right w:val="nil"/>
            </w:tcBorders>
            <w:shd w:val="clear" w:color="auto" w:fill="auto"/>
            <w:hideMark/>
          </w:tcPr>
          <w:p w14:paraId="488D066B"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0.864</w:t>
            </w:r>
          </w:p>
        </w:tc>
        <w:tc>
          <w:tcPr>
            <w:tcW w:w="603" w:type="pct"/>
            <w:tcBorders>
              <w:top w:val="nil"/>
              <w:left w:val="nil"/>
              <w:bottom w:val="nil"/>
              <w:right w:val="nil"/>
            </w:tcBorders>
            <w:shd w:val="clear" w:color="auto" w:fill="auto"/>
            <w:hideMark/>
          </w:tcPr>
          <w:p w14:paraId="653C0D09"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0.876</w:t>
            </w:r>
          </w:p>
        </w:tc>
      </w:tr>
      <w:tr w:rsidR="0063232D" w:rsidRPr="00D97714" w14:paraId="2F9E6A40" w14:textId="77777777" w:rsidTr="0063232D">
        <w:trPr>
          <w:trHeight w:val="20"/>
        </w:trPr>
        <w:tc>
          <w:tcPr>
            <w:tcW w:w="1322" w:type="pct"/>
            <w:gridSpan w:val="2"/>
            <w:tcBorders>
              <w:top w:val="nil"/>
              <w:bottom w:val="nil"/>
              <w:right w:val="nil"/>
            </w:tcBorders>
            <w:shd w:val="clear" w:color="auto" w:fill="auto"/>
            <w:hideMark/>
          </w:tcPr>
          <w:p w14:paraId="14A3C522"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Capital expenditure/asset</w:t>
            </w:r>
          </w:p>
        </w:tc>
        <w:tc>
          <w:tcPr>
            <w:tcW w:w="682" w:type="pct"/>
            <w:gridSpan w:val="3"/>
            <w:tcBorders>
              <w:top w:val="nil"/>
              <w:left w:val="nil"/>
              <w:bottom w:val="nil"/>
              <w:right w:val="nil"/>
            </w:tcBorders>
            <w:shd w:val="clear" w:color="auto" w:fill="auto"/>
            <w:hideMark/>
          </w:tcPr>
          <w:p w14:paraId="69CE653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0.048</w:t>
            </w:r>
          </w:p>
        </w:tc>
        <w:tc>
          <w:tcPr>
            <w:tcW w:w="600" w:type="pct"/>
            <w:gridSpan w:val="2"/>
            <w:tcBorders>
              <w:top w:val="nil"/>
              <w:left w:val="nil"/>
              <w:bottom w:val="nil"/>
              <w:right w:val="nil"/>
            </w:tcBorders>
            <w:shd w:val="clear" w:color="auto" w:fill="auto"/>
            <w:hideMark/>
          </w:tcPr>
          <w:p w14:paraId="2E0DF43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0.029</w:t>
            </w:r>
          </w:p>
        </w:tc>
        <w:tc>
          <w:tcPr>
            <w:tcW w:w="597" w:type="pct"/>
            <w:gridSpan w:val="3"/>
            <w:tcBorders>
              <w:top w:val="nil"/>
              <w:left w:val="nil"/>
              <w:bottom w:val="nil"/>
              <w:right w:val="nil"/>
            </w:tcBorders>
            <w:shd w:val="clear" w:color="auto" w:fill="auto"/>
            <w:hideMark/>
          </w:tcPr>
          <w:p w14:paraId="685E471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0.055</w:t>
            </w:r>
          </w:p>
        </w:tc>
        <w:tc>
          <w:tcPr>
            <w:tcW w:w="599" w:type="pct"/>
            <w:gridSpan w:val="2"/>
            <w:tcBorders>
              <w:top w:val="nil"/>
              <w:left w:val="nil"/>
              <w:bottom w:val="nil"/>
              <w:right w:val="nil"/>
            </w:tcBorders>
            <w:shd w:val="clear" w:color="auto" w:fill="auto"/>
            <w:hideMark/>
          </w:tcPr>
          <w:p w14:paraId="03D9C27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0.047</w:t>
            </w:r>
          </w:p>
        </w:tc>
        <w:tc>
          <w:tcPr>
            <w:tcW w:w="597" w:type="pct"/>
            <w:gridSpan w:val="3"/>
            <w:tcBorders>
              <w:top w:val="nil"/>
              <w:left w:val="nil"/>
              <w:bottom w:val="nil"/>
              <w:right w:val="nil"/>
            </w:tcBorders>
            <w:shd w:val="clear" w:color="auto" w:fill="auto"/>
            <w:hideMark/>
          </w:tcPr>
          <w:p w14:paraId="54059D1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0.041</w:t>
            </w:r>
          </w:p>
        </w:tc>
        <w:tc>
          <w:tcPr>
            <w:tcW w:w="603" w:type="pct"/>
            <w:tcBorders>
              <w:top w:val="nil"/>
              <w:left w:val="nil"/>
              <w:bottom w:val="nil"/>
              <w:right w:val="nil"/>
            </w:tcBorders>
            <w:shd w:val="clear" w:color="auto" w:fill="auto"/>
            <w:hideMark/>
          </w:tcPr>
          <w:p w14:paraId="7668DACA"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0.042</w:t>
            </w:r>
          </w:p>
        </w:tc>
      </w:tr>
      <w:tr w:rsidR="0063232D" w:rsidRPr="00D97714" w14:paraId="1B7ED890" w14:textId="77777777" w:rsidTr="0063232D">
        <w:trPr>
          <w:trHeight w:val="20"/>
        </w:trPr>
        <w:tc>
          <w:tcPr>
            <w:tcW w:w="1322" w:type="pct"/>
            <w:gridSpan w:val="2"/>
            <w:tcBorders>
              <w:top w:val="nil"/>
              <w:bottom w:val="nil"/>
              <w:right w:val="nil"/>
            </w:tcBorders>
            <w:shd w:val="clear" w:color="auto" w:fill="auto"/>
            <w:hideMark/>
          </w:tcPr>
          <w:p w14:paraId="6B5EDE42"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Cash/asset</w:t>
            </w:r>
          </w:p>
        </w:tc>
        <w:tc>
          <w:tcPr>
            <w:tcW w:w="682" w:type="pct"/>
            <w:gridSpan w:val="3"/>
            <w:tcBorders>
              <w:top w:val="nil"/>
              <w:left w:val="nil"/>
              <w:bottom w:val="nil"/>
              <w:right w:val="nil"/>
            </w:tcBorders>
            <w:shd w:val="clear" w:color="auto" w:fill="auto"/>
            <w:hideMark/>
          </w:tcPr>
          <w:p w14:paraId="31816EFB"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0.205</w:t>
            </w:r>
          </w:p>
        </w:tc>
        <w:tc>
          <w:tcPr>
            <w:tcW w:w="600" w:type="pct"/>
            <w:gridSpan w:val="2"/>
            <w:tcBorders>
              <w:top w:val="nil"/>
              <w:left w:val="nil"/>
              <w:bottom w:val="nil"/>
              <w:right w:val="nil"/>
            </w:tcBorders>
            <w:shd w:val="clear" w:color="auto" w:fill="auto"/>
            <w:hideMark/>
          </w:tcPr>
          <w:p w14:paraId="4D8B675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0.101</w:t>
            </w:r>
          </w:p>
        </w:tc>
        <w:tc>
          <w:tcPr>
            <w:tcW w:w="597" w:type="pct"/>
            <w:gridSpan w:val="3"/>
            <w:tcBorders>
              <w:top w:val="nil"/>
              <w:left w:val="nil"/>
              <w:bottom w:val="nil"/>
              <w:right w:val="nil"/>
            </w:tcBorders>
            <w:shd w:val="clear" w:color="auto" w:fill="auto"/>
            <w:hideMark/>
          </w:tcPr>
          <w:p w14:paraId="7807DAAD"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0.248</w:t>
            </w:r>
          </w:p>
        </w:tc>
        <w:tc>
          <w:tcPr>
            <w:tcW w:w="599" w:type="pct"/>
            <w:gridSpan w:val="2"/>
            <w:tcBorders>
              <w:top w:val="nil"/>
              <w:left w:val="nil"/>
              <w:bottom w:val="nil"/>
              <w:right w:val="nil"/>
            </w:tcBorders>
            <w:shd w:val="clear" w:color="auto" w:fill="auto"/>
            <w:hideMark/>
          </w:tcPr>
          <w:p w14:paraId="605D24E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0.228</w:t>
            </w:r>
          </w:p>
        </w:tc>
        <w:tc>
          <w:tcPr>
            <w:tcW w:w="597" w:type="pct"/>
            <w:gridSpan w:val="3"/>
            <w:tcBorders>
              <w:top w:val="nil"/>
              <w:left w:val="nil"/>
              <w:bottom w:val="nil"/>
              <w:right w:val="nil"/>
            </w:tcBorders>
            <w:shd w:val="clear" w:color="auto" w:fill="auto"/>
            <w:hideMark/>
          </w:tcPr>
          <w:p w14:paraId="705D3D6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0.190</w:t>
            </w:r>
          </w:p>
        </w:tc>
        <w:tc>
          <w:tcPr>
            <w:tcW w:w="603" w:type="pct"/>
            <w:tcBorders>
              <w:top w:val="nil"/>
              <w:left w:val="nil"/>
              <w:bottom w:val="nil"/>
              <w:right w:val="nil"/>
            </w:tcBorders>
            <w:shd w:val="clear" w:color="auto" w:fill="auto"/>
            <w:hideMark/>
          </w:tcPr>
          <w:p w14:paraId="4408AA6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0.190</w:t>
            </w:r>
          </w:p>
        </w:tc>
      </w:tr>
      <w:tr w:rsidR="0063232D" w:rsidRPr="00D97714" w14:paraId="0B143143" w14:textId="77777777" w:rsidTr="0063232D">
        <w:trPr>
          <w:trHeight w:val="20"/>
        </w:trPr>
        <w:tc>
          <w:tcPr>
            <w:tcW w:w="1322" w:type="pct"/>
            <w:gridSpan w:val="2"/>
            <w:tcBorders>
              <w:top w:val="nil"/>
              <w:right w:val="nil"/>
            </w:tcBorders>
            <w:shd w:val="clear" w:color="auto" w:fill="auto"/>
            <w:hideMark/>
          </w:tcPr>
          <w:p w14:paraId="6C46D24B"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Debt/asset</w:t>
            </w:r>
          </w:p>
        </w:tc>
        <w:tc>
          <w:tcPr>
            <w:tcW w:w="682" w:type="pct"/>
            <w:gridSpan w:val="3"/>
            <w:tcBorders>
              <w:top w:val="nil"/>
              <w:left w:val="nil"/>
              <w:right w:val="nil"/>
            </w:tcBorders>
            <w:shd w:val="clear" w:color="auto" w:fill="auto"/>
            <w:hideMark/>
          </w:tcPr>
          <w:p w14:paraId="73FE7A1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0.525</w:t>
            </w:r>
          </w:p>
        </w:tc>
        <w:tc>
          <w:tcPr>
            <w:tcW w:w="600" w:type="pct"/>
            <w:gridSpan w:val="2"/>
            <w:tcBorders>
              <w:top w:val="nil"/>
              <w:left w:val="nil"/>
              <w:right w:val="nil"/>
            </w:tcBorders>
            <w:shd w:val="clear" w:color="auto" w:fill="auto"/>
            <w:hideMark/>
          </w:tcPr>
          <w:p w14:paraId="049F6F8C"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0.496</w:t>
            </w:r>
          </w:p>
        </w:tc>
        <w:tc>
          <w:tcPr>
            <w:tcW w:w="597" w:type="pct"/>
            <w:gridSpan w:val="3"/>
            <w:tcBorders>
              <w:top w:val="nil"/>
              <w:left w:val="nil"/>
              <w:right w:val="nil"/>
            </w:tcBorders>
            <w:shd w:val="clear" w:color="auto" w:fill="auto"/>
            <w:hideMark/>
          </w:tcPr>
          <w:p w14:paraId="73870C92"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0.661</w:t>
            </w:r>
          </w:p>
        </w:tc>
        <w:tc>
          <w:tcPr>
            <w:tcW w:w="599" w:type="pct"/>
            <w:gridSpan w:val="2"/>
            <w:tcBorders>
              <w:top w:val="nil"/>
              <w:left w:val="nil"/>
              <w:right w:val="nil"/>
            </w:tcBorders>
            <w:shd w:val="clear" w:color="auto" w:fill="auto"/>
            <w:hideMark/>
          </w:tcPr>
          <w:p w14:paraId="1EFA3E84"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0.630</w:t>
            </w:r>
          </w:p>
        </w:tc>
        <w:tc>
          <w:tcPr>
            <w:tcW w:w="597" w:type="pct"/>
            <w:gridSpan w:val="3"/>
            <w:tcBorders>
              <w:top w:val="nil"/>
              <w:left w:val="nil"/>
              <w:right w:val="nil"/>
            </w:tcBorders>
            <w:shd w:val="clear" w:color="auto" w:fill="auto"/>
            <w:hideMark/>
          </w:tcPr>
          <w:p w14:paraId="013D2300"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0.513</w:t>
            </w:r>
          </w:p>
        </w:tc>
        <w:tc>
          <w:tcPr>
            <w:tcW w:w="603" w:type="pct"/>
            <w:tcBorders>
              <w:top w:val="nil"/>
              <w:left w:val="nil"/>
              <w:right w:val="nil"/>
            </w:tcBorders>
            <w:shd w:val="clear" w:color="auto" w:fill="auto"/>
            <w:hideMark/>
          </w:tcPr>
          <w:p w14:paraId="217470B2"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0.506</w:t>
            </w:r>
          </w:p>
        </w:tc>
      </w:tr>
      <w:tr w:rsidR="0063232D" w:rsidRPr="00D97714" w14:paraId="216988F5" w14:textId="77777777" w:rsidTr="0063232D">
        <w:trPr>
          <w:trHeight w:val="20"/>
        </w:trPr>
        <w:tc>
          <w:tcPr>
            <w:tcW w:w="1322" w:type="pct"/>
            <w:gridSpan w:val="2"/>
            <w:tcBorders>
              <w:top w:val="nil"/>
              <w:bottom w:val="single" w:sz="4" w:space="0" w:color="auto"/>
              <w:right w:val="nil"/>
            </w:tcBorders>
            <w:shd w:val="clear" w:color="auto" w:fill="auto"/>
            <w:hideMark/>
          </w:tcPr>
          <w:p w14:paraId="20B29917"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Dividend per share</w:t>
            </w:r>
          </w:p>
        </w:tc>
        <w:tc>
          <w:tcPr>
            <w:tcW w:w="682" w:type="pct"/>
            <w:gridSpan w:val="3"/>
            <w:tcBorders>
              <w:top w:val="nil"/>
              <w:left w:val="nil"/>
              <w:bottom w:val="single" w:sz="4" w:space="0" w:color="auto"/>
              <w:right w:val="nil"/>
            </w:tcBorders>
            <w:shd w:val="clear" w:color="auto" w:fill="auto"/>
            <w:hideMark/>
          </w:tcPr>
          <w:p w14:paraId="7EA7DCF5"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0.209</w:t>
            </w:r>
          </w:p>
        </w:tc>
        <w:tc>
          <w:tcPr>
            <w:tcW w:w="600" w:type="pct"/>
            <w:gridSpan w:val="2"/>
            <w:tcBorders>
              <w:top w:val="nil"/>
              <w:left w:val="nil"/>
              <w:bottom w:val="single" w:sz="4" w:space="0" w:color="auto"/>
              <w:right w:val="nil"/>
            </w:tcBorders>
            <w:shd w:val="clear" w:color="auto" w:fill="auto"/>
            <w:hideMark/>
          </w:tcPr>
          <w:p w14:paraId="08D4A426"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0.000</w:t>
            </w:r>
          </w:p>
        </w:tc>
        <w:tc>
          <w:tcPr>
            <w:tcW w:w="597" w:type="pct"/>
            <w:gridSpan w:val="3"/>
            <w:tcBorders>
              <w:top w:val="nil"/>
              <w:left w:val="nil"/>
              <w:bottom w:val="single" w:sz="4" w:space="0" w:color="auto"/>
              <w:right w:val="nil"/>
            </w:tcBorders>
            <w:shd w:val="clear" w:color="auto" w:fill="auto"/>
            <w:noWrap/>
            <w:hideMark/>
          </w:tcPr>
          <w:p w14:paraId="60A9E858"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0.362</w:t>
            </w:r>
          </w:p>
        </w:tc>
        <w:tc>
          <w:tcPr>
            <w:tcW w:w="599" w:type="pct"/>
            <w:gridSpan w:val="2"/>
            <w:tcBorders>
              <w:top w:val="nil"/>
              <w:left w:val="nil"/>
              <w:bottom w:val="single" w:sz="4" w:space="0" w:color="auto"/>
              <w:right w:val="nil"/>
            </w:tcBorders>
            <w:shd w:val="clear" w:color="auto" w:fill="auto"/>
            <w:hideMark/>
          </w:tcPr>
          <w:p w14:paraId="71436E0E"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0.265</w:t>
            </w:r>
          </w:p>
        </w:tc>
        <w:tc>
          <w:tcPr>
            <w:tcW w:w="597" w:type="pct"/>
            <w:gridSpan w:val="3"/>
            <w:tcBorders>
              <w:top w:val="nil"/>
              <w:left w:val="nil"/>
              <w:bottom w:val="single" w:sz="4" w:space="0" w:color="auto"/>
              <w:right w:val="nil"/>
            </w:tcBorders>
            <w:shd w:val="clear" w:color="auto" w:fill="auto"/>
            <w:noWrap/>
            <w:hideMark/>
          </w:tcPr>
          <w:p w14:paraId="42E1F31E"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0.286</w:t>
            </w:r>
          </w:p>
        </w:tc>
        <w:tc>
          <w:tcPr>
            <w:tcW w:w="603" w:type="pct"/>
            <w:tcBorders>
              <w:top w:val="nil"/>
              <w:left w:val="nil"/>
              <w:bottom w:val="single" w:sz="4" w:space="0" w:color="auto"/>
              <w:right w:val="nil"/>
            </w:tcBorders>
            <w:shd w:val="clear" w:color="auto" w:fill="auto"/>
            <w:hideMark/>
          </w:tcPr>
          <w:p w14:paraId="71388C41" w14:textId="77777777" w:rsidR="0063232D" w:rsidRPr="00D97714" w:rsidRDefault="0063232D"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0.211</w:t>
            </w:r>
          </w:p>
        </w:tc>
      </w:tr>
    </w:tbl>
    <w:p w14:paraId="0725DAD8" w14:textId="29EF5746" w:rsidR="0033739C" w:rsidRPr="00D97714" w:rsidRDefault="0033739C" w:rsidP="0033739C">
      <w:pPr>
        <w:rPr>
          <w:rFonts w:ascii="Times New Roman" w:hAnsi="Times New Roman" w:cs="Times New Roman"/>
          <w:sz w:val="24"/>
          <w:szCs w:val="24"/>
        </w:rPr>
      </w:pPr>
      <w:r w:rsidRPr="00D97714">
        <w:rPr>
          <w:rFonts w:ascii="Times New Roman" w:hAnsi="Times New Roman" w:cs="Times New Roman"/>
          <w:sz w:val="24"/>
          <w:szCs w:val="24"/>
        </w:rPr>
        <w:t>We report the sample distribution by year, by activist demands and by campaign status in Panel A</w:t>
      </w:r>
      <w:r w:rsidR="00E76116" w:rsidRPr="00D97714">
        <w:rPr>
          <w:rFonts w:ascii="Times New Roman" w:hAnsi="Times New Roman" w:cs="Times New Roman"/>
          <w:sz w:val="24"/>
          <w:szCs w:val="24"/>
        </w:rPr>
        <w:t>. We report</w:t>
      </w:r>
      <w:r w:rsidRPr="00D97714">
        <w:rPr>
          <w:rFonts w:ascii="Times New Roman" w:hAnsi="Times New Roman" w:cs="Times New Roman"/>
          <w:sz w:val="24"/>
          <w:szCs w:val="24"/>
        </w:rPr>
        <w:t xml:space="preserve"> sample descriptive statistics in Panel B. The value-weighted (based upon market capitalization in the preceding year) and equally-weighted portfolios of matching firms </w:t>
      </w:r>
      <w:r w:rsidR="000C63D1" w:rsidRPr="00D97714">
        <w:rPr>
          <w:rFonts w:ascii="Times New Roman" w:hAnsi="Times New Roman" w:cs="Times New Roman"/>
          <w:sz w:val="24"/>
          <w:szCs w:val="24"/>
        </w:rPr>
        <w:t xml:space="preserve">include </w:t>
      </w:r>
      <w:r w:rsidRPr="00D97714">
        <w:rPr>
          <w:rFonts w:ascii="Times New Roman" w:hAnsi="Times New Roman" w:cs="Times New Roman"/>
          <w:sz w:val="24"/>
          <w:szCs w:val="24"/>
        </w:rPr>
        <w:t>firms in the same quartiles of institutional ownership and of market capitalization as target firm</w:t>
      </w:r>
      <w:r w:rsidR="000C63D1" w:rsidRPr="00D97714">
        <w:rPr>
          <w:rFonts w:ascii="Times New Roman" w:hAnsi="Times New Roman" w:cs="Times New Roman"/>
          <w:sz w:val="24"/>
          <w:szCs w:val="24"/>
        </w:rPr>
        <w:t>s</w:t>
      </w:r>
      <w:r w:rsidRPr="00D97714">
        <w:rPr>
          <w:rFonts w:ascii="Times New Roman" w:hAnsi="Times New Roman" w:cs="Times New Roman"/>
          <w:sz w:val="24"/>
          <w:szCs w:val="24"/>
        </w:rPr>
        <w:t xml:space="preserve">. Institutional ownership is the average of total institutional ownership in a firm in the preceding 5 years. Institutional ownership volatility is the average of the standard deviation of the ownership across institutional owners of a firm in the past 5 years. Other firm characteristics reported in Panel B are obtained from Compustat in the year preceding the activism events. </w:t>
      </w:r>
    </w:p>
    <w:p w14:paraId="5FE64422" w14:textId="77777777" w:rsidR="00223A36" w:rsidRPr="00D97714" w:rsidRDefault="00223A36">
      <w:pPr>
        <w:rPr>
          <w:rFonts w:ascii="Times New Roman" w:hAnsi="Times New Roman" w:cs="Times New Roman"/>
          <w:sz w:val="24"/>
          <w:szCs w:val="24"/>
        </w:rPr>
      </w:pPr>
      <w:r w:rsidRPr="00D97714">
        <w:rPr>
          <w:rFonts w:ascii="Times New Roman" w:hAnsi="Times New Roman" w:cs="Times New Roman"/>
          <w:sz w:val="24"/>
          <w:szCs w:val="24"/>
        </w:rPr>
        <w:br w:type="page"/>
      </w:r>
    </w:p>
    <w:tbl>
      <w:tblPr>
        <w:tblW w:w="5000" w:type="pct"/>
        <w:tblLook w:val="04A0" w:firstRow="1" w:lastRow="0" w:firstColumn="1" w:lastColumn="0" w:noHBand="0" w:noVBand="1"/>
      </w:tblPr>
      <w:tblGrid>
        <w:gridCol w:w="2947"/>
        <w:gridCol w:w="1243"/>
        <w:gridCol w:w="946"/>
        <w:gridCol w:w="1173"/>
        <w:gridCol w:w="2030"/>
        <w:gridCol w:w="1237"/>
      </w:tblGrid>
      <w:tr w:rsidR="0033739C" w:rsidRPr="00D97714" w14:paraId="61869827" w14:textId="77777777" w:rsidTr="00B05BA5">
        <w:trPr>
          <w:trHeight w:val="20"/>
        </w:trPr>
        <w:tc>
          <w:tcPr>
            <w:tcW w:w="5000" w:type="pct"/>
            <w:gridSpan w:val="6"/>
            <w:tcBorders>
              <w:top w:val="nil"/>
              <w:left w:val="nil"/>
              <w:bottom w:val="nil"/>
              <w:right w:val="nil"/>
            </w:tcBorders>
            <w:shd w:val="clear" w:color="auto" w:fill="auto"/>
            <w:noWrap/>
            <w:vAlign w:val="bottom"/>
            <w:hideMark/>
          </w:tcPr>
          <w:p w14:paraId="52494FC8" w14:textId="7064A3A1" w:rsidR="0033739C" w:rsidRPr="00D97714" w:rsidRDefault="0033739C" w:rsidP="00B05BA5">
            <w:pPr>
              <w:spacing w:after="0" w:line="240" w:lineRule="auto"/>
              <w:rPr>
                <w:rFonts w:ascii="Times New Roman" w:eastAsia="Times New Roman" w:hAnsi="Times New Roman" w:cs="Times New Roman"/>
                <w:b/>
                <w:bCs/>
                <w:color w:val="000000"/>
                <w:sz w:val="24"/>
                <w:szCs w:val="24"/>
              </w:rPr>
            </w:pPr>
            <w:r w:rsidRPr="00D97714">
              <w:rPr>
                <w:rFonts w:ascii="Times New Roman" w:eastAsia="Times New Roman" w:hAnsi="Times New Roman" w:cs="Times New Roman"/>
                <w:b/>
                <w:bCs/>
                <w:color w:val="000000"/>
                <w:sz w:val="24"/>
                <w:szCs w:val="24"/>
              </w:rPr>
              <w:t xml:space="preserve">Table 2 - Market Reactions to Target Firms Subject to Activism Events and Non-Target Matching Firm Portfolios </w:t>
            </w:r>
          </w:p>
        </w:tc>
      </w:tr>
      <w:tr w:rsidR="0033739C" w:rsidRPr="00D97714" w14:paraId="10401F5E" w14:textId="77777777" w:rsidTr="00B05BA5">
        <w:trPr>
          <w:trHeight w:val="20"/>
        </w:trPr>
        <w:tc>
          <w:tcPr>
            <w:tcW w:w="5000" w:type="pct"/>
            <w:gridSpan w:val="6"/>
            <w:tcBorders>
              <w:top w:val="single" w:sz="4" w:space="0" w:color="auto"/>
              <w:left w:val="nil"/>
              <w:bottom w:val="nil"/>
              <w:right w:val="nil"/>
            </w:tcBorders>
            <w:shd w:val="clear" w:color="auto" w:fill="auto"/>
            <w:noWrap/>
            <w:vAlign w:val="bottom"/>
            <w:hideMark/>
          </w:tcPr>
          <w:p w14:paraId="0387EA9C" w14:textId="77777777" w:rsidR="0033739C" w:rsidRPr="00D97714" w:rsidRDefault="0033739C" w:rsidP="00B05BA5">
            <w:pPr>
              <w:spacing w:after="0" w:line="240" w:lineRule="auto"/>
              <w:rPr>
                <w:rFonts w:ascii="Times New Roman" w:eastAsia="Times New Roman" w:hAnsi="Times New Roman" w:cs="Times New Roman"/>
                <w:b/>
                <w:bCs/>
                <w:i/>
                <w:iCs/>
                <w:color w:val="000000"/>
                <w:sz w:val="24"/>
                <w:szCs w:val="24"/>
              </w:rPr>
            </w:pPr>
            <w:r w:rsidRPr="00D97714">
              <w:rPr>
                <w:rFonts w:ascii="Times New Roman" w:eastAsia="Times New Roman" w:hAnsi="Times New Roman" w:cs="Times New Roman"/>
                <w:b/>
                <w:bCs/>
                <w:i/>
                <w:iCs/>
                <w:color w:val="000000"/>
                <w:sz w:val="24"/>
                <w:szCs w:val="24"/>
              </w:rPr>
              <w:t>Panel A – Target Firms (N=507)</w:t>
            </w:r>
          </w:p>
        </w:tc>
      </w:tr>
      <w:tr w:rsidR="0033739C" w:rsidRPr="00D97714" w14:paraId="2F8FCE11" w14:textId="77777777" w:rsidTr="00586912">
        <w:trPr>
          <w:trHeight w:val="20"/>
        </w:trPr>
        <w:tc>
          <w:tcPr>
            <w:tcW w:w="1560" w:type="pct"/>
            <w:tcBorders>
              <w:top w:val="nil"/>
              <w:left w:val="nil"/>
              <w:bottom w:val="single" w:sz="4" w:space="0" w:color="auto"/>
              <w:right w:val="nil"/>
            </w:tcBorders>
            <w:shd w:val="clear" w:color="auto" w:fill="auto"/>
            <w:noWrap/>
            <w:vAlign w:val="bottom"/>
            <w:hideMark/>
          </w:tcPr>
          <w:p w14:paraId="07001193" w14:textId="77777777" w:rsidR="0033739C" w:rsidRPr="00D97714" w:rsidRDefault="0033739C" w:rsidP="00B05BA5">
            <w:pPr>
              <w:spacing w:after="0" w:line="240" w:lineRule="auto"/>
              <w:rPr>
                <w:rFonts w:ascii="Times New Roman" w:eastAsia="Times New Roman" w:hAnsi="Times New Roman" w:cs="Times New Roman"/>
                <w:bCs/>
                <w:iCs/>
                <w:color w:val="000000"/>
                <w:sz w:val="24"/>
                <w:szCs w:val="24"/>
              </w:rPr>
            </w:pPr>
            <w:r w:rsidRPr="00D97714">
              <w:rPr>
                <w:rFonts w:ascii="Times New Roman" w:eastAsia="Times New Roman" w:hAnsi="Times New Roman" w:cs="Times New Roman"/>
                <w:bCs/>
                <w:iCs/>
                <w:color w:val="000000"/>
                <w:sz w:val="24"/>
                <w:szCs w:val="24"/>
              </w:rPr>
              <w:t>CAR estimation method</w:t>
            </w:r>
          </w:p>
        </w:tc>
        <w:tc>
          <w:tcPr>
            <w:tcW w:w="643" w:type="pct"/>
            <w:tcBorders>
              <w:top w:val="nil"/>
              <w:left w:val="nil"/>
              <w:bottom w:val="single" w:sz="4" w:space="0" w:color="auto"/>
              <w:right w:val="nil"/>
            </w:tcBorders>
            <w:shd w:val="clear" w:color="auto" w:fill="auto"/>
            <w:noWrap/>
            <w:vAlign w:val="center"/>
            <w:hideMark/>
          </w:tcPr>
          <w:p w14:paraId="28AEDF43" w14:textId="77777777" w:rsidR="0033739C" w:rsidRPr="00D97714" w:rsidRDefault="0033739C" w:rsidP="00B05BA5">
            <w:pPr>
              <w:spacing w:after="0" w:line="240" w:lineRule="auto"/>
              <w:rPr>
                <w:rFonts w:ascii="Times New Roman" w:eastAsia="Times New Roman" w:hAnsi="Times New Roman" w:cs="Times New Roman"/>
                <w:bCs/>
                <w:iCs/>
                <w:color w:val="000000"/>
                <w:sz w:val="24"/>
                <w:szCs w:val="24"/>
              </w:rPr>
            </w:pPr>
            <w:r w:rsidRPr="00D97714">
              <w:rPr>
                <w:rFonts w:ascii="Times New Roman" w:eastAsia="Times New Roman" w:hAnsi="Times New Roman" w:cs="Times New Roman"/>
                <w:bCs/>
                <w:iCs/>
                <w:color w:val="000000"/>
                <w:sz w:val="24"/>
                <w:szCs w:val="24"/>
              </w:rPr>
              <w:t>Windows</w:t>
            </w:r>
          </w:p>
        </w:tc>
        <w:tc>
          <w:tcPr>
            <w:tcW w:w="484" w:type="pct"/>
            <w:tcBorders>
              <w:top w:val="nil"/>
              <w:left w:val="nil"/>
              <w:bottom w:val="single" w:sz="4" w:space="0" w:color="auto"/>
              <w:right w:val="nil"/>
            </w:tcBorders>
            <w:shd w:val="clear" w:color="auto" w:fill="auto"/>
            <w:noWrap/>
            <w:vAlign w:val="bottom"/>
            <w:hideMark/>
          </w:tcPr>
          <w:p w14:paraId="57B7E348" w14:textId="77777777" w:rsidR="0033739C" w:rsidRPr="00D97714" w:rsidRDefault="0033739C" w:rsidP="00B05BA5">
            <w:pPr>
              <w:spacing w:after="0" w:line="240" w:lineRule="auto"/>
              <w:rPr>
                <w:rFonts w:ascii="Times New Roman" w:eastAsia="Times New Roman" w:hAnsi="Times New Roman" w:cs="Times New Roman"/>
                <w:bCs/>
                <w:iCs/>
                <w:color w:val="000000"/>
                <w:sz w:val="24"/>
                <w:szCs w:val="24"/>
              </w:rPr>
            </w:pPr>
            <w:r w:rsidRPr="00D97714">
              <w:rPr>
                <w:rFonts w:ascii="Times New Roman" w:eastAsia="Times New Roman" w:hAnsi="Times New Roman" w:cs="Times New Roman"/>
                <w:bCs/>
                <w:iCs/>
                <w:color w:val="000000"/>
                <w:sz w:val="24"/>
                <w:szCs w:val="24"/>
              </w:rPr>
              <w:t>CARs</w:t>
            </w:r>
          </w:p>
        </w:tc>
        <w:tc>
          <w:tcPr>
            <w:tcW w:w="606" w:type="pct"/>
            <w:tcBorders>
              <w:top w:val="nil"/>
              <w:left w:val="nil"/>
              <w:bottom w:val="single" w:sz="4" w:space="0" w:color="auto"/>
              <w:right w:val="nil"/>
            </w:tcBorders>
            <w:shd w:val="clear" w:color="auto" w:fill="auto"/>
            <w:noWrap/>
            <w:vAlign w:val="bottom"/>
            <w:hideMark/>
          </w:tcPr>
          <w:p w14:paraId="4497281C" w14:textId="77777777" w:rsidR="0033739C" w:rsidRPr="00D97714" w:rsidRDefault="0033739C" w:rsidP="00B05BA5">
            <w:pPr>
              <w:spacing w:after="0" w:line="240" w:lineRule="auto"/>
              <w:rPr>
                <w:rFonts w:ascii="Times New Roman" w:eastAsia="Times New Roman" w:hAnsi="Times New Roman" w:cs="Times New Roman"/>
                <w:bCs/>
                <w:iCs/>
                <w:color w:val="000000"/>
                <w:sz w:val="24"/>
                <w:szCs w:val="24"/>
              </w:rPr>
            </w:pPr>
            <w:r w:rsidRPr="00D97714">
              <w:rPr>
                <w:rFonts w:ascii="Times New Roman" w:eastAsia="Times New Roman" w:hAnsi="Times New Roman" w:cs="Times New Roman"/>
                <w:bCs/>
                <w:iCs/>
                <w:color w:val="000000"/>
                <w:sz w:val="24"/>
                <w:szCs w:val="24"/>
              </w:rPr>
              <w:t>Pos:Neg</w:t>
            </w:r>
          </w:p>
        </w:tc>
        <w:tc>
          <w:tcPr>
            <w:tcW w:w="1067" w:type="pct"/>
            <w:tcBorders>
              <w:top w:val="nil"/>
              <w:left w:val="nil"/>
              <w:bottom w:val="single" w:sz="4" w:space="0" w:color="auto"/>
              <w:right w:val="nil"/>
            </w:tcBorders>
            <w:shd w:val="clear" w:color="auto" w:fill="auto"/>
            <w:noWrap/>
            <w:vAlign w:val="bottom"/>
            <w:hideMark/>
          </w:tcPr>
          <w:p w14:paraId="75EA83AC" w14:textId="77777777" w:rsidR="0033739C" w:rsidRPr="00D97714" w:rsidRDefault="0033739C" w:rsidP="00B05BA5">
            <w:pPr>
              <w:spacing w:after="0" w:line="240" w:lineRule="auto"/>
              <w:rPr>
                <w:rFonts w:ascii="Times New Roman" w:eastAsia="Times New Roman" w:hAnsi="Times New Roman" w:cs="Times New Roman"/>
                <w:bCs/>
                <w:iCs/>
                <w:color w:val="000000"/>
                <w:sz w:val="24"/>
                <w:szCs w:val="24"/>
              </w:rPr>
            </w:pPr>
            <w:r w:rsidRPr="00D97714">
              <w:rPr>
                <w:rFonts w:ascii="Times New Roman" w:eastAsia="Times New Roman" w:hAnsi="Times New Roman" w:cs="Times New Roman"/>
                <w:bCs/>
                <w:iCs/>
                <w:color w:val="000000"/>
                <w:sz w:val="24"/>
                <w:szCs w:val="24"/>
              </w:rPr>
              <w:t>Skewness corrected test</w:t>
            </w:r>
          </w:p>
        </w:tc>
        <w:tc>
          <w:tcPr>
            <w:tcW w:w="640" w:type="pct"/>
            <w:tcBorders>
              <w:top w:val="nil"/>
              <w:left w:val="nil"/>
              <w:bottom w:val="single" w:sz="4" w:space="0" w:color="auto"/>
              <w:right w:val="nil"/>
            </w:tcBorders>
            <w:shd w:val="clear" w:color="auto" w:fill="auto"/>
            <w:noWrap/>
            <w:vAlign w:val="bottom"/>
            <w:hideMark/>
          </w:tcPr>
          <w:p w14:paraId="40CA64F4" w14:textId="77777777" w:rsidR="0033739C" w:rsidRPr="00D97714" w:rsidRDefault="0033739C" w:rsidP="00B05BA5">
            <w:pPr>
              <w:spacing w:after="0" w:line="240" w:lineRule="auto"/>
              <w:rPr>
                <w:rFonts w:ascii="Times New Roman" w:eastAsia="Times New Roman" w:hAnsi="Times New Roman" w:cs="Times New Roman"/>
                <w:bCs/>
                <w:iCs/>
                <w:color w:val="000000"/>
                <w:sz w:val="24"/>
                <w:szCs w:val="24"/>
              </w:rPr>
            </w:pPr>
            <w:r w:rsidRPr="00D97714">
              <w:rPr>
                <w:rFonts w:ascii="Times New Roman" w:eastAsia="Times New Roman" w:hAnsi="Times New Roman" w:cs="Times New Roman"/>
                <w:bCs/>
                <w:iCs/>
                <w:color w:val="000000"/>
                <w:sz w:val="24"/>
                <w:szCs w:val="24"/>
              </w:rPr>
              <w:t>Rank test</w:t>
            </w:r>
          </w:p>
        </w:tc>
      </w:tr>
      <w:tr w:rsidR="0033739C" w:rsidRPr="00D97714" w14:paraId="0D31BACD" w14:textId="77777777" w:rsidTr="00586912">
        <w:trPr>
          <w:trHeight w:val="20"/>
        </w:trPr>
        <w:tc>
          <w:tcPr>
            <w:tcW w:w="1560" w:type="pct"/>
            <w:tcBorders>
              <w:top w:val="nil"/>
              <w:left w:val="nil"/>
              <w:bottom w:val="nil"/>
              <w:right w:val="nil"/>
            </w:tcBorders>
            <w:shd w:val="clear" w:color="auto" w:fill="auto"/>
            <w:noWrap/>
            <w:vAlign w:val="bottom"/>
            <w:hideMark/>
          </w:tcPr>
          <w:p w14:paraId="3AE12B7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Market adjusted</w:t>
            </w:r>
          </w:p>
        </w:tc>
        <w:tc>
          <w:tcPr>
            <w:tcW w:w="643" w:type="pct"/>
            <w:tcBorders>
              <w:top w:val="nil"/>
              <w:left w:val="nil"/>
              <w:bottom w:val="nil"/>
              <w:right w:val="nil"/>
            </w:tcBorders>
            <w:shd w:val="clear" w:color="auto" w:fill="auto"/>
            <w:noWrap/>
            <w:vAlign w:val="center"/>
            <w:hideMark/>
          </w:tcPr>
          <w:p w14:paraId="6B4CF3B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(-10,+5)</w:t>
            </w:r>
          </w:p>
        </w:tc>
        <w:tc>
          <w:tcPr>
            <w:tcW w:w="484" w:type="pct"/>
            <w:tcBorders>
              <w:top w:val="nil"/>
              <w:left w:val="nil"/>
              <w:bottom w:val="nil"/>
              <w:right w:val="nil"/>
            </w:tcBorders>
            <w:shd w:val="clear" w:color="auto" w:fill="auto"/>
            <w:noWrap/>
            <w:vAlign w:val="bottom"/>
            <w:hideMark/>
          </w:tcPr>
          <w:p w14:paraId="022E362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4.91%</w:t>
            </w:r>
          </w:p>
        </w:tc>
        <w:tc>
          <w:tcPr>
            <w:tcW w:w="606" w:type="pct"/>
            <w:tcBorders>
              <w:top w:val="nil"/>
              <w:left w:val="nil"/>
              <w:bottom w:val="nil"/>
              <w:right w:val="nil"/>
            </w:tcBorders>
            <w:shd w:val="clear" w:color="auto" w:fill="auto"/>
            <w:noWrap/>
            <w:vAlign w:val="bottom"/>
            <w:hideMark/>
          </w:tcPr>
          <w:p w14:paraId="41E14AD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315:192</w:t>
            </w:r>
          </w:p>
        </w:tc>
        <w:tc>
          <w:tcPr>
            <w:tcW w:w="1067" w:type="pct"/>
            <w:tcBorders>
              <w:top w:val="nil"/>
              <w:left w:val="nil"/>
              <w:bottom w:val="nil"/>
              <w:right w:val="nil"/>
            </w:tcBorders>
            <w:shd w:val="clear" w:color="auto" w:fill="auto"/>
            <w:noWrap/>
            <w:vAlign w:val="bottom"/>
            <w:hideMark/>
          </w:tcPr>
          <w:p w14:paraId="7B01FD6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7.461***</w:t>
            </w:r>
          </w:p>
        </w:tc>
        <w:tc>
          <w:tcPr>
            <w:tcW w:w="640" w:type="pct"/>
            <w:tcBorders>
              <w:top w:val="nil"/>
              <w:left w:val="nil"/>
              <w:bottom w:val="nil"/>
              <w:right w:val="nil"/>
            </w:tcBorders>
            <w:shd w:val="clear" w:color="auto" w:fill="auto"/>
            <w:noWrap/>
            <w:vAlign w:val="bottom"/>
            <w:hideMark/>
          </w:tcPr>
          <w:p w14:paraId="1663C96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6.410***</w:t>
            </w:r>
          </w:p>
        </w:tc>
      </w:tr>
      <w:tr w:rsidR="0033739C" w:rsidRPr="00D97714" w14:paraId="1FB59E28" w14:textId="77777777" w:rsidTr="00586912">
        <w:trPr>
          <w:trHeight w:val="20"/>
        </w:trPr>
        <w:tc>
          <w:tcPr>
            <w:tcW w:w="1560" w:type="pct"/>
            <w:tcBorders>
              <w:top w:val="nil"/>
              <w:left w:val="nil"/>
              <w:bottom w:val="nil"/>
              <w:right w:val="nil"/>
            </w:tcBorders>
            <w:shd w:val="clear" w:color="auto" w:fill="auto"/>
            <w:noWrap/>
            <w:vAlign w:val="bottom"/>
            <w:hideMark/>
          </w:tcPr>
          <w:p w14:paraId="47D80A2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460AAFD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(-5,+5)</w:t>
            </w:r>
          </w:p>
        </w:tc>
        <w:tc>
          <w:tcPr>
            <w:tcW w:w="484" w:type="pct"/>
            <w:tcBorders>
              <w:top w:val="nil"/>
              <w:left w:val="nil"/>
              <w:bottom w:val="nil"/>
              <w:right w:val="nil"/>
            </w:tcBorders>
            <w:shd w:val="clear" w:color="auto" w:fill="auto"/>
            <w:noWrap/>
            <w:vAlign w:val="bottom"/>
            <w:hideMark/>
          </w:tcPr>
          <w:p w14:paraId="2309C3D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4.31%</w:t>
            </w:r>
          </w:p>
        </w:tc>
        <w:tc>
          <w:tcPr>
            <w:tcW w:w="606" w:type="pct"/>
            <w:tcBorders>
              <w:top w:val="nil"/>
              <w:left w:val="nil"/>
              <w:bottom w:val="nil"/>
              <w:right w:val="nil"/>
            </w:tcBorders>
            <w:shd w:val="clear" w:color="auto" w:fill="auto"/>
            <w:noWrap/>
            <w:vAlign w:val="bottom"/>
            <w:hideMark/>
          </w:tcPr>
          <w:p w14:paraId="48AB1A6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312:195</w:t>
            </w:r>
          </w:p>
        </w:tc>
        <w:tc>
          <w:tcPr>
            <w:tcW w:w="1067" w:type="pct"/>
            <w:tcBorders>
              <w:top w:val="nil"/>
              <w:left w:val="nil"/>
              <w:bottom w:val="nil"/>
              <w:right w:val="nil"/>
            </w:tcBorders>
            <w:shd w:val="clear" w:color="auto" w:fill="auto"/>
            <w:noWrap/>
            <w:vAlign w:val="bottom"/>
            <w:hideMark/>
          </w:tcPr>
          <w:p w14:paraId="6720883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7.902***</w:t>
            </w:r>
          </w:p>
        </w:tc>
        <w:tc>
          <w:tcPr>
            <w:tcW w:w="640" w:type="pct"/>
            <w:tcBorders>
              <w:top w:val="nil"/>
              <w:left w:val="nil"/>
              <w:bottom w:val="nil"/>
              <w:right w:val="nil"/>
            </w:tcBorders>
            <w:shd w:val="clear" w:color="auto" w:fill="auto"/>
            <w:noWrap/>
            <w:vAlign w:val="bottom"/>
            <w:hideMark/>
          </w:tcPr>
          <w:p w14:paraId="66171CB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6.594***</w:t>
            </w:r>
          </w:p>
        </w:tc>
      </w:tr>
      <w:tr w:rsidR="0033739C" w:rsidRPr="00D97714" w14:paraId="43EC044C" w14:textId="77777777" w:rsidTr="00586912">
        <w:trPr>
          <w:trHeight w:val="20"/>
        </w:trPr>
        <w:tc>
          <w:tcPr>
            <w:tcW w:w="1560" w:type="pct"/>
            <w:tcBorders>
              <w:top w:val="nil"/>
              <w:left w:val="nil"/>
              <w:bottom w:val="nil"/>
              <w:right w:val="nil"/>
            </w:tcBorders>
            <w:shd w:val="clear" w:color="auto" w:fill="auto"/>
            <w:noWrap/>
            <w:vAlign w:val="bottom"/>
            <w:hideMark/>
          </w:tcPr>
          <w:p w14:paraId="158119C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14C7D34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w:t>
            </w:r>
          </w:p>
        </w:tc>
        <w:tc>
          <w:tcPr>
            <w:tcW w:w="484" w:type="pct"/>
            <w:tcBorders>
              <w:top w:val="nil"/>
              <w:left w:val="nil"/>
              <w:bottom w:val="nil"/>
              <w:right w:val="nil"/>
            </w:tcBorders>
            <w:shd w:val="clear" w:color="auto" w:fill="auto"/>
            <w:noWrap/>
            <w:vAlign w:val="bottom"/>
            <w:hideMark/>
          </w:tcPr>
          <w:p w14:paraId="5101CDD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2.86%</w:t>
            </w:r>
          </w:p>
        </w:tc>
        <w:tc>
          <w:tcPr>
            <w:tcW w:w="606" w:type="pct"/>
            <w:tcBorders>
              <w:top w:val="nil"/>
              <w:left w:val="nil"/>
              <w:bottom w:val="nil"/>
              <w:right w:val="nil"/>
            </w:tcBorders>
            <w:shd w:val="clear" w:color="auto" w:fill="auto"/>
            <w:noWrap/>
            <w:vAlign w:val="bottom"/>
            <w:hideMark/>
          </w:tcPr>
          <w:p w14:paraId="4D41C88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312:195</w:t>
            </w:r>
          </w:p>
        </w:tc>
        <w:tc>
          <w:tcPr>
            <w:tcW w:w="1067" w:type="pct"/>
            <w:tcBorders>
              <w:top w:val="nil"/>
              <w:left w:val="nil"/>
              <w:bottom w:val="nil"/>
              <w:right w:val="nil"/>
            </w:tcBorders>
            <w:shd w:val="clear" w:color="auto" w:fill="auto"/>
            <w:noWrap/>
            <w:vAlign w:val="bottom"/>
            <w:hideMark/>
          </w:tcPr>
          <w:p w14:paraId="6FB5E72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8.685***</w:t>
            </w:r>
          </w:p>
        </w:tc>
        <w:tc>
          <w:tcPr>
            <w:tcW w:w="640" w:type="pct"/>
            <w:tcBorders>
              <w:top w:val="nil"/>
              <w:left w:val="nil"/>
              <w:bottom w:val="nil"/>
              <w:right w:val="nil"/>
            </w:tcBorders>
            <w:shd w:val="clear" w:color="auto" w:fill="auto"/>
            <w:noWrap/>
            <w:vAlign w:val="bottom"/>
            <w:hideMark/>
          </w:tcPr>
          <w:p w14:paraId="3072EC9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6.208***</w:t>
            </w:r>
          </w:p>
        </w:tc>
      </w:tr>
      <w:tr w:rsidR="0033739C" w:rsidRPr="00D97714" w14:paraId="6D221D00" w14:textId="77777777" w:rsidTr="00586912">
        <w:trPr>
          <w:trHeight w:val="20"/>
        </w:trPr>
        <w:tc>
          <w:tcPr>
            <w:tcW w:w="1560" w:type="pct"/>
            <w:tcBorders>
              <w:top w:val="nil"/>
              <w:left w:val="nil"/>
              <w:bottom w:val="nil"/>
              <w:right w:val="nil"/>
            </w:tcBorders>
            <w:shd w:val="clear" w:color="auto" w:fill="auto"/>
            <w:noWrap/>
            <w:vAlign w:val="bottom"/>
            <w:hideMark/>
          </w:tcPr>
          <w:p w14:paraId="506DB97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Market model</w:t>
            </w:r>
          </w:p>
        </w:tc>
        <w:tc>
          <w:tcPr>
            <w:tcW w:w="643" w:type="pct"/>
            <w:tcBorders>
              <w:top w:val="nil"/>
              <w:left w:val="nil"/>
              <w:bottom w:val="nil"/>
              <w:right w:val="nil"/>
            </w:tcBorders>
            <w:shd w:val="clear" w:color="auto" w:fill="auto"/>
            <w:noWrap/>
            <w:vAlign w:val="center"/>
            <w:hideMark/>
          </w:tcPr>
          <w:p w14:paraId="1C70EC9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(-10,+5)</w:t>
            </w:r>
          </w:p>
        </w:tc>
        <w:tc>
          <w:tcPr>
            <w:tcW w:w="484" w:type="pct"/>
            <w:tcBorders>
              <w:top w:val="nil"/>
              <w:left w:val="nil"/>
              <w:bottom w:val="nil"/>
              <w:right w:val="nil"/>
            </w:tcBorders>
            <w:shd w:val="clear" w:color="auto" w:fill="auto"/>
            <w:noWrap/>
            <w:vAlign w:val="bottom"/>
            <w:hideMark/>
          </w:tcPr>
          <w:p w14:paraId="3332097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5.89%</w:t>
            </w:r>
          </w:p>
        </w:tc>
        <w:tc>
          <w:tcPr>
            <w:tcW w:w="606" w:type="pct"/>
            <w:tcBorders>
              <w:top w:val="nil"/>
              <w:left w:val="nil"/>
              <w:bottom w:val="nil"/>
              <w:right w:val="nil"/>
            </w:tcBorders>
            <w:shd w:val="clear" w:color="auto" w:fill="auto"/>
            <w:noWrap/>
            <w:vAlign w:val="bottom"/>
            <w:hideMark/>
          </w:tcPr>
          <w:p w14:paraId="21A2108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318:189</w:t>
            </w:r>
          </w:p>
        </w:tc>
        <w:tc>
          <w:tcPr>
            <w:tcW w:w="1067" w:type="pct"/>
            <w:tcBorders>
              <w:top w:val="nil"/>
              <w:left w:val="nil"/>
              <w:bottom w:val="nil"/>
              <w:right w:val="nil"/>
            </w:tcBorders>
            <w:shd w:val="clear" w:color="auto" w:fill="auto"/>
            <w:noWrap/>
            <w:vAlign w:val="bottom"/>
            <w:hideMark/>
          </w:tcPr>
          <w:p w14:paraId="6161771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9.043***</w:t>
            </w:r>
          </w:p>
        </w:tc>
        <w:tc>
          <w:tcPr>
            <w:tcW w:w="640" w:type="pct"/>
            <w:tcBorders>
              <w:top w:val="nil"/>
              <w:left w:val="nil"/>
              <w:bottom w:val="nil"/>
              <w:right w:val="nil"/>
            </w:tcBorders>
            <w:shd w:val="clear" w:color="auto" w:fill="auto"/>
            <w:noWrap/>
            <w:vAlign w:val="bottom"/>
            <w:hideMark/>
          </w:tcPr>
          <w:p w14:paraId="7321A77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6.655***</w:t>
            </w:r>
          </w:p>
        </w:tc>
      </w:tr>
      <w:tr w:rsidR="0033739C" w:rsidRPr="00D97714" w14:paraId="240BDD89" w14:textId="77777777" w:rsidTr="00586912">
        <w:trPr>
          <w:trHeight w:val="20"/>
        </w:trPr>
        <w:tc>
          <w:tcPr>
            <w:tcW w:w="1560" w:type="pct"/>
            <w:tcBorders>
              <w:top w:val="nil"/>
              <w:left w:val="nil"/>
              <w:bottom w:val="nil"/>
              <w:right w:val="nil"/>
            </w:tcBorders>
            <w:shd w:val="clear" w:color="auto" w:fill="auto"/>
            <w:noWrap/>
            <w:vAlign w:val="bottom"/>
            <w:hideMark/>
          </w:tcPr>
          <w:p w14:paraId="50BF7F9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5D8F723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(-5,+5)</w:t>
            </w:r>
          </w:p>
        </w:tc>
        <w:tc>
          <w:tcPr>
            <w:tcW w:w="484" w:type="pct"/>
            <w:tcBorders>
              <w:top w:val="nil"/>
              <w:left w:val="nil"/>
              <w:bottom w:val="nil"/>
              <w:right w:val="nil"/>
            </w:tcBorders>
            <w:shd w:val="clear" w:color="auto" w:fill="auto"/>
            <w:noWrap/>
            <w:vAlign w:val="bottom"/>
            <w:hideMark/>
          </w:tcPr>
          <w:p w14:paraId="631C989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4.94%</w:t>
            </w:r>
          </w:p>
        </w:tc>
        <w:tc>
          <w:tcPr>
            <w:tcW w:w="606" w:type="pct"/>
            <w:tcBorders>
              <w:top w:val="nil"/>
              <w:left w:val="nil"/>
              <w:bottom w:val="nil"/>
              <w:right w:val="nil"/>
            </w:tcBorders>
            <w:shd w:val="clear" w:color="auto" w:fill="auto"/>
            <w:noWrap/>
            <w:vAlign w:val="bottom"/>
            <w:hideMark/>
          </w:tcPr>
          <w:p w14:paraId="5B15D98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324:183</w:t>
            </w:r>
          </w:p>
        </w:tc>
        <w:tc>
          <w:tcPr>
            <w:tcW w:w="1067" w:type="pct"/>
            <w:tcBorders>
              <w:top w:val="nil"/>
              <w:left w:val="nil"/>
              <w:bottom w:val="nil"/>
              <w:right w:val="nil"/>
            </w:tcBorders>
            <w:shd w:val="clear" w:color="auto" w:fill="auto"/>
            <w:noWrap/>
            <w:vAlign w:val="bottom"/>
            <w:hideMark/>
          </w:tcPr>
          <w:p w14:paraId="7047DF1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9.160***</w:t>
            </w:r>
          </w:p>
        </w:tc>
        <w:tc>
          <w:tcPr>
            <w:tcW w:w="640" w:type="pct"/>
            <w:tcBorders>
              <w:top w:val="nil"/>
              <w:left w:val="nil"/>
              <w:bottom w:val="nil"/>
              <w:right w:val="nil"/>
            </w:tcBorders>
            <w:shd w:val="clear" w:color="auto" w:fill="auto"/>
            <w:noWrap/>
            <w:vAlign w:val="bottom"/>
            <w:hideMark/>
          </w:tcPr>
          <w:p w14:paraId="10478D7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7.027***</w:t>
            </w:r>
          </w:p>
        </w:tc>
      </w:tr>
      <w:tr w:rsidR="0033739C" w:rsidRPr="00D97714" w14:paraId="2AAF5C49" w14:textId="77777777" w:rsidTr="00586912">
        <w:trPr>
          <w:trHeight w:val="20"/>
        </w:trPr>
        <w:tc>
          <w:tcPr>
            <w:tcW w:w="1560" w:type="pct"/>
            <w:tcBorders>
              <w:top w:val="nil"/>
              <w:left w:val="nil"/>
              <w:bottom w:val="nil"/>
              <w:right w:val="nil"/>
            </w:tcBorders>
            <w:shd w:val="clear" w:color="auto" w:fill="auto"/>
            <w:noWrap/>
            <w:vAlign w:val="bottom"/>
            <w:hideMark/>
          </w:tcPr>
          <w:p w14:paraId="763EA48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5C3B1ED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w:t>
            </w:r>
          </w:p>
        </w:tc>
        <w:tc>
          <w:tcPr>
            <w:tcW w:w="484" w:type="pct"/>
            <w:tcBorders>
              <w:top w:val="nil"/>
              <w:left w:val="nil"/>
              <w:bottom w:val="nil"/>
              <w:right w:val="nil"/>
            </w:tcBorders>
            <w:shd w:val="clear" w:color="auto" w:fill="auto"/>
            <w:noWrap/>
            <w:vAlign w:val="bottom"/>
            <w:hideMark/>
          </w:tcPr>
          <w:p w14:paraId="631A2C4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3.09%</w:t>
            </w:r>
          </w:p>
        </w:tc>
        <w:tc>
          <w:tcPr>
            <w:tcW w:w="606" w:type="pct"/>
            <w:tcBorders>
              <w:top w:val="nil"/>
              <w:left w:val="nil"/>
              <w:bottom w:val="nil"/>
              <w:right w:val="nil"/>
            </w:tcBorders>
            <w:shd w:val="clear" w:color="auto" w:fill="auto"/>
            <w:noWrap/>
            <w:vAlign w:val="bottom"/>
            <w:hideMark/>
          </w:tcPr>
          <w:p w14:paraId="7E21F01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323:184</w:t>
            </w:r>
          </w:p>
        </w:tc>
        <w:tc>
          <w:tcPr>
            <w:tcW w:w="1067" w:type="pct"/>
            <w:tcBorders>
              <w:top w:val="nil"/>
              <w:left w:val="nil"/>
              <w:bottom w:val="nil"/>
              <w:right w:val="nil"/>
            </w:tcBorders>
            <w:shd w:val="clear" w:color="auto" w:fill="auto"/>
            <w:noWrap/>
            <w:vAlign w:val="bottom"/>
            <w:hideMark/>
          </w:tcPr>
          <w:p w14:paraId="7704A10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9.501***</w:t>
            </w:r>
          </w:p>
        </w:tc>
        <w:tc>
          <w:tcPr>
            <w:tcW w:w="640" w:type="pct"/>
            <w:tcBorders>
              <w:top w:val="nil"/>
              <w:left w:val="nil"/>
              <w:bottom w:val="nil"/>
              <w:right w:val="nil"/>
            </w:tcBorders>
            <w:shd w:val="clear" w:color="auto" w:fill="auto"/>
            <w:noWrap/>
            <w:vAlign w:val="bottom"/>
            <w:hideMark/>
          </w:tcPr>
          <w:p w14:paraId="07A39C4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6.711***</w:t>
            </w:r>
          </w:p>
        </w:tc>
      </w:tr>
      <w:tr w:rsidR="0033739C" w:rsidRPr="00D97714" w14:paraId="608C35B6" w14:textId="77777777" w:rsidTr="00586912">
        <w:trPr>
          <w:trHeight w:val="20"/>
        </w:trPr>
        <w:tc>
          <w:tcPr>
            <w:tcW w:w="1560" w:type="pct"/>
            <w:tcBorders>
              <w:top w:val="nil"/>
              <w:left w:val="nil"/>
              <w:bottom w:val="nil"/>
              <w:right w:val="nil"/>
            </w:tcBorders>
            <w:shd w:val="clear" w:color="auto" w:fill="auto"/>
            <w:noWrap/>
            <w:vAlign w:val="bottom"/>
            <w:hideMark/>
          </w:tcPr>
          <w:p w14:paraId="2474261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Fama-French 3-factor model</w:t>
            </w:r>
          </w:p>
        </w:tc>
        <w:tc>
          <w:tcPr>
            <w:tcW w:w="643" w:type="pct"/>
            <w:tcBorders>
              <w:top w:val="nil"/>
              <w:left w:val="nil"/>
              <w:bottom w:val="nil"/>
              <w:right w:val="nil"/>
            </w:tcBorders>
            <w:shd w:val="clear" w:color="auto" w:fill="auto"/>
            <w:noWrap/>
            <w:vAlign w:val="center"/>
            <w:hideMark/>
          </w:tcPr>
          <w:p w14:paraId="16E6752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(-10,+5)</w:t>
            </w:r>
          </w:p>
        </w:tc>
        <w:tc>
          <w:tcPr>
            <w:tcW w:w="484" w:type="pct"/>
            <w:tcBorders>
              <w:top w:val="nil"/>
              <w:left w:val="nil"/>
              <w:bottom w:val="nil"/>
              <w:right w:val="nil"/>
            </w:tcBorders>
            <w:shd w:val="clear" w:color="auto" w:fill="auto"/>
            <w:noWrap/>
            <w:vAlign w:val="bottom"/>
            <w:hideMark/>
          </w:tcPr>
          <w:p w14:paraId="222964D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5.82%</w:t>
            </w:r>
          </w:p>
        </w:tc>
        <w:tc>
          <w:tcPr>
            <w:tcW w:w="606" w:type="pct"/>
            <w:tcBorders>
              <w:top w:val="nil"/>
              <w:left w:val="nil"/>
              <w:bottom w:val="nil"/>
              <w:right w:val="nil"/>
            </w:tcBorders>
            <w:shd w:val="clear" w:color="auto" w:fill="auto"/>
            <w:noWrap/>
            <w:vAlign w:val="bottom"/>
            <w:hideMark/>
          </w:tcPr>
          <w:p w14:paraId="290E2F6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318:189</w:t>
            </w:r>
          </w:p>
        </w:tc>
        <w:tc>
          <w:tcPr>
            <w:tcW w:w="1067" w:type="pct"/>
            <w:tcBorders>
              <w:top w:val="nil"/>
              <w:left w:val="nil"/>
              <w:bottom w:val="nil"/>
              <w:right w:val="nil"/>
            </w:tcBorders>
            <w:shd w:val="clear" w:color="auto" w:fill="auto"/>
            <w:noWrap/>
            <w:vAlign w:val="bottom"/>
            <w:hideMark/>
          </w:tcPr>
          <w:p w14:paraId="203D24B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9.171***</w:t>
            </w:r>
          </w:p>
        </w:tc>
        <w:tc>
          <w:tcPr>
            <w:tcW w:w="640" w:type="pct"/>
            <w:tcBorders>
              <w:top w:val="nil"/>
              <w:left w:val="nil"/>
              <w:bottom w:val="nil"/>
              <w:right w:val="nil"/>
            </w:tcBorders>
            <w:shd w:val="clear" w:color="auto" w:fill="auto"/>
            <w:noWrap/>
            <w:vAlign w:val="bottom"/>
            <w:hideMark/>
          </w:tcPr>
          <w:p w14:paraId="64B7217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6.446***</w:t>
            </w:r>
          </w:p>
        </w:tc>
      </w:tr>
      <w:tr w:rsidR="0033739C" w:rsidRPr="00D97714" w14:paraId="773F433B" w14:textId="77777777" w:rsidTr="00586912">
        <w:trPr>
          <w:trHeight w:val="20"/>
        </w:trPr>
        <w:tc>
          <w:tcPr>
            <w:tcW w:w="1560" w:type="pct"/>
            <w:tcBorders>
              <w:top w:val="nil"/>
              <w:left w:val="nil"/>
              <w:bottom w:val="nil"/>
              <w:right w:val="nil"/>
            </w:tcBorders>
            <w:shd w:val="clear" w:color="auto" w:fill="auto"/>
            <w:noWrap/>
            <w:vAlign w:val="bottom"/>
            <w:hideMark/>
          </w:tcPr>
          <w:p w14:paraId="7DF572A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tcPr>
          <w:p w14:paraId="4C3BCA2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(-5,+5)</w:t>
            </w:r>
          </w:p>
        </w:tc>
        <w:tc>
          <w:tcPr>
            <w:tcW w:w="484" w:type="pct"/>
            <w:tcBorders>
              <w:top w:val="nil"/>
              <w:left w:val="nil"/>
              <w:bottom w:val="nil"/>
              <w:right w:val="nil"/>
            </w:tcBorders>
            <w:shd w:val="clear" w:color="auto" w:fill="auto"/>
            <w:noWrap/>
            <w:vAlign w:val="bottom"/>
          </w:tcPr>
          <w:p w14:paraId="2CC72C9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4.93%</w:t>
            </w:r>
          </w:p>
        </w:tc>
        <w:tc>
          <w:tcPr>
            <w:tcW w:w="606" w:type="pct"/>
            <w:tcBorders>
              <w:top w:val="nil"/>
              <w:left w:val="nil"/>
              <w:bottom w:val="nil"/>
              <w:right w:val="nil"/>
            </w:tcBorders>
            <w:shd w:val="clear" w:color="auto" w:fill="auto"/>
            <w:noWrap/>
            <w:vAlign w:val="bottom"/>
          </w:tcPr>
          <w:p w14:paraId="700637F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330:177</w:t>
            </w:r>
          </w:p>
        </w:tc>
        <w:tc>
          <w:tcPr>
            <w:tcW w:w="1067" w:type="pct"/>
            <w:tcBorders>
              <w:top w:val="nil"/>
              <w:left w:val="nil"/>
              <w:bottom w:val="nil"/>
              <w:right w:val="nil"/>
            </w:tcBorders>
            <w:shd w:val="clear" w:color="auto" w:fill="auto"/>
            <w:noWrap/>
            <w:vAlign w:val="bottom"/>
          </w:tcPr>
          <w:p w14:paraId="399E689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9.360***</w:t>
            </w:r>
          </w:p>
        </w:tc>
        <w:tc>
          <w:tcPr>
            <w:tcW w:w="640" w:type="pct"/>
            <w:tcBorders>
              <w:top w:val="nil"/>
              <w:left w:val="nil"/>
              <w:bottom w:val="nil"/>
              <w:right w:val="nil"/>
            </w:tcBorders>
            <w:shd w:val="clear" w:color="auto" w:fill="auto"/>
            <w:noWrap/>
            <w:vAlign w:val="bottom"/>
          </w:tcPr>
          <w:p w14:paraId="0D1EF23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6.946***</w:t>
            </w:r>
          </w:p>
        </w:tc>
      </w:tr>
      <w:tr w:rsidR="0033739C" w:rsidRPr="00D97714" w14:paraId="546520DA" w14:textId="77777777" w:rsidTr="00586912">
        <w:trPr>
          <w:trHeight w:val="20"/>
        </w:trPr>
        <w:tc>
          <w:tcPr>
            <w:tcW w:w="1560" w:type="pct"/>
            <w:tcBorders>
              <w:top w:val="nil"/>
              <w:left w:val="nil"/>
              <w:bottom w:val="nil"/>
              <w:right w:val="nil"/>
            </w:tcBorders>
            <w:shd w:val="clear" w:color="auto" w:fill="auto"/>
            <w:noWrap/>
            <w:vAlign w:val="bottom"/>
            <w:hideMark/>
          </w:tcPr>
          <w:p w14:paraId="5103160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tcPr>
          <w:p w14:paraId="7E721F6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w:t>
            </w:r>
          </w:p>
        </w:tc>
        <w:tc>
          <w:tcPr>
            <w:tcW w:w="484" w:type="pct"/>
            <w:tcBorders>
              <w:top w:val="nil"/>
              <w:left w:val="nil"/>
              <w:bottom w:val="nil"/>
              <w:right w:val="nil"/>
            </w:tcBorders>
            <w:shd w:val="clear" w:color="auto" w:fill="auto"/>
            <w:noWrap/>
            <w:vAlign w:val="bottom"/>
          </w:tcPr>
          <w:p w14:paraId="7B2AB59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3.07%</w:t>
            </w:r>
          </w:p>
        </w:tc>
        <w:tc>
          <w:tcPr>
            <w:tcW w:w="606" w:type="pct"/>
            <w:tcBorders>
              <w:top w:val="nil"/>
              <w:left w:val="nil"/>
              <w:bottom w:val="nil"/>
              <w:right w:val="nil"/>
            </w:tcBorders>
            <w:shd w:val="clear" w:color="auto" w:fill="auto"/>
            <w:noWrap/>
            <w:vAlign w:val="bottom"/>
          </w:tcPr>
          <w:p w14:paraId="3085245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316:191</w:t>
            </w:r>
          </w:p>
        </w:tc>
        <w:tc>
          <w:tcPr>
            <w:tcW w:w="1067" w:type="pct"/>
            <w:tcBorders>
              <w:top w:val="nil"/>
              <w:left w:val="nil"/>
              <w:bottom w:val="nil"/>
              <w:right w:val="nil"/>
            </w:tcBorders>
            <w:shd w:val="clear" w:color="auto" w:fill="auto"/>
            <w:noWrap/>
            <w:vAlign w:val="bottom"/>
          </w:tcPr>
          <w:p w14:paraId="7ECF15C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9.656***</w:t>
            </w:r>
          </w:p>
        </w:tc>
        <w:tc>
          <w:tcPr>
            <w:tcW w:w="640" w:type="pct"/>
            <w:tcBorders>
              <w:top w:val="nil"/>
              <w:left w:val="nil"/>
              <w:bottom w:val="nil"/>
              <w:right w:val="nil"/>
            </w:tcBorders>
            <w:shd w:val="clear" w:color="auto" w:fill="auto"/>
            <w:noWrap/>
            <w:vAlign w:val="bottom"/>
          </w:tcPr>
          <w:p w14:paraId="6982A79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6.797***</w:t>
            </w:r>
          </w:p>
        </w:tc>
      </w:tr>
      <w:tr w:rsidR="0033739C" w:rsidRPr="00D97714" w14:paraId="0C131123" w14:textId="77777777" w:rsidTr="00B05BA5">
        <w:trPr>
          <w:trHeight w:val="20"/>
        </w:trPr>
        <w:tc>
          <w:tcPr>
            <w:tcW w:w="5000" w:type="pct"/>
            <w:gridSpan w:val="6"/>
            <w:tcBorders>
              <w:top w:val="single" w:sz="4" w:space="0" w:color="auto"/>
              <w:left w:val="nil"/>
              <w:bottom w:val="nil"/>
              <w:right w:val="nil"/>
            </w:tcBorders>
            <w:shd w:val="clear" w:color="auto" w:fill="auto"/>
            <w:noWrap/>
            <w:vAlign w:val="bottom"/>
            <w:hideMark/>
          </w:tcPr>
          <w:p w14:paraId="46AA3DD6" w14:textId="77777777" w:rsidR="0033739C" w:rsidRPr="00D97714" w:rsidRDefault="0033739C" w:rsidP="00B05BA5">
            <w:pPr>
              <w:spacing w:after="0" w:line="240" w:lineRule="auto"/>
              <w:rPr>
                <w:rFonts w:ascii="Times New Roman" w:eastAsia="Times New Roman" w:hAnsi="Times New Roman" w:cs="Times New Roman"/>
                <w:b/>
                <w:bCs/>
                <w:i/>
                <w:iCs/>
                <w:color w:val="000000"/>
                <w:sz w:val="24"/>
                <w:szCs w:val="24"/>
              </w:rPr>
            </w:pPr>
            <w:r w:rsidRPr="00D97714">
              <w:rPr>
                <w:rFonts w:ascii="Times New Roman" w:eastAsia="Times New Roman" w:hAnsi="Times New Roman" w:cs="Times New Roman"/>
                <w:b/>
                <w:bCs/>
                <w:i/>
                <w:iCs/>
                <w:color w:val="000000"/>
                <w:sz w:val="24"/>
                <w:szCs w:val="24"/>
              </w:rPr>
              <w:t>Panel B - Value-weighted non-target matching portfolios (N=507)</w:t>
            </w:r>
          </w:p>
        </w:tc>
      </w:tr>
      <w:tr w:rsidR="0033739C" w:rsidRPr="00D97714" w14:paraId="6589C62A" w14:textId="77777777" w:rsidTr="00586912">
        <w:trPr>
          <w:trHeight w:val="20"/>
        </w:trPr>
        <w:tc>
          <w:tcPr>
            <w:tcW w:w="1560" w:type="pct"/>
            <w:tcBorders>
              <w:top w:val="nil"/>
              <w:left w:val="nil"/>
              <w:bottom w:val="single" w:sz="4" w:space="0" w:color="auto"/>
              <w:right w:val="nil"/>
            </w:tcBorders>
            <w:shd w:val="clear" w:color="auto" w:fill="auto"/>
            <w:noWrap/>
            <w:vAlign w:val="bottom"/>
            <w:hideMark/>
          </w:tcPr>
          <w:p w14:paraId="52852FC0" w14:textId="77777777" w:rsidR="0033739C" w:rsidRPr="00D97714" w:rsidRDefault="0033739C" w:rsidP="00B05BA5">
            <w:pPr>
              <w:spacing w:after="0" w:line="240" w:lineRule="auto"/>
              <w:rPr>
                <w:rFonts w:ascii="Times New Roman" w:eastAsia="Times New Roman" w:hAnsi="Times New Roman" w:cs="Times New Roman"/>
                <w:bCs/>
                <w:iCs/>
                <w:color w:val="000000"/>
                <w:sz w:val="24"/>
                <w:szCs w:val="24"/>
              </w:rPr>
            </w:pPr>
            <w:r w:rsidRPr="00D97714">
              <w:rPr>
                <w:rFonts w:ascii="Times New Roman" w:eastAsia="Times New Roman" w:hAnsi="Times New Roman" w:cs="Times New Roman"/>
                <w:bCs/>
                <w:iCs/>
                <w:color w:val="000000"/>
                <w:sz w:val="24"/>
                <w:szCs w:val="24"/>
              </w:rPr>
              <w:t>CAR estimation method</w:t>
            </w:r>
          </w:p>
        </w:tc>
        <w:tc>
          <w:tcPr>
            <w:tcW w:w="643" w:type="pct"/>
            <w:tcBorders>
              <w:top w:val="nil"/>
              <w:left w:val="nil"/>
              <w:bottom w:val="single" w:sz="4" w:space="0" w:color="auto"/>
              <w:right w:val="nil"/>
            </w:tcBorders>
            <w:shd w:val="clear" w:color="auto" w:fill="auto"/>
            <w:noWrap/>
            <w:vAlign w:val="center"/>
            <w:hideMark/>
          </w:tcPr>
          <w:p w14:paraId="5A85AFE4" w14:textId="77777777" w:rsidR="0033739C" w:rsidRPr="00D97714" w:rsidRDefault="0033739C" w:rsidP="00B05BA5">
            <w:pPr>
              <w:spacing w:after="0" w:line="240" w:lineRule="auto"/>
              <w:rPr>
                <w:rFonts w:ascii="Times New Roman" w:eastAsia="Times New Roman" w:hAnsi="Times New Roman" w:cs="Times New Roman"/>
                <w:bCs/>
                <w:iCs/>
                <w:color w:val="000000"/>
                <w:sz w:val="24"/>
                <w:szCs w:val="24"/>
              </w:rPr>
            </w:pPr>
            <w:r w:rsidRPr="00D97714">
              <w:rPr>
                <w:rFonts w:ascii="Times New Roman" w:eastAsia="Times New Roman" w:hAnsi="Times New Roman" w:cs="Times New Roman"/>
                <w:bCs/>
                <w:iCs/>
                <w:color w:val="000000"/>
                <w:sz w:val="24"/>
                <w:szCs w:val="24"/>
              </w:rPr>
              <w:t>Windows</w:t>
            </w:r>
          </w:p>
        </w:tc>
        <w:tc>
          <w:tcPr>
            <w:tcW w:w="484" w:type="pct"/>
            <w:tcBorders>
              <w:top w:val="nil"/>
              <w:left w:val="nil"/>
              <w:bottom w:val="single" w:sz="4" w:space="0" w:color="auto"/>
              <w:right w:val="nil"/>
            </w:tcBorders>
            <w:shd w:val="clear" w:color="auto" w:fill="auto"/>
            <w:noWrap/>
            <w:vAlign w:val="bottom"/>
            <w:hideMark/>
          </w:tcPr>
          <w:p w14:paraId="55B9A12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CARs</w:t>
            </w:r>
          </w:p>
        </w:tc>
        <w:tc>
          <w:tcPr>
            <w:tcW w:w="606" w:type="pct"/>
            <w:tcBorders>
              <w:top w:val="nil"/>
              <w:left w:val="nil"/>
              <w:bottom w:val="single" w:sz="4" w:space="0" w:color="auto"/>
              <w:right w:val="nil"/>
            </w:tcBorders>
            <w:shd w:val="clear" w:color="auto" w:fill="auto"/>
            <w:noWrap/>
            <w:vAlign w:val="bottom"/>
            <w:hideMark/>
          </w:tcPr>
          <w:p w14:paraId="4D695C5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Pos:Neg</w:t>
            </w:r>
          </w:p>
        </w:tc>
        <w:tc>
          <w:tcPr>
            <w:tcW w:w="1067" w:type="pct"/>
            <w:tcBorders>
              <w:top w:val="nil"/>
              <w:left w:val="nil"/>
              <w:bottom w:val="single" w:sz="4" w:space="0" w:color="auto"/>
              <w:right w:val="nil"/>
            </w:tcBorders>
            <w:shd w:val="clear" w:color="auto" w:fill="auto"/>
            <w:noWrap/>
            <w:vAlign w:val="bottom"/>
            <w:hideMark/>
          </w:tcPr>
          <w:p w14:paraId="5E09694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bCs/>
                <w:iCs/>
                <w:color w:val="000000"/>
                <w:sz w:val="24"/>
                <w:szCs w:val="24"/>
              </w:rPr>
              <w:t>Skewness corrected test</w:t>
            </w:r>
          </w:p>
        </w:tc>
        <w:tc>
          <w:tcPr>
            <w:tcW w:w="640" w:type="pct"/>
            <w:tcBorders>
              <w:top w:val="nil"/>
              <w:left w:val="nil"/>
              <w:bottom w:val="single" w:sz="4" w:space="0" w:color="auto"/>
              <w:right w:val="nil"/>
            </w:tcBorders>
            <w:shd w:val="clear" w:color="auto" w:fill="auto"/>
            <w:noWrap/>
            <w:vAlign w:val="bottom"/>
            <w:hideMark/>
          </w:tcPr>
          <w:p w14:paraId="2A1793B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Rank test</w:t>
            </w:r>
          </w:p>
        </w:tc>
      </w:tr>
      <w:tr w:rsidR="0033739C" w:rsidRPr="00D97714" w14:paraId="3C37E74E" w14:textId="77777777" w:rsidTr="00586912">
        <w:trPr>
          <w:trHeight w:val="20"/>
        </w:trPr>
        <w:tc>
          <w:tcPr>
            <w:tcW w:w="1560" w:type="pct"/>
            <w:tcBorders>
              <w:top w:val="nil"/>
              <w:left w:val="nil"/>
              <w:bottom w:val="nil"/>
              <w:right w:val="nil"/>
            </w:tcBorders>
            <w:shd w:val="clear" w:color="auto" w:fill="auto"/>
            <w:noWrap/>
            <w:vAlign w:val="bottom"/>
            <w:hideMark/>
          </w:tcPr>
          <w:p w14:paraId="7184236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Market adjusted</w:t>
            </w:r>
          </w:p>
        </w:tc>
        <w:tc>
          <w:tcPr>
            <w:tcW w:w="643" w:type="pct"/>
            <w:tcBorders>
              <w:top w:val="nil"/>
              <w:left w:val="nil"/>
              <w:bottom w:val="nil"/>
              <w:right w:val="nil"/>
            </w:tcBorders>
            <w:shd w:val="clear" w:color="auto" w:fill="auto"/>
            <w:noWrap/>
            <w:vAlign w:val="center"/>
            <w:hideMark/>
          </w:tcPr>
          <w:p w14:paraId="75501B8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(-10,+5)</w:t>
            </w:r>
          </w:p>
        </w:tc>
        <w:tc>
          <w:tcPr>
            <w:tcW w:w="484" w:type="pct"/>
            <w:tcBorders>
              <w:top w:val="nil"/>
              <w:left w:val="nil"/>
              <w:bottom w:val="nil"/>
              <w:right w:val="nil"/>
            </w:tcBorders>
            <w:shd w:val="clear" w:color="auto" w:fill="auto"/>
            <w:noWrap/>
            <w:vAlign w:val="bottom"/>
            <w:hideMark/>
          </w:tcPr>
          <w:p w14:paraId="1D3E2CA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2.39%</w:t>
            </w:r>
          </w:p>
        </w:tc>
        <w:tc>
          <w:tcPr>
            <w:tcW w:w="606" w:type="pct"/>
            <w:tcBorders>
              <w:top w:val="nil"/>
              <w:left w:val="nil"/>
              <w:bottom w:val="nil"/>
              <w:right w:val="nil"/>
            </w:tcBorders>
            <w:shd w:val="clear" w:color="auto" w:fill="auto"/>
            <w:noWrap/>
            <w:vAlign w:val="bottom"/>
            <w:hideMark/>
          </w:tcPr>
          <w:p w14:paraId="75446F5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376:131</w:t>
            </w:r>
          </w:p>
        </w:tc>
        <w:tc>
          <w:tcPr>
            <w:tcW w:w="1067" w:type="pct"/>
            <w:tcBorders>
              <w:top w:val="nil"/>
              <w:left w:val="nil"/>
              <w:bottom w:val="nil"/>
              <w:right w:val="nil"/>
            </w:tcBorders>
            <w:shd w:val="clear" w:color="auto" w:fill="auto"/>
            <w:noWrap/>
            <w:vAlign w:val="bottom"/>
            <w:hideMark/>
          </w:tcPr>
          <w:p w14:paraId="5D713B6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12.037***</w:t>
            </w:r>
          </w:p>
        </w:tc>
        <w:tc>
          <w:tcPr>
            <w:tcW w:w="640" w:type="pct"/>
            <w:tcBorders>
              <w:top w:val="nil"/>
              <w:left w:val="nil"/>
              <w:bottom w:val="nil"/>
              <w:right w:val="nil"/>
            </w:tcBorders>
            <w:shd w:val="clear" w:color="auto" w:fill="auto"/>
            <w:noWrap/>
            <w:vAlign w:val="bottom"/>
            <w:hideMark/>
          </w:tcPr>
          <w:p w14:paraId="5C0162C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4.410***</w:t>
            </w:r>
          </w:p>
        </w:tc>
      </w:tr>
      <w:tr w:rsidR="0033739C" w:rsidRPr="00D97714" w14:paraId="101FB1FF" w14:textId="77777777" w:rsidTr="00586912">
        <w:trPr>
          <w:trHeight w:val="20"/>
        </w:trPr>
        <w:tc>
          <w:tcPr>
            <w:tcW w:w="1560" w:type="pct"/>
            <w:tcBorders>
              <w:top w:val="nil"/>
              <w:left w:val="nil"/>
              <w:bottom w:val="nil"/>
              <w:right w:val="nil"/>
            </w:tcBorders>
            <w:shd w:val="clear" w:color="auto" w:fill="auto"/>
            <w:noWrap/>
            <w:vAlign w:val="bottom"/>
            <w:hideMark/>
          </w:tcPr>
          <w:p w14:paraId="47B161D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7B03726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(-5,+5)</w:t>
            </w:r>
          </w:p>
        </w:tc>
        <w:tc>
          <w:tcPr>
            <w:tcW w:w="484" w:type="pct"/>
            <w:tcBorders>
              <w:top w:val="nil"/>
              <w:left w:val="nil"/>
              <w:bottom w:val="nil"/>
              <w:right w:val="nil"/>
            </w:tcBorders>
            <w:shd w:val="clear" w:color="auto" w:fill="auto"/>
            <w:noWrap/>
            <w:vAlign w:val="bottom"/>
            <w:hideMark/>
          </w:tcPr>
          <w:p w14:paraId="4E480E6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1.65%</w:t>
            </w:r>
          </w:p>
        </w:tc>
        <w:tc>
          <w:tcPr>
            <w:tcW w:w="606" w:type="pct"/>
            <w:tcBorders>
              <w:top w:val="nil"/>
              <w:left w:val="nil"/>
              <w:bottom w:val="nil"/>
              <w:right w:val="nil"/>
            </w:tcBorders>
            <w:shd w:val="clear" w:color="auto" w:fill="auto"/>
            <w:noWrap/>
            <w:vAlign w:val="bottom"/>
            <w:hideMark/>
          </w:tcPr>
          <w:p w14:paraId="3D5DD93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376:131</w:t>
            </w:r>
          </w:p>
        </w:tc>
        <w:tc>
          <w:tcPr>
            <w:tcW w:w="1067" w:type="pct"/>
            <w:tcBorders>
              <w:top w:val="nil"/>
              <w:left w:val="nil"/>
              <w:bottom w:val="nil"/>
              <w:right w:val="nil"/>
            </w:tcBorders>
            <w:shd w:val="clear" w:color="auto" w:fill="auto"/>
            <w:noWrap/>
            <w:vAlign w:val="bottom"/>
            <w:hideMark/>
          </w:tcPr>
          <w:p w14:paraId="5463E61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10.020***</w:t>
            </w:r>
          </w:p>
        </w:tc>
        <w:tc>
          <w:tcPr>
            <w:tcW w:w="640" w:type="pct"/>
            <w:tcBorders>
              <w:top w:val="nil"/>
              <w:left w:val="nil"/>
              <w:bottom w:val="nil"/>
              <w:right w:val="nil"/>
            </w:tcBorders>
            <w:shd w:val="clear" w:color="auto" w:fill="auto"/>
            <w:noWrap/>
            <w:vAlign w:val="bottom"/>
            <w:hideMark/>
          </w:tcPr>
          <w:p w14:paraId="177F77B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3.276***</w:t>
            </w:r>
          </w:p>
        </w:tc>
      </w:tr>
      <w:tr w:rsidR="0033739C" w:rsidRPr="00D97714" w14:paraId="311508E8" w14:textId="77777777" w:rsidTr="00586912">
        <w:trPr>
          <w:trHeight w:val="20"/>
        </w:trPr>
        <w:tc>
          <w:tcPr>
            <w:tcW w:w="1560" w:type="pct"/>
            <w:tcBorders>
              <w:top w:val="nil"/>
              <w:left w:val="nil"/>
              <w:bottom w:val="nil"/>
              <w:right w:val="nil"/>
            </w:tcBorders>
            <w:shd w:val="clear" w:color="auto" w:fill="auto"/>
            <w:noWrap/>
            <w:vAlign w:val="bottom"/>
            <w:hideMark/>
          </w:tcPr>
          <w:p w14:paraId="2AFC3E4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29EF18C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w:t>
            </w:r>
          </w:p>
        </w:tc>
        <w:tc>
          <w:tcPr>
            <w:tcW w:w="484" w:type="pct"/>
            <w:tcBorders>
              <w:top w:val="nil"/>
              <w:left w:val="nil"/>
              <w:bottom w:val="nil"/>
              <w:right w:val="nil"/>
            </w:tcBorders>
            <w:shd w:val="clear" w:color="auto" w:fill="auto"/>
            <w:noWrap/>
            <w:vAlign w:val="bottom"/>
            <w:hideMark/>
          </w:tcPr>
          <w:p w14:paraId="5496F12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0.58%</w:t>
            </w:r>
          </w:p>
        </w:tc>
        <w:tc>
          <w:tcPr>
            <w:tcW w:w="606" w:type="pct"/>
            <w:tcBorders>
              <w:top w:val="nil"/>
              <w:left w:val="nil"/>
              <w:bottom w:val="nil"/>
              <w:right w:val="nil"/>
            </w:tcBorders>
            <w:shd w:val="clear" w:color="auto" w:fill="auto"/>
            <w:noWrap/>
            <w:vAlign w:val="bottom"/>
            <w:hideMark/>
          </w:tcPr>
          <w:p w14:paraId="3DAE0AA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335:172</w:t>
            </w:r>
          </w:p>
        </w:tc>
        <w:tc>
          <w:tcPr>
            <w:tcW w:w="1067" w:type="pct"/>
            <w:tcBorders>
              <w:top w:val="nil"/>
              <w:left w:val="nil"/>
              <w:bottom w:val="nil"/>
              <w:right w:val="nil"/>
            </w:tcBorders>
            <w:shd w:val="clear" w:color="auto" w:fill="auto"/>
            <w:noWrap/>
            <w:vAlign w:val="bottom"/>
            <w:hideMark/>
          </w:tcPr>
          <w:p w14:paraId="58DABBC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5.853***</w:t>
            </w:r>
          </w:p>
        </w:tc>
        <w:tc>
          <w:tcPr>
            <w:tcW w:w="640" w:type="pct"/>
            <w:tcBorders>
              <w:top w:val="nil"/>
              <w:left w:val="nil"/>
              <w:bottom w:val="nil"/>
              <w:right w:val="nil"/>
            </w:tcBorders>
            <w:shd w:val="clear" w:color="auto" w:fill="auto"/>
            <w:noWrap/>
            <w:vAlign w:val="bottom"/>
            <w:hideMark/>
          </w:tcPr>
          <w:p w14:paraId="5A635DD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2.188**</w:t>
            </w:r>
          </w:p>
        </w:tc>
      </w:tr>
      <w:tr w:rsidR="0033739C" w:rsidRPr="00D97714" w14:paraId="5CE6015D" w14:textId="77777777" w:rsidTr="00586912">
        <w:trPr>
          <w:trHeight w:val="20"/>
        </w:trPr>
        <w:tc>
          <w:tcPr>
            <w:tcW w:w="1560" w:type="pct"/>
            <w:tcBorders>
              <w:top w:val="nil"/>
              <w:left w:val="nil"/>
              <w:bottom w:val="nil"/>
              <w:right w:val="nil"/>
            </w:tcBorders>
            <w:shd w:val="clear" w:color="auto" w:fill="auto"/>
            <w:noWrap/>
            <w:vAlign w:val="bottom"/>
            <w:hideMark/>
          </w:tcPr>
          <w:p w14:paraId="0F037E6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Market model</w:t>
            </w:r>
          </w:p>
        </w:tc>
        <w:tc>
          <w:tcPr>
            <w:tcW w:w="643" w:type="pct"/>
            <w:tcBorders>
              <w:top w:val="nil"/>
              <w:left w:val="nil"/>
              <w:bottom w:val="nil"/>
              <w:right w:val="nil"/>
            </w:tcBorders>
            <w:shd w:val="clear" w:color="auto" w:fill="auto"/>
            <w:noWrap/>
            <w:vAlign w:val="center"/>
            <w:hideMark/>
          </w:tcPr>
          <w:p w14:paraId="1415124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(-10,+5)</w:t>
            </w:r>
          </w:p>
        </w:tc>
        <w:tc>
          <w:tcPr>
            <w:tcW w:w="484" w:type="pct"/>
            <w:tcBorders>
              <w:top w:val="nil"/>
              <w:left w:val="nil"/>
              <w:bottom w:val="nil"/>
              <w:right w:val="nil"/>
            </w:tcBorders>
            <w:shd w:val="clear" w:color="auto" w:fill="auto"/>
            <w:noWrap/>
            <w:vAlign w:val="bottom"/>
            <w:hideMark/>
          </w:tcPr>
          <w:p w14:paraId="076A237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1.68%</w:t>
            </w:r>
          </w:p>
        </w:tc>
        <w:tc>
          <w:tcPr>
            <w:tcW w:w="606" w:type="pct"/>
            <w:tcBorders>
              <w:top w:val="nil"/>
              <w:left w:val="nil"/>
              <w:bottom w:val="nil"/>
              <w:right w:val="nil"/>
            </w:tcBorders>
            <w:shd w:val="clear" w:color="auto" w:fill="auto"/>
            <w:noWrap/>
            <w:vAlign w:val="bottom"/>
            <w:hideMark/>
          </w:tcPr>
          <w:p w14:paraId="0DDFCD5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379:128</w:t>
            </w:r>
          </w:p>
        </w:tc>
        <w:tc>
          <w:tcPr>
            <w:tcW w:w="1067" w:type="pct"/>
            <w:tcBorders>
              <w:top w:val="nil"/>
              <w:left w:val="nil"/>
              <w:bottom w:val="nil"/>
              <w:right w:val="nil"/>
            </w:tcBorders>
            <w:shd w:val="clear" w:color="auto" w:fill="auto"/>
            <w:noWrap/>
            <w:vAlign w:val="bottom"/>
            <w:hideMark/>
          </w:tcPr>
          <w:p w14:paraId="5DD4A00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9.929***</w:t>
            </w:r>
          </w:p>
        </w:tc>
        <w:tc>
          <w:tcPr>
            <w:tcW w:w="640" w:type="pct"/>
            <w:tcBorders>
              <w:top w:val="nil"/>
              <w:left w:val="nil"/>
              <w:bottom w:val="nil"/>
              <w:right w:val="nil"/>
            </w:tcBorders>
            <w:shd w:val="clear" w:color="auto" w:fill="auto"/>
            <w:noWrap/>
            <w:vAlign w:val="bottom"/>
            <w:hideMark/>
          </w:tcPr>
          <w:p w14:paraId="410AF85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4.671***</w:t>
            </w:r>
          </w:p>
        </w:tc>
      </w:tr>
      <w:tr w:rsidR="0033739C" w:rsidRPr="00D97714" w14:paraId="07CF12EE" w14:textId="77777777" w:rsidTr="00586912">
        <w:trPr>
          <w:trHeight w:val="20"/>
        </w:trPr>
        <w:tc>
          <w:tcPr>
            <w:tcW w:w="1560" w:type="pct"/>
            <w:tcBorders>
              <w:top w:val="nil"/>
              <w:left w:val="nil"/>
              <w:bottom w:val="nil"/>
              <w:right w:val="nil"/>
            </w:tcBorders>
            <w:shd w:val="clear" w:color="auto" w:fill="auto"/>
            <w:noWrap/>
            <w:vAlign w:val="bottom"/>
            <w:hideMark/>
          </w:tcPr>
          <w:p w14:paraId="7ECF2BD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6CD2D0B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(-5,+5)</w:t>
            </w:r>
          </w:p>
        </w:tc>
        <w:tc>
          <w:tcPr>
            <w:tcW w:w="484" w:type="pct"/>
            <w:tcBorders>
              <w:top w:val="nil"/>
              <w:left w:val="nil"/>
              <w:bottom w:val="nil"/>
              <w:right w:val="nil"/>
            </w:tcBorders>
            <w:shd w:val="clear" w:color="auto" w:fill="auto"/>
            <w:noWrap/>
            <w:vAlign w:val="bottom"/>
            <w:hideMark/>
          </w:tcPr>
          <w:p w14:paraId="6E9EF4D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1.10%</w:t>
            </w:r>
          </w:p>
        </w:tc>
        <w:tc>
          <w:tcPr>
            <w:tcW w:w="606" w:type="pct"/>
            <w:tcBorders>
              <w:top w:val="nil"/>
              <w:left w:val="nil"/>
              <w:bottom w:val="nil"/>
              <w:right w:val="nil"/>
            </w:tcBorders>
            <w:shd w:val="clear" w:color="auto" w:fill="auto"/>
            <w:noWrap/>
            <w:vAlign w:val="bottom"/>
            <w:hideMark/>
          </w:tcPr>
          <w:p w14:paraId="6323EAF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358:149</w:t>
            </w:r>
          </w:p>
        </w:tc>
        <w:tc>
          <w:tcPr>
            <w:tcW w:w="1067" w:type="pct"/>
            <w:tcBorders>
              <w:top w:val="nil"/>
              <w:left w:val="nil"/>
              <w:bottom w:val="nil"/>
              <w:right w:val="nil"/>
            </w:tcBorders>
            <w:shd w:val="clear" w:color="auto" w:fill="auto"/>
            <w:noWrap/>
            <w:vAlign w:val="bottom"/>
            <w:hideMark/>
          </w:tcPr>
          <w:p w14:paraId="73FAFB1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7.863***</w:t>
            </w:r>
          </w:p>
        </w:tc>
        <w:tc>
          <w:tcPr>
            <w:tcW w:w="640" w:type="pct"/>
            <w:tcBorders>
              <w:top w:val="nil"/>
              <w:left w:val="nil"/>
              <w:bottom w:val="nil"/>
              <w:right w:val="nil"/>
            </w:tcBorders>
            <w:shd w:val="clear" w:color="auto" w:fill="auto"/>
            <w:noWrap/>
            <w:vAlign w:val="bottom"/>
            <w:hideMark/>
          </w:tcPr>
          <w:p w14:paraId="7E7FCC5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3.285***</w:t>
            </w:r>
          </w:p>
        </w:tc>
      </w:tr>
      <w:tr w:rsidR="0033739C" w:rsidRPr="00D97714" w14:paraId="10BFAFEC" w14:textId="77777777" w:rsidTr="00586912">
        <w:trPr>
          <w:trHeight w:val="20"/>
        </w:trPr>
        <w:tc>
          <w:tcPr>
            <w:tcW w:w="1560" w:type="pct"/>
            <w:tcBorders>
              <w:top w:val="nil"/>
              <w:left w:val="nil"/>
              <w:bottom w:val="nil"/>
              <w:right w:val="nil"/>
            </w:tcBorders>
            <w:shd w:val="clear" w:color="auto" w:fill="auto"/>
            <w:noWrap/>
            <w:vAlign w:val="bottom"/>
            <w:hideMark/>
          </w:tcPr>
          <w:p w14:paraId="2E15E88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1986B2D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w:t>
            </w:r>
          </w:p>
        </w:tc>
        <w:tc>
          <w:tcPr>
            <w:tcW w:w="484" w:type="pct"/>
            <w:tcBorders>
              <w:top w:val="nil"/>
              <w:left w:val="nil"/>
              <w:bottom w:val="nil"/>
              <w:right w:val="nil"/>
            </w:tcBorders>
            <w:shd w:val="clear" w:color="auto" w:fill="auto"/>
            <w:noWrap/>
            <w:vAlign w:val="bottom"/>
            <w:hideMark/>
          </w:tcPr>
          <w:p w14:paraId="5F87276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0.39%</w:t>
            </w:r>
          </w:p>
        </w:tc>
        <w:tc>
          <w:tcPr>
            <w:tcW w:w="606" w:type="pct"/>
            <w:tcBorders>
              <w:top w:val="nil"/>
              <w:left w:val="nil"/>
              <w:bottom w:val="nil"/>
              <w:right w:val="nil"/>
            </w:tcBorders>
            <w:shd w:val="clear" w:color="auto" w:fill="auto"/>
            <w:noWrap/>
            <w:vAlign w:val="bottom"/>
            <w:hideMark/>
          </w:tcPr>
          <w:p w14:paraId="5F00C4E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315:192</w:t>
            </w:r>
          </w:p>
        </w:tc>
        <w:tc>
          <w:tcPr>
            <w:tcW w:w="1067" w:type="pct"/>
            <w:tcBorders>
              <w:top w:val="nil"/>
              <w:left w:val="nil"/>
              <w:bottom w:val="nil"/>
              <w:right w:val="nil"/>
            </w:tcBorders>
            <w:shd w:val="clear" w:color="auto" w:fill="auto"/>
            <w:noWrap/>
            <w:vAlign w:val="bottom"/>
            <w:hideMark/>
          </w:tcPr>
          <w:p w14:paraId="3B8EF49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4.574***</w:t>
            </w:r>
          </w:p>
        </w:tc>
        <w:tc>
          <w:tcPr>
            <w:tcW w:w="640" w:type="pct"/>
            <w:tcBorders>
              <w:top w:val="nil"/>
              <w:left w:val="nil"/>
              <w:bottom w:val="nil"/>
              <w:right w:val="nil"/>
            </w:tcBorders>
            <w:shd w:val="clear" w:color="auto" w:fill="auto"/>
            <w:noWrap/>
            <w:vAlign w:val="bottom"/>
            <w:hideMark/>
          </w:tcPr>
          <w:p w14:paraId="764A057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2.106**</w:t>
            </w:r>
          </w:p>
        </w:tc>
      </w:tr>
      <w:tr w:rsidR="0033739C" w:rsidRPr="00D97714" w14:paraId="7F3A80A7" w14:textId="77777777" w:rsidTr="00586912">
        <w:trPr>
          <w:trHeight w:val="20"/>
        </w:trPr>
        <w:tc>
          <w:tcPr>
            <w:tcW w:w="1560" w:type="pct"/>
            <w:tcBorders>
              <w:top w:val="nil"/>
              <w:left w:val="nil"/>
              <w:bottom w:val="nil"/>
              <w:right w:val="nil"/>
            </w:tcBorders>
            <w:shd w:val="clear" w:color="auto" w:fill="auto"/>
            <w:noWrap/>
            <w:vAlign w:val="bottom"/>
            <w:hideMark/>
          </w:tcPr>
          <w:p w14:paraId="24CCAB8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Fama-French 3-factor model</w:t>
            </w:r>
          </w:p>
        </w:tc>
        <w:tc>
          <w:tcPr>
            <w:tcW w:w="643" w:type="pct"/>
            <w:tcBorders>
              <w:top w:val="nil"/>
              <w:left w:val="nil"/>
              <w:bottom w:val="nil"/>
              <w:right w:val="nil"/>
            </w:tcBorders>
            <w:shd w:val="clear" w:color="auto" w:fill="auto"/>
            <w:noWrap/>
            <w:vAlign w:val="center"/>
            <w:hideMark/>
          </w:tcPr>
          <w:p w14:paraId="5ADE309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(-10,+5)</w:t>
            </w:r>
          </w:p>
        </w:tc>
        <w:tc>
          <w:tcPr>
            <w:tcW w:w="484" w:type="pct"/>
            <w:tcBorders>
              <w:top w:val="nil"/>
              <w:left w:val="nil"/>
              <w:bottom w:val="nil"/>
              <w:right w:val="nil"/>
            </w:tcBorders>
            <w:shd w:val="clear" w:color="auto" w:fill="auto"/>
            <w:noWrap/>
            <w:vAlign w:val="bottom"/>
            <w:hideMark/>
          </w:tcPr>
          <w:p w14:paraId="18FBE28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1.16%</w:t>
            </w:r>
          </w:p>
        </w:tc>
        <w:tc>
          <w:tcPr>
            <w:tcW w:w="606" w:type="pct"/>
            <w:tcBorders>
              <w:top w:val="nil"/>
              <w:left w:val="nil"/>
              <w:bottom w:val="nil"/>
              <w:right w:val="nil"/>
            </w:tcBorders>
            <w:shd w:val="clear" w:color="auto" w:fill="auto"/>
            <w:noWrap/>
            <w:vAlign w:val="bottom"/>
            <w:hideMark/>
          </w:tcPr>
          <w:p w14:paraId="122F548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317:190</w:t>
            </w:r>
          </w:p>
        </w:tc>
        <w:tc>
          <w:tcPr>
            <w:tcW w:w="1067" w:type="pct"/>
            <w:tcBorders>
              <w:top w:val="nil"/>
              <w:left w:val="nil"/>
              <w:bottom w:val="nil"/>
              <w:right w:val="nil"/>
            </w:tcBorders>
            <w:shd w:val="clear" w:color="auto" w:fill="auto"/>
            <w:noWrap/>
            <w:vAlign w:val="bottom"/>
            <w:hideMark/>
          </w:tcPr>
          <w:p w14:paraId="3CCA8AF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8.440***</w:t>
            </w:r>
          </w:p>
        </w:tc>
        <w:tc>
          <w:tcPr>
            <w:tcW w:w="640" w:type="pct"/>
            <w:tcBorders>
              <w:top w:val="nil"/>
              <w:left w:val="nil"/>
              <w:bottom w:val="nil"/>
              <w:right w:val="nil"/>
            </w:tcBorders>
            <w:shd w:val="clear" w:color="auto" w:fill="auto"/>
            <w:noWrap/>
            <w:vAlign w:val="bottom"/>
            <w:hideMark/>
          </w:tcPr>
          <w:p w14:paraId="41413FD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5.617***</w:t>
            </w:r>
          </w:p>
        </w:tc>
      </w:tr>
      <w:tr w:rsidR="0033739C" w:rsidRPr="00D97714" w14:paraId="2CA54ED1" w14:textId="77777777" w:rsidTr="00586912">
        <w:trPr>
          <w:trHeight w:val="20"/>
        </w:trPr>
        <w:tc>
          <w:tcPr>
            <w:tcW w:w="1560" w:type="pct"/>
            <w:tcBorders>
              <w:top w:val="nil"/>
              <w:left w:val="nil"/>
              <w:bottom w:val="nil"/>
              <w:right w:val="nil"/>
            </w:tcBorders>
            <w:shd w:val="clear" w:color="auto" w:fill="auto"/>
            <w:noWrap/>
            <w:vAlign w:val="bottom"/>
            <w:hideMark/>
          </w:tcPr>
          <w:p w14:paraId="0266824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31A192B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(-5,+5)</w:t>
            </w:r>
          </w:p>
        </w:tc>
        <w:tc>
          <w:tcPr>
            <w:tcW w:w="484" w:type="pct"/>
            <w:tcBorders>
              <w:top w:val="nil"/>
              <w:left w:val="nil"/>
              <w:bottom w:val="nil"/>
              <w:right w:val="nil"/>
            </w:tcBorders>
            <w:shd w:val="clear" w:color="auto" w:fill="auto"/>
            <w:noWrap/>
            <w:vAlign w:val="bottom"/>
            <w:hideMark/>
          </w:tcPr>
          <w:p w14:paraId="1E86996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0.77%</w:t>
            </w:r>
          </w:p>
        </w:tc>
        <w:tc>
          <w:tcPr>
            <w:tcW w:w="606" w:type="pct"/>
            <w:tcBorders>
              <w:top w:val="nil"/>
              <w:left w:val="nil"/>
              <w:bottom w:val="nil"/>
              <w:right w:val="nil"/>
            </w:tcBorders>
            <w:shd w:val="clear" w:color="auto" w:fill="auto"/>
            <w:noWrap/>
            <w:vAlign w:val="bottom"/>
            <w:hideMark/>
          </w:tcPr>
          <w:p w14:paraId="2CB6E45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308:199</w:t>
            </w:r>
          </w:p>
        </w:tc>
        <w:tc>
          <w:tcPr>
            <w:tcW w:w="1067" w:type="pct"/>
            <w:tcBorders>
              <w:top w:val="nil"/>
              <w:left w:val="nil"/>
              <w:bottom w:val="nil"/>
              <w:right w:val="nil"/>
            </w:tcBorders>
            <w:shd w:val="clear" w:color="auto" w:fill="auto"/>
            <w:noWrap/>
            <w:vAlign w:val="bottom"/>
            <w:hideMark/>
          </w:tcPr>
          <w:p w14:paraId="7F63EAF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6.720***</w:t>
            </w:r>
          </w:p>
        </w:tc>
        <w:tc>
          <w:tcPr>
            <w:tcW w:w="640" w:type="pct"/>
            <w:tcBorders>
              <w:top w:val="nil"/>
              <w:left w:val="nil"/>
              <w:bottom w:val="nil"/>
              <w:right w:val="nil"/>
            </w:tcBorders>
            <w:shd w:val="clear" w:color="auto" w:fill="auto"/>
            <w:noWrap/>
            <w:vAlign w:val="bottom"/>
            <w:hideMark/>
          </w:tcPr>
          <w:p w14:paraId="37394F5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4.271***</w:t>
            </w:r>
          </w:p>
        </w:tc>
      </w:tr>
      <w:tr w:rsidR="0033739C" w:rsidRPr="00D97714" w14:paraId="4968F045" w14:textId="77777777" w:rsidTr="00586912">
        <w:trPr>
          <w:trHeight w:val="20"/>
        </w:trPr>
        <w:tc>
          <w:tcPr>
            <w:tcW w:w="1560" w:type="pct"/>
            <w:tcBorders>
              <w:top w:val="nil"/>
              <w:left w:val="nil"/>
              <w:bottom w:val="single" w:sz="4" w:space="0" w:color="auto"/>
              <w:right w:val="nil"/>
            </w:tcBorders>
            <w:shd w:val="clear" w:color="auto" w:fill="auto"/>
            <w:noWrap/>
            <w:vAlign w:val="bottom"/>
            <w:hideMark/>
          </w:tcPr>
          <w:p w14:paraId="5CCD60B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 </w:t>
            </w:r>
          </w:p>
        </w:tc>
        <w:tc>
          <w:tcPr>
            <w:tcW w:w="643" w:type="pct"/>
            <w:tcBorders>
              <w:top w:val="nil"/>
              <w:left w:val="nil"/>
              <w:bottom w:val="single" w:sz="4" w:space="0" w:color="auto"/>
              <w:right w:val="nil"/>
            </w:tcBorders>
            <w:shd w:val="clear" w:color="auto" w:fill="auto"/>
            <w:noWrap/>
            <w:vAlign w:val="center"/>
            <w:hideMark/>
          </w:tcPr>
          <w:p w14:paraId="4E0466E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w:t>
            </w:r>
          </w:p>
        </w:tc>
        <w:tc>
          <w:tcPr>
            <w:tcW w:w="484" w:type="pct"/>
            <w:tcBorders>
              <w:top w:val="nil"/>
              <w:left w:val="nil"/>
              <w:bottom w:val="single" w:sz="4" w:space="0" w:color="auto"/>
              <w:right w:val="nil"/>
            </w:tcBorders>
            <w:shd w:val="clear" w:color="auto" w:fill="auto"/>
            <w:noWrap/>
            <w:vAlign w:val="bottom"/>
            <w:hideMark/>
          </w:tcPr>
          <w:p w14:paraId="19ECB9F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0.24%</w:t>
            </w:r>
          </w:p>
        </w:tc>
        <w:tc>
          <w:tcPr>
            <w:tcW w:w="606" w:type="pct"/>
            <w:tcBorders>
              <w:top w:val="nil"/>
              <w:left w:val="nil"/>
              <w:bottom w:val="single" w:sz="4" w:space="0" w:color="auto"/>
              <w:right w:val="nil"/>
            </w:tcBorders>
            <w:shd w:val="clear" w:color="auto" w:fill="auto"/>
            <w:noWrap/>
            <w:vAlign w:val="bottom"/>
            <w:hideMark/>
          </w:tcPr>
          <w:p w14:paraId="29A7BB0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272:235</w:t>
            </w:r>
          </w:p>
        </w:tc>
        <w:tc>
          <w:tcPr>
            <w:tcW w:w="1067" w:type="pct"/>
            <w:tcBorders>
              <w:top w:val="nil"/>
              <w:left w:val="nil"/>
              <w:bottom w:val="single" w:sz="4" w:space="0" w:color="auto"/>
              <w:right w:val="nil"/>
            </w:tcBorders>
            <w:shd w:val="clear" w:color="auto" w:fill="auto"/>
            <w:noWrap/>
            <w:vAlign w:val="bottom"/>
            <w:hideMark/>
          </w:tcPr>
          <w:p w14:paraId="22BE19F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3.491***</w:t>
            </w:r>
          </w:p>
        </w:tc>
        <w:tc>
          <w:tcPr>
            <w:tcW w:w="640" w:type="pct"/>
            <w:tcBorders>
              <w:top w:val="nil"/>
              <w:left w:val="nil"/>
              <w:bottom w:val="single" w:sz="4" w:space="0" w:color="auto"/>
              <w:right w:val="nil"/>
            </w:tcBorders>
            <w:shd w:val="clear" w:color="auto" w:fill="auto"/>
            <w:noWrap/>
            <w:vAlign w:val="bottom"/>
            <w:hideMark/>
          </w:tcPr>
          <w:p w14:paraId="71F7C5B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2.036**</w:t>
            </w:r>
          </w:p>
        </w:tc>
      </w:tr>
      <w:tr w:rsidR="0033739C" w:rsidRPr="00D97714" w14:paraId="11E2E3DA" w14:textId="77777777" w:rsidTr="00B05BA5">
        <w:trPr>
          <w:trHeight w:val="20"/>
        </w:trPr>
        <w:tc>
          <w:tcPr>
            <w:tcW w:w="5000" w:type="pct"/>
            <w:gridSpan w:val="6"/>
            <w:tcBorders>
              <w:top w:val="single" w:sz="4" w:space="0" w:color="auto"/>
              <w:left w:val="nil"/>
              <w:bottom w:val="nil"/>
              <w:right w:val="nil"/>
            </w:tcBorders>
            <w:shd w:val="clear" w:color="auto" w:fill="auto"/>
            <w:noWrap/>
            <w:vAlign w:val="bottom"/>
            <w:hideMark/>
          </w:tcPr>
          <w:p w14:paraId="59D66B65" w14:textId="77777777" w:rsidR="0033739C" w:rsidRPr="00D97714" w:rsidRDefault="0033739C" w:rsidP="00B05BA5">
            <w:pPr>
              <w:spacing w:after="0" w:line="240" w:lineRule="auto"/>
              <w:rPr>
                <w:rFonts w:ascii="Times New Roman" w:eastAsia="Times New Roman" w:hAnsi="Times New Roman" w:cs="Times New Roman"/>
                <w:b/>
                <w:bCs/>
                <w:i/>
                <w:iCs/>
                <w:color w:val="000000"/>
                <w:sz w:val="24"/>
                <w:szCs w:val="24"/>
              </w:rPr>
            </w:pPr>
            <w:r w:rsidRPr="00D97714">
              <w:rPr>
                <w:rFonts w:ascii="Times New Roman" w:eastAsia="Times New Roman" w:hAnsi="Times New Roman" w:cs="Times New Roman"/>
                <w:b/>
                <w:bCs/>
                <w:i/>
                <w:iCs/>
                <w:color w:val="000000"/>
                <w:sz w:val="24"/>
                <w:szCs w:val="24"/>
              </w:rPr>
              <w:t>Panel C - Equally-weighted non-target matching portfolios (N = 507)</w:t>
            </w:r>
          </w:p>
        </w:tc>
      </w:tr>
      <w:tr w:rsidR="0033739C" w:rsidRPr="00D97714" w14:paraId="6B172206" w14:textId="77777777" w:rsidTr="00586912">
        <w:trPr>
          <w:trHeight w:val="20"/>
        </w:trPr>
        <w:tc>
          <w:tcPr>
            <w:tcW w:w="1560" w:type="pct"/>
            <w:tcBorders>
              <w:top w:val="nil"/>
              <w:left w:val="nil"/>
              <w:bottom w:val="single" w:sz="4" w:space="0" w:color="auto"/>
              <w:right w:val="nil"/>
            </w:tcBorders>
            <w:shd w:val="clear" w:color="auto" w:fill="auto"/>
            <w:noWrap/>
            <w:vAlign w:val="bottom"/>
            <w:hideMark/>
          </w:tcPr>
          <w:p w14:paraId="484BD3B9" w14:textId="77777777" w:rsidR="0033739C" w:rsidRPr="00D97714" w:rsidRDefault="0033739C" w:rsidP="00B05BA5">
            <w:pPr>
              <w:spacing w:after="0" w:line="240" w:lineRule="auto"/>
              <w:rPr>
                <w:rFonts w:ascii="Times New Roman" w:eastAsia="Times New Roman" w:hAnsi="Times New Roman" w:cs="Times New Roman"/>
                <w:bCs/>
                <w:iCs/>
                <w:color w:val="000000"/>
                <w:sz w:val="24"/>
                <w:szCs w:val="24"/>
              </w:rPr>
            </w:pPr>
            <w:r w:rsidRPr="00D97714">
              <w:rPr>
                <w:rFonts w:ascii="Times New Roman" w:eastAsia="Times New Roman" w:hAnsi="Times New Roman" w:cs="Times New Roman"/>
                <w:bCs/>
                <w:iCs/>
                <w:color w:val="000000"/>
                <w:sz w:val="24"/>
                <w:szCs w:val="24"/>
              </w:rPr>
              <w:t>CAR estimation method</w:t>
            </w:r>
          </w:p>
        </w:tc>
        <w:tc>
          <w:tcPr>
            <w:tcW w:w="643" w:type="pct"/>
            <w:tcBorders>
              <w:top w:val="nil"/>
              <w:left w:val="nil"/>
              <w:bottom w:val="single" w:sz="4" w:space="0" w:color="auto"/>
              <w:right w:val="nil"/>
            </w:tcBorders>
            <w:shd w:val="clear" w:color="auto" w:fill="auto"/>
            <w:noWrap/>
            <w:vAlign w:val="center"/>
            <w:hideMark/>
          </w:tcPr>
          <w:p w14:paraId="20063C85" w14:textId="77777777" w:rsidR="0033739C" w:rsidRPr="00D97714" w:rsidRDefault="0033739C" w:rsidP="00B05BA5">
            <w:pPr>
              <w:spacing w:after="0" w:line="240" w:lineRule="auto"/>
              <w:rPr>
                <w:rFonts w:ascii="Times New Roman" w:eastAsia="Times New Roman" w:hAnsi="Times New Roman" w:cs="Times New Roman"/>
                <w:bCs/>
                <w:iCs/>
                <w:color w:val="000000"/>
                <w:sz w:val="24"/>
                <w:szCs w:val="24"/>
              </w:rPr>
            </w:pPr>
            <w:r w:rsidRPr="00D97714">
              <w:rPr>
                <w:rFonts w:ascii="Times New Roman" w:eastAsia="Times New Roman" w:hAnsi="Times New Roman" w:cs="Times New Roman"/>
                <w:bCs/>
                <w:iCs/>
                <w:color w:val="000000"/>
                <w:sz w:val="24"/>
                <w:szCs w:val="24"/>
              </w:rPr>
              <w:t>Windows</w:t>
            </w:r>
          </w:p>
        </w:tc>
        <w:tc>
          <w:tcPr>
            <w:tcW w:w="484" w:type="pct"/>
            <w:tcBorders>
              <w:top w:val="nil"/>
              <w:left w:val="nil"/>
              <w:bottom w:val="single" w:sz="4" w:space="0" w:color="auto"/>
              <w:right w:val="nil"/>
            </w:tcBorders>
            <w:shd w:val="clear" w:color="auto" w:fill="auto"/>
            <w:noWrap/>
            <w:vAlign w:val="bottom"/>
            <w:hideMark/>
          </w:tcPr>
          <w:p w14:paraId="2A4C8BC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CARs</w:t>
            </w:r>
          </w:p>
        </w:tc>
        <w:tc>
          <w:tcPr>
            <w:tcW w:w="606" w:type="pct"/>
            <w:tcBorders>
              <w:top w:val="nil"/>
              <w:left w:val="nil"/>
              <w:bottom w:val="single" w:sz="4" w:space="0" w:color="auto"/>
              <w:right w:val="nil"/>
            </w:tcBorders>
            <w:shd w:val="clear" w:color="auto" w:fill="auto"/>
            <w:noWrap/>
            <w:vAlign w:val="bottom"/>
            <w:hideMark/>
          </w:tcPr>
          <w:p w14:paraId="559AA2B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Pos:Neg</w:t>
            </w:r>
          </w:p>
        </w:tc>
        <w:tc>
          <w:tcPr>
            <w:tcW w:w="1067" w:type="pct"/>
            <w:tcBorders>
              <w:top w:val="nil"/>
              <w:left w:val="nil"/>
              <w:bottom w:val="single" w:sz="4" w:space="0" w:color="auto"/>
              <w:right w:val="nil"/>
            </w:tcBorders>
            <w:shd w:val="clear" w:color="auto" w:fill="auto"/>
            <w:noWrap/>
            <w:vAlign w:val="bottom"/>
            <w:hideMark/>
          </w:tcPr>
          <w:p w14:paraId="2860148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bCs/>
                <w:iCs/>
                <w:color w:val="000000"/>
                <w:sz w:val="24"/>
                <w:szCs w:val="24"/>
              </w:rPr>
              <w:t>Skewness corrected test</w:t>
            </w:r>
          </w:p>
        </w:tc>
        <w:tc>
          <w:tcPr>
            <w:tcW w:w="640" w:type="pct"/>
            <w:tcBorders>
              <w:top w:val="nil"/>
              <w:left w:val="nil"/>
              <w:bottom w:val="single" w:sz="4" w:space="0" w:color="auto"/>
              <w:right w:val="nil"/>
            </w:tcBorders>
            <w:shd w:val="clear" w:color="auto" w:fill="auto"/>
            <w:noWrap/>
            <w:vAlign w:val="bottom"/>
            <w:hideMark/>
          </w:tcPr>
          <w:p w14:paraId="090049A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Rank test</w:t>
            </w:r>
          </w:p>
        </w:tc>
      </w:tr>
      <w:tr w:rsidR="0033739C" w:rsidRPr="00D97714" w14:paraId="6C967EC7" w14:textId="77777777" w:rsidTr="00586912">
        <w:trPr>
          <w:trHeight w:val="20"/>
        </w:trPr>
        <w:tc>
          <w:tcPr>
            <w:tcW w:w="1560" w:type="pct"/>
            <w:tcBorders>
              <w:top w:val="nil"/>
              <w:left w:val="nil"/>
              <w:bottom w:val="nil"/>
              <w:right w:val="nil"/>
            </w:tcBorders>
            <w:shd w:val="clear" w:color="auto" w:fill="auto"/>
            <w:noWrap/>
            <w:vAlign w:val="bottom"/>
            <w:hideMark/>
          </w:tcPr>
          <w:p w14:paraId="7181388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Market adjusted</w:t>
            </w:r>
          </w:p>
        </w:tc>
        <w:tc>
          <w:tcPr>
            <w:tcW w:w="643" w:type="pct"/>
            <w:tcBorders>
              <w:top w:val="nil"/>
              <w:left w:val="nil"/>
              <w:bottom w:val="nil"/>
              <w:right w:val="nil"/>
            </w:tcBorders>
            <w:shd w:val="clear" w:color="auto" w:fill="auto"/>
            <w:noWrap/>
            <w:vAlign w:val="center"/>
            <w:hideMark/>
          </w:tcPr>
          <w:p w14:paraId="0561EF0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(-10,+5)</w:t>
            </w:r>
          </w:p>
        </w:tc>
        <w:tc>
          <w:tcPr>
            <w:tcW w:w="484" w:type="pct"/>
            <w:tcBorders>
              <w:top w:val="nil"/>
              <w:left w:val="nil"/>
              <w:bottom w:val="nil"/>
              <w:right w:val="nil"/>
            </w:tcBorders>
            <w:shd w:val="clear" w:color="auto" w:fill="auto"/>
            <w:noWrap/>
            <w:vAlign w:val="bottom"/>
            <w:hideMark/>
          </w:tcPr>
          <w:p w14:paraId="191AC51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0.35%</w:t>
            </w:r>
          </w:p>
        </w:tc>
        <w:tc>
          <w:tcPr>
            <w:tcW w:w="606" w:type="pct"/>
            <w:tcBorders>
              <w:top w:val="nil"/>
              <w:left w:val="nil"/>
              <w:bottom w:val="nil"/>
              <w:right w:val="nil"/>
            </w:tcBorders>
            <w:shd w:val="clear" w:color="auto" w:fill="auto"/>
            <w:noWrap/>
            <w:vAlign w:val="bottom"/>
            <w:hideMark/>
          </w:tcPr>
          <w:p w14:paraId="3308DBE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270:237</w:t>
            </w:r>
          </w:p>
        </w:tc>
        <w:tc>
          <w:tcPr>
            <w:tcW w:w="1067" w:type="pct"/>
            <w:tcBorders>
              <w:top w:val="nil"/>
              <w:left w:val="nil"/>
              <w:bottom w:val="nil"/>
              <w:right w:val="nil"/>
            </w:tcBorders>
            <w:shd w:val="clear" w:color="auto" w:fill="auto"/>
            <w:noWrap/>
            <w:vAlign w:val="bottom"/>
            <w:hideMark/>
          </w:tcPr>
          <w:p w14:paraId="75E8014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2.752***</w:t>
            </w:r>
          </w:p>
        </w:tc>
        <w:tc>
          <w:tcPr>
            <w:tcW w:w="640" w:type="pct"/>
            <w:tcBorders>
              <w:top w:val="nil"/>
              <w:left w:val="nil"/>
              <w:bottom w:val="nil"/>
              <w:right w:val="nil"/>
            </w:tcBorders>
            <w:shd w:val="clear" w:color="auto" w:fill="auto"/>
            <w:noWrap/>
            <w:vAlign w:val="bottom"/>
            <w:hideMark/>
          </w:tcPr>
          <w:p w14:paraId="6085157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1.756*</w:t>
            </w:r>
          </w:p>
        </w:tc>
      </w:tr>
      <w:tr w:rsidR="0033739C" w:rsidRPr="00D97714" w14:paraId="4F592DEC" w14:textId="77777777" w:rsidTr="00586912">
        <w:trPr>
          <w:trHeight w:val="20"/>
        </w:trPr>
        <w:tc>
          <w:tcPr>
            <w:tcW w:w="1560" w:type="pct"/>
            <w:tcBorders>
              <w:top w:val="nil"/>
              <w:left w:val="nil"/>
              <w:bottom w:val="nil"/>
              <w:right w:val="nil"/>
            </w:tcBorders>
            <w:shd w:val="clear" w:color="auto" w:fill="auto"/>
            <w:noWrap/>
            <w:vAlign w:val="bottom"/>
            <w:hideMark/>
          </w:tcPr>
          <w:p w14:paraId="648A89B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31D2CB7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(-5,+5)</w:t>
            </w:r>
          </w:p>
        </w:tc>
        <w:tc>
          <w:tcPr>
            <w:tcW w:w="484" w:type="pct"/>
            <w:tcBorders>
              <w:top w:val="nil"/>
              <w:left w:val="nil"/>
              <w:bottom w:val="nil"/>
              <w:right w:val="nil"/>
            </w:tcBorders>
            <w:shd w:val="clear" w:color="auto" w:fill="auto"/>
            <w:noWrap/>
            <w:vAlign w:val="bottom"/>
            <w:hideMark/>
          </w:tcPr>
          <w:p w14:paraId="7ED34ED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0.20%</w:t>
            </w:r>
          </w:p>
        </w:tc>
        <w:tc>
          <w:tcPr>
            <w:tcW w:w="606" w:type="pct"/>
            <w:tcBorders>
              <w:top w:val="nil"/>
              <w:left w:val="nil"/>
              <w:bottom w:val="nil"/>
              <w:right w:val="nil"/>
            </w:tcBorders>
            <w:shd w:val="clear" w:color="auto" w:fill="auto"/>
            <w:noWrap/>
            <w:vAlign w:val="bottom"/>
            <w:hideMark/>
          </w:tcPr>
          <w:p w14:paraId="0B8589E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264:243</w:t>
            </w:r>
          </w:p>
        </w:tc>
        <w:tc>
          <w:tcPr>
            <w:tcW w:w="1067" w:type="pct"/>
            <w:tcBorders>
              <w:top w:val="nil"/>
              <w:left w:val="nil"/>
              <w:bottom w:val="nil"/>
              <w:right w:val="nil"/>
            </w:tcBorders>
            <w:shd w:val="clear" w:color="auto" w:fill="auto"/>
            <w:noWrap/>
            <w:vAlign w:val="bottom"/>
            <w:hideMark/>
          </w:tcPr>
          <w:p w14:paraId="1D08CC2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1.949**</w:t>
            </w:r>
          </w:p>
        </w:tc>
        <w:tc>
          <w:tcPr>
            <w:tcW w:w="640" w:type="pct"/>
            <w:tcBorders>
              <w:top w:val="nil"/>
              <w:left w:val="nil"/>
              <w:bottom w:val="nil"/>
              <w:right w:val="nil"/>
            </w:tcBorders>
            <w:shd w:val="clear" w:color="auto" w:fill="auto"/>
            <w:noWrap/>
            <w:vAlign w:val="bottom"/>
            <w:hideMark/>
          </w:tcPr>
          <w:p w14:paraId="758D789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1.02</w:t>
            </w:r>
          </w:p>
        </w:tc>
      </w:tr>
      <w:tr w:rsidR="0033739C" w:rsidRPr="00D97714" w14:paraId="3378B5A5" w14:textId="77777777" w:rsidTr="00586912">
        <w:trPr>
          <w:trHeight w:val="20"/>
        </w:trPr>
        <w:tc>
          <w:tcPr>
            <w:tcW w:w="1560" w:type="pct"/>
            <w:tcBorders>
              <w:top w:val="nil"/>
              <w:left w:val="nil"/>
              <w:bottom w:val="nil"/>
              <w:right w:val="nil"/>
            </w:tcBorders>
            <w:shd w:val="clear" w:color="auto" w:fill="auto"/>
            <w:noWrap/>
            <w:vAlign w:val="bottom"/>
            <w:hideMark/>
          </w:tcPr>
          <w:p w14:paraId="2B439F9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5C4D0F3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w:t>
            </w:r>
          </w:p>
        </w:tc>
        <w:tc>
          <w:tcPr>
            <w:tcW w:w="484" w:type="pct"/>
            <w:tcBorders>
              <w:top w:val="nil"/>
              <w:left w:val="nil"/>
              <w:bottom w:val="nil"/>
              <w:right w:val="nil"/>
            </w:tcBorders>
            <w:shd w:val="clear" w:color="auto" w:fill="auto"/>
            <w:noWrap/>
            <w:vAlign w:val="bottom"/>
            <w:hideMark/>
          </w:tcPr>
          <w:p w14:paraId="134D516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w:t>
            </w:r>
          </w:p>
        </w:tc>
        <w:tc>
          <w:tcPr>
            <w:tcW w:w="606" w:type="pct"/>
            <w:tcBorders>
              <w:top w:val="nil"/>
              <w:left w:val="nil"/>
              <w:bottom w:val="nil"/>
              <w:right w:val="nil"/>
            </w:tcBorders>
            <w:shd w:val="clear" w:color="auto" w:fill="auto"/>
            <w:noWrap/>
            <w:vAlign w:val="bottom"/>
            <w:hideMark/>
          </w:tcPr>
          <w:p w14:paraId="18398F0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265:242</w:t>
            </w:r>
          </w:p>
        </w:tc>
        <w:tc>
          <w:tcPr>
            <w:tcW w:w="1067" w:type="pct"/>
            <w:tcBorders>
              <w:top w:val="nil"/>
              <w:left w:val="nil"/>
              <w:bottom w:val="nil"/>
              <w:right w:val="nil"/>
            </w:tcBorders>
            <w:shd w:val="clear" w:color="auto" w:fill="auto"/>
            <w:noWrap/>
            <w:vAlign w:val="bottom"/>
            <w:hideMark/>
          </w:tcPr>
          <w:p w14:paraId="7330BD8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0.684</w:t>
            </w:r>
          </w:p>
        </w:tc>
        <w:tc>
          <w:tcPr>
            <w:tcW w:w="640" w:type="pct"/>
            <w:tcBorders>
              <w:top w:val="nil"/>
              <w:left w:val="nil"/>
              <w:bottom w:val="nil"/>
              <w:right w:val="nil"/>
            </w:tcBorders>
            <w:shd w:val="clear" w:color="auto" w:fill="auto"/>
            <w:noWrap/>
            <w:vAlign w:val="bottom"/>
            <w:hideMark/>
          </w:tcPr>
          <w:p w14:paraId="2FE3066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0.353</w:t>
            </w:r>
          </w:p>
        </w:tc>
      </w:tr>
      <w:tr w:rsidR="0033739C" w:rsidRPr="00D97714" w14:paraId="1B7AE286" w14:textId="77777777" w:rsidTr="00586912">
        <w:trPr>
          <w:trHeight w:val="20"/>
        </w:trPr>
        <w:tc>
          <w:tcPr>
            <w:tcW w:w="1560" w:type="pct"/>
            <w:tcBorders>
              <w:top w:val="nil"/>
              <w:left w:val="nil"/>
              <w:bottom w:val="nil"/>
              <w:right w:val="nil"/>
            </w:tcBorders>
            <w:shd w:val="clear" w:color="auto" w:fill="auto"/>
            <w:noWrap/>
            <w:vAlign w:val="bottom"/>
            <w:hideMark/>
          </w:tcPr>
          <w:p w14:paraId="38DD3ED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Market model</w:t>
            </w:r>
          </w:p>
        </w:tc>
        <w:tc>
          <w:tcPr>
            <w:tcW w:w="643" w:type="pct"/>
            <w:tcBorders>
              <w:top w:val="nil"/>
              <w:left w:val="nil"/>
              <w:bottom w:val="nil"/>
              <w:right w:val="nil"/>
            </w:tcBorders>
            <w:shd w:val="clear" w:color="auto" w:fill="auto"/>
            <w:noWrap/>
            <w:vAlign w:val="center"/>
            <w:hideMark/>
          </w:tcPr>
          <w:p w14:paraId="1AC0143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(-10,+5)</w:t>
            </w:r>
          </w:p>
        </w:tc>
        <w:tc>
          <w:tcPr>
            <w:tcW w:w="484" w:type="pct"/>
            <w:tcBorders>
              <w:top w:val="nil"/>
              <w:left w:val="nil"/>
              <w:bottom w:val="nil"/>
              <w:right w:val="nil"/>
            </w:tcBorders>
            <w:shd w:val="clear" w:color="auto" w:fill="auto"/>
            <w:noWrap/>
            <w:vAlign w:val="bottom"/>
            <w:hideMark/>
          </w:tcPr>
          <w:p w14:paraId="55D493F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0.44%</w:t>
            </w:r>
          </w:p>
        </w:tc>
        <w:tc>
          <w:tcPr>
            <w:tcW w:w="606" w:type="pct"/>
            <w:tcBorders>
              <w:top w:val="nil"/>
              <w:left w:val="nil"/>
              <w:bottom w:val="nil"/>
              <w:right w:val="nil"/>
            </w:tcBorders>
            <w:shd w:val="clear" w:color="auto" w:fill="auto"/>
            <w:noWrap/>
            <w:vAlign w:val="bottom"/>
            <w:hideMark/>
          </w:tcPr>
          <w:p w14:paraId="573C581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265:242</w:t>
            </w:r>
          </w:p>
        </w:tc>
        <w:tc>
          <w:tcPr>
            <w:tcW w:w="1067" w:type="pct"/>
            <w:tcBorders>
              <w:top w:val="nil"/>
              <w:left w:val="nil"/>
              <w:bottom w:val="nil"/>
              <w:right w:val="nil"/>
            </w:tcBorders>
            <w:shd w:val="clear" w:color="auto" w:fill="auto"/>
            <w:noWrap/>
            <w:vAlign w:val="bottom"/>
            <w:hideMark/>
          </w:tcPr>
          <w:p w14:paraId="410C7ED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4.498***</w:t>
            </w:r>
          </w:p>
        </w:tc>
        <w:tc>
          <w:tcPr>
            <w:tcW w:w="640" w:type="pct"/>
            <w:tcBorders>
              <w:top w:val="nil"/>
              <w:left w:val="nil"/>
              <w:bottom w:val="nil"/>
              <w:right w:val="nil"/>
            </w:tcBorders>
            <w:shd w:val="clear" w:color="auto" w:fill="auto"/>
            <w:noWrap/>
            <w:vAlign w:val="bottom"/>
            <w:hideMark/>
          </w:tcPr>
          <w:p w14:paraId="176BBE9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2.549***</w:t>
            </w:r>
          </w:p>
        </w:tc>
      </w:tr>
      <w:tr w:rsidR="0033739C" w:rsidRPr="00D97714" w14:paraId="1C85B957" w14:textId="77777777" w:rsidTr="00586912">
        <w:trPr>
          <w:trHeight w:val="20"/>
        </w:trPr>
        <w:tc>
          <w:tcPr>
            <w:tcW w:w="1560" w:type="pct"/>
            <w:tcBorders>
              <w:top w:val="nil"/>
              <w:left w:val="nil"/>
              <w:bottom w:val="nil"/>
              <w:right w:val="nil"/>
            </w:tcBorders>
            <w:shd w:val="clear" w:color="auto" w:fill="auto"/>
            <w:noWrap/>
            <w:vAlign w:val="bottom"/>
            <w:hideMark/>
          </w:tcPr>
          <w:p w14:paraId="5450EF5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3FFAD37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(-5,+5)</w:t>
            </w:r>
          </w:p>
        </w:tc>
        <w:tc>
          <w:tcPr>
            <w:tcW w:w="484" w:type="pct"/>
            <w:tcBorders>
              <w:top w:val="nil"/>
              <w:left w:val="nil"/>
              <w:bottom w:val="nil"/>
              <w:right w:val="nil"/>
            </w:tcBorders>
            <w:shd w:val="clear" w:color="auto" w:fill="auto"/>
            <w:noWrap/>
            <w:vAlign w:val="bottom"/>
            <w:hideMark/>
          </w:tcPr>
          <w:p w14:paraId="148E730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0.26%</w:t>
            </w:r>
          </w:p>
        </w:tc>
        <w:tc>
          <w:tcPr>
            <w:tcW w:w="606" w:type="pct"/>
            <w:tcBorders>
              <w:top w:val="nil"/>
              <w:left w:val="nil"/>
              <w:bottom w:val="nil"/>
              <w:right w:val="nil"/>
            </w:tcBorders>
            <w:shd w:val="clear" w:color="auto" w:fill="auto"/>
            <w:noWrap/>
            <w:vAlign w:val="bottom"/>
            <w:hideMark/>
          </w:tcPr>
          <w:p w14:paraId="37E00A1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262:245</w:t>
            </w:r>
          </w:p>
        </w:tc>
        <w:tc>
          <w:tcPr>
            <w:tcW w:w="1067" w:type="pct"/>
            <w:tcBorders>
              <w:top w:val="nil"/>
              <w:left w:val="nil"/>
              <w:bottom w:val="nil"/>
              <w:right w:val="nil"/>
            </w:tcBorders>
            <w:shd w:val="clear" w:color="auto" w:fill="auto"/>
            <w:noWrap/>
            <w:vAlign w:val="bottom"/>
            <w:hideMark/>
          </w:tcPr>
          <w:p w14:paraId="28EF1A4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3.273***</w:t>
            </w:r>
          </w:p>
        </w:tc>
        <w:tc>
          <w:tcPr>
            <w:tcW w:w="640" w:type="pct"/>
            <w:tcBorders>
              <w:top w:val="nil"/>
              <w:left w:val="nil"/>
              <w:bottom w:val="nil"/>
              <w:right w:val="nil"/>
            </w:tcBorders>
            <w:shd w:val="clear" w:color="auto" w:fill="auto"/>
            <w:noWrap/>
            <w:vAlign w:val="bottom"/>
            <w:hideMark/>
          </w:tcPr>
          <w:p w14:paraId="77D0B39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2.646*</w:t>
            </w:r>
          </w:p>
        </w:tc>
      </w:tr>
      <w:tr w:rsidR="0033739C" w:rsidRPr="00D97714" w14:paraId="02A392FE" w14:textId="77777777" w:rsidTr="00586912">
        <w:trPr>
          <w:trHeight w:val="20"/>
        </w:trPr>
        <w:tc>
          <w:tcPr>
            <w:tcW w:w="1560" w:type="pct"/>
            <w:tcBorders>
              <w:top w:val="nil"/>
              <w:left w:val="nil"/>
              <w:bottom w:val="nil"/>
              <w:right w:val="nil"/>
            </w:tcBorders>
            <w:shd w:val="clear" w:color="auto" w:fill="auto"/>
            <w:noWrap/>
            <w:vAlign w:val="bottom"/>
            <w:hideMark/>
          </w:tcPr>
          <w:p w14:paraId="5123F53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6B839BD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w:t>
            </w:r>
          </w:p>
        </w:tc>
        <w:tc>
          <w:tcPr>
            <w:tcW w:w="484" w:type="pct"/>
            <w:tcBorders>
              <w:top w:val="nil"/>
              <w:left w:val="nil"/>
              <w:bottom w:val="nil"/>
              <w:right w:val="nil"/>
            </w:tcBorders>
            <w:shd w:val="clear" w:color="auto" w:fill="auto"/>
            <w:noWrap/>
            <w:vAlign w:val="bottom"/>
            <w:hideMark/>
          </w:tcPr>
          <w:p w14:paraId="32FF7FC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0.06%</w:t>
            </w:r>
          </w:p>
        </w:tc>
        <w:tc>
          <w:tcPr>
            <w:tcW w:w="606" w:type="pct"/>
            <w:tcBorders>
              <w:top w:val="nil"/>
              <w:left w:val="nil"/>
              <w:bottom w:val="nil"/>
              <w:right w:val="nil"/>
            </w:tcBorders>
            <w:shd w:val="clear" w:color="auto" w:fill="auto"/>
            <w:noWrap/>
            <w:vAlign w:val="bottom"/>
            <w:hideMark/>
          </w:tcPr>
          <w:p w14:paraId="0ED5869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255:252</w:t>
            </w:r>
          </w:p>
        </w:tc>
        <w:tc>
          <w:tcPr>
            <w:tcW w:w="1067" w:type="pct"/>
            <w:tcBorders>
              <w:top w:val="nil"/>
              <w:left w:val="nil"/>
              <w:bottom w:val="nil"/>
              <w:right w:val="nil"/>
            </w:tcBorders>
            <w:shd w:val="clear" w:color="auto" w:fill="auto"/>
            <w:noWrap/>
            <w:vAlign w:val="bottom"/>
            <w:hideMark/>
          </w:tcPr>
          <w:p w14:paraId="30999A3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1.196</w:t>
            </w:r>
          </w:p>
        </w:tc>
        <w:tc>
          <w:tcPr>
            <w:tcW w:w="640" w:type="pct"/>
            <w:tcBorders>
              <w:top w:val="nil"/>
              <w:left w:val="nil"/>
              <w:bottom w:val="nil"/>
              <w:right w:val="nil"/>
            </w:tcBorders>
            <w:shd w:val="clear" w:color="auto" w:fill="auto"/>
            <w:noWrap/>
            <w:vAlign w:val="bottom"/>
            <w:hideMark/>
          </w:tcPr>
          <w:p w14:paraId="0FBDE26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1.196</w:t>
            </w:r>
          </w:p>
        </w:tc>
      </w:tr>
      <w:tr w:rsidR="0033739C" w:rsidRPr="00D97714" w14:paraId="68DC3E1E" w14:textId="77777777" w:rsidTr="00586912">
        <w:trPr>
          <w:trHeight w:val="20"/>
        </w:trPr>
        <w:tc>
          <w:tcPr>
            <w:tcW w:w="1560" w:type="pct"/>
            <w:tcBorders>
              <w:top w:val="nil"/>
              <w:left w:val="nil"/>
              <w:bottom w:val="nil"/>
              <w:right w:val="nil"/>
            </w:tcBorders>
            <w:shd w:val="clear" w:color="auto" w:fill="auto"/>
            <w:noWrap/>
            <w:vAlign w:val="bottom"/>
            <w:hideMark/>
          </w:tcPr>
          <w:p w14:paraId="584ABA4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Fama-French 3-factor model</w:t>
            </w:r>
          </w:p>
        </w:tc>
        <w:tc>
          <w:tcPr>
            <w:tcW w:w="643" w:type="pct"/>
            <w:tcBorders>
              <w:top w:val="nil"/>
              <w:left w:val="nil"/>
              <w:bottom w:val="nil"/>
              <w:right w:val="nil"/>
            </w:tcBorders>
            <w:shd w:val="clear" w:color="auto" w:fill="auto"/>
            <w:noWrap/>
            <w:vAlign w:val="center"/>
            <w:hideMark/>
          </w:tcPr>
          <w:p w14:paraId="45D8B20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(-10,+5)</w:t>
            </w:r>
          </w:p>
        </w:tc>
        <w:tc>
          <w:tcPr>
            <w:tcW w:w="484" w:type="pct"/>
            <w:tcBorders>
              <w:top w:val="nil"/>
              <w:left w:val="nil"/>
              <w:bottom w:val="nil"/>
              <w:right w:val="nil"/>
            </w:tcBorders>
            <w:shd w:val="clear" w:color="auto" w:fill="auto"/>
            <w:noWrap/>
            <w:vAlign w:val="bottom"/>
            <w:hideMark/>
          </w:tcPr>
          <w:p w14:paraId="2533640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0.40%</w:t>
            </w:r>
          </w:p>
        </w:tc>
        <w:tc>
          <w:tcPr>
            <w:tcW w:w="606" w:type="pct"/>
            <w:tcBorders>
              <w:top w:val="nil"/>
              <w:left w:val="nil"/>
              <w:bottom w:val="nil"/>
              <w:right w:val="nil"/>
            </w:tcBorders>
            <w:shd w:val="clear" w:color="auto" w:fill="auto"/>
            <w:noWrap/>
            <w:vAlign w:val="bottom"/>
            <w:hideMark/>
          </w:tcPr>
          <w:p w14:paraId="3F9243E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256:251</w:t>
            </w:r>
          </w:p>
        </w:tc>
        <w:tc>
          <w:tcPr>
            <w:tcW w:w="1067" w:type="pct"/>
            <w:tcBorders>
              <w:top w:val="nil"/>
              <w:left w:val="nil"/>
              <w:bottom w:val="nil"/>
              <w:right w:val="nil"/>
            </w:tcBorders>
            <w:shd w:val="clear" w:color="auto" w:fill="auto"/>
            <w:noWrap/>
            <w:vAlign w:val="bottom"/>
            <w:hideMark/>
          </w:tcPr>
          <w:p w14:paraId="6944C8F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4.575***</w:t>
            </w:r>
          </w:p>
        </w:tc>
        <w:tc>
          <w:tcPr>
            <w:tcW w:w="640" w:type="pct"/>
            <w:tcBorders>
              <w:top w:val="nil"/>
              <w:left w:val="nil"/>
              <w:bottom w:val="nil"/>
              <w:right w:val="nil"/>
            </w:tcBorders>
            <w:shd w:val="clear" w:color="auto" w:fill="auto"/>
            <w:noWrap/>
            <w:vAlign w:val="bottom"/>
            <w:hideMark/>
          </w:tcPr>
          <w:p w14:paraId="0EDDAA5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2.020**</w:t>
            </w:r>
          </w:p>
        </w:tc>
      </w:tr>
      <w:tr w:rsidR="0033739C" w:rsidRPr="00D97714" w14:paraId="30A770CD" w14:textId="77777777" w:rsidTr="00586912">
        <w:trPr>
          <w:trHeight w:val="20"/>
        </w:trPr>
        <w:tc>
          <w:tcPr>
            <w:tcW w:w="1560" w:type="pct"/>
            <w:tcBorders>
              <w:top w:val="nil"/>
              <w:left w:val="nil"/>
              <w:bottom w:val="nil"/>
              <w:right w:val="nil"/>
            </w:tcBorders>
            <w:shd w:val="clear" w:color="auto" w:fill="auto"/>
            <w:noWrap/>
            <w:vAlign w:val="bottom"/>
            <w:hideMark/>
          </w:tcPr>
          <w:p w14:paraId="6447EA6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643" w:type="pct"/>
            <w:tcBorders>
              <w:top w:val="nil"/>
              <w:left w:val="nil"/>
              <w:bottom w:val="nil"/>
              <w:right w:val="nil"/>
            </w:tcBorders>
            <w:shd w:val="clear" w:color="auto" w:fill="auto"/>
            <w:noWrap/>
            <w:vAlign w:val="center"/>
            <w:hideMark/>
          </w:tcPr>
          <w:p w14:paraId="35F9362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(-5,+5)</w:t>
            </w:r>
          </w:p>
        </w:tc>
        <w:tc>
          <w:tcPr>
            <w:tcW w:w="484" w:type="pct"/>
            <w:tcBorders>
              <w:top w:val="nil"/>
              <w:left w:val="nil"/>
              <w:bottom w:val="nil"/>
              <w:right w:val="nil"/>
            </w:tcBorders>
            <w:shd w:val="clear" w:color="auto" w:fill="auto"/>
            <w:noWrap/>
            <w:vAlign w:val="bottom"/>
            <w:hideMark/>
          </w:tcPr>
          <w:p w14:paraId="349F7F3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0.26%</w:t>
            </w:r>
          </w:p>
        </w:tc>
        <w:tc>
          <w:tcPr>
            <w:tcW w:w="606" w:type="pct"/>
            <w:tcBorders>
              <w:top w:val="nil"/>
              <w:left w:val="nil"/>
              <w:bottom w:val="nil"/>
              <w:right w:val="nil"/>
            </w:tcBorders>
            <w:shd w:val="clear" w:color="auto" w:fill="auto"/>
            <w:noWrap/>
            <w:vAlign w:val="bottom"/>
            <w:hideMark/>
          </w:tcPr>
          <w:p w14:paraId="65E01CE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262:245</w:t>
            </w:r>
          </w:p>
        </w:tc>
        <w:tc>
          <w:tcPr>
            <w:tcW w:w="1067" w:type="pct"/>
            <w:tcBorders>
              <w:top w:val="nil"/>
              <w:left w:val="nil"/>
              <w:bottom w:val="nil"/>
              <w:right w:val="nil"/>
            </w:tcBorders>
            <w:shd w:val="clear" w:color="auto" w:fill="auto"/>
            <w:noWrap/>
            <w:vAlign w:val="bottom"/>
            <w:hideMark/>
          </w:tcPr>
          <w:p w14:paraId="61C26F8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3.532***</w:t>
            </w:r>
          </w:p>
        </w:tc>
        <w:tc>
          <w:tcPr>
            <w:tcW w:w="640" w:type="pct"/>
            <w:tcBorders>
              <w:top w:val="nil"/>
              <w:left w:val="nil"/>
              <w:bottom w:val="nil"/>
              <w:right w:val="nil"/>
            </w:tcBorders>
            <w:shd w:val="clear" w:color="auto" w:fill="auto"/>
            <w:noWrap/>
            <w:vAlign w:val="bottom"/>
            <w:hideMark/>
          </w:tcPr>
          <w:p w14:paraId="7B3EBB6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2.482**</w:t>
            </w:r>
          </w:p>
        </w:tc>
      </w:tr>
      <w:tr w:rsidR="0033739C" w:rsidRPr="00D97714" w14:paraId="6A30A78B" w14:textId="77777777" w:rsidTr="00586912">
        <w:trPr>
          <w:trHeight w:val="20"/>
        </w:trPr>
        <w:tc>
          <w:tcPr>
            <w:tcW w:w="1560" w:type="pct"/>
            <w:tcBorders>
              <w:top w:val="nil"/>
              <w:left w:val="nil"/>
              <w:bottom w:val="single" w:sz="4" w:space="0" w:color="auto"/>
              <w:right w:val="nil"/>
            </w:tcBorders>
            <w:shd w:val="clear" w:color="auto" w:fill="auto"/>
            <w:noWrap/>
            <w:vAlign w:val="bottom"/>
            <w:hideMark/>
          </w:tcPr>
          <w:p w14:paraId="229F25F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 </w:t>
            </w:r>
          </w:p>
        </w:tc>
        <w:tc>
          <w:tcPr>
            <w:tcW w:w="643" w:type="pct"/>
            <w:tcBorders>
              <w:top w:val="nil"/>
              <w:left w:val="nil"/>
              <w:bottom w:val="single" w:sz="4" w:space="0" w:color="auto"/>
              <w:right w:val="nil"/>
            </w:tcBorders>
            <w:shd w:val="clear" w:color="auto" w:fill="auto"/>
            <w:noWrap/>
            <w:vAlign w:val="center"/>
            <w:hideMark/>
          </w:tcPr>
          <w:p w14:paraId="4E81399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w:t>
            </w:r>
          </w:p>
        </w:tc>
        <w:tc>
          <w:tcPr>
            <w:tcW w:w="484" w:type="pct"/>
            <w:tcBorders>
              <w:top w:val="nil"/>
              <w:left w:val="nil"/>
              <w:bottom w:val="single" w:sz="4" w:space="0" w:color="auto"/>
              <w:right w:val="nil"/>
            </w:tcBorders>
            <w:shd w:val="clear" w:color="auto" w:fill="auto"/>
            <w:noWrap/>
            <w:vAlign w:val="bottom"/>
            <w:hideMark/>
          </w:tcPr>
          <w:p w14:paraId="4E8C530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0.03%</w:t>
            </w:r>
          </w:p>
        </w:tc>
        <w:tc>
          <w:tcPr>
            <w:tcW w:w="606" w:type="pct"/>
            <w:tcBorders>
              <w:top w:val="nil"/>
              <w:left w:val="nil"/>
              <w:bottom w:val="single" w:sz="4" w:space="0" w:color="auto"/>
              <w:right w:val="nil"/>
            </w:tcBorders>
            <w:shd w:val="clear" w:color="auto" w:fill="auto"/>
            <w:noWrap/>
            <w:vAlign w:val="bottom"/>
            <w:hideMark/>
          </w:tcPr>
          <w:p w14:paraId="78599A8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248:259</w:t>
            </w:r>
          </w:p>
        </w:tc>
        <w:tc>
          <w:tcPr>
            <w:tcW w:w="1067" w:type="pct"/>
            <w:tcBorders>
              <w:top w:val="nil"/>
              <w:left w:val="nil"/>
              <w:bottom w:val="single" w:sz="4" w:space="0" w:color="auto"/>
              <w:right w:val="nil"/>
            </w:tcBorders>
            <w:shd w:val="clear" w:color="auto" w:fill="auto"/>
            <w:noWrap/>
            <w:vAlign w:val="bottom"/>
            <w:hideMark/>
          </w:tcPr>
          <w:p w14:paraId="2089A08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1.769*</w:t>
            </w:r>
          </w:p>
        </w:tc>
        <w:tc>
          <w:tcPr>
            <w:tcW w:w="640" w:type="pct"/>
            <w:tcBorders>
              <w:top w:val="nil"/>
              <w:left w:val="nil"/>
              <w:bottom w:val="single" w:sz="4" w:space="0" w:color="auto"/>
              <w:right w:val="nil"/>
            </w:tcBorders>
            <w:shd w:val="clear" w:color="auto" w:fill="auto"/>
            <w:noWrap/>
            <w:vAlign w:val="bottom"/>
            <w:hideMark/>
          </w:tcPr>
          <w:p w14:paraId="5AE04E8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1.428</w:t>
            </w:r>
          </w:p>
        </w:tc>
      </w:tr>
    </w:tbl>
    <w:p w14:paraId="679862ED" w14:textId="1669E029" w:rsidR="0033739C" w:rsidRPr="00D97714" w:rsidRDefault="00586912" w:rsidP="0033739C">
      <w:pPr>
        <w:rPr>
          <w:rFonts w:ascii="Times New Roman" w:hAnsi="Times New Roman" w:cs="Times New Roman"/>
          <w:sz w:val="24"/>
          <w:szCs w:val="24"/>
        </w:rPr>
      </w:pPr>
      <w:r w:rsidRPr="00D97714">
        <w:rPr>
          <w:rFonts w:ascii="Times New Roman" w:hAnsi="Times New Roman" w:cs="Times New Roman"/>
          <w:sz w:val="24"/>
          <w:szCs w:val="24"/>
        </w:rPr>
        <w:t>W</w:t>
      </w:r>
      <w:r w:rsidR="0033739C" w:rsidRPr="00D97714">
        <w:rPr>
          <w:rFonts w:ascii="Times New Roman" w:hAnsi="Times New Roman" w:cs="Times New Roman"/>
          <w:sz w:val="24"/>
          <w:szCs w:val="24"/>
        </w:rPr>
        <w:t xml:space="preserve">e report the cumulative abnormal returns for the target firms in Panel A, for the value-weighted portfolio of matching </w:t>
      </w:r>
      <w:r w:rsidR="00E36149" w:rsidRPr="00D97714">
        <w:rPr>
          <w:rFonts w:ascii="Times New Roman" w:hAnsi="Times New Roman" w:cs="Times New Roman"/>
          <w:sz w:val="24"/>
          <w:szCs w:val="24"/>
        </w:rPr>
        <w:t xml:space="preserve">nontargeted </w:t>
      </w:r>
      <w:r w:rsidR="0033739C" w:rsidRPr="00D97714">
        <w:rPr>
          <w:rFonts w:ascii="Times New Roman" w:hAnsi="Times New Roman" w:cs="Times New Roman"/>
          <w:sz w:val="24"/>
          <w:szCs w:val="24"/>
        </w:rPr>
        <w:t>firms in Panel B and for the equally-weighted portfolio of matching</w:t>
      </w:r>
      <w:r w:rsidR="00E36149" w:rsidRPr="00D97714">
        <w:rPr>
          <w:rFonts w:ascii="Times New Roman" w:hAnsi="Times New Roman" w:cs="Times New Roman"/>
          <w:sz w:val="24"/>
          <w:szCs w:val="24"/>
        </w:rPr>
        <w:t xml:space="preserve"> nontargeted</w:t>
      </w:r>
      <w:r w:rsidR="0033739C" w:rsidRPr="00D97714">
        <w:rPr>
          <w:rFonts w:ascii="Times New Roman" w:hAnsi="Times New Roman" w:cs="Times New Roman"/>
          <w:sz w:val="24"/>
          <w:szCs w:val="24"/>
        </w:rPr>
        <w:t xml:space="preserve"> firms in Panel C. The value-weighted (based upon market capitalization in the preceding year) and equally-weighted portfolios of matching firms are firms in the same quartiles of institutional ownership and of market capitalization as the target firm. Abnormal returns are calculated using 3 alternative methods: </w:t>
      </w:r>
    </w:p>
    <w:p w14:paraId="5C17F95C" w14:textId="2AB87B93" w:rsidR="0033739C" w:rsidRPr="00D97714" w:rsidRDefault="00C82258" w:rsidP="0033739C">
      <w:pPr>
        <w:pStyle w:val="ListParagraph"/>
        <w:numPr>
          <w:ilvl w:val="0"/>
          <w:numId w:val="2"/>
        </w:numPr>
        <w:rPr>
          <w:rFonts w:ascii="Times New Roman" w:hAnsi="Times New Roman" w:cs="Times New Roman"/>
          <w:sz w:val="24"/>
          <w:szCs w:val="24"/>
        </w:rPr>
      </w:pPr>
      <w:r w:rsidRPr="00D97714">
        <w:rPr>
          <w:rFonts w:ascii="Times New Roman" w:hAnsi="Times New Roman" w:cs="Times New Roman"/>
          <w:sz w:val="24"/>
          <w:szCs w:val="24"/>
        </w:rPr>
        <w:t xml:space="preserve">Market-adjusted abnormal </w:t>
      </w:r>
      <w:r w:rsidR="0033739C" w:rsidRPr="00D97714">
        <w:rPr>
          <w:rFonts w:ascii="Times New Roman" w:hAnsi="Times New Roman" w:cs="Times New Roman"/>
          <w:sz w:val="24"/>
          <w:szCs w:val="24"/>
        </w:rPr>
        <w:t>return = Actual return – CRSP equally-weighted index return</w:t>
      </w:r>
    </w:p>
    <w:p w14:paraId="1EC62168" w14:textId="222F217B" w:rsidR="0033739C" w:rsidRPr="00D97714" w:rsidRDefault="00C82258" w:rsidP="0033739C">
      <w:pPr>
        <w:pStyle w:val="ListParagraph"/>
        <w:numPr>
          <w:ilvl w:val="0"/>
          <w:numId w:val="2"/>
        </w:numPr>
        <w:rPr>
          <w:rFonts w:ascii="Times New Roman" w:hAnsi="Times New Roman" w:cs="Times New Roman"/>
          <w:sz w:val="24"/>
          <w:szCs w:val="24"/>
        </w:rPr>
      </w:pPr>
      <w:r w:rsidRPr="00D97714">
        <w:rPr>
          <w:rFonts w:ascii="Times New Roman" w:hAnsi="Times New Roman" w:cs="Times New Roman"/>
          <w:sz w:val="24"/>
          <w:szCs w:val="24"/>
        </w:rPr>
        <w:t xml:space="preserve">Market model abnormal </w:t>
      </w:r>
      <w:r w:rsidR="0033739C" w:rsidRPr="00D97714">
        <w:rPr>
          <w:rFonts w:ascii="Times New Roman" w:hAnsi="Times New Roman" w:cs="Times New Roman"/>
          <w:sz w:val="24"/>
          <w:szCs w:val="24"/>
        </w:rPr>
        <w:t>return = Actual return Ri –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CRSP equally-weighted index returns R</w:t>
      </w:r>
      <w:r w:rsidR="0033739C" w:rsidRPr="00D97714">
        <w:rPr>
          <w:rFonts w:ascii="Times New Roman" w:hAnsi="Times New Roman" w:cs="Times New Roman"/>
          <w:sz w:val="24"/>
          <w:szCs w:val="24"/>
          <w:vertAlign w:val="subscript"/>
        </w:rPr>
        <w:t>mt</w:t>
      </w:r>
      <w:r w:rsidR="0033739C" w:rsidRPr="00D97714">
        <w:rPr>
          <w:rFonts w:ascii="Times New Roman" w:hAnsi="Times New Roman" w:cs="Times New Roman"/>
          <w:sz w:val="24"/>
          <w:szCs w:val="24"/>
        </w:rPr>
        <w:t>), whereby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and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are estimated from the following regression: R</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×R</w:t>
      </w:r>
      <w:r w:rsidR="0033739C" w:rsidRPr="00D97714">
        <w:rPr>
          <w:rFonts w:ascii="Times New Roman" w:hAnsi="Times New Roman" w:cs="Times New Roman"/>
          <w:sz w:val="24"/>
          <w:szCs w:val="24"/>
          <w:vertAlign w:val="subscript"/>
        </w:rPr>
        <w:t>mt</w:t>
      </w:r>
      <w:r w:rsidR="0033739C" w:rsidRPr="00D97714">
        <w:rPr>
          <w:rFonts w:ascii="Times New Roman" w:hAnsi="Times New Roman" w:cs="Times New Roman"/>
          <w:sz w:val="24"/>
          <w:szCs w:val="24"/>
        </w:rPr>
        <w:t xml:space="preserve"> + ɛ</w:t>
      </w:r>
      <w:r w:rsidR="0033739C" w:rsidRPr="00D97714">
        <w:rPr>
          <w:rFonts w:ascii="Times New Roman" w:hAnsi="Times New Roman" w:cs="Times New Roman"/>
          <w:sz w:val="24"/>
          <w:szCs w:val="24"/>
          <w:vertAlign w:val="subscript"/>
        </w:rPr>
        <w:t xml:space="preserve">it </w:t>
      </w:r>
      <w:r w:rsidR="0033739C" w:rsidRPr="00D97714">
        <w:rPr>
          <w:rFonts w:ascii="Times New Roman" w:hAnsi="Times New Roman" w:cs="Times New Roman"/>
          <w:sz w:val="24"/>
          <w:szCs w:val="24"/>
        </w:rPr>
        <w:t>with daily return data in the (-252,-31) day window relative to the announcement date of the activism event.</w:t>
      </w:r>
    </w:p>
    <w:p w14:paraId="31FC443C" w14:textId="60E3DF96" w:rsidR="0033739C" w:rsidRPr="00D97714" w:rsidRDefault="00C82258" w:rsidP="0033739C">
      <w:pPr>
        <w:pStyle w:val="ListParagraph"/>
        <w:numPr>
          <w:ilvl w:val="0"/>
          <w:numId w:val="2"/>
        </w:numPr>
        <w:rPr>
          <w:rFonts w:ascii="Times New Roman" w:hAnsi="Times New Roman" w:cs="Times New Roman"/>
          <w:sz w:val="24"/>
          <w:szCs w:val="24"/>
        </w:rPr>
      </w:pPr>
      <w:r w:rsidRPr="00D97714">
        <w:rPr>
          <w:rFonts w:ascii="Times New Roman" w:hAnsi="Times New Roman" w:cs="Times New Roman"/>
          <w:sz w:val="24"/>
          <w:szCs w:val="24"/>
        </w:rPr>
        <w:t xml:space="preserve">Fama-French three-factor model abnormal </w:t>
      </w:r>
      <w:r w:rsidR="0033739C" w:rsidRPr="00D97714">
        <w:rPr>
          <w:rFonts w:ascii="Times New Roman" w:hAnsi="Times New Roman" w:cs="Times New Roman"/>
          <w:sz w:val="24"/>
          <w:szCs w:val="24"/>
        </w:rPr>
        <w:t>return = Actual return –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R</w:t>
      </w:r>
      <w:r w:rsidR="0033739C" w:rsidRPr="00D97714">
        <w:rPr>
          <w:rFonts w:ascii="Times New Roman" w:hAnsi="Times New Roman" w:cs="Times New Roman"/>
          <w:sz w:val="24"/>
          <w:szCs w:val="24"/>
          <w:vertAlign w:val="subscript"/>
        </w:rPr>
        <w:t>mt</w:t>
      </w:r>
      <w:r w:rsidR="0033739C" w:rsidRPr="00D97714">
        <w:rPr>
          <w:rFonts w:ascii="Times New Roman" w:hAnsi="Times New Roman" w:cs="Times New Roman"/>
          <w:sz w:val="24"/>
          <w:szCs w:val="24"/>
        </w:rPr>
        <w:t xml:space="preserve"> + ɤ</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SMB</w:t>
      </w:r>
      <w:r w:rsidR="0033739C" w:rsidRPr="00D97714">
        <w:rPr>
          <w:rFonts w:ascii="Times New Roman" w:hAnsi="Times New Roman" w:cs="Times New Roman"/>
          <w:sz w:val="24"/>
          <w:szCs w:val="24"/>
          <w:vertAlign w:val="subscript"/>
        </w:rPr>
        <w:t>t</w:t>
      </w:r>
      <w:r w:rsidR="0033739C" w:rsidRPr="00D97714">
        <w:rPr>
          <w:rFonts w:ascii="Times New Roman" w:hAnsi="Times New Roman" w:cs="Times New Roman"/>
          <w:sz w:val="24"/>
          <w:szCs w:val="24"/>
        </w:rPr>
        <w:t xml:space="preserve"> + ɸ</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HML</w:t>
      </w:r>
      <w:r w:rsidR="0033739C" w:rsidRPr="00D97714">
        <w:rPr>
          <w:rFonts w:ascii="Times New Roman" w:hAnsi="Times New Roman" w:cs="Times New Roman"/>
          <w:sz w:val="24"/>
          <w:szCs w:val="24"/>
          <w:vertAlign w:val="subscript"/>
        </w:rPr>
        <w:t>t</w:t>
      </w:r>
      <w:r w:rsidR="0033739C" w:rsidRPr="00D97714">
        <w:rPr>
          <w:rFonts w:ascii="Times New Roman" w:hAnsi="Times New Roman" w:cs="Times New Roman"/>
          <w:sz w:val="24"/>
          <w:szCs w:val="24"/>
        </w:rPr>
        <w:t>), whereby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ɤ</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and ɸ</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are estimated from the following regression: R</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R</w:t>
      </w:r>
      <w:r w:rsidR="0033739C" w:rsidRPr="00D97714">
        <w:rPr>
          <w:rFonts w:ascii="Times New Roman" w:hAnsi="Times New Roman" w:cs="Times New Roman"/>
          <w:sz w:val="24"/>
          <w:szCs w:val="24"/>
          <w:vertAlign w:val="subscript"/>
        </w:rPr>
        <w:t>mt</w:t>
      </w:r>
      <w:r w:rsidR="0033739C" w:rsidRPr="00D97714">
        <w:rPr>
          <w:rFonts w:ascii="Times New Roman" w:hAnsi="Times New Roman" w:cs="Times New Roman"/>
          <w:sz w:val="24"/>
          <w:szCs w:val="24"/>
        </w:rPr>
        <w:t xml:space="preserve"> + ɤ</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SMB</w:t>
      </w:r>
      <w:r w:rsidR="0033739C" w:rsidRPr="00D97714">
        <w:rPr>
          <w:rFonts w:ascii="Times New Roman" w:hAnsi="Times New Roman" w:cs="Times New Roman"/>
          <w:sz w:val="24"/>
          <w:szCs w:val="24"/>
          <w:vertAlign w:val="subscript"/>
        </w:rPr>
        <w:t>t</w:t>
      </w:r>
      <w:r w:rsidR="0033739C" w:rsidRPr="00D97714">
        <w:rPr>
          <w:rFonts w:ascii="Times New Roman" w:hAnsi="Times New Roman" w:cs="Times New Roman"/>
          <w:sz w:val="24"/>
          <w:szCs w:val="24"/>
        </w:rPr>
        <w:t xml:space="preserve"> + ɸ</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HML</w:t>
      </w:r>
      <w:r w:rsidR="0033739C" w:rsidRPr="00D97714">
        <w:rPr>
          <w:rFonts w:ascii="Times New Roman" w:hAnsi="Times New Roman" w:cs="Times New Roman"/>
          <w:sz w:val="24"/>
          <w:szCs w:val="24"/>
          <w:vertAlign w:val="subscript"/>
        </w:rPr>
        <w:t>t</w:t>
      </w:r>
      <w:r w:rsidR="0033739C" w:rsidRPr="00D97714">
        <w:rPr>
          <w:rFonts w:ascii="Times New Roman" w:hAnsi="Times New Roman" w:cs="Times New Roman"/>
          <w:sz w:val="24"/>
          <w:szCs w:val="24"/>
        </w:rPr>
        <w:t xml:space="preserve"> + ɛ</w:t>
      </w:r>
      <w:r w:rsidR="0033739C" w:rsidRPr="00D97714">
        <w:rPr>
          <w:rFonts w:ascii="Times New Roman" w:hAnsi="Times New Roman" w:cs="Times New Roman"/>
          <w:sz w:val="24"/>
          <w:szCs w:val="24"/>
          <w:vertAlign w:val="subscript"/>
        </w:rPr>
        <w:t xml:space="preserve">it </w:t>
      </w:r>
      <w:r w:rsidR="0033739C" w:rsidRPr="00D97714">
        <w:rPr>
          <w:rFonts w:ascii="Times New Roman" w:hAnsi="Times New Roman" w:cs="Times New Roman"/>
          <w:sz w:val="24"/>
          <w:szCs w:val="24"/>
        </w:rPr>
        <w:t xml:space="preserve">with daily return data in the (-252,-31) day window relative to the announcement date of the activism event. SMB and HML are the size and book-to-market factors from Professor Kenneth French website. </w:t>
      </w:r>
    </w:p>
    <w:p w14:paraId="35D28724" w14:textId="77777777" w:rsidR="0033739C" w:rsidRPr="00D97714" w:rsidRDefault="0033739C" w:rsidP="0033739C">
      <w:pPr>
        <w:rPr>
          <w:rFonts w:ascii="Times New Roman" w:hAnsi="Times New Roman" w:cs="Times New Roman"/>
          <w:sz w:val="24"/>
          <w:szCs w:val="24"/>
        </w:rPr>
      </w:pPr>
      <w:r w:rsidRPr="00D97714">
        <w:rPr>
          <w:rFonts w:ascii="Times New Roman" w:hAnsi="Times New Roman" w:cs="Times New Roman"/>
          <w:sz w:val="24"/>
          <w:szCs w:val="24"/>
        </w:rPr>
        <w:t xml:space="preserve">We report the test statistics from the skewness corrected test and the sign rank test. *, ** and *** indicate the significance levels of 10%, 5% and 1%, respectively. </w:t>
      </w:r>
    </w:p>
    <w:p w14:paraId="689745A5" w14:textId="77777777" w:rsidR="0033739C" w:rsidRPr="00D97714" w:rsidRDefault="0033739C" w:rsidP="0033739C">
      <w:pPr>
        <w:rPr>
          <w:rFonts w:ascii="Times New Roman" w:hAnsi="Times New Roman" w:cs="Times New Roman"/>
          <w:sz w:val="24"/>
          <w:szCs w:val="24"/>
        </w:rPr>
        <w:sectPr w:rsidR="0033739C" w:rsidRPr="00D97714" w:rsidSect="009871B7">
          <w:footerReference w:type="default" r:id="rId13"/>
          <w:pgSz w:w="12240" w:h="15840"/>
          <w:pgMar w:top="1440" w:right="1440" w:bottom="1440" w:left="1440" w:header="720" w:footer="720" w:gutter="0"/>
          <w:cols w:space="720"/>
          <w:docGrid w:linePitch="360"/>
        </w:sectPr>
      </w:pPr>
    </w:p>
    <w:tbl>
      <w:tblPr>
        <w:tblpPr w:leftFromText="180" w:rightFromText="180" w:horzAnchor="page" w:tblpX="1450" w:tblpY="-896"/>
        <w:tblW w:w="5000" w:type="pct"/>
        <w:tblLayout w:type="fixed"/>
        <w:tblLook w:val="04A0" w:firstRow="1" w:lastRow="0" w:firstColumn="1" w:lastColumn="0" w:noHBand="0" w:noVBand="1"/>
      </w:tblPr>
      <w:tblGrid>
        <w:gridCol w:w="2394"/>
        <w:gridCol w:w="825"/>
        <w:gridCol w:w="827"/>
        <w:gridCol w:w="1154"/>
        <w:gridCol w:w="163"/>
        <w:gridCol w:w="1070"/>
        <w:gridCol w:w="1407"/>
        <w:gridCol w:w="914"/>
        <w:gridCol w:w="912"/>
        <w:gridCol w:w="1073"/>
        <w:gridCol w:w="1067"/>
        <w:gridCol w:w="1370"/>
      </w:tblGrid>
      <w:tr w:rsidR="0033739C" w:rsidRPr="00561A95" w14:paraId="55D7819E" w14:textId="77777777" w:rsidTr="00561A95">
        <w:trPr>
          <w:trHeight w:val="20"/>
        </w:trPr>
        <w:tc>
          <w:tcPr>
            <w:tcW w:w="5000" w:type="pct"/>
            <w:gridSpan w:val="12"/>
            <w:tcBorders>
              <w:top w:val="nil"/>
              <w:left w:val="nil"/>
              <w:bottom w:val="single" w:sz="4" w:space="0" w:color="auto"/>
              <w:right w:val="nil"/>
            </w:tcBorders>
            <w:shd w:val="clear" w:color="auto" w:fill="auto"/>
            <w:noWrap/>
            <w:vAlign w:val="bottom"/>
          </w:tcPr>
          <w:p w14:paraId="0E57B56B" w14:textId="77777777" w:rsidR="0033739C" w:rsidRPr="00561A95" w:rsidRDefault="0033739C" w:rsidP="00561A95">
            <w:pPr>
              <w:spacing w:after="0" w:line="240" w:lineRule="auto"/>
              <w:rPr>
                <w:rFonts w:ascii="Times New Roman" w:eastAsia="Times New Roman" w:hAnsi="Times New Roman" w:cs="Times New Roman"/>
                <w:b/>
                <w:color w:val="000000"/>
                <w:sz w:val="20"/>
                <w:szCs w:val="20"/>
              </w:rPr>
            </w:pPr>
            <w:r w:rsidRPr="00561A95">
              <w:rPr>
                <w:rFonts w:ascii="Times New Roman" w:eastAsia="Times New Roman" w:hAnsi="Times New Roman" w:cs="Times New Roman"/>
                <w:b/>
                <w:color w:val="000000"/>
                <w:sz w:val="20"/>
                <w:szCs w:val="20"/>
              </w:rPr>
              <w:t>Table 3 - Comparison of Non-Target Matching Firm Portfolio Performance Before vs. After the Activism Events</w:t>
            </w:r>
          </w:p>
        </w:tc>
      </w:tr>
      <w:tr w:rsidR="0033739C" w:rsidRPr="00561A95" w14:paraId="23A54086" w14:textId="77777777" w:rsidTr="00561A95">
        <w:trPr>
          <w:trHeight w:val="20"/>
        </w:trPr>
        <w:tc>
          <w:tcPr>
            <w:tcW w:w="5000" w:type="pct"/>
            <w:gridSpan w:val="12"/>
            <w:tcBorders>
              <w:top w:val="single" w:sz="4" w:space="0" w:color="auto"/>
              <w:left w:val="nil"/>
              <w:bottom w:val="nil"/>
              <w:right w:val="nil"/>
            </w:tcBorders>
            <w:shd w:val="clear" w:color="auto" w:fill="auto"/>
            <w:noWrap/>
            <w:vAlign w:val="bottom"/>
            <w:hideMark/>
          </w:tcPr>
          <w:p w14:paraId="479469A2" w14:textId="77777777" w:rsidR="0033739C" w:rsidRPr="00561A95" w:rsidRDefault="0033739C" w:rsidP="00561A95">
            <w:pPr>
              <w:spacing w:after="0" w:line="240" w:lineRule="auto"/>
              <w:rPr>
                <w:rFonts w:ascii="Times New Roman" w:eastAsia="Times New Roman" w:hAnsi="Times New Roman" w:cs="Times New Roman"/>
                <w:b/>
                <w:i/>
                <w:color w:val="000000"/>
                <w:sz w:val="20"/>
                <w:szCs w:val="20"/>
              </w:rPr>
            </w:pPr>
            <w:r w:rsidRPr="00561A95">
              <w:rPr>
                <w:rFonts w:ascii="Times New Roman" w:eastAsia="Times New Roman" w:hAnsi="Times New Roman" w:cs="Times New Roman"/>
                <w:b/>
                <w:i/>
                <w:color w:val="000000"/>
                <w:sz w:val="20"/>
                <w:szCs w:val="20"/>
              </w:rPr>
              <w:t>Panel A - Comparison of Non-Target Matching Firm Performance in the Year before and the Year After the Activism Events</w:t>
            </w:r>
          </w:p>
        </w:tc>
      </w:tr>
      <w:tr w:rsidR="0033739C" w:rsidRPr="00561A95" w14:paraId="16925EBE" w14:textId="77777777" w:rsidTr="00561A95">
        <w:trPr>
          <w:trHeight w:val="20"/>
        </w:trPr>
        <w:tc>
          <w:tcPr>
            <w:tcW w:w="908" w:type="pct"/>
            <w:tcBorders>
              <w:top w:val="nil"/>
              <w:left w:val="nil"/>
              <w:right w:val="nil"/>
            </w:tcBorders>
            <w:shd w:val="clear" w:color="auto" w:fill="auto"/>
            <w:noWrap/>
            <w:vAlign w:val="bottom"/>
          </w:tcPr>
          <w:p w14:paraId="15A911E6" w14:textId="77777777" w:rsidR="0033739C" w:rsidRPr="00561A95" w:rsidRDefault="0033739C" w:rsidP="00561A95">
            <w:pPr>
              <w:spacing w:after="0" w:line="240" w:lineRule="auto"/>
              <w:rPr>
                <w:rFonts w:ascii="Times New Roman" w:eastAsia="Times New Roman" w:hAnsi="Times New Roman" w:cs="Times New Roman"/>
                <w:sz w:val="20"/>
                <w:szCs w:val="20"/>
              </w:rPr>
            </w:pPr>
          </w:p>
        </w:tc>
        <w:tc>
          <w:tcPr>
            <w:tcW w:w="2067" w:type="pct"/>
            <w:gridSpan w:val="6"/>
            <w:tcBorders>
              <w:top w:val="nil"/>
              <w:left w:val="nil"/>
              <w:right w:val="nil"/>
            </w:tcBorders>
            <w:shd w:val="clear" w:color="auto" w:fill="auto"/>
            <w:noWrap/>
            <w:vAlign w:val="bottom"/>
          </w:tcPr>
          <w:p w14:paraId="1220676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Value-weighted non-target matching portfolios</w:t>
            </w:r>
          </w:p>
        </w:tc>
        <w:tc>
          <w:tcPr>
            <w:tcW w:w="2025" w:type="pct"/>
            <w:gridSpan w:val="5"/>
            <w:tcBorders>
              <w:top w:val="nil"/>
              <w:left w:val="nil"/>
              <w:right w:val="nil"/>
            </w:tcBorders>
            <w:shd w:val="clear" w:color="auto" w:fill="auto"/>
            <w:noWrap/>
            <w:vAlign w:val="bottom"/>
          </w:tcPr>
          <w:p w14:paraId="002B421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Equally-weighted non-target matching portfolios</w:t>
            </w:r>
          </w:p>
        </w:tc>
      </w:tr>
      <w:tr w:rsidR="0033739C" w:rsidRPr="00561A95" w14:paraId="659FFC54" w14:textId="77777777" w:rsidTr="00561A95">
        <w:trPr>
          <w:trHeight w:val="20"/>
        </w:trPr>
        <w:tc>
          <w:tcPr>
            <w:tcW w:w="908" w:type="pct"/>
            <w:tcBorders>
              <w:top w:val="nil"/>
              <w:left w:val="nil"/>
              <w:bottom w:val="single" w:sz="4" w:space="0" w:color="auto"/>
              <w:right w:val="nil"/>
            </w:tcBorders>
            <w:shd w:val="clear" w:color="auto" w:fill="auto"/>
            <w:noWrap/>
            <w:vAlign w:val="bottom"/>
            <w:hideMark/>
          </w:tcPr>
          <w:p w14:paraId="08496D54" w14:textId="77777777" w:rsidR="0033739C" w:rsidRPr="00561A95" w:rsidRDefault="0033739C" w:rsidP="00561A95">
            <w:pPr>
              <w:spacing w:after="0" w:line="240" w:lineRule="auto"/>
              <w:rPr>
                <w:rFonts w:ascii="Times New Roman" w:eastAsia="Times New Roman" w:hAnsi="Times New Roman" w:cs="Times New Roman"/>
                <w:sz w:val="20"/>
                <w:szCs w:val="20"/>
              </w:rPr>
            </w:pPr>
          </w:p>
        </w:tc>
        <w:tc>
          <w:tcPr>
            <w:tcW w:w="313" w:type="pct"/>
            <w:tcBorders>
              <w:top w:val="nil"/>
              <w:left w:val="nil"/>
              <w:bottom w:val="single" w:sz="4" w:space="0" w:color="auto"/>
              <w:right w:val="nil"/>
            </w:tcBorders>
            <w:shd w:val="clear" w:color="auto" w:fill="auto"/>
            <w:noWrap/>
            <w:vAlign w:val="bottom"/>
            <w:hideMark/>
          </w:tcPr>
          <w:p w14:paraId="03F3EA3F"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Before</w:t>
            </w:r>
          </w:p>
        </w:tc>
        <w:tc>
          <w:tcPr>
            <w:tcW w:w="314" w:type="pct"/>
            <w:tcBorders>
              <w:top w:val="nil"/>
              <w:left w:val="nil"/>
              <w:bottom w:val="single" w:sz="4" w:space="0" w:color="auto"/>
              <w:right w:val="nil"/>
            </w:tcBorders>
            <w:shd w:val="clear" w:color="auto" w:fill="auto"/>
            <w:noWrap/>
            <w:vAlign w:val="bottom"/>
            <w:hideMark/>
          </w:tcPr>
          <w:p w14:paraId="3F6E176F"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After</w:t>
            </w:r>
          </w:p>
        </w:tc>
        <w:tc>
          <w:tcPr>
            <w:tcW w:w="438" w:type="pct"/>
            <w:tcBorders>
              <w:top w:val="nil"/>
              <w:left w:val="nil"/>
              <w:bottom w:val="single" w:sz="4" w:space="0" w:color="auto"/>
              <w:right w:val="nil"/>
            </w:tcBorders>
            <w:shd w:val="clear" w:color="auto" w:fill="auto"/>
            <w:noWrap/>
            <w:vAlign w:val="bottom"/>
            <w:hideMark/>
          </w:tcPr>
          <w:p w14:paraId="7D85D13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Difference</w:t>
            </w:r>
          </w:p>
        </w:tc>
        <w:tc>
          <w:tcPr>
            <w:tcW w:w="468" w:type="pct"/>
            <w:gridSpan w:val="2"/>
            <w:tcBorders>
              <w:top w:val="nil"/>
              <w:left w:val="nil"/>
              <w:bottom w:val="single" w:sz="4" w:space="0" w:color="auto"/>
              <w:right w:val="nil"/>
            </w:tcBorders>
            <w:shd w:val="clear" w:color="auto" w:fill="auto"/>
            <w:noWrap/>
            <w:vAlign w:val="bottom"/>
            <w:hideMark/>
          </w:tcPr>
          <w:p w14:paraId="11B86A3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t-stat</w:t>
            </w:r>
          </w:p>
        </w:tc>
        <w:tc>
          <w:tcPr>
            <w:tcW w:w="534" w:type="pct"/>
            <w:tcBorders>
              <w:top w:val="nil"/>
              <w:left w:val="nil"/>
              <w:bottom w:val="single" w:sz="4" w:space="0" w:color="auto"/>
              <w:right w:val="nil"/>
            </w:tcBorders>
            <w:shd w:val="clear" w:color="auto" w:fill="auto"/>
            <w:noWrap/>
            <w:vAlign w:val="bottom"/>
            <w:hideMark/>
          </w:tcPr>
          <w:p w14:paraId="6ACEEEFB"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Wilcoxon-stat</w:t>
            </w:r>
          </w:p>
        </w:tc>
        <w:tc>
          <w:tcPr>
            <w:tcW w:w="347" w:type="pct"/>
            <w:tcBorders>
              <w:top w:val="nil"/>
              <w:left w:val="nil"/>
              <w:bottom w:val="single" w:sz="4" w:space="0" w:color="auto"/>
              <w:right w:val="nil"/>
            </w:tcBorders>
            <w:shd w:val="clear" w:color="auto" w:fill="auto"/>
            <w:noWrap/>
            <w:vAlign w:val="bottom"/>
            <w:hideMark/>
          </w:tcPr>
          <w:p w14:paraId="1FB305D4"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Before</w:t>
            </w:r>
          </w:p>
        </w:tc>
        <w:tc>
          <w:tcPr>
            <w:tcW w:w="346" w:type="pct"/>
            <w:tcBorders>
              <w:top w:val="nil"/>
              <w:left w:val="nil"/>
              <w:bottom w:val="single" w:sz="4" w:space="0" w:color="auto"/>
              <w:right w:val="nil"/>
            </w:tcBorders>
            <w:shd w:val="clear" w:color="auto" w:fill="auto"/>
            <w:noWrap/>
            <w:vAlign w:val="bottom"/>
            <w:hideMark/>
          </w:tcPr>
          <w:p w14:paraId="31F3463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After</w:t>
            </w:r>
          </w:p>
        </w:tc>
        <w:tc>
          <w:tcPr>
            <w:tcW w:w="407" w:type="pct"/>
            <w:tcBorders>
              <w:top w:val="nil"/>
              <w:left w:val="nil"/>
              <w:bottom w:val="single" w:sz="4" w:space="0" w:color="auto"/>
              <w:right w:val="nil"/>
            </w:tcBorders>
            <w:shd w:val="clear" w:color="auto" w:fill="auto"/>
            <w:noWrap/>
            <w:vAlign w:val="bottom"/>
            <w:hideMark/>
          </w:tcPr>
          <w:p w14:paraId="5CD8BE2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Difference</w:t>
            </w:r>
          </w:p>
        </w:tc>
        <w:tc>
          <w:tcPr>
            <w:tcW w:w="405" w:type="pct"/>
            <w:tcBorders>
              <w:top w:val="nil"/>
              <w:left w:val="nil"/>
              <w:bottom w:val="single" w:sz="4" w:space="0" w:color="auto"/>
              <w:right w:val="nil"/>
            </w:tcBorders>
            <w:shd w:val="clear" w:color="auto" w:fill="auto"/>
            <w:noWrap/>
            <w:vAlign w:val="bottom"/>
            <w:hideMark/>
          </w:tcPr>
          <w:p w14:paraId="0203139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t-stat</w:t>
            </w:r>
          </w:p>
        </w:tc>
        <w:tc>
          <w:tcPr>
            <w:tcW w:w="520" w:type="pct"/>
            <w:tcBorders>
              <w:top w:val="nil"/>
              <w:left w:val="nil"/>
              <w:bottom w:val="single" w:sz="4" w:space="0" w:color="auto"/>
              <w:right w:val="nil"/>
            </w:tcBorders>
            <w:shd w:val="clear" w:color="auto" w:fill="auto"/>
            <w:noWrap/>
            <w:vAlign w:val="bottom"/>
            <w:hideMark/>
          </w:tcPr>
          <w:p w14:paraId="4B145224"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Wilcoxon-stat</w:t>
            </w:r>
          </w:p>
        </w:tc>
      </w:tr>
      <w:tr w:rsidR="0033739C" w:rsidRPr="00561A95" w14:paraId="31498571" w14:textId="77777777" w:rsidTr="00561A95">
        <w:trPr>
          <w:trHeight w:val="20"/>
        </w:trPr>
        <w:tc>
          <w:tcPr>
            <w:tcW w:w="908" w:type="pct"/>
            <w:tcBorders>
              <w:top w:val="single" w:sz="4" w:space="0" w:color="auto"/>
              <w:left w:val="single" w:sz="8" w:space="0" w:color="C1C1C1"/>
              <w:bottom w:val="nil"/>
              <w:right w:val="nil"/>
            </w:tcBorders>
            <w:shd w:val="clear" w:color="auto" w:fill="auto"/>
            <w:hideMark/>
          </w:tcPr>
          <w:p w14:paraId="45A01DC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ROA</w:t>
            </w:r>
          </w:p>
        </w:tc>
        <w:tc>
          <w:tcPr>
            <w:tcW w:w="313" w:type="pct"/>
            <w:tcBorders>
              <w:top w:val="single" w:sz="4" w:space="0" w:color="auto"/>
              <w:left w:val="nil"/>
              <w:bottom w:val="nil"/>
              <w:right w:val="nil"/>
            </w:tcBorders>
            <w:shd w:val="clear" w:color="auto" w:fill="auto"/>
            <w:hideMark/>
          </w:tcPr>
          <w:p w14:paraId="2AA3070D"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-0.076</w:t>
            </w:r>
          </w:p>
        </w:tc>
        <w:tc>
          <w:tcPr>
            <w:tcW w:w="314" w:type="pct"/>
            <w:tcBorders>
              <w:top w:val="single" w:sz="4" w:space="0" w:color="auto"/>
              <w:left w:val="nil"/>
              <w:bottom w:val="nil"/>
              <w:right w:val="nil"/>
            </w:tcBorders>
            <w:shd w:val="clear" w:color="auto" w:fill="auto"/>
            <w:hideMark/>
          </w:tcPr>
          <w:p w14:paraId="4B525A8F"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-0.034</w:t>
            </w:r>
          </w:p>
        </w:tc>
        <w:tc>
          <w:tcPr>
            <w:tcW w:w="438" w:type="pct"/>
            <w:tcBorders>
              <w:top w:val="single" w:sz="4" w:space="0" w:color="auto"/>
              <w:left w:val="nil"/>
              <w:bottom w:val="nil"/>
              <w:right w:val="nil"/>
            </w:tcBorders>
            <w:shd w:val="clear" w:color="auto" w:fill="auto"/>
            <w:hideMark/>
          </w:tcPr>
          <w:p w14:paraId="3168FBD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0.042</w:t>
            </w:r>
          </w:p>
        </w:tc>
        <w:tc>
          <w:tcPr>
            <w:tcW w:w="468" w:type="pct"/>
            <w:gridSpan w:val="2"/>
            <w:tcBorders>
              <w:top w:val="single" w:sz="4" w:space="0" w:color="auto"/>
              <w:left w:val="nil"/>
              <w:bottom w:val="nil"/>
              <w:right w:val="nil"/>
            </w:tcBorders>
            <w:shd w:val="clear" w:color="auto" w:fill="auto"/>
            <w:noWrap/>
            <w:vAlign w:val="bottom"/>
            <w:hideMark/>
          </w:tcPr>
          <w:p w14:paraId="23912891"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11.94***</w:t>
            </w:r>
          </w:p>
        </w:tc>
        <w:tc>
          <w:tcPr>
            <w:tcW w:w="534" w:type="pct"/>
            <w:tcBorders>
              <w:top w:val="single" w:sz="4" w:space="0" w:color="auto"/>
              <w:left w:val="nil"/>
              <w:bottom w:val="nil"/>
              <w:right w:val="nil"/>
            </w:tcBorders>
            <w:shd w:val="clear" w:color="auto" w:fill="auto"/>
            <w:noWrap/>
            <w:vAlign w:val="bottom"/>
            <w:hideMark/>
          </w:tcPr>
          <w:p w14:paraId="12CDF987"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6.00***</w:t>
            </w:r>
          </w:p>
        </w:tc>
        <w:tc>
          <w:tcPr>
            <w:tcW w:w="347" w:type="pct"/>
            <w:tcBorders>
              <w:top w:val="single" w:sz="4" w:space="0" w:color="auto"/>
              <w:left w:val="nil"/>
              <w:bottom w:val="nil"/>
              <w:right w:val="nil"/>
            </w:tcBorders>
            <w:shd w:val="clear" w:color="auto" w:fill="auto"/>
            <w:hideMark/>
          </w:tcPr>
          <w:p w14:paraId="02EA620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-0.047</w:t>
            </w:r>
          </w:p>
        </w:tc>
        <w:tc>
          <w:tcPr>
            <w:tcW w:w="346" w:type="pct"/>
            <w:tcBorders>
              <w:top w:val="single" w:sz="4" w:space="0" w:color="auto"/>
              <w:left w:val="nil"/>
              <w:bottom w:val="nil"/>
              <w:right w:val="nil"/>
            </w:tcBorders>
            <w:shd w:val="clear" w:color="auto" w:fill="auto"/>
            <w:hideMark/>
          </w:tcPr>
          <w:p w14:paraId="74BF399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-0.039</w:t>
            </w:r>
          </w:p>
        </w:tc>
        <w:tc>
          <w:tcPr>
            <w:tcW w:w="407" w:type="pct"/>
            <w:tcBorders>
              <w:top w:val="single" w:sz="4" w:space="0" w:color="auto"/>
              <w:left w:val="nil"/>
              <w:bottom w:val="nil"/>
              <w:right w:val="nil"/>
            </w:tcBorders>
            <w:shd w:val="clear" w:color="auto" w:fill="auto"/>
            <w:hideMark/>
          </w:tcPr>
          <w:p w14:paraId="67109B7D"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0.008</w:t>
            </w:r>
          </w:p>
        </w:tc>
        <w:tc>
          <w:tcPr>
            <w:tcW w:w="405" w:type="pct"/>
            <w:tcBorders>
              <w:top w:val="single" w:sz="4" w:space="0" w:color="auto"/>
              <w:left w:val="nil"/>
              <w:bottom w:val="nil"/>
              <w:right w:val="nil"/>
            </w:tcBorders>
            <w:shd w:val="clear" w:color="auto" w:fill="auto"/>
            <w:noWrap/>
            <w:vAlign w:val="bottom"/>
            <w:hideMark/>
          </w:tcPr>
          <w:p w14:paraId="0329E82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3.34***</w:t>
            </w:r>
          </w:p>
        </w:tc>
        <w:tc>
          <w:tcPr>
            <w:tcW w:w="520" w:type="pct"/>
            <w:tcBorders>
              <w:top w:val="single" w:sz="4" w:space="0" w:color="auto"/>
              <w:left w:val="nil"/>
              <w:bottom w:val="nil"/>
              <w:right w:val="nil"/>
            </w:tcBorders>
            <w:shd w:val="clear" w:color="auto" w:fill="auto"/>
            <w:noWrap/>
            <w:vAlign w:val="bottom"/>
            <w:hideMark/>
          </w:tcPr>
          <w:p w14:paraId="79BBB63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2.12**</w:t>
            </w:r>
          </w:p>
        </w:tc>
      </w:tr>
      <w:tr w:rsidR="0033739C" w:rsidRPr="00561A95" w14:paraId="3D741287" w14:textId="77777777" w:rsidTr="00561A95">
        <w:trPr>
          <w:trHeight w:val="20"/>
        </w:trPr>
        <w:tc>
          <w:tcPr>
            <w:tcW w:w="908" w:type="pct"/>
            <w:tcBorders>
              <w:top w:val="nil"/>
              <w:left w:val="single" w:sz="8" w:space="0" w:color="C1C1C1"/>
              <w:bottom w:val="nil"/>
              <w:right w:val="nil"/>
            </w:tcBorders>
            <w:shd w:val="clear" w:color="auto" w:fill="auto"/>
            <w:hideMark/>
          </w:tcPr>
          <w:p w14:paraId="6C91126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EBIT/Assets</w:t>
            </w:r>
          </w:p>
        </w:tc>
        <w:tc>
          <w:tcPr>
            <w:tcW w:w="313" w:type="pct"/>
            <w:tcBorders>
              <w:top w:val="nil"/>
              <w:left w:val="nil"/>
              <w:bottom w:val="nil"/>
              <w:right w:val="nil"/>
            </w:tcBorders>
            <w:shd w:val="clear" w:color="auto" w:fill="auto"/>
            <w:hideMark/>
          </w:tcPr>
          <w:p w14:paraId="147B9E7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-0.048</w:t>
            </w:r>
          </w:p>
        </w:tc>
        <w:tc>
          <w:tcPr>
            <w:tcW w:w="314" w:type="pct"/>
            <w:tcBorders>
              <w:top w:val="nil"/>
              <w:left w:val="nil"/>
              <w:bottom w:val="nil"/>
              <w:right w:val="nil"/>
            </w:tcBorders>
            <w:shd w:val="clear" w:color="auto" w:fill="auto"/>
            <w:hideMark/>
          </w:tcPr>
          <w:p w14:paraId="6579D7F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-0.019</w:t>
            </w:r>
          </w:p>
        </w:tc>
        <w:tc>
          <w:tcPr>
            <w:tcW w:w="438" w:type="pct"/>
            <w:tcBorders>
              <w:top w:val="nil"/>
              <w:left w:val="nil"/>
              <w:bottom w:val="nil"/>
              <w:right w:val="nil"/>
            </w:tcBorders>
            <w:shd w:val="clear" w:color="auto" w:fill="auto"/>
            <w:hideMark/>
          </w:tcPr>
          <w:p w14:paraId="0E5F488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0.029</w:t>
            </w:r>
          </w:p>
        </w:tc>
        <w:tc>
          <w:tcPr>
            <w:tcW w:w="468" w:type="pct"/>
            <w:gridSpan w:val="2"/>
            <w:tcBorders>
              <w:top w:val="nil"/>
              <w:left w:val="nil"/>
              <w:bottom w:val="nil"/>
              <w:right w:val="nil"/>
            </w:tcBorders>
            <w:shd w:val="clear" w:color="auto" w:fill="auto"/>
            <w:noWrap/>
            <w:vAlign w:val="bottom"/>
            <w:hideMark/>
          </w:tcPr>
          <w:p w14:paraId="786DE0B8"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13.50***</w:t>
            </w:r>
          </w:p>
        </w:tc>
        <w:tc>
          <w:tcPr>
            <w:tcW w:w="534" w:type="pct"/>
            <w:tcBorders>
              <w:top w:val="nil"/>
              <w:left w:val="nil"/>
              <w:bottom w:val="nil"/>
              <w:right w:val="nil"/>
            </w:tcBorders>
            <w:shd w:val="clear" w:color="auto" w:fill="auto"/>
            <w:noWrap/>
            <w:vAlign w:val="bottom"/>
            <w:hideMark/>
          </w:tcPr>
          <w:p w14:paraId="2A52DAD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5.16***</w:t>
            </w:r>
          </w:p>
        </w:tc>
        <w:tc>
          <w:tcPr>
            <w:tcW w:w="347" w:type="pct"/>
            <w:tcBorders>
              <w:top w:val="nil"/>
              <w:left w:val="nil"/>
              <w:bottom w:val="nil"/>
              <w:right w:val="nil"/>
            </w:tcBorders>
            <w:shd w:val="clear" w:color="auto" w:fill="auto"/>
            <w:hideMark/>
          </w:tcPr>
          <w:p w14:paraId="47A26EC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-0.031</w:t>
            </w:r>
          </w:p>
        </w:tc>
        <w:tc>
          <w:tcPr>
            <w:tcW w:w="346" w:type="pct"/>
            <w:tcBorders>
              <w:top w:val="nil"/>
              <w:left w:val="nil"/>
              <w:bottom w:val="nil"/>
              <w:right w:val="nil"/>
            </w:tcBorders>
            <w:shd w:val="clear" w:color="auto" w:fill="auto"/>
            <w:hideMark/>
          </w:tcPr>
          <w:p w14:paraId="3D81A29D"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-0.024</w:t>
            </w:r>
          </w:p>
        </w:tc>
        <w:tc>
          <w:tcPr>
            <w:tcW w:w="407" w:type="pct"/>
            <w:tcBorders>
              <w:top w:val="nil"/>
              <w:left w:val="nil"/>
              <w:bottom w:val="nil"/>
              <w:right w:val="nil"/>
            </w:tcBorders>
            <w:shd w:val="clear" w:color="auto" w:fill="auto"/>
            <w:hideMark/>
          </w:tcPr>
          <w:p w14:paraId="31482958"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0.007</w:t>
            </w:r>
          </w:p>
        </w:tc>
        <w:tc>
          <w:tcPr>
            <w:tcW w:w="405" w:type="pct"/>
            <w:tcBorders>
              <w:top w:val="nil"/>
              <w:left w:val="nil"/>
              <w:bottom w:val="nil"/>
              <w:right w:val="nil"/>
            </w:tcBorders>
            <w:shd w:val="clear" w:color="auto" w:fill="auto"/>
            <w:noWrap/>
            <w:vAlign w:val="bottom"/>
            <w:hideMark/>
          </w:tcPr>
          <w:p w14:paraId="3866D34F"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5.80***</w:t>
            </w:r>
          </w:p>
        </w:tc>
        <w:tc>
          <w:tcPr>
            <w:tcW w:w="520" w:type="pct"/>
            <w:tcBorders>
              <w:top w:val="nil"/>
              <w:left w:val="nil"/>
              <w:bottom w:val="nil"/>
              <w:right w:val="nil"/>
            </w:tcBorders>
            <w:shd w:val="clear" w:color="auto" w:fill="auto"/>
            <w:noWrap/>
            <w:vAlign w:val="bottom"/>
            <w:hideMark/>
          </w:tcPr>
          <w:p w14:paraId="5BC55C5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2.21**</w:t>
            </w:r>
          </w:p>
        </w:tc>
      </w:tr>
      <w:tr w:rsidR="0033739C" w:rsidRPr="00561A95" w14:paraId="61785C6A" w14:textId="77777777" w:rsidTr="00561A95">
        <w:trPr>
          <w:trHeight w:val="20"/>
        </w:trPr>
        <w:tc>
          <w:tcPr>
            <w:tcW w:w="908" w:type="pct"/>
            <w:tcBorders>
              <w:top w:val="nil"/>
              <w:left w:val="single" w:sz="8" w:space="0" w:color="C1C1C1"/>
              <w:bottom w:val="nil"/>
              <w:right w:val="nil"/>
            </w:tcBorders>
            <w:shd w:val="clear" w:color="auto" w:fill="auto"/>
            <w:hideMark/>
          </w:tcPr>
          <w:p w14:paraId="28F7A33B"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Market-to-book ratio</w:t>
            </w:r>
          </w:p>
        </w:tc>
        <w:tc>
          <w:tcPr>
            <w:tcW w:w="313" w:type="pct"/>
            <w:tcBorders>
              <w:top w:val="nil"/>
              <w:left w:val="nil"/>
              <w:bottom w:val="nil"/>
              <w:right w:val="nil"/>
            </w:tcBorders>
            <w:shd w:val="clear" w:color="auto" w:fill="auto"/>
            <w:hideMark/>
          </w:tcPr>
          <w:p w14:paraId="3F3DCE4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0.289</w:t>
            </w:r>
          </w:p>
        </w:tc>
        <w:tc>
          <w:tcPr>
            <w:tcW w:w="314" w:type="pct"/>
            <w:tcBorders>
              <w:top w:val="nil"/>
              <w:left w:val="nil"/>
              <w:bottom w:val="nil"/>
              <w:right w:val="nil"/>
            </w:tcBorders>
            <w:shd w:val="clear" w:color="auto" w:fill="auto"/>
            <w:hideMark/>
          </w:tcPr>
          <w:p w14:paraId="411F23F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0.116</w:t>
            </w:r>
          </w:p>
        </w:tc>
        <w:tc>
          <w:tcPr>
            <w:tcW w:w="438" w:type="pct"/>
            <w:tcBorders>
              <w:top w:val="nil"/>
              <w:left w:val="nil"/>
              <w:bottom w:val="nil"/>
              <w:right w:val="nil"/>
            </w:tcBorders>
            <w:shd w:val="clear" w:color="auto" w:fill="auto"/>
            <w:hideMark/>
          </w:tcPr>
          <w:p w14:paraId="62B411C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-0.173</w:t>
            </w:r>
          </w:p>
        </w:tc>
        <w:tc>
          <w:tcPr>
            <w:tcW w:w="468" w:type="pct"/>
            <w:gridSpan w:val="2"/>
            <w:tcBorders>
              <w:top w:val="nil"/>
              <w:left w:val="nil"/>
              <w:bottom w:val="nil"/>
              <w:right w:val="nil"/>
            </w:tcBorders>
            <w:shd w:val="clear" w:color="auto" w:fill="auto"/>
            <w:noWrap/>
            <w:vAlign w:val="bottom"/>
            <w:hideMark/>
          </w:tcPr>
          <w:p w14:paraId="311ABE9C"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-0.53</w:t>
            </w:r>
          </w:p>
        </w:tc>
        <w:tc>
          <w:tcPr>
            <w:tcW w:w="534" w:type="pct"/>
            <w:tcBorders>
              <w:top w:val="nil"/>
              <w:left w:val="nil"/>
              <w:bottom w:val="nil"/>
              <w:right w:val="nil"/>
            </w:tcBorders>
            <w:shd w:val="clear" w:color="auto" w:fill="auto"/>
            <w:noWrap/>
            <w:vAlign w:val="bottom"/>
            <w:hideMark/>
          </w:tcPr>
          <w:p w14:paraId="6A0F2CCD"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-0.50</w:t>
            </w:r>
          </w:p>
        </w:tc>
        <w:tc>
          <w:tcPr>
            <w:tcW w:w="347" w:type="pct"/>
            <w:tcBorders>
              <w:top w:val="nil"/>
              <w:left w:val="nil"/>
              <w:bottom w:val="nil"/>
              <w:right w:val="nil"/>
            </w:tcBorders>
            <w:shd w:val="clear" w:color="auto" w:fill="auto"/>
            <w:hideMark/>
          </w:tcPr>
          <w:p w14:paraId="6336B54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0.468</w:t>
            </w:r>
          </w:p>
        </w:tc>
        <w:tc>
          <w:tcPr>
            <w:tcW w:w="346" w:type="pct"/>
            <w:tcBorders>
              <w:top w:val="nil"/>
              <w:left w:val="nil"/>
              <w:bottom w:val="nil"/>
              <w:right w:val="nil"/>
            </w:tcBorders>
            <w:shd w:val="clear" w:color="auto" w:fill="auto"/>
            <w:hideMark/>
          </w:tcPr>
          <w:p w14:paraId="44D5217C"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0.702</w:t>
            </w:r>
          </w:p>
        </w:tc>
        <w:tc>
          <w:tcPr>
            <w:tcW w:w="407" w:type="pct"/>
            <w:tcBorders>
              <w:top w:val="nil"/>
              <w:left w:val="nil"/>
              <w:bottom w:val="nil"/>
              <w:right w:val="nil"/>
            </w:tcBorders>
            <w:shd w:val="clear" w:color="auto" w:fill="auto"/>
            <w:hideMark/>
          </w:tcPr>
          <w:p w14:paraId="3F7270D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0.234</w:t>
            </w:r>
          </w:p>
        </w:tc>
        <w:tc>
          <w:tcPr>
            <w:tcW w:w="405" w:type="pct"/>
            <w:tcBorders>
              <w:top w:val="nil"/>
              <w:left w:val="nil"/>
              <w:bottom w:val="nil"/>
              <w:right w:val="nil"/>
            </w:tcBorders>
            <w:shd w:val="clear" w:color="auto" w:fill="auto"/>
            <w:noWrap/>
            <w:vAlign w:val="bottom"/>
            <w:hideMark/>
          </w:tcPr>
          <w:p w14:paraId="245F6C9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1.53</w:t>
            </w:r>
          </w:p>
        </w:tc>
        <w:tc>
          <w:tcPr>
            <w:tcW w:w="520" w:type="pct"/>
            <w:tcBorders>
              <w:top w:val="nil"/>
              <w:left w:val="nil"/>
              <w:bottom w:val="nil"/>
              <w:right w:val="nil"/>
            </w:tcBorders>
            <w:shd w:val="clear" w:color="auto" w:fill="auto"/>
            <w:noWrap/>
            <w:vAlign w:val="bottom"/>
            <w:hideMark/>
          </w:tcPr>
          <w:p w14:paraId="7BD625E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1.25</w:t>
            </w:r>
          </w:p>
        </w:tc>
      </w:tr>
      <w:tr w:rsidR="0033739C" w:rsidRPr="00561A95" w14:paraId="6DDDA84C" w14:textId="77777777" w:rsidTr="00561A95">
        <w:trPr>
          <w:trHeight w:val="20"/>
        </w:trPr>
        <w:tc>
          <w:tcPr>
            <w:tcW w:w="908" w:type="pct"/>
            <w:tcBorders>
              <w:top w:val="nil"/>
              <w:left w:val="single" w:sz="8" w:space="0" w:color="C1C1C1"/>
              <w:bottom w:val="nil"/>
              <w:right w:val="nil"/>
            </w:tcBorders>
            <w:shd w:val="clear" w:color="auto" w:fill="auto"/>
            <w:hideMark/>
          </w:tcPr>
          <w:p w14:paraId="617E3E8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Capital expenditure / asset</w:t>
            </w:r>
          </w:p>
        </w:tc>
        <w:tc>
          <w:tcPr>
            <w:tcW w:w="313" w:type="pct"/>
            <w:tcBorders>
              <w:top w:val="nil"/>
              <w:left w:val="nil"/>
              <w:bottom w:val="nil"/>
              <w:right w:val="nil"/>
            </w:tcBorders>
            <w:shd w:val="clear" w:color="auto" w:fill="auto"/>
            <w:hideMark/>
          </w:tcPr>
          <w:p w14:paraId="433189B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0.177</w:t>
            </w:r>
          </w:p>
        </w:tc>
        <w:tc>
          <w:tcPr>
            <w:tcW w:w="314" w:type="pct"/>
            <w:tcBorders>
              <w:top w:val="nil"/>
              <w:left w:val="nil"/>
              <w:bottom w:val="nil"/>
              <w:right w:val="nil"/>
            </w:tcBorders>
            <w:shd w:val="clear" w:color="auto" w:fill="auto"/>
            <w:hideMark/>
          </w:tcPr>
          <w:p w14:paraId="5E7D5F6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0.121</w:t>
            </w:r>
          </w:p>
        </w:tc>
        <w:tc>
          <w:tcPr>
            <w:tcW w:w="438" w:type="pct"/>
            <w:tcBorders>
              <w:top w:val="nil"/>
              <w:left w:val="nil"/>
              <w:bottom w:val="nil"/>
              <w:right w:val="nil"/>
            </w:tcBorders>
            <w:shd w:val="clear" w:color="auto" w:fill="auto"/>
            <w:hideMark/>
          </w:tcPr>
          <w:p w14:paraId="0AC1495C"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-0.056</w:t>
            </w:r>
          </w:p>
        </w:tc>
        <w:tc>
          <w:tcPr>
            <w:tcW w:w="468" w:type="pct"/>
            <w:gridSpan w:val="2"/>
            <w:tcBorders>
              <w:top w:val="nil"/>
              <w:left w:val="nil"/>
              <w:bottom w:val="nil"/>
              <w:right w:val="nil"/>
            </w:tcBorders>
            <w:shd w:val="clear" w:color="auto" w:fill="auto"/>
            <w:noWrap/>
            <w:vAlign w:val="bottom"/>
            <w:hideMark/>
          </w:tcPr>
          <w:p w14:paraId="3428139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-14.40***</w:t>
            </w:r>
          </w:p>
        </w:tc>
        <w:tc>
          <w:tcPr>
            <w:tcW w:w="534" w:type="pct"/>
            <w:tcBorders>
              <w:top w:val="nil"/>
              <w:left w:val="nil"/>
              <w:bottom w:val="nil"/>
              <w:right w:val="nil"/>
            </w:tcBorders>
            <w:shd w:val="clear" w:color="auto" w:fill="auto"/>
            <w:noWrap/>
            <w:vAlign w:val="bottom"/>
            <w:hideMark/>
          </w:tcPr>
          <w:p w14:paraId="008407B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-4.40***</w:t>
            </w:r>
          </w:p>
        </w:tc>
        <w:tc>
          <w:tcPr>
            <w:tcW w:w="347" w:type="pct"/>
            <w:tcBorders>
              <w:top w:val="nil"/>
              <w:left w:val="nil"/>
              <w:bottom w:val="nil"/>
              <w:right w:val="nil"/>
            </w:tcBorders>
            <w:shd w:val="clear" w:color="auto" w:fill="auto"/>
            <w:hideMark/>
          </w:tcPr>
          <w:p w14:paraId="642876A8"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0.125</w:t>
            </w:r>
          </w:p>
        </w:tc>
        <w:tc>
          <w:tcPr>
            <w:tcW w:w="346" w:type="pct"/>
            <w:tcBorders>
              <w:top w:val="nil"/>
              <w:left w:val="nil"/>
              <w:bottom w:val="nil"/>
              <w:right w:val="nil"/>
            </w:tcBorders>
            <w:shd w:val="clear" w:color="auto" w:fill="auto"/>
            <w:hideMark/>
          </w:tcPr>
          <w:p w14:paraId="7F5CE4F1"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0.115</w:t>
            </w:r>
          </w:p>
        </w:tc>
        <w:tc>
          <w:tcPr>
            <w:tcW w:w="407" w:type="pct"/>
            <w:tcBorders>
              <w:top w:val="nil"/>
              <w:left w:val="nil"/>
              <w:bottom w:val="nil"/>
              <w:right w:val="nil"/>
            </w:tcBorders>
            <w:shd w:val="clear" w:color="auto" w:fill="auto"/>
            <w:hideMark/>
          </w:tcPr>
          <w:p w14:paraId="29C7FC0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-0.010</w:t>
            </w:r>
          </w:p>
        </w:tc>
        <w:tc>
          <w:tcPr>
            <w:tcW w:w="405" w:type="pct"/>
            <w:tcBorders>
              <w:top w:val="nil"/>
              <w:left w:val="nil"/>
              <w:bottom w:val="nil"/>
              <w:right w:val="nil"/>
            </w:tcBorders>
            <w:shd w:val="clear" w:color="auto" w:fill="auto"/>
            <w:noWrap/>
            <w:vAlign w:val="bottom"/>
            <w:hideMark/>
          </w:tcPr>
          <w:p w14:paraId="781C191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-5.17***</w:t>
            </w:r>
          </w:p>
        </w:tc>
        <w:tc>
          <w:tcPr>
            <w:tcW w:w="520" w:type="pct"/>
            <w:tcBorders>
              <w:top w:val="nil"/>
              <w:left w:val="nil"/>
              <w:bottom w:val="nil"/>
              <w:right w:val="nil"/>
            </w:tcBorders>
            <w:shd w:val="clear" w:color="auto" w:fill="auto"/>
            <w:noWrap/>
            <w:vAlign w:val="bottom"/>
            <w:hideMark/>
          </w:tcPr>
          <w:p w14:paraId="68FA856D"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-1.53</w:t>
            </w:r>
          </w:p>
        </w:tc>
      </w:tr>
      <w:tr w:rsidR="0033739C" w:rsidRPr="00561A95" w14:paraId="58481985" w14:textId="77777777" w:rsidTr="00561A95">
        <w:trPr>
          <w:trHeight w:val="20"/>
        </w:trPr>
        <w:tc>
          <w:tcPr>
            <w:tcW w:w="908" w:type="pct"/>
            <w:tcBorders>
              <w:top w:val="nil"/>
              <w:left w:val="single" w:sz="8" w:space="0" w:color="C1C1C1"/>
              <w:bottom w:val="nil"/>
              <w:right w:val="nil"/>
            </w:tcBorders>
            <w:shd w:val="clear" w:color="auto" w:fill="auto"/>
            <w:hideMark/>
          </w:tcPr>
          <w:p w14:paraId="6B8E558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Operating expenses / asset</w:t>
            </w:r>
          </w:p>
        </w:tc>
        <w:tc>
          <w:tcPr>
            <w:tcW w:w="313" w:type="pct"/>
            <w:tcBorders>
              <w:top w:val="nil"/>
              <w:left w:val="nil"/>
              <w:bottom w:val="nil"/>
              <w:right w:val="nil"/>
            </w:tcBorders>
            <w:shd w:val="clear" w:color="auto" w:fill="auto"/>
            <w:hideMark/>
          </w:tcPr>
          <w:p w14:paraId="4E7522CB"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0.011</w:t>
            </w:r>
          </w:p>
        </w:tc>
        <w:tc>
          <w:tcPr>
            <w:tcW w:w="314" w:type="pct"/>
            <w:tcBorders>
              <w:top w:val="nil"/>
              <w:left w:val="nil"/>
              <w:bottom w:val="nil"/>
              <w:right w:val="nil"/>
            </w:tcBorders>
            <w:shd w:val="clear" w:color="auto" w:fill="auto"/>
            <w:hideMark/>
          </w:tcPr>
          <w:p w14:paraId="7EC4A97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0.010</w:t>
            </w:r>
          </w:p>
        </w:tc>
        <w:tc>
          <w:tcPr>
            <w:tcW w:w="438" w:type="pct"/>
            <w:tcBorders>
              <w:top w:val="nil"/>
              <w:left w:val="nil"/>
              <w:bottom w:val="nil"/>
              <w:right w:val="nil"/>
            </w:tcBorders>
            <w:shd w:val="clear" w:color="auto" w:fill="auto"/>
            <w:hideMark/>
          </w:tcPr>
          <w:p w14:paraId="59A67E17"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-0.001</w:t>
            </w:r>
          </w:p>
        </w:tc>
        <w:tc>
          <w:tcPr>
            <w:tcW w:w="468" w:type="pct"/>
            <w:gridSpan w:val="2"/>
            <w:tcBorders>
              <w:top w:val="nil"/>
              <w:left w:val="nil"/>
              <w:bottom w:val="nil"/>
              <w:right w:val="nil"/>
            </w:tcBorders>
            <w:shd w:val="clear" w:color="auto" w:fill="auto"/>
            <w:noWrap/>
            <w:vAlign w:val="bottom"/>
            <w:hideMark/>
          </w:tcPr>
          <w:p w14:paraId="6340315D"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-2.12**</w:t>
            </w:r>
          </w:p>
        </w:tc>
        <w:tc>
          <w:tcPr>
            <w:tcW w:w="534" w:type="pct"/>
            <w:tcBorders>
              <w:top w:val="nil"/>
              <w:left w:val="nil"/>
              <w:bottom w:val="nil"/>
              <w:right w:val="nil"/>
            </w:tcBorders>
            <w:shd w:val="clear" w:color="auto" w:fill="auto"/>
            <w:noWrap/>
            <w:vAlign w:val="bottom"/>
            <w:hideMark/>
          </w:tcPr>
          <w:p w14:paraId="30B2A40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-1.15</w:t>
            </w:r>
          </w:p>
        </w:tc>
        <w:tc>
          <w:tcPr>
            <w:tcW w:w="347" w:type="pct"/>
            <w:tcBorders>
              <w:top w:val="nil"/>
              <w:left w:val="nil"/>
              <w:bottom w:val="nil"/>
              <w:right w:val="nil"/>
            </w:tcBorders>
            <w:shd w:val="clear" w:color="auto" w:fill="auto"/>
            <w:hideMark/>
          </w:tcPr>
          <w:p w14:paraId="504BD2A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0.008</w:t>
            </w:r>
          </w:p>
        </w:tc>
        <w:tc>
          <w:tcPr>
            <w:tcW w:w="346" w:type="pct"/>
            <w:tcBorders>
              <w:top w:val="nil"/>
              <w:left w:val="nil"/>
              <w:bottom w:val="nil"/>
              <w:right w:val="nil"/>
            </w:tcBorders>
            <w:shd w:val="clear" w:color="auto" w:fill="auto"/>
            <w:hideMark/>
          </w:tcPr>
          <w:p w14:paraId="07DCFAE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0.006</w:t>
            </w:r>
          </w:p>
        </w:tc>
        <w:tc>
          <w:tcPr>
            <w:tcW w:w="407" w:type="pct"/>
            <w:tcBorders>
              <w:top w:val="nil"/>
              <w:left w:val="nil"/>
              <w:bottom w:val="nil"/>
              <w:right w:val="nil"/>
            </w:tcBorders>
            <w:shd w:val="clear" w:color="auto" w:fill="auto"/>
            <w:hideMark/>
          </w:tcPr>
          <w:p w14:paraId="4393410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-0.002</w:t>
            </w:r>
          </w:p>
        </w:tc>
        <w:tc>
          <w:tcPr>
            <w:tcW w:w="405" w:type="pct"/>
            <w:tcBorders>
              <w:top w:val="nil"/>
              <w:left w:val="nil"/>
              <w:bottom w:val="nil"/>
              <w:right w:val="nil"/>
            </w:tcBorders>
            <w:shd w:val="clear" w:color="auto" w:fill="auto"/>
            <w:noWrap/>
            <w:vAlign w:val="bottom"/>
            <w:hideMark/>
          </w:tcPr>
          <w:p w14:paraId="03323E61"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-12.22***</w:t>
            </w:r>
          </w:p>
        </w:tc>
        <w:tc>
          <w:tcPr>
            <w:tcW w:w="520" w:type="pct"/>
            <w:tcBorders>
              <w:top w:val="nil"/>
              <w:left w:val="nil"/>
              <w:bottom w:val="nil"/>
              <w:right w:val="nil"/>
            </w:tcBorders>
            <w:shd w:val="clear" w:color="auto" w:fill="auto"/>
            <w:noWrap/>
            <w:vAlign w:val="bottom"/>
            <w:hideMark/>
          </w:tcPr>
          <w:p w14:paraId="398FAF6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-8.64***</w:t>
            </w:r>
          </w:p>
        </w:tc>
      </w:tr>
      <w:tr w:rsidR="0033739C" w:rsidRPr="00561A95" w14:paraId="55928F13" w14:textId="77777777" w:rsidTr="00561A95">
        <w:trPr>
          <w:trHeight w:val="20"/>
        </w:trPr>
        <w:tc>
          <w:tcPr>
            <w:tcW w:w="908" w:type="pct"/>
            <w:tcBorders>
              <w:top w:val="nil"/>
              <w:left w:val="single" w:sz="8" w:space="0" w:color="C1C1C1"/>
              <w:bottom w:val="nil"/>
              <w:right w:val="nil"/>
            </w:tcBorders>
            <w:shd w:val="clear" w:color="auto" w:fill="auto"/>
            <w:hideMark/>
          </w:tcPr>
          <w:p w14:paraId="6107E8C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Cash / asset</w:t>
            </w:r>
          </w:p>
        </w:tc>
        <w:tc>
          <w:tcPr>
            <w:tcW w:w="313" w:type="pct"/>
            <w:tcBorders>
              <w:top w:val="nil"/>
              <w:left w:val="nil"/>
              <w:bottom w:val="nil"/>
              <w:right w:val="nil"/>
            </w:tcBorders>
            <w:shd w:val="clear" w:color="auto" w:fill="auto"/>
            <w:hideMark/>
          </w:tcPr>
          <w:p w14:paraId="0779A52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0.038</w:t>
            </w:r>
          </w:p>
        </w:tc>
        <w:tc>
          <w:tcPr>
            <w:tcW w:w="314" w:type="pct"/>
            <w:tcBorders>
              <w:top w:val="nil"/>
              <w:left w:val="nil"/>
              <w:bottom w:val="nil"/>
              <w:right w:val="nil"/>
            </w:tcBorders>
            <w:shd w:val="clear" w:color="auto" w:fill="auto"/>
            <w:hideMark/>
          </w:tcPr>
          <w:p w14:paraId="60C1D65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0.034</w:t>
            </w:r>
          </w:p>
        </w:tc>
        <w:tc>
          <w:tcPr>
            <w:tcW w:w="438" w:type="pct"/>
            <w:tcBorders>
              <w:top w:val="nil"/>
              <w:left w:val="nil"/>
              <w:bottom w:val="nil"/>
              <w:right w:val="nil"/>
            </w:tcBorders>
            <w:shd w:val="clear" w:color="auto" w:fill="auto"/>
            <w:hideMark/>
          </w:tcPr>
          <w:p w14:paraId="07485CD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-0.004</w:t>
            </w:r>
          </w:p>
        </w:tc>
        <w:tc>
          <w:tcPr>
            <w:tcW w:w="468" w:type="pct"/>
            <w:gridSpan w:val="2"/>
            <w:tcBorders>
              <w:top w:val="nil"/>
              <w:left w:val="nil"/>
              <w:bottom w:val="nil"/>
              <w:right w:val="nil"/>
            </w:tcBorders>
            <w:shd w:val="clear" w:color="auto" w:fill="auto"/>
            <w:noWrap/>
            <w:vAlign w:val="bottom"/>
            <w:hideMark/>
          </w:tcPr>
          <w:p w14:paraId="7E1D5A8C"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-5.17***</w:t>
            </w:r>
          </w:p>
        </w:tc>
        <w:tc>
          <w:tcPr>
            <w:tcW w:w="534" w:type="pct"/>
            <w:tcBorders>
              <w:top w:val="nil"/>
              <w:left w:val="nil"/>
              <w:bottom w:val="nil"/>
              <w:right w:val="nil"/>
            </w:tcBorders>
            <w:shd w:val="clear" w:color="auto" w:fill="auto"/>
            <w:noWrap/>
            <w:vAlign w:val="bottom"/>
            <w:hideMark/>
          </w:tcPr>
          <w:p w14:paraId="4727958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-1.77*</w:t>
            </w:r>
          </w:p>
        </w:tc>
        <w:tc>
          <w:tcPr>
            <w:tcW w:w="347" w:type="pct"/>
            <w:tcBorders>
              <w:top w:val="nil"/>
              <w:left w:val="nil"/>
              <w:bottom w:val="nil"/>
              <w:right w:val="nil"/>
            </w:tcBorders>
            <w:shd w:val="clear" w:color="auto" w:fill="auto"/>
            <w:hideMark/>
          </w:tcPr>
          <w:p w14:paraId="54A0792B"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0.028</w:t>
            </w:r>
          </w:p>
        </w:tc>
        <w:tc>
          <w:tcPr>
            <w:tcW w:w="346" w:type="pct"/>
            <w:tcBorders>
              <w:top w:val="nil"/>
              <w:left w:val="nil"/>
              <w:bottom w:val="nil"/>
              <w:right w:val="nil"/>
            </w:tcBorders>
            <w:shd w:val="clear" w:color="auto" w:fill="auto"/>
            <w:hideMark/>
          </w:tcPr>
          <w:p w14:paraId="2B553CA4"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0.022</w:t>
            </w:r>
          </w:p>
        </w:tc>
        <w:tc>
          <w:tcPr>
            <w:tcW w:w="407" w:type="pct"/>
            <w:tcBorders>
              <w:top w:val="nil"/>
              <w:left w:val="nil"/>
              <w:bottom w:val="nil"/>
              <w:right w:val="nil"/>
            </w:tcBorders>
            <w:shd w:val="clear" w:color="auto" w:fill="auto"/>
            <w:hideMark/>
          </w:tcPr>
          <w:p w14:paraId="00042724"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-0.007</w:t>
            </w:r>
          </w:p>
        </w:tc>
        <w:tc>
          <w:tcPr>
            <w:tcW w:w="405" w:type="pct"/>
            <w:tcBorders>
              <w:top w:val="nil"/>
              <w:left w:val="nil"/>
              <w:bottom w:val="nil"/>
              <w:right w:val="nil"/>
            </w:tcBorders>
            <w:shd w:val="clear" w:color="auto" w:fill="auto"/>
            <w:noWrap/>
            <w:vAlign w:val="bottom"/>
            <w:hideMark/>
          </w:tcPr>
          <w:p w14:paraId="3A5E2F1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-12.60***</w:t>
            </w:r>
          </w:p>
        </w:tc>
        <w:tc>
          <w:tcPr>
            <w:tcW w:w="520" w:type="pct"/>
            <w:tcBorders>
              <w:top w:val="nil"/>
              <w:left w:val="nil"/>
              <w:bottom w:val="nil"/>
              <w:right w:val="nil"/>
            </w:tcBorders>
            <w:shd w:val="clear" w:color="auto" w:fill="auto"/>
            <w:noWrap/>
            <w:vAlign w:val="bottom"/>
            <w:hideMark/>
          </w:tcPr>
          <w:p w14:paraId="4A41B391"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-5.24***</w:t>
            </w:r>
          </w:p>
        </w:tc>
      </w:tr>
      <w:tr w:rsidR="0033739C" w:rsidRPr="00561A95" w14:paraId="0D91942A" w14:textId="77777777" w:rsidTr="00561A95">
        <w:trPr>
          <w:trHeight w:val="20"/>
        </w:trPr>
        <w:tc>
          <w:tcPr>
            <w:tcW w:w="908" w:type="pct"/>
            <w:tcBorders>
              <w:top w:val="nil"/>
              <w:left w:val="single" w:sz="8" w:space="0" w:color="C1C1C1"/>
              <w:bottom w:val="nil"/>
              <w:right w:val="nil"/>
            </w:tcBorders>
            <w:shd w:val="clear" w:color="auto" w:fill="auto"/>
            <w:hideMark/>
          </w:tcPr>
          <w:p w14:paraId="7287BE17"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Debt / asset</w:t>
            </w:r>
          </w:p>
        </w:tc>
        <w:tc>
          <w:tcPr>
            <w:tcW w:w="313" w:type="pct"/>
            <w:tcBorders>
              <w:top w:val="nil"/>
              <w:left w:val="nil"/>
              <w:bottom w:val="nil"/>
              <w:right w:val="nil"/>
            </w:tcBorders>
            <w:shd w:val="clear" w:color="auto" w:fill="auto"/>
            <w:hideMark/>
          </w:tcPr>
          <w:p w14:paraId="5C9471A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0.039</w:t>
            </w:r>
          </w:p>
        </w:tc>
        <w:tc>
          <w:tcPr>
            <w:tcW w:w="314" w:type="pct"/>
            <w:tcBorders>
              <w:top w:val="nil"/>
              <w:left w:val="nil"/>
              <w:bottom w:val="nil"/>
              <w:right w:val="nil"/>
            </w:tcBorders>
            <w:shd w:val="clear" w:color="auto" w:fill="auto"/>
            <w:hideMark/>
          </w:tcPr>
          <w:p w14:paraId="45D96398"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0.025</w:t>
            </w:r>
          </w:p>
        </w:tc>
        <w:tc>
          <w:tcPr>
            <w:tcW w:w="438" w:type="pct"/>
            <w:tcBorders>
              <w:top w:val="nil"/>
              <w:left w:val="nil"/>
              <w:bottom w:val="nil"/>
              <w:right w:val="nil"/>
            </w:tcBorders>
            <w:shd w:val="clear" w:color="auto" w:fill="auto"/>
            <w:hideMark/>
          </w:tcPr>
          <w:p w14:paraId="3FCE9A1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-0.014</w:t>
            </w:r>
          </w:p>
        </w:tc>
        <w:tc>
          <w:tcPr>
            <w:tcW w:w="468" w:type="pct"/>
            <w:gridSpan w:val="2"/>
            <w:tcBorders>
              <w:top w:val="nil"/>
              <w:left w:val="nil"/>
              <w:bottom w:val="nil"/>
              <w:right w:val="nil"/>
            </w:tcBorders>
            <w:shd w:val="clear" w:color="auto" w:fill="auto"/>
            <w:noWrap/>
            <w:vAlign w:val="bottom"/>
            <w:hideMark/>
          </w:tcPr>
          <w:p w14:paraId="73F9E5A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-6.13***</w:t>
            </w:r>
          </w:p>
        </w:tc>
        <w:tc>
          <w:tcPr>
            <w:tcW w:w="534" w:type="pct"/>
            <w:tcBorders>
              <w:top w:val="nil"/>
              <w:left w:val="nil"/>
              <w:bottom w:val="nil"/>
              <w:right w:val="nil"/>
            </w:tcBorders>
            <w:shd w:val="clear" w:color="auto" w:fill="auto"/>
            <w:noWrap/>
            <w:vAlign w:val="bottom"/>
            <w:hideMark/>
          </w:tcPr>
          <w:p w14:paraId="54EB2EB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-3.40***</w:t>
            </w:r>
          </w:p>
        </w:tc>
        <w:tc>
          <w:tcPr>
            <w:tcW w:w="347" w:type="pct"/>
            <w:tcBorders>
              <w:top w:val="nil"/>
              <w:left w:val="nil"/>
              <w:bottom w:val="nil"/>
              <w:right w:val="nil"/>
            </w:tcBorders>
            <w:shd w:val="clear" w:color="auto" w:fill="auto"/>
            <w:hideMark/>
          </w:tcPr>
          <w:p w14:paraId="5D6B615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0.018</w:t>
            </w:r>
          </w:p>
        </w:tc>
        <w:tc>
          <w:tcPr>
            <w:tcW w:w="346" w:type="pct"/>
            <w:tcBorders>
              <w:top w:val="nil"/>
              <w:left w:val="nil"/>
              <w:bottom w:val="nil"/>
              <w:right w:val="nil"/>
            </w:tcBorders>
            <w:shd w:val="clear" w:color="auto" w:fill="auto"/>
            <w:hideMark/>
          </w:tcPr>
          <w:p w14:paraId="7B8332E7"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0.020</w:t>
            </w:r>
          </w:p>
        </w:tc>
        <w:tc>
          <w:tcPr>
            <w:tcW w:w="407" w:type="pct"/>
            <w:tcBorders>
              <w:top w:val="nil"/>
              <w:left w:val="nil"/>
              <w:bottom w:val="nil"/>
              <w:right w:val="nil"/>
            </w:tcBorders>
            <w:shd w:val="clear" w:color="auto" w:fill="auto"/>
            <w:hideMark/>
          </w:tcPr>
          <w:p w14:paraId="7344CD5D"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0.002</w:t>
            </w:r>
          </w:p>
        </w:tc>
        <w:tc>
          <w:tcPr>
            <w:tcW w:w="405" w:type="pct"/>
            <w:tcBorders>
              <w:top w:val="nil"/>
              <w:left w:val="nil"/>
              <w:bottom w:val="nil"/>
              <w:right w:val="nil"/>
            </w:tcBorders>
            <w:shd w:val="clear" w:color="auto" w:fill="auto"/>
            <w:noWrap/>
            <w:vAlign w:val="bottom"/>
            <w:hideMark/>
          </w:tcPr>
          <w:p w14:paraId="318755F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2.05**</w:t>
            </w:r>
          </w:p>
        </w:tc>
        <w:tc>
          <w:tcPr>
            <w:tcW w:w="520" w:type="pct"/>
            <w:tcBorders>
              <w:top w:val="nil"/>
              <w:left w:val="nil"/>
              <w:bottom w:val="nil"/>
              <w:right w:val="nil"/>
            </w:tcBorders>
            <w:shd w:val="clear" w:color="auto" w:fill="auto"/>
            <w:noWrap/>
            <w:vAlign w:val="bottom"/>
            <w:hideMark/>
          </w:tcPr>
          <w:p w14:paraId="2FF9648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1.09</w:t>
            </w:r>
          </w:p>
        </w:tc>
      </w:tr>
      <w:tr w:rsidR="0033739C" w:rsidRPr="00561A95" w14:paraId="3E4FF64B" w14:textId="77777777" w:rsidTr="00561A95">
        <w:trPr>
          <w:trHeight w:val="20"/>
        </w:trPr>
        <w:tc>
          <w:tcPr>
            <w:tcW w:w="908" w:type="pct"/>
            <w:tcBorders>
              <w:top w:val="nil"/>
              <w:left w:val="single" w:sz="8" w:space="0" w:color="C1C1C1"/>
              <w:bottom w:val="single" w:sz="4" w:space="0" w:color="auto"/>
              <w:right w:val="nil"/>
            </w:tcBorders>
            <w:shd w:val="clear" w:color="auto" w:fill="auto"/>
            <w:hideMark/>
          </w:tcPr>
          <w:p w14:paraId="24EDC6E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Dividend per share</w:t>
            </w:r>
          </w:p>
        </w:tc>
        <w:tc>
          <w:tcPr>
            <w:tcW w:w="313" w:type="pct"/>
            <w:tcBorders>
              <w:top w:val="nil"/>
              <w:left w:val="nil"/>
              <w:bottom w:val="single" w:sz="4" w:space="0" w:color="auto"/>
              <w:right w:val="nil"/>
            </w:tcBorders>
            <w:shd w:val="clear" w:color="auto" w:fill="auto"/>
            <w:hideMark/>
          </w:tcPr>
          <w:p w14:paraId="50F570B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0.124</w:t>
            </w:r>
          </w:p>
        </w:tc>
        <w:tc>
          <w:tcPr>
            <w:tcW w:w="314" w:type="pct"/>
            <w:tcBorders>
              <w:top w:val="nil"/>
              <w:left w:val="nil"/>
              <w:bottom w:val="single" w:sz="4" w:space="0" w:color="auto"/>
              <w:right w:val="nil"/>
            </w:tcBorders>
            <w:shd w:val="clear" w:color="auto" w:fill="auto"/>
            <w:hideMark/>
          </w:tcPr>
          <w:p w14:paraId="72F2685C"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0.156</w:t>
            </w:r>
          </w:p>
        </w:tc>
        <w:tc>
          <w:tcPr>
            <w:tcW w:w="438" w:type="pct"/>
            <w:tcBorders>
              <w:top w:val="nil"/>
              <w:left w:val="nil"/>
              <w:bottom w:val="single" w:sz="4" w:space="0" w:color="auto"/>
              <w:right w:val="nil"/>
            </w:tcBorders>
            <w:shd w:val="clear" w:color="auto" w:fill="auto"/>
            <w:hideMark/>
          </w:tcPr>
          <w:p w14:paraId="589A74A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0.032</w:t>
            </w:r>
          </w:p>
        </w:tc>
        <w:tc>
          <w:tcPr>
            <w:tcW w:w="468" w:type="pct"/>
            <w:gridSpan w:val="2"/>
            <w:tcBorders>
              <w:top w:val="nil"/>
              <w:left w:val="nil"/>
              <w:bottom w:val="single" w:sz="4" w:space="0" w:color="auto"/>
              <w:right w:val="nil"/>
            </w:tcBorders>
            <w:shd w:val="clear" w:color="auto" w:fill="auto"/>
            <w:noWrap/>
            <w:vAlign w:val="bottom"/>
            <w:hideMark/>
          </w:tcPr>
          <w:p w14:paraId="38790AD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3.78***</w:t>
            </w:r>
          </w:p>
        </w:tc>
        <w:tc>
          <w:tcPr>
            <w:tcW w:w="534" w:type="pct"/>
            <w:tcBorders>
              <w:top w:val="nil"/>
              <w:left w:val="nil"/>
              <w:bottom w:val="single" w:sz="4" w:space="0" w:color="auto"/>
              <w:right w:val="nil"/>
            </w:tcBorders>
            <w:shd w:val="clear" w:color="auto" w:fill="auto"/>
            <w:noWrap/>
            <w:vAlign w:val="bottom"/>
            <w:hideMark/>
          </w:tcPr>
          <w:p w14:paraId="16A1EFD1"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2.07**</w:t>
            </w:r>
          </w:p>
        </w:tc>
        <w:tc>
          <w:tcPr>
            <w:tcW w:w="347" w:type="pct"/>
            <w:tcBorders>
              <w:top w:val="nil"/>
              <w:left w:val="nil"/>
              <w:bottom w:val="single" w:sz="4" w:space="0" w:color="auto"/>
              <w:right w:val="nil"/>
            </w:tcBorders>
            <w:shd w:val="clear" w:color="auto" w:fill="auto"/>
            <w:hideMark/>
          </w:tcPr>
          <w:p w14:paraId="5D79D541"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0.091</w:t>
            </w:r>
          </w:p>
        </w:tc>
        <w:tc>
          <w:tcPr>
            <w:tcW w:w="346" w:type="pct"/>
            <w:tcBorders>
              <w:top w:val="nil"/>
              <w:left w:val="nil"/>
              <w:bottom w:val="single" w:sz="4" w:space="0" w:color="auto"/>
              <w:right w:val="nil"/>
            </w:tcBorders>
            <w:shd w:val="clear" w:color="auto" w:fill="auto"/>
            <w:hideMark/>
          </w:tcPr>
          <w:p w14:paraId="25F6FE8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0.088</w:t>
            </w:r>
          </w:p>
        </w:tc>
        <w:tc>
          <w:tcPr>
            <w:tcW w:w="407" w:type="pct"/>
            <w:tcBorders>
              <w:top w:val="nil"/>
              <w:left w:val="nil"/>
              <w:bottom w:val="single" w:sz="4" w:space="0" w:color="auto"/>
              <w:right w:val="nil"/>
            </w:tcBorders>
            <w:shd w:val="clear" w:color="auto" w:fill="auto"/>
            <w:hideMark/>
          </w:tcPr>
          <w:p w14:paraId="0F8F2157"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-0.003</w:t>
            </w:r>
          </w:p>
        </w:tc>
        <w:tc>
          <w:tcPr>
            <w:tcW w:w="405" w:type="pct"/>
            <w:tcBorders>
              <w:top w:val="nil"/>
              <w:left w:val="nil"/>
              <w:bottom w:val="single" w:sz="4" w:space="0" w:color="auto"/>
              <w:right w:val="nil"/>
            </w:tcBorders>
            <w:shd w:val="clear" w:color="auto" w:fill="auto"/>
            <w:noWrap/>
            <w:vAlign w:val="bottom"/>
            <w:hideMark/>
          </w:tcPr>
          <w:p w14:paraId="00FEC51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-0.98</w:t>
            </w:r>
          </w:p>
        </w:tc>
        <w:tc>
          <w:tcPr>
            <w:tcW w:w="520" w:type="pct"/>
            <w:tcBorders>
              <w:top w:val="nil"/>
              <w:left w:val="nil"/>
              <w:bottom w:val="single" w:sz="4" w:space="0" w:color="auto"/>
              <w:right w:val="nil"/>
            </w:tcBorders>
            <w:shd w:val="clear" w:color="auto" w:fill="auto"/>
            <w:noWrap/>
            <w:vAlign w:val="bottom"/>
            <w:hideMark/>
          </w:tcPr>
          <w:p w14:paraId="48DC164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-0.41</w:t>
            </w:r>
          </w:p>
        </w:tc>
      </w:tr>
      <w:tr w:rsidR="0033739C" w:rsidRPr="00561A95" w14:paraId="025C244D" w14:textId="77777777" w:rsidTr="00561A95">
        <w:trPr>
          <w:trHeight w:val="20"/>
        </w:trPr>
        <w:tc>
          <w:tcPr>
            <w:tcW w:w="5000" w:type="pct"/>
            <w:gridSpan w:val="12"/>
            <w:tcBorders>
              <w:top w:val="single" w:sz="4" w:space="0" w:color="auto"/>
              <w:left w:val="nil"/>
              <w:bottom w:val="nil"/>
              <w:right w:val="nil"/>
            </w:tcBorders>
            <w:shd w:val="clear" w:color="auto" w:fill="auto"/>
            <w:noWrap/>
            <w:vAlign w:val="bottom"/>
            <w:hideMark/>
          </w:tcPr>
          <w:p w14:paraId="1CA85F49" w14:textId="77777777" w:rsidR="0033739C" w:rsidRPr="00561A95" w:rsidRDefault="0033739C" w:rsidP="00561A95">
            <w:pPr>
              <w:spacing w:after="0" w:line="240" w:lineRule="auto"/>
              <w:rPr>
                <w:rFonts w:ascii="Times New Roman" w:eastAsia="Times New Roman" w:hAnsi="Times New Roman" w:cs="Times New Roman"/>
                <w:b/>
                <w:i/>
                <w:color w:val="000000"/>
                <w:sz w:val="20"/>
                <w:szCs w:val="20"/>
              </w:rPr>
            </w:pPr>
            <w:r w:rsidRPr="00561A95">
              <w:rPr>
                <w:rFonts w:ascii="Times New Roman" w:eastAsia="Times New Roman" w:hAnsi="Times New Roman" w:cs="Times New Roman"/>
                <w:b/>
                <w:i/>
                <w:color w:val="000000"/>
                <w:sz w:val="20"/>
                <w:szCs w:val="20"/>
              </w:rPr>
              <w:t>Panel B - Comparison of Non-Target Matching Firm Performance in the 3 Years before and the 3 Years After the Activism Events</w:t>
            </w:r>
          </w:p>
        </w:tc>
      </w:tr>
      <w:tr w:rsidR="0033739C" w:rsidRPr="00561A95" w14:paraId="7D74ECE4" w14:textId="77777777" w:rsidTr="00561A95">
        <w:trPr>
          <w:trHeight w:val="20"/>
        </w:trPr>
        <w:tc>
          <w:tcPr>
            <w:tcW w:w="908" w:type="pct"/>
            <w:tcBorders>
              <w:top w:val="nil"/>
              <w:left w:val="single" w:sz="8" w:space="0" w:color="C1C1C1"/>
              <w:bottom w:val="nil"/>
              <w:right w:val="nil"/>
            </w:tcBorders>
            <w:shd w:val="clear" w:color="auto" w:fill="auto"/>
          </w:tcPr>
          <w:p w14:paraId="23E95AF7"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p>
        </w:tc>
        <w:tc>
          <w:tcPr>
            <w:tcW w:w="2067" w:type="pct"/>
            <w:gridSpan w:val="6"/>
            <w:tcBorders>
              <w:top w:val="nil"/>
              <w:left w:val="nil"/>
              <w:right w:val="nil"/>
            </w:tcBorders>
            <w:shd w:val="clear" w:color="auto" w:fill="auto"/>
            <w:noWrap/>
            <w:vAlign w:val="bottom"/>
          </w:tcPr>
          <w:p w14:paraId="4A538A07"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Value-weighted non-target matching portfolios</w:t>
            </w:r>
          </w:p>
        </w:tc>
        <w:tc>
          <w:tcPr>
            <w:tcW w:w="2025" w:type="pct"/>
            <w:gridSpan w:val="5"/>
            <w:tcBorders>
              <w:top w:val="nil"/>
              <w:left w:val="nil"/>
              <w:right w:val="nil"/>
            </w:tcBorders>
            <w:shd w:val="clear" w:color="auto" w:fill="auto"/>
            <w:noWrap/>
            <w:vAlign w:val="bottom"/>
          </w:tcPr>
          <w:p w14:paraId="01E3064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Equally-weighted non-target matching portfolios</w:t>
            </w:r>
          </w:p>
        </w:tc>
      </w:tr>
      <w:tr w:rsidR="0033739C" w:rsidRPr="00561A95" w14:paraId="1529E9C3" w14:textId="77777777" w:rsidTr="00561A95">
        <w:trPr>
          <w:trHeight w:val="20"/>
        </w:trPr>
        <w:tc>
          <w:tcPr>
            <w:tcW w:w="908" w:type="pct"/>
            <w:tcBorders>
              <w:top w:val="nil"/>
              <w:left w:val="single" w:sz="8" w:space="0" w:color="C1C1C1"/>
              <w:bottom w:val="single" w:sz="4" w:space="0" w:color="auto"/>
              <w:right w:val="nil"/>
            </w:tcBorders>
            <w:shd w:val="clear" w:color="auto" w:fill="auto"/>
            <w:hideMark/>
          </w:tcPr>
          <w:p w14:paraId="09B0E6E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 </w:t>
            </w:r>
          </w:p>
        </w:tc>
        <w:tc>
          <w:tcPr>
            <w:tcW w:w="313" w:type="pct"/>
            <w:tcBorders>
              <w:top w:val="nil"/>
              <w:left w:val="nil"/>
              <w:bottom w:val="single" w:sz="4" w:space="0" w:color="auto"/>
              <w:right w:val="nil"/>
            </w:tcBorders>
            <w:shd w:val="clear" w:color="auto" w:fill="auto"/>
            <w:noWrap/>
            <w:vAlign w:val="bottom"/>
            <w:hideMark/>
          </w:tcPr>
          <w:p w14:paraId="629646D7"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Before</w:t>
            </w:r>
          </w:p>
        </w:tc>
        <w:tc>
          <w:tcPr>
            <w:tcW w:w="314" w:type="pct"/>
            <w:tcBorders>
              <w:top w:val="nil"/>
              <w:left w:val="nil"/>
              <w:bottom w:val="single" w:sz="4" w:space="0" w:color="auto"/>
              <w:right w:val="nil"/>
            </w:tcBorders>
            <w:shd w:val="clear" w:color="auto" w:fill="auto"/>
            <w:noWrap/>
            <w:vAlign w:val="bottom"/>
            <w:hideMark/>
          </w:tcPr>
          <w:p w14:paraId="3A287EAC"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After</w:t>
            </w:r>
          </w:p>
        </w:tc>
        <w:tc>
          <w:tcPr>
            <w:tcW w:w="500" w:type="pct"/>
            <w:gridSpan w:val="2"/>
            <w:tcBorders>
              <w:top w:val="nil"/>
              <w:left w:val="nil"/>
              <w:bottom w:val="single" w:sz="4" w:space="0" w:color="auto"/>
              <w:right w:val="nil"/>
            </w:tcBorders>
            <w:shd w:val="clear" w:color="auto" w:fill="auto"/>
            <w:noWrap/>
            <w:vAlign w:val="bottom"/>
            <w:hideMark/>
          </w:tcPr>
          <w:p w14:paraId="3E905AC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Difference</w:t>
            </w:r>
          </w:p>
        </w:tc>
        <w:tc>
          <w:tcPr>
            <w:tcW w:w="406" w:type="pct"/>
            <w:tcBorders>
              <w:top w:val="nil"/>
              <w:left w:val="nil"/>
              <w:bottom w:val="single" w:sz="4" w:space="0" w:color="auto"/>
              <w:right w:val="nil"/>
            </w:tcBorders>
            <w:shd w:val="clear" w:color="auto" w:fill="auto"/>
            <w:noWrap/>
            <w:vAlign w:val="bottom"/>
            <w:hideMark/>
          </w:tcPr>
          <w:p w14:paraId="42F7A3B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t-stat</w:t>
            </w:r>
          </w:p>
        </w:tc>
        <w:tc>
          <w:tcPr>
            <w:tcW w:w="534" w:type="pct"/>
            <w:tcBorders>
              <w:top w:val="nil"/>
              <w:left w:val="nil"/>
              <w:bottom w:val="single" w:sz="4" w:space="0" w:color="auto"/>
              <w:right w:val="nil"/>
            </w:tcBorders>
            <w:shd w:val="clear" w:color="auto" w:fill="auto"/>
            <w:noWrap/>
            <w:vAlign w:val="bottom"/>
            <w:hideMark/>
          </w:tcPr>
          <w:p w14:paraId="315177E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Wilcoxon-stat</w:t>
            </w:r>
          </w:p>
        </w:tc>
        <w:tc>
          <w:tcPr>
            <w:tcW w:w="347" w:type="pct"/>
            <w:tcBorders>
              <w:top w:val="nil"/>
              <w:left w:val="nil"/>
              <w:bottom w:val="single" w:sz="4" w:space="0" w:color="auto"/>
              <w:right w:val="nil"/>
            </w:tcBorders>
            <w:shd w:val="clear" w:color="auto" w:fill="auto"/>
            <w:noWrap/>
            <w:vAlign w:val="bottom"/>
            <w:hideMark/>
          </w:tcPr>
          <w:p w14:paraId="1D70D3FF"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Before</w:t>
            </w:r>
          </w:p>
        </w:tc>
        <w:tc>
          <w:tcPr>
            <w:tcW w:w="346" w:type="pct"/>
            <w:tcBorders>
              <w:top w:val="nil"/>
              <w:left w:val="nil"/>
              <w:bottom w:val="single" w:sz="4" w:space="0" w:color="auto"/>
              <w:right w:val="nil"/>
            </w:tcBorders>
            <w:shd w:val="clear" w:color="auto" w:fill="auto"/>
            <w:noWrap/>
            <w:vAlign w:val="bottom"/>
            <w:hideMark/>
          </w:tcPr>
          <w:p w14:paraId="0C81AEA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After</w:t>
            </w:r>
          </w:p>
        </w:tc>
        <w:tc>
          <w:tcPr>
            <w:tcW w:w="407" w:type="pct"/>
            <w:tcBorders>
              <w:top w:val="nil"/>
              <w:left w:val="nil"/>
              <w:bottom w:val="single" w:sz="4" w:space="0" w:color="auto"/>
              <w:right w:val="nil"/>
            </w:tcBorders>
            <w:shd w:val="clear" w:color="auto" w:fill="auto"/>
            <w:noWrap/>
            <w:vAlign w:val="bottom"/>
            <w:hideMark/>
          </w:tcPr>
          <w:p w14:paraId="6615644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Difference</w:t>
            </w:r>
          </w:p>
        </w:tc>
        <w:tc>
          <w:tcPr>
            <w:tcW w:w="405" w:type="pct"/>
            <w:tcBorders>
              <w:top w:val="nil"/>
              <w:left w:val="nil"/>
              <w:bottom w:val="single" w:sz="4" w:space="0" w:color="auto"/>
              <w:right w:val="nil"/>
            </w:tcBorders>
            <w:shd w:val="clear" w:color="auto" w:fill="auto"/>
            <w:noWrap/>
            <w:vAlign w:val="bottom"/>
            <w:hideMark/>
          </w:tcPr>
          <w:p w14:paraId="5DB3DE9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t-stat</w:t>
            </w:r>
          </w:p>
        </w:tc>
        <w:tc>
          <w:tcPr>
            <w:tcW w:w="520" w:type="pct"/>
            <w:tcBorders>
              <w:top w:val="nil"/>
              <w:left w:val="nil"/>
              <w:bottom w:val="single" w:sz="4" w:space="0" w:color="auto"/>
              <w:right w:val="nil"/>
            </w:tcBorders>
            <w:shd w:val="clear" w:color="auto" w:fill="auto"/>
            <w:noWrap/>
            <w:vAlign w:val="bottom"/>
            <w:hideMark/>
          </w:tcPr>
          <w:p w14:paraId="586E290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Wilcoxon-stat</w:t>
            </w:r>
          </w:p>
        </w:tc>
      </w:tr>
      <w:tr w:rsidR="0033739C" w:rsidRPr="00561A95" w14:paraId="4A098FB6" w14:textId="77777777" w:rsidTr="00561A95">
        <w:trPr>
          <w:trHeight w:val="20"/>
        </w:trPr>
        <w:tc>
          <w:tcPr>
            <w:tcW w:w="908" w:type="pct"/>
            <w:tcBorders>
              <w:top w:val="single" w:sz="4" w:space="0" w:color="auto"/>
              <w:left w:val="single" w:sz="8" w:space="0" w:color="C1C1C1"/>
              <w:bottom w:val="nil"/>
              <w:right w:val="nil"/>
            </w:tcBorders>
            <w:shd w:val="clear" w:color="auto" w:fill="auto"/>
            <w:hideMark/>
          </w:tcPr>
          <w:p w14:paraId="03F991F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ROA</w:t>
            </w:r>
          </w:p>
        </w:tc>
        <w:tc>
          <w:tcPr>
            <w:tcW w:w="313" w:type="pct"/>
            <w:tcBorders>
              <w:top w:val="single" w:sz="4" w:space="0" w:color="auto"/>
              <w:left w:val="nil"/>
              <w:bottom w:val="nil"/>
              <w:right w:val="nil"/>
            </w:tcBorders>
            <w:shd w:val="clear" w:color="auto" w:fill="auto"/>
            <w:hideMark/>
          </w:tcPr>
          <w:p w14:paraId="186280F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-0.060</w:t>
            </w:r>
          </w:p>
        </w:tc>
        <w:tc>
          <w:tcPr>
            <w:tcW w:w="314" w:type="pct"/>
            <w:tcBorders>
              <w:top w:val="single" w:sz="4" w:space="0" w:color="auto"/>
              <w:left w:val="nil"/>
              <w:bottom w:val="nil"/>
              <w:right w:val="nil"/>
            </w:tcBorders>
            <w:shd w:val="clear" w:color="auto" w:fill="auto"/>
            <w:hideMark/>
          </w:tcPr>
          <w:p w14:paraId="15F92B7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-0.029</w:t>
            </w:r>
          </w:p>
        </w:tc>
        <w:tc>
          <w:tcPr>
            <w:tcW w:w="500" w:type="pct"/>
            <w:gridSpan w:val="2"/>
            <w:tcBorders>
              <w:top w:val="single" w:sz="4" w:space="0" w:color="auto"/>
              <w:left w:val="nil"/>
              <w:bottom w:val="nil"/>
              <w:right w:val="nil"/>
            </w:tcBorders>
            <w:shd w:val="clear" w:color="auto" w:fill="auto"/>
            <w:hideMark/>
          </w:tcPr>
          <w:p w14:paraId="13062C0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0.031</w:t>
            </w:r>
          </w:p>
        </w:tc>
        <w:tc>
          <w:tcPr>
            <w:tcW w:w="406" w:type="pct"/>
            <w:tcBorders>
              <w:top w:val="single" w:sz="4" w:space="0" w:color="auto"/>
              <w:left w:val="nil"/>
              <w:bottom w:val="nil"/>
              <w:right w:val="nil"/>
            </w:tcBorders>
            <w:shd w:val="clear" w:color="auto" w:fill="auto"/>
            <w:noWrap/>
            <w:vAlign w:val="bottom"/>
            <w:hideMark/>
          </w:tcPr>
          <w:p w14:paraId="6ED31B2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13.71***</w:t>
            </w:r>
          </w:p>
        </w:tc>
        <w:tc>
          <w:tcPr>
            <w:tcW w:w="534" w:type="pct"/>
            <w:tcBorders>
              <w:top w:val="single" w:sz="4" w:space="0" w:color="auto"/>
              <w:left w:val="nil"/>
              <w:bottom w:val="nil"/>
              <w:right w:val="nil"/>
            </w:tcBorders>
            <w:shd w:val="clear" w:color="auto" w:fill="auto"/>
            <w:noWrap/>
            <w:vAlign w:val="bottom"/>
            <w:hideMark/>
          </w:tcPr>
          <w:p w14:paraId="33C55327"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5.66***</w:t>
            </w:r>
          </w:p>
        </w:tc>
        <w:tc>
          <w:tcPr>
            <w:tcW w:w="347" w:type="pct"/>
            <w:tcBorders>
              <w:top w:val="single" w:sz="4" w:space="0" w:color="auto"/>
              <w:left w:val="nil"/>
              <w:bottom w:val="nil"/>
              <w:right w:val="nil"/>
            </w:tcBorders>
            <w:shd w:val="clear" w:color="auto" w:fill="auto"/>
            <w:hideMark/>
          </w:tcPr>
          <w:p w14:paraId="3413CA9F"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-0.037</w:t>
            </w:r>
          </w:p>
        </w:tc>
        <w:tc>
          <w:tcPr>
            <w:tcW w:w="346" w:type="pct"/>
            <w:tcBorders>
              <w:top w:val="single" w:sz="4" w:space="0" w:color="auto"/>
              <w:left w:val="nil"/>
              <w:bottom w:val="nil"/>
              <w:right w:val="nil"/>
            </w:tcBorders>
            <w:shd w:val="clear" w:color="auto" w:fill="auto"/>
            <w:hideMark/>
          </w:tcPr>
          <w:p w14:paraId="76510C3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-0.027</w:t>
            </w:r>
          </w:p>
        </w:tc>
        <w:tc>
          <w:tcPr>
            <w:tcW w:w="407" w:type="pct"/>
            <w:tcBorders>
              <w:top w:val="single" w:sz="4" w:space="0" w:color="auto"/>
              <w:left w:val="nil"/>
              <w:bottom w:val="nil"/>
              <w:right w:val="nil"/>
            </w:tcBorders>
            <w:shd w:val="clear" w:color="auto" w:fill="auto"/>
            <w:hideMark/>
          </w:tcPr>
          <w:p w14:paraId="1E4EFE7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0.010</w:t>
            </w:r>
          </w:p>
        </w:tc>
        <w:tc>
          <w:tcPr>
            <w:tcW w:w="405" w:type="pct"/>
            <w:tcBorders>
              <w:top w:val="single" w:sz="4" w:space="0" w:color="auto"/>
              <w:left w:val="nil"/>
              <w:bottom w:val="nil"/>
              <w:right w:val="nil"/>
            </w:tcBorders>
            <w:shd w:val="clear" w:color="auto" w:fill="auto"/>
            <w:noWrap/>
            <w:vAlign w:val="bottom"/>
            <w:hideMark/>
          </w:tcPr>
          <w:p w14:paraId="5783E1C8"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7.23***</w:t>
            </w:r>
          </w:p>
        </w:tc>
        <w:tc>
          <w:tcPr>
            <w:tcW w:w="520" w:type="pct"/>
            <w:tcBorders>
              <w:top w:val="single" w:sz="4" w:space="0" w:color="auto"/>
              <w:left w:val="nil"/>
              <w:bottom w:val="nil"/>
              <w:right w:val="nil"/>
            </w:tcBorders>
            <w:shd w:val="clear" w:color="auto" w:fill="auto"/>
            <w:noWrap/>
            <w:vAlign w:val="bottom"/>
            <w:hideMark/>
          </w:tcPr>
          <w:p w14:paraId="7979A05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3.64***</w:t>
            </w:r>
          </w:p>
        </w:tc>
      </w:tr>
      <w:tr w:rsidR="0033739C" w:rsidRPr="00561A95" w14:paraId="5BCECF86" w14:textId="77777777" w:rsidTr="00561A95">
        <w:trPr>
          <w:trHeight w:val="20"/>
        </w:trPr>
        <w:tc>
          <w:tcPr>
            <w:tcW w:w="908" w:type="pct"/>
            <w:tcBorders>
              <w:top w:val="nil"/>
              <w:left w:val="single" w:sz="8" w:space="0" w:color="C1C1C1"/>
              <w:bottom w:val="nil"/>
              <w:right w:val="nil"/>
            </w:tcBorders>
            <w:shd w:val="clear" w:color="auto" w:fill="auto"/>
            <w:hideMark/>
          </w:tcPr>
          <w:p w14:paraId="6BDB0C0F"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EBIT/Assets</w:t>
            </w:r>
          </w:p>
        </w:tc>
        <w:tc>
          <w:tcPr>
            <w:tcW w:w="313" w:type="pct"/>
            <w:tcBorders>
              <w:top w:val="nil"/>
              <w:left w:val="nil"/>
              <w:bottom w:val="nil"/>
              <w:right w:val="nil"/>
            </w:tcBorders>
            <w:shd w:val="clear" w:color="auto" w:fill="auto"/>
            <w:hideMark/>
          </w:tcPr>
          <w:p w14:paraId="4D6A9E9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-0.038</w:t>
            </w:r>
          </w:p>
        </w:tc>
        <w:tc>
          <w:tcPr>
            <w:tcW w:w="314" w:type="pct"/>
            <w:tcBorders>
              <w:top w:val="nil"/>
              <w:left w:val="nil"/>
              <w:bottom w:val="nil"/>
              <w:right w:val="nil"/>
            </w:tcBorders>
            <w:shd w:val="clear" w:color="auto" w:fill="auto"/>
            <w:hideMark/>
          </w:tcPr>
          <w:p w14:paraId="0E52427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-0.018</w:t>
            </w:r>
          </w:p>
        </w:tc>
        <w:tc>
          <w:tcPr>
            <w:tcW w:w="500" w:type="pct"/>
            <w:gridSpan w:val="2"/>
            <w:tcBorders>
              <w:top w:val="nil"/>
              <w:left w:val="nil"/>
              <w:bottom w:val="nil"/>
              <w:right w:val="nil"/>
            </w:tcBorders>
            <w:shd w:val="clear" w:color="auto" w:fill="auto"/>
            <w:hideMark/>
          </w:tcPr>
          <w:p w14:paraId="04CBEF7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0.020</w:t>
            </w:r>
          </w:p>
        </w:tc>
        <w:tc>
          <w:tcPr>
            <w:tcW w:w="406" w:type="pct"/>
            <w:tcBorders>
              <w:top w:val="nil"/>
              <w:left w:val="nil"/>
              <w:bottom w:val="nil"/>
              <w:right w:val="nil"/>
            </w:tcBorders>
            <w:shd w:val="clear" w:color="auto" w:fill="auto"/>
            <w:noWrap/>
            <w:vAlign w:val="bottom"/>
            <w:hideMark/>
          </w:tcPr>
          <w:p w14:paraId="1EAEC98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11.36***</w:t>
            </w:r>
          </w:p>
        </w:tc>
        <w:tc>
          <w:tcPr>
            <w:tcW w:w="534" w:type="pct"/>
            <w:tcBorders>
              <w:top w:val="nil"/>
              <w:left w:val="nil"/>
              <w:bottom w:val="nil"/>
              <w:right w:val="nil"/>
            </w:tcBorders>
            <w:shd w:val="clear" w:color="auto" w:fill="auto"/>
            <w:noWrap/>
            <w:vAlign w:val="bottom"/>
            <w:hideMark/>
          </w:tcPr>
          <w:p w14:paraId="327702D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4.22***</w:t>
            </w:r>
          </w:p>
        </w:tc>
        <w:tc>
          <w:tcPr>
            <w:tcW w:w="347" w:type="pct"/>
            <w:tcBorders>
              <w:top w:val="nil"/>
              <w:left w:val="nil"/>
              <w:bottom w:val="nil"/>
              <w:right w:val="nil"/>
            </w:tcBorders>
            <w:shd w:val="clear" w:color="auto" w:fill="auto"/>
            <w:hideMark/>
          </w:tcPr>
          <w:p w14:paraId="1AB492B4"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-0.024</w:t>
            </w:r>
          </w:p>
        </w:tc>
        <w:tc>
          <w:tcPr>
            <w:tcW w:w="346" w:type="pct"/>
            <w:tcBorders>
              <w:top w:val="nil"/>
              <w:left w:val="nil"/>
              <w:bottom w:val="nil"/>
              <w:right w:val="nil"/>
            </w:tcBorders>
            <w:shd w:val="clear" w:color="auto" w:fill="auto"/>
            <w:hideMark/>
          </w:tcPr>
          <w:p w14:paraId="1C6CB76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-0.017</w:t>
            </w:r>
          </w:p>
        </w:tc>
        <w:tc>
          <w:tcPr>
            <w:tcW w:w="407" w:type="pct"/>
            <w:tcBorders>
              <w:top w:val="nil"/>
              <w:left w:val="nil"/>
              <w:bottom w:val="nil"/>
              <w:right w:val="nil"/>
            </w:tcBorders>
            <w:shd w:val="clear" w:color="auto" w:fill="auto"/>
            <w:hideMark/>
          </w:tcPr>
          <w:p w14:paraId="11C4536B"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0.007</w:t>
            </w:r>
          </w:p>
        </w:tc>
        <w:tc>
          <w:tcPr>
            <w:tcW w:w="405" w:type="pct"/>
            <w:tcBorders>
              <w:top w:val="nil"/>
              <w:left w:val="nil"/>
              <w:bottom w:val="nil"/>
              <w:right w:val="nil"/>
            </w:tcBorders>
            <w:shd w:val="clear" w:color="auto" w:fill="auto"/>
            <w:noWrap/>
            <w:vAlign w:val="bottom"/>
            <w:hideMark/>
          </w:tcPr>
          <w:p w14:paraId="33C0EC6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7.36***</w:t>
            </w:r>
          </w:p>
        </w:tc>
        <w:tc>
          <w:tcPr>
            <w:tcW w:w="520" w:type="pct"/>
            <w:tcBorders>
              <w:top w:val="nil"/>
              <w:left w:val="nil"/>
              <w:bottom w:val="nil"/>
              <w:right w:val="nil"/>
            </w:tcBorders>
            <w:shd w:val="clear" w:color="auto" w:fill="auto"/>
            <w:noWrap/>
            <w:vAlign w:val="bottom"/>
            <w:hideMark/>
          </w:tcPr>
          <w:p w14:paraId="0B3A6F5C"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2.76***</w:t>
            </w:r>
          </w:p>
        </w:tc>
      </w:tr>
      <w:tr w:rsidR="0033739C" w:rsidRPr="00561A95" w14:paraId="0A2108E8" w14:textId="77777777" w:rsidTr="00561A95">
        <w:trPr>
          <w:trHeight w:val="20"/>
        </w:trPr>
        <w:tc>
          <w:tcPr>
            <w:tcW w:w="908" w:type="pct"/>
            <w:tcBorders>
              <w:top w:val="nil"/>
              <w:left w:val="single" w:sz="8" w:space="0" w:color="C1C1C1"/>
              <w:bottom w:val="nil"/>
              <w:right w:val="nil"/>
            </w:tcBorders>
            <w:shd w:val="clear" w:color="auto" w:fill="auto"/>
            <w:hideMark/>
          </w:tcPr>
          <w:p w14:paraId="27FC1CE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Market-to-book ratio</w:t>
            </w:r>
          </w:p>
        </w:tc>
        <w:tc>
          <w:tcPr>
            <w:tcW w:w="313" w:type="pct"/>
            <w:tcBorders>
              <w:top w:val="nil"/>
              <w:left w:val="nil"/>
              <w:bottom w:val="nil"/>
              <w:right w:val="nil"/>
            </w:tcBorders>
            <w:shd w:val="clear" w:color="auto" w:fill="auto"/>
            <w:hideMark/>
          </w:tcPr>
          <w:p w14:paraId="0DEC850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0.939</w:t>
            </w:r>
          </w:p>
        </w:tc>
        <w:tc>
          <w:tcPr>
            <w:tcW w:w="314" w:type="pct"/>
            <w:tcBorders>
              <w:top w:val="nil"/>
              <w:left w:val="nil"/>
              <w:bottom w:val="nil"/>
              <w:right w:val="nil"/>
            </w:tcBorders>
            <w:shd w:val="clear" w:color="auto" w:fill="auto"/>
            <w:hideMark/>
          </w:tcPr>
          <w:p w14:paraId="45B76A14"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0.346</w:t>
            </w:r>
          </w:p>
        </w:tc>
        <w:tc>
          <w:tcPr>
            <w:tcW w:w="500" w:type="pct"/>
            <w:gridSpan w:val="2"/>
            <w:tcBorders>
              <w:top w:val="nil"/>
              <w:left w:val="nil"/>
              <w:bottom w:val="nil"/>
              <w:right w:val="nil"/>
            </w:tcBorders>
            <w:shd w:val="clear" w:color="auto" w:fill="auto"/>
            <w:hideMark/>
          </w:tcPr>
          <w:p w14:paraId="286D5EA1"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-0.592</w:t>
            </w:r>
          </w:p>
        </w:tc>
        <w:tc>
          <w:tcPr>
            <w:tcW w:w="406" w:type="pct"/>
            <w:tcBorders>
              <w:top w:val="nil"/>
              <w:left w:val="nil"/>
              <w:bottom w:val="nil"/>
              <w:right w:val="nil"/>
            </w:tcBorders>
            <w:shd w:val="clear" w:color="auto" w:fill="auto"/>
            <w:noWrap/>
            <w:vAlign w:val="bottom"/>
            <w:hideMark/>
          </w:tcPr>
          <w:p w14:paraId="06D40668"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-2.92***</w:t>
            </w:r>
          </w:p>
        </w:tc>
        <w:tc>
          <w:tcPr>
            <w:tcW w:w="534" w:type="pct"/>
            <w:tcBorders>
              <w:top w:val="nil"/>
              <w:left w:val="nil"/>
              <w:bottom w:val="nil"/>
              <w:right w:val="nil"/>
            </w:tcBorders>
            <w:shd w:val="clear" w:color="auto" w:fill="auto"/>
            <w:noWrap/>
            <w:vAlign w:val="bottom"/>
            <w:hideMark/>
          </w:tcPr>
          <w:p w14:paraId="0F0674F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-2.16***</w:t>
            </w:r>
          </w:p>
        </w:tc>
        <w:tc>
          <w:tcPr>
            <w:tcW w:w="347" w:type="pct"/>
            <w:tcBorders>
              <w:top w:val="nil"/>
              <w:left w:val="nil"/>
              <w:bottom w:val="nil"/>
              <w:right w:val="nil"/>
            </w:tcBorders>
            <w:shd w:val="clear" w:color="auto" w:fill="auto"/>
            <w:hideMark/>
          </w:tcPr>
          <w:p w14:paraId="05C0D4A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0.641</w:t>
            </w:r>
          </w:p>
        </w:tc>
        <w:tc>
          <w:tcPr>
            <w:tcW w:w="346" w:type="pct"/>
            <w:tcBorders>
              <w:top w:val="nil"/>
              <w:left w:val="nil"/>
              <w:bottom w:val="nil"/>
              <w:right w:val="nil"/>
            </w:tcBorders>
            <w:shd w:val="clear" w:color="auto" w:fill="auto"/>
            <w:hideMark/>
          </w:tcPr>
          <w:p w14:paraId="51AB171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0.504</w:t>
            </w:r>
          </w:p>
        </w:tc>
        <w:tc>
          <w:tcPr>
            <w:tcW w:w="407" w:type="pct"/>
            <w:tcBorders>
              <w:top w:val="nil"/>
              <w:left w:val="nil"/>
              <w:bottom w:val="nil"/>
              <w:right w:val="nil"/>
            </w:tcBorders>
            <w:shd w:val="clear" w:color="auto" w:fill="auto"/>
            <w:hideMark/>
          </w:tcPr>
          <w:p w14:paraId="2BA1699B"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-0.136</w:t>
            </w:r>
          </w:p>
        </w:tc>
        <w:tc>
          <w:tcPr>
            <w:tcW w:w="405" w:type="pct"/>
            <w:tcBorders>
              <w:top w:val="nil"/>
              <w:left w:val="nil"/>
              <w:bottom w:val="nil"/>
              <w:right w:val="nil"/>
            </w:tcBorders>
            <w:shd w:val="clear" w:color="auto" w:fill="auto"/>
            <w:noWrap/>
            <w:vAlign w:val="bottom"/>
            <w:hideMark/>
          </w:tcPr>
          <w:p w14:paraId="6A5D2524"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-0.95</w:t>
            </w:r>
          </w:p>
        </w:tc>
        <w:tc>
          <w:tcPr>
            <w:tcW w:w="520" w:type="pct"/>
            <w:tcBorders>
              <w:top w:val="nil"/>
              <w:left w:val="nil"/>
              <w:bottom w:val="nil"/>
              <w:right w:val="nil"/>
            </w:tcBorders>
            <w:shd w:val="clear" w:color="auto" w:fill="auto"/>
            <w:noWrap/>
            <w:vAlign w:val="bottom"/>
            <w:hideMark/>
          </w:tcPr>
          <w:p w14:paraId="1266BB0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-0.82</w:t>
            </w:r>
          </w:p>
        </w:tc>
      </w:tr>
      <w:tr w:rsidR="0033739C" w:rsidRPr="00561A95" w14:paraId="2C170D10" w14:textId="77777777" w:rsidTr="00561A95">
        <w:trPr>
          <w:trHeight w:val="20"/>
        </w:trPr>
        <w:tc>
          <w:tcPr>
            <w:tcW w:w="908" w:type="pct"/>
            <w:tcBorders>
              <w:top w:val="nil"/>
              <w:left w:val="single" w:sz="8" w:space="0" w:color="C1C1C1"/>
              <w:bottom w:val="nil"/>
              <w:right w:val="nil"/>
            </w:tcBorders>
            <w:shd w:val="clear" w:color="auto" w:fill="auto"/>
            <w:hideMark/>
          </w:tcPr>
          <w:p w14:paraId="305F6334"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Capital expenditure / asset</w:t>
            </w:r>
          </w:p>
        </w:tc>
        <w:tc>
          <w:tcPr>
            <w:tcW w:w="313" w:type="pct"/>
            <w:tcBorders>
              <w:top w:val="nil"/>
              <w:left w:val="nil"/>
              <w:bottom w:val="nil"/>
              <w:right w:val="nil"/>
            </w:tcBorders>
            <w:shd w:val="clear" w:color="auto" w:fill="auto"/>
            <w:hideMark/>
          </w:tcPr>
          <w:p w14:paraId="566DA13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0.148</w:t>
            </w:r>
          </w:p>
        </w:tc>
        <w:tc>
          <w:tcPr>
            <w:tcW w:w="314" w:type="pct"/>
            <w:tcBorders>
              <w:top w:val="nil"/>
              <w:left w:val="nil"/>
              <w:bottom w:val="nil"/>
              <w:right w:val="nil"/>
            </w:tcBorders>
            <w:shd w:val="clear" w:color="auto" w:fill="auto"/>
            <w:hideMark/>
          </w:tcPr>
          <w:p w14:paraId="46CDFD2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0.111</w:t>
            </w:r>
          </w:p>
        </w:tc>
        <w:tc>
          <w:tcPr>
            <w:tcW w:w="500" w:type="pct"/>
            <w:gridSpan w:val="2"/>
            <w:tcBorders>
              <w:top w:val="nil"/>
              <w:left w:val="nil"/>
              <w:bottom w:val="nil"/>
              <w:right w:val="nil"/>
            </w:tcBorders>
            <w:shd w:val="clear" w:color="auto" w:fill="auto"/>
            <w:hideMark/>
          </w:tcPr>
          <w:p w14:paraId="677613B7"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-0.037</w:t>
            </w:r>
          </w:p>
        </w:tc>
        <w:tc>
          <w:tcPr>
            <w:tcW w:w="406" w:type="pct"/>
            <w:tcBorders>
              <w:top w:val="nil"/>
              <w:left w:val="nil"/>
              <w:bottom w:val="nil"/>
              <w:right w:val="nil"/>
            </w:tcBorders>
            <w:shd w:val="clear" w:color="auto" w:fill="auto"/>
            <w:noWrap/>
            <w:vAlign w:val="bottom"/>
            <w:hideMark/>
          </w:tcPr>
          <w:p w14:paraId="37DF3D0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-10.28***</w:t>
            </w:r>
          </w:p>
        </w:tc>
        <w:tc>
          <w:tcPr>
            <w:tcW w:w="534" w:type="pct"/>
            <w:tcBorders>
              <w:top w:val="nil"/>
              <w:left w:val="nil"/>
              <w:bottom w:val="nil"/>
              <w:right w:val="nil"/>
            </w:tcBorders>
            <w:shd w:val="clear" w:color="auto" w:fill="auto"/>
            <w:noWrap/>
            <w:vAlign w:val="bottom"/>
            <w:hideMark/>
          </w:tcPr>
          <w:p w14:paraId="0A36194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-3.67***</w:t>
            </w:r>
          </w:p>
        </w:tc>
        <w:tc>
          <w:tcPr>
            <w:tcW w:w="347" w:type="pct"/>
            <w:tcBorders>
              <w:top w:val="nil"/>
              <w:left w:val="nil"/>
              <w:bottom w:val="nil"/>
              <w:right w:val="nil"/>
            </w:tcBorders>
            <w:shd w:val="clear" w:color="auto" w:fill="auto"/>
            <w:hideMark/>
          </w:tcPr>
          <w:p w14:paraId="5875894B"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0.113</w:t>
            </w:r>
          </w:p>
        </w:tc>
        <w:tc>
          <w:tcPr>
            <w:tcW w:w="346" w:type="pct"/>
            <w:tcBorders>
              <w:top w:val="nil"/>
              <w:left w:val="nil"/>
              <w:bottom w:val="nil"/>
              <w:right w:val="nil"/>
            </w:tcBorders>
            <w:shd w:val="clear" w:color="auto" w:fill="auto"/>
            <w:hideMark/>
          </w:tcPr>
          <w:p w14:paraId="3020F8C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0.099</w:t>
            </w:r>
          </w:p>
        </w:tc>
        <w:tc>
          <w:tcPr>
            <w:tcW w:w="407" w:type="pct"/>
            <w:tcBorders>
              <w:top w:val="nil"/>
              <w:left w:val="nil"/>
              <w:bottom w:val="nil"/>
              <w:right w:val="nil"/>
            </w:tcBorders>
            <w:shd w:val="clear" w:color="auto" w:fill="auto"/>
            <w:hideMark/>
          </w:tcPr>
          <w:p w14:paraId="7BF4F821"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-0.013</w:t>
            </w:r>
          </w:p>
        </w:tc>
        <w:tc>
          <w:tcPr>
            <w:tcW w:w="405" w:type="pct"/>
            <w:tcBorders>
              <w:top w:val="nil"/>
              <w:left w:val="nil"/>
              <w:bottom w:val="nil"/>
              <w:right w:val="nil"/>
            </w:tcBorders>
            <w:shd w:val="clear" w:color="auto" w:fill="auto"/>
            <w:noWrap/>
            <w:vAlign w:val="bottom"/>
            <w:hideMark/>
          </w:tcPr>
          <w:p w14:paraId="7FE0044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-6.72***</w:t>
            </w:r>
          </w:p>
        </w:tc>
        <w:tc>
          <w:tcPr>
            <w:tcW w:w="520" w:type="pct"/>
            <w:tcBorders>
              <w:top w:val="nil"/>
              <w:left w:val="nil"/>
              <w:bottom w:val="nil"/>
              <w:right w:val="nil"/>
            </w:tcBorders>
            <w:shd w:val="clear" w:color="auto" w:fill="auto"/>
            <w:noWrap/>
            <w:vAlign w:val="bottom"/>
            <w:hideMark/>
          </w:tcPr>
          <w:p w14:paraId="5010B5B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-2.39***</w:t>
            </w:r>
          </w:p>
        </w:tc>
      </w:tr>
      <w:tr w:rsidR="0033739C" w:rsidRPr="00561A95" w14:paraId="616A4E7E" w14:textId="77777777" w:rsidTr="00561A95">
        <w:trPr>
          <w:trHeight w:val="20"/>
        </w:trPr>
        <w:tc>
          <w:tcPr>
            <w:tcW w:w="908" w:type="pct"/>
            <w:tcBorders>
              <w:top w:val="nil"/>
              <w:left w:val="single" w:sz="8" w:space="0" w:color="C1C1C1"/>
              <w:bottom w:val="nil"/>
              <w:right w:val="nil"/>
            </w:tcBorders>
            <w:shd w:val="clear" w:color="auto" w:fill="auto"/>
            <w:hideMark/>
          </w:tcPr>
          <w:p w14:paraId="0B5CD66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Operating expenses / asset</w:t>
            </w:r>
          </w:p>
        </w:tc>
        <w:tc>
          <w:tcPr>
            <w:tcW w:w="313" w:type="pct"/>
            <w:tcBorders>
              <w:top w:val="nil"/>
              <w:left w:val="nil"/>
              <w:bottom w:val="nil"/>
              <w:right w:val="nil"/>
            </w:tcBorders>
            <w:shd w:val="clear" w:color="auto" w:fill="auto"/>
            <w:hideMark/>
          </w:tcPr>
          <w:p w14:paraId="039A4B7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0.010</w:t>
            </w:r>
          </w:p>
        </w:tc>
        <w:tc>
          <w:tcPr>
            <w:tcW w:w="314" w:type="pct"/>
            <w:tcBorders>
              <w:top w:val="nil"/>
              <w:left w:val="nil"/>
              <w:bottom w:val="nil"/>
              <w:right w:val="nil"/>
            </w:tcBorders>
            <w:shd w:val="clear" w:color="auto" w:fill="auto"/>
            <w:hideMark/>
          </w:tcPr>
          <w:p w14:paraId="514D0AF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0.009</w:t>
            </w:r>
          </w:p>
        </w:tc>
        <w:tc>
          <w:tcPr>
            <w:tcW w:w="500" w:type="pct"/>
            <w:gridSpan w:val="2"/>
            <w:tcBorders>
              <w:top w:val="nil"/>
              <w:left w:val="nil"/>
              <w:bottom w:val="nil"/>
              <w:right w:val="nil"/>
            </w:tcBorders>
            <w:shd w:val="clear" w:color="auto" w:fill="auto"/>
            <w:hideMark/>
          </w:tcPr>
          <w:p w14:paraId="13AA623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-0.002</w:t>
            </w:r>
          </w:p>
        </w:tc>
        <w:tc>
          <w:tcPr>
            <w:tcW w:w="406" w:type="pct"/>
            <w:tcBorders>
              <w:top w:val="nil"/>
              <w:left w:val="nil"/>
              <w:bottom w:val="nil"/>
              <w:right w:val="nil"/>
            </w:tcBorders>
            <w:shd w:val="clear" w:color="auto" w:fill="auto"/>
            <w:noWrap/>
            <w:vAlign w:val="bottom"/>
            <w:hideMark/>
          </w:tcPr>
          <w:p w14:paraId="0A86086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-6.64***</w:t>
            </w:r>
          </w:p>
        </w:tc>
        <w:tc>
          <w:tcPr>
            <w:tcW w:w="534" w:type="pct"/>
            <w:tcBorders>
              <w:top w:val="nil"/>
              <w:left w:val="nil"/>
              <w:bottom w:val="nil"/>
              <w:right w:val="nil"/>
            </w:tcBorders>
            <w:shd w:val="clear" w:color="auto" w:fill="auto"/>
            <w:noWrap/>
            <w:vAlign w:val="bottom"/>
            <w:hideMark/>
          </w:tcPr>
          <w:p w14:paraId="52FD5B5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-3.69***</w:t>
            </w:r>
          </w:p>
        </w:tc>
        <w:tc>
          <w:tcPr>
            <w:tcW w:w="347" w:type="pct"/>
            <w:tcBorders>
              <w:top w:val="nil"/>
              <w:left w:val="nil"/>
              <w:bottom w:val="nil"/>
              <w:right w:val="nil"/>
            </w:tcBorders>
            <w:shd w:val="clear" w:color="auto" w:fill="auto"/>
            <w:hideMark/>
          </w:tcPr>
          <w:p w14:paraId="5CA6F9F7"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0.007</w:t>
            </w:r>
          </w:p>
        </w:tc>
        <w:tc>
          <w:tcPr>
            <w:tcW w:w="346" w:type="pct"/>
            <w:tcBorders>
              <w:top w:val="nil"/>
              <w:left w:val="nil"/>
              <w:bottom w:val="nil"/>
              <w:right w:val="nil"/>
            </w:tcBorders>
            <w:shd w:val="clear" w:color="auto" w:fill="auto"/>
            <w:hideMark/>
          </w:tcPr>
          <w:p w14:paraId="0CD06A4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0.005</w:t>
            </w:r>
          </w:p>
        </w:tc>
        <w:tc>
          <w:tcPr>
            <w:tcW w:w="407" w:type="pct"/>
            <w:tcBorders>
              <w:top w:val="nil"/>
              <w:left w:val="nil"/>
              <w:bottom w:val="nil"/>
              <w:right w:val="nil"/>
            </w:tcBorders>
            <w:shd w:val="clear" w:color="auto" w:fill="auto"/>
            <w:hideMark/>
          </w:tcPr>
          <w:p w14:paraId="3288D3D8"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-0.002</w:t>
            </w:r>
          </w:p>
        </w:tc>
        <w:tc>
          <w:tcPr>
            <w:tcW w:w="405" w:type="pct"/>
            <w:tcBorders>
              <w:top w:val="nil"/>
              <w:left w:val="nil"/>
              <w:bottom w:val="nil"/>
              <w:right w:val="nil"/>
            </w:tcBorders>
            <w:shd w:val="clear" w:color="auto" w:fill="auto"/>
            <w:noWrap/>
            <w:vAlign w:val="bottom"/>
            <w:hideMark/>
          </w:tcPr>
          <w:p w14:paraId="4633E0F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-18.42***</w:t>
            </w:r>
          </w:p>
        </w:tc>
        <w:tc>
          <w:tcPr>
            <w:tcW w:w="520" w:type="pct"/>
            <w:tcBorders>
              <w:top w:val="nil"/>
              <w:left w:val="nil"/>
              <w:bottom w:val="nil"/>
              <w:right w:val="nil"/>
            </w:tcBorders>
            <w:shd w:val="clear" w:color="auto" w:fill="auto"/>
            <w:noWrap/>
            <w:vAlign w:val="bottom"/>
            <w:hideMark/>
          </w:tcPr>
          <w:p w14:paraId="4F49E88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-12.64***</w:t>
            </w:r>
          </w:p>
        </w:tc>
      </w:tr>
      <w:tr w:rsidR="0033739C" w:rsidRPr="00561A95" w14:paraId="6EC8BC9F" w14:textId="77777777" w:rsidTr="00561A95">
        <w:trPr>
          <w:trHeight w:val="20"/>
        </w:trPr>
        <w:tc>
          <w:tcPr>
            <w:tcW w:w="908" w:type="pct"/>
            <w:tcBorders>
              <w:top w:val="nil"/>
              <w:left w:val="single" w:sz="8" w:space="0" w:color="C1C1C1"/>
              <w:bottom w:val="nil"/>
              <w:right w:val="nil"/>
            </w:tcBorders>
            <w:shd w:val="clear" w:color="auto" w:fill="auto"/>
            <w:hideMark/>
          </w:tcPr>
          <w:p w14:paraId="4652349B"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Cash / asset</w:t>
            </w:r>
          </w:p>
        </w:tc>
        <w:tc>
          <w:tcPr>
            <w:tcW w:w="313" w:type="pct"/>
            <w:tcBorders>
              <w:top w:val="nil"/>
              <w:left w:val="nil"/>
              <w:bottom w:val="nil"/>
              <w:right w:val="nil"/>
            </w:tcBorders>
            <w:shd w:val="clear" w:color="auto" w:fill="auto"/>
            <w:hideMark/>
          </w:tcPr>
          <w:p w14:paraId="5AB8E94F"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0.037</w:t>
            </w:r>
          </w:p>
        </w:tc>
        <w:tc>
          <w:tcPr>
            <w:tcW w:w="314" w:type="pct"/>
            <w:tcBorders>
              <w:top w:val="nil"/>
              <w:left w:val="nil"/>
              <w:bottom w:val="nil"/>
              <w:right w:val="nil"/>
            </w:tcBorders>
            <w:shd w:val="clear" w:color="auto" w:fill="auto"/>
            <w:hideMark/>
          </w:tcPr>
          <w:p w14:paraId="02DB751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0.030</w:t>
            </w:r>
          </w:p>
        </w:tc>
        <w:tc>
          <w:tcPr>
            <w:tcW w:w="500" w:type="pct"/>
            <w:gridSpan w:val="2"/>
            <w:tcBorders>
              <w:top w:val="nil"/>
              <w:left w:val="nil"/>
              <w:bottom w:val="nil"/>
              <w:right w:val="nil"/>
            </w:tcBorders>
            <w:shd w:val="clear" w:color="auto" w:fill="auto"/>
            <w:hideMark/>
          </w:tcPr>
          <w:p w14:paraId="38278A5C"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-0.007</w:t>
            </w:r>
          </w:p>
        </w:tc>
        <w:tc>
          <w:tcPr>
            <w:tcW w:w="406" w:type="pct"/>
            <w:tcBorders>
              <w:top w:val="nil"/>
              <w:left w:val="nil"/>
              <w:bottom w:val="nil"/>
              <w:right w:val="nil"/>
            </w:tcBorders>
            <w:shd w:val="clear" w:color="auto" w:fill="auto"/>
            <w:noWrap/>
            <w:vAlign w:val="bottom"/>
            <w:hideMark/>
          </w:tcPr>
          <w:p w14:paraId="5FF3BC3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-9.03***</w:t>
            </w:r>
          </w:p>
        </w:tc>
        <w:tc>
          <w:tcPr>
            <w:tcW w:w="534" w:type="pct"/>
            <w:tcBorders>
              <w:top w:val="nil"/>
              <w:left w:val="nil"/>
              <w:bottom w:val="nil"/>
              <w:right w:val="nil"/>
            </w:tcBorders>
            <w:shd w:val="clear" w:color="auto" w:fill="auto"/>
            <w:noWrap/>
            <w:vAlign w:val="bottom"/>
            <w:hideMark/>
          </w:tcPr>
          <w:p w14:paraId="2487B3AA" w14:textId="0FE5D03A"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-3.02</w:t>
            </w:r>
            <w:r w:rsidR="00371BA8" w:rsidRPr="00561A95">
              <w:rPr>
                <w:rFonts w:ascii="Times New Roman" w:eastAsia="Times New Roman" w:hAnsi="Times New Roman" w:cs="Times New Roman"/>
                <w:color w:val="000000"/>
                <w:sz w:val="20"/>
                <w:szCs w:val="20"/>
              </w:rPr>
              <w:t>***</w:t>
            </w:r>
          </w:p>
        </w:tc>
        <w:tc>
          <w:tcPr>
            <w:tcW w:w="347" w:type="pct"/>
            <w:tcBorders>
              <w:top w:val="nil"/>
              <w:left w:val="nil"/>
              <w:bottom w:val="nil"/>
              <w:right w:val="nil"/>
            </w:tcBorders>
            <w:shd w:val="clear" w:color="auto" w:fill="auto"/>
            <w:hideMark/>
          </w:tcPr>
          <w:p w14:paraId="0504510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0.028</w:t>
            </w:r>
          </w:p>
        </w:tc>
        <w:tc>
          <w:tcPr>
            <w:tcW w:w="346" w:type="pct"/>
            <w:tcBorders>
              <w:top w:val="nil"/>
              <w:left w:val="nil"/>
              <w:bottom w:val="nil"/>
              <w:right w:val="nil"/>
            </w:tcBorders>
            <w:shd w:val="clear" w:color="auto" w:fill="auto"/>
            <w:hideMark/>
          </w:tcPr>
          <w:p w14:paraId="11A481D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0.020</w:t>
            </w:r>
          </w:p>
        </w:tc>
        <w:tc>
          <w:tcPr>
            <w:tcW w:w="407" w:type="pct"/>
            <w:tcBorders>
              <w:top w:val="nil"/>
              <w:left w:val="nil"/>
              <w:bottom w:val="nil"/>
              <w:right w:val="nil"/>
            </w:tcBorders>
            <w:shd w:val="clear" w:color="auto" w:fill="auto"/>
            <w:hideMark/>
          </w:tcPr>
          <w:p w14:paraId="6F14B1FF"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-0.009</w:t>
            </w:r>
          </w:p>
        </w:tc>
        <w:tc>
          <w:tcPr>
            <w:tcW w:w="405" w:type="pct"/>
            <w:tcBorders>
              <w:top w:val="nil"/>
              <w:left w:val="nil"/>
              <w:bottom w:val="nil"/>
              <w:right w:val="nil"/>
            </w:tcBorders>
            <w:shd w:val="clear" w:color="auto" w:fill="auto"/>
            <w:noWrap/>
            <w:vAlign w:val="bottom"/>
            <w:hideMark/>
          </w:tcPr>
          <w:p w14:paraId="07FD6EA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-16.32***</w:t>
            </w:r>
          </w:p>
        </w:tc>
        <w:tc>
          <w:tcPr>
            <w:tcW w:w="520" w:type="pct"/>
            <w:tcBorders>
              <w:top w:val="nil"/>
              <w:left w:val="nil"/>
              <w:bottom w:val="nil"/>
              <w:right w:val="nil"/>
            </w:tcBorders>
            <w:shd w:val="clear" w:color="auto" w:fill="auto"/>
            <w:noWrap/>
            <w:vAlign w:val="bottom"/>
            <w:hideMark/>
          </w:tcPr>
          <w:p w14:paraId="208A2561"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-7.75***</w:t>
            </w:r>
          </w:p>
        </w:tc>
      </w:tr>
      <w:tr w:rsidR="0033739C" w:rsidRPr="00561A95" w14:paraId="5D606344" w14:textId="77777777" w:rsidTr="00561A95">
        <w:trPr>
          <w:trHeight w:val="20"/>
        </w:trPr>
        <w:tc>
          <w:tcPr>
            <w:tcW w:w="908" w:type="pct"/>
            <w:tcBorders>
              <w:top w:val="nil"/>
              <w:left w:val="single" w:sz="8" w:space="0" w:color="C1C1C1"/>
              <w:right w:val="nil"/>
            </w:tcBorders>
            <w:shd w:val="clear" w:color="auto" w:fill="auto"/>
            <w:hideMark/>
          </w:tcPr>
          <w:p w14:paraId="25F91D6B"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Debt / asset</w:t>
            </w:r>
          </w:p>
        </w:tc>
        <w:tc>
          <w:tcPr>
            <w:tcW w:w="313" w:type="pct"/>
            <w:tcBorders>
              <w:top w:val="nil"/>
              <w:left w:val="nil"/>
              <w:right w:val="nil"/>
            </w:tcBorders>
            <w:shd w:val="clear" w:color="auto" w:fill="auto"/>
            <w:hideMark/>
          </w:tcPr>
          <w:p w14:paraId="60EA5CDF"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0.030</w:t>
            </w:r>
          </w:p>
        </w:tc>
        <w:tc>
          <w:tcPr>
            <w:tcW w:w="314" w:type="pct"/>
            <w:tcBorders>
              <w:top w:val="nil"/>
              <w:left w:val="nil"/>
              <w:right w:val="nil"/>
            </w:tcBorders>
            <w:shd w:val="clear" w:color="auto" w:fill="auto"/>
            <w:hideMark/>
          </w:tcPr>
          <w:p w14:paraId="19F9D06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0.019</w:t>
            </w:r>
          </w:p>
        </w:tc>
        <w:tc>
          <w:tcPr>
            <w:tcW w:w="500" w:type="pct"/>
            <w:gridSpan w:val="2"/>
            <w:tcBorders>
              <w:top w:val="nil"/>
              <w:left w:val="nil"/>
              <w:right w:val="nil"/>
            </w:tcBorders>
            <w:shd w:val="clear" w:color="auto" w:fill="auto"/>
            <w:hideMark/>
          </w:tcPr>
          <w:p w14:paraId="1FBC966C"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-0.011</w:t>
            </w:r>
          </w:p>
        </w:tc>
        <w:tc>
          <w:tcPr>
            <w:tcW w:w="406" w:type="pct"/>
            <w:tcBorders>
              <w:top w:val="nil"/>
              <w:left w:val="nil"/>
              <w:right w:val="nil"/>
            </w:tcBorders>
            <w:shd w:val="clear" w:color="auto" w:fill="auto"/>
            <w:noWrap/>
            <w:vAlign w:val="bottom"/>
            <w:hideMark/>
          </w:tcPr>
          <w:p w14:paraId="20E37E02"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-6.24***</w:t>
            </w:r>
          </w:p>
        </w:tc>
        <w:tc>
          <w:tcPr>
            <w:tcW w:w="534" w:type="pct"/>
            <w:tcBorders>
              <w:top w:val="nil"/>
              <w:left w:val="nil"/>
              <w:right w:val="nil"/>
            </w:tcBorders>
            <w:shd w:val="clear" w:color="auto" w:fill="auto"/>
            <w:noWrap/>
            <w:vAlign w:val="bottom"/>
            <w:hideMark/>
          </w:tcPr>
          <w:p w14:paraId="5265E53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-3.71***</w:t>
            </w:r>
          </w:p>
        </w:tc>
        <w:tc>
          <w:tcPr>
            <w:tcW w:w="347" w:type="pct"/>
            <w:tcBorders>
              <w:top w:val="nil"/>
              <w:left w:val="nil"/>
              <w:right w:val="nil"/>
            </w:tcBorders>
            <w:shd w:val="clear" w:color="auto" w:fill="auto"/>
            <w:hideMark/>
          </w:tcPr>
          <w:p w14:paraId="2A17950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0.015</w:t>
            </w:r>
          </w:p>
        </w:tc>
        <w:tc>
          <w:tcPr>
            <w:tcW w:w="346" w:type="pct"/>
            <w:tcBorders>
              <w:top w:val="nil"/>
              <w:left w:val="nil"/>
              <w:right w:val="nil"/>
            </w:tcBorders>
            <w:shd w:val="clear" w:color="auto" w:fill="auto"/>
            <w:hideMark/>
          </w:tcPr>
          <w:p w14:paraId="65BCCE6F"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0.015</w:t>
            </w:r>
          </w:p>
        </w:tc>
        <w:tc>
          <w:tcPr>
            <w:tcW w:w="407" w:type="pct"/>
            <w:tcBorders>
              <w:top w:val="nil"/>
              <w:left w:val="nil"/>
              <w:right w:val="nil"/>
            </w:tcBorders>
            <w:shd w:val="clear" w:color="auto" w:fill="auto"/>
            <w:hideMark/>
          </w:tcPr>
          <w:p w14:paraId="17486E90"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0.000</w:t>
            </w:r>
          </w:p>
        </w:tc>
        <w:tc>
          <w:tcPr>
            <w:tcW w:w="405" w:type="pct"/>
            <w:tcBorders>
              <w:top w:val="nil"/>
              <w:left w:val="nil"/>
              <w:right w:val="nil"/>
            </w:tcBorders>
            <w:shd w:val="clear" w:color="auto" w:fill="auto"/>
            <w:noWrap/>
            <w:vAlign w:val="bottom"/>
            <w:hideMark/>
          </w:tcPr>
          <w:p w14:paraId="50C655EA"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-0.37</w:t>
            </w:r>
          </w:p>
        </w:tc>
        <w:tc>
          <w:tcPr>
            <w:tcW w:w="520" w:type="pct"/>
            <w:tcBorders>
              <w:top w:val="nil"/>
              <w:left w:val="nil"/>
              <w:right w:val="nil"/>
            </w:tcBorders>
            <w:shd w:val="clear" w:color="auto" w:fill="auto"/>
            <w:noWrap/>
            <w:vAlign w:val="bottom"/>
            <w:hideMark/>
          </w:tcPr>
          <w:p w14:paraId="63DAD669"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-0.25</w:t>
            </w:r>
          </w:p>
        </w:tc>
      </w:tr>
      <w:tr w:rsidR="0033739C" w:rsidRPr="00561A95" w14:paraId="1ACE5530" w14:textId="77777777" w:rsidTr="00561A95">
        <w:trPr>
          <w:trHeight w:val="20"/>
        </w:trPr>
        <w:tc>
          <w:tcPr>
            <w:tcW w:w="908" w:type="pct"/>
            <w:tcBorders>
              <w:top w:val="nil"/>
              <w:left w:val="single" w:sz="8" w:space="0" w:color="C1C1C1"/>
              <w:bottom w:val="single" w:sz="4" w:space="0" w:color="auto"/>
              <w:right w:val="nil"/>
            </w:tcBorders>
            <w:shd w:val="clear" w:color="auto" w:fill="auto"/>
            <w:hideMark/>
          </w:tcPr>
          <w:p w14:paraId="55CD21D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Dividend per share</w:t>
            </w:r>
          </w:p>
        </w:tc>
        <w:tc>
          <w:tcPr>
            <w:tcW w:w="313" w:type="pct"/>
            <w:tcBorders>
              <w:top w:val="nil"/>
              <w:left w:val="nil"/>
              <w:bottom w:val="single" w:sz="4" w:space="0" w:color="auto"/>
              <w:right w:val="nil"/>
            </w:tcBorders>
            <w:shd w:val="clear" w:color="auto" w:fill="auto"/>
            <w:hideMark/>
          </w:tcPr>
          <w:p w14:paraId="3997EB6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0.115</w:t>
            </w:r>
          </w:p>
        </w:tc>
        <w:tc>
          <w:tcPr>
            <w:tcW w:w="314" w:type="pct"/>
            <w:tcBorders>
              <w:top w:val="nil"/>
              <w:left w:val="nil"/>
              <w:bottom w:val="single" w:sz="4" w:space="0" w:color="auto"/>
              <w:right w:val="nil"/>
            </w:tcBorders>
            <w:shd w:val="clear" w:color="auto" w:fill="auto"/>
            <w:hideMark/>
          </w:tcPr>
          <w:p w14:paraId="142FA8E4"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0.156</w:t>
            </w:r>
          </w:p>
        </w:tc>
        <w:tc>
          <w:tcPr>
            <w:tcW w:w="500" w:type="pct"/>
            <w:gridSpan w:val="2"/>
            <w:tcBorders>
              <w:top w:val="nil"/>
              <w:left w:val="nil"/>
              <w:bottom w:val="single" w:sz="4" w:space="0" w:color="auto"/>
              <w:right w:val="nil"/>
            </w:tcBorders>
            <w:shd w:val="clear" w:color="auto" w:fill="auto"/>
            <w:hideMark/>
          </w:tcPr>
          <w:p w14:paraId="036EE2B6"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0.042</w:t>
            </w:r>
          </w:p>
        </w:tc>
        <w:tc>
          <w:tcPr>
            <w:tcW w:w="406" w:type="pct"/>
            <w:tcBorders>
              <w:top w:val="nil"/>
              <w:left w:val="nil"/>
              <w:bottom w:val="single" w:sz="4" w:space="0" w:color="auto"/>
              <w:right w:val="nil"/>
            </w:tcBorders>
            <w:shd w:val="clear" w:color="auto" w:fill="auto"/>
            <w:noWrap/>
            <w:vAlign w:val="bottom"/>
            <w:hideMark/>
          </w:tcPr>
          <w:p w14:paraId="4FFC1637"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7.82***</w:t>
            </w:r>
          </w:p>
        </w:tc>
        <w:tc>
          <w:tcPr>
            <w:tcW w:w="534" w:type="pct"/>
            <w:tcBorders>
              <w:top w:val="nil"/>
              <w:left w:val="nil"/>
              <w:bottom w:val="single" w:sz="4" w:space="0" w:color="auto"/>
              <w:right w:val="nil"/>
            </w:tcBorders>
            <w:shd w:val="clear" w:color="auto" w:fill="auto"/>
            <w:noWrap/>
            <w:vAlign w:val="bottom"/>
            <w:hideMark/>
          </w:tcPr>
          <w:p w14:paraId="14ED1B5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3.35***</w:t>
            </w:r>
          </w:p>
        </w:tc>
        <w:tc>
          <w:tcPr>
            <w:tcW w:w="347" w:type="pct"/>
            <w:tcBorders>
              <w:top w:val="nil"/>
              <w:left w:val="nil"/>
              <w:bottom w:val="single" w:sz="4" w:space="0" w:color="auto"/>
              <w:right w:val="nil"/>
            </w:tcBorders>
            <w:shd w:val="clear" w:color="auto" w:fill="auto"/>
            <w:hideMark/>
          </w:tcPr>
          <w:p w14:paraId="673FA164"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0.081</w:t>
            </w:r>
          </w:p>
        </w:tc>
        <w:tc>
          <w:tcPr>
            <w:tcW w:w="346" w:type="pct"/>
            <w:tcBorders>
              <w:top w:val="nil"/>
              <w:left w:val="nil"/>
              <w:bottom w:val="single" w:sz="4" w:space="0" w:color="auto"/>
              <w:right w:val="nil"/>
            </w:tcBorders>
            <w:shd w:val="clear" w:color="auto" w:fill="auto"/>
            <w:hideMark/>
          </w:tcPr>
          <w:p w14:paraId="0F1F54AB"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0.096</w:t>
            </w:r>
          </w:p>
        </w:tc>
        <w:tc>
          <w:tcPr>
            <w:tcW w:w="407" w:type="pct"/>
            <w:tcBorders>
              <w:top w:val="nil"/>
              <w:left w:val="nil"/>
              <w:bottom w:val="single" w:sz="4" w:space="0" w:color="auto"/>
              <w:right w:val="nil"/>
            </w:tcBorders>
            <w:shd w:val="clear" w:color="auto" w:fill="auto"/>
            <w:hideMark/>
          </w:tcPr>
          <w:p w14:paraId="3FFFE7B5"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0.015</w:t>
            </w:r>
          </w:p>
        </w:tc>
        <w:tc>
          <w:tcPr>
            <w:tcW w:w="405" w:type="pct"/>
            <w:tcBorders>
              <w:top w:val="nil"/>
              <w:left w:val="nil"/>
              <w:bottom w:val="single" w:sz="4" w:space="0" w:color="auto"/>
              <w:right w:val="nil"/>
            </w:tcBorders>
            <w:shd w:val="clear" w:color="auto" w:fill="auto"/>
            <w:noWrap/>
            <w:vAlign w:val="bottom"/>
            <w:hideMark/>
          </w:tcPr>
          <w:p w14:paraId="5768DE73"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5.11***</w:t>
            </w:r>
          </w:p>
        </w:tc>
        <w:tc>
          <w:tcPr>
            <w:tcW w:w="520" w:type="pct"/>
            <w:tcBorders>
              <w:top w:val="nil"/>
              <w:left w:val="nil"/>
              <w:bottom w:val="single" w:sz="4" w:space="0" w:color="auto"/>
              <w:right w:val="nil"/>
            </w:tcBorders>
            <w:shd w:val="clear" w:color="auto" w:fill="auto"/>
            <w:noWrap/>
            <w:vAlign w:val="bottom"/>
            <w:hideMark/>
          </w:tcPr>
          <w:p w14:paraId="6D2AB77E" w14:textId="77777777" w:rsidR="0033739C" w:rsidRPr="00561A95" w:rsidRDefault="0033739C" w:rsidP="00561A95">
            <w:pPr>
              <w:spacing w:after="0" w:line="240" w:lineRule="auto"/>
              <w:rPr>
                <w:rFonts w:ascii="Times New Roman" w:eastAsia="Times New Roman" w:hAnsi="Times New Roman" w:cs="Times New Roman"/>
                <w:color w:val="000000"/>
                <w:sz w:val="20"/>
                <w:szCs w:val="20"/>
              </w:rPr>
            </w:pPr>
            <w:r w:rsidRPr="00561A95">
              <w:rPr>
                <w:rFonts w:ascii="Times New Roman" w:eastAsia="Times New Roman" w:hAnsi="Times New Roman" w:cs="Times New Roman"/>
                <w:color w:val="000000"/>
                <w:sz w:val="20"/>
                <w:szCs w:val="20"/>
              </w:rPr>
              <w:t>1.92*</w:t>
            </w:r>
          </w:p>
        </w:tc>
      </w:tr>
    </w:tbl>
    <w:p w14:paraId="78A6C204" w14:textId="77777777" w:rsidR="0033739C" w:rsidRPr="00561A95" w:rsidRDefault="0033739C" w:rsidP="0033739C">
      <w:pPr>
        <w:rPr>
          <w:rFonts w:ascii="Times New Roman" w:hAnsi="Times New Roman" w:cs="Times New Roman"/>
          <w:sz w:val="20"/>
          <w:szCs w:val="20"/>
        </w:rPr>
      </w:pPr>
      <w:r w:rsidRPr="00561A95">
        <w:rPr>
          <w:rFonts w:ascii="Times New Roman" w:hAnsi="Times New Roman" w:cs="Times New Roman"/>
          <w:sz w:val="20"/>
          <w:szCs w:val="20"/>
        </w:rPr>
        <w:t xml:space="preserve">We report the industry-adjusted operating performance (ROA and EBIT-to-asset ratio), market-to-book ratio, capital expenditure-to-asset, operating expenses-to-asset, cash-to-asset ratio, debt-to-asset ratio and dividend per share of the value-weighted portfolio and equally-weighted portfolio of matching firms in the year before and the year after the activism events (in Panel A) and in the 3 years before and 3 years after the events (in Panel B). The value-weighted (based upon market capitalization in the preceding year) and equally-weighted portfolios of matching firms are firms in the same quartiles of institutional ownership and of market capitalization as the target firm. *, ** and *** indicate the significance levels of 10%, 5% and 1%, respectively. </w:t>
      </w:r>
    </w:p>
    <w:p w14:paraId="306DFA68" w14:textId="77777777" w:rsidR="0033739C" w:rsidRPr="00D97714" w:rsidRDefault="0033739C" w:rsidP="0033739C">
      <w:pPr>
        <w:rPr>
          <w:rFonts w:ascii="Times New Roman" w:hAnsi="Times New Roman" w:cs="Times New Roman"/>
          <w:sz w:val="24"/>
          <w:szCs w:val="24"/>
        </w:rPr>
      </w:pPr>
    </w:p>
    <w:p w14:paraId="062C3171" w14:textId="77777777" w:rsidR="0033739C" w:rsidRPr="00D97714" w:rsidRDefault="0033739C" w:rsidP="0033739C">
      <w:pPr>
        <w:rPr>
          <w:rFonts w:ascii="Times New Roman" w:hAnsi="Times New Roman" w:cs="Times New Roman"/>
          <w:sz w:val="24"/>
          <w:szCs w:val="24"/>
        </w:rPr>
      </w:pPr>
    </w:p>
    <w:p w14:paraId="68715E5E" w14:textId="77777777" w:rsidR="0033739C" w:rsidRPr="00D97714" w:rsidRDefault="0033739C" w:rsidP="0033739C">
      <w:pPr>
        <w:rPr>
          <w:rFonts w:ascii="Times New Roman" w:hAnsi="Times New Roman" w:cs="Times New Roman"/>
          <w:sz w:val="24"/>
          <w:szCs w:val="24"/>
        </w:rPr>
      </w:pPr>
    </w:p>
    <w:p w14:paraId="603E1D54" w14:textId="77777777" w:rsidR="0033739C" w:rsidRPr="00D97714" w:rsidRDefault="0033739C" w:rsidP="0033739C">
      <w:pPr>
        <w:rPr>
          <w:rFonts w:ascii="Times New Roman" w:hAnsi="Times New Roman" w:cs="Times New Roman"/>
          <w:sz w:val="24"/>
          <w:szCs w:val="24"/>
        </w:rPr>
      </w:pPr>
    </w:p>
    <w:p w14:paraId="49F80FE8" w14:textId="77777777" w:rsidR="0033739C" w:rsidRPr="00D97714" w:rsidRDefault="0033739C" w:rsidP="0033739C">
      <w:pPr>
        <w:rPr>
          <w:rFonts w:ascii="Times New Roman" w:hAnsi="Times New Roman" w:cs="Times New Roman"/>
          <w:sz w:val="24"/>
          <w:szCs w:val="24"/>
        </w:rPr>
      </w:pPr>
    </w:p>
    <w:p w14:paraId="4C8722CE" w14:textId="77777777" w:rsidR="0033739C" w:rsidRPr="00D97714" w:rsidRDefault="0033739C" w:rsidP="0033739C">
      <w:pPr>
        <w:rPr>
          <w:rFonts w:ascii="Times New Roman" w:hAnsi="Times New Roman" w:cs="Times New Roman"/>
          <w:sz w:val="24"/>
          <w:szCs w:val="24"/>
        </w:rPr>
        <w:sectPr w:rsidR="0033739C" w:rsidRPr="00D97714" w:rsidSect="00342B19">
          <w:pgSz w:w="15840" w:h="12240" w:orient="landscape"/>
          <w:pgMar w:top="1440" w:right="1440" w:bottom="1440" w:left="1440" w:header="720" w:footer="720" w:gutter="0"/>
          <w:cols w:space="720"/>
          <w:docGrid w:linePitch="360"/>
        </w:sectPr>
      </w:pPr>
    </w:p>
    <w:tbl>
      <w:tblPr>
        <w:tblW w:w="0" w:type="auto"/>
        <w:tblLayout w:type="fixed"/>
        <w:tblLook w:val="04A0" w:firstRow="1" w:lastRow="0" w:firstColumn="1" w:lastColumn="0" w:noHBand="0" w:noVBand="1"/>
      </w:tblPr>
      <w:tblGrid>
        <w:gridCol w:w="3078"/>
        <w:gridCol w:w="1624"/>
        <w:gridCol w:w="1625"/>
        <w:gridCol w:w="1624"/>
        <w:gridCol w:w="1625"/>
      </w:tblGrid>
      <w:tr w:rsidR="0033739C" w:rsidRPr="00D97714" w14:paraId="2D8F7F69" w14:textId="77777777" w:rsidTr="000730DD">
        <w:trPr>
          <w:trHeight w:val="20"/>
        </w:trPr>
        <w:tc>
          <w:tcPr>
            <w:tcW w:w="9576" w:type="dxa"/>
            <w:gridSpan w:val="5"/>
            <w:tcBorders>
              <w:top w:val="nil"/>
              <w:left w:val="nil"/>
              <w:bottom w:val="single" w:sz="4" w:space="0" w:color="auto"/>
              <w:right w:val="nil"/>
            </w:tcBorders>
            <w:shd w:val="clear" w:color="auto" w:fill="auto"/>
            <w:noWrap/>
            <w:vAlign w:val="bottom"/>
          </w:tcPr>
          <w:p w14:paraId="774F0569" w14:textId="77777777" w:rsidR="0033739C" w:rsidRPr="00D97714" w:rsidRDefault="0033739C" w:rsidP="00B05BA5">
            <w:pPr>
              <w:spacing w:after="0" w:line="240" w:lineRule="auto"/>
              <w:rPr>
                <w:rFonts w:ascii="Times New Roman" w:eastAsia="Times New Roman" w:hAnsi="Times New Roman" w:cs="Times New Roman"/>
                <w:b/>
                <w:color w:val="000000"/>
                <w:sz w:val="24"/>
                <w:szCs w:val="24"/>
              </w:rPr>
            </w:pPr>
            <w:r w:rsidRPr="00D97714">
              <w:rPr>
                <w:rFonts w:ascii="Times New Roman" w:eastAsia="Times New Roman" w:hAnsi="Times New Roman" w:cs="Times New Roman"/>
                <w:b/>
                <w:color w:val="000000"/>
                <w:sz w:val="24"/>
                <w:szCs w:val="24"/>
              </w:rPr>
              <w:t>Table 4 – Cross-Sectional Analyses of Non-Target Matching Portfolios’ CARs</w:t>
            </w:r>
          </w:p>
        </w:tc>
      </w:tr>
      <w:tr w:rsidR="0033739C" w:rsidRPr="00D97714" w14:paraId="767558ED" w14:textId="77777777" w:rsidTr="000730DD">
        <w:trPr>
          <w:trHeight w:val="20"/>
        </w:trPr>
        <w:tc>
          <w:tcPr>
            <w:tcW w:w="3078" w:type="dxa"/>
            <w:vMerge w:val="restart"/>
            <w:tcBorders>
              <w:top w:val="single" w:sz="4" w:space="0" w:color="auto"/>
              <w:left w:val="nil"/>
              <w:right w:val="nil"/>
            </w:tcBorders>
            <w:shd w:val="clear" w:color="auto" w:fill="auto"/>
            <w:noWrap/>
            <w:vAlign w:val="bottom"/>
          </w:tcPr>
          <w:p w14:paraId="7517B921" w14:textId="77777777" w:rsidR="0033739C" w:rsidRPr="00D97714" w:rsidRDefault="0033739C" w:rsidP="00B05BA5">
            <w:pPr>
              <w:spacing w:after="0" w:line="240" w:lineRule="auto"/>
              <w:rPr>
                <w:rFonts w:ascii="Times New Roman" w:eastAsia="Times New Roman" w:hAnsi="Times New Roman" w:cs="Times New Roman"/>
                <w:b/>
                <w:i/>
                <w:color w:val="000000"/>
                <w:sz w:val="24"/>
                <w:szCs w:val="24"/>
              </w:rPr>
            </w:pPr>
            <w:r w:rsidRPr="00D97714">
              <w:rPr>
                <w:rFonts w:ascii="Times New Roman" w:eastAsia="Times New Roman" w:hAnsi="Times New Roman" w:cs="Times New Roman"/>
                <w:color w:val="000000"/>
                <w:sz w:val="24"/>
                <w:szCs w:val="24"/>
              </w:rPr>
              <w:t>Variables</w:t>
            </w:r>
          </w:p>
        </w:tc>
        <w:tc>
          <w:tcPr>
            <w:tcW w:w="3249" w:type="dxa"/>
            <w:gridSpan w:val="2"/>
            <w:tcBorders>
              <w:top w:val="single" w:sz="4" w:space="0" w:color="auto"/>
              <w:left w:val="nil"/>
              <w:right w:val="nil"/>
            </w:tcBorders>
            <w:shd w:val="clear" w:color="auto" w:fill="auto"/>
            <w:noWrap/>
            <w:vAlign w:val="bottom"/>
          </w:tcPr>
          <w:p w14:paraId="2A262CF6" w14:textId="77777777" w:rsidR="0033739C" w:rsidRPr="00D97714" w:rsidRDefault="0033739C" w:rsidP="00B05BA5">
            <w:pPr>
              <w:spacing w:after="0" w:line="240" w:lineRule="auto"/>
              <w:rPr>
                <w:rFonts w:ascii="Times New Roman" w:eastAsia="Times New Roman" w:hAnsi="Times New Roman" w:cs="Times New Roman"/>
                <w:b/>
                <w:i/>
                <w:color w:val="000000"/>
                <w:sz w:val="24"/>
                <w:szCs w:val="24"/>
              </w:rPr>
            </w:pPr>
            <w:r w:rsidRPr="00D97714">
              <w:rPr>
                <w:rFonts w:ascii="Times New Roman" w:eastAsia="Times New Roman" w:hAnsi="Times New Roman" w:cs="Times New Roman"/>
                <w:b/>
                <w:i/>
                <w:color w:val="000000"/>
                <w:sz w:val="24"/>
                <w:szCs w:val="24"/>
              </w:rPr>
              <w:t>Panel A – Value-weighted non-target matching portfolios</w:t>
            </w:r>
          </w:p>
        </w:tc>
        <w:tc>
          <w:tcPr>
            <w:tcW w:w="3249" w:type="dxa"/>
            <w:gridSpan w:val="2"/>
            <w:tcBorders>
              <w:top w:val="single" w:sz="4" w:space="0" w:color="auto"/>
              <w:left w:val="nil"/>
              <w:right w:val="nil"/>
            </w:tcBorders>
            <w:shd w:val="clear" w:color="auto" w:fill="auto"/>
            <w:noWrap/>
            <w:vAlign w:val="bottom"/>
          </w:tcPr>
          <w:p w14:paraId="1597AA84" w14:textId="77777777" w:rsidR="0033739C" w:rsidRPr="00D97714" w:rsidRDefault="0033739C" w:rsidP="00B05BA5">
            <w:pPr>
              <w:spacing w:after="0" w:line="240" w:lineRule="auto"/>
              <w:rPr>
                <w:rFonts w:ascii="Times New Roman" w:eastAsia="Times New Roman" w:hAnsi="Times New Roman" w:cs="Times New Roman"/>
                <w:b/>
                <w:i/>
                <w:color w:val="000000"/>
                <w:sz w:val="24"/>
                <w:szCs w:val="24"/>
              </w:rPr>
            </w:pPr>
            <w:r w:rsidRPr="00D97714">
              <w:rPr>
                <w:rFonts w:ascii="Times New Roman" w:eastAsia="Times New Roman" w:hAnsi="Times New Roman" w:cs="Times New Roman"/>
                <w:b/>
                <w:i/>
                <w:color w:val="000000"/>
                <w:sz w:val="24"/>
                <w:szCs w:val="24"/>
              </w:rPr>
              <w:t>Panel B – Equally-weighted non-target matching portfolios</w:t>
            </w:r>
          </w:p>
        </w:tc>
      </w:tr>
      <w:tr w:rsidR="0033739C" w:rsidRPr="00D97714" w14:paraId="0AB5B80C" w14:textId="77777777" w:rsidTr="000730DD">
        <w:trPr>
          <w:trHeight w:val="20"/>
        </w:trPr>
        <w:tc>
          <w:tcPr>
            <w:tcW w:w="3078" w:type="dxa"/>
            <w:vMerge/>
            <w:tcBorders>
              <w:left w:val="nil"/>
              <w:bottom w:val="single" w:sz="4" w:space="0" w:color="auto"/>
              <w:right w:val="nil"/>
            </w:tcBorders>
            <w:shd w:val="clear" w:color="auto" w:fill="auto"/>
            <w:noWrap/>
            <w:vAlign w:val="bottom"/>
            <w:hideMark/>
          </w:tcPr>
          <w:p w14:paraId="0EE1672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624" w:type="dxa"/>
            <w:tcBorders>
              <w:left w:val="nil"/>
              <w:bottom w:val="single" w:sz="4" w:space="0" w:color="auto"/>
              <w:right w:val="nil"/>
            </w:tcBorders>
            <w:shd w:val="clear" w:color="auto" w:fill="auto"/>
            <w:noWrap/>
            <w:vAlign w:val="bottom"/>
            <w:hideMark/>
          </w:tcPr>
          <w:p w14:paraId="783FCC3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Market model</w:t>
            </w:r>
          </w:p>
        </w:tc>
        <w:tc>
          <w:tcPr>
            <w:tcW w:w="1625" w:type="dxa"/>
            <w:tcBorders>
              <w:left w:val="nil"/>
              <w:bottom w:val="single" w:sz="4" w:space="0" w:color="auto"/>
              <w:right w:val="nil"/>
            </w:tcBorders>
            <w:shd w:val="clear" w:color="auto" w:fill="auto"/>
            <w:noWrap/>
            <w:vAlign w:val="bottom"/>
            <w:hideMark/>
          </w:tcPr>
          <w:p w14:paraId="4289390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Fama-French 3-factor model</w:t>
            </w:r>
          </w:p>
        </w:tc>
        <w:tc>
          <w:tcPr>
            <w:tcW w:w="1624" w:type="dxa"/>
            <w:tcBorders>
              <w:left w:val="nil"/>
              <w:bottom w:val="single" w:sz="4" w:space="0" w:color="auto"/>
              <w:right w:val="nil"/>
            </w:tcBorders>
            <w:shd w:val="clear" w:color="auto" w:fill="auto"/>
            <w:noWrap/>
            <w:vAlign w:val="bottom"/>
            <w:hideMark/>
          </w:tcPr>
          <w:p w14:paraId="255DE1D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Market model</w:t>
            </w:r>
          </w:p>
        </w:tc>
        <w:tc>
          <w:tcPr>
            <w:tcW w:w="1625" w:type="dxa"/>
            <w:tcBorders>
              <w:left w:val="nil"/>
              <w:bottom w:val="single" w:sz="4" w:space="0" w:color="auto"/>
              <w:right w:val="nil"/>
            </w:tcBorders>
            <w:shd w:val="clear" w:color="auto" w:fill="auto"/>
            <w:noWrap/>
            <w:vAlign w:val="bottom"/>
            <w:hideMark/>
          </w:tcPr>
          <w:p w14:paraId="1DACD6B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Fama-French 3-factor model</w:t>
            </w:r>
          </w:p>
        </w:tc>
      </w:tr>
      <w:tr w:rsidR="0033739C" w:rsidRPr="00D97714" w14:paraId="32C4B11C" w14:textId="77777777" w:rsidTr="000730DD">
        <w:trPr>
          <w:trHeight w:val="20"/>
        </w:trPr>
        <w:tc>
          <w:tcPr>
            <w:tcW w:w="3078" w:type="dxa"/>
            <w:tcBorders>
              <w:top w:val="single" w:sz="4" w:space="0" w:color="auto"/>
              <w:left w:val="nil"/>
              <w:bottom w:val="nil"/>
              <w:right w:val="nil"/>
            </w:tcBorders>
            <w:shd w:val="clear" w:color="auto" w:fill="auto"/>
            <w:noWrap/>
            <w:hideMark/>
          </w:tcPr>
          <w:p w14:paraId="7862531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Constant</w:t>
            </w:r>
          </w:p>
        </w:tc>
        <w:tc>
          <w:tcPr>
            <w:tcW w:w="1624" w:type="dxa"/>
            <w:tcBorders>
              <w:top w:val="single" w:sz="4" w:space="0" w:color="auto"/>
              <w:left w:val="nil"/>
              <w:bottom w:val="nil"/>
              <w:right w:val="nil"/>
            </w:tcBorders>
            <w:shd w:val="clear" w:color="auto" w:fill="auto"/>
            <w:noWrap/>
            <w:vAlign w:val="bottom"/>
            <w:hideMark/>
          </w:tcPr>
          <w:p w14:paraId="6F1B668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-0.046</w:t>
            </w:r>
          </w:p>
        </w:tc>
        <w:tc>
          <w:tcPr>
            <w:tcW w:w="1625" w:type="dxa"/>
            <w:tcBorders>
              <w:top w:val="single" w:sz="4" w:space="0" w:color="auto"/>
              <w:left w:val="nil"/>
              <w:bottom w:val="nil"/>
              <w:right w:val="nil"/>
            </w:tcBorders>
            <w:shd w:val="clear" w:color="auto" w:fill="auto"/>
            <w:noWrap/>
            <w:vAlign w:val="bottom"/>
            <w:hideMark/>
          </w:tcPr>
          <w:p w14:paraId="093A72D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-0.042</w:t>
            </w:r>
          </w:p>
        </w:tc>
        <w:tc>
          <w:tcPr>
            <w:tcW w:w="1624" w:type="dxa"/>
            <w:tcBorders>
              <w:top w:val="single" w:sz="4" w:space="0" w:color="auto"/>
              <w:left w:val="nil"/>
              <w:bottom w:val="nil"/>
              <w:right w:val="nil"/>
            </w:tcBorders>
            <w:shd w:val="clear" w:color="auto" w:fill="auto"/>
            <w:noWrap/>
            <w:vAlign w:val="bottom"/>
            <w:hideMark/>
          </w:tcPr>
          <w:p w14:paraId="225545F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0.004</w:t>
            </w:r>
          </w:p>
        </w:tc>
        <w:tc>
          <w:tcPr>
            <w:tcW w:w="1625" w:type="dxa"/>
            <w:tcBorders>
              <w:top w:val="single" w:sz="4" w:space="0" w:color="auto"/>
              <w:left w:val="nil"/>
              <w:bottom w:val="nil"/>
              <w:right w:val="nil"/>
            </w:tcBorders>
            <w:shd w:val="clear" w:color="auto" w:fill="auto"/>
            <w:noWrap/>
            <w:vAlign w:val="bottom"/>
            <w:hideMark/>
          </w:tcPr>
          <w:p w14:paraId="3C6967E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-0.001</w:t>
            </w:r>
          </w:p>
        </w:tc>
      </w:tr>
      <w:tr w:rsidR="0033739C" w:rsidRPr="00D97714" w14:paraId="4536F691" w14:textId="77777777" w:rsidTr="000730DD">
        <w:trPr>
          <w:trHeight w:val="20"/>
        </w:trPr>
        <w:tc>
          <w:tcPr>
            <w:tcW w:w="3078" w:type="dxa"/>
            <w:tcBorders>
              <w:top w:val="nil"/>
              <w:left w:val="nil"/>
              <w:bottom w:val="nil"/>
              <w:right w:val="nil"/>
            </w:tcBorders>
            <w:shd w:val="clear" w:color="auto" w:fill="auto"/>
            <w:noWrap/>
            <w:hideMark/>
          </w:tcPr>
          <w:p w14:paraId="3ECB59F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624" w:type="dxa"/>
            <w:tcBorders>
              <w:top w:val="nil"/>
              <w:left w:val="nil"/>
              <w:bottom w:val="nil"/>
              <w:right w:val="nil"/>
            </w:tcBorders>
            <w:shd w:val="clear" w:color="auto" w:fill="auto"/>
            <w:noWrap/>
            <w:vAlign w:val="bottom"/>
            <w:hideMark/>
          </w:tcPr>
          <w:p w14:paraId="1A47F81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(-1.725*)</w:t>
            </w:r>
          </w:p>
        </w:tc>
        <w:tc>
          <w:tcPr>
            <w:tcW w:w="1625" w:type="dxa"/>
            <w:tcBorders>
              <w:top w:val="nil"/>
              <w:left w:val="nil"/>
              <w:bottom w:val="nil"/>
              <w:right w:val="nil"/>
            </w:tcBorders>
            <w:shd w:val="clear" w:color="auto" w:fill="auto"/>
            <w:noWrap/>
            <w:vAlign w:val="bottom"/>
            <w:hideMark/>
          </w:tcPr>
          <w:p w14:paraId="560507C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(-1.764*)</w:t>
            </w:r>
          </w:p>
        </w:tc>
        <w:tc>
          <w:tcPr>
            <w:tcW w:w="1624" w:type="dxa"/>
            <w:tcBorders>
              <w:top w:val="nil"/>
              <w:left w:val="nil"/>
              <w:bottom w:val="nil"/>
              <w:right w:val="nil"/>
            </w:tcBorders>
            <w:shd w:val="clear" w:color="auto" w:fill="auto"/>
            <w:noWrap/>
            <w:vAlign w:val="bottom"/>
            <w:hideMark/>
          </w:tcPr>
          <w:p w14:paraId="1A09634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(0.438 )</w:t>
            </w:r>
          </w:p>
        </w:tc>
        <w:tc>
          <w:tcPr>
            <w:tcW w:w="1625" w:type="dxa"/>
            <w:tcBorders>
              <w:top w:val="nil"/>
              <w:left w:val="nil"/>
              <w:bottom w:val="nil"/>
              <w:right w:val="nil"/>
            </w:tcBorders>
            <w:shd w:val="clear" w:color="auto" w:fill="auto"/>
            <w:noWrap/>
            <w:vAlign w:val="bottom"/>
            <w:hideMark/>
          </w:tcPr>
          <w:p w14:paraId="75331EF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(-0.097 )</w:t>
            </w:r>
          </w:p>
        </w:tc>
      </w:tr>
      <w:tr w:rsidR="0033739C" w:rsidRPr="00D97714" w14:paraId="0AA65DD2" w14:textId="77777777" w:rsidTr="000730DD">
        <w:trPr>
          <w:trHeight w:val="20"/>
        </w:trPr>
        <w:tc>
          <w:tcPr>
            <w:tcW w:w="3078" w:type="dxa"/>
            <w:vMerge w:val="restart"/>
            <w:tcBorders>
              <w:top w:val="nil"/>
              <w:left w:val="nil"/>
              <w:right w:val="nil"/>
            </w:tcBorders>
            <w:shd w:val="clear" w:color="auto" w:fill="auto"/>
            <w:noWrap/>
            <w:hideMark/>
          </w:tcPr>
          <w:p w14:paraId="689DEB9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WIN</w:t>
            </w:r>
          </w:p>
        </w:tc>
        <w:tc>
          <w:tcPr>
            <w:tcW w:w="1624" w:type="dxa"/>
            <w:tcBorders>
              <w:top w:val="nil"/>
              <w:left w:val="nil"/>
              <w:bottom w:val="nil"/>
              <w:right w:val="nil"/>
            </w:tcBorders>
            <w:shd w:val="clear" w:color="auto" w:fill="auto"/>
            <w:noWrap/>
            <w:vAlign w:val="bottom"/>
            <w:hideMark/>
          </w:tcPr>
          <w:p w14:paraId="0D650F8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-0.064</w:t>
            </w:r>
          </w:p>
        </w:tc>
        <w:tc>
          <w:tcPr>
            <w:tcW w:w="1625" w:type="dxa"/>
            <w:tcBorders>
              <w:top w:val="nil"/>
              <w:left w:val="nil"/>
              <w:bottom w:val="nil"/>
              <w:right w:val="nil"/>
            </w:tcBorders>
            <w:shd w:val="clear" w:color="auto" w:fill="auto"/>
            <w:noWrap/>
            <w:vAlign w:val="bottom"/>
            <w:hideMark/>
          </w:tcPr>
          <w:p w14:paraId="79115C9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-0.066</w:t>
            </w:r>
          </w:p>
        </w:tc>
        <w:tc>
          <w:tcPr>
            <w:tcW w:w="1624" w:type="dxa"/>
            <w:tcBorders>
              <w:top w:val="nil"/>
              <w:left w:val="nil"/>
              <w:bottom w:val="nil"/>
              <w:right w:val="nil"/>
            </w:tcBorders>
            <w:shd w:val="clear" w:color="auto" w:fill="auto"/>
            <w:noWrap/>
            <w:vAlign w:val="bottom"/>
            <w:hideMark/>
          </w:tcPr>
          <w:p w14:paraId="2A19458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-0.048</w:t>
            </w:r>
          </w:p>
        </w:tc>
        <w:tc>
          <w:tcPr>
            <w:tcW w:w="1625" w:type="dxa"/>
            <w:tcBorders>
              <w:top w:val="nil"/>
              <w:left w:val="nil"/>
              <w:bottom w:val="nil"/>
              <w:right w:val="nil"/>
            </w:tcBorders>
            <w:shd w:val="clear" w:color="auto" w:fill="auto"/>
            <w:noWrap/>
            <w:vAlign w:val="bottom"/>
            <w:hideMark/>
          </w:tcPr>
          <w:p w14:paraId="268D028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-0.060</w:t>
            </w:r>
          </w:p>
        </w:tc>
      </w:tr>
      <w:tr w:rsidR="0033739C" w:rsidRPr="00D97714" w14:paraId="504E333D" w14:textId="77777777" w:rsidTr="000730DD">
        <w:trPr>
          <w:trHeight w:val="20"/>
        </w:trPr>
        <w:tc>
          <w:tcPr>
            <w:tcW w:w="3078" w:type="dxa"/>
            <w:vMerge/>
            <w:tcBorders>
              <w:left w:val="nil"/>
              <w:bottom w:val="nil"/>
              <w:right w:val="nil"/>
            </w:tcBorders>
            <w:shd w:val="clear" w:color="auto" w:fill="auto"/>
            <w:noWrap/>
            <w:hideMark/>
          </w:tcPr>
          <w:p w14:paraId="2B69E8E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624" w:type="dxa"/>
            <w:tcBorders>
              <w:top w:val="nil"/>
              <w:left w:val="nil"/>
              <w:bottom w:val="nil"/>
              <w:right w:val="nil"/>
            </w:tcBorders>
            <w:shd w:val="clear" w:color="auto" w:fill="auto"/>
            <w:noWrap/>
            <w:vAlign w:val="bottom"/>
            <w:hideMark/>
          </w:tcPr>
          <w:p w14:paraId="1919A95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(-1.527 )</w:t>
            </w:r>
          </w:p>
        </w:tc>
        <w:tc>
          <w:tcPr>
            <w:tcW w:w="1625" w:type="dxa"/>
            <w:tcBorders>
              <w:top w:val="nil"/>
              <w:left w:val="nil"/>
              <w:bottom w:val="nil"/>
              <w:right w:val="nil"/>
            </w:tcBorders>
            <w:shd w:val="clear" w:color="auto" w:fill="auto"/>
            <w:noWrap/>
            <w:vAlign w:val="bottom"/>
            <w:hideMark/>
          </w:tcPr>
          <w:p w14:paraId="0881140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(-1.592 )</w:t>
            </w:r>
          </w:p>
        </w:tc>
        <w:tc>
          <w:tcPr>
            <w:tcW w:w="1624" w:type="dxa"/>
            <w:tcBorders>
              <w:top w:val="nil"/>
              <w:left w:val="nil"/>
              <w:bottom w:val="nil"/>
              <w:right w:val="nil"/>
            </w:tcBorders>
            <w:shd w:val="clear" w:color="auto" w:fill="auto"/>
            <w:noWrap/>
            <w:vAlign w:val="bottom"/>
            <w:hideMark/>
          </w:tcPr>
          <w:p w14:paraId="5AEAA36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(-1.089 )</w:t>
            </w:r>
          </w:p>
        </w:tc>
        <w:tc>
          <w:tcPr>
            <w:tcW w:w="1625" w:type="dxa"/>
            <w:tcBorders>
              <w:top w:val="nil"/>
              <w:left w:val="nil"/>
              <w:bottom w:val="nil"/>
              <w:right w:val="nil"/>
            </w:tcBorders>
            <w:shd w:val="clear" w:color="auto" w:fill="auto"/>
            <w:noWrap/>
            <w:vAlign w:val="bottom"/>
            <w:hideMark/>
          </w:tcPr>
          <w:p w14:paraId="768B126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(-1.355 )</w:t>
            </w:r>
          </w:p>
        </w:tc>
      </w:tr>
      <w:tr w:rsidR="0033739C" w:rsidRPr="00D97714" w14:paraId="7B31CF8C" w14:textId="77777777" w:rsidTr="000730DD">
        <w:trPr>
          <w:trHeight w:val="20"/>
        </w:trPr>
        <w:tc>
          <w:tcPr>
            <w:tcW w:w="3078" w:type="dxa"/>
            <w:vMerge w:val="restart"/>
            <w:tcBorders>
              <w:top w:val="nil"/>
              <w:left w:val="nil"/>
              <w:right w:val="nil"/>
            </w:tcBorders>
            <w:shd w:val="clear" w:color="auto" w:fill="auto"/>
            <w:noWrap/>
            <w:hideMark/>
          </w:tcPr>
          <w:p w14:paraId="631096F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CHANGE</w:t>
            </w:r>
          </w:p>
        </w:tc>
        <w:tc>
          <w:tcPr>
            <w:tcW w:w="1624" w:type="dxa"/>
            <w:tcBorders>
              <w:top w:val="nil"/>
              <w:left w:val="nil"/>
              <w:bottom w:val="nil"/>
              <w:right w:val="nil"/>
            </w:tcBorders>
            <w:shd w:val="clear" w:color="auto" w:fill="auto"/>
            <w:noWrap/>
            <w:vAlign w:val="bottom"/>
            <w:hideMark/>
          </w:tcPr>
          <w:p w14:paraId="0E7D03A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0.059</w:t>
            </w:r>
          </w:p>
        </w:tc>
        <w:tc>
          <w:tcPr>
            <w:tcW w:w="1625" w:type="dxa"/>
            <w:tcBorders>
              <w:top w:val="nil"/>
              <w:left w:val="nil"/>
              <w:bottom w:val="nil"/>
              <w:right w:val="nil"/>
            </w:tcBorders>
            <w:shd w:val="clear" w:color="auto" w:fill="auto"/>
            <w:noWrap/>
            <w:vAlign w:val="bottom"/>
            <w:hideMark/>
          </w:tcPr>
          <w:p w14:paraId="6D013FA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0.051</w:t>
            </w:r>
          </w:p>
        </w:tc>
        <w:tc>
          <w:tcPr>
            <w:tcW w:w="1624" w:type="dxa"/>
            <w:tcBorders>
              <w:top w:val="nil"/>
              <w:left w:val="nil"/>
              <w:bottom w:val="nil"/>
              <w:right w:val="nil"/>
            </w:tcBorders>
            <w:shd w:val="clear" w:color="auto" w:fill="auto"/>
            <w:noWrap/>
            <w:vAlign w:val="bottom"/>
            <w:hideMark/>
          </w:tcPr>
          <w:p w14:paraId="63F3054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-0.005</w:t>
            </w:r>
          </w:p>
        </w:tc>
        <w:tc>
          <w:tcPr>
            <w:tcW w:w="1625" w:type="dxa"/>
            <w:tcBorders>
              <w:top w:val="nil"/>
              <w:left w:val="nil"/>
              <w:bottom w:val="nil"/>
              <w:right w:val="nil"/>
            </w:tcBorders>
            <w:shd w:val="clear" w:color="auto" w:fill="auto"/>
            <w:noWrap/>
            <w:vAlign w:val="bottom"/>
            <w:hideMark/>
          </w:tcPr>
          <w:p w14:paraId="7D1DCC4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-0.016</w:t>
            </w:r>
          </w:p>
        </w:tc>
      </w:tr>
      <w:tr w:rsidR="0033739C" w:rsidRPr="00D97714" w14:paraId="001F7976" w14:textId="77777777" w:rsidTr="000730DD">
        <w:trPr>
          <w:trHeight w:val="20"/>
        </w:trPr>
        <w:tc>
          <w:tcPr>
            <w:tcW w:w="3078" w:type="dxa"/>
            <w:vMerge/>
            <w:tcBorders>
              <w:left w:val="nil"/>
              <w:bottom w:val="nil"/>
              <w:right w:val="nil"/>
            </w:tcBorders>
            <w:shd w:val="clear" w:color="auto" w:fill="auto"/>
            <w:noWrap/>
            <w:hideMark/>
          </w:tcPr>
          <w:p w14:paraId="40F42A7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624" w:type="dxa"/>
            <w:tcBorders>
              <w:top w:val="nil"/>
              <w:left w:val="nil"/>
              <w:bottom w:val="nil"/>
              <w:right w:val="nil"/>
            </w:tcBorders>
            <w:shd w:val="clear" w:color="auto" w:fill="auto"/>
            <w:noWrap/>
            <w:vAlign w:val="bottom"/>
            <w:hideMark/>
          </w:tcPr>
          <w:p w14:paraId="720DF3C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(1.421 )</w:t>
            </w:r>
          </w:p>
        </w:tc>
        <w:tc>
          <w:tcPr>
            <w:tcW w:w="1625" w:type="dxa"/>
            <w:tcBorders>
              <w:top w:val="nil"/>
              <w:left w:val="nil"/>
              <w:bottom w:val="nil"/>
              <w:right w:val="nil"/>
            </w:tcBorders>
            <w:shd w:val="clear" w:color="auto" w:fill="auto"/>
            <w:noWrap/>
            <w:vAlign w:val="bottom"/>
            <w:hideMark/>
          </w:tcPr>
          <w:p w14:paraId="1C4D8C8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(1.247 )</w:t>
            </w:r>
          </w:p>
        </w:tc>
        <w:tc>
          <w:tcPr>
            <w:tcW w:w="1624" w:type="dxa"/>
            <w:tcBorders>
              <w:top w:val="nil"/>
              <w:left w:val="nil"/>
              <w:bottom w:val="nil"/>
              <w:right w:val="nil"/>
            </w:tcBorders>
            <w:shd w:val="clear" w:color="auto" w:fill="auto"/>
            <w:noWrap/>
            <w:vAlign w:val="bottom"/>
            <w:hideMark/>
          </w:tcPr>
          <w:p w14:paraId="6616023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(-0.124 )</w:t>
            </w:r>
          </w:p>
        </w:tc>
        <w:tc>
          <w:tcPr>
            <w:tcW w:w="1625" w:type="dxa"/>
            <w:tcBorders>
              <w:top w:val="nil"/>
              <w:left w:val="nil"/>
              <w:bottom w:val="nil"/>
              <w:right w:val="nil"/>
            </w:tcBorders>
            <w:shd w:val="clear" w:color="auto" w:fill="auto"/>
            <w:noWrap/>
            <w:vAlign w:val="bottom"/>
            <w:hideMark/>
          </w:tcPr>
          <w:p w14:paraId="756007F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(-0.357 )</w:t>
            </w:r>
          </w:p>
        </w:tc>
      </w:tr>
      <w:tr w:rsidR="0033739C" w:rsidRPr="00D97714" w14:paraId="5679BA9D" w14:textId="77777777" w:rsidTr="000730DD">
        <w:trPr>
          <w:trHeight w:val="20"/>
        </w:trPr>
        <w:tc>
          <w:tcPr>
            <w:tcW w:w="3078" w:type="dxa"/>
            <w:vMerge w:val="restart"/>
            <w:tcBorders>
              <w:top w:val="nil"/>
              <w:left w:val="nil"/>
              <w:right w:val="nil"/>
            </w:tcBorders>
            <w:shd w:val="clear" w:color="auto" w:fill="auto"/>
            <w:noWrap/>
            <w:hideMark/>
          </w:tcPr>
          <w:p w14:paraId="528363C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Ln (MKCAP)</w:t>
            </w:r>
          </w:p>
        </w:tc>
        <w:tc>
          <w:tcPr>
            <w:tcW w:w="1624" w:type="dxa"/>
            <w:tcBorders>
              <w:top w:val="nil"/>
              <w:left w:val="nil"/>
              <w:bottom w:val="nil"/>
              <w:right w:val="nil"/>
            </w:tcBorders>
            <w:shd w:val="clear" w:color="auto" w:fill="auto"/>
            <w:noWrap/>
            <w:vAlign w:val="bottom"/>
            <w:hideMark/>
          </w:tcPr>
          <w:p w14:paraId="1597C72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0.029</w:t>
            </w:r>
          </w:p>
        </w:tc>
        <w:tc>
          <w:tcPr>
            <w:tcW w:w="1625" w:type="dxa"/>
            <w:tcBorders>
              <w:top w:val="nil"/>
              <w:left w:val="nil"/>
              <w:bottom w:val="nil"/>
              <w:right w:val="nil"/>
            </w:tcBorders>
            <w:shd w:val="clear" w:color="auto" w:fill="auto"/>
            <w:noWrap/>
            <w:vAlign w:val="bottom"/>
            <w:hideMark/>
          </w:tcPr>
          <w:p w14:paraId="7AC0D13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0.036</w:t>
            </w:r>
          </w:p>
        </w:tc>
        <w:tc>
          <w:tcPr>
            <w:tcW w:w="1624" w:type="dxa"/>
            <w:tcBorders>
              <w:top w:val="nil"/>
              <w:left w:val="nil"/>
              <w:bottom w:val="nil"/>
              <w:right w:val="nil"/>
            </w:tcBorders>
            <w:shd w:val="clear" w:color="auto" w:fill="auto"/>
            <w:noWrap/>
            <w:vAlign w:val="bottom"/>
            <w:hideMark/>
          </w:tcPr>
          <w:p w14:paraId="5226992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0.055</w:t>
            </w:r>
          </w:p>
        </w:tc>
        <w:tc>
          <w:tcPr>
            <w:tcW w:w="1625" w:type="dxa"/>
            <w:tcBorders>
              <w:top w:val="nil"/>
              <w:left w:val="nil"/>
              <w:bottom w:val="nil"/>
              <w:right w:val="nil"/>
            </w:tcBorders>
            <w:shd w:val="clear" w:color="auto" w:fill="auto"/>
            <w:noWrap/>
            <w:vAlign w:val="bottom"/>
            <w:hideMark/>
          </w:tcPr>
          <w:p w14:paraId="2DCE17F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0.088</w:t>
            </w:r>
          </w:p>
        </w:tc>
      </w:tr>
      <w:tr w:rsidR="0033739C" w:rsidRPr="00D97714" w14:paraId="74516AEF" w14:textId="77777777" w:rsidTr="000730DD">
        <w:trPr>
          <w:trHeight w:val="20"/>
        </w:trPr>
        <w:tc>
          <w:tcPr>
            <w:tcW w:w="3078" w:type="dxa"/>
            <w:vMerge/>
            <w:tcBorders>
              <w:left w:val="nil"/>
              <w:bottom w:val="nil"/>
              <w:right w:val="nil"/>
            </w:tcBorders>
            <w:shd w:val="clear" w:color="auto" w:fill="auto"/>
            <w:noWrap/>
            <w:hideMark/>
          </w:tcPr>
          <w:p w14:paraId="16F9041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624" w:type="dxa"/>
            <w:tcBorders>
              <w:top w:val="nil"/>
              <w:left w:val="nil"/>
              <w:bottom w:val="nil"/>
              <w:right w:val="nil"/>
            </w:tcBorders>
            <w:shd w:val="clear" w:color="auto" w:fill="auto"/>
            <w:noWrap/>
            <w:vAlign w:val="bottom"/>
            <w:hideMark/>
          </w:tcPr>
          <w:p w14:paraId="6A1F6F4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(0.401 )</w:t>
            </w:r>
          </w:p>
        </w:tc>
        <w:tc>
          <w:tcPr>
            <w:tcW w:w="1625" w:type="dxa"/>
            <w:tcBorders>
              <w:top w:val="nil"/>
              <w:left w:val="nil"/>
              <w:bottom w:val="nil"/>
              <w:right w:val="nil"/>
            </w:tcBorders>
            <w:shd w:val="clear" w:color="auto" w:fill="auto"/>
            <w:noWrap/>
            <w:vAlign w:val="bottom"/>
            <w:hideMark/>
          </w:tcPr>
          <w:p w14:paraId="52FDC19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(0.500 )</w:t>
            </w:r>
          </w:p>
        </w:tc>
        <w:tc>
          <w:tcPr>
            <w:tcW w:w="1624" w:type="dxa"/>
            <w:tcBorders>
              <w:top w:val="nil"/>
              <w:left w:val="nil"/>
              <w:bottom w:val="nil"/>
              <w:right w:val="nil"/>
            </w:tcBorders>
            <w:shd w:val="clear" w:color="auto" w:fill="auto"/>
            <w:noWrap/>
            <w:vAlign w:val="bottom"/>
            <w:hideMark/>
          </w:tcPr>
          <w:p w14:paraId="6BF9089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(0.707 )</w:t>
            </w:r>
          </w:p>
        </w:tc>
        <w:tc>
          <w:tcPr>
            <w:tcW w:w="1625" w:type="dxa"/>
            <w:tcBorders>
              <w:top w:val="nil"/>
              <w:left w:val="nil"/>
              <w:bottom w:val="nil"/>
              <w:right w:val="nil"/>
            </w:tcBorders>
            <w:shd w:val="clear" w:color="auto" w:fill="auto"/>
            <w:noWrap/>
            <w:vAlign w:val="bottom"/>
            <w:hideMark/>
          </w:tcPr>
          <w:p w14:paraId="4BCC367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(1.139 )</w:t>
            </w:r>
          </w:p>
        </w:tc>
      </w:tr>
      <w:tr w:rsidR="0033739C" w:rsidRPr="00D97714" w14:paraId="49802D21" w14:textId="77777777" w:rsidTr="000730DD">
        <w:trPr>
          <w:trHeight w:val="20"/>
        </w:trPr>
        <w:tc>
          <w:tcPr>
            <w:tcW w:w="3078" w:type="dxa"/>
            <w:vMerge w:val="restart"/>
            <w:tcBorders>
              <w:top w:val="nil"/>
              <w:left w:val="nil"/>
              <w:right w:val="nil"/>
            </w:tcBorders>
            <w:shd w:val="clear" w:color="auto" w:fill="auto"/>
            <w:noWrap/>
            <w:hideMark/>
          </w:tcPr>
          <w:p w14:paraId="7280438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IOPr</w:t>
            </w:r>
          </w:p>
        </w:tc>
        <w:tc>
          <w:tcPr>
            <w:tcW w:w="1624" w:type="dxa"/>
            <w:tcBorders>
              <w:top w:val="nil"/>
              <w:left w:val="nil"/>
              <w:bottom w:val="nil"/>
              <w:right w:val="nil"/>
            </w:tcBorders>
            <w:shd w:val="clear" w:color="auto" w:fill="auto"/>
            <w:noWrap/>
            <w:vAlign w:val="bottom"/>
            <w:hideMark/>
          </w:tcPr>
          <w:p w14:paraId="3DAAFFF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0.177</w:t>
            </w:r>
          </w:p>
        </w:tc>
        <w:tc>
          <w:tcPr>
            <w:tcW w:w="1625" w:type="dxa"/>
            <w:tcBorders>
              <w:top w:val="nil"/>
              <w:left w:val="nil"/>
              <w:bottom w:val="nil"/>
              <w:right w:val="nil"/>
            </w:tcBorders>
            <w:shd w:val="clear" w:color="auto" w:fill="auto"/>
            <w:noWrap/>
            <w:vAlign w:val="bottom"/>
            <w:hideMark/>
          </w:tcPr>
          <w:p w14:paraId="642B491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0.173</w:t>
            </w:r>
          </w:p>
        </w:tc>
        <w:tc>
          <w:tcPr>
            <w:tcW w:w="1624" w:type="dxa"/>
            <w:tcBorders>
              <w:top w:val="nil"/>
              <w:left w:val="nil"/>
              <w:bottom w:val="nil"/>
              <w:right w:val="nil"/>
            </w:tcBorders>
            <w:shd w:val="clear" w:color="auto" w:fill="auto"/>
            <w:noWrap/>
            <w:vAlign w:val="bottom"/>
            <w:hideMark/>
          </w:tcPr>
          <w:p w14:paraId="6B9F58A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0.173</w:t>
            </w:r>
          </w:p>
        </w:tc>
        <w:tc>
          <w:tcPr>
            <w:tcW w:w="1625" w:type="dxa"/>
            <w:tcBorders>
              <w:top w:val="nil"/>
              <w:left w:val="nil"/>
              <w:bottom w:val="nil"/>
              <w:right w:val="nil"/>
            </w:tcBorders>
            <w:shd w:val="clear" w:color="auto" w:fill="auto"/>
            <w:noWrap/>
            <w:vAlign w:val="bottom"/>
            <w:hideMark/>
          </w:tcPr>
          <w:p w14:paraId="5B182CE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0.131</w:t>
            </w:r>
          </w:p>
        </w:tc>
      </w:tr>
      <w:tr w:rsidR="0033739C" w:rsidRPr="00D97714" w14:paraId="7632C819" w14:textId="77777777" w:rsidTr="000730DD">
        <w:trPr>
          <w:trHeight w:val="20"/>
        </w:trPr>
        <w:tc>
          <w:tcPr>
            <w:tcW w:w="3078" w:type="dxa"/>
            <w:vMerge/>
            <w:tcBorders>
              <w:left w:val="nil"/>
              <w:bottom w:val="nil"/>
              <w:right w:val="nil"/>
            </w:tcBorders>
            <w:shd w:val="clear" w:color="auto" w:fill="auto"/>
            <w:noWrap/>
            <w:hideMark/>
          </w:tcPr>
          <w:p w14:paraId="55502B3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624" w:type="dxa"/>
            <w:tcBorders>
              <w:top w:val="nil"/>
              <w:left w:val="nil"/>
              <w:bottom w:val="nil"/>
              <w:right w:val="nil"/>
            </w:tcBorders>
            <w:shd w:val="clear" w:color="auto" w:fill="auto"/>
            <w:noWrap/>
            <w:vAlign w:val="bottom"/>
            <w:hideMark/>
          </w:tcPr>
          <w:p w14:paraId="7F95FFB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(2.081**)</w:t>
            </w:r>
          </w:p>
        </w:tc>
        <w:tc>
          <w:tcPr>
            <w:tcW w:w="1625" w:type="dxa"/>
            <w:tcBorders>
              <w:top w:val="nil"/>
              <w:left w:val="nil"/>
              <w:bottom w:val="nil"/>
              <w:right w:val="nil"/>
            </w:tcBorders>
            <w:shd w:val="clear" w:color="auto" w:fill="auto"/>
            <w:noWrap/>
            <w:vAlign w:val="bottom"/>
            <w:hideMark/>
          </w:tcPr>
          <w:p w14:paraId="387F240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(2.072**)</w:t>
            </w:r>
          </w:p>
        </w:tc>
        <w:tc>
          <w:tcPr>
            <w:tcW w:w="1624" w:type="dxa"/>
            <w:tcBorders>
              <w:top w:val="nil"/>
              <w:left w:val="nil"/>
              <w:bottom w:val="nil"/>
              <w:right w:val="nil"/>
            </w:tcBorders>
            <w:shd w:val="clear" w:color="auto" w:fill="auto"/>
            <w:noWrap/>
            <w:vAlign w:val="bottom"/>
            <w:hideMark/>
          </w:tcPr>
          <w:p w14:paraId="0096352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(1.937*)</w:t>
            </w:r>
          </w:p>
        </w:tc>
        <w:tc>
          <w:tcPr>
            <w:tcW w:w="1625" w:type="dxa"/>
            <w:tcBorders>
              <w:top w:val="nil"/>
              <w:left w:val="nil"/>
              <w:bottom w:val="nil"/>
              <w:right w:val="nil"/>
            </w:tcBorders>
            <w:shd w:val="clear" w:color="auto" w:fill="auto"/>
            <w:noWrap/>
            <w:vAlign w:val="bottom"/>
            <w:hideMark/>
          </w:tcPr>
          <w:p w14:paraId="1D80EDE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(1.767*)</w:t>
            </w:r>
          </w:p>
        </w:tc>
      </w:tr>
      <w:tr w:rsidR="0033739C" w:rsidRPr="00D97714" w14:paraId="2762EB08" w14:textId="77777777" w:rsidTr="000730DD">
        <w:trPr>
          <w:trHeight w:val="20"/>
        </w:trPr>
        <w:tc>
          <w:tcPr>
            <w:tcW w:w="3078" w:type="dxa"/>
            <w:vMerge w:val="restart"/>
            <w:tcBorders>
              <w:top w:val="nil"/>
              <w:left w:val="nil"/>
              <w:right w:val="nil"/>
            </w:tcBorders>
            <w:shd w:val="clear" w:color="auto" w:fill="auto"/>
            <w:noWrap/>
            <w:hideMark/>
          </w:tcPr>
          <w:p w14:paraId="153359F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IOV</w:t>
            </w:r>
          </w:p>
        </w:tc>
        <w:tc>
          <w:tcPr>
            <w:tcW w:w="1624" w:type="dxa"/>
            <w:tcBorders>
              <w:top w:val="nil"/>
              <w:left w:val="nil"/>
              <w:bottom w:val="nil"/>
              <w:right w:val="nil"/>
            </w:tcBorders>
            <w:shd w:val="clear" w:color="auto" w:fill="auto"/>
            <w:noWrap/>
            <w:vAlign w:val="bottom"/>
            <w:hideMark/>
          </w:tcPr>
          <w:p w14:paraId="6E0FF42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0.230</w:t>
            </w:r>
          </w:p>
        </w:tc>
        <w:tc>
          <w:tcPr>
            <w:tcW w:w="1625" w:type="dxa"/>
            <w:tcBorders>
              <w:top w:val="nil"/>
              <w:left w:val="nil"/>
              <w:bottom w:val="nil"/>
              <w:right w:val="nil"/>
            </w:tcBorders>
            <w:shd w:val="clear" w:color="auto" w:fill="auto"/>
            <w:noWrap/>
            <w:vAlign w:val="bottom"/>
            <w:hideMark/>
          </w:tcPr>
          <w:p w14:paraId="75178E8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0.216</w:t>
            </w:r>
          </w:p>
        </w:tc>
        <w:tc>
          <w:tcPr>
            <w:tcW w:w="1624" w:type="dxa"/>
            <w:tcBorders>
              <w:top w:val="nil"/>
              <w:left w:val="nil"/>
              <w:bottom w:val="nil"/>
              <w:right w:val="nil"/>
            </w:tcBorders>
            <w:shd w:val="clear" w:color="auto" w:fill="auto"/>
            <w:noWrap/>
            <w:vAlign w:val="bottom"/>
            <w:hideMark/>
          </w:tcPr>
          <w:p w14:paraId="23C3E12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0.113</w:t>
            </w:r>
          </w:p>
        </w:tc>
        <w:tc>
          <w:tcPr>
            <w:tcW w:w="1625" w:type="dxa"/>
            <w:tcBorders>
              <w:top w:val="nil"/>
              <w:left w:val="nil"/>
              <w:bottom w:val="nil"/>
              <w:right w:val="nil"/>
            </w:tcBorders>
            <w:shd w:val="clear" w:color="auto" w:fill="auto"/>
            <w:noWrap/>
            <w:vAlign w:val="bottom"/>
            <w:hideMark/>
          </w:tcPr>
          <w:p w14:paraId="2CA0943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0.103</w:t>
            </w:r>
          </w:p>
        </w:tc>
      </w:tr>
      <w:tr w:rsidR="0033739C" w:rsidRPr="00D97714" w14:paraId="7CA93ED9" w14:textId="77777777" w:rsidTr="000730DD">
        <w:trPr>
          <w:trHeight w:val="20"/>
        </w:trPr>
        <w:tc>
          <w:tcPr>
            <w:tcW w:w="3078" w:type="dxa"/>
            <w:vMerge/>
            <w:tcBorders>
              <w:left w:val="nil"/>
              <w:bottom w:val="nil"/>
              <w:right w:val="nil"/>
            </w:tcBorders>
            <w:shd w:val="clear" w:color="auto" w:fill="auto"/>
            <w:noWrap/>
            <w:hideMark/>
          </w:tcPr>
          <w:p w14:paraId="18DF5EB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624" w:type="dxa"/>
            <w:tcBorders>
              <w:top w:val="nil"/>
              <w:left w:val="nil"/>
              <w:bottom w:val="nil"/>
              <w:right w:val="nil"/>
            </w:tcBorders>
            <w:shd w:val="clear" w:color="auto" w:fill="auto"/>
            <w:noWrap/>
            <w:vAlign w:val="bottom"/>
            <w:hideMark/>
          </w:tcPr>
          <w:p w14:paraId="4C41269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(2.526**)</w:t>
            </w:r>
          </w:p>
        </w:tc>
        <w:tc>
          <w:tcPr>
            <w:tcW w:w="1625" w:type="dxa"/>
            <w:tcBorders>
              <w:top w:val="nil"/>
              <w:left w:val="nil"/>
              <w:bottom w:val="nil"/>
              <w:right w:val="nil"/>
            </w:tcBorders>
            <w:shd w:val="clear" w:color="auto" w:fill="auto"/>
            <w:noWrap/>
            <w:vAlign w:val="bottom"/>
            <w:hideMark/>
          </w:tcPr>
          <w:p w14:paraId="7A712FD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(2.425**)</w:t>
            </w:r>
          </w:p>
        </w:tc>
        <w:tc>
          <w:tcPr>
            <w:tcW w:w="1624" w:type="dxa"/>
            <w:tcBorders>
              <w:top w:val="nil"/>
              <w:left w:val="nil"/>
              <w:bottom w:val="nil"/>
              <w:right w:val="nil"/>
            </w:tcBorders>
            <w:shd w:val="clear" w:color="auto" w:fill="auto"/>
            <w:noWrap/>
            <w:vAlign w:val="bottom"/>
            <w:hideMark/>
          </w:tcPr>
          <w:p w14:paraId="63460B0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(2.186**)</w:t>
            </w:r>
          </w:p>
        </w:tc>
        <w:tc>
          <w:tcPr>
            <w:tcW w:w="1625" w:type="dxa"/>
            <w:tcBorders>
              <w:top w:val="nil"/>
              <w:left w:val="nil"/>
              <w:bottom w:val="nil"/>
              <w:right w:val="nil"/>
            </w:tcBorders>
            <w:shd w:val="clear" w:color="auto" w:fill="auto"/>
            <w:noWrap/>
            <w:vAlign w:val="bottom"/>
            <w:hideMark/>
          </w:tcPr>
          <w:p w14:paraId="1122BC9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(2.075**)</w:t>
            </w:r>
          </w:p>
        </w:tc>
      </w:tr>
      <w:tr w:rsidR="0033739C" w:rsidRPr="00D97714" w14:paraId="38FE0EF8" w14:textId="77777777" w:rsidTr="000730DD">
        <w:trPr>
          <w:trHeight w:val="20"/>
        </w:trPr>
        <w:tc>
          <w:tcPr>
            <w:tcW w:w="3078" w:type="dxa"/>
            <w:vMerge w:val="restart"/>
            <w:tcBorders>
              <w:top w:val="nil"/>
              <w:left w:val="nil"/>
              <w:right w:val="nil"/>
            </w:tcBorders>
            <w:shd w:val="clear" w:color="auto" w:fill="auto"/>
            <w:noWrap/>
            <w:hideMark/>
          </w:tcPr>
          <w:p w14:paraId="03DCF6C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ROA</w:t>
            </w:r>
          </w:p>
        </w:tc>
        <w:tc>
          <w:tcPr>
            <w:tcW w:w="1624" w:type="dxa"/>
            <w:tcBorders>
              <w:top w:val="nil"/>
              <w:left w:val="nil"/>
              <w:bottom w:val="nil"/>
              <w:right w:val="nil"/>
            </w:tcBorders>
            <w:shd w:val="clear" w:color="auto" w:fill="auto"/>
            <w:noWrap/>
            <w:vAlign w:val="bottom"/>
            <w:hideMark/>
          </w:tcPr>
          <w:p w14:paraId="4EF50CE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-0.248</w:t>
            </w:r>
          </w:p>
        </w:tc>
        <w:tc>
          <w:tcPr>
            <w:tcW w:w="1625" w:type="dxa"/>
            <w:tcBorders>
              <w:top w:val="nil"/>
              <w:left w:val="nil"/>
              <w:bottom w:val="nil"/>
              <w:right w:val="nil"/>
            </w:tcBorders>
            <w:shd w:val="clear" w:color="auto" w:fill="auto"/>
            <w:noWrap/>
            <w:vAlign w:val="bottom"/>
            <w:hideMark/>
          </w:tcPr>
          <w:p w14:paraId="29FE0D5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-0.287</w:t>
            </w:r>
          </w:p>
        </w:tc>
        <w:tc>
          <w:tcPr>
            <w:tcW w:w="1624" w:type="dxa"/>
            <w:tcBorders>
              <w:top w:val="nil"/>
              <w:left w:val="nil"/>
              <w:bottom w:val="nil"/>
              <w:right w:val="nil"/>
            </w:tcBorders>
            <w:shd w:val="clear" w:color="auto" w:fill="auto"/>
            <w:noWrap/>
            <w:vAlign w:val="bottom"/>
            <w:hideMark/>
          </w:tcPr>
          <w:p w14:paraId="12524DE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-0.464</w:t>
            </w:r>
          </w:p>
        </w:tc>
        <w:tc>
          <w:tcPr>
            <w:tcW w:w="1625" w:type="dxa"/>
            <w:tcBorders>
              <w:top w:val="nil"/>
              <w:left w:val="nil"/>
              <w:bottom w:val="nil"/>
              <w:right w:val="nil"/>
            </w:tcBorders>
            <w:shd w:val="clear" w:color="auto" w:fill="auto"/>
            <w:noWrap/>
            <w:vAlign w:val="bottom"/>
            <w:hideMark/>
          </w:tcPr>
          <w:p w14:paraId="7A841A9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-0.487</w:t>
            </w:r>
          </w:p>
        </w:tc>
      </w:tr>
      <w:tr w:rsidR="0033739C" w:rsidRPr="00D97714" w14:paraId="65BADEE6" w14:textId="77777777" w:rsidTr="000730DD">
        <w:trPr>
          <w:trHeight w:val="20"/>
        </w:trPr>
        <w:tc>
          <w:tcPr>
            <w:tcW w:w="3078" w:type="dxa"/>
            <w:vMerge/>
            <w:tcBorders>
              <w:left w:val="nil"/>
              <w:bottom w:val="nil"/>
              <w:right w:val="nil"/>
            </w:tcBorders>
            <w:shd w:val="clear" w:color="auto" w:fill="auto"/>
            <w:noWrap/>
            <w:hideMark/>
          </w:tcPr>
          <w:p w14:paraId="0591056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624" w:type="dxa"/>
            <w:tcBorders>
              <w:top w:val="nil"/>
              <w:left w:val="nil"/>
              <w:bottom w:val="nil"/>
              <w:right w:val="nil"/>
            </w:tcBorders>
            <w:shd w:val="clear" w:color="auto" w:fill="auto"/>
            <w:noWrap/>
            <w:vAlign w:val="bottom"/>
            <w:hideMark/>
          </w:tcPr>
          <w:p w14:paraId="27891AE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(-2.740***)</w:t>
            </w:r>
          </w:p>
        </w:tc>
        <w:tc>
          <w:tcPr>
            <w:tcW w:w="1625" w:type="dxa"/>
            <w:tcBorders>
              <w:top w:val="nil"/>
              <w:left w:val="nil"/>
              <w:bottom w:val="nil"/>
              <w:right w:val="nil"/>
            </w:tcBorders>
            <w:shd w:val="clear" w:color="auto" w:fill="auto"/>
            <w:noWrap/>
            <w:vAlign w:val="bottom"/>
            <w:hideMark/>
          </w:tcPr>
          <w:p w14:paraId="51DB067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(-3.237***)</w:t>
            </w:r>
          </w:p>
        </w:tc>
        <w:tc>
          <w:tcPr>
            <w:tcW w:w="1624" w:type="dxa"/>
            <w:tcBorders>
              <w:top w:val="nil"/>
              <w:left w:val="nil"/>
              <w:bottom w:val="nil"/>
              <w:right w:val="nil"/>
            </w:tcBorders>
            <w:shd w:val="clear" w:color="auto" w:fill="auto"/>
            <w:noWrap/>
            <w:vAlign w:val="bottom"/>
            <w:hideMark/>
          </w:tcPr>
          <w:p w14:paraId="5A949DB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(-4.896***)</w:t>
            </w:r>
          </w:p>
        </w:tc>
        <w:tc>
          <w:tcPr>
            <w:tcW w:w="1625" w:type="dxa"/>
            <w:tcBorders>
              <w:top w:val="nil"/>
              <w:left w:val="nil"/>
              <w:bottom w:val="nil"/>
              <w:right w:val="nil"/>
            </w:tcBorders>
            <w:shd w:val="clear" w:color="auto" w:fill="auto"/>
            <w:noWrap/>
            <w:vAlign w:val="bottom"/>
            <w:hideMark/>
          </w:tcPr>
          <w:p w14:paraId="127320B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(-5.143***)</w:t>
            </w:r>
          </w:p>
        </w:tc>
      </w:tr>
      <w:tr w:rsidR="0033739C" w:rsidRPr="00D97714" w14:paraId="4C1040DA" w14:textId="77777777" w:rsidTr="000730DD">
        <w:trPr>
          <w:trHeight w:val="20"/>
        </w:trPr>
        <w:tc>
          <w:tcPr>
            <w:tcW w:w="3078" w:type="dxa"/>
            <w:vMerge w:val="restart"/>
            <w:tcBorders>
              <w:top w:val="nil"/>
              <w:left w:val="nil"/>
              <w:right w:val="nil"/>
            </w:tcBorders>
            <w:shd w:val="clear" w:color="auto" w:fill="auto"/>
            <w:noWrap/>
            <w:hideMark/>
          </w:tcPr>
          <w:p w14:paraId="4D06164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DEBT</w:t>
            </w:r>
          </w:p>
        </w:tc>
        <w:tc>
          <w:tcPr>
            <w:tcW w:w="1624" w:type="dxa"/>
            <w:tcBorders>
              <w:top w:val="nil"/>
              <w:left w:val="nil"/>
              <w:bottom w:val="nil"/>
              <w:right w:val="nil"/>
            </w:tcBorders>
            <w:shd w:val="clear" w:color="auto" w:fill="auto"/>
            <w:noWrap/>
            <w:vAlign w:val="bottom"/>
            <w:hideMark/>
          </w:tcPr>
          <w:p w14:paraId="7D90FA1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0.112</w:t>
            </w:r>
          </w:p>
        </w:tc>
        <w:tc>
          <w:tcPr>
            <w:tcW w:w="1625" w:type="dxa"/>
            <w:tcBorders>
              <w:top w:val="nil"/>
              <w:left w:val="nil"/>
              <w:bottom w:val="nil"/>
              <w:right w:val="nil"/>
            </w:tcBorders>
            <w:shd w:val="clear" w:color="auto" w:fill="auto"/>
            <w:noWrap/>
            <w:vAlign w:val="bottom"/>
            <w:hideMark/>
          </w:tcPr>
          <w:p w14:paraId="3DD6C72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0.122</w:t>
            </w:r>
          </w:p>
        </w:tc>
        <w:tc>
          <w:tcPr>
            <w:tcW w:w="1624" w:type="dxa"/>
            <w:tcBorders>
              <w:top w:val="nil"/>
              <w:left w:val="nil"/>
              <w:bottom w:val="nil"/>
              <w:right w:val="nil"/>
            </w:tcBorders>
            <w:shd w:val="clear" w:color="auto" w:fill="auto"/>
            <w:noWrap/>
            <w:vAlign w:val="bottom"/>
            <w:hideMark/>
          </w:tcPr>
          <w:p w14:paraId="73A20C2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-0.110</w:t>
            </w:r>
          </w:p>
        </w:tc>
        <w:tc>
          <w:tcPr>
            <w:tcW w:w="1625" w:type="dxa"/>
            <w:tcBorders>
              <w:top w:val="nil"/>
              <w:left w:val="nil"/>
              <w:bottom w:val="nil"/>
              <w:right w:val="nil"/>
            </w:tcBorders>
            <w:shd w:val="clear" w:color="auto" w:fill="auto"/>
            <w:noWrap/>
            <w:vAlign w:val="bottom"/>
            <w:hideMark/>
          </w:tcPr>
          <w:p w14:paraId="2ABA670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-0.093</w:t>
            </w:r>
          </w:p>
        </w:tc>
      </w:tr>
      <w:tr w:rsidR="0033739C" w:rsidRPr="00D97714" w14:paraId="026A8877" w14:textId="77777777" w:rsidTr="000730DD">
        <w:trPr>
          <w:trHeight w:val="20"/>
        </w:trPr>
        <w:tc>
          <w:tcPr>
            <w:tcW w:w="3078" w:type="dxa"/>
            <w:vMerge/>
            <w:tcBorders>
              <w:left w:val="nil"/>
              <w:bottom w:val="nil"/>
              <w:right w:val="nil"/>
            </w:tcBorders>
            <w:shd w:val="clear" w:color="auto" w:fill="auto"/>
            <w:noWrap/>
            <w:hideMark/>
          </w:tcPr>
          <w:p w14:paraId="2694D0F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624" w:type="dxa"/>
            <w:tcBorders>
              <w:top w:val="nil"/>
              <w:left w:val="nil"/>
              <w:bottom w:val="nil"/>
              <w:right w:val="nil"/>
            </w:tcBorders>
            <w:shd w:val="clear" w:color="auto" w:fill="auto"/>
            <w:noWrap/>
            <w:vAlign w:val="bottom"/>
            <w:hideMark/>
          </w:tcPr>
          <w:p w14:paraId="3620C76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(1.016 )</w:t>
            </w:r>
          </w:p>
        </w:tc>
        <w:tc>
          <w:tcPr>
            <w:tcW w:w="1625" w:type="dxa"/>
            <w:tcBorders>
              <w:top w:val="nil"/>
              <w:left w:val="nil"/>
              <w:bottom w:val="nil"/>
              <w:right w:val="nil"/>
            </w:tcBorders>
            <w:shd w:val="clear" w:color="auto" w:fill="auto"/>
            <w:noWrap/>
            <w:vAlign w:val="bottom"/>
            <w:hideMark/>
          </w:tcPr>
          <w:p w14:paraId="228DAA8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(1.133 )</w:t>
            </w:r>
          </w:p>
        </w:tc>
        <w:tc>
          <w:tcPr>
            <w:tcW w:w="1624" w:type="dxa"/>
            <w:tcBorders>
              <w:top w:val="nil"/>
              <w:left w:val="nil"/>
              <w:bottom w:val="nil"/>
              <w:right w:val="nil"/>
            </w:tcBorders>
            <w:shd w:val="clear" w:color="auto" w:fill="auto"/>
            <w:noWrap/>
            <w:vAlign w:val="bottom"/>
            <w:hideMark/>
          </w:tcPr>
          <w:p w14:paraId="2FD4ED0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(-0.952 )</w:t>
            </w:r>
          </w:p>
        </w:tc>
        <w:tc>
          <w:tcPr>
            <w:tcW w:w="1625" w:type="dxa"/>
            <w:tcBorders>
              <w:top w:val="nil"/>
              <w:left w:val="nil"/>
              <w:bottom w:val="nil"/>
              <w:right w:val="nil"/>
            </w:tcBorders>
            <w:shd w:val="clear" w:color="auto" w:fill="auto"/>
            <w:noWrap/>
            <w:vAlign w:val="bottom"/>
            <w:hideMark/>
          </w:tcPr>
          <w:p w14:paraId="16958DB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(-0.808 )</w:t>
            </w:r>
          </w:p>
        </w:tc>
      </w:tr>
      <w:tr w:rsidR="0033739C" w:rsidRPr="00D97714" w14:paraId="0B68846F" w14:textId="77777777" w:rsidTr="000730DD">
        <w:trPr>
          <w:trHeight w:val="20"/>
        </w:trPr>
        <w:tc>
          <w:tcPr>
            <w:tcW w:w="3078" w:type="dxa"/>
            <w:vMerge w:val="restart"/>
            <w:tcBorders>
              <w:top w:val="nil"/>
              <w:left w:val="nil"/>
              <w:right w:val="nil"/>
            </w:tcBorders>
            <w:shd w:val="clear" w:color="auto" w:fill="auto"/>
            <w:noWrap/>
            <w:hideMark/>
          </w:tcPr>
          <w:p w14:paraId="4C01EEA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MKBK</w:t>
            </w:r>
          </w:p>
        </w:tc>
        <w:tc>
          <w:tcPr>
            <w:tcW w:w="1624" w:type="dxa"/>
            <w:tcBorders>
              <w:top w:val="nil"/>
              <w:left w:val="nil"/>
              <w:bottom w:val="nil"/>
              <w:right w:val="nil"/>
            </w:tcBorders>
            <w:shd w:val="clear" w:color="auto" w:fill="auto"/>
            <w:noWrap/>
            <w:vAlign w:val="bottom"/>
            <w:hideMark/>
          </w:tcPr>
          <w:p w14:paraId="012E84E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0.051</w:t>
            </w:r>
          </w:p>
        </w:tc>
        <w:tc>
          <w:tcPr>
            <w:tcW w:w="1625" w:type="dxa"/>
            <w:tcBorders>
              <w:top w:val="nil"/>
              <w:left w:val="nil"/>
              <w:bottom w:val="nil"/>
              <w:right w:val="nil"/>
            </w:tcBorders>
            <w:shd w:val="clear" w:color="auto" w:fill="auto"/>
            <w:noWrap/>
            <w:vAlign w:val="bottom"/>
            <w:hideMark/>
          </w:tcPr>
          <w:p w14:paraId="70AE17F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0.051</w:t>
            </w:r>
          </w:p>
        </w:tc>
        <w:tc>
          <w:tcPr>
            <w:tcW w:w="1624" w:type="dxa"/>
            <w:tcBorders>
              <w:top w:val="nil"/>
              <w:left w:val="nil"/>
              <w:bottom w:val="nil"/>
              <w:right w:val="nil"/>
            </w:tcBorders>
            <w:shd w:val="clear" w:color="auto" w:fill="auto"/>
            <w:noWrap/>
            <w:vAlign w:val="bottom"/>
            <w:hideMark/>
          </w:tcPr>
          <w:p w14:paraId="61D959F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0.019</w:t>
            </w:r>
          </w:p>
        </w:tc>
        <w:tc>
          <w:tcPr>
            <w:tcW w:w="1625" w:type="dxa"/>
            <w:tcBorders>
              <w:top w:val="nil"/>
              <w:left w:val="nil"/>
              <w:bottom w:val="nil"/>
              <w:right w:val="nil"/>
            </w:tcBorders>
            <w:shd w:val="clear" w:color="auto" w:fill="auto"/>
            <w:noWrap/>
            <w:vAlign w:val="bottom"/>
            <w:hideMark/>
          </w:tcPr>
          <w:p w14:paraId="6A5CF67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0.010</w:t>
            </w:r>
          </w:p>
        </w:tc>
      </w:tr>
      <w:tr w:rsidR="0033739C" w:rsidRPr="00D97714" w14:paraId="5A14A50D" w14:textId="77777777" w:rsidTr="000730DD">
        <w:trPr>
          <w:trHeight w:val="20"/>
        </w:trPr>
        <w:tc>
          <w:tcPr>
            <w:tcW w:w="3078" w:type="dxa"/>
            <w:vMerge/>
            <w:tcBorders>
              <w:left w:val="nil"/>
              <w:bottom w:val="nil"/>
              <w:right w:val="nil"/>
            </w:tcBorders>
            <w:shd w:val="clear" w:color="auto" w:fill="auto"/>
            <w:noWrap/>
            <w:hideMark/>
          </w:tcPr>
          <w:p w14:paraId="43AD4F3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624" w:type="dxa"/>
            <w:tcBorders>
              <w:top w:val="nil"/>
              <w:left w:val="nil"/>
              <w:bottom w:val="nil"/>
              <w:right w:val="nil"/>
            </w:tcBorders>
            <w:shd w:val="clear" w:color="auto" w:fill="auto"/>
            <w:noWrap/>
            <w:vAlign w:val="bottom"/>
            <w:hideMark/>
          </w:tcPr>
          <w:p w14:paraId="6AC405D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(1.167 )</w:t>
            </w:r>
          </w:p>
        </w:tc>
        <w:tc>
          <w:tcPr>
            <w:tcW w:w="1625" w:type="dxa"/>
            <w:tcBorders>
              <w:top w:val="nil"/>
              <w:left w:val="nil"/>
              <w:bottom w:val="nil"/>
              <w:right w:val="nil"/>
            </w:tcBorders>
            <w:shd w:val="clear" w:color="auto" w:fill="auto"/>
            <w:noWrap/>
            <w:vAlign w:val="bottom"/>
            <w:hideMark/>
          </w:tcPr>
          <w:p w14:paraId="7D209FF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(1.177 )</w:t>
            </w:r>
          </w:p>
        </w:tc>
        <w:tc>
          <w:tcPr>
            <w:tcW w:w="1624" w:type="dxa"/>
            <w:tcBorders>
              <w:top w:val="nil"/>
              <w:left w:val="nil"/>
              <w:bottom w:val="nil"/>
              <w:right w:val="nil"/>
            </w:tcBorders>
            <w:shd w:val="clear" w:color="auto" w:fill="auto"/>
            <w:noWrap/>
            <w:vAlign w:val="bottom"/>
            <w:hideMark/>
          </w:tcPr>
          <w:p w14:paraId="67A5633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(0.417 )</w:t>
            </w:r>
          </w:p>
        </w:tc>
        <w:tc>
          <w:tcPr>
            <w:tcW w:w="1625" w:type="dxa"/>
            <w:tcBorders>
              <w:top w:val="nil"/>
              <w:left w:val="nil"/>
              <w:bottom w:val="nil"/>
              <w:right w:val="nil"/>
            </w:tcBorders>
            <w:shd w:val="clear" w:color="auto" w:fill="auto"/>
            <w:noWrap/>
            <w:vAlign w:val="bottom"/>
            <w:hideMark/>
          </w:tcPr>
          <w:p w14:paraId="4EDB9CA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(0.212 )</w:t>
            </w:r>
          </w:p>
        </w:tc>
      </w:tr>
      <w:tr w:rsidR="0033739C" w:rsidRPr="00D97714" w14:paraId="6C3EC3D2" w14:textId="77777777" w:rsidTr="000730DD">
        <w:trPr>
          <w:trHeight w:val="20"/>
        </w:trPr>
        <w:tc>
          <w:tcPr>
            <w:tcW w:w="3078" w:type="dxa"/>
            <w:tcBorders>
              <w:top w:val="nil"/>
              <w:left w:val="nil"/>
              <w:bottom w:val="nil"/>
              <w:right w:val="nil"/>
            </w:tcBorders>
            <w:shd w:val="clear" w:color="auto" w:fill="auto"/>
            <w:noWrap/>
            <w:hideMark/>
          </w:tcPr>
          <w:p w14:paraId="650CD86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624" w:type="dxa"/>
            <w:tcBorders>
              <w:top w:val="nil"/>
              <w:left w:val="nil"/>
              <w:bottom w:val="nil"/>
              <w:right w:val="nil"/>
            </w:tcBorders>
            <w:shd w:val="clear" w:color="auto" w:fill="auto"/>
            <w:noWrap/>
            <w:vAlign w:val="bottom"/>
            <w:hideMark/>
          </w:tcPr>
          <w:p w14:paraId="38D620B0"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1625" w:type="dxa"/>
            <w:tcBorders>
              <w:top w:val="nil"/>
              <w:left w:val="nil"/>
              <w:bottom w:val="nil"/>
              <w:right w:val="nil"/>
            </w:tcBorders>
            <w:shd w:val="clear" w:color="auto" w:fill="auto"/>
            <w:noWrap/>
            <w:vAlign w:val="bottom"/>
            <w:hideMark/>
          </w:tcPr>
          <w:p w14:paraId="09B0C7CC"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1624" w:type="dxa"/>
            <w:tcBorders>
              <w:top w:val="nil"/>
              <w:left w:val="nil"/>
              <w:bottom w:val="nil"/>
              <w:right w:val="nil"/>
            </w:tcBorders>
            <w:shd w:val="clear" w:color="auto" w:fill="auto"/>
            <w:noWrap/>
            <w:vAlign w:val="bottom"/>
            <w:hideMark/>
          </w:tcPr>
          <w:p w14:paraId="5DED9800"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1625" w:type="dxa"/>
            <w:tcBorders>
              <w:top w:val="nil"/>
              <w:left w:val="nil"/>
              <w:bottom w:val="nil"/>
              <w:right w:val="nil"/>
            </w:tcBorders>
            <w:shd w:val="clear" w:color="auto" w:fill="auto"/>
            <w:noWrap/>
            <w:vAlign w:val="bottom"/>
            <w:hideMark/>
          </w:tcPr>
          <w:p w14:paraId="7EED2F5B" w14:textId="77777777" w:rsidR="0033739C" w:rsidRPr="00D97714" w:rsidRDefault="0033739C" w:rsidP="00B05BA5">
            <w:pPr>
              <w:spacing w:after="0" w:line="240" w:lineRule="auto"/>
              <w:rPr>
                <w:rFonts w:ascii="Times New Roman" w:eastAsia="Times New Roman" w:hAnsi="Times New Roman" w:cs="Times New Roman"/>
                <w:sz w:val="24"/>
                <w:szCs w:val="24"/>
              </w:rPr>
            </w:pPr>
          </w:p>
        </w:tc>
      </w:tr>
      <w:tr w:rsidR="0033739C" w:rsidRPr="00D97714" w14:paraId="5324F81D" w14:textId="77777777" w:rsidTr="000730DD">
        <w:trPr>
          <w:trHeight w:val="20"/>
        </w:trPr>
        <w:tc>
          <w:tcPr>
            <w:tcW w:w="3078" w:type="dxa"/>
            <w:tcBorders>
              <w:top w:val="nil"/>
              <w:left w:val="nil"/>
              <w:bottom w:val="nil"/>
              <w:right w:val="nil"/>
            </w:tcBorders>
            <w:shd w:val="clear" w:color="auto" w:fill="auto"/>
            <w:noWrap/>
            <w:hideMark/>
          </w:tcPr>
          <w:p w14:paraId="3EEB429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F-statistics</w:t>
            </w:r>
          </w:p>
        </w:tc>
        <w:tc>
          <w:tcPr>
            <w:tcW w:w="1624" w:type="dxa"/>
            <w:tcBorders>
              <w:top w:val="nil"/>
              <w:left w:val="nil"/>
              <w:bottom w:val="nil"/>
              <w:right w:val="nil"/>
            </w:tcBorders>
            <w:shd w:val="clear" w:color="auto" w:fill="auto"/>
            <w:noWrap/>
            <w:vAlign w:val="bottom"/>
            <w:hideMark/>
          </w:tcPr>
          <w:p w14:paraId="6266FCC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9.93***</w:t>
            </w:r>
          </w:p>
        </w:tc>
        <w:tc>
          <w:tcPr>
            <w:tcW w:w="1625" w:type="dxa"/>
            <w:tcBorders>
              <w:top w:val="nil"/>
              <w:left w:val="nil"/>
              <w:bottom w:val="nil"/>
              <w:right w:val="nil"/>
            </w:tcBorders>
            <w:shd w:val="clear" w:color="auto" w:fill="auto"/>
            <w:noWrap/>
            <w:vAlign w:val="bottom"/>
            <w:hideMark/>
          </w:tcPr>
          <w:p w14:paraId="23FBB77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11.34***</w:t>
            </w:r>
          </w:p>
        </w:tc>
        <w:tc>
          <w:tcPr>
            <w:tcW w:w="1624" w:type="dxa"/>
            <w:tcBorders>
              <w:top w:val="nil"/>
              <w:left w:val="nil"/>
              <w:bottom w:val="nil"/>
              <w:right w:val="nil"/>
            </w:tcBorders>
            <w:shd w:val="clear" w:color="auto" w:fill="auto"/>
            <w:noWrap/>
            <w:vAlign w:val="bottom"/>
            <w:hideMark/>
          </w:tcPr>
          <w:p w14:paraId="0ABAC01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6.57***</w:t>
            </w:r>
          </w:p>
        </w:tc>
        <w:tc>
          <w:tcPr>
            <w:tcW w:w="1625" w:type="dxa"/>
            <w:tcBorders>
              <w:top w:val="nil"/>
              <w:left w:val="nil"/>
              <w:bottom w:val="nil"/>
              <w:right w:val="nil"/>
            </w:tcBorders>
            <w:shd w:val="clear" w:color="auto" w:fill="auto"/>
            <w:noWrap/>
            <w:vAlign w:val="bottom"/>
            <w:hideMark/>
          </w:tcPr>
          <w:p w14:paraId="3967834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6.63***</w:t>
            </w:r>
          </w:p>
        </w:tc>
      </w:tr>
      <w:tr w:rsidR="0033739C" w:rsidRPr="00D97714" w14:paraId="155D8100" w14:textId="77777777" w:rsidTr="000730DD">
        <w:trPr>
          <w:trHeight w:val="20"/>
        </w:trPr>
        <w:tc>
          <w:tcPr>
            <w:tcW w:w="3078" w:type="dxa"/>
            <w:tcBorders>
              <w:top w:val="nil"/>
              <w:left w:val="nil"/>
              <w:bottom w:val="nil"/>
              <w:right w:val="nil"/>
            </w:tcBorders>
            <w:shd w:val="clear" w:color="auto" w:fill="auto"/>
            <w:noWrap/>
            <w:hideMark/>
          </w:tcPr>
          <w:p w14:paraId="4C4F53E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Adj. R-squared</w:t>
            </w:r>
          </w:p>
        </w:tc>
        <w:tc>
          <w:tcPr>
            <w:tcW w:w="1624" w:type="dxa"/>
            <w:tcBorders>
              <w:top w:val="nil"/>
              <w:left w:val="nil"/>
              <w:bottom w:val="nil"/>
              <w:right w:val="nil"/>
            </w:tcBorders>
            <w:shd w:val="clear" w:color="auto" w:fill="auto"/>
            <w:noWrap/>
            <w:vAlign w:val="bottom"/>
            <w:hideMark/>
          </w:tcPr>
          <w:p w14:paraId="1A52262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0.244</w:t>
            </w:r>
          </w:p>
        </w:tc>
        <w:tc>
          <w:tcPr>
            <w:tcW w:w="1625" w:type="dxa"/>
            <w:tcBorders>
              <w:top w:val="nil"/>
              <w:left w:val="nil"/>
              <w:bottom w:val="nil"/>
              <w:right w:val="nil"/>
            </w:tcBorders>
            <w:shd w:val="clear" w:color="auto" w:fill="auto"/>
            <w:noWrap/>
            <w:vAlign w:val="bottom"/>
            <w:hideMark/>
          </w:tcPr>
          <w:p w14:paraId="5C8D5A5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0.272</w:t>
            </w:r>
          </w:p>
        </w:tc>
        <w:tc>
          <w:tcPr>
            <w:tcW w:w="1624" w:type="dxa"/>
            <w:tcBorders>
              <w:top w:val="nil"/>
              <w:left w:val="nil"/>
              <w:bottom w:val="nil"/>
              <w:right w:val="nil"/>
            </w:tcBorders>
            <w:shd w:val="clear" w:color="auto" w:fill="auto"/>
            <w:noWrap/>
            <w:vAlign w:val="bottom"/>
            <w:hideMark/>
          </w:tcPr>
          <w:p w14:paraId="35D0793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0.168</w:t>
            </w:r>
          </w:p>
        </w:tc>
        <w:tc>
          <w:tcPr>
            <w:tcW w:w="1625" w:type="dxa"/>
            <w:tcBorders>
              <w:top w:val="nil"/>
              <w:left w:val="nil"/>
              <w:bottom w:val="nil"/>
              <w:right w:val="nil"/>
            </w:tcBorders>
            <w:shd w:val="clear" w:color="auto" w:fill="auto"/>
            <w:noWrap/>
            <w:vAlign w:val="bottom"/>
            <w:hideMark/>
          </w:tcPr>
          <w:p w14:paraId="19C77EF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0.169</w:t>
            </w:r>
          </w:p>
        </w:tc>
      </w:tr>
      <w:tr w:rsidR="0033739C" w:rsidRPr="00D97714" w14:paraId="7D7ACA84" w14:textId="77777777" w:rsidTr="000730DD">
        <w:trPr>
          <w:trHeight w:val="20"/>
        </w:trPr>
        <w:tc>
          <w:tcPr>
            <w:tcW w:w="3078" w:type="dxa"/>
            <w:tcBorders>
              <w:top w:val="nil"/>
              <w:left w:val="nil"/>
              <w:right w:val="nil"/>
            </w:tcBorders>
            <w:shd w:val="clear" w:color="auto" w:fill="auto"/>
            <w:noWrap/>
            <w:hideMark/>
          </w:tcPr>
          <w:p w14:paraId="3F2A9F3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Year fixed effects</w:t>
            </w:r>
          </w:p>
        </w:tc>
        <w:tc>
          <w:tcPr>
            <w:tcW w:w="1624" w:type="dxa"/>
            <w:tcBorders>
              <w:top w:val="nil"/>
              <w:left w:val="nil"/>
              <w:right w:val="nil"/>
            </w:tcBorders>
            <w:shd w:val="clear" w:color="auto" w:fill="auto"/>
            <w:noWrap/>
            <w:vAlign w:val="bottom"/>
            <w:hideMark/>
          </w:tcPr>
          <w:p w14:paraId="612BB08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c>
          <w:tcPr>
            <w:tcW w:w="1625" w:type="dxa"/>
            <w:tcBorders>
              <w:top w:val="nil"/>
              <w:left w:val="nil"/>
              <w:right w:val="nil"/>
            </w:tcBorders>
            <w:shd w:val="clear" w:color="auto" w:fill="auto"/>
            <w:noWrap/>
            <w:vAlign w:val="bottom"/>
            <w:hideMark/>
          </w:tcPr>
          <w:p w14:paraId="641F8B1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c>
          <w:tcPr>
            <w:tcW w:w="1624" w:type="dxa"/>
            <w:tcBorders>
              <w:top w:val="nil"/>
              <w:left w:val="nil"/>
              <w:right w:val="nil"/>
            </w:tcBorders>
            <w:shd w:val="clear" w:color="auto" w:fill="auto"/>
            <w:noWrap/>
            <w:vAlign w:val="bottom"/>
            <w:hideMark/>
          </w:tcPr>
          <w:p w14:paraId="292915E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c>
          <w:tcPr>
            <w:tcW w:w="1625" w:type="dxa"/>
            <w:tcBorders>
              <w:top w:val="nil"/>
              <w:left w:val="nil"/>
              <w:right w:val="nil"/>
            </w:tcBorders>
            <w:shd w:val="clear" w:color="auto" w:fill="auto"/>
            <w:noWrap/>
            <w:vAlign w:val="bottom"/>
            <w:hideMark/>
          </w:tcPr>
          <w:p w14:paraId="283B13F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r>
      <w:tr w:rsidR="0033739C" w:rsidRPr="00D97714" w14:paraId="34E9A539" w14:textId="77777777" w:rsidTr="000730DD">
        <w:trPr>
          <w:trHeight w:val="216"/>
        </w:trPr>
        <w:tc>
          <w:tcPr>
            <w:tcW w:w="3078" w:type="dxa"/>
            <w:tcBorders>
              <w:top w:val="nil"/>
              <w:left w:val="nil"/>
              <w:bottom w:val="single" w:sz="4" w:space="0" w:color="auto"/>
              <w:right w:val="nil"/>
            </w:tcBorders>
            <w:shd w:val="clear" w:color="auto" w:fill="auto"/>
            <w:noWrap/>
            <w:hideMark/>
          </w:tcPr>
          <w:p w14:paraId="6AB8229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Observations</w:t>
            </w:r>
          </w:p>
        </w:tc>
        <w:tc>
          <w:tcPr>
            <w:tcW w:w="1624" w:type="dxa"/>
            <w:tcBorders>
              <w:top w:val="nil"/>
              <w:left w:val="nil"/>
              <w:bottom w:val="single" w:sz="4" w:space="0" w:color="auto"/>
              <w:right w:val="nil"/>
            </w:tcBorders>
            <w:shd w:val="clear" w:color="auto" w:fill="auto"/>
            <w:noWrap/>
            <w:vAlign w:val="bottom"/>
            <w:hideMark/>
          </w:tcPr>
          <w:p w14:paraId="3513BF6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507</w:t>
            </w:r>
          </w:p>
        </w:tc>
        <w:tc>
          <w:tcPr>
            <w:tcW w:w="1625" w:type="dxa"/>
            <w:tcBorders>
              <w:top w:val="nil"/>
              <w:left w:val="nil"/>
              <w:bottom w:val="single" w:sz="4" w:space="0" w:color="auto"/>
              <w:right w:val="nil"/>
            </w:tcBorders>
            <w:shd w:val="clear" w:color="auto" w:fill="auto"/>
            <w:noWrap/>
            <w:vAlign w:val="bottom"/>
            <w:hideMark/>
          </w:tcPr>
          <w:p w14:paraId="51A3271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507</w:t>
            </w:r>
          </w:p>
        </w:tc>
        <w:tc>
          <w:tcPr>
            <w:tcW w:w="1624" w:type="dxa"/>
            <w:tcBorders>
              <w:top w:val="nil"/>
              <w:left w:val="nil"/>
              <w:bottom w:val="single" w:sz="4" w:space="0" w:color="auto"/>
              <w:right w:val="nil"/>
            </w:tcBorders>
            <w:shd w:val="clear" w:color="auto" w:fill="auto"/>
            <w:noWrap/>
            <w:vAlign w:val="bottom"/>
            <w:hideMark/>
          </w:tcPr>
          <w:p w14:paraId="7B1E7DA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507</w:t>
            </w:r>
          </w:p>
        </w:tc>
        <w:tc>
          <w:tcPr>
            <w:tcW w:w="1625" w:type="dxa"/>
            <w:tcBorders>
              <w:top w:val="nil"/>
              <w:left w:val="nil"/>
              <w:bottom w:val="single" w:sz="4" w:space="0" w:color="auto"/>
              <w:right w:val="nil"/>
            </w:tcBorders>
            <w:shd w:val="clear" w:color="auto" w:fill="auto"/>
            <w:noWrap/>
            <w:vAlign w:val="bottom"/>
            <w:hideMark/>
          </w:tcPr>
          <w:p w14:paraId="5BC8797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507</w:t>
            </w:r>
          </w:p>
        </w:tc>
      </w:tr>
    </w:tbl>
    <w:p w14:paraId="02745C5E" w14:textId="5DF3E561" w:rsidR="0033739C" w:rsidRPr="00D97714" w:rsidRDefault="0033739C" w:rsidP="0033739C">
      <w:pPr>
        <w:spacing w:line="240" w:lineRule="auto"/>
        <w:rPr>
          <w:rFonts w:ascii="Times New Roman" w:hAnsi="Times New Roman" w:cs="Times New Roman"/>
          <w:sz w:val="24"/>
          <w:szCs w:val="24"/>
        </w:rPr>
      </w:pPr>
      <w:r w:rsidRPr="00D97714">
        <w:rPr>
          <w:rFonts w:ascii="Times New Roman" w:hAnsi="Times New Roman" w:cs="Times New Roman"/>
          <w:sz w:val="24"/>
          <w:szCs w:val="24"/>
        </w:rPr>
        <w:t xml:space="preserve">We report the results from the cross-sectional analyses of the cumulative abnormal returns (CARs) in the (-5,+5) day window of the value-weighted portfolio (in Panel A) and the equally-weighted portfolio (in Panel B) of matching </w:t>
      </w:r>
      <w:r w:rsidR="001A1CAD" w:rsidRPr="00D97714">
        <w:rPr>
          <w:rFonts w:ascii="Times New Roman" w:hAnsi="Times New Roman" w:cs="Times New Roman"/>
          <w:sz w:val="24"/>
          <w:szCs w:val="24"/>
        </w:rPr>
        <w:t xml:space="preserve">non-targeted </w:t>
      </w:r>
      <w:r w:rsidRPr="00D97714">
        <w:rPr>
          <w:rFonts w:ascii="Times New Roman" w:hAnsi="Times New Roman" w:cs="Times New Roman"/>
          <w:sz w:val="24"/>
          <w:szCs w:val="24"/>
        </w:rPr>
        <w:t xml:space="preserve">firms. The value-weighted (based upon market capitalization in the preceding year) and equally-weighted portfolios of matching firms are firms in the same quartiles of institutional ownership and of market capitalization as the target firm. Abnormal returns are calculated using </w:t>
      </w:r>
      <w:r w:rsidR="001A1CAD" w:rsidRPr="00D97714">
        <w:rPr>
          <w:rFonts w:ascii="Times New Roman" w:hAnsi="Times New Roman" w:cs="Times New Roman"/>
          <w:sz w:val="24"/>
          <w:szCs w:val="24"/>
        </w:rPr>
        <w:t xml:space="preserve">two </w:t>
      </w:r>
      <w:r w:rsidRPr="00D97714">
        <w:rPr>
          <w:rFonts w:ascii="Times New Roman" w:hAnsi="Times New Roman" w:cs="Times New Roman"/>
          <w:sz w:val="24"/>
          <w:szCs w:val="24"/>
        </w:rPr>
        <w:t xml:space="preserve">alternative methods: </w:t>
      </w:r>
    </w:p>
    <w:p w14:paraId="450841C3" w14:textId="18271B82" w:rsidR="0033739C" w:rsidRPr="00D97714" w:rsidRDefault="001A1CAD" w:rsidP="0033739C">
      <w:pPr>
        <w:pStyle w:val="ListParagraph"/>
        <w:numPr>
          <w:ilvl w:val="0"/>
          <w:numId w:val="4"/>
        </w:numPr>
        <w:spacing w:line="240" w:lineRule="auto"/>
        <w:rPr>
          <w:rFonts w:ascii="Times New Roman" w:hAnsi="Times New Roman" w:cs="Times New Roman"/>
          <w:sz w:val="24"/>
          <w:szCs w:val="24"/>
        </w:rPr>
      </w:pPr>
      <w:r w:rsidRPr="00D97714">
        <w:rPr>
          <w:rFonts w:ascii="Times New Roman" w:hAnsi="Times New Roman" w:cs="Times New Roman"/>
          <w:sz w:val="24"/>
          <w:szCs w:val="24"/>
        </w:rPr>
        <w:t xml:space="preserve">Market Model abnormal </w:t>
      </w:r>
      <w:r w:rsidR="0033739C" w:rsidRPr="00D97714">
        <w:rPr>
          <w:rFonts w:ascii="Times New Roman" w:hAnsi="Times New Roman" w:cs="Times New Roman"/>
          <w:sz w:val="24"/>
          <w:szCs w:val="24"/>
        </w:rPr>
        <w:t>return = Actual return Ri –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CRSP equally-weighted index returns R</w:t>
      </w:r>
      <w:r w:rsidR="0033739C" w:rsidRPr="00D97714">
        <w:rPr>
          <w:rFonts w:ascii="Times New Roman" w:hAnsi="Times New Roman" w:cs="Times New Roman"/>
          <w:sz w:val="24"/>
          <w:szCs w:val="24"/>
          <w:vertAlign w:val="subscript"/>
        </w:rPr>
        <w:t>mt</w:t>
      </w:r>
      <w:r w:rsidR="0033739C" w:rsidRPr="00D97714">
        <w:rPr>
          <w:rFonts w:ascii="Times New Roman" w:hAnsi="Times New Roman" w:cs="Times New Roman"/>
          <w:sz w:val="24"/>
          <w:szCs w:val="24"/>
        </w:rPr>
        <w:t>), whereby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and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are estimated from the following regression: R</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×R</w:t>
      </w:r>
      <w:r w:rsidR="0033739C" w:rsidRPr="00D97714">
        <w:rPr>
          <w:rFonts w:ascii="Times New Roman" w:hAnsi="Times New Roman" w:cs="Times New Roman"/>
          <w:sz w:val="24"/>
          <w:szCs w:val="24"/>
          <w:vertAlign w:val="subscript"/>
        </w:rPr>
        <w:t>mt</w:t>
      </w:r>
      <w:r w:rsidR="0033739C" w:rsidRPr="00D97714">
        <w:rPr>
          <w:rFonts w:ascii="Times New Roman" w:hAnsi="Times New Roman" w:cs="Times New Roman"/>
          <w:sz w:val="24"/>
          <w:szCs w:val="24"/>
        </w:rPr>
        <w:t xml:space="preserve"> + ɛ</w:t>
      </w:r>
      <w:r w:rsidR="0033739C" w:rsidRPr="00D97714">
        <w:rPr>
          <w:rFonts w:ascii="Times New Roman" w:hAnsi="Times New Roman" w:cs="Times New Roman"/>
          <w:sz w:val="24"/>
          <w:szCs w:val="24"/>
          <w:vertAlign w:val="subscript"/>
        </w:rPr>
        <w:t xml:space="preserve">it </w:t>
      </w:r>
      <w:r w:rsidR="0033739C" w:rsidRPr="00D97714">
        <w:rPr>
          <w:rFonts w:ascii="Times New Roman" w:hAnsi="Times New Roman" w:cs="Times New Roman"/>
          <w:sz w:val="24"/>
          <w:szCs w:val="24"/>
        </w:rPr>
        <w:t>with daily return data in the (-252,-31) day window relative to the announcement date of the activism event.</w:t>
      </w:r>
    </w:p>
    <w:p w14:paraId="68CFB7D9" w14:textId="0F9899D8" w:rsidR="0033739C" w:rsidRPr="00D97714" w:rsidRDefault="001A1CAD" w:rsidP="0033739C">
      <w:pPr>
        <w:pStyle w:val="ListParagraph"/>
        <w:numPr>
          <w:ilvl w:val="0"/>
          <w:numId w:val="4"/>
        </w:numPr>
        <w:spacing w:line="240" w:lineRule="auto"/>
        <w:rPr>
          <w:rFonts w:ascii="Times New Roman" w:hAnsi="Times New Roman" w:cs="Times New Roman"/>
          <w:sz w:val="24"/>
          <w:szCs w:val="24"/>
        </w:rPr>
      </w:pPr>
      <w:r w:rsidRPr="00D97714">
        <w:rPr>
          <w:rFonts w:ascii="Times New Roman" w:hAnsi="Times New Roman" w:cs="Times New Roman"/>
          <w:sz w:val="24"/>
          <w:szCs w:val="24"/>
        </w:rPr>
        <w:t xml:space="preserve">Fama-French three factor model abnormal </w:t>
      </w:r>
      <w:r w:rsidR="0033739C" w:rsidRPr="00D97714">
        <w:rPr>
          <w:rFonts w:ascii="Times New Roman" w:hAnsi="Times New Roman" w:cs="Times New Roman"/>
          <w:sz w:val="24"/>
          <w:szCs w:val="24"/>
        </w:rPr>
        <w:t>return = Actual return –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R</w:t>
      </w:r>
      <w:r w:rsidR="0033739C" w:rsidRPr="00D97714">
        <w:rPr>
          <w:rFonts w:ascii="Times New Roman" w:hAnsi="Times New Roman" w:cs="Times New Roman"/>
          <w:sz w:val="24"/>
          <w:szCs w:val="24"/>
          <w:vertAlign w:val="subscript"/>
        </w:rPr>
        <w:t>mt</w:t>
      </w:r>
      <w:r w:rsidR="0033739C" w:rsidRPr="00D97714">
        <w:rPr>
          <w:rFonts w:ascii="Times New Roman" w:hAnsi="Times New Roman" w:cs="Times New Roman"/>
          <w:sz w:val="24"/>
          <w:szCs w:val="24"/>
        </w:rPr>
        <w:t xml:space="preserve"> + ɤ</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SMB</w:t>
      </w:r>
      <w:r w:rsidR="0033739C" w:rsidRPr="00D97714">
        <w:rPr>
          <w:rFonts w:ascii="Times New Roman" w:hAnsi="Times New Roman" w:cs="Times New Roman"/>
          <w:sz w:val="24"/>
          <w:szCs w:val="24"/>
          <w:vertAlign w:val="subscript"/>
        </w:rPr>
        <w:t>t</w:t>
      </w:r>
      <w:r w:rsidR="0033739C" w:rsidRPr="00D97714">
        <w:rPr>
          <w:rFonts w:ascii="Times New Roman" w:hAnsi="Times New Roman" w:cs="Times New Roman"/>
          <w:sz w:val="24"/>
          <w:szCs w:val="24"/>
        </w:rPr>
        <w:t xml:space="preserve"> + ɸ</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HML</w:t>
      </w:r>
      <w:r w:rsidR="0033739C" w:rsidRPr="00D97714">
        <w:rPr>
          <w:rFonts w:ascii="Times New Roman" w:hAnsi="Times New Roman" w:cs="Times New Roman"/>
          <w:sz w:val="24"/>
          <w:szCs w:val="24"/>
          <w:vertAlign w:val="subscript"/>
        </w:rPr>
        <w:t>t</w:t>
      </w:r>
      <w:r w:rsidR="0033739C" w:rsidRPr="00D97714">
        <w:rPr>
          <w:rFonts w:ascii="Times New Roman" w:hAnsi="Times New Roman" w:cs="Times New Roman"/>
          <w:sz w:val="24"/>
          <w:szCs w:val="24"/>
        </w:rPr>
        <w:t>), whereby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ɤ</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and ɸ</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are estimated from the following regression: R</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R</w:t>
      </w:r>
      <w:r w:rsidR="0033739C" w:rsidRPr="00D97714">
        <w:rPr>
          <w:rFonts w:ascii="Times New Roman" w:hAnsi="Times New Roman" w:cs="Times New Roman"/>
          <w:sz w:val="24"/>
          <w:szCs w:val="24"/>
          <w:vertAlign w:val="subscript"/>
        </w:rPr>
        <w:t>mt</w:t>
      </w:r>
      <w:r w:rsidR="0033739C" w:rsidRPr="00D97714">
        <w:rPr>
          <w:rFonts w:ascii="Times New Roman" w:hAnsi="Times New Roman" w:cs="Times New Roman"/>
          <w:sz w:val="24"/>
          <w:szCs w:val="24"/>
        </w:rPr>
        <w:t xml:space="preserve"> + ɤ</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SMB</w:t>
      </w:r>
      <w:r w:rsidR="0033739C" w:rsidRPr="00D97714">
        <w:rPr>
          <w:rFonts w:ascii="Times New Roman" w:hAnsi="Times New Roman" w:cs="Times New Roman"/>
          <w:sz w:val="24"/>
          <w:szCs w:val="24"/>
          <w:vertAlign w:val="subscript"/>
        </w:rPr>
        <w:t>t</w:t>
      </w:r>
      <w:r w:rsidR="0033739C" w:rsidRPr="00D97714">
        <w:rPr>
          <w:rFonts w:ascii="Times New Roman" w:hAnsi="Times New Roman" w:cs="Times New Roman"/>
          <w:sz w:val="24"/>
          <w:szCs w:val="24"/>
        </w:rPr>
        <w:t xml:space="preserve"> + ɸ</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HML</w:t>
      </w:r>
      <w:r w:rsidR="0033739C" w:rsidRPr="00D97714">
        <w:rPr>
          <w:rFonts w:ascii="Times New Roman" w:hAnsi="Times New Roman" w:cs="Times New Roman"/>
          <w:sz w:val="24"/>
          <w:szCs w:val="24"/>
          <w:vertAlign w:val="subscript"/>
        </w:rPr>
        <w:t>t</w:t>
      </w:r>
      <w:r w:rsidR="0033739C" w:rsidRPr="00D97714">
        <w:rPr>
          <w:rFonts w:ascii="Times New Roman" w:hAnsi="Times New Roman" w:cs="Times New Roman"/>
          <w:sz w:val="24"/>
          <w:szCs w:val="24"/>
        </w:rPr>
        <w:t xml:space="preserve"> + ɛ</w:t>
      </w:r>
      <w:r w:rsidR="0033739C" w:rsidRPr="00D97714">
        <w:rPr>
          <w:rFonts w:ascii="Times New Roman" w:hAnsi="Times New Roman" w:cs="Times New Roman"/>
          <w:sz w:val="24"/>
          <w:szCs w:val="24"/>
          <w:vertAlign w:val="subscript"/>
        </w:rPr>
        <w:t xml:space="preserve">it </w:t>
      </w:r>
      <w:r w:rsidR="0033739C" w:rsidRPr="00D97714">
        <w:rPr>
          <w:rFonts w:ascii="Times New Roman" w:hAnsi="Times New Roman" w:cs="Times New Roman"/>
          <w:sz w:val="24"/>
          <w:szCs w:val="24"/>
        </w:rPr>
        <w:t xml:space="preserve">with daily return data in the (-252,-31) day window relative to the announcement date of the activism event. SMB and HML are the size and book-to-market factors from Professor Kenneth French website. </w:t>
      </w:r>
    </w:p>
    <w:p w14:paraId="03CCE0CB" w14:textId="77777777" w:rsidR="0033739C" w:rsidRPr="00D97714" w:rsidRDefault="0033739C" w:rsidP="0033739C">
      <w:pPr>
        <w:spacing w:line="240" w:lineRule="auto"/>
        <w:contextualSpacing/>
        <w:rPr>
          <w:rFonts w:ascii="Times New Roman" w:hAnsi="Times New Roman" w:cs="Times New Roman"/>
          <w:sz w:val="24"/>
          <w:szCs w:val="24"/>
        </w:rPr>
      </w:pPr>
      <m:oMath>
        <m:r>
          <w:rPr>
            <w:rFonts w:ascii="Cambria Math" w:hAnsi="Cambria Math" w:cs="Times New Roman"/>
            <w:sz w:val="24"/>
            <w:szCs w:val="24"/>
          </w:rPr>
          <m:t>WIN</m:t>
        </m:r>
      </m:oMath>
      <w:r w:rsidRPr="00D97714">
        <w:rPr>
          <w:rFonts w:ascii="Times New Roman" w:eastAsiaTheme="minorEastAsia" w:hAnsi="Times New Roman" w:cs="Times New Roman"/>
          <w:sz w:val="24"/>
          <w:szCs w:val="24"/>
        </w:rPr>
        <w:t xml:space="preserve"> is a dummy variable representing successful campaigns ran by the shareholders activists; </w:t>
      </w:r>
      <m:oMath>
        <m:r>
          <w:rPr>
            <w:rFonts w:ascii="Cambria Math" w:eastAsiaTheme="minorEastAsia" w:hAnsi="Cambria Math" w:cs="Times New Roman"/>
            <w:sz w:val="24"/>
            <w:szCs w:val="24"/>
          </w:rPr>
          <m:t>CHANGE</m:t>
        </m:r>
      </m:oMath>
      <w:r w:rsidRPr="00D97714">
        <w:rPr>
          <w:rFonts w:ascii="Times New Roman" w:eastAsiaTheme="minorEastAsia" w:hAnsi="Times New Roman" w:cs="Times New Roman"/>
          <w:sz w:val="24"/>
          <w:szCs w:val="24"/>
        </w:rPr>
        <w:t xml:space="preserve"> is a dummy variable representing campaigns where the activists demand control of the board or board representation; </w:t>
      </w:r>
      <m:oMath>
        <m:r>
          <w:rPr>
            <w:rFonts w:ascii="Cambria Math" w:eastAsiaTheme="minorEastAsia" w:hAnsi="Cambria Math" w:cs="Times New Roman"/>
            <w:sz w:val="24"/>
            <w:szCs w:val="24"/>
          </w:rPr>
          <m:t>MKCAP</m:t>
        </m:r>
      </m:oMath>
      <w:r w:rsidRPr="00D97714">
        <w:rPr>
          <w:rFonts w:ascii="Times New Roman" w:eastAsiaTheme="minorEastAsia" w:hAnsi="Times New Roman" w:cs="Times New Roman"/>
          <w:sz w:val="24"/>
          <w:szCs w:val="24"/>
        </w:rPr>
        <w:t xml:space="preserve"> is the median market cap of the non-targeted firms that comprise the portfolio; </w:t>
      </w:r>
      <m:oMath>
        <m:r>
          <w:rPr>
            <w:rFonts w:ascii="Cambria Math" w:eastAsiaTheme="minorEastAsia" w:hAnsi="Cambria Math" w:cs="Times New Roman"/>
            <w:sz w:val="24"/>
            <w:szCs w:val="24"/>
          </w:rPr>
          <m:t>IOPr</m:t>
        </m:r>
      </m:oMath>
      <w:r w:rsidRPr="00D97714">
        <w:rPr>
          <w:rFonts w:ascii="Times New Roman" w:eastAsiaTheme="minorEastAsia" w:hAnsi="Times New Roman" w:cs="Times New Roman"/>
          <w:sz w:val="24"/>
          <w:szCs w:val="24"/>
        </w:rPr>
        <w:t xml:space="preserve"> represents the mean proportion of the shares held by the institutional investors in the non-targeted firms comprising the matching portfolio; </w:t>
      </w:r>
      <m:oMath>
        <m:r>
          <w:rPr>
            <w:rFonts w:ascii="Cambria Math" w:eastAsiaTheme="minorEastAsia" w:hAnsi="Cambria Math" w:cs="Times New Roman"/>
            <w:sz w:val="24"/>
            <w:szCs w:val="24"/>
          </w:rPr>
          <m:t>IOV</m:t>
        </m:r>
      </m:oMath>
      <w:r w:rsidRPr="00D97714">
        <w:rPr>
          <w:rFonts w:ascii="Times New Roman" w:eastAsiaTheme="minorEastAsia" w:hAnsi="Times New Roman" w:cs="Times New Roman"/>
          <w:sz w:val="24"/>
          <w:szCs w:val="24"/>
        </w:rPr>
        <w:t xml:space="preserve"> represents the standard deviation of the institutional shareholding proportions of the non-targeted firms comprising the matching portfolio; </w:t>
      </w:r>
      <m:oMath>
        <m:r>
          <w:rPr>
            <w:rFonts w:ascii="Cambria Math" w:eastAsiaTheme="minorEastAsia" w:hAnsi="Cambria Math" w:cs="Times New Roman"/>
            <w:sz w:val="24"/>
            <w:szCs w:val="24"/>
          </w:rPr>
          <m:t>ROA</m:t>
        </m:r>
      </m:oMath>
      <w:r w:rsidRPr="00D9771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DEBT</m:t>
        </m:r>
      </m:oMath>
      <w:r w:rsidRPr="00D97714">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MKBK</m:t>
        </m:r>
      </m:oMath>
      <w:r w:rsidRPr="00D97714">
        <w:rPr>
          <w:rFonts w:ascii="Times New Roman" w:eastAsiaTheme="minorEastAsia" w:hAnsi="Times New Roman" w:cs="Times New Roman"/>
          <w:sz w:val="24"/>
          <w:szCs w:val="24"/>
        </w:rPr>
        <w:t xml:space="preserve"> represent equally-weighted/value-weighed industry-adjusted figures of return on assets, the ratio of total debt-to-total assets and the market-to-book ratio of the firms comprising the matching non-targeted portfolio, respectively – they are measured at the end of the fiscal year preceding the announcement date. We control for year-fixed effects and calculate robust </w:t>
      </w:r>
      <m:oMath>
        <m:r>
          <w:rPr>
            <w:rFonts w:ascii="Cambria Math" w:eastAsiaTheme="minorEastAsia" w:hAnsi="Cambria Math" w:cs="Times New Roman"/>
            <w:sz w:val="24"/>
            <w:szCs w:val="24"/>
          </w:rPr>
          <m:t>t</m:t>
        </m:r>
      </m:oMath>
      <w:r w:rsidRPr="00D97714">
        <w:rPr>
          <w:rFonts w:ascii="Times New Roman" w:eastAsiaTheme="minorEastAsia" w:hAnsi="Times New Roman" w:cs="Times New Roman"/>
          <w:sz w:val="24"/>
          <w:szCs w:val="24"/>
        </w:rPr>
        <w:t xml:space="preserve">-statistics to assess the significance levels of the coefficients. </w:t>
      </w:r>
    </w:p>
    <w:p w14:paraId="65D880DE" w14:textId="77777777" w:rsidR="0033739C" w:rsidRPr="00D97714" w:rsidRDefault="0033739C" w:rsidP="0033739C">
      <w:pPr>
        <w:rPr>
          <w:rFonts w:ascii="Times New Roman" w:hAnsi="Times New Roman" w:cs="Times New Roman"/>
          <w:sz w:val="24"/>
          <w:szCs w:val="24"/>
        </w:rPr>
      </w:pPr>
    </w:p>
    <w:p w14:paraId="3DD4BC89" w14:textId="77777777" w:rsidR="0033739C" w:rsidRPr="00D97714" w:rsidRDefault="0033739C" w:rsidP="0033739C">
      <w:pPr>
        <w:rPr>
          <w:rFonts w:ascii="Times New Roman" w:hAnsi="Times New Roman" w:cs="Times New Roman"/>
          <w:sz w:val="24"/>
          <w:szCs w:val="24"/>
        </w:rPr>
      </w:pPr>
    </w:p>
    <w:p w14:paraId="25519F39" w14:textId="77777777" w:rsidR="0033739C" w:rsidRPr="00D97714" w:rsidRDefault="0033739C" w:rsidP="0033739C">
      <w:pPr>
        <w:rPr>
          <w:rFonts w:ascii="Times New Roman" w:hAnsi="Times New Roman" w:cs="Times New Roman"/>
          <w:sz w:val="24"/>
          <w:szCs w:val="24"/>
        </w:rPr>
      </w:pPr>
    </w:p>
    <w:p w14:paraId="4756242D" w14:textId="77777777" w:rsidR="0033739C" w:rsidRDefault="0033739C" w:rsidP="0033739C">
      <w:pPr>
        <w:rPr>
          <w:rFonts w:ascii="Times New Roman" w:hAnsi="Times New Roman" w:cs="Times New Roman"/>
          <w:sz w:val="24"/>
          <w:szCs w:val="24"/>
        </w:rPr>
      </w:pPr>
    </w:p>
    <w:p w14:paraId="40A68525" w14:textId="77777777" w:rsidR="00C96815" w:rsidRDefault="00C96815" w:rsidP="0033739C">
      <w:pPr>
        <w:rPr>
          <w:rFonts w:ascii="Times New Roman" w:hAnsi="Times New Roman" w:cs="Times New Roman"/>
          <w:sz w:val="24"/>
          <w:szCs w:val="24"/>
        </w:rPr>
      </w:pPr>
    </w:p>
    <w:p w14:paraId="4F4EA785" w14:textId="77777777" w:rsidR="00C96815" w:rsidRDefault="00C96815" w:rsidP="0033739C">
      <w:pPr>
        <w:rPr>
          <w:rFonts w:ascii="Times New Roman" w:hAnsi="Times New Roman" w:cs="Times New Roman"/>
          <w:sz w:val="24"/>
          <w:szCs w:val="24"/>
        </w:rPr>
      </w:pPr>
    </w:p>
    <w:p w14:paraId="177D734F" w14:textId="77777777" w:rsidR="00C96815" w:rsidRDefault="00C96815" w:rsidP="0033739C">
      <w:pPr>
        <w:rPr>
          <w:rFonts w:ascii="Times New Roman" w:hAnsi="Times New Roman" w:cs="Times New Roman"/>
          <w:sz w:val="24"/>
          <w:szCs w:val="24"/>
        </w:rPr>
      </w:pPr>
    </w:p>
    <w:p w14:paraId="42BD56F2" w14:textId="77777777" w:rsidR="00C96815" w:rsidRDefault="00C96815" w:rsidP="0033739C">
      <w:pPr>
        <w:rPr>
          <w:rFonts w:ascii="Times New Roman" w:hAnsi="Times New Roman" w:cs="Times New Roman"/>
          <w:sz w:val="24"/>
          <w:szCs w:val="24"/>
        </w:rPr>
      </w:pPr>
    </w:p>
    <w:p w14:paraId="74BD530F" w14:textId="77777777" w:rsidR="00C96815" w:rsidRDefault="00C96815" w:rsidP="0033739C">
      <w:pPr>
        <w:rPr>
          <w:rFonts w:ascii="Times New Roman" w:hAnsi="Times New Roman" w:cs="Times New Roman"/>
          <w:sz w:val="24"/>
          <w:szCs w:val="24"/>
        </w:rPr>
      </w:pPr>
    </w:p>
    <w:p w14:paraId="1E285BCA" w14:textId="77777777" w:rsidR="00C96815" w:rsidRDefault="00C96815" w:rsidP="0033739C">
      <w:pPr>
        <w:rPr>
          <w:rFonts w:ascii="Times New Roman" w:hAnsi="Times New Roman" w:cs="Times New Roman"/>
          <w:sz w:val="24"/>
          <w:szCs w:val="24"/>
        </w:rPr>
      </w:pPr>
    </w:p>
    <w:p w14:paraId="0D56193F" w14:textId="77777777" w:rsidR="00C96815" w:rsidRDefault="00C96815" w:rsidP="0033739C">
      <w:pPr>
        <w:rPr>
          <w:rFonts w:ascii="Times New Roman" w:hAnsi="Times New Roman" w:cs="Times New Roman"/>
          <w:sz w:val="24"/>
          <w:szCs w:val="24"/>
        </w:rPr>
      </w:pPr>
    </w:p>
    <w:p w14:paraId="3B133697" w14:textId="77777777" w:rsidR="00C96815" w:rsidRDefault="00C96815" w:rsidP="0033739C">
      <w:pPr>
        <w:rPr>
          <w:rFonts w:ascii="Times New Roman" w:hAnsi="Times New Roman" w:cs="Times New Roman"/>
          <w:sz w:val="24"/>
          <w:szCs w:val="24"/>
        </w:rPr>
      </w:pPr>
    </w:p>
    <w:p w14:paraId="6B221B3D" w14:textId="77777777" w:rsidR="00C96815" w:rsidRDefault="00C96815" w:rsidP="0033739C">
      <w:pPr>
        <w:rPr>
          <w:rFonts w:ascii="Times New Roman" w:hAnsi="Times New Roman" w:cs="Times New Roman"/>
          <w:sz w:val="24"/>
          <w:szCs w:val="24"/>
        </w:rPr>
      </w:pPr>
    </w:p>
    <w:p w14:paraId="167BF1F1" w14:textId="77777777" w:rsidR="00C96815" w:rsidRDefault="00C96815" w:rsidP="0033739C">
      <w:pPr>
        <w:rPr>
          <w:rFonts w:ascii="Times New Roman" w:hAnsi="Times New Roman" w:cs="Times New Roman"/>
          <w:sz w:val="24"/>
          <w:szCs w:val="24"/>
        </w:rPr>
      </w:pPr>
    </w:p>
    <w:p w14:paraId="2BFD6AEA" w14:textId="77777777" w:rsidR="00C96815" w:rsidRDefault="00C96815" w:rsidP="0033739C">
      <w:pPr>
        <w:rPr>
          <w:rFonts w:ascii="Times New Roman" w:hAnsi="Times New Roman" w:cs="Times New Roman"/>
          <w:sz w:val="24"/>
          <w:szCs w:val="24"/>
        </w:rPr>
      </w:pPr>
    </w:p>
    <w:p w14:paraId="33FB6DF9" w14:textId="77777777" w:rsidR="00C96815" w:rsidRDefault="00C96815" w:rsidP="0033739C">
      <w:pPr>
        <w:rPr>
          <w:rFonts w:ascii="Times New Roman" w:hAnsi="Times New Roman" w:cs="Times New Roman"/>
          <w:sz w:val="24"/>
          <w:szCs w:val="24"/>
        </w:rPr>
      </w:pPr>
    </w:p>
    <w:p w14:paraId="4FB6B090" w14:textId="77777777" w:rsidR="00C96815" w:rsidRDefault="00C96815" w:rsidP="0033739C">
      <w:pPr>
        <w:rPr>
          <w:rFonts w:ascii="Times New Roman" w:hAnsi="Times New Roman" w:cs="Times New Roman"/>
          <w:sz w:val="24"/>
          <w:szCs w:val="24"/>
        </w:rPr>
      </w:pPr>
    </w:p>
    <w:p w14:paraId="2EA06C9D" w14:textId="77777777" w:rsidR="00C96815" w:rsidRDefault="00C96815" w:rsidP="0033739C">
      <w:pPr>
        <w:rPr>
          <w:rFonts w:ascii="Times New Roman" w:hAnsi="Times New Roman" w:cs="Times New Roman"/>
          <w:sz w:val="24"/>
          <w:szCs w:val="24"/>
        </w:rPr>
      </w:pPr>
    </w:p>
    <w:p w14:paraId="5B7396E1" w14:textId="77777777" w:rsidR="00C96815" w:rsidRDefault="00C96815" w:rsidP="0033739C">
      <w:pPr>
        <w:rPr>
          <w:rFonts w:ascii="Times New Roman" w:hAnsi="Times New Roman" w:cs="Times New Roman"/>
          <w:sz w:val="24"/>
          <w:szCs w:val="24"/>
        </w:rPr>
      </w:pPr>
    </w:p>
    <w:p w14:paraId="7C701964" w14:textId="77777777" w:rsidR="00C96815" w:rsidRDefault="00C96815" w:rsidP="0033739C">
      <w:pPr>
        <w:rPr>
          <w:rFonts w:ascii="Times New Roman" w:hAnsi="Times New Roman" w:cs="Times New Roman"/>
          <w:sz w:val="24"/>
          <w:szCs w:val="24"/>
        </w:rPr>
      </w:pPr>
    </w:p>
    <w:p w14:paraId="738B017E" w14:textId="77777777" w:rsidR="00C96815" w:rsidRPr="00D97714" w:rsidRDefault="00C96815" w:rsidP="0033739C">
      <w:pPr>
        <w:rPr>
          <w:rFonts w:ascii="Times New Roman" w:hAnsi="Times New Roman" w:cs="Times New Roman"/>
          <w:sz w:val="24"/>
          <w:szCs w:val="24"/>
        </w:rPr>
      </w:pPr>
    </w:p>
    <w:tbl>
      <w:tblPr>
        <w:tblW w:w="9468" w:type="dxa"/>
        <w:tblLayout w:type="fixed"/>
        <w:tblLook w:val="04A0" w:firstRow="1" w:lastRow="0" w:firstColumn="1" w:lastColumn="0" w:noHBand="0" w:noVBand="1"/>
      </w:tblPr>
      <w:tblGrid>
        <w:gridCol w:w="2294"/>
        <w:gridCol w:w="1793"/>
        <w:gridCol w:w="1794"/>
        <w:gridCol w:w="1793"/>
        <w:gridCol w:w="1794"/>
      </w:tblGrid>
      <w:tr w:rsidR="0033739C" w:rsidRPr="00D97714" w14:paraId="4EBF58B7" w14:textId="77777777" w:rsidTr="000730DD">
        <w:trPr>
          <w:trHeight w:val="20"/>
        </w:trPr>
        <w:tc>
          <w:tcPr>
            <w:tcW w:w="9468" w:type="dxa"/>
            <w:gridSpan w:val="5"/>
            <w:tcBorders>
              <w:top w:val="nil"/>
              <w:left w:val="nil"/>
              <w:bottom w:val="nil"/>
              <w:right w:val="nil"/>
            </w:tcBorders>
            <w:shd w:val="clear" w:color="auto" w:fill="auto"/>
            <w:noWrap/>
            <w:vAlign w:val="bottom"/>
          </w:tcPr>
          <w:p w14:paraId="4EB69D5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b/>
                <w:color w:val="000000"/>
                <w:sz w:val="24"/>
                <w:szCs w:val="24"/>
              </w:rPr>
              <w:t>Table 5 – Cross-Sectional Analyses of Non-Target Matching Portfolios’ Industry-Adjusted Operating Performance</w:t>
            </w:r>
          </w:p>
        </w:tc>
      </w:tr>
      <w:tr w:rsidR="0033739C" w:rsidRPr="00D97714" w14:paraId="1C74DDF8" w14:textId="77777777" w:rsidTr="000730DD">
        <w:trPr>
          <w:trHeight w:val="20"/>
        </w:trPr>
        <w:tc>
          <w:tcPr>
            <w:tcW w:w="2294" w:type="dxa"/>
            <w:tcBorders>
              <w:top w:val="single" w:sz="4" w:space="0" w:color="auto"/>
              <w:left w:val="nil"/>
              <w:right w:val="nil"/>
            </w:tcBorders>
            <w:shd w:val="clear" w:color="auto" w:fill="auto"/>
            <w:noWrap/>
            <w:vAlign w:val="bottom"/>
            <w:hideMark/>
          </w:tcPr>
          <w:p w14:paraId="1DBB4836"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3587" w:type="dxa"/>
            <w:gridSpan w:val="2"/>
            <w:tcBorders>
              <w:top w:val="single" w:sz="4" w:space="0" w:color="auto"/>
              <w:left w:val="nil"/>
              <w:right w:val="nil"/>
            </w:tcBorders>
            <w:shd w:val="clear" w:color="auto" w:fill="auto"/>
            <w:noWrap/>
            <w:vAlign w:val="bottom"/>
            <w:hideMark/>
          </w:tcPr>
          <w:p w14:paraId="34CE1064" w14:textId="77777777" w:rsidR="0033739C" w:rsidRPr="00D97714" w:rsidRDefault="0033739C" w:rsidP="00B05BA5">
            <w:pPr>
              <w:spacing w:after="0" w:line="240" w:lineRule="auto"/>
              <w:rPr>
                <w:rFonts w:ascii="Times New Roman" w:eastAsia="Times New Roman" w:hAnsi="Times New Roman" w:cs="Times New Roman"/>
                <w:b/>
                <w:i/>
                <w:color w:val="000000"/>
                <w:sz w:val="24"/>
                <w:szCs w:val="24"/>
              </w:rPr>
            </w:pPr>
            <w:r w:rsidRPr="00D97714">
              <w:rPr>
                <w:rFonts w:ascii="Times New Roman" w:eastAsia="Times New Roman" w:hAnsi="Times New Roman" w:cs="Times New Roman"/>
                <w:b/>
                <w:i/>
                <w:color w:val="000000"/>
                <w:sz w:val="24"/>
                <w:szCs w:val="24"/>
              </w:rPr>
              <w:t>Panel A – Value-weighted non-target matching portfolios</w:t>
            </w:r>
          </w:p>
        </w:tc>
        <w:tc>
          <w:tcPr>
            <w:tcW w:w="3587" w:type="dxa"/>
            <w:gridSpan w:val="2"/>
            <w:tcBorders>
              <w:top w:val="single" w:sz="4" w:space="0" w:color="auto"/>
              <w:left w:val="nil"/>
              <w:right w:val="nil"/>
            </w:tcBorders>
            <w:shd w:val="clear" w:color="auto" w:fill="auto"/>
            <w:noWrap/>
            <w:vAlign w:val="bottom"/>
            <w:hideMark/>
          </w:tcPr>
          <w:p w14:paraId="60579ED3" w14:textId="77777777" w:rsidR="0033739C" w:rsidRPr="00D97714" w:rsidRDefault="0033739C" w:rsidP="00B05BA5">
            <w:pPr>
              <w:spacing w:after="0" w:line="240" w:lineRule="auto"/>
              <w:rPr>
                <w:rFonts w:ascii="Times New Roman" w:eastAsia="Times New Roman" w:hAnsi="Times New Roman" w:cs="Times New Roman"/>
                <w:b/>
                <w:i/>
                <w:color w:val="000000"/>
                <w:sz w:val="24"/>
                <w:szCs w:val="24"/>
              </w:rPr>
            </w:pPr>
            <w:r w:rsidRPr="00D97714">
              <w:rPr>
                <w:rFonts w:ascii="Times New Roman" w:eastAsia="Times New Roman" w:hAnsi="Times New Roman" w:cs="Times New Roman"/>
                <w:b/>
                <w:i/>
                <w:color w:val="000000"/>
                <w:sz w:val="24"/>
                <w:szCs w:val="24"/>
              </w:rPr>
              <w:t>Panel B – Equally-weighted non-target matching portfolios</w:t>
            </w:r>
          </w:p>
        </w:tc>
      </w:tr>
      <w:tr w:rsidR="0033739C" w:rsidRPr="00D97714" w14:paraId="09E7E179" w14:textId="77777777" w:rsidTr="000730DD">
        <w:trPr>
          <w:trHeight w:val="20"/>
        </w:trPr>
        <w:tc>
          <w:tcPr>
            <w:tcW w:w="2294" w:type="dxa"/>
            <w:tcBorders>
              <w:top w:val="nil"/>
              <w:left w:val="nil"/>
              <w:bottom w:val="single" w:sz="4" w:space="0" w:color="auto"/>
              <w:right w:val="nil"/>
            </w:tcBorders>
            <w:shd w:val="clear" w:color="auto" w:fill="auto"/>
            <w:noWrap/>
            <w:vAlign w:val="bottom"/>
            <w:hideMark/>
          </w:tcPr>
          <w:p w14:paraId="4A743A5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Variables</w:t>
            </w:r>
          </w:p>
        </w:tc>
        <w:tc>
          <w:tcPr>
            <w:tcW w:w="1793" w:type="dxa"/>
            <w:tcBorders>
              <w:top w:val="nil"/>
              <w:left w:val="nil"/>
              <w:bottom w:val="single" w:sz="4" w:space="0" w:color="auto"/>
              <w:right w:val="nil"/>
            </w:tcBorders>
            <w:shd w:val="clear" w:color="auto" w:fill="auto"/>
            <w:noWrap/>
            <w:vAlign w:val="bottom"/>
            <w:hideMark/>
          </w:tcPr>
          <w:p w14:paraId="67EF5E9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ROA</w:t>
            </w:r>
          </w:p>
        </w:tc>
        <w:tc>
          <w:tcPr>
            <w:tcW w:w="1794" w:type="dxa"/>
            <w:tcBorders>
              <w:top w:val="nil"/>
              <w:left w:val="nil"/>
              <w:bottom w:val="single" w:sz="4" w:space="0" w:color="auto"/>
              <w:right w:val="nil"/>
            </w:tcBorders>
            <w:shd w:val="clear" w:color="auto" w:fill="auto"/>
            <w:noWrap/>
            <w:vAlign w:val="bottom"/>
            <w:hideMark/>
          </w:tcPr>
          <w:p w14:paraId="650BD2A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EBIT/TA</w:t>
            </w:r>
          </w:p>
        </w:tc>
        <w:tc>
          <w:tcPr>
            <w:tcW w:w="1793" w:type="dxa"/>
            <w:tcBorders>
              <w:top w:val="nil"/>
              <w:left w:val="nil"/>
              <w:bottom w:val="single" w:sz="4" w:space="0" w:color="auto"/>
              <w:right w:val="nil"/>
            </w:tcBorders>
            <w:shd w:val="clear" w:color="auto" w:fill="auto"/>
            <w:noWrap/>
            <w:vAlign w:val="bottom"/>
            <w:hideMark/>
          </w:tcPr>
          <w:p w14:paraId="119CC1F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ROA</w:t>
            </w:r>
          </w:p>
        </w:tc>
        <w:tc>
          <w:tcPr>
            <w:tcW w:w="1794" w:type="dxa"/>
            <w:tcBorders>
              <w:top w:val="nil"/>
              <w:left w:val="nil"/>
              <w:bottom w:val="single" w:sz="4" w:space="0" w:color="auto"/>
              <w:right w:val="nil"/>
            </w:tcBorders>
            <w:shd w:val="clear" w:color="auto" w:fill="auto"/>
            <w:noWrap/>
            <w:vAlign w:val="bottom"/>
            <w:hideMark/>
          </w:tcPr>
          <w:p w14:paraId="45CAA34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EBIT/TA</w:t>
            </w:r>
          </w:p>
        </w:tc>
      </w:tr>
      <w:tr w:rsidR="0033739C" w:rsidRPr="00D97714" w14:paraId="60BFB7F3" w14:textId="77777777" w:rsidTr="000730DD">
        <w:trPr>
          <w:trHeight w:val="20"/>
        </w:trPr>
        <w:tc>
          <w:tcPr>
            <w:tcW w:w="2294" w:type="dxa"/>
            <w:tcBorders>
              <w:top w:val="single" w:sz="4" w:space="0" w:color="auto"/>
              <w:left w:val="nil"/>
              <w:bottom w:val="nil"/>
              <w:right w:val="nil"/>
            </w:tcBorders>
            <w:shd w:val="clear" w:color="auto" w:fill="auto"/>
            <w:noWrap/>
            <w:hideMark/>
          </w:tcPr>
          <w:p w14:paraId="1FC1954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Constant</w:t>
            </w:r>
          </w:p>
        </w:tc>
        <w:tc>
          <w:tcPr>
            <w:tcW w:w="1793" w:type="dxa"/>
            <w:tcBorders>
              <w:top w:val="single" w:sz="4" w:space="0" w:color="auto"/>
              <w:left w:val="nil"/>
              <w:bottom w:val="nil"/>
              <w:right w:val="nil"/>
            </w:tcBorders>
            <w:shd w:val="clear" w:color="auto" w:fill="auto"/>
            <w:noWrap/>
            <w:vAlign w:val="bottom"/>
            <w:hideMark/>
          </w:tcPr>
          <w:p w14:paraId="6088B91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-0.057</w:t>
            </w:r>
          </w:p>
        </w:tc>
        <w:tc>
          <w:tcPr>
            <w:tcW w:w="1794" w:type="dxa"/>
            <w:tcBorders>
              <w:top w:val="single" w:sz="4" w:space="0" w:color="auto"/>
              <w:left w:val="nil"/>
              <w:bottom w:val="nil"/>
              <w:right w:val="nil"/>
            </w:tcBorders>
            <w:shd w:val="clear" w:color="auto" w:fill="auto"/>
            <w:noWrap/>
            <w:vAlign w:val="bottom"/>
            <w:hideMark/>
          </w:tcPr>
          <w:p w14:paraId="783130D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-0.041</w:t>
            </w:r>
          </w:p>
        </w:tc>
        <w:tc>
          <w:tcPr>
            <w:tcW w:w="1793" w:type="dxa"/>
            <w:tcBorders>
              <w:top w:val="single" w:sz="4" w:space="0" w:color="auto"/>
              <w:left w:val="nil"/>
              <w:bottom w:val="nil"/>
              <w:right w:val="nil"/>
            </w:tcBorders>
            <w:shd w:val="clear" w:color="auto" w:fill="auto"/>
            <w:noWrap/>
            <w:vAlign w:val="bottom"/>
            <w:hideMark/>
          </w:tcPr>
          <w:p w14:paraId="122CB77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-0.106</w:t>
            </w:r>
          </w:p>
        </w:tc>
        <w:tc>
          <w:tcPr>
            <w:tcW w:w="1794" w:type="dxa"/>
            <w:tcBorders>
              <w:top w:val="single" w:sz="4" w:space="0" w:color="auto"/>
              <w:left w:val="nil"/>
              <w:bottom w:val="nil"/>
              <w:right w:val="nil"/>
            </w:tcBorders>
            <w:shd w:val="clear" w:color="auto" w:fill="auto"/>
            <w:noWrap/>
            <w:vAlign w:val="bottom"/>
            <w:hideMark/>
          </w:tcPr>
          <w:p w14:paraId="58877C7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-0.086</w:t>
            </w:r>
          </w:p>
        </w:tc>
      </w:tr>
      <w:tr w:rsidR="0033739C" w:rsidRPr="00D97714" w14:paraId="455D364C" w14:textId="77777777" w:rsidTr="000730DD">
        <w:trPr>
          <w:trHeight w:val="20"/>
        </w:trPr>
        <w:tc>
          <w:tcPr>
            <w:tcW w:w="2294" w:type="dxa"/>
            <w:tcBorders>
              <w:top w:val="nil"/>
              <w:left w:val="nil"/>
              <w:bottom w:val="nil"/>
              <w:right w:val="nil"/>
            </w:tcBorders>
            <w:shd w:val="clear" w:color="auto" w:fill="auto"/>
            <w:noWrap/>
            <w:hideMark/>
          </w:tcPr>
          <w:p w14:paraId="3600DEB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793" w:type="dxa"/>
            <w:tcBorders>
              <w:top w:val="nil"/>
              <w:left w:val="nil"/>
              <w:bottom w:val="nil"/>
              <w:right w:val="nil"/>
            </w:tcBorders>
            <w:shd w:val="clear" w:color="auto" w:fill="auto"/>
            <w:noWrap/>
            <w:vAlign w:val="bottom"/>
            <w:hideMark/>
          </w:tcPr>
          <w:p w14:paraId="5A6DBCF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(-3.726***)</w:t>
            </w:r>
          </w:p>
        </w:tc>
        <w:tc>
          <w:tcPr>
            <w:tcW w:w="1794" w:type="dxa"/>
            <w:tcBorders>
              <w:top w:val="nil"/>
              <w:left w:val="nil"/>
              <w:bottom w:val="nil"/>
              <w:right w:val="nil"/>
            </w:tcBorders>
            <w:shd w:val="clear" w:color="auto" w:fill="auto"/>
            <w:noWrap/>
            <w:vAlign w:val="bottom"/>
            <w:hideMark/>
          </w:tcPr>
          <w:p w14:paraId="3EF84F4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(-3.904***)</w:t>
            </w:r>
          </w:p>
        </w:tc>
        <w:tc>
          <w:tcPr>
            <w:tcW w:w="1793" w:type="dxa"/>
            <w:tcBorders>
              <w:top w:val="nil"/>
              <w:left w:val="nil"/>
              <w:bottom w:val="nil"/>
              <w:right w:val="nil"/>
            </w:tcBorders>
            <w:shd w:val="clear" w:color="auto" w:fill="auto"/>
            <w:noWrap/>
            <w:vAlign w:val="bottom"/>
            <w:hideMark/>
          </w:tcPr>
          <w:p w14:paraId="57069CC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(-12.303***)</w:t>
            </w:r>
          </w:p>
        </w:tc>
        <w:tc>
          <w:tcPr>
            <w:tcW w:w="1794" w:type="dxa"/>
            <w:tcBorders>
              <w:top w:val="nil"/>
              <w:left w:val="nil"/>
              <w:bottom w:val="nil"/>
              <w:right w:val="nil"/>
            </w:tcBorders>
            <w:shd w:val="clear" w:color="auto" w:fill="auto"/>
            <w:noWrap/>
            <w:vAlign w:val="bottom"/>
            <w:hideMark/>
          </w:tcPr>
          <w:p w14:paraId="33B86DE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(-14.702***)</w:t>
            </w:r>
          </w:p>
        </w:tc>
      </w:tr>
      <w:tr w:rsidR="0033739C" w:rsidRPr="00D97714" w14:paraId="3BED5893" w14:textId="77777777" w:rsidTr="000730DD">
        <w:trPr>
          <w:trHeight w:val="20"/>
        </w:trPr>
        <w:tc>
          <w:tcPr>
            <w:tcW w:w="2294" w:type="dxa"/>
            <w:tcBorders>
              <w:top w:val="nil"/>
              <w:left w:val="nil"/>
              <w:bottom w:val="nil"/>
              <w:right w:val="nil"/>
            </w:tcBorders>
            <w:shd w:val="clear" w:color="auto" w:fill="auto"/>
            <w:noWrap/>
            <w:hideMark/>
          </w:tcPr>
          <w:p w14:paraId="23F8D35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AFTER</w:t>
            </w:r>
          </w:p>
        </w:tc>
        <w:tc>
          <w:tcPr>
            <w:tcW w:w="1793" w:type="dxa"/>
            <w:tcBorders>
              <w:top w:val="nil"/>
              <w:left w:val="nil"/>
              <w:bottom w:val="nil"/>
              <w:right w:val="nil"/>
            </w:tcBorders>
            <w:shd w:val="clear" w:color="auto" w:fill="auto"/>
            <w:noWrap/>
            <w:vAlign w:val="bottom"/>
            <w:hideMark/>
          </w:tcPr>
          <w:p w14:paraId="1BD12A6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0.068</w:t>
            </w:r>
          </w:p>
        </w:tc>
        <w:tc>
          <w:tcPr>
            <w:tcW w:w="1794" w:type="dxa"/>
            <w:tcBorders>
              <w:top w:val="nil"/>
              <w:left w:val="nil"/>
              <w:bottom w:val="nil"/>
              <w:right w:val="nil"/>
            </w:tcBorders>
            <w:shd w:val="clear" w:color="auto" w:fill="auto"/>
            <w:noWrap/>
            <w:vAlign w:val="bottom"/>
            <w:hideMark/>
          </w:tcPr>
          <w:p w14:paraId="425514F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0.045</w:t>
            </w:r>
          </w:p>
        </w:tc>
        <w:tc>
          <w:tcPr>
            <w:tcW w:w="1793" w:type="dxa"/>
            <w:tcBorders>
              <w:top w:val="nil"/>
              <w:left w:val="nil"/>
              <w:bottom w:val="nil"/>
              <w:right w:val="nil"/>
            </w:tcBorders>
            <w:shd w:val="clear" w:color="auto" w:fill="auto"/>
            <w:noWrap/>
            <w:vAlign w:val="bottom"/>
            <w:hideMark/>
          </w:tcPr>
          <w:p w14:paraId="551286F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0.061</w:t>
            </w:r>
          </w:p>
        </w:tc>
        <w:tc>
          <w:tcPr>
            <w:tcW w:w="1794" w:type="dxa"/>
            <w:tcBorders>
              <w:top w:val="nil"/>
              <w:left w:val="nil"/>
              <w:bottom w:val="nil"/>
              <w:right w:val="nil"/>
            </w:tcBorders>
            <w:shd w:val="clear" w:color="auto" w:fill="auto"/>
            <w:noWrap/>
            <w:vAlign w:val="bottom"/>
            <w:hideMark/>
          </w:tcPr>
          <w:p w14:paraId="42CFE0B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0.046</w:t>
            </w:r>
          </w:p>
        </w:tc>
      </w:tr>
      <w:tr w:rsidR="0033739C" w:rsidRPr="00D97714" w14:paraId="57875586" w14:textId="77777777" w:rsidTr="000730DD">
        <w:trPr>
          <w:trHeight w:val="20"/>
        </w:trPr>
        <w:tc>
          <w:tcPr>
            <w:tcW w:w="2294" w:type="dxa"/>
            <w:tcBorders>
              <w:top w:val="nil"/>
              <w:left w:val="nil"/>
              <w:bottom w:val="nil"/>
              <w:right w:val="nil"/>
            </w:tcBorders>
            <w:shd w:val="clear" w:color="auto" w:fill="auto"/>
            <w:noWrap/>
            <w:hideMark/>
          </w:tcPr>
          <w:p w14:paraId="1B6BD5C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793" w:type="dxa"/>
            <w:tcBorders>
              <w:top w:val="nil"/>
              <w:left w:val="nil"/>
              <w:bottom w:val="nil"/>
              <w:right w:val="nil"/>
            </w:tcBorders>
            <w:shd w:val="clear" w:color="auto" w:fill="auto"/>
            <w:noWrap/>
            <w:vAlign w:val="bottom"/>
            <w:hideMark/>
          </w:tcPr>
          <w:p w14:paraId="12F5B72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(4.038***)</w:t>
            </w:r>
          </w:p>
        </w:tc>
        <w:tc>
          <w:tcPr>
            <w:tcW w:w="1794" w:type="dxa"/>
            <w:tcBorders>
              <w:top w:val="nil"/>
              <w:left w:val="nil"/>
              <w:bottom w:val="nil"/>
              <w:right w:val="nil"/>
            </w:tcBorders>
            <w:shd w:val="clear" w:color="auto" w:fill="auto"/>
            <w:noWrap/>
            <w:vAlign w:val="bottom"/>
            <w:hideMark/>
          </w:tcPr>
          <w:p w14:paraId="777FDD9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(3.167***)</w:t>
            </w:r>
          </w:p>
        </w:tc>
        <w:tc>
          <w:tcPr>
            <w:tcW w:w="1793" w:type="dxa"/>
            <w:tcBorders>
              <w:top w:val="nil"/>
              <w:left w:val="nil"/>
              <w:bottom w:val="nil"/>
              <w:right w:val="nil"/>
            </w:tcBorders>
            <w:shd w:val="clear" w:color="auto" w:fill="auto"/>
            <w:noWrap/>
            <w:vAlign w:val="bottom"/>
            <w:hideMark/>
          </w:tcPr>
          <w:p w14:paraId="7F64807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(3.441***)</w:t>
            </w:r>
          </w:p>
        </w:tc>
        <w:tc>
          <w:tcPr>
            <w:tcW w:w="1794" w:type="dxa"/>
            <w:tcBorders>
              <w:top w:val="nil"/>
              <w:left w:val="nil"/>
              <w:bottom w:val="nil"/>
              <w:right w:val="nil"/>
            </w:tcBorders>
            <w:shd w:val="clear" w:color="auto" w:fill="auto"/>
            <w:noWrap/>
            <w:vAlign w:val="bottom"/>
            <w:hideMark/>
          </w:tcPr>
          <w:p w14:paraId="4DA1E97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(3.271***)</w:t>
            </w:r>
          </w:p>
        </w:tc>
      </w:tr>
      <w:tr w:rsidR="0033739C" w:rsidRPr="00D97714" w14:paraId="5F6940EB" w14:textId="77777777" w:rsidTr="000730DD">
        <w:trPr>
          <w:trHeight w:val="20"/>
        </w:trPr>
        <w:tc>
          <w:tcPr>
            <w:tcW w:w="2294" w:type="dxa"/>
            <w:vMerge w:val="restart"/>
            <w:tcBorders>
              <w:top w:val="nil"/>
              <w:left w:val="nil"/>
              <w:right w:val="nil"/>
            </w:tcBorders>
            <w:shd w:val="clear" w:color="auto" w:fill="auto"/>
            <w:noWrap/>
            <w:hideMark/>
          </w:tcPr>
          <w:p w14:paraId="7DE8CBD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WIN</w:t>
            </w:r>
          </w:p>
        </w:tc>
        <w:tc>
          <w:tcPr>
            <w:tcW w:w="1793" w:type="dxa"/>
            <w:tcBorders>
              <w:top w:val="nil"/>
              <w:left w:val="nil"/>
              <w:bottom w:val="nil"/>
              <w:right w:val="nil"/>
            </w:tcBorders>
            <w:shd w:val="clear" w:color="auto" w:fill="auto"/>
            <w:noWrap/>
            <w:vAlign w:val="bottom"/>
            <w:hideMark/>
          </w:tcPr>
          <w:p w14:paraId="66E1195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0.010</w:t>
            </w:r>
          </w:p>
        </w:tc>
        <w:tc>
          <w:tcPr>
            <w:tcW w:w="1794" w:type="dxa"/>
            <w:tcBorders>
              <w:top w:val="nil"/>
              <w:left w:val="nil"/>
              <w:bottom w:val="nil"/>
              <w:right w:val="nil"/>
            </w:tcBorders>
            <w:shd w:val="clear" w:color="auto" w:fill="auto"/>
            <w:noWrap/>
            <w:vAlign w:val="bottom"/>
            <w:hideMark/>
          </w:tcPr>
          <w:p w14:paraId="649568B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0.010</w:t>
            </w:r>
          </w:p>
        </w:tc>
        <w:tc>
          <w:tcPr>
            <w:tcW w:w="1793" w:type="dxa"/>
            <w:tcBorders>
              <w:top w:val="nil"/>
              <w:left w:val="nil"/>
              <w:bottom w:val="nil"/>
              <w:right w:val="nil"/>
            </w:tcBorders>
            <w:shd w:val="clear" w:color="auto" w:fill="auto"/>
            <w:noWrap/>
            <w:vAlign w:val="bottom"/>
            <w:hideMark/>
          </w:tcPr>
          <w:p w14:paraId="52DFB72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0.001</w:t>
            </w:r>
          </w:p>
        </w:tc>
        <w:tc>
          <w:tcPr>
            <w:tcW w:w="1794" w:type="dxa"/>
            <w:tcBorders>
              <w:top w:val="nil"/>
              <w:left w:val="nil"/>
              <w:bottom w:val="nil"/>
              <w:right w:val="nil"/>
            </w:tcBorders>
            <w:shd w:val="clear" w:color="auto" w:fill="auto"/>
            <w:noWrap/>
            <w:vAlign w:val="bottom"/>
            <w:hideMark/>
          </w:tcPr>
          <w:p w14:paraId="6B816E1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0.003</w:t>
            </w:r>
          </w:p>
        </w:tc>
      </w:tr>
      <w:tr w:rsidR="0033739C" w:rsidRPr="00D97714" w14:paraId="11922C14" w14:textId="77777777" w:rsidTr="000730DD">
        <w:trPr>
          <w:trHeight w:val="20"/>
        </w:trPr>
        <w:tc>
          <w:tcPr>
            <w:tcW w:w="2294" w:type="dxa"/>
            <w:vMerge/>
            <w:tcBorders>
              <w:left w:val="nil"/>
              <w:bottom w:val="nil"/>
              <w:right w:val="nil"/>
            </w:tcBorders>
            <w:shd w:val="clear" w:color="auto" w:fill="auto"/>
            <w:noWrap/>
            <w:hideMark/>
          </w:tcPr>
          <w:p w14:paraId="63EC6C2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793" w:type="dxa"/>
            <w:tcBorders>
              <w:top w:val="nil"/>
              <w:left w:val="nil"/>
              <w:bottom w:val="nil"/>
              <w:right w:val="nil"/>
            </w:tcBorders>
            <w:shd w:val="clear" w:color="auto" w:fill="auto"/>
            <w:noWrap/>
            <w:vAlign w:val="bottom"/>
            <w:hideMark/>
          </w:tcPr>
          <w:p w14:paraId="7FFF27B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(0.555 )</w:t>
            </w:r>
          </w:p>
        </w:tc>
        <w:tc>
          <w:tcPr>
            <w:tcW w:w="1794" w:type="dxa"/>
            <w:tcBorders>
              <w:top w:val="nil"/>
              <w:left w:val="nil"/>
              <w:bottom w:val="nil"/>
              <w:right w:val="nil"/>
            </w:tcBorders>
            <w:shd w:val="clear" w:color="auto" w:fill="auto"/>
            <w:noWrap/>
            <w:vAlign w:val="bottom"/>
            <w:hideMark/>
          </w:tcPr>
          <w:p w14:paraId="7AA416E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(0.683 )</w:t>
            </w:r>
          </w:p>
        </w:tc>
        <w:tc>
          <w:tcPr>
            <w:tcW w:w="1793" w:type="dxa"/>
            <w:tcBorders>
              <w:top w:val="nil"/>
              <w:left w:val="nil"/>
              <w:bottom w:val="nil"/>
              <w:right w:val="nil"/>
            </w:tcBorders>
            <w:shd w:val="clear" w:color="auto" w:fill="auto"/>
            <w:noWrap/>
            <w:vAlign w:val="bottom"/>
            <w:hideMark/>
          </w:tcPr>
          <w:p w14:paraId="040FCAB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(0.035 )</w:t>
            </w:r>
          </w:p>
        </w:tc>
        <w:tc>
          <w:tcPr>
            <w:tcW w:w="1794" w:type="dxa"/>
            <w:tcBorders>
              <w:top w:val="nil"/>
              <w:left w:val="nil"/>
              <w:bottom w:val="nil"/>
              <w:right w:val="nil"/>
            </w:tcBorders>
            <w:shd w:val="clear" w:color="auto" w:fill="auto"/>
            <w:noWrap/>
            <w:vAlign w:val="bottom"/>
            <w:hideMark/>
          </w:tcPr>
          <w:p w14:paraId="6CE1129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(0.222 )</w:t>
            </w:r>
          </w:p>
        </w:tc>
      </w:tr>
      <w:tr w:rsidR="0033739C" w:rsidRPr="00D97714" w14:paraId="2C232A8F" w14:textId="77777777" w:rsidTr="000730DD">
        <w:trPr>
          <w:trHeight w:val="20"/>
        </w:trPr>
        <w:tc>
          <w:tcPr>
            <w:tcW w:w="2294" w:type="dxa"/>
            <w:vMerge w:val="restart"/>
            <w:tcBorders>
              <w:top w:val="nil"/>
              <w:left w:val="nil"/>
              <w:right w:val="nil"/>
            </w:tcBorders>
            <w:shd w:val="clear" w:color="auto" w:fill="auto"/>
            <w:noWrap/>
            <w:hideMark/>
          </w:tcPr>
          <w:p w14:paraId="2FB1C83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CHANGE</w:t>
            </w:r>
          </w:p>
        </w:tc>
        <w:tc>
          <w:tcPr>
            <w:tcW w:w="1793" w:type="dxa"/>
            <w:tcBorders>
              <w:top w:val="nil"/>
              <w:left w:val="nil"/>
              <w:bottom w:val="nil"/>
              <w:right w:val="nil"/>
            </w:tcBorders>
            <w:shd w:val="clear" w:color="auto" w:fill="auto"/>
            <w:noWrap/>
            <w:vAlign w:val="bottom"/>
            <w:hideMark/>
          </w:tcPr>
          <w:p w14:paraId="525AD4B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-0.016</w:t>
            </w:r>
          </w:p>
        </w:tc>
        <w:tc>
          <w:tcPr>
            <w:tcW w:w="1794" w:type="dxa"/>
            <w:tcBorders>
              <w:top w:val="nil"/>
              <w:left w:val="nil"/>
              <w:bottom w:val="nil"/>
              <w:right w:val="nil"/>
            </w:tcBorders>
            <w:shd w:val="clear" w:color="auto" w:fill="auto"/>
            <w:noWrap/>
            <w:vAlign w:val="bottom"/>
            <w:hideMark/>
          </w:tcPr>
          <w:p w14:paraId="019FA8E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-0.025</w:t>
            </w:r>
          </w:p>
        </w:tc>
        <w:tc>
          <w:tcPr>
            <w:tcW w:w="1793" w:type="dxa"/>
            <w:tcBorders>
              <w:top w:val="nil"/>
              <w:left w:val="nil"/>
              <w:bottom w:val="nil"/>
              <w:right w:val="nil"/>
            </w:tcBorders>
            <w:shd w:val="clear" w:color="auto" w:fill="auto"/>
            <w:noWrap/>
            <w:vAlign w:val="bottom"/>
            <w:hideMark/>
          </w:tcPr>
          <w:p w14:paraId="651E9A4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-0.024</w:t>
            </w:r>
          </w:p>
        </w:tc>
        <w:tc>
          <w:tcPr>
            <w:tcW w:w="1794" w:type="dxa"/>
            <w:tcBorders>
              <w:top w:val="nil"/>
              <w:left w:val="nil"/>
              <w:bottom w:val="nil"/>
              <w:right w:val="nil"/>
            </w:tcBorders>
            <w:shd w:val="clear" w:color="auto" w:fill="auto"/>
            <w:noWrap/>
            <w:vAlign w:val="bottom"/>
            <w:hideMark/>
          </w:tcPr>
          <w:p w14:paraId="6210734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-0.030</w:t>
            </w:r>
          </w:p>
        </w:tc>
      </w:tr>
      <w:tr w:rsidR="0033739C" w:rsidRPr="00D97714" w14:paraId="13000643" w14:textId="77777777" w:rsidTr="000730DD">
        <w:trPr>
          <w:trHeight w:val="20"/>
        </w:trPr>
        <w:tc>
          <w:tcPr>
            <w:tcW w:w="2294" w:type="dxa"/>
            <w:vMerge/>
            <w:tcBorders>
              <w:left w:val="nil"/>
              <w:bottom w:val="nil"/>
              <w:right w:val="nil"/>
            </w:tcBorders>
            <w:shd w:val="clear" w:color="auto" w:fill="auto"/>
            <w:noWrap/>
            <w:hideMark/>
          </w:tcPr>
          <w:p w14:paraId="5C24798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793" w:type="dxa"/>
            <w:tcBorders>
              <w:top w:val="nil"/>
              <w:left w:val="nil"/>
              <w:bottom w:val="nil"/>
              <w:right w:val="nil"/>
            </w:tcBorders>
            <w:shd w:val="clear" w:color="auto" w:fill="auto"/>
            <w:noWrap/>
            <w:vAlign w:val="bottom"/>
            <w:hideMark/>
          </w:tcPr>
          <w:p w14:paraId="7E57181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(-0.952 )</w:t>
            </w:r>
          </w:p>
        </w:tc>
        <w:tc>
          <w:tcPr>
            <w:tcW w:w="1794" w:type="dxa"/>
            <w:tcBorders>
              <w:top w:val="nil"/>
              <w:left w:val="nil"/>
              <w:bottom w:val="nil"/>
              <w:right w:val="nil"/>
            </w:tcBorders>
            <w:shd w:val="clear" w:color="auto" w:fill="auto"/>
            <w:noWrap/>
            <w:vAlign w:val="bottom"/>
            <w:hideMark/>
          </w:tcPr>
          <w:p w14:paraId="6E451C3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(-1.716*)</w:t>
            </w:r>
          </w:p>
        </w:tc>
        <w:tc>
          <w:tcPr>
            <w:tcW w:w="1793" w:type="dxa"/>
            <w:tcBorders>
              <w:top w:val="nil"/>
              <w:left w:val="nil"/>
              <w:bottom w:val="nil"/>
              <w:right w:val="nil"/>
            </w:tcBorders>
            <w:shd w:val="clear" w:color="auto" w:fill="auto"/>
            <w:noWrap/>
            <w:vAlign w:val="bottom"/>
            <w:hideMark/>
          </w:tcPr>
          <w:p w14:paraId="6C57C08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(-1.325 )</w:t>
            </w:r>
          </w:p>
        </w:tc>
        <w:tc>
          <w:tcPr>
            <w:tcW w:w="1794" w:type="dxa"/>
            <w:tcBorders>
              <w:top w:val="nil"/>
              <w:left w:val="nil"/>
              <w:bottom w:val="nil"/>
              <w:right w:val="nil"/>
            </w:tcBorders>
            <w:shd w:val="clear" w:color="auto" w:fill="auto"/>
            <w:noWrap/>
            <w:vAlign w:val="bottom"/>
            <w:hideMark/>
          </w:tcPr>
          <w:p w14:paraId="7D82839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(-2.077**)</w:t>
            </w:r>
          </w:p>
        </w:tc>
      </w:tr>
      <w:tr w:rsidR="0033739C" w:rsidRPr="00D97714" w14:paraId="1DFF9A1E" w14:textId="77777777" w:rsidTr="000730DD">
        <w:trPr>
          <w:trHeight w:val="20"/>
        </w:trPr>
        <w:tc>
          <w:tcPr>
            <w:tcW w:w="2294" w:type="dxa"/>
            <w:vMerge w:val="restart"/>
            <w:tcBorders>
              <w:top w:val="nil"/>
              <w:left w:val="nil"/>
              <w:right w:val="nil"/>
            </w:tcBorders>
            <w:shd w:val="clear" w:color="auto" w:fill="auto"/>
            <w:noWrap/>
            <w:hideMark/>
          </w:tcPr>
          <w:p w14:paraId="02FD054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LN(MKCAP)</w:t>
            </w:r>
          </w:p>
        </w:tc>
        <w:tc>
          <w:tcPr>
            <w:tcW w:w="1793" w:type="dxa"/>
            <w:tcBorders>
              <w:top w:val="nil"/>
              <w:left w:val="nil"/>
              <w:bottom w:val="nil"/>
              <w:right w:val="nil"/>
            </w:tcBorders>
            <w:shd w:val="clear" w:color="auto" w:fill="auto"/>
            <w:noWrap/>
            <w:vAlign w:val="bottom"/>
            <w:hideMark/>
          </w:tcPr>
          <w:p w14:paraId="3FC0D6A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0.210</w:t>
            </w:r>
          </w:p>
        </w:tc>
        <w:tc>
          <w:tcPr>
            <w:tcW w:w="1794" w:type="dxa"/>
            <w:tcBorders>
              <w:top w:val="nil"/>
              <w:left w:val="nil"/>
              <w:bottom w:val="nil"/>
              <w:right w:val="nil"/>
            </w:tcBorders>
            <w:shd w:val="clear" w:color="auto" w:fill="auto"/>
            <w:noWrap/>
            <w:vAlign w:val="bottom"/>
            <w:hideMark/>
          </w:tcPr>
          <w:p w14:paraId="63F6A3C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0.207</w:t>
            </w:r>
          </w:p>
        </w:tc>
        <w:tc>
          <w:tcPr>
            <w:tcW w:w="1793" w:type="dxa"/>
            <w:tcBorders>
              <w:top w:val="nil"/>
              <w:left w:val="nil"/>
              <w:bottom w:val="nil"/>
              <w:right w:val="nil"/>
            </w:tcBorders>
            <w:shd w:val="clear" w:color="auto" w:fill="auto"/>
            <w:noWrap/>
            <w:vAlign w:val="bottom"/>
            <w:hideMark/>
          </w:tcPr>
          <w:p w14:paraId="07F6BAA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0.524</w:t>
            </w:r>
          </w:p>
        </w:tc>
        <w:tc>
          <w:tcPr>
            <w:tcW w:w="1794" w:type="dxa"/>
            <w:tcBorders>
              <w:top w:val="nil"/>
              <w:left w:val="nil"/>
              <w:bottom w:val="nil"/>
              <w:right w:val="nil"/>
            </w:tcBorders>
            <w:shd w:val="clear" w:color="auto" w:fill="auto"/>
            <w:noWrap/>
            <w:vAlign w:val="bottom"/>
            <w:hideMark/>
          </w:tcPr>
          <w:p w14:paraId="1F626D1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0.503</w:t>
            </w:r>
          </w:p>
        </w:tc>
      </w:tr>
      <w:tr w:rsidR="0033739C" w:rsidRPr="00D97714" w14:paraId="33173F91" w14:textId="77777777" w:rsidTr="000730DD">
        <w:trPr>
          <w:trHeight w:val="20"/>
        </w:trPr>
        <w:tc>
          <w:tcPr>
            <w:tcW w:w="2294" w:type="dxa"/>
            <w:vMerge/>
            <w:tcBorders>
              <w:left w:val="nil"/>
              <w:bottom w:val="nil"/>
              <w:right w:val="nil"/>
            </w:tcBorders>
            <w:shd w:val="clear" w:color="auto" w:fill="auto"/>
            <w:noWrap/>
            <w:hideMark/>
          </w:tcPr>
          <w:p w14:paraId="71C8426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793" w:type="dxa"/>
            <w:tcBorders>
              <w:top w:val="nil"/>
              <w:left w:val="nil"/>
              <w:bottom w:val="nil"/>
              <w:right w:val="nil"/>
            </w:tcBorders>
            <w:shd w:val="clear" w:color="auto" w:fill="auto"/>
            <w:noWrap/>
            <w:vAlign w:val="bottom"/>
            <w:hideMark/>
          </w:tcPr>
          <w:p w14:paraId="2AA8F4B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(7.428***)</w:t>
            </w:r>
          </w:p>
        </w:tc>
        <w:tc>
          <w:tcPr>
            <w:tcW w:w="1794" w:type="dxa"/>
            <w:tcBorders>
              <w:top w:val="nil"/>
              <w:left w:val="nil"/>
              <w:bottom w:val="nil"/>
              <w:right w:val="nil"/>
            </w:tcBorders>
            <w:shd w:val="clear" w:color="auto" w:fill="auto"/>
            <w:noWrap/>
            <w:vAlign w:val="bottom"/>
            <w:hideMark/>
          </w:tcPr>
          <w:p w14:paraId="2EBFDA7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(8.559***)</w:t>
            </w:r>
          </w:p>
        </w:tc>
        <w:tc>
          <w:tcPr>
            <w:tcW w:w="1793" w:type="dxa"/>
            <w:tcBorders>
              <w:top w:val="nil"/>
              <w:left w:val="nil"/>
              <w:bottom w:val="nil"/>
              <w:right w:val="nil"/>
            </w:tcBorders>
            <w:shd w:val="clear" w:color="auto" w:fill="auto"/>
            <w:noWrap/>
            <w:vAlign w:val="bottom"/>
            <w:hideMark/>
          </w:tcPr>
          <w:p w14:paraId="112D72A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(17.463***)</w:t>
            </w:r>
          </w:p>
        </w:tc>
        <w:tc>
          <w:tcPr>
            <w:tcW w:w="1794" w:type="dxa"/>
            <w:tcBorders>
              <w:top w:val="nil"/>
              <w:left w:val="nil"/>
              <w:bottom w:val="nil"/>
              <w:right w:val="nil"/>
            </w:tcBorders>
            <w:shd w:val="clear" w:color="auto" w:fill="auto"/>
            <w:noWrap/>
            <w:vAlign w:val="bottom"/>
            <w:hideMark/>
          </w:tcPr>
          <w:p w14:paraId="179465E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(21.370***)</w:t>
            </w:r>
          </w:p>
        </w:tc>
      </w:tr>
      <w:tr w:rsidR="0033739C" w:rsidRPr="00D97714" w14:paraId="6F81A1EC" w14:textId="77777777" w:rsidTr="000730DD">
        <w:trPr>
          <w:trHeight w:val="20"/>
        </w:trPr>
        <w:tc>
          <w:tcPr>
            <w:tcW w:w="2294" w:type="dxa"/>
            <w:vMerge w:val="restart"/>
            <w:tcBorders>
              <w:top w:val="nil"/>
              <w:left w:val="nil"/>
              <w:right w:val="nil"/>
            </w:tcBorders>
            <w:shd w:val="clear" w:color="auto" w:fill="auto"/>
            <w:noWrap/>
            <w:hideMark/>
          </w:tcPr>
          <w:p w14:paraId="1DEE6AE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IOPr</w:t>
            </w:r>
          </w:p>
        </w:tc>
        <w:tc>
          <w:tcPr>
            <w:tcW w:w="1793" w:type="dxa"/>
            <w:tcBorders>
              <w:top w:val="nil"/>
              <w:left w:val="nil"/>
              <w:bottom w:val="nil"/>
              <w:right w:val="nil"/>
            </w:tcBorders>
            <w:shd w:val="clear" w:color="auto" w:fill="auto"/>
            <w:noWrap/>
            <w:vAlign w:val="bottom"/>
            <w:hideMark/>
          </w:tcPr>
          <w:p w14:paraId="5E88EA5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0.147</w:t>
            </w:r>
          </w:p>
        </w:tc>
        <w:tc>
          <w:tcPr>
            <w:tcW w:w="1794" w:type="dxa"/>
            <w:tcBorders>
              <w:top w:val="nil"/>
              <w:left w:val="nil"/>
              <w:bottom w:val="nil"/>
              <w:right w:val="nil"/>
            </w:tcBorders>
            <w:shd w:val="clear" w:color="auto" w:fill="auto"/>
            <w:noWrap/>
            <w:vAlign w:val="bottom"/>
            <w:hideMark/>
          </w:tcPr>
          <w:p w14:paraId="459359E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0.254</w:t>
            </w:r>
          </w:p>
        </w:tc>
        <w:tc>
          <w:tcPr>
            <w:tcW w:w="1793" w:type="dxa"/>
            <w:tcBorders>
              <w:top w:val="nil"/>
              <w:left w:val="nil"/>
              <w:bottom w:val="nil"/>
              <w:right w:val="nil"/>
            </w:tcBorders>
            <w:shd w:val="clear" w:color="auto" w:fill="auto"/>
            <w:noWrap/>
            <w:vAlign w:val="bottom"/>
            <w:hideMark/>
          </w:tcPr>
          <w:p w14:paraId="40EC0F1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0.119</w:t>
            </w:r>
          </w:p>
        </w:tc>
        <w:tc>
          <w:tcPr>
            <w:tcW w:w="1794" w:type="dxa"/>
            <w:tcBorders>
              <w:top w:val="nil"/>
              <w:left w:val="nil"/>
              <w:bottom w:val="nil"/>
              <w:right w:val="nil"/>
            </w:tcBorders>
            <w:shd w:val="clear" w:color="auto" w:fill="auto"/>
            <w:noWrap/>
            <w:vAlign w:val="bottom"/>
            <w:hideMark/>
          </w:tcPr>
          <w:p w14:paraId="3B0CA77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0.353</w:t>
            </w:r>
          </w:p>
        </w:tc>
      </w:tr>
      <w:tr w:rsidR="0033739C" w:rsidRPr="00D97714" w14:paraId="655A3693" w14:textId="77777777" w:rsidTr="000730DD">
        <w:trPr>
          <w:trHeight w:val="20"/>
        </w:trPr>
        <w:tc>
          <w:tcPr>
            <w:tcW w:w="2294" w:type="dxa"/>
            <w:vMerge/>
            <w:tcBorders>
              <w:left w:val="nil"/>
              <w:bottom w:val="nil"/>
              <w:right w:val="nil"/>
            </w:tcBorders>
            <w:shd w:val="clear" w:color="auto" w:fill="auto"/>
            <w:noWrap/>
            <w:hideMark/>
          </w:tcPr>
          <w:p w14:paraId="5B2DDA3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793" w:type="dxa"/>
            <w:tcBorders>
              <w:top w:val="nil"/>
              <w:left w:val="nil"/>
              <w:bottom w:val="nil"/>
              <w:right w:val="nil"/>
            </w:tcBorders>
            <w:shd w:val="clear" w:color="auto" w:fill="auto"/>
            <w:noWrap/>
            <w:vAlign w:val="bottom"/>
            <w:hideMark/>
          </w:tcPr>
          <w:p w14:paraId="09183C3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(4.398***)</w:t>
            </w:r>
          </w:p>
        </w:tc>
        <w:tc>
          <w:tcPr>
            <w:tcW w:w="1794" w:type="dxa"/>
            <w:tcBorders>
              <w:top w:val="nil"/>
              <w:left w:val="nil"/>
              <w:bottom w:val="nil"/>
              <w:right w:val="nil"/>
            </w:tcBorders>
            <w:shd w:val="clear" w:color="auto" w:fill="auto"/>
            <w:noWrap/>
            <w:vAlign w:val="bottom"/>
            <w:hideMark/>
          </w:tcPr>
          <w:p w14:paraId="01CB604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(8.860***)</w:t>
            </w:r>
          </w:p>
        </w:tc>
        <w:tc>
          <w:tcPr>
            <w:tcW w:w="1793" w:type="dxa"/>
            <w:tcBorders>
              <w:top w:val="nil"/>
              <w:left w:val="nil"/>
              <w:bottom w:val="nil"/>
              <w:right w:val="nil"/>
            </w:tcBorders>
            <w:shd w:val="clear" w:color="auto" w:fill="auto"/>
            <w:noWrap/>
            <w:vAlign w:val="bottom"/>
            <w:hideMark/>
          </w:tcPr>
          <w:p w14:paraId="72394A2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(3.353***)</w:t>
            </w:r>
          </w:p>
        </w:tc>
        <w:tc>
          <w:tcPr>
            <w:tcW w:w="1794" w:type="dxa"/>
            <w:tcBorders>
              <w:top w:val="nil"/>
              <w:left w:val="nil"/>
              <w:bottom w:val="nil"/>
              <w:right w:val="nil"/>
            </w:tcBorders>
            <w:shd w:val="clear" w:color="auto" w:fill="auto"/>
            <w:noWrap/>
            <w:vAlign w:val="bottom"/>
            <w:hideMark/>
          </w:tcPr>
          <w:p w14:paraId="1ADE832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(12.668***)</w:t>
            </w:r>
          </w:p>
        </w:tc>
      </w:tr>
      <w:tr w:rsidR="0033739C" w:rsidRPr="00D97714" w14:paraId="2D120351" w14:textId="77777777" w:rsidTr="000730DD">
        <w:trPr>
          <w:trHeight w:val="432"/>
        </w:trPr>
        <w:tc>
          <w:tcPr>
            <w:tcW w:w="2294" w:type="dxa"/>
            <w:vMerge w:val="restart"/>
            <w:tcBorders>
              <w:top w:val="nil"/>
              <w:left w:val="nil"/>
              <w:right w:val="nil"/>
            </w:tcBorders>
            <w:shd w:val="clear" w:color="auto" w:fill="auto"/>
            <w:noWrap/>
            <w:hideMark/>
          </w:tcPr>
          <w:p w14:paraId="50EC833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IOV</w:t>
            </w:r>
          </w:p>
        </w:tc>
        <w:tc>
          <w:tcPr>
            <w:tcW w:w="1793" w:type="dxa"/>
            <w:tcBorders>
              <w:top w:val="nil"/>
              <w:left w:val="nil"/>
              <w:bottom w:val="nil"/>
              <w:right w:val="nil"/>
            </w:tcBorders>
            <w:shd w:val="clear" w:color="auto" w:fill="auto"/>
            <w:noWrap/>
            <w:vAlign w:val="bottom"/>
            <w:hideMark/>
          </w:tcPr>
          <w:p w14:paraId="1C72985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-0.131</w:t>
            </w:r>
          </w:p>
        </w:tc>
        <w:tc>
          <w:tcPr>
            <w:tcW w:w="1794" w:type="dxa"/>
            <w:tcBorders>
              <w:top w:val="nil"/>
              <w:left w:val="nil"/>
              <w:bottom w:val="nil"/>
              <w:right w:val="nil"/>
            </w:tcBorders>
            <w:shd w:val="clear" w:color="auto" w:fill="auto"/>
            <w:noWrap/>
            <w:vAlign w:val="bottom"/>
            <w:hideMark/>
          </w:tcPr>
          <w:p w14:paraId="734B26C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-0.180</w:t>
            </w:r>
          </w:p>
        </w:tc>
        <w:tc>
          <w:tcPr>
            <w:tcW w:w="1793" w:type="dxa"/>
            <w:tcBorders>
              <w:top w:val="nil"/>
              <w:left w:val="nil"/>
              <w:bottom w:val="nil"/>
              <w:right w:val="nil"/>
            </w:tcBorders>
            <w:shd w:val="clear" w:color="auto" w:fill="auto"/>
            <w:noWrap/>
            <w:vAlign w:val="bottom"/>
            <w:hideMark/>
          </w:tcPr>
          <w:p w14:paraId="251AC28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-0.025</w:t>
            </w:r>
          </w:p>
        </w:tc>
        <w:tc>
          <w:tcPr>
            <w:tcW w:w="1794" w:type="dxa"/>
            <w:tcBorders>
              <w:top w:val="nil"/>
              <w:left w:val="nil"/>
              <w:bottom w:val="nil"/>
              <w:right w:val="nil"/>
            </w:tcBorders>
            <w:shd w:val="clear" w:color="auto" w:fill="auto"/>
            <w:noWrap/>
            <w:vAlign w:val="bottom"/>
            <w:hideMark/>
          </w:tcPr>
          <w:p w14:paraId="0EA6B8F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-0.133</w:t>
            </w:r>
          </w:p>
        </w:tc>
      </w:tr>
      <w:tr w:rsidR="0033739C" w:rsidRPr="00D97714" w14:paraId="2931B40D" w14:textId="77777777" w:rsidTr="000730DD">
        <w:trPr>
          <w:trHeight w:val="20"/>
        </w:trPr>
        <w:tc>
          <w:tcPr>
            <w:tcW w:w="2294" w:type="dxa"/>
            <w:vMerge/>
            <w:tcBorders>
              <w:left w:val="nil"/>
              <w:bottom w:val="nil"/>
              <w:right w:val="nil"/>
            </w:tcBorders>
            <w:shd w:val="clear" w:color="auto" w:fill="auto"/>
            <w:noWrap/>
            <w:hideMark/>
          </w:tcPr>
          <w:p w14:paraId="2716076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793" w:type="dxa"/>
            <w:tcBorders>
              <w:top w:val="nil"/>
              <w:left w:val="nil"/>
              <w:bottom w:val="nil"/>
              <w:right w:val="nil"/>
            </w:tcBorders>
            <w:shd w:val="clear" w:color="auto" w:fill="auto"/>
            <w:noWrap/>
            <w:vAlign w:val="bottom"/>
            <w:hideMark/>
          </w:tcPr>
          <w:p w14:paraId="1325DC9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(-3.842***)</w:t>
            </w:r>
          </w:p>
        </w:tc>
        <w:tc>
          <w:tcPr>
            <w:tcW w:w="1794" w:type="dxa"/>
            <w:tcBorders>
              <w:top w:val="nil"/>
              <w:left w:val="nil"/>
              <w:bottom w:val="nil"/>
              <w:right w:val="nil"/>
            </w:tcBorders>
            <w:shd w:val="clear" w:color="auto" w:fill="auto"/>
            <w:noWrap/>
            <w:vAlign w:val="bottom"/>
            <w:hideMark/>
          </w:tcPr>
          <w:p w14:paraId="2E8D851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(-6.155***)</w:t>
            </w:r>
          </w:p>
        </w:tc>
        <w:tc>
          <w:tcPr>
            <w:tcW w:w="1793" w:type="dxa"/>
            <w:tcBorders>
              <w:top w:val="nil"/>
              <w:left w:val="nil"/>
              <w:bottom w:val="nil"/>
              <w:right w:val="nil"/>
            </w:tcBorders>
            <w:shd w:val="clear" w:color="auto" w:fill="auto"/>
            <w:noWrap/>
            <w:vAlign w:val="bottom"/>
            <w:hideMark/>
          </w:tcPr>
          <w:p w14:paraId="0636DE0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(-0.697 )</w:t>
            </w:r>
          </w:p>
        </w:tc>
        <w:tc>
          <w:tcPr>
            <w:tcW w:w="1794" w:type="dxa"/>
            <w:tcBorders>
              <w:top w:val="nil"/>
              <w:left w:val="nil"/>
              <w:bottom w:val="nil"/>
              <w:right w:val="nil"/>
            </w:tcBorders>
            <w:shd w:val="clear" w:color="auto" w:fill="auto"/>
            <w:noWrap/>
            <w:vAlign w:val="bottom"/>
            <w:hideMark/>
          </w:tcPr>
          <w:p w14:paraId="01F182C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(-4.662***)</w:t>
            </w:r>
          </w:p>
        </w:tc>
      </w:tr>
      <w:tr w:rsidR="0033739C" w:rsidRPr="00D97714" w14:paraId="16C7EAFD" w14:textId="77777777" w:rsidTr="000730DD">
        <w:trPr>
          <w:trHeight w:val="20"/>
        </w:trPr>
        <w:tc>
          <w:tcPr>
            <w:tcW w:w="2294" w:type="dxa"/>
            <w:vMerge w:val="restart"/>
            <w:tcBorders>
              <w:top w:val="nil"/>
              <w:left w:val="nil"/>
              <w:right w:val="nil"/>
            </w:tcBorders>
            <w:shd w:val="clear" w:color="auto" w:fill="auto"/>
            <w:noWrap/>
            <w:hideMark/>
          </w:tcPr>
          <w:p w14:paraId="72D5285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OPEX</w:t>
            </w:r>
          </w:p>
        </w:tc>
        <w:tc>
          <w:tcPr>
            <w:tcW w:w="1793" w:type="dxa"/>
            <w:tcBorders>
              <w:top w:val="nil"/>
              <w:left w:val="nil"/>
              <w:bottom w:val="nil"/>
              <w:right w:val="nil"/>
            </w:tcBorders>
            <w:shd w:val="clear" w:color="auto" w:fill="auto"/>
            <w:noWrap/>
            <w:vAlign w:val="bottom"/>
            <w:hideMark/>
          </w:tcPr>
          <w:p w14:paraId="7678BB3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-0.507</w:t>
            </w:r>
          </w:p>
        </w:tc>
        <w:tc>
          <w:tcPr>
            <w:tcW w:w="1794" w:type="dxa"/>
            <w:tcBorders>
              <w:top w:val="nil"/>
              <w:left w:val="nil"/>
              <w:bottom w:val="nil"/>
              <w:right w:val="nil"/>
            </w:tcBorders>
            <w:shd w:val="clear" w:color="auto" w:fill="auto"/>
            <w:noWrap/>
            <w:vAlign w:val="bottom"/>
            <w:hideMark/>
          </w:tcPr>
          <w:p w14:paraId="10B2F65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-0.574</w:t>
            </w:r>
          </w:p>
        </w:tc>
        <w:tc>
          <w:tcPr>
            <w:tcW w:w="1793" w:type="dxa"/>
            <w:tcBorders>
              <w:top w:val="nil"/>
              <w:left w:val="nil"/>
              <w:bottom w:val="nil"/>
              <w:right w:val="nil"/>
            </w:tcBorders>
            <w:shd w:val="clear" w:color="auto" w:fill="auto"/>
            <w:noWrap/>
            <w:vAlign w:val="bottom"/>
            <w:hideMark/>
          </w:tcPr>
          <w:p w14:paraId="3CA1147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-0.354</w:t>
            </w:r>
          </w:p>
        </w:tc>
        <w:tc>
          <w:tcPr>
            <w:tcW w:w="1794" w:type="dxa"/>
            <w:tcBorders>
              <w:top w:val="nil"/>
              <w:left w:val="nil"/>
              <w:bottom w:val="nil"/>
              <w:right w:val="nil"/>
            </w:tcBorders>
            <w:shd w:val="clear" w:color="auto" w:fill="auto"/>
            <w:noWrap/>
            <w:vAlign w:val="bottom"/>
            <w:hideMark/>
          </w:tcPr>
          <w:p w14:paraId="0A9BD1A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-0.317</w:t>
            </w:r>
          </w:p>
        </w:tc>
      </w:tr>
      <w:tr w:rsidR="0033739C" w:rsidRPr="00D97714" w14:paraId="1394866D" w14:textId="77777777" w:rsidTr="000730DD">
        <w:trPr>
          <w:trHeight w:val="20"/>
        </w:trPr>
        <w:tc>
          <w:tcPr>
            <w:tcW w:w="2294" w:type="dxa"/>
            <w:vMerge/>
            <w:tcBorders>
              <w:left w:val="nil"/>
              <w:bottom w:val="nil"/>
              <w:right w:val="nil"/>
            </w:tcBorders>
            <w:shd w:val="clear" w:color="auto" w:fill="auto"/>
            <w:noWrap/>
            <w:hideMark/>
          </w:tcPr>
          <w:p w14:paraId="0E8E992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793" w:type="dxa"/>
            <w:tcBorders>
              <w:top w:val="nil"/>
              <w:left w:val="nil"/>
              <w:bottom w:val="nil"/>
              <w:right w:val="nil"/>
            </w:tcBorders>
            <w:shd w:val="clear" w:color="auto" w:fill="auto"/>
            <w:noWrap/>
            <w:vAlign w:val="bottom"/>
            <w:hideMark/>
          </w:tcPr>
          <w:p w14:paraId="0F96D56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(-15.344***)</w:t>
            </w:r>
          </w:p>
        </w:tc>
        <w:tc>
          <w:tcPr>
            <w:tcW w:w="1794" w:type="dxa"/>
            <w:tcBorders>
              <w:top w:val="nil"/>
              <w:left w:val="nil"/>
              <w:bottom w:val="nil"/>
              <w:right w:val="nil"/>
            </w:tcBorders>
            <w:shd w:val="clear" w:color="auto" w:fill="auto"/>
            <w:noWrap/>
            <w:vAlign w:val="bottom"/>
            <w:hideMark/>
          </w:tcPr>
          <w:p w14:paraId="288473A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(-20.236***)</w:t>
            </w:r>
          </w:p>
        </w:tc>
        <w:tc>
          <w:tcPr>
            <w:tcW w:w="1793" w:type="dxa"/>
            <w:tcBorders>
              <w:top w:val="nil"/>
              <w:left w:val="nil"/>
              <w:bottom w:val="nil"/>
              <w:right w:val="nil"/>
            </w:tcBorders>
            <w:shd w:val="clear" w:color="auto" w:fill="auto"/>
            <w:noWrap/>
            <w:vAlign w:val="bottom"/>
            <w:hideMark/>
          </w:tcPr>
          <w:p w14:paraId="7C56AFB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(-10.064***)</w:t>
            </w:r>
          </w:p>
        </w:tc>
        <w:tc>
          <w:tcPr>
            <w:tcW w:w="1794" w:type="dxa"/>
            <w:tcBorders>
              <w:top w:val="nil"/>
              <w:left w:val="nil"/>
              <w:bottom w:val="nil"/>
              <w:right w:val="nil"/>
            </w:tcBorders>
            <w:shd w:val="clear" w:color="auto" w:fill="auto"/>
            <w:noWrap/>
            <w:vAlign w:val="bottom"/>
            <w:hideMark/>
          </w:tcPr>
          <w:p w14:paraId="249F6FE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(-11.525***)</w:t>
            </w:r>
          </w:p>
        </w:tc>
      </w:tr>
      <w:tr w:rsidR="0033739C" w:rsidRPr="00D97714" w14:paraId="6EF8C832" w14:textId="77777777" w:rsidTr="000730DD">
        <w:trPr>
          <w:trHeight w:val="20"/>
        </w:trPr>
        <w:tc>
          <w:tcPr>
            <w:tcW w:w="2294" w:type="dxa"/>
            <w:vMerge w:val="restart"/>
            <w:tcBorders>
              <w:top w:val="nil"/>
              <w:left w:val="nil"/>
              <w:right w:val="nil"/>
            </w:tcBorders>
            <w:shd w:val="clear" w:color="auto" w:fill="auto"/>
            <w:noWrap/>
            <w:hideMark/>
          </w:tcPr>
          <w:p w14:paraId="43F5BC1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CAPX</w:t>
            </w:r>
          </w:p>
        </w:tc>
        <w:tc>
          <w:tcPr>
            <w:tcW w:w="1793" w:type="dxa"/>
            <w:tcBorders>
              <w:top w:val="nil"/>
              <w:left w:val="nil"/>
              <w:bottom w:val="nil"/>
              <w:right w:val="nil"/>
            </w:tcBorders>
            <w:shd w:val="clear" w:color="auto" w:fill="auto"/>
            <w:noWrap/>
            <w:vAlign w:val="bottom"/>
            <w:hideMark/>
          </w:tcPr>
          <w:p w14:paraId="453DBCE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0.006</w:t>
            </w:r>
          </w:p>
        </w:tc>
        <w:tc>
          <w:tcPr>
            <w:tcW w:w="1794" w:type="dxa"/>
            <w:tcBorders>
              <w:top w:val="nil"/>
              <w:left w:val="nil"/>
              <w:bottom w:val="nil"/>
              <w:right w:val="nil"/>
            </w:tcBorders>
            <w:shd w:val="clear" w:color="auto" w:fill="auto"/>
            <w:noWrap/>
            <w:vAlign w:val="bottom"/>
            <w:hideMark/>
          </w:tcPr>
          <w:p w14:paraId="6C85087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0.058</w:t>
            </w:r>
          </w:p>
        </w:tc>
        <w:tc>
          <w:tcPr>
            <w:tcW w:w="1793" w:type="dxa"/>
            <w:tcBorders>
              <w:top w:val="nil"/>
              <w:left w:val="nil"/>
              <w:bottom w:val="nil"/>
              <w:right w:val="nil"/>
            </w:tcBorders>
            <w:shd w:val="clear" w:color="auto" w:fill="auto"/>
            <w:noWrap/>
            <w:vAlign w:val="bottom"/>
            <w:hideMark/>
          </w:tcPr>
          <w:p w14:paraId="46A2A48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0.089</w:t>
            </w:r>
          </w:p>
        </w:tc>
        <w:tc>
          <w:tcPr>
            <w:tcW w:w="1794" w:type="dxa"/>
            <w:tcBorders>
              <w:top w:val="nil"/>
              <w:left w:val="nil"/>
              <w:bottom w:val="nil"/>
              <w:right w:val="nil"/>
            </w:tcBorders>
            <w:shd w:val="clear" w:color="auto" w:fill="auto"/>
            <w:noWrap/>
            <w:vAlign w:val="bottom"/>
            <w:hideMark/>
          </w:tcPr>
          <w:p w14:paraId="688FC80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0.120</w:t>
            </w:r>
          </w:p>
        </w:tc>
      </w:tr>
      <w:tr w:rsidR="0033739C" w:rsidRPr="00D97714" w14:paraId="30070EA6" w14:textId="77777777" w:rsidTr="000730DD">
        <w:trPr>
          <w:trHeight w:val="20"/>
        </w:trPr>
        <w:tc>
          <w:tcPr>
            <w:tcW w:w="2294" w:type="dxa"/>
            <w:vMerge/>
            <w:tcBorders>
              <w:left w:val="nil"/>
              <w:bottom w:val="nil"/>
              <w:right w:val="nil"/>
            </w:tcBorders>
            <w:shd w:val="clear" w:color="auto" w:fill="auto"/>
            <w:noWrap/>
            <w:hideMark/>
          </w:tcPr>
          <w:p w14:paraId="59250D5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793" w:type="dxa"/>
            <w:tcBorders>
              <w:top w:val="nil"/>
              <w:left w:val="nil"/>
              <w:bottom w:val="nil"/>
              <w:right w:val="nil"/>
            </w:tcBorders>
            <w:shd w:val="clear" w:color="auto" w:fill="auto"/>
            <w:noWrap/>
            <w:vAlign w:val="bottom"/>
            <w:hideMark/>
          </w:tcPr>
          <w:p w14:paraId="7D7DA11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(0.308 )</w:t>
            </w:r>
          </w:p>
        </w:tc>
        <w:tc>
          <w:tcPr>
            <w:tcW w:w="1794" w:type="dxa"/>
            <w:tcBorders>
              <w:top w:val="nil"/>
              <w:left w:val="nil"/>
              <w:bottom w:val="nil"/>
              <w:right w:val="nil"/>
            </w:tcBorders>
            <w:shd w:val="clear" w:color="auto" w:fill="auto"/>
            <w:noWrap/>
            <w:vAlign w:val="bottom"/>
            <w:hideMark/>
          </w:tcPr>
          <w:p w14:paraId="5799CB1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(3.229***)</w:t>
            </w:r>
          </w:p>
        </w:tc>
        <w:tc>
          <w:tcPr>
            <w:tcW w:w="1793" w:type="dxa"/>
            <w:tcBorders>
              <w:top w:val="nil"/>
              <w:left w:val="nil"/>
              <w:bottom w:val="nil"/>
              <w:right w:val="nil"/>
            </w:tcBorders>
            <w:shd w:val="clear" w:color="auto" w:fill="auto"/>
            <w:noWrap/>
            <w:vAlign w:val="bottom"/>
            <w:hideMark/>
          </w:tcPr>
          <w:p w14:paraId="4210319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(4.021***)</w:t>
            </w:r>
          </w:p>
        </w:tc>
        <w:tc>
          <w:tcPr>
            <w:tcW w:w="1794" w:type="dxa"/>
            <w:tcBorders>
              <w:top w:val="nil"/>
              <w:left w:val="nil"/>
              <w:bottom w:val="nil"/>
              <w:right w:val="nil"/>
            </w:tcBorders>
            <w:shd w:val="clear" w:color="auto" w:fill="auto"/>
            <w:noWrap/>
            <w:vAlign w:val="bottom"/>
            <w:hideMark/>
          </w:tcPr>
          <w:p w14:paraId="024BC66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(6.887***)</w:t>
            </w:r>
          </w:p>
        </w:tc>
      </w:tr>
      <w:tr w:rsidR="0033739C" w:rsidRPr="00D97714" w14:paraId="63AA8041" w14:textId="77777777" w:rsidTr="000730DD">
        <w:trPr>
          <w:trHeight w:val="20"/>
        </w:trPr>
        <w:tc>
          <w:tcPr>
            <w:tcW w:w="2294" w:type="dxa"/>
            <w:vMerge w:val="restart"/>
            <w:tcBorders>
              <w:top w:val="nil"/>
              <w:left w:val="nil"/>
              <w:right w:val="nil"/>
            </w:tcBorders>
            <w:shd w:val="clear" w:color="auto" w:fill="auto"/>
            <w:noWrap/>
            <w:hideMark/>
          </w:tcPr>
          <w:p w14:paraId="19C9B6B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DEBT</w:t>
            </w:r>
          </w:p>
        </w:tc>
        <w:tc>
          <w:tcPr>
            <w:tcW w:w="1793" w:type="dxa"/>
            <w:tcBorders>
              <w:top w:val="nil"/>
              <w:left w:val="nil"/>
              <w:bottom w:val="nil"/>
              <w:right w:val="nil"/>
            </w:tcBorders>
            <w:shd w:val="clear" w:color="auto" w:fill="auto"/>
            <w:noWrap/>
            <w:vAlign w:val="bottom"/>
            <w:hideMark/>
          </w:tcPr>
          <w:p w14:paraId="6A748FF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-0.191</w:t>
            </w:r>
          </w:p>
        </w:tc>
        <w:tc>
          <w:tcPr>
            <w:tcW w:w="1794" w:type="dxa"/>
            <w:tcBorders>
              <w:top w:val="nil"/>
              <w:left w:val="nil"/>
              <w:bottom w:val="nil"/>
              <w:right w:val="nil"/>
            </w:tcBorders>
            <w:shd w:val="clear" w:color="auto" w:fill="auto"/>
            <w:noWrap/>
            <w:vAlign w:val="bottom"/>
            <w:hideMark/>
          </w:tcPr>
          <w:p w14:paraId="14C38A4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-0.093</w:t>
            </w:r>
          </w:p>
        </w:tc>
        <w:tc>
          <w:tcPr>
            <w:tcW w:w="1793" w:type="dxa"/>
            <w:tcBorders>
              <w:top w:val="nil"/>
              <w:left w:val="nil"/>
              <w:bottom w:val="nil"/>
              <w:right w:val="nil"/>
            </w:tcBorders>
            <w:shd w:val="clear" w:color="auto" w:fill="auto"/>
            <w:noWrap/>
            <w:vAlign w:val="bottom"/>
            <w:hideMark/>
          </w:tcPr>
          <w:p w14:paraId="2C9CFC0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-0.157</w:t>
            </w:r>
          </w:p>
        </w:tc>
        <w:tc>
          <w:tcPr>
            <w:tcW w:w="1794" w:type="dxa"/>
            <w:tcBorders>
              <w:top w:val="nil"/>
              <w:left w:val="nil"/>
              <w:bottom w:val="nil"/>
              <w:right w:val="nil"/>
            </w:tcBorders>
            <w:shd w:val="clear" w:color="auto" w:fill="auto"/>
            <w:noWrap/>
            <w:vAlign w:val="bottom"/>
            <w:hideMark/>
          </w:tcPr>
          <w:p w14:paraId="1D7D1C1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-0.126</w:t>
            </w:r>
          </w:p>
        </w:tc>
      </w:tr>
      <w:tr w:rsidR="0033739C" w:rsidRPr="00D97714" w14:paraId="06430FED" w14:textId="77777777" w:rsidTr="000730DD">
        <w:trPr>
          <w:trHeight w:val="20"/>
        </w:trPr>
        <w:tc>
          <w:tcPr>
            <w:tcW w:w="2294" w:type="dxa"/>
            <w:vMerge/>
            <w:tcBorders>
              <w:left w:val="nil"/>
              <w:bottom w:val="nil"/>
              <w:right w:val="nil"/>
            </w:tcBorders>
            <w:shd w:val="clear" w:color="auto" w:fill="auto"/>
            <w:noWrap/>
            <w:vAlign w:val="bottom"/>
            <w:hideMark/>
          </w:tcPr>
          <w:p w14:paraId="1F0733C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793" w:type="dxa"/>
            <w:tcBorders>
              <w:top w:val="nil"/>
              <w:left w:val="nil"/>
              <w:bottom w:val="nil"/>
              <w:right w:val="nil"/>
            </w:tcBorders>
            <w:shd w:val="clear" w:color="auto" w:fill="auto"/>
            <w:noWrap/>
            <w:vAlign w:val="bottom"/>
            <w:hideMark/>
          </w:tcPr>
          <w:p w14:paraId="725A1DE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(-7.855***)</w:t>
            </w:r>
          </w:p>
        </w:tc>
        <w:tc>
          <w:tcPr>
            <w:tcW w:w="1794" w:type="dxa"/>
            <w:tcBorders>
              <w:top w:val="nil"/>
              <w:left w:val="nil"/>
              <w:bottom w:val="nil"/>
              <w:right w:val="nil"/>
            </w:tcBorders>
            <w:shd w:val="clear" w:color="auto" w:fill="auto"/>
            <w:noWrap/>
            <w:vAlign w:val="bottom"/>
            <w:hideMark/>
          </w:tcPr>
          <w:p w14:paraId="063AF5A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(-4.425***)</w:t>
            </w:r>
          </w:p>
        </w:tc>
        <w:tc>
          <w:tcPr>
            <w:tcW w:w="1793" w:type="dxa"/>
            <w:tcBorders>
              <w:top w:val="nil"/>
              <w:left w:val="nil"/>
              <w:bottom w:val="nil"/>
              <w:right w:val="nil"/>
            </w:tcBorders>
            <w:shd w:val="clear" w:color="auto" w:fill="auto"/>
            <w:noWrap/>
            <w:vAlign w:val="bottom"/>
            <w:hideMark/>
          </w:tcPr>
          <w:p w14:paraId="1EEDBD9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(-6.077***)</w:t>
            </w:r>
          </w:p>
        </w:tc>
        <w:tc>
          <w:tcPr>
            <w:tcW w:w="1794" w:type="dxa"/>
            <w:tcBorders>
              <w:top w:val="nil"/>
              <w:left w:val="nil"/>
              <w:bottom w:val="nil"/>
              <w:right w:val="nil"/>
            </w:tcBorders>
            <w:shd w:val="clear" w:color="auto" w:fill="auto"/>
            <w:noWrap/>
            <w:vAlign w:val="bottom"/>
            <w:hideMark/>
          </w:tcPr>
          <w:p w14:paraId="218F01C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(-6.226***)</w:t>
            </w:r>
          </w:p>
        </w:tc>
      </w:tr>
      <w:tr w:rsidR="0033739C" w:rsidRPr="00D97714" w14:paraId="4EF50AD7" w14:textId="77777777" w:rsidTr="000730DD">
        <w:trPr>
          <w:trHeight w:val="20"/>
        </w:trPr>
        <w:tc>
          <w:tcPr>
            <w:tcW w:w="2294" w:type="dxa"/>
            <w:tcBorders>
              <w:top w:val="nil"/>
              <w:left w:val="nil"/>
              <w:bottom w:val="nil"/>
              <w:right w:val="nil"/>
            </w:tcBorders>
            <w:shd w:val="clear" w:color="auto" w:fill="auto"/>
            <w:noWrap/>
            <w:vAlign w:val="bottom"/>
            <w:hideMark/>
          </w:tcPr>
          <w:p w14:paraId="55C69D2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793" w:type="dxa"/>
            <w:tcBorders>
              <w:top w:val="nil"/>
              <w:left w:val="nil"/>
              <w:bottom w:val="nil"/>
              <w:right w:val="nil"/>
            </w:tcBorders>
            <w:shd w:val="clear" w:color="auto" w:fill="auto"/>
            <w:noWrap/>
            <w:vAlign w:val="bottom"/>
            <w:hideMark/>
          </w:tcPr>
          <w:p w14:paraId="3F881239"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1794" w:type="dxa"/>
            <w:tcBorders>
              <w:top w:val="nil"/>
              <w:left w:val="nil"/>
              <w:bottom w:val="nil"/>
              <w:right w:val="nil"/>
            </w:tcBorders>
            <w:shd w:val="clear" w:color="auto" w:fill="auto"/>
            <w:noWrap/>
            <w:vAlign w:val="bottom"/>
            <w:hideMark/>
          </w:tcPr>
          <w:p w14:paraId="622FF6DD"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1793" w:type="dxa"/>
            <w:tcBorders>
              <w:top w:val="nil"/>
              <w:left w:val="nil"/>
              <w:bottom w:val="nil"/>
              <w:right w:val="nil"/>
            </w:tcBorders>
            <w:shd w:val="clear" w:color="auto" w:fill="auto"/>
            <w:noWrap/>
            <w:vAlign w:val="bottom"/>
            <w:hideMark/>
          </w:tcPr>
          <w:p w14:paraId="651E542D"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1794" w:type="dxa"/>
            <w:tcBorders>
              <w:top w:val="nil"/>
              <w:left w:val="nil"/>
              <w:bottom w:val="nil"/>
              <w:right w:val="nil"/>
            </w:tcBorders>
            <w:shd w:val="clear" w:color="auto" w:fill="auto"/>
            <w:noWrap/>
            <w:vAlign w:val="bottom"/>
            <w:hideMark/>
          </w:tcPr>
          <w:p w14:paraId="57901EA8" w14:textId="77777777" w:rsidR="0033739C" w:rsidRPr="00D97714" w:rsidRDefault="0033739C" w:rsidP="00B05BA5">
            <w:pPr>
              <w:spacing w:after="0" w:line="240" w:lineRule="auto"/>
              <w:rPr>
                <w:rFonts w:ascii="Times New Roman" w:eastAsia="Times New Roman" w:hAnsi="Times New Roman" w:cs="Times New Roman"/>
                <w:sz w:val="24"/>
                <w:szCs w:val="24"/>
              </w:rPr>
            </w:pPr>
          </w:p>
        </w:tc>
      </w:tr>
      <w:tr w:rsidR="0033739C" w:rsidRPr="00D97714" w14:paraId="767A97F4" w14:textId="77777777" w:rsidTr="000730DD">
        <w:trPr>
          <w:trHeight w:val="20"/>
        </w:trPr>
        <w:tc>
          <w:tcPr>
            <w:tcW w:w="2294" w:type="dxa"/>
            <w:tcBorders>
              <w:top w:val="nil"/>
              <w:left w:val="nil"/>
              <w:bottom w:val="nil"/>
              <w:right w:val="nil"/>
            </w:tcBorders>
            <w:shd w:val="clear" w:color="auto" w:fill="auto"/>
            <w:noWrap/>
            <w:vAlign w:val="bottom"/>
            <w:hideMark/>
          </w:tcPr>
          <w:p w14:paraId="29ADC4F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F-statistics</w:t>
            </w:r>
          </w:p>
        </w:tc>
        <w:tc>
          <w:tcPr>
            <w:tcW w:w="1793" w:type="dxa"/>
            <w:tcBorders>
              <w:top w:val="nil"/>
              <w:left w:val="nil"/>
              <w:bottom w:val="nil"/>
              <w:right w:val="nil"/>
            </w:tcBorders>
            <w:shd w:val="clear" w:color="auto" w:fill="auto"/>
            <w:noWrap/>
            <w:vAlign w:val="bottom"/>
            <w:hideMark/>
          </w:tcPr>
          <w:p w14:paraId="0A699F3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151.7***</w:t>
            </w:r>
          </w:p>
        </w:tc>
        <w:tc>
          <w:tcPr>
            <w:tcW w:w="1794" w:type="dxa"/>
            <w:tcBorders>
              <w:top w:val="nil"/>
              <w:left w:val="nil"/>
              <w:bottom w:val="nil"/>
              <w:right w:val="nil"/>
            </w:tcBorders>
            <w:shd w:val="clear" w:color="auto" w:fill="auto"/>
            <w:noWrap/>
            <w:vAlign w:val="bottom"/>
            <w:hideMark/>
          </w:tcPr>
          <w:p w14:paraId="110E651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224.5***</w:t>
            </w:r>
          </w:p>
        </w:tc>
        <w:tc>
          <w:tcPr>
            <w:tcW w:w="1793" w:type="dxa"/>
            <w:tcBorders>
              <w:top w:val="nil"/>
              <w:left w:val="nil"/>
              <w:bottom w:val="nil"/>
              <w:right w:val="nil"/>
            </w:tcBorders>
            <w:shd w:val="clear" w:color="auto" w:fill="auto"/>
            <w:noWrap/>
            <w:vAlign w:val="bottom"/>
            <w:hideMark/>
          </w:tcPr>
          <w:p w14:paraId="7047ED5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128.2***</w:t>
            </w:r>
          </w:p>
        </w:tc>
        <w:tc>
          <w:tcPr>
            <w:tcW w:w="1794" w:type="dxa"/>
            <w:tcBorders>
              <w:top w:val="nil"/>
              <w:left w:val="nil"/>
              <w:bottom w:val="nil"/>
              <w:right w:val="nil"/>
            </w:tcBorders>
            <w:shd w:val="clear" w:color="auto" w:fill="auto"/>
            <w:noWrap/>
            <w:vAlign w:val="bottom"/>
            <w:hideMark/>
          </w:tcPr>
          <w:p w14:paraId="12698E0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241.4***</w:t>
            </w:r>
          </w:p>
        </w:tc>
      </w:tr>
      <w:tr w:rsidR="0033739C" w:rsidRPr="00D97714" w14:paraId="74D8B564" w14:textId="77777777" w:rsidTr="000730DD">
        <w:trPr>
          <w:trHeight w:val="20"/>
        </w:trPr>
        <w:tc>
          <w:tcPr>
            <w:tcW w:w="2294" w:type="dxa"/>
            <w:tcBorders>
              <w:top w:val="nil"/>
              <w:left w:val="nil"/>
              <w:bottom w:val="nil"/>
              <w:right w:val="nil"/>
            </w:tcBorders>
            <w:shd w:val="clear" w:color="auto" w:fill="auto"/>
            <w:noWrap/>
            <w:vAlign w:val="bottom"/>
            <w:hideMark/>
          </w:tcPr>
          <w:p w14:paraId="58245DA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Adj. R-squared</w:t>
            </w:r>
          </w:p>
        </w:tc>
        <w:tc>
          <w:tcPr>
            <w:tcW w:w="1793" w:type="dxa"/>
            <w:tcBorders>
              <w:top w:val="nil"/>
              <w:left w:val="nil"/>
              <w:bottom w:val="nil"/>
              <w:right w:val="nil"/>
            </w:tcBorders>
            <w:shd w:val="clear" w:color="auto" w:fill="auto"/>
            <w:noWrap/>
            <w:vAlign w:val="bottom"/>
            <w:hideMark/>
          </w:tcPr>
          <w:p w14:paraId="062AC7B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0.740</w:t>
            </w:r>
          </w:p>
        </w:tc>
        <w:tc>
          <w:tcPr>
            <w:tcW w:w="1794" w:type="dxa"/>
            <w:tcBorders>
              <w:top w:val="nil"/>
              <w:left w:val="nil"/>
              <w:bottom w:val="nil"/>
              <w:right w:val="nil"/>
            </w:tcBorders>
            <w:shd w:val="clear" w:color="auto" w:fill="auto"/>
            <w:noWrap/>
            <w:vAlign w:val="bottom"/>
            <w:hideMark/>
          </w:tcPr>
          <w:p w14:paraId="323D43E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0.809</w:t>
            </w:r>
          </w:p>
        </w:tc>
        <w:tc>
          <w:tcPr>
            <w:tcW w:w="1793" w:type="dxa"/>
            <w:tcBorders>
              <w:top w:val="nil"/>
              <w:left w:val="nil"/>
              <w:bottom w:val="nil"/>
              <w:right w:val="nil"/>
            </w:tcBorders>
            <w:shd w:val="clear" w:color="auto" w:fill="auto"/>
            <w:noWrap/>
            <w:vAlign w:val="bottom"/>
            <w:hideMark/>
          </w:tcPr>
          <w:p w14:paraId="7361B44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0.707</w:t>
            </w:r>
          </w:p>
        </w:tc>
        <w:tc>
          <w:tcPr>
            <w:tcW w:w="1794" w:type="dxa"/>
            <w:tcBorders>
              <w:top w:val="nil"/>
              <w:left w:val="nil"/>
              <w:bottom w:val="nil"/>
              <w:right w:val="nil"/>
            </w:tcBorders>
            <w:shd w:val="clear" w:color="auto" w:fill="auto"/>
            <w:noWrap/>
            <w:vAlign w:val="bottom"/>
            <w:hideMark/>
          </w:tcPr>
          <w:p w14:paraId="064DE1B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0.820</w:t>
            </w:r>
          </w:p>
        </w:tc>
      </w:tr>
      <w:tr w:rsidR="0033739C" w:rsidRPr="00D97714" w14:paraId="0246095C" w14:textId="77777777" w:rsidTr="000730DD">
        <w:trPr>
          <w:trHeight w:val="20"/>
        </w:trPr>
        <w:tc>
          <w:tcPr>
            <w:tcW w:w="2294" w:type="dxa"/>
            <w:tcBorders>
              <w:top w:val="nil"/>
              <w:left w:val="nil"/>
              <w:right w:val="nil"/>
            </w:tcBorders>
            <w:shd w:val="clear" w:color="auto" w:fill="auto"/>
            <w:noWrap/>
            <w:vAlign w:val="bottom"/>
            <w:hideMark/>
          </w:tcPr>
          <w:p w14:paraId="38B3B8F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Year fixed effects</w:t>
            </w:r>
          </w:p>
        </w:tc>
        <w:tc>
          <w:tcPr>
            <w:tcW w:w="1793" w:type="dxa"/>
            <w:tcBorders>
              <w:top w:val="nil"/>
              <w:left w:val="nil"/>
              <w:right w:val="nil"/>
            </w:tcBorders>
            <w:shd w:val="clear" w:color="auto" w:fill="auto"/>
            <w:noWrap/>
            <w:vAlign w:val="bottom"/>
            <w:hideMark/>
          </w:tcPr>
          <w:p w14:paraId="61CB841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c>
          <w:tcPr>
            <w:tcW w:w="1794" w:type="dxa"/>
            <w:tcBorders>
              <w:top w:val="nil"/>
              <w:left w:val="nil"/>
              <w:right w:val="nil"/>
            </w:tcBorders>
            <w:shd w:val="clear" w:color="auto" w:fill="auto"/>
            <w:noWrap/>
            <w:vAlign w:val="bottom"/>
            <w:hideMark/>
          </w:tcPr>
          <w:p w14:paraId="5798491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c>
          <w:tcPr>
            <w:tcW w:w="1793" w:type="dxa"/>
            <w:tcBorders>
              <w:top w:val="nil"/>
              <w:left w:val="nil"/>
              <w:right w:val="nil"/>
            </w:tcBorders>
            <w:shd w:val="clear" w:color="auto" w:fill="auto"/>
            <w:noWrap/>
            <w:vAlign w:val="bottom"/>
            <w:hideMark/>
          </w:tcPr>
          <w:p w14:paraId="0837E6A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c>
          <w:tcPr>
            <w:tcW w:w="1794" w:type="dxa"/>
            <w:tcBorders>
              <w:top w:val="nil"/>
              <w:left w:val="nil"/>
              <w:right w:val="nil"/>
            </w:tcBorders>
            <w:shd w:val="clear" w:color="auto" w:fill="auto"/>
            <w:noWrap/>
            <w:vAlign w:val="bottom"/>
            <w:hideMark/>
          </w:tcPr>
          <w:p w14:paraId="639911A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r>
      <w:tr w:rsidR="0033739C" w:rsidRPr="00D97714" w14:paraId="675D0FEA" w14:textId="77777777" w:rsidTr="000730DD">
        <w:trPr>
          <w:trHeight w:val="20"/>
        </w:trPr>
        <w:tc>
          <w:tcPr>
            <w:tcW w:w="2294" w:type="dxa"/>
            <w:tcBorders>
              <w:top w:val="nil"/>
              <w:left w:val="nil"/>
              <w:bottom w:val="single" w:sz="4" w:space="0" w:color="auto"/>
              <w:right w:val="nil"/>
            </w:tcBorders>
            <w:shd w:val="clear" w:color="auto" w:fill="auto"/>
            <w:noWrap/>
            <w:vAlign w:val="bottom"/>
            <w:hideMark/>
          </w:tcPr>
          <w:p w14:paraId="53E1C6E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Observations</w:t>
            </w:r>
          </w:p>
        </w:tc>
        <w:tc>
          <w:tcPr>
            <w:tcW w:w="1793" w:type="dxa"/>
            <w:tcBorders>
              <w:top w:val="nil"/>
              <w:left w:val="nil"/>
              <w:bottom w:val="single" w:sz="4" w:space="0" w:color="auto"/>
              <w:right w:val="nil"/>
            </w:tcBorders>
            <w:shd w:val="clear" w:color="auto" w:fill="auto"/>
            <w:noWrap/>
            <w:vAlign w:val="bottom"/>
            <w:hideMark/>
          </w:tcPr>
          <w:p w14:paraId="1798FD9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1,014</w:t>
            </w:r>
          </w:p>
        </w:tc>
        <w:tc>
          <w:tcPr>
            <w:tcW w:w="1794" w:type="dxa"/>
            <w:tcBorders>
              <w:top w:val="nil"/>
              <w:left w:val="nil"/>
              <w:bottom w:val="single" w:sz="4" w:space="0" w:color="auto"/>
              <w:right w:val="nil"/>
            </w:tcBorders>
            <w:shd w:val="clear" w:color="auto" w:fill="auto"/>
            <w:noWrap/>
            <w:vAlign w:val="bottom"/>
            <w:hideMark/>
          </w:tcPr>
          <w:p w14:paraId="6344662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1,014</w:t>
            </w:r>
          </w:p>
        </w:tc>
        <w:tc>
          <w:tcPr>
            <w:tcW w:w="1793" w:type="dxa"/>
            <w:tcBorders>
              <w:top w:val="nil"/>
              <w:left w:val="nil"/>
              <w:bottom w:val="single" w:sz="4" w:space="0" w:color="auto"/>
              <w:right w:val="nil"/>
            </w:tcBorders>
            <w:shd w:val="clear" w:color="auto" w:fill="auto"/>
            <w:noWrap/>
            <w:vAlign w:val="bottom"/>
            <w:hideMark/>
          </w:tcPr>
          <w:p w14:paraId="520F2AF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1,014</w:t>
            </w:r>
          </w:p>
        </w:tc>
        <w:tc>
          <w:tcPr>
            <w:tcW w:w="1794" w:type="dxa"/>
            <w:tcBorders>
              <w:top w:val="nil"/>
              <w:left w:val="nil"/>
              <w:bottom w:val="single" w:sz="4" w:space="0" w:color="auto"/>
              <w:right w:val="nil"/>
            </w:tcBorders>
            <w:shd w:val="clear" w:color="auto" w:fill="auto"/>
            <w:noWrap/>
            <w:vAlign w:val="bottom"/>
            <w:hideMark/>
          </w:tcPr>
          <w:p w14:paraId="2AF07FA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1,014</w:t>
            </w:r>
          </w:p>
        </w:tc>
      </w:tr>
    </w:tbl>
    <w:p w14:paraId="78386855" w14:textId="74CFFC25" w:rsidR="0033739C" w:rsidRPr="00D97714" w:rsidRDefault="0033739C" w:rsidP="0033739C">
      <w:pPr>
        <w:spacing w:line="240" w:lineRule="auto"/>
        <w:rPr>
          <w:rFonts w:ascii="Times New Roman" w:hAnsi="Times New Roman" w:cs="Times New Roman"/>
          <w:sz w:val="24"/>
          <w:szCs w:val="24"/>
        </w:rPr>
      </w:pPr>
      <w:r w:rsidRPr="00D97714">
        <w:rPr>
          <w:rFonts w:ascii="Times New Roman" w:hAnsi="Times New Roman" w:cs="Times New Roman"/>
          <w:sz w:val="24"/>
          <w:szCs w:val="24"/>
        </w:rPr>
        <w:t xml:space="preserve">We report the results from the cross-sectional analyses of the industry-adjusted return on asset (ROA of the non-target matching firms minus median ROA of all firms in the same 4-digit SIC codes) and industry-adjusted EBIT/asset (EBIT/TA of the non-target matching firms minus median EBIT/TA of all firms in the same 4-digit SIC codes) of the value-weighted portfolio (in Panel A) and the equally-weighted portfolio (in Panel B) of matching firms. The value-weighted (based upon market capitalization in the preceding year) and equally-weighted portfolios of matching firms are firms in the same quartiles of institutional ownership and of market capitalization as the target firm. We pool and stack the observations in the year preceding the activism events and the observations in the year following the activism events. AFTER is the dummy variable for the year following the activism events. WIN is the dummy variable for events whereby the dissidents win or partially win the campaign. CHANGE is the dummy variables for campaigns in which the activists demand changes/control of the board. IOPr is the average of total institutional ownership in a firm in the preceding 5 years (20 quarters). IOV is the average of the standard deviation of the ownership across institutional owners of a firm in the past 5 years (20 quarters). OPEX, CAPX and DEBT </w:t>
      </w:r>
      <w:r w:rsidRPr="00D97714">
        <w:rPr>
          <w:rFonts w:ascii="Times New Roman" w:eastAsiaTheme="minorEastAsia" w:hAnsi="Times New Roman" w:cs="Times New Roman"/>
          <w:sz w:val="24"/>
          <w:szCs w:val="24"/>
        </w:rPr>
        <w:t xml:space="preserve">represent equally-weighted/value-weighed industry-adjusted figures of </w:t>
      </w:r>
      <w:r w:rsidRPr="00D97714">
        <w:rPr>
          <w:rFonts w:ascii="Times New Roman" w:hAnsi="Times New Roman" w:cs="Times New Roman"/>
          <w:sz w:val="24"/>
          <w:szCs w:val="24"/>
        </w:rPr>
        <w:t>operating expenses-to-asset ratio, capital expenditure-to- asset ratio and total debt-to-total asset ratio, respectively,</w:t>
      </w:r>
      <w:r w:rsidRPr="00D97714">
        <w:rPr>
          <w:rFonts w:ascii="Times New Roman" w:eastAsiaTheme="minorEastAsia" w:hAnsi="Times New Roman" w:cs="Times New Roman"/>
          <w:sz w:val="24"/>
          <w:szCs w:val="24"/>
        </w:rPr>
        <w:t xml:space="preserve"> of the firms comprising the matching non-targeted portfolio</w:t>
      </w:r>
      <w:r w:rsidR="00513831" w:rsidRPr="00D97714">
        <w:rPr>
          <w:rFonts w:ascii="Times New Roman" w:eastAsiaTheme="minorEastAsia" w:hAnsi="Times New Roman" w:cs="Times New Roman"/>
          <w:sz w:val="24"/>
          <w:szCs w:val="24"/>
        </w:rPr>
        <w:t>. They</w:t>
      </w:r>
      <w:r w:rsidRPr="00D97714">
        <w:rPr>
          <w:rFonts w:ascii="Times New Roman" w:eastAsiaTheme="minorEastAsia" w:hAnsi="Times New Roman" w:cs="Times New Roman"/>
          <w:sz w:val="24"/>
          <w:szCs w:val="24"/>
        </w:rPr>
        <w:t xml:space="preserve"> are measured at the end of the fiscal year preceding the announcement date. </w:t>
      </w:r>
      <w:r w:rsidRPr="00D97714">
        <w:rPr>
          <w:rFonts w:ascii="Times New Roman" w:hAnsi="Times New Roman" w:cs="Times New Roman"/>
          <w:sz w:val="24"/>
          <w:szCs w:val="24"/>
        </w:rPr>
        <w:t xml:space="preserve">We report robust t-statistics. *, ** and *** indicate the significance levels of 10%, 5% and 1%, respectively. </w:t>
      </w:r>
    </w:p>
    <w:p w14:paraId="27078D66" w14:textId="77777777" w:rsidR="0033739C" w:rsidRPr="00D97714" w:rsidRDefault="0033739C" w:rsidP="0033739C">
      <w:pPr>
        <w:rPr>
          <w:rFonts w:ascii="Times New Roman" w:hAnsi="Times New Roman" w:cs="Times New Roman"/>
          <w:sz w:val="24"/>
          <w:szCs w:val="24"/>
        </w:rPr>
        <w:sectPr w:rsidR="0033739C" w:rsidRPr="00D97714" w:rsidSect="00342B19">
          <w:pgSz w:w="12240" w:h="15840"/>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4527"/>
        <w:gridCol w:w="2871"/>
        <w:gridCol w:w="2178"/>
      </w:tblGrid>
      <w:tr w:rsidR="0033739C" w:rsidRPr="00D97714" w14:paraId="0C3534F8" w14:textId="77777777" w:rsidTr="000730DD">
        <w:trPr>
          <w:trHeight w:val="20"/>
        </w:trPr>
        <w:tc>
          <w:tcPr>
            <w:tcW w:w="5000" w:type="pct"/>
            <w:gridSpan w:val="3"/>
            <w:tcBorders>
              <w:top w:val="single" w:sz="4" w:space="0" w:color="auto"/>
              <w:left w:val="nil"/>
              <w:bottom w:val="nil"/>
              <w:right w:val="nil"/>
            </w:tcBorders>
            <w:shd w:val="clear" w:color="auto" w:fill="auto"/>
            <w:noWrap/>
            <w:vAlign w:val="bottom"/>
          </w:tcPr>
          <w:p w14:paraId="67C85A18" w14:textId="77777777" w:rsidR="0033739C" w:rsidRPr="00D97714" w:rsidRDefault="0033739C" w:rsidP="00B05BA5">
            <w:pPr>
              <w:spacing w:after="0" w:line="240" w:lineRule="auto"/>
              <w:rPr>
                <w:rFonts w:ascii="Times New Roman" w:eastAsia="Times New Roman" w:hAnsi="Times New Roman" w:cs="Times New Roman"/>
                <w:b/>
                <w:color w:val="000000"/>
                <w:sz w:val="24"/>
                <w:szCs w:val="24"/>
              </w:rPr>
            </w:pPr>
            <w:r w:rsidRPr="00D97714">
              <w:rPr>
                <w:rFonts w:ascii="Times New Roman" w:eastAsia="Times New Roman" w:hAnsi="Times New Roman" w:cs="Times New Roman"/>
                <w:b/>
                <w:sz w:val="24"/>
                <w:szCs w:val="24"/>
              </w:rPr>
              <w:t>Table 6 – Cross-Sectional Analyses for Individual Non-Target Matching Firms</w:t>
            </w:r>
          </w:p>
        </w:tc>
      </w:tr>
      <w:tr w:rsidR="0033739C" w:rsidRPr="00D97714" w14:paraId="6664EE40" w14:textId="77777777" w:rsidTr="000730DD">
        <w:trPr>
          <w:trHeight w:val="20"/>
        </w:trPr>
        <w:tc>
          <w:tcPr>
            <w:tcW w:w="2364" w:type="pct"/>
            <w:tcBorders>
              <w:top w:val="single" w:sz="4" w:space="0" w:color="auto"/>
              <w:left w:val="nil"/>
              <w:bottom w:val="nil"/>
              <w:right w:val="nil"/>
            </w:tcBorders>
            <w:shd w:val="clear" w:color="auto" w:fill="auto"/>
            <w:noWrap/>
            <w:vAlign w:val="bottom"/>
            <w:hideMark/>
          </w:tcPr>
          <w:p w14:paraId="703DD74C"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1499" w:type="pct"/>
            <w:tcBorders>
              <w:top w:val="single" w:sz="4" w:space="0" w:color="auto"/>
              <w:left w:val="nil"/>
              <w:bottom w:val="nil"/>
              <w:right w:val="nil"/>
            </w:tcBorders>
            <w:shd w:val="clear" w:color="auto" w:fill="auto"/>
            <w:noWrap/>
            <w:vAlign w:val="bottom"/>
            <w:hideMark/>
          </w:tcPr>
          <w:p w14:paraId="0F796A3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CARs</w:t>
            </w:r>
          </w:p>
        </w:tc>
        <w:tc>
          <w:tcPr>
            <w:tcW w:w="1137" w:type="pct"/>
            <w:tcBorders>
              <w:top w:val="single" w:sz="4" w:space="0" w:color="auto"/>
              <w:left w:val="nil"/>
              <w:bottom w:val="nil"/>
              <w:right w:val="nil"/>
            </w:tcBorders>
            <w:shd w:val="clear" w:color="auto" w:fill="auto"/>
            <w:noWrap/>
            <w:vAlign w:val="bottom"/>
            <w:hideMark/>
          </w:tcPr>
          <w:p w14:paraId="3FEC46C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ROA</w:t>
            </w:r>
          </w:p>
        </w:tc>
      </w:tr>
      <w:tr w:rsidR="0033739C" w:rsidRPr="00D97714" w14:paraId="507F0015" w14:textId="77777777" w:rsidTr="000730DD">
        <w:trPr>
          <w:trHeight w:val="20"/>
        </w:trPr>
        <w:tc>
          <w:tcPr>
            <w:tcW w:w="2364" w:type="pct"/>
            <w:tcBorders>
              <w:top w:val="single" w:sz="4" w:space="0" w:color="auto"/>
              <w:left w:val="single" w:sz="8" w:space="0" w:color="C1C1C1"/>
              <w:bottom w:val="nil"/>
              <w:right w:val="nil"/>
            </w:tcBorders>
            <w:shd w:val="clear" w:color="auto" w:fill="auto"/>
            <w:hideMark/>
          </w:tcPr>
          <w:p w14:paraId="49150DE7"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Intercept</w:t>
            </w:r>
          </w:p>
        </w:tc>
        <w:tc>
          <w:tcPr>
            <w:tcW w:w="1499" w:type="pct"/>
            <w:tcBorders>
              <w:top w:val="single" w:sz="4" w:space="0" w:color="auto"/>
              <w:left w:val="nil"/>
              <w:bottom w:val="nil"/>
              <w:right w:val="nil"/>
            </w:tcBorders>
            <w:shd w:val="clear" w:color="auto" w:fill="auto"/>
            <w:hideMark/>
          </w:tcPr>
          <w:p w14:paraId="47C32C0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0.034</w:t>
            </w:r>
          </w:p>
        </w:tc>
        <w:tc>
          <w:tcPr>
            <w:tcW w:w="1137" w:type="pct"/>
            <w:tcBorders>
              <w:top w:val="single" w:sz="4" w:space="0" w:color="auto"/>
              <w:left w:val="nil"/>
              <w:bottom w:val="nil"/>
              <w:right w:val="nil"/>
            </w:tcBorders>
            <w:shd w:val="clear" w:color="auto" w:fill="auto"/>
            <w:hideMark/>
          </w:tcPr>
          <w:p w14:paraId="257D3C4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-0.170</w:t>
            </w:r>
          </w:p>
        </w:tc>
      </w:tr>
      <w:tr w:rsidR="0033739C" w:rsidRPr="00D97714" w14:paraId="682F2175" w14:textId="77777777" w:rsidTr="000730DD">
        <w:trPr>
          <w:trHeight w:val="20"/>
        </w:trPr>
        <w:tc>
          <w:tcPr>
            <w:tcW w:w="2364" w:type="pct"/>
            <w:tcBorders>
              <w:top w:val="nil"/>
              <w:left w:val="single" w:sz="8" w:space="0" w:color="C1C1C1"/>
              <w:bottom w:val="nil"/>
              <w:right w:val="nil"/>
            </w:tcBorders>
            <w:shd w:val="clear" w:color="auto" w:fill="auto"/>
            <w:hideMark/>
          </w:tcPr>
          <w:p w14:paraId="3333029E"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 </w:t>
            </w:r>
          </w:p>
        </w:tc>
        <w:tc>
          <w:tcPr>
            <w:tcW w:w="1499" w:type="pct"/>
            <w:tcBorders>
              <w:top w:val="single" w:sz="8" w:space="0" w:color="C1C1C1"/>
              <w:left w:val="nil"/>
              <w:bottom w:val="nil"/>
              <w:right w:val="nil"/>
            </w:tcBorders>
            <w:shd w:val="clear" w:color="auto" w:fill="auto"/>
            <w:hideMark/>
          </w:tcPr>
          <w:p w14:paraId="46F82AD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(7.77***)</w:t>
            </w:r>
          </w:p>
        </w:tc>
        <w:tc>
          <w:tcPr>
            <w:tcW w:w="1137" w:type="pct"/>
            <w:tcBorders>
              <w:top w:val="single" w:sz="8" w:space="0" w:color="C1C1C1"/>
              <w:left w:val="nil"/>
              <w:bottom w:val="nil"/>
              <w:right w:val="nil"/>
            </w:tcBorders>
            <w:shd w:val="clear" w:color="auto" w:fill="auto"/>
            <w:hideMark/>
          </w:tcPr>
          <w:p w14:paraId="3990198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(-12.11***)</w:t>
            </w:r>
          </w:p>
        </w:tc>
      </w:tr>
      <w:tr w:rsidR="0033739C" w:rsidRPr="00D97714" w14:paraId="0E878906" w14:textId="77777777" w:rsidTr="000730DD">
        <w:trPr>
          <w:trHeight w:val="20"/>
        </w:trPr>
        <w:tc>
          <w:tcPr>
            <w:tcW w:w="2364" w:type="pct"/>
            <w:tcBorders>
              <w:top w:val="nil"/>
              <w:left w:val="single" w:sz="8" w:space="0" w:color="C1C1C1"/>
              <w:bottom w:val="nil"/>
              <w:right w:val="nil"/>
            </w:tcBorders>
            <w:shd w:val="clear" w:color="auto" w:fill="auto"/>
            <w:hideMark/>
          </w:tcPr>
          <w:p w14:paraId="73237D29"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AFTER</w:t>
            </w:r>
          </w:p>
        </w:tc>
        <w:tc>
          <w:tcPr>
            <w:tcW w:w="1499" w:type="pct"/>
            <w:tcBorders>
              <w:top w:val="nil"/>
              <w:left w:val="nil"/>
              <w:bottom w:val="nil"/>
              <w:right w:val="nil"/>
            </w:tcBorders>
            <w:shd w:val="clear" w:color="auto" w:fill="auto"/>
            <w:hideMark/>
          </w:tcPr>
          <w:p w14:paraId="3385912C" w14:textId="77777777" w:rsidR="0033739C" w:rsidRPr="00D97714" w:rsidRDefault="0033739C" w:rsidP="00B05BA5">
            <w:pPr>
              <w:spacing w:after="0" w:line="240" w:lineRule="auto"/>
              <w:rPr>
                <w:rFonts w:ascii="Times New Roman" w:eastAsia="Times New Roman" w:hAnsi="Times New Roman" w:cs="Times New Roman"/>
                <w:b/>
                <w:bCs/>
                <w:color w:val="000000"/>
                <w:sz w:val="24"/>
                <w:szCs w:val="24"/>
              </w:rPr>
            </w:pPr>
          </w:p>
        </w:tc>
        <w:tc>
          <w:tcPr>
            <w:tcW w:w="1137" w:type="pct"/>
            <w:tcBorders>
              <w:top w:val="nil"/>
              <w:left w:val="nil"/>
              <w:bottom w:val="nil"/>
              <w:right w:val="nil"/>
            </w:tcBorders>
            <w:shd w:val="clear" w:color="auto" w:fill="auto"/>
            <w:hideMark/>
          </w:tcPr>
          <w:p w14:paraId="261F017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0.005</w:t>
            </w:r>
          </w:p>
        </w:tc>
      </w:tr>
      <w:tr w:rsidR="0033739C" w:rsidRPr="00D97714" w14:paraId="2CA20A86" w14:textId="77777777" w:rsidTr="000730DD">
        <w:trPr>
          <w:trHeight w:val="20"/>
        </w:trPr>
        <w:tc>
          <w:tcPr>
            <w:tcW w:w="2364" w:type="pct"/>
            <w:tcBorders>
              <w:top w:val="nil"/>
              <w:left w:val="single" w:sz="8" w:space="0" w:color="C1C1C1"/>
              <w:bottom w:val="nil"/>
              <w:right w:val="nil"/>
            </w:tcBorders>
            <w:shd w:val="clear" w:color="auto" w:fill="auto"/>
            <w:hideMark/>
          </w:tcPr>
          <w:p w14:paraId="00A06268"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 </w:t>
            </w:r>
          </w:p>
        </w:tc>
        <w:tc>
          <w:tcPr>
            <w:tcW w:w="1499" w:type="pct"/>
            <w:tcBorders>
              <w:top w:val="nil"/>
              <w:left w:val="nil"/>
              <w:bottom w:val="nil"/>
              <w:right w:val="nil"/>
            </w:tcBorders>
            <w:shd w:val="clear" w:color="auto" w:fill="auto"/>
            <w:hideMark/>
          </w:tcPr>
          <w:p w14:paraId="23EBDE3D" w14:textId="77777777" w:rsidR="0033739C" w:rsidRPr="00D97714" w:rsidRDefault="0033739C" w:rsidP="00B05BA5">
            <w:pPr>
              <w:spacing w:after="0" w:line="240" w:lineRule="auto"/>
              <w:rPr>
                <w:rFonts w:ascii="Times New Roman" w:eastAsia="Times New Roman" w:hAnsi="Times New Roman" w:cs="Times New Roman"/>
                <w:b/>
                <w:bCs/>
                <w:color w:val="000000"/>
                <w:sz w:val="24"/>
                <w:szCs w:val="24"/>
              </w:rPr>
            </w:pPr>
          </w:p>
        </w:tc>
        <w:tc>
          <w:tcPr>
            <w:tcW w:w="1137" w:type="pct"/>
            <w:tcBorders>
              <w:top w:val="nil"/>
              <w:left w:val="nil"/>
              <w:bottom w:val="nil"/>
              <w:right w:val="nil"/>
            </w:tcBorders>
            <w:shd w:val="clear" w:color="auto" w:fill="auto"/>
            <w:hideMark/>
          </w:tcPr>
          <w:p w14:paraId="2AB9955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(2.79***)</w:t>
            </w:r>
          </w:p>
        </w:tc>
      </w:tr>
      <w:tr w:rsidR="0033739C" w:rsidRPr="00D97714" w14:paraId="42CD42B3" w14:textId="77777777" w:rsidTr="000730DD">
        <w:trPr>
          <w:trHeight w:val="20"/>
        </w:trPr>
        <w:tc>
          <w:tcPr>
            <w:tcW w:w="2364" w:type="pct"/>
            <w:vMerge w:val="restart"/>
            <w:tcBorders>
              <w:top w:val="nil"/>
              <w:left w:val="single" w:sz="8" w:space="0" w:color="C1C1C1"/>
              <w:right w:val="nil"/>
            </w:tcBorders>
            <w:shd w:val="clear" w:color="auto" w:fill="auto"/>
            <w:hideMark/>
          </w:tcPr>
          <w:p w14:paraId="5F7A7A7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WIN</w:t>
            </w:r>
          </w:p>
        </w:tc>
        <w:tc>
          <w:tcPr>
            <w:tcW w:w="1499" w:type="pct"/>
            <w:tcBorders>
              <w:top w:val="nil"/>
              <w:left w:val="nil"/>
              <w:bottom w:val="nil"/>
              <w:right w:val="nil"/>
            </w:tcBorders>
            <w:shd w:val="clear" w:color="auto" w:fill="auto"/>
            <w:noWrap/>
            <w:hideMark/>
          </w:tcPr>
          <w:p w14:paraId="78B8861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0.004</w:t>
            </w:r>
          </w:p>
        </w:tc>
        <w:tc>
          <w:tcPr>
            <w:tcW w:w="1137" w:type="pct"/>
            <w:tcBorders>
              <w:top w:val="nil"/>
              <w:left w:val="nil"/>
              <w:bottom w:val="nil"/>
              <w:right w:val="nil"/>
            </w:tcBorders>
            <w:shd w:val="clear" w:color="auto" w:fill="auto"/>
            <w:noWrap/>
            <w:hideMark/>
          </w:tcPr>
          <w:p w14:paraId="59FC657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0.003</w:t>
            </w:r>
          </w:p>
        </w:tc>
      </w:tr>
      <w:tr w:rsidR="0033739C" w:rsidRPr="00D97714" w14:paraId="609D32BF" w14:textId="77777777" w:rsidTr="000730DD">
        <w:trPr>
          <w:trHeight w:val="20"/>
        </w:trPr>
        <w:tc>
          <w:tcPr>
            <w:tcW w:w="2364" w:type="pct"/>
            <w:vMerge/>
            <w:tcBorders>
              <w:left w:val="single" w:sz="8" w:space="0" w:color="C1C1C1"/>
              <w:bottom w:val="nil"/>
              <w:right w:val="nil"/>
            </w:tcBorders>
            <w:shd w:val="clear" w:color="auto" w:fill="auto"/>
            <w:hideMark/>
          </w:tcPr>
          <w:p w14:paraId="578496E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499" w:type="pct"/>
            <w:tcBorders>
              <w:top w:val="nil"/>
              <w:left w:val="nil"/>
              <w:bottom w:val="nil"/>
              <w:right w:val="nil"/>
            </w:tcBorders>
            <w:shd w:val="clear" w:color="auto" w:fill="auto"/>
            <w:noWrap/>
            <w:hideMark/>
          </w:tcPr>
          <w:p w14:paraId="149E1FD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(3.96***)</w:t>
            </w:r>
          </w:p>
        </w:tc>
        <w:tc>
          <w:tcPr>
            <w:tcW w:w="1137" w:type="pct"/>
            <w:tcBorders>
              <w:top w:val="nil"/>
              <w:left w:val="nil"/>
              <w:bottom w:val="nil"/>
              <w:right w:val="nil"/>
            </w:tcBorders>
            <w:shd w:val="clear" w:color="auto" w:fill="auto"/>
            <w:noWrap/>
            <w:hideMark/>
          </w:tcPr>
          <w:p w14:paraId="11395C7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(1.95**)</w:t>
            </w:r>
          </w:p>
        </w:tc>
      </w:tr>
      <w:tr w:rsidR="0033739C" w:rsidRPr="00D97714" w14:paraId="00457F00" w14:textId="77777777" w:rsidTr="000730DD">
        <w:trPr>
          <w:trHeight w:val="20"/>
        </w:trPr>
        <w:tc>
          <w:tcPr>
            <w:tcW w:w="2364" w:type="pct"/>
            <w:vMerge w:val="restart"/>
            <w:tcBorders>
              <w:top w:val="nil"/>
              <w:left w:val="single" w:sz="8" w:space="0" w:color="C1C1C1"/>
              <w:right w:val="nil"/>
            </w:tcBorders>
            <w:shd w:val="clear" w:color="auto" w:fill="auto"/>
            <w:hideMark/>
          </w:tcPr>
          <w:p w14:paraId="09B0AA5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CHANGE</w:t>
            </w:r>
          </w:p>
        </w:tc>
        <w:tc>
          <w:tcPr>
            <w:tcW w:w="1499" w:type="pct"/>
            <w:tcBorders>
              <w:top w:val="nil"/>
              <w:left w:val="nil"/>
              <w:bottom w:val="nil"/>
              <w:right w:val="nil"/>
            </w:tcBorders>
            <w:shd w:val="clear" w:color="auto" w:fill="auto"/>
            <w:hideMark/>
          </w:tcPr>
          <w:p w14:paraId="5983CD7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0.000</w:t>
            </w:r>
          </w:p>
        </w:tc>
        <w:tc>
          <w:tcPr>
            <w:tcW w:w="1137" w:type="pct"/>
            <w:tcBorders>
              <w:top w:val="nil"/>
              <w:left w:val="nil"/>
              <w:bottom w:val="nil"/>
              <w:right w:val="nil"/>
            </w:tcBorders>
            <w:shd w:val="clear" w:color="auto" w:fill="auto"/>
            <w:hideMark/>
          </w:tcPr>
          <w:p w14:paraId="306DD30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-0.003</w:t>
            </w:r>
          </w:p>
        </w:tc>
      </w:tr>
      <w:tr w:rsidR="0033739C" w:rsidRPr="00D97714" w14:paraId="6BC5000C" w14:textId="77777777" w:rsidTr="000730DD">
        <w:trPr>
          <w:trHeight w:val="20"/>
        </w:trPr>
        <w:tc>
          <w:tcPr>
            <w:tcW w:w="2364" w:type="pct"/>
            <w:vMerge/>
            <w:tcBorders>
              <w:left w:val="single" w:sz="8" w:space="0" w:color="C1C1C1"/>
              <w:bottom w:val="nil"/>
              <w:right w:val="nil"/>
            </w:tcBorders>
            <w:shd w:val="clear" w:color="auto" w:fill="auto"/>
            <w:hideMark/>
          </w:tcPr>
          <w:p w14:paraId="0525D31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499" w:type="pct"/>
            <w:tcBorders>
              <w:top w:val="nil"/>
              <w:left w:val="nil"/>
              <w:bottom w:val="nil"/>
              <w:right w:val="nil"/>
            </w:tcBorders>
            <w:shd w:val="clear" w:color="auto" w:fill="auto"/>
            <w:hideMark/>
          </w:tcPr>
          <w:p w14:paraId="17207DD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(.07)</w:t>
            </w:r>
          </w:p>
        </w:tc>
        <w:tc>
          <w:tcPr>
            <w:tcW w:w="1137" w:type="pct"/>
            <w:tcBorders>
              <w:top w:val="nil"/>
              <w:left w:val="nil"/>
              <w:bottom w:val="nil"/>
              <w:right w:val="nil"/>
            </w:tcBorders>
            <w:shd w:val="clear" w:color="auto" w:fill="auto"/>
            <w:hideMark/>
          </w:tcPr>
          <w:p w14:paraId="548775F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(-1.60)</w:t>
            </w:r>
          </w:p>
        </w:tc>
      </w:tr>
      <w:tr w:rsidR="0033739C" w:rsidRPr="00D97714" w14:paraId="42178575" w14:textId="77777777" w:rsidTr="000730DD">
        <w:trPr>
          <w:trHeight w:val="20"/>
        </w:trPr>
        <w:tc>
          <w:tcPr>
            <w:tcW w:w="2364" w:type="pct"/>
            <w:vMerge w:val="restart"/>
            <w:tcBorders>
              <w:top w:val="nil"/>
              <w:left w:val="single" w:sz="8" w:space="0" w:color="C1C1C1"/>
              <w:right w:val="nil"/>
            </w:tcBorders>
            <w:shd w:val="clear" w:color="auto" w:fill="auto"/>
            <w:hideMark/>
          </w:tcPr>
          <w:p w14:paraId="7F9FABD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LN(MKCAP)</w:t>
            </w:r>
          </w:p>
        </w:tc>
        <w:tc>
          <w:tcPr>
            <w:tcW w:w="1499" w:type="pct"/>
            <w:tcBorders>
              <w:top w:val="nil"/>
              <w:left w:val="nil"/>
              <w:bottom w:val="nil"/>
              <w:right w:val="nil"/>
            </w:tcBorders>
            <w:shd w:val="clear" w:color="auto" w:fill="auto"/>
            <w:noWrap/>
            <w:hideMark/>
          </w:tcPr>
          <w:p w14:paraId="2B8F5AA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-0.004</w:t>
            </w:r>
          </w:p>
        </w:tc>
        <w:tc>
          <w:tcPr>
            <w:tcW w:w="1137" w:type="pct"/>
            <w:tcBorders>
              <w:top w:val="nil"/>
              <w:left w:val="nil"/>
              <w:bottom w:val="nil"/>
              <w:right w:val="nil"/>
            </w:tcBorders>
            <w:shd w:val="clear" w:color="auto" w:fill="auto"/>
            <w:noWrap/>
            <w:hideMark/>
          </w:tcPr>
          <w:p w14:paraId="3595778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0.032</w:t>
            </w:r>
          </w:p>
        </w:tc>
      </w:tr>
      <w:tr w:rsidR="0033739C" w:rsidRPr="00D97714" w14:paraId="16F9F91E" w14:textId="77777777" w:rsidTr="000730DD">
        <w:trPr>
          <w:trHeight w:val="20"/>
        </w:trPr>
        <w:tc>
          <w:tcPr>
            <w:tcW w:w="2364" w:type="pct"/>
            <w:vMerge/>
            <w:tcBorders>
              <w:left w:val="single" w:sz="8" w:space="0" w:color="C1C1C1"/>
              <w:bottom w:val="nil"/>
              <w:right w:val="nil"/>
            </w:tcBorders>
            <w:shd w:val="clear" w:color="auto" w:fill="auto"/>
            <w:hideMark/>
          </w:tcPr>
          <w:p w14:paraId="1B67A64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c>
          <w:tcPr>
            <w:tcW w:w="1499" w:type="pct"/>
            <w:tcBorders>
              <w:top w:val="nil"/>
              <w:left w:val="nil"/>
              <w:bottom w:val="nil"/>
              <w:right w:val="nil"/>
            </w:tcBorders>
            <w:shd w:val="clear" w:color="auto" w:fill="auto"/>
            <w:noWrap/>
            <w:hideMark/>
          </w:tcPr>
          <w:p w14:paraId="7263DF2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(-8.93***)</w:t>
            </w:r>
          </w:p>
        </w:tc>
        <w:tc>
          <w:tcPr>
            <w:tcW w:w="1137" w:type="pct"/>
            <w:tcBorders>
              <w:top w:val="nil"/>
              <w:left w:val="nil"/>
              <w:bottom w:val="nil"/>
              <w:right w:val="nil"/>
            </w:tcBorders>
            <w:shd w:val="clear" w:color="auto" w:fill="auto"/>
            <w:noWrap/>
            <w:hideMark/>
          </w:tcPr>
          <w:p w14:paraId="7C745BF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(23.23***)</w:t>
            </w:r>
          </w:p>
        </w:tc>
      </w:tr>
      <w:tr w:rsidR="0033739C" w:rsidRPr="00D97714" w14:paraId="630FAA93" w14:textId="77777777" w:rsidTr="000730DD">
        <w:trPr>
          <w:trHeight w:val="20"/>
        </w:trPr>
        <w:tc>
          <w:tcPr>
            <w:tcW w:w="2364" w:type="pct"/>
            <w:vMerge w:val="restart"/>
            <w:tcBorders>
              <w:top w:val="nil"/>
              <w:left w:val="single" w:sz="8" w:space="0" w:color="C1C1C1"/>
              <w:right w:val="nil"/>
            </w:tcBorders>
            <w:shd w:val="clear" w:color="auto" w:fill="auto"/>
            <w:hideMark/>
          </w:tcPr>
          <w:p w14:paraId="0ED69F4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IOPr</w:t>
            </w:r>
          </w:p>
        </w:tc>
        <w:tc>
          <w:tcPr>
            <w:tcW w:w="1499" w:type="pct"/>
            <w:tcBorders>
              <w:top w:val="nil"/>
              <w:left w:val="nil"/>
              <w:bottom w:val="nil"/>
              <w:right w:val="nil"/>
            </w:tcBorders>
            <w:shd w:val="clear" w:color="auto" w:fill="auto"/>
            <w:hideMark/>
          </w:tcPr>
          <w:p w14:paraId="5AA96D8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0.008</w:t>
            </w:r>
          </w:p>
        </w:tc>
        <w:tc>
          <w:tcPr>
            <w:tcW w:w="1137" w:type="pct"/>
            <w:tcBorders>
              <w:top w:val="nil"/>
              <w:left w:val="nil"/>
              <w:bottom w:val="nil"/>
              <w:right w:val="nil"/>
            </w:tcBorders>
            <w:shd w:val="clear" w:color="auto" w:fill="auto"/>
            <w:hideMark/>
          </w:tcPr>
          <w:p w14:paraId="30DB2B0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0.016</w:t>
            </w:r>
          </w:p>
        </w:tc>
      </w:tr>
      <w:tr w:rsidR="0033739C" w:rsidRPr="00D97714" w14:paraId="349B5454" w14:textId="77777777" w:rsidTr="000730DD">
        <w:trPr>
          <w:trHeight w:val="20"/>
        </w:trPr>
        <w:tc>
          <w:tcPr>
            <w:tcW w:w="2364" w:type="pct"/>
            <w:vMerge/>
            <w:tcBorders>
              <w:left w:val="single" w:sz="8" w:space="0" w:color="C1C1C1"/>
              <w:bottom w:val="nil"/>
              <w:right w:val="nil"/>
            </w:tcBorders>
            <w:shd w:val="clear" w:color="auto" w:fill="auto"/>
            <w:hideMark/>
          </w:tcPr>
          <w:p w14:paraId="6B0FB838"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p>
        </w:tc>
        <w:tc>
          <w:tcPr>
            <w:tcW w:w="1499" w:type="pct"/>
            <w:tcBorders>
              <w:top w:val="nil"/>
              <w:left w:val="nil"/>
              <w:bottom w:val="nil"/>
              <w:right w:val="nil"/>
            </w:tcBorders>
            <w:shd w:val="clear" w:color="auto" w:fill="auto"/>
            <w:hideMark/>
          </w:tcPr>
          <w:p w14:paraId="551B2EF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(3.06***)</w:t>
            </w:r>
          </w:p>
        </w:tc>
        <w:tc>
          <w:tcPr>
            <w:tcW w:w="1137" w:type="pct"/>
            <w:tcBorders>
              <w:top w:val="nil"/>
              <w:left w:val="nil"/>
              <w:bottom w:val="nil"/>
              <w:right w:val="nil"/>
            </w:tcBorders>
            <w:shd w:val="clear" w:color="auto" w:fill="auto"/>
            <w:hideMark/>
          </w:tcPr>
          <w:p w14:paraId="0EE6501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(6.49***)</w:t>
            </w:r>
          </w:p>
        </w:tc>
      </w:tr>
      <w:tr w:rsidR="0033739C" w:rsidRPr="00D97714" w14:paraId="2C8A5BC6" w14:textId="77777777" w:rsidTr="000730DD">
        <w:trPr>
          <w:trHeight w:val="20"/>
        </w:trPr>
        <w:tc>
          <w:tcPr>
            <w:tcW w:w="2364" w:type="pct"/>
            <w:vMerge w:val="restart"/>
            <w:tcBorders>
              <w:top w:val="nil"/>
              <w:left w:val="single" w:sz="8" w:space="0" w:color="C1C1C1"/>
              <w:right w:val="nil"/>
            </w:tcBorders>
            <w:shd w:val="clear" w:color="auto" w:fill="auto"/>
            <w:hideMark/>
          </w:tcPr>
          <w:p w14:paraId="45FEE96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IOV</w:t>
            </w:r>
          </w:p>
        </w:tc>
        <w:tc>
          <w:tcPr>
            <w:tcW w:w="1499" w:type="pct"/>
            <w:tcBorders>
              <w:top w:val="nil"/>
              <w:left w:val="nil"/>
              <w:bottom w:val="nil"/>
              <w:right w:val="nil"/>
            </w:tcBorders>
            <w:shd w:val="clear" w:color="auto" w:fill="auto"/>
            <w:noWrap/>
            <w:hideMark/>
          </w:tcPr>
          <w:p w14:paraId="5F4D6B9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-0.714</w:t>
            </w:r>
          </w:p>
        </w:tc>
        <w:tc>
          <w:tcPr>
            <w:tcW w:w="1137" w:type="pct"/>
            <w:tcBorders>
              <w:top w:val="nil"/>
              <w:left w:val="nil"/>
              <w:bottom w:val="nil"/>
              <w:right w:val="nil"/>
            </w:tcBorders>
            <w:shd w:val="clear" w:color="auto" w:fill="auto"/>
            <w:noWrap/>
            <w:hideMark/>
          </w:tcPr>
          <w:p w14:paraId="3826334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-1.554</w:t>
            </w:r>
          </w:p>
        </w:tc>
      </w:tr>
      <w:tr w:rsidR="0033739C" w:rsidRPr="00D97714" w14:paraId="36D1AF19" w14:textId="77777777" w:rsidTr="000730DD">
        <w:trPr>
          <w:trHeight w:val="20"/>
        </w:trPr>
        <w:tc>
          <w:tcPr>
            <w:tcW w:w="2364" w:type="pct"/>
            <w:vMerge/>
            <w:tcBorders>
              <w:left w:val="single" w:sz="8" w:space="0" w:color="C1C1C1"/>
              <w:bottom w:val="nil"/>
              <w:right w:val="nil"/>
            </w:tcBorders>
            <w:shd w:val="clear" w:color="auto" w:fill="auto"/>
            <w:hideMark/>
          </w:tcPr>
          <w:p w14:paraId="52EF961E"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p>
        </w:tc>
        <w:tc>
          <w:tcPr>
            <w:tcW w:w="1499" w:type="pct"/>
            <w:tcBorders>
              <w:top w:val="nil"/>
              <w:left w:val="nil"/>
              <w:bottom w:val="nil"/>
              <w:right w:val="nil"/>
            </w:tcBorders>
            <w:shd w:val="clear" w:color="auto" w:fill="auto"/>
            <w:noWrap/>
            <w:hideMark/>
          </w:tcPr>
          <w:p w14:paraId="4C5ED8E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(-3.49***)</w:t>
            </w:r>
          </w:p>
        </w:tc>
        <w:tc>
          <w:tcPr>
            <w:tcW w:w="1137" w:type="pct"/>
            <w:tcBorders>
              <w:top w:val="nil"/>
              <w:left w:val="nil"/>
              <w:bottom w:val="nil"/>
              <w:right w:val="nil"/>
            </w:tcBorders>
            <w:shd w:val="clear" w:color="auto" w:fill="auto"/>
            <w:noWrap/>
            <w:hideMark/>
          </w:tcPr>
          <w:p w14:paraId="6DB43E9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(-3.50***)</w:t>
            </w:r>
          </w:p>
        </w:tc>
      </w:tr>
      <w:tr w:rsidR="0033739C" w:rsidRPr="00D97714" w14:paraId="1384636C" w14:textId="77777777" w:rsidTr="000730DD">
        <w:trPr>
          <w:trHeight w:val="20"/>
        </w:trPr>
        <w:tc>
          <w:tcPr>
            <w:tcW w:w="2364" w:type="pct"/>
            <w:vMerge w:val="restart"/>
            <w:tcBorders>
              <w:top w:val="nil"/>
              <w:left w:val="single" w:sz="8" w:space="0" w:color="C1C1C1"/>
              <w:right w:val="nil"/>
            </w:tcBorders>
            <w:shd w:val="clear" w:color="auto" w:fill="auto"/>
            <w:hideMark/>
          </w:tcPr>
          <w:p w14:paraId="25372B53"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ROA</w:t>
            </w:r>
          </w:p>
          <w:p w14:paraId="5085CF71"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 </w:t>
            </w:r>
          </w:p>
        </w:tc>
        <w:tc>
          <w:tcPr>
            <w:tcW w:w="1499" w:type="pct"/>
            <w:tcBorders>
              <w:top w:val="nil"/>
              <w:left w:val="nil"/>
              <w:bottom w:val="nil"/>
              <w:right w:val="nil"/>
            </w:tcBorders>
            <w:shd w:val="clear" w:color="auto" w:fill="auto"/>
            <w:noWrap/>
            <w:hideMark/>
          </w:tcPr>
          <w:p w14:paraId="3873F60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-0.008</w:t>
            </w:r>
          </w:p>
        </w:tc>
        <w:tc>
          <w:tcPr>
            <w:tcW w:w="1137" w:type="pct"/>
            <w:tcBorders>
              <w:top w:val="nil"/>
              <w:left w:val="nil"/>
              <w:bottom w:val="nil"/>
              <w:right w:val="nil"/>
            </w:tcBorders>
            <w:shd w:val="clear" w:color="auto" w:fill="auto"/>
            <w:noWrap/>
            <w:hideMark/>
          </w:tcPr>
          <w:p w14:paraId="53B2F59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r>
      <w:tr w:rsidR="0033739C" w:rsidRPr="00D97714" w14:paraId="78F15576" w14:textId="77777777" w:rsidTr="000730DD">
        <w:trPr>
          <w:trHeight w:val="20"/>
        </w:trPr>
        <w:tc>
          <w:tcPr>
            <w:tcW w:w="2364" w:type="pct"/>
            <w:vMerge/>
            <w:tcBorders>
              <w:left w:val="single" w:sz="8" w:space="0" w:color="C1C1C1"/>
              <w:bottom w:val="nil"/>
              <w:right w:val="nil"/>
            </w:tcBorders>
            <w:shd w:val="clear" w:color="auto" w:fill="auto"/>
            <w:hideMark/>
          </w:tcPr>
          <w:p w14:paraId="58E6D73C"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p>
        </w:tc>
        <w:tc>
          <w:tcPr>
            <w:tcW w:w="1499" w:type="pct"/>
            <w:tcBorders>
              <w:top w:val="nil"/>
              <w:left w:val="nil"/>
              <w:bottom w:val="nil"/>
              <w:right w:val="nil"/>
            </w:tcBorders>
            <w:shd w:val="clear" w:color="auto" w:fill="auto"/>
            <w:noWrap/>
            <w:hideMark/>
          </w:tcPr>
          <w:p w14:paraId="2ADC110F"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(-2.16**)</w:t>
            </w:r>
          </w:p>
        </w:tc>
        <w:tc>
          <w:tcPr>
            <w:tcW w:w="1137" w:type="pct"/>
            <w:tcBorders>
              <w:top w:val="nil"/>
              <w:left w:val="nil"/>
              <w:bottom w:val="nil"/>
              <w:right w:val="nil"/>
            </w:tcBorders>
            <w:shd w:val="clear" w:color="auto" w:fill="auto"/>
            <w:noWrap/>
            <w:hideMark/>
          </w:tcPr>
          <w:p w14:paraId="5787346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r>
      <w:tr w:rsidR="0033739C" w:rsidRPr="00D97714" w14:paraId="3BD040F7" w14:textId="77777777" w:rsidTr="000730DD">
        <w:trPr>
          <w:trHeight w:val="20"/>
        </w:trPr>
        <w:tc>
          <w:tcPr>
            <w:tcW w:w="2364" w:type="pct"/>
            <w:vMerge w:val="restart"/>
            <w:tcBorders>
              <w:top w:val="nil"/>
              <w:left w:val="single" w:sz="8" w:space="0" w:color="C1C1C1"/>
              <w:right w:val="nil"/>
            </w:tcBorders>
            <w:shd w:val="clear" w:color="auto" w:fill="auto"/>
            <w:hideMark/>
          </w:tcPr>
          <w:p w14:paraId="5D68831B"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MKBK</w:t>
            </w:r>
          </w:p>
          <w:p w14:paraId="0D7A8ABD"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 </w:t>
            </w:r>
          </w:p>
        </w:tc>
        <w:tc>
          <w:tcPr>
            <w:tcW w:w="1499" w:type="pct"/>
            <w:tcBorders>
              <w:top w:val="nil"/>
              <w:left w:val="nil"/>
              <w:bottom w:val="nil"/>
              <w:right w:val="nil"/>
            </w:tcBorders>
            <w:shd w:val="clear" w:color="auto" w:fill="auto"/>
            <w:hideMark/>
          </w:tcPr>
          <w:p w14:paraId="312925A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0.000</w:t>
            </w:r>
          </w:p>
        </w:tc>
        <w:tc>
          <w:tcPr>
            <w:tcW w:w="1137" w:type="pct"/>
            <w:tcBorders>
              <w:top w:val="nil"/>
              <w:left w:val="nil"/>
              <w:bottom w:val="nil"/>
              <w:right w:val="nil"/>
            </w:tcBorders>
            <w:shd w:val="clear" w:color="auto" w:fill="auto"/>
            <w:hideMark/>
          </w:tcPr>
          <w:p w14:paraId="1296BCA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r>
      <w:tr w:rsidR="0033739C" w:rsidRPr="00D97714" w14:paraId="49F69E91" w14:textId="77777777" w:rsidTr="000730DD">
        <w:trPr>
          <w:trHeight w:val="20"/>
        </w:trPr>
        <w:tc>
          <w:tcPr>
            <w:tcW w:w="2364" w:type="pct"/>
            <w:vMerge/>
            <w:tcBorders>
              <w:left w:val="single" w:sz="8" w:space="0" w:color="C1C1C1"/>
              <w:bottom w:val="nil"/>
              <w:right w:val="nil"/>
            </w:tcBorders>
            <w:shd w:val="clear" w:color="auto" w:fill="auto"/>
            <w:hideMark/>
          </w:tcPr>
          <w:p w14:paraId="3F590598"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p>
        </w:tc>
        <w:tc>
          <w:tcPr>
            <w:tcW w:w="1499" w:type="pct"/>
            <w:tcBorders>
              <w:top w:val="nil"/>
              <w:left w:val="nil"/>
              <w:bottom w:val="nil"/>
              <w:right w:val="nil"/>
            </w:tcBorders>
            <w:shd w:val="clear" w:color="auto" w:fill="auto"/>
            <w:hideMark/>
          </w:tcPr>
          <w:p w14:paraId="5538651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(1.50)</w:t>
            </w:r>
          </w:p>
        </w:tc>
        <w:tc>
          <w:tcPr>
            <w:tcW w:w="1137" w:type="pct"/>
            <w:tcBorders>
              <w:top w:val="nil"/>
              <w:left w:val="nil"/>
              <w:bottom w:val="nil"/>
              <w:right w:val="nil"/>
            </w:tcBorders>
            <w:shd w:val="clear" w:color="auto" w:fill="auto"/>
            <w:hideMark/>
          </w:tcPr>
          <w:p w14:paraId="6F8B317E"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p>
        </w:tc>
      </w:tr>
      <w:tr w:rsidR="0033739C" w:rsidRPr="00D97714" w14:paraId="77AC4DF0" w14:textId="77777777" w:rsidTr="000730DD">
        <w:trPr>
          <w:trHeight w:val="20"/>
        </w:trPr>
        <w:tc>
          <w:tcPr>
            <w:tcW w:w="2364" w:type="pct"/>
            <w:vMerge w:val="restart"/>
            <w:tcBorders>
              <w:top w:val="nil"/>
              <w:left w:val="single" w:sz="8" w:space="0" w:color="C1C1C1"/>
              <w:right w:val="nil"/>
            </w:tcBorders>
            <w:shd w:val="clear" w:color="auto" w:fill="auto"/>
            <w:hideMark/>
          </w:tcPr>
          <w:p w14:paraId="152DFAD1"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DEBT</w:t>
            </w:r>
          </w:p>
          <w:p w14:paraId="1FFBEB1C"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 </w:t>
            </w:r>
          </w:p>
        </w:tc>
        <w:tc>
          <w:tcPr>
            <w:tcW w:w="1499" w:type="pct"/>
            <w:tcBorders>
              <w:top w:val="nil"/>
              <w:left w:val="nil"/>
              <w:bottom w:val="nil"/>
              <w:right w:val="nil"/>
            </w:tcBorders>
            <w:shd w:val="clear" w:color="auto" w:fill="auto"/>
            <w:hideMark/>
          </w:tcPr>
          <w:p w14:paraId="1E775A1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0.002</w:t>
            </w:r>
          </w:p>
        </w:tc>
        <w:tc>
          <w:tcPr>
            <w:tcW w:w="1137" w:type="pct"/>
            <w:tcBorders>
              <w:top w:val="nil"/>
              <w:left w:val="nil"/>
              <w:bottom w:val="nil"/>
              <w:right w:val="nil"/>
            </w:tcBorders>
            <w:shd w:val="clear" w:color="auto" w:fill="auto"/>
            <w:hideMark/>
          </w:tcPr>
          <w:p w14:paraId="63C780F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-0.254</w:t>
            </w:r>
          </w:p>
        </w:tc>
      </w:tr>
      <w:tr w:rsidR="0033739C" w:rsidRPr="00D97714" w14:paraId="5D391C69" w14:textId="77777777" w:rsidTr="000730DD">
        <w:trPr>
          <w:trHeight w:val="20"/>
        </w:trPr>
        <w:tc>
          <w:tcPr>
            <w:tcW w:w="2364" w:type="pct"/>
            <w:vMerge/>
            <w:tcBorders>
              <w:left w:val="single" w:sz="8" w:space="0" w:color="C1C1C1"/>
              <w:bottom w:val="nil"/>
              <w:right w:val="nil"/>
            </w:tcBorders>
            <w:shd w:val="clear" w:color="auto" w:fill="auto"/>
            <w:hideMark/>
          </w:tcPr>
          <w:p w14:paraId="2836DCD6"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p>
        </w:tc>
        <w:tc>
          <w:tcPr>
            <w:tcW w:w="1499" w:type="pct"/>
            <w:tcBorders>
              <w:top w:val="nil"/>
              <w:left w:val="nil"/>
              <w:bottom w:val="nil"/>
              <w:right w:val="nil"/>
            </w:tcBorders>
            <w:shd w:val="clear" w:color="auto" w:fill="auto"/>
            <w:hideMark/>
          </w:tcPr>
          <w:p w14:paraId="5BC2BFE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(.99)</w:t>
            </w:r>
          </w:p>
        </w:tc>
        <w:tc>
          <w:tcPr>
            <w:tcW w:w="1137" w:type="pct"/>
            <w:tcBorders>
              <w:top w:val="nil"/>
              <w:left w:val="nil"/>
              <w:bottom w:val="nil"/>
              <w:right w:val="nil"/>
            </w:tcBorders>
            <w:shd w:val="clear" w:color="auto" w:fill="auto"/>
            <w:hideMark/>
          </w:tcPr>
          <w:p w14:paraId="5948E9AB"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(-7.41***)</w:t>
            </w:r>
          </w:p>
        </w:tc>
      </w:tr>
      <w:tr w:rsidR="0033739C" w:rsidRPr="00D97714" w14:paraId="3FD1D4EF" w14:textId="77777777" w:rsidTr="000730DD">
        <w:trPr>
          <w:trHeight w:val="20"/>
        </w:trPr>
        <w:tc>
          <w:tcPr>
            <w:tcW w:w="2364" w:type="pct"/>
            <w:vMerge w:val="restart"/>
            <w:tcBorders>
              <w:top w:val="nil"/>
              <w:left w:val="single" w:sz="8" w:space="0" w:color="C1C1C1"/>
              <w:right w:val="nil"/>
            </w:tcBorders>
            <w:shd w:val="clear" w:color="auto" w:fill="auto"/>
            <w:hideMark/>
          </w:tcPr>
          <w:p w14:paraId="7303D96F"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CAPX</w:t>
            </w:r>
          </w:p>
        </w:tc>
        <w:tc>
          <w:tcPr>
            <w:tcW w:w="1499" w:type="pct"/>
            <w:tcBorders>
              <w:top w:val="nil"/>
              <w:left w:val="nil"/>
              <w:bottom w:val="nil"/>
              <w:right w:val="nil"/>
            </w:tcBorders>
            <w:shd w:val="clear" w:color="auto" w:fill="auto"/>
            <w:noWrap/>
            <w:vAlign w:val="bottom"/>
            <w:hideMark/>
          </w:tcPr>
          <w:p w14:paraId="75B969BD" w14:textId="77777777" w:rsidR="0033739C" w:rsidRPr="00D97714" w:rsidRDefault="0033739C" w:rsidP="00B05BA5">
            <w:pPr>
              <w:spacing w:after="0" w:line="240" w:lineRule="auto"/>
              <w:jc w:val="center"/>
              <w:rPr>
                <w:rFonts w:ascii="Times New Roman" w:eastAsia="Times New Roman" w:hAnsi="Times New Roman" w:cs="Times New Roman"/>
                <w:b/>
                <w:bCs/>
                <w:color w:val="000000"/>
                <w:sz w:val="24"/>
                <w:szCs w:val="24"/>
              </w:rPr>
            </w:pPr>
          </w:p>
        </w:tc>
        <w:tc>
          <w:tcPr>
            <w:tcW w:w="1137" w:type="pct"/>
            <w:tcBorders>
              <w:top w:val="single" w:sz="8" w:space="0" w:color="C1C1C1"/>
              <w:left w:val="nil"/>
              <w:bottom w:val="nil"/>
              <w:right w:val="nil"/>
            </w:tcBorders>
            <w:shd w:val="clear" w:color="auto" w:fill="auto"/>
            <w:hideMark/>
          </w:tcPr>
          <w:p w14:paraId="651A5F9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-0.865</w:t>
            </w:r>
          </w:p>
        </w:tc>
      </w:tr>
      <w:tr w:rsidR="0033739C" w:rsidRPr="00D97714" w14:paraId="61504227" w14:textId="77777777" w:rsidTr="000730DD">
        <w:trPr>
          <w:trHeight w:val="225"/>
        </w:trPr>
        <w:tc>
          <w:tcPr>
            <w:tcW w:w="2364" w:type="pct"/>
            <w:vMerge/>
            <w:tcBorders>
              <w:left w:val="single" w:sz="8" w:space="0" w:color="C1C1C1"/>
              <w:bottom w:val="nil"/>
              <w:right w:val="nil"/>
            </w:tcBorders>
            <w:shd w:val="clear" w:color="auto" w:fill="auto"/>
            <w:hideMark/>
          </w:tcPr>
          <w:p w14:paraId="6FE2ADB0"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p>
        </w:tc>
        <w:tc>
          <w:tcPr>
            <w:tcW w:w="1499" w:type="pct"/>
            <w:tcBorders>
              <w:top w:val="nil"/>
              <w:left w:val="nil"/>
              <w:bottom w:val="nil"/>
              <w:right w:val="nil"/>
            </w:tcBorders>
            <w:shd w:val="clear" w:color="auto" w:fill="auto"/>
            <w:noWrap/>
            <w:vAlign w:val="bottom"/>
            <w:hideMark/>
          </w:tcPr>
          <w:p w14:paraId="662E231C" w14:textId="77777777" w:rsidR="0033739C" w:rsidRPr="00D97714" w:rsidRDefault="0033739C" w:rsidP="00B05BA5">
            <w:pPr>
              <w:spacing w:after="0" w:line="240" w:lineRule="auto"/>
              <w:rPr>
                <w:rFonts w:ascii="Times New Roman" w:eastAsia="Times New Roman" w:hAnsi="Times New Roman" w:cs="Times New Roman"/>
                <w:b/>
                <w:bCs/>
                <w:color w:val="000000"/>
                <w:sz w:val="24"/>
                <w:szCs w:val="24"/>
              </w:rPr>
            </w:pPr>
          </w:p>
        </w:tc>
        <w:tc>
          <w:tcPr>
            <w:tcW w:w="1137" w:type="pct"/>
            <w:tcBorders>
              <w:top w:val="nil"/>
              <w:left w:val="nil"/>
              <w:bottom w:val="nil"/>
              <w:right w:val="nil"/>
            </w:tcBorders>
            <w:shd w:val="clear" w:color="auto" w:fill="auto"/>
            <w:hideMark/>
          </w:tcPr>
          <w:p w14:paraId="1305D1D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(-3.60***)</w:t>
            </w:r>
          </w:p>
        </w:tc>
      </w:tr>
      <w:tr w:rsidR="0033739C" w:rsidRPr="00D97714" w14:paraId="03097243" w14:textId="77777777" w:rsidTr="000730DD">
        <w:trPr>
          <w:trHeight w:val="20"/>
        </w:trPr>
        <w:tc>
          <w:tcPr>
            <w:tcW w:w="2364" w:type="pct"/>
            <w:vMerge w:val="restart"/>
            <w:tcBorders>
              <w:top w:val="nil"/>
              <w:left w:val="single" w:sz="8" w:space="0" w:color="C1C1C1"/>
              <w:right w:val="nil"/>
            </w:tcBorders>
            <w:shd w:val="clear" w:color="auto" w:fill="auto"/>
            <w:hideMark/>
          </w:tcPr>
          <w:p w14:paraId="5F06C794" w14:textId="77777777" w:rsidR="0033739C" w:rsidRPr="00D97714" w:rsidRDefault="0033739C" w:rsidP="00B05BA5">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OPEX</w:t>
            </w:r>
          </w:p>
        </w:tc>
        <w:tc>
          <w:tcPr>
            <w:tcW w:w="1499" w:type="pct"/>
            <w:tcBorders>
              <w:top w:val="nil"/>
              <w:left w:val="nil"/>
              <w:bottom w:val="nil"/>
              <w:right w:val="nil"/>
            </w:tcBorders>
            <w:shd w:val="clear" w:color="auto" w:fill="auto"/>
            <w:noWrap/>
            <w:vAlign w:val="bottom"/>
            <w:hideMark/>
          </w:tcPr>
          <w:p w14:paraId="22236ACF" w14:textId="77777777" w:rsidR="0033739C" w:rsidRPr="00D97714" w:rsidRDefault="0033739C" w:rsidP="00B05BA5">
            <w:pPr>
              <w:spacing w:after="0" w:line="240" w:lineRule="auto"/>
              <w:jc w:val="center"/>
              <w:rPr>
                <w:rFonts w:ascii="Times New Roman" w:eastAsia="Times New Roman" w:hAnsi="Times New Roman" w:cs="Times New Roman"/>
                <w:b/>
                <w:bCs/>
                <w:color w:val="000000"/>
                <w:sz w:val="24"/>
                <w:szCs w:val="24"/>
              </w:rPr>
            </w:pPr>
          </w:p>
        </w:tc>
        <w:tc>
          <w:tcPr>
            <w:tcW w:w="1137" w:type="pct"/>
            <w:tcBorders>
              <w:top w:val="nil"/>
              <w:left w:val="nil"/>
              <w:bottom w:val="nil"/>
              <w:right w:val="nil"/>
            </w:tcBorders>
            <w:shd w:val="clear" w:color="auto" w:fill="auto"/>
            <w:hideMark/>
          </w:tcPr>
          <w:p w14:paraId="43C54C3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-0.071</w:t>
            </w:r>
          </w:p>
        </w:tc>
      </w:tr>
      <w:tr w:rsidR="0033739C" w:rsidRPr="00D97714" w14:paraId="718BF391" w14:textId="77777777" w:rsidTr="000730DD">
        <w:trPr>
          <w:trHeight w:val="80"/>
        </w:trPr>
        <w:tc>
          <w:tcPr>
            <w:tcW w:w="2364" w:type="pct"/>
            <w:vMerge/>
            <w:tcBorders>
              <w:left w:val="single" w:sz="8" w:space="0" w:color="C1C1C1"/>
              <w:bottom w:val="nil"/>
              <w:right w:val="nil"/>
            </w:tcBorders>
            <w:shd w:val="clear" w:color="auto" w:fill="auto"/>
            <w:hideMark/>
          </w:tcPr>
          <w:p w14:paraId="1C712220"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1499" w:type="pct"/>
            <w:tcBorders>
              <w:top w:val="nil"/>
              <w:left w:val="nil"/>
              <w:bottom w:val="nil"/>
              <w:right w:val="nil"/>
            </w:tcBorders>
            <w:shd w:val="clear" w:color="auto" w:fill="auto"/>
            <w:noWrap/>
            <w:vAlign w:val="bottom"/>
            <w:hideMark/>
          </w:tcPr>
          <w:p w14:paraId="3B36D86E" w14:textId="77777777" w:rsidR="0033739C" w:rsidRPr="00D97714" w:rsidRDefault="0033739C" w:rsidP="00B05BA5">
            <w:pPr>
              <w:spacing w:after="0" w:line="240" w:lineRule="auto"/>
              <w:jc w:val="center"/>
              <w:rPr>
                <w:rFonts w:ascii="Times New Roman" w:eastAsia="Times New Roman" w:hAnsi="Times New Roman" w:cs="Times New Roman"/>
                <w:sz w:val="24"/>
                <w:szCs w:val="24"/>
              </w:rPr>
            </w:pPr>
          </w:p>
        </w:tc>
        <w:tc>
          <w:tcPr>
            <w:tcW w:w="1137" w:type="pct"/>
            <w:tcBorders>
              <w:top w:val="nil"/>
              <w:left w:val="nil"/>
              <w:bottom w:val="nil"/>
              <w:right w:val="nil"/>
            </w:tcBorders>
            <w:shd w:val="clear" w:color="auto" w:fill="auto"/>
            <w:hideMark/>
          </w:tcPr>
          <w:p w14:paraId="4219C449"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(-3.21***)</w:t>
            </w:r>
          </w:p>
        </w:tc>
      </w:tr>
      <w:tr w:rsidR="0033739C" w:rsidRPr="00D97714" w14:paraId="6289AA74" w14:textId="77777777" w:rsidTr="000730DD">
        <w:trPr>
          <w:trHeight w:val="20"/>
        </w:trPr>
        <w:tc>
          <w:tcPr>
            <w:tcW w:w="2364" w:type="pct"/>
            <w:tcBorders>
              <w:top w:val="nil"/>
              <w:left w:val="nil"/>
              <w:bottom w:val="nil"/>
              <w:right w:val="nil"/>
            </w:tcBorders>
            <w:shd w:val="clear" w:color="auto" w:fill="auto"/>
            <w:noWrap/>
            <w:vAlign w:val="bottom"/>
            <w:hideMark/>
          </w:tcPr>
          <w:p w14:paraId="210BF3B8"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1499" w:type="pct"/>
            <w:tcBorders>
              <w:top w:val="nil"/>
              <w:left w:val="nil"/>
              <w:bottom w:val="nil"/>
              <w:right w:val="nil"/>
            </w:tcBorders>
            <w:shd w:val="clear" w:color="auto" w:fill="auto"/>
            <w:noWrap/>
            <w:vAlign w:val="bottom"/>
            <w:hideMark/>
          </w:tcPr>
          <w:p w14:paraId="62919F00"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1137" w:type="pct"/>
            <w:tcBorders>
              <w:top w:val="nil"/>
              <w:left w:val="nil"/>
              <w:bottom w:val="nil"/>
              <w:right w:val="nil"/>
            </w:tcBorders>
            <w:shd w:val="clear" w:color="auto" w:fill="auto"/>
            <w:noWrap/>
            <w:vAlign w:val="bottom"/>
            <w:hideMark/>
          </w:tcPr>
          <w:p w14:paraId="078DB5F2" w14:textId="77777777" w:rsidR="0033739C" w:rsidRPr="00D97714" w:rsidRDefault="0033739C" w:rsidP="00B05BA5">
            <w:pPr>
              <w:spacing w:after="0" w:line="240" w:lineRule="auto"/>
              <w:rPr>
                <w:rFonts w:ascii="Times New Roman" w:eastAsia="Times New Roman" w:hAnsi="Times New Roman" w:cs="Times New Roman"/>
                <w:sz w:val="24"/>
                <w:szCs w:val="24"/>
              </w:rPr>
            </w:pPr>
          </w:p>
        </w:tc>
      </w:tr>
      <w:tr w:rsidR="0033739C" w:rsidRPr="00D97714" w14:paraId="499799B4" w14:textId="77777777" w:rsidTr="000730DD">
        <w:trPr>
          <w:trHeight w:val="20"/>
        </w:trPr>
        <w:tc>
          <w:tcPr>
            <w:tcW w:w="2364" w:type="pct"/>
            <w:tcBorders>
              <w:top w:val="nil"/>
              <w:left w:val="nil"/>
              <w:bottom w:val="nil"/>
              <w:right w:val="nil"/>
            </w:tcBorders>
            <w:shd w:val="clear" w:color="auto" w:fill="auto"/>
            <w:noWrap/>
            <w:vAlign w:val="bottom"/>
            <w:hideMark/>
          </w:tcPr>
          <w:p w14:paraId="565CFE0E"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1499" w:type="pct"/>
            <w:tcBorders>
              <w:top w:val="nil"/>
              <w:left w:val="nil"/>
              <w:bottom w:val="nil"/>
              <w:right w:val="nil"/>
            </w:tcBorders>
            <w:shd w:val="clear" w:color="auto" w:fill="auto"/>
            <w:noWrap/>
            <w:vAlign w:val="bottom"/>
            <w:hideMark/>
          </w:tcPr>
          <w:p w14:paraId="488B37BA" w14:textId="77777777" w:rsidR="0033739C" w:rsidRPr="00D97714" w:rsidRDefault="0033739C" w:rsidP="00B05BA5">
            <w:pPr>
              <w:spacing w:after="0" w:line="240" w:lineRule="auto"/>
              <w:rPr>
                <w:rFonts w:ascii="Times New Roman" w:eastAsia="Times New Roman" w:hAnsi="Times New Roman" w:cs="Times New Roman"/>
                <w:sz w:val="24"/>
                <w:szCs w:val="24"/>
              </w:rPr>
            </w:pPr>
          </w:p>
        </w:tc>
        <w:tc>
          <w:tcPr>
            <w:tcW w:w="1137" w:type="pct"/>
            <w:tcBorders>
              <w:top w:val="nil"/>
              <w:left w:val="nil"/>
              <w:bottom w:val="nil"/>
              <w:right w:val="nil"/>
            </w:tcBorders>
            <w:shd w:val="clear" w:color="auto" w:fill="auto"/>
            <w:noWrap/>
            <w:hideMark/>
          </w:tcPr>
          <w:p w14:paraId="1FE5AFD7" w14:textId="77777777" w:rsidR="0033739C" w:rsidRPr="00D97714" w:rsidRDefault="0033739C" w:rsidP="00B05BA5">
            <w:pPr>
              <w:spacing w:after="0" w:line="240" w:lineRule="auto"/>
              <w:rPr>
                <w:rFonts w:ascii="Times New Roman" w:eastAsia="Times New Roman" w:hAnsi="Times New Roman" w:cs="Times New Roman"/>
                <w:sz w:val="24"/>
                <w:szCs w:val="24"/>
              </w:rPr>
            </w:pPr>
          </w:p>
        </w:tc>
      </w:tr>
      <w:tr w:rsidR="0033739C" w:rsidRPr="00D97714" w14:paraId="1D8124EC" w14:textId="77777777" w:rsidTr="000730DD">
        <w:trPr>
          <w:trHeight w:val="20"/>
        </w:trPr>
        <w:tc>
          <w:tcPr>
            <w:tcW w:w="2364" w:type="pct"/>
            <w:tcBorders>
              <w:top w:val="nil"/>
              <w:left w:val="nil"/>
              <w:bottom w:val="nil"/>
              <w:right w:val="nil"/>
            </w:tcBorders>
            <w:shd w:val="clear" w:color="auto" w:fill="auto"/>
            <w:noWrap/>
            <w:vAlign w:val="bottom"/>
            <w:hideMark/>
          </w:tcPr>
          <w:p w14:paraId="57F07CFC"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F-stat</w:t>
            </w:r>
          </w:p>
        </w:tc>
        <w:tc>
          <w:tcPr>
            <w:tcW w:w="1499" w:type="pct"/>
            <w:tcBorders>
              <w:top w:val="nil"/>
              <w:left w:val="nil"/>
              <w:bottom w:val="nil"/>
              <w:right w:val="nil"/>
            </w:tcBorders>
            <w:shd w:val="clear" w:color="auto" w:fill="auto"/>
            <w:noWrap/>
            <w:vAlign w:val="bottom"/>
            <w:hideMark/>
          </w:tcPr>
          <w:p w14:paraId="3FF7AD48"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14.03***</w:t>
            </w:r>
          </w:p>
        </w:tc>
        <w:tc>
          <w:tcPr>
            <w:tcW w:w="1137" w:type="pct"/>
            <w:tcBorders>
              <w:top w:val="nil"/>
              <w:left w:val="nil"/>
              <w:bottom w:val="nil"/>
              <w:right w:val="nil"/>
            </w:tcBorders>
            <w:shd w:val="clear" w:color="auto" w:fill="auto"/>
            <w:noWrap/>
            <w:vAlign w:val="bottom"/>
            <w:hideMark/>
          </w:tcPr>
          <w:p w14:paraId="1BBF85EA"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529.34***</w:t>
            </w:r>
          </w:p>
        </w:tc>
      </w:tr>
      <w:tr w:rsidR="0033739C" w:rsidRPr="00D97714" w14:paraId="094BEAE5" w14:textId="77777777" w:rsidTr="000730DD">
        <w:trPr>
          <w:trHeight w:val="20"/>
        </w:trPr>
        <w:tc>
          <w:tcPr>
            <w:tcW w:w="2364" w:type="pct"/>
            <w:tcBorders>
              <w:top w:val="nil"/>
              <w:left w:val="nil"/>
              <w:bottom w:val="nil"/>
              <w:right w:val="nil"/>
            </w:tcBorders>
            <w:shd w:val="clear" w:color="auto" w:fill="auto"/>
            <w:noWrap/>
            <w:vAlign w:val="bottom"/>
            <w:hideMark/>
          </w:tcPr>
          <w:p w14:paraId="7E722D1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Adj. R-squared</w:t>
            </w:r>
          </w:p>
        </w:tc>
        <w:tc>
          <w:tcPr>
            <w:tcW w:w="1499" w:type="pct"/>
            <w:tcBorders>
              <w:top w:val="nil"/>
              <w:left w:val="nil"/>
              <w:bottom w:val="nil"/>
              <w:right w:val="nil"/>
            </w:tcBorders>
            <w:shd w:val="clear" w:color="auto" w:fill="auto"/>
            <w:noWrap/>
            <w:vAlign w:val="bottom"/>
            <w:hideMark/>
          </w:tcPr>
          <w:p w14:paraId="7D382CB5"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0.026</w:t>
            </w:r>
          </w:p>
        </w:tc>
        <w:tc>
          <w:tcPr>
            <w:tcW w:w="1137" w:type="pct"/>
            <w:tcBorders>
              <w:top w:val="nil"/>
              <w:left w:val="nil"/>
              <w:bottom w:val="nil"/>
              <w:right w:val="nil"/>
            </w:tcBorders>
            <w:shd w:val="clear" w:color="auto" w:fill="auto"/>
            <w:noWrap/>
            <w:vAlign w:val="bottom"/>
            <w:hideMark/>
          </w:tcPr>
          <w:p w14:paraId="6F1810D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0.1478</w:t>
            </w:r>
          </w:p>
        </w:tc>
      </w:tr>
      <w:tr w:rsidR="0033739C" w:rsidRPr="00D97714" w14:paraId="4F8A3C3D" w14:textId="77777777" w:rsidTr="000730DD">
        <w:trPr>
          <w:trHeight w:val="20"/>
        </w:trPr>
        <w:tc>
          <w:tcPr>
            <w:tcW w:w="2364" w:type="pct"/>
            <w:tcBorders>
              <w:top w:val="nil"/>
              <w:left w:val="nil"/>
              <w:bottom w:val="nil"/>
              <w:right w:val="nil"/>
            </w:tcBorders>
            <w:shd w:val="clear" w:color="auto" w:fill="auto"/>
            <w:noWrap/>
            <w:vAlign w:val="bottom"/>
            <w:hideMark/>
          </w:tcPr>
          <w:p w14:paraId="407F095D"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Year fixed effects</w:t>
            </w:r>
          </w:p>
        </w:tc>
        <w:tc>
          <w:tcPr>
            <w:tcW w:w="1499" w:type="pct"/>
            <w:tcBorders>
              <w:top w:val="nil"/>
              <w:left w:val="nil"/>
              <w:bottom w:val="nil"/>
              <w:right w:val="nil"/>
            </w:tcBorders>
            <w:shd w:val="clear" w:color="auto" w:fill="auto"/>
            <w:noWrap/>
            <w:vAlign w:val="bottom"/>
            <w:hideMark/>
          </w:tcPr>
          <w:p w14:paraId="64971B23"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c>
          <w:tcPr>
            <w:tcW w:w="1137" w:type="pct"/>
            <w:tcBorders>
              <w:top w:val="nil"/>
              <w:left w:val="nil"/>
              <w:bottom w:val="nil"/>
              <w:right w:val="nil"/>
            </w:tcBorders>
            <w:shd w:val="clear" w:color="auto" w:fill="auto"/>
            <w:noWrap/>
            <w:vAlign w:val="bottom"/>
            <w:hideMark/>
          </w:tcPr>
          <w:p w14:paraId="13F8EC34"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r>
      <w:tr w:rsidR="0033739C" w:rsidRPr="00D97714" w14:paraId="1E1ECFBE" w14:textId="77777777" w:rsidTr="000730DD">
        <w:trPr>
          <w:trHeight w:val="20"/>
        </w:trPr>
        <w:tc>
          <w:tcPr>
            <w:tcW w:w="2364" w:type="pct"/>
            <w:tcBorders>
              <w:top w:val="nil"/>
              <w:left w:val="nil"/>
              <w:right w:val="nil"/>
            </w:tcBorders>
            <w:shd w:val="clear" w:color="auto" w:fill="auto"/>
            <w:noWrap/>
            <w:vAlign w:val="bottom"/>
            <w:hideMark/>
          </w:tcPr>
          <w:p w14:paraId="0535D697"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Firm clustered std err</w:t>
            </w:r>
          </w:p>
        </w:tc>
        <w:tc>
          <w:tcPr>
            <w:tcW w:w="1499" w:type="pct"/>
            <w:tcBorders>
              <w:top w:val="nil"/>
              <w:left w:val="nil"/>
              <w:right w:val="nil"/>
            </w:tcBorders>
            <w:shd w:val="clear" w:color="auto" w:fill="auto"/>
            <w:noWrap/>
            <w:vAlign w:val="bottom"/>
            <w:hideMark/>
          </w:tcPr>
          <w:p w14:paraId="7D761DF1"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c>
          <w:tcPr>
            <w:tcW w:w="1137" w:type="pct"/>
            <w:tcBorders>
              <w:top w:val="nil"/>
              <w:left w:val="nil"/>
              <w:right w:val="nil"/>
            </w:tcBorders>
            <w:shd w:val="clear" w:color="auto" w:fill="auto"/>
            <w:noWrap/>
            <w:vAlign w:val="bottom"/>
            <w:hideMark/>
          </w:tcPr>
          <w:p w14:paraId="3767A482"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r>
      <w:tr w:rsidR="0033739C" w:rsidRPr="00D97714" w14:paraId="299A1202" w14:textId="77777777" w:rsidTr="000730DD">
        <w:trPr>
          <w:trHeight w:val="20"/>
        </w:trPr>
        <w:tc>
          <w:tcPr>
            <w:tcW w:w="2364" w:type="pct"/>
            <w:tcBorders>
              <w:top w:val="nil"/>
              <w:left w:val="nil"/>
              <w:bottom w:val="single" w:sz="4" w:space="0" w:color="auto"/>
              <w:right w:val="nil"/>
            </w:tcBorders>
            <w:shd w:val="clear" w:color="auto" w:fill="auto"/>
            <w:noWrap/>
            <w:vAlign w:val="bottom"/>
            <w:hideMark/>
          </w:tcPr>
          <w:p w14:paraId="1F146E90"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N</w:t>
            </w:r>
          </w:p>
        </w:tc>
        <w:tc>
          <w:tcPr>
            <w:tcW w:w="1499" w:type="pct"/>
            <w:tcBorders>
              <w:top w:val="nil"/>
              <w:left w:val="nil"/>
              <w:bottom w:val="single" w:sz="4" w:space="0" w:color="auto"/>
              <w:right w:val="nil"/>
            </w:tcBorders>
            <w:shd w:val="clear" w:color="auto" w:fill="auto"/>
            <w:noWrap/>
            <w:vAlign w:val="bottom"/>
            <w:hideMark/>
          </w:tcPr>
          <w:p w14:paraId="6DE2492D" w14:textId="05D78426" w:rsidR="0033739C" w:rsidRPr="00D97714" w:rsidRDefault="00EA789B"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282,710</w:t>
            </w:r>
          </w:p>
        </w:tc>
        <w:tc>
          <w:tcPr>
            <w:tcW w:w="1137" w:type="pct"/>
            <w:tcBorders>
              <w:top w:val="nil"/>
              <w:left w:val="nil"/>
              <w:bottom w:val="single" w:sz="4" w:space="0" w:color="auto"/>
              <w:right w:val="nil"/>
            </w:tcBorders>
            <w:shd w:val="clear" w:color="auto" w:fill="auto"/>
            <w:noWrap/>
            <w:vAlign w:val="bottom"/>
            <w:hideMark/>
          </w:tcPr>
          <w:p w14:paraId="1D1E2C66" w14:textId="77777777" w:rsidR="0033739C" w:rsidRPr="00D97714" w:rsidRDefault="0033739C" w:rsidP="00B05BA5">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282,710</w:t>
            </w:r>
          </w:p>
        </w:tc>
      </w:tr>
    </w:tbl>
    <w:p w14:paraId="16B19F1C" w14:textId="77777777" w:rsidR="0033739C" w:rsidRPr="00D97714" w:rsidRDefault="0033739C" w:rsidP="0033739C">
      <w:pPr>
        <w:spacing w:line="240" w:lineRule="auto"/>
        <w:rPr>
          <w:rFonts w:ascii="Times New Roman" w:hAnsi="Times New Roman" w:cs="Times New Roman"/>
          <w:sz w:val="24"/>
          <w:szCs w:val="24"/>
        </w:rPr>
      </w:pPr>
      <w:r w:rsidRPr="00D97714">
        <w:rPr>
          <w:rFonts w:ascii="Times New Roman" w:hAnsi="Times New Roman" w:cs="Times New Roman"/>
          <w:sz w:val="24"/>
          <w:szCs w:val="24"/>
        </w:rPr>
        <w:t xml:space="preserve">We report the results from the cross-sectional analyses of CARs, and industry-adjusted ROA. CARs are the cumulative abnormal returns (CARs) in the (-5,+5) day window, whereby abnormal returns are calculated using the following method: </w:t>
      </w:r>
    </w:p>
    <w:p w14:paraId="3731BA7B" w14:textId="7BF9A935" w:rsidR="0033739C" w:rsidRPr="00D97714" w:rsidRDefault="00513831" w:rsidP="0033739C">
      <w:pPr>
        <w:pStyle w:val="ListParagraph"/>
        <w:spacing w:line="240" w:lineRule="auto"/>
        <w:rPr>
          <w:rFonts w:ascii="Times New Roman" w:hAnsi="Times New Roman" w:cs="Times New Roman"/>
          <w:sz w:val="24"/>
          <w:szCs w:val="24"/>
        </w:rPr>
      </w:pPr>
      <w:r w:rsidRPr="00D97714">
        <w:rPr>
          <w:rFonts w:ascii="Times New Roman" w:hAnsi="Times New Roman" w:cs="Times New Roman"/>
          <w:sz w:val="24"/>
          <w:szCs w:val="24"/>
        </w:rPr>
        <w:t xml:space="preserve">Fama-French three factor model abnormal </w:t>
      </w:r>
      <w:r w:rsidR="0033739C" w:rsidRPr="00D97714">
        <w:rPr>
          <w:rFonts w:ascii="Times New Roman" w:hAnsi="Times New Roman" w:cs="Times New Roman"/>
          <w:sz w:val="24"/>
          <w:szCs w:val="24"/>
        </w:rPr>
        <w:t>return = Actual return –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R</w:t>
      </w:r>
      <w:r w:rsidR="0033739C" w:rsidRPr="00D97714">
        <w:rPr>
          <w:rFonts w:ascii="Times New Roman" w:hAnsi="Times New Roman" w:cs="Times New Roman"/>
          <w:sz w:val="24"/>
          <w:szCs w:val="24"/>
          <w:vertAlign w:val="subscript"/>
        </w:rPr>
        <w:t>mt</w:t>
      </w:r>
      <w:r w:rsidR="0033739C" w:rsidRPr="00D97714">
        <w:rPr>
          <w:rFonts w:ascii="Times New Roman" w:hAnsi="Times New Roman" w:cs="Times New Roman"/>
          <w:sz w:val="24"/>
          <w:szCs w:val="24"/>
        </w:rPr>
        <w:t xml:space="preserve"> + ɤ</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SMB</w:t>
      </w:r>
      <w:r w:rsidR="0033739C" w:rsidRPr="00D97714">
        <w:rPr>
          <w:rFonts w:ascii="Times New Roman" w:hAnsi="Times New Roman" w:cs="Times New Roman"/>
          <w:sz w:val="24"/>
          <w:szCs w:val="24"/>
          <w:vertAlign w:val="subscript"/>
        </w:rPr>
        <w:t>t</w:t>
      </w:r>
      <w:r w:rsidR="0033739C" w:rsidRPr="00D97714">
        <w:rPr>
          <w:rFonts w:ascii="Times New Roman" w:hAnsi="Times New Roman" w:cs="Times New Roman"/>
          <w:sz w:val="24"/>
          <w:szCs w:val="24"/>
        </w:rPr>
        <w:t xml:space="preserve"> + ɸ</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HML</w:t>
      </w:r>
      <w:r w:rsidR="0033739C" w:rsidRPr="00D97714">
        <w:rPr>
          <w:rFonts w:ascii="Times New Roman" w:hAnsi="Times New Roman" w:cs="Times New Roman"/>
          <w:sz w:val="24"/>
          <w:szCs w:val="24"/>
          <w:vertAlign w:val="subscript"/>
        </w:rPr>
        <w:t>t</w:t>
      </w:r>
      <w:r w:rsidR="0033739C" w:rsidRPr="00D97714">
        <w:rPr>
          <w:rFonts w:ascii="Times New Roman" w:hAnsi="Times New Roman" w:cs="Times New Roman"/>
          <w:sz w:val="24"/>
          <w:szCs w:val="24"/>
        </w:rPr>
        <w:t>), whereby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ɤ</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and ɸ</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are estimated from the following regression: R</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α</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 β</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R</w:t>
      </w:r>
      <w:r w:rsidR="0033739C" w:rsidRPr="00D97714">
        <w:rPr>
          <w:rFonts w:ascii="Times New Roman" w:hAnsi="Times New Roman" w:cs="Times New Roman"/>
          <w:sz w:val="24"/>
          <w:szCs w:val="24"/>
          <w:vertAlign w:val="subscript"/>
        </w:rPr>
        <w:t>mt</w:t>
      </w:r>
      <w:r w:rsidR="0033739C" w:rsidRPr="00D97714">
        <w:rPr>
          <w:rFonts w:ascii="Times New Roman" w:hAnsi="Times New Roman" w:cs="Times New Roman"/>
          <w:sz w:val="24"/>
          <w:szCs w:val="24"/>
        </w:rPr>
        <w:t xml:space="preserve"> + ɤ</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SMB</w:t>
      </w:r>
      <w:r w:rsidR="0033739C" w:rsidRPr="00D97714">
        <w:rPr>
          <w:rFonts w:ascii="Times New Roman" w:hAnsi="Times New Roman" w:cs="Times New Roman"/>
          <w:sz w:val="24"/>
          <w:szCs w:val="24"/>
          <w:vertAlign w:val="subscript"/>
        </w:rPr>
        <w:t>t</w:t>
      </w:r>
      <w:r w:rsidR="0033739C" w:rsidRPr="00D97714">
        <w:rPr>
          <w:rFonts w:ascii="Times New Roman" w:hAnsi="Times New Roman" w:cs="Times New Roman"/>
          <w:sz w:val="24"/>
          <w:szCs w:val="24"/>
        </w:rPr>
        <w:t xml:space="preserve"> + ɸ</w:t>
      </w:r>
      <w:r w:rsidR="0033739C" w:rsidRPr="00D97714">
        <w:rPr>
          <w:rFonts w:ascii="Times New Roman" w:hAnsi="Times New Roman" w:cs="Times New Roman"/>
          <w:sz w:val="24"/>
          <w:szCs w:val="24"/>
          <w:vertAlign w:val="subscript"/>
        </w:rPr>
        <w:t>i</w:t>
      </w:r>
      <w:r w:rsidR="0033739C" w:rsidRPr="00D97714">
        <w:rPr>
          <w:rFonts w:ascii="Times New Roman" w:hAnsi="Times New Roman" w:cs="Times New Roman"/>
          <w:sz w:val="24"/>
          <w:szCs w:val="24"/>
        </w:rPr>
        <w:t xml:space="preserve"> HML</w:t>
      </w:r>
      <w:r w:rsidR="0033739C" w:rsidRPr="00D97714">
        <w:rPr>
          <w:rFonts w:ascii="Times New Roman" w:hAnsi="Times New Roman" w:cs="Times New Roman"/>
          <w:sz w:val="24"/>
          <w:szCs w:val="24"/>
          <w:vertAlign w:val="subscript"/>
        </w:rPr>
        <w:t>t</w:t>
      </w:r>
      <w:r w:rsidR="0033739C" w:rsidRPr="00D97714">
        <w:rPr>
          <w:rFonts w:ascii="Times New Roman" w:hAnsi="Times New Roman" w:cs="Times New Roman"/>
          <w:sz w:val="24"/>
          <w:szCs w:val="24"/>
        </w:rPr>
        <w:t xml:space="preserve"> + ɛ</w:t>
      </w:r>
      <w:r w:rsidR="0033739C" w:rsidRPr="00D97714">
        <w:rPr>
          <w:rFonts w:ascii="Times New Roman" w:hAnsi="Times New Roman" w:cs="Times New Roman"/>
          <w:sz w:val="24"/>
          <w:szCs w:val="24"/>
          <w:vertAlign w:val="subscript"/>
        </w:rPr>
        <w:t xml:space="preserve">it </w:t>
      </w:r>
      <w:r w:rsidR="0033739C" w:rsidRPr="00D97714">
        <w:rPr>
          <w:rFonts w:ascii="Times New Roman" w:hAnsi="Times New Roman" w:cs="Times New Roman"/>
          <w:sz w:val="24"/>
          <w:szCs w:val="24"/>
        </w:rPr>
        <w:t xml:space="preserve">with daily return data in the (-252,-31) day window relative to the announcement date of the activism event. SMB and HML are the size and book-to-market factors from Professor Kenneth French website. </w:t>
      </w:r>
    </w:p>
    <w:p w14:paraId="09CBDB33" w14:textId="779560DD" w:rsidR="0033739C" w:rsidRPr="00D97714" w:rsidRDefault="0033739C" w:rsidP="0033739C">
      <w:pPr>
        <w:spacing w:line="240" w:lineRule="auto"/>
        <w:rPr>
          <w:rFonts w:ascii="Times New Roman" w:hAnsi="Times New Roman" w:cs="Times New Roman"/>
          <w:sz w:val="24"/>
          <w:szCs w:val="24"/>
        </w:rPr>
      </w:pPr>
      <w:r w:rsidRPr="00D97714">
        <w:rPr>
          <w:rFonts w:ascii="Times New Roman" w:hAnsi="Times New Roman" w:cs="Times New Roman"/>
          <w:sz w:val="24"/>
          <w:szCs w:val="24"/>
        </w:rPr>
        <w:t xml:space="preserve">Industry-adjusted return on asset is ROA of the matching firms minus median ROA of all firms in the same 4-digit SIC codes. AFTER is the dummy variable for the year following the activism events. WIN is the dummy variable for events whereby the dissidents win or partially win the campaign. CHANGE is the dummy variables for campaigns in which the activists demand changes/control of the board. IOPr is the average of total institutional ownership in a firm in the preceding 5 years (20 quarters). IOV is the average of the standard deviation of the ownership across institutional owners of a firm in the past 5 years (20 quarters). OPEX, CAPX and DEBT </w:t>
      </w:r>
      <w:r w:rsidRPr="00D97714">
        <w:rPr>
          <w:rFonts w:ascii="Times New Roman" w:eastAsiaTheme="minorEastAsia" w:hAnsi="Times New Roman" w:cs="Times New Roman"/>
          <w:sz w:val="24"/>
          <w:szCs w:val="24"/>
        </w:rPr>
        <w:t xml:space="preserve">represent equally-weighted/value-weighed industry-adjusted figures of </w:t>
      </w:r>
      <w:r w:rsidRPr="00D97714">
        <w:rPr>
          <w:rFonts w:ascii="Times New Roman" w:hAnsi="Times New Roman" w:cs="Times New Roman"/>
          <w:sz w:val="24"/>
          <w:szCs w:val="24"/>
        </w:rPr>
        <w:t>operating expenses-to-asset ratio, capital expenditure-to- asset ratio and total debt-to-total asset ratio, respectively,</w:t>
      </w:r>
      <w:r w:rsidRPr="00D97714">
        <w:rPr>
          <w:rFonts w:ascii="Times New Roman" w:eastAsiaTheme="minorEastAsia" w:hAnsi="Times New Roman" w:cs="Times New Roman"/>
          <w:sz w:val="24"/>
          <w:szCs w:val="24"/>
        </w:rPr>
        <w:t xml:space="preserve"> of the firms comprising the matching non-targeted portfolio</w:t>
      </w:r>
      <w:r w:rsidR="00513831" w:rsidRPr="00D97714">
        <w:rPr>
          <w:rFonts w:ascii="Times New Roman" w:eastAsiaTheme="minorEastAsia" w:hAnsi="Times New Roman" w:cs="Times New Roman"/>
          <w:sz w:val="24"/>
          <w:szCs w:val="24"/>
        </w:rPr>
        <w:t>.</w:t>
      </w:r>
      <w:r w:rsidRPr="00D97714">
        <w:rPr>
          <w:rFonts w:ascii="Times New Roman" w:eastAsiaTheme="minorEastAsia" w:hAnsi="Times New Roman" w:cs="Times New Roman"/>
          <w:sz w:val="24"/>
          <w:szCs w:val="24"/>
        </w:rPr>
        <w:t xml:space="preserve"> </w:t>
      </w:r>
      <w:r w:rsidR="00513831" w:rsidRPr="00D97714">
        <w:rPr>
          <w:rFonts w:ascii="Times New Roman" w:eastAsiaTheme="minorEastAsia" w:hAnsi="Times New Roman" w:cs="Times New Roman"/>
          <w:sz w:val="24"/>
          <w:szCs w:val="24"/>
        </w:rPr>
        <w:t xml:space="preserve">They </w:t>
      </w:r>
      <w:r w:rsidRPr="00D97714">
        <w:rPr>
          <w:rFonts w:ascii="Times New Roman" w:eastAsiaTheme="minorEastAsia" w:hAnsi="Times New Roman" w:cs="Times New Roman"/>
          <w:sz w:val="24"/>
          <w:szCs w:val="24"/>
        </w:rPr>
        <w:t xml:space="preserve">are measured at the end of the fiscal year preceding the announcement date. </w:t>
      </w:r>
      <w:r w:rsidRPr="00D97714">
        <w:rPr>
          <w:rFonts w:ascii="Times New Roman" w:hAnsi="Times New Roman" w:cs="Times New Roman"/>
          <w:sz w:val="24"/>
          <w:szCs w:val="24"/>
        </w:rPr>
        <w:t xml:space="preserve">We report robust t-statistics. *, ** and *** indicate the significance levels of 10%, 5% and 1%, respectively. </w:t>
      </w:r>
    </w:p>
    <w:p w14:paraId="6CA4F72F" w14:textId="77777777" w:rsidR="0033739C" w:rsidRPr="00D97714" w:rsidRDefault="0033739C" w:rsidP="0033739C">
      <w:pPr>
        <w:rPr>
          <w:rFonts w:ascii="Times New Roman" w:hAnsi="Times New Roman" w:cs="Times New Roman"/>
          <w:sz w:val="24"/>
          <w:szCs w:val="24"/>
        </w:rPr>
      </w:pPr>
    </w:p>
    <w:p w14:paraId="0FABC71B" w14:textId="77777777" w:rsidR="0033739C" w:rsidRPr="00D97714" w:rsidRDefault="0033739C" w:rsidP="0033739C">
      <w:pPr>
        <w:rPr>
          <w:rFonts w:ascii="Times New Roman" w:hAnsi="Times New Roman" w:cs="Times New Roman"/>
          <w:sz w:val="24"/>
          <w:szCs w:val="24"/>
        </w:rPr>
      </w:pPr>
    </w:p>
    <w:p w14:paraId="4C020231" w14:textId="77777777" w:rsidR="0033739C" w:rsidRPr="00D97714" w:rsidRDefault="0033739C" w:rsidP="0033739C">
      <w:pPr>
        <w:rPr>
          <w:rFonts w:ascii="Times New Roman" w:hAnsi="Times New Roman" w:cs="Times New Roman"/>
          <w:sz w:val="24"/>
          <w:szCs w:val="24"/>
        </w:rPr>
      </w:pPr>
    </w:p>
    <w:p w14:paraId="18C8D900" w14:textId="77777777" w:rsidR="0033739C" w:rsidRPr="00D97714" w:rsidRDefault="0033739C" w:rsidP="0033739C">
      <w:pPr>
        <w:rPr>
          <w:rFonts w:ascii="Times New Roman" w:hAnsi="Times New Roman" w:cs="Times New Roman"/>
          <w:sz w:val="24"/>
          <w:szCs w:val="24"/>
        </w:rPr>
        <w:sectPr w:rsidR="0033739C" w:rsidRPr="00D97714" w:rsidSect="00342B19">
          <w:pgSz w:w="12240" w:h="15840"/>
          <w:pgMar w:top="1440" w:right="1440" w:bottom="1440" w:left="1440" w:header="720" w:footer="720" w:gutter="0"/>
          <w:cols w:space="720"/>
          <w:docGrid w:linePitch="360"/>
        </w:sectPr>
      </w:pPr>
    </w:p>
    <w:tbl>
      <w:tblPr>
        <w:tblW w:w="5000" w:type="pct"/>
        <w:tblLook w:val="04A0" w:firstRow="1" w:lastRow="0" w:firstColumn="1" w:lastColumn="0" w:noHBand="0" w:noVBand="1"/>
      </w:tblPr>
      <w:tblGrid>
        <w:gridCol w:w="4349"/>
        <w:gridCol w:w="1766"/>
        <w:gridCol w:w="1766"/>
        <w:gridCol w:w="2613"/>
        <w:gridCol w:w="1766"/>
        <w:gridCol w:w="2356"/>
      </w:tblGrid>
      <w:tr w:rsidR="00A75A98" w:rsidRPr="00D97714" w14:paraId="763ADD83" w14:textId="77777777" w:rsidTr="0063232D">
        <w:trPr>
          <w:trHeight w:val="20"/>
        </w:trPr>
        <w:tc>
          <w:tcPr>
            <w:tcW w:w="5000" w:type="pct"/>
            <w:gridSpan w:val="6"/>
            <w:tcBorders>
              <w:top w:val="nil"/>
              <w:left w:val="nil"/>
              <w:bottom w:val="single" w:sz="4" w:space="0" w:color="auto"/>
              <w:right w:val="nil"/>
            </w:tcBorders>
            <w:shd w:val="clear" w:color="auto" w:fill="auto"/>
            <w:noWrap/>
            <w:vAlign w:val="bottom"/>
          </w:tcPr>
          <w:p w14:paraId="3369A064" w14:textId="77777777" w:rsidR="00A75A98" w:rsidRPr="00D97714" w:rsidRDefault="00A75A98" w:rsidP="0063232D">
            <w:pPr>
              <w:spacing w:after="0" w:line="240" w:lineRule="auto"/>
              <w:rPr>
                <w:rFonts w:ascii="Times New Roman" w:eastAsia="Times New Roman" w:hAnsi="Times New Roman" w:cs="Times New Roman"/>
                <w:b/>
                <w:sz w:val="24"/>
                <w:szCs w:val="24"/>
              </w:rPr>
            </w:pPr>
            <w:r w:rsidRPr="00D97714">
              <w:rPr>
                <w:rFonts w:ascii="Times New Roman" w:eastAsia="Times New Roman" w:hAnsi="Times New Roman" w:cs="Times New Roman"/>
                <w:b/>
                <w:color w:val="000000"/>
                <w:sz w:val="24"/>
                <w:szCs w:val="24"/>
              </w:rPr>
              <w:t>Table 7 - Comparison of Non-Target Matching Firm Risk Before vs. After the Activism Events</w:t>
            </w:r>
          </w:p>
        </w:tc>
      </w:tr>
      <w:tr w:rsidR="00A75A98" w:rsidRPr="00D97714" w14:paraId="7A747DAE" w14:textId="77777777" w:rsidTr="0063232D">
        <w:trPr>
          <w:trHeight w:val="20"/>
        </w:trPr>
        <w:tc>
          <w:tcPr>
            <w:tcW w:w="5000" w:type="pct"/>
            <w:gridSpan w:val="6"/>
            <w:tcBorders>
              <w:top w:val="single" w:sz="4" w:space="0" w:color="auto"/>
              <w:left w:val="nil"/>
              <w:bottom w:val="nil"/>
              <w:right w:val="nil"/>
            </w:tcBorders>
            <w:shd w:val="clear" w:color="auto" w:fill="auto"/>
            <w:noWrap/>
            <w:vAlign w:val="bottom"/>
            <w:hideMark/>
          </w:tcPr>
          <w:p w14:paraId="4B50EBD7" w14:textId="77777777" w:rsidR="00A75A98" w:rsidRPr="00D97714" w:rsidRDefault="00A75A98" w:rsidP="0063232D">
            <w:pPr>
              <w:spacing w:after="0" w:line="240" w:lineRule="auto"/>
              <w:rPr>
                <w:rFonts w:ascii="Times New Roman" w:eastAsia="Times New Roman" w:hAnsi="Times New Roman" w:cs="Times New Roman"/>
                <w:b/>
                <w:i/>
                <w:sz w:val="24"/>
                <w:szCs w:val="24"/>
              </w:rPr>
            </w:pPr>
            <w:r w:rsidRPr="00D97714">
              <w:rPr>
                <w:rFonts w:ascii="Times New Roman" w:eastAsia="Times New Roman" w:hAnsi="Times New Roman" w:cs="Times New Roman"/>
                <w:b/>
                <w:i/>
                <w:sz w:val="24"/>
                <w:szCs w:val="24"/>
              </w:rPr>
              <w:t>Panel A – Value-weighted non-target matching portfolio</w:t>
            </w:r>
          </w:p>
        </w:tc>
      </w:tr>
      <w:tr w:rsidR="00A75A98" w:rsidRPr="00D97714" w14:paraId="67C0F42F" w14:textId="77777777" w:rsidTr="0063232D">
        <w:trPr>
          <w:trHeight w:val="20"/>
        </w:trPr>
        <w:tc>
          <w:tcPr>
            <w:tcW w:w="1488" w:type="pct"/>
            <w:tcBorders>
              <w:top w:val="nil"/>
              <w:left w:val="nil"/>
              <w:bottom w:val="single" w:sz="4" w:space="0" w:color="auto"/>
              <w:right w:val="nil"/>
            </w:tcBorders>
            <w:shd w:val="clear" w:color="auto" w:fill="auto"/>
            <w:noWrap/>
            <w:vAlign w:val="bottom"/>
            <w:hideMark/>
          </w:tcPr>
          <w:p w14:paraId="62066F99" w14:textId="77777777" w:rsidR="00A75A98" w:rsidRPr="00D97714" w:rsidRDefault="00A75A98" w:rsidP="0063232D">
            <w:pPr>
              <w:spacing w:after="0" w:line="240" w:lineRule="auto"/>
              <w:rPr>
                <w:rFonts w:ascii="Times New Roman" w:eastAsia="Times New Roman" w:hAnsi="Times New Roman" w:cs="Times New Roman"/>
                <w:sz w:val="24"/>
                <w:szCs w:val="24"/>
              </w:rPr>
            </w:pPr>
          </w:p>
        </w:tc>
        <w:tc>
          <w:tcPr>
            <w:tcW w:w="604" w:type="pct"/>
            <w:tcBorders>
              <w:top w:val="nil"/>
              <w:left w:val="nil"/>
              <w:bottom w:val="single" w:sz="4" w:space="0" w:color="auto"/>
              <w:right w:val="nil"/>
            </w:tcBorders>
            <w:shd w:val="clear" w:color="auto" w:fill="auto"/>
            <w:noWrap/>
            <w:vAlign w:val="bottom"/>
            <w:hideMark/>
          </w:tcPr>
          <w:p w14:paraId="2BF4364C"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Before</w:t>
            </w:r>
          </w:p>
        </w:tc>
        <w:tc>
          <w:tcPr>
            <w:tcW w:w="604" w:type="pct"/>
            <w:tcBorders>
              <w:top w:val="nil"/>
              <w:left w:val="nil"/>
              <w:bottom w:val="single" w:sz="4" w:space="0" w:color="auto"/>
              <w:right w:val="nil"/>
            </w:tcBorders>
            <w:shd w:val="clear" w:color="auto" w:fill="auto"/>
            <w:noWrap/>
            <w:vAlign w:val="bottom"/>
            <w:hideMark/>
          </w:tcPr>
          <w:p w14:paraId="52D3C2CC"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After</w:t>
            </w:r>
          </w:p>
        </w:tc>
        <w:tc>
          <w:tcPr>
            <w:tcW w:w="894" w:type="pct"/>
            <w:tcBorders>
              <w:top w:val="nil"/>
              <w:left w:val="nil"/>
              <w:bottom w:val="single" w:sz="4" w:space="0" w:color="auto"/>
              <w:right w:val="nil"/>
            </w:tcBorders>
            <w:shd w:val="clear" w:color="auto" w:fill="auto"/>
            <w:noWrap/>
            <w:vAlign w:val="bottom"/>
            <w:hideMark/>
          </w:tcPr>
          <w:p w14:paraId="20E4E700"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Difference</w:t>
            </w:r>
          </w:p>
        </w:tc>
        <w:tc>
          <w:tcPr>
            <w:tcW w:w="604" w:type="pct"/>
            <w:tcBorders>
              <w:top w:val="nil"/>
              <w:left w:val="nil"/>
              <w:bottom w:val="single" w:sz="4" w:space="0" w:color="auto"/>
              <w:right w:val="nil"/>
            </w:tcBorders>
            <w:shd w:val="clear" w:color="auto" w:fill="auto"/>
            <w:noWrap/>
            <w:vAlign w:val="bottom"/>
            <w:hideMark/>
          </w:tcPr>
          <w:p w14:paraId="087EAB24"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t-stat</w:t>
            </w:r>
          </w:p>
        </w:tc>
        <w:tc>
          <w:tcPr>
            <w:tcW w:w="806" w:type="pct"/>
            <w:tcBorders>
              <w:top w:val="nil"/>
              <w:left w:val="nil"/>
              <w:bottom w:val="single" w:sz="4" w:space="0" w:color="auto"/>
              <w:right w:val="nil"/>
            </w:tcBorders>
            <w:shd w:val="clear" w:color="auto" w:fill="auto"/>
            <w:noWrap/>
            <w:vAlign w:val="bottom"/>
            <w:hideMark/>
          </w:tcPr>
          <w:p w14:paraId="7E784A22"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Wilcoxon-stat</w:t>
            </w:r>
          </w:p>
        </w:tc>
      </w:tr>
      <w:tr w:rsidR="00A75A98" w:rsidRPr="00D97714" w14:paraId="064D51A4" w14:textId="77777777" w:rsidTr="0063232D">
        <w:trPr>
          <w:trHeight w:val="20"/>
        </w:trPr>
        <w:tc>
          <w:tcPr>
            <w:tcW w:w="1488" w:type="pct"/>
            <w:tcBorders>
              <w:top w:val="single" w:sz="4" w:space="0" w:color="auto"/>
              <w:left w:val="single" w:sz="8" w:space="0" w:color="C1C1C1"/>
              <w:bottom w:val="nil"/>
              <w:right w:val="nil"/>
            </w:tcBorders>
            <w:shd w:val="clear" w:color="auto" w:fill="auto"/>
            <w:hideMark/>
          </w:tcPr>
          <w:p w14:paraId="70649666"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Return standard deviation</w:t>
            </w:r>
          </w:p>
        </w:tc>
        <w:tc>
          <w:tcPr>
            <w:tcW w:w="604" w:type="pct"/>
            <w:tcBorders>
              <w:top w:val="single" w:sz="4" w:space="0" w:color="auto"/>
              <w:left w:val="nil"/>
              <w:bottom w:val="nil"/>
              <w:right w:val="nil"/>
            </w:tcBorders>
            <w:shd w:val="clear" w:color="auto" w:fill="auto"/>
            <w:hideMark/>
          </w:tcPr>
          <w:p w14:paraId="5DEAB366"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4.982%</w:t>
            </w:r>
          </w:p>
        </w:tc>
        <w:tc>
          <w:tcPr>
            <w:tcW w:w="604" w:type="pct"/>
            <w:tcBorders>
              <w:top w:val="single" w:sz="4" w:space="0" w:color="auto"/>
              <w:left w:val="nil"/>
              <w:bottom w:val="nil"/>
              <w:right w:val="nil"/>
            </w:tcBorders>
            <w:shd w:val="clear" w:color="auto" w:fill="auto"/>
            <w:hideMark/>
          </w:tcPr>
          <w:p w14:paraId="0FF14313"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4.379%</w:t>
            </w:r>
          </w:p>
        </w:tc>
        <w:tc>
          <w:tcPr>
            <w:tcW w:w="894" w:type="pct"/>
            <w:tcBorders>
              <w:top w:val="single" w:sz="4" w:space="0" w:color="auto"/>
              <w:left w:val="nil"/>
              <w:bottom w:val="nil"/>
              <w:right w:val="nil"/>
            </w:tcBorders>
            <w:shd w:val="clear" w:color="auto" w:fill="auto"/>
            <w:hideMark/>
          </w:tcPr>
          <w:p w14:paraId="35A6DC69"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-0.603%</w:t>
            </w:r>
          </w:p>
        </w:tc>
        <w:tc>
          <w:tcPr>
            <w:tcW w:w="604" w:type="pct"/>
            <w:tcBorders>
              <w:top w:val="single" w:sz="4" w:space="0" w:color="auto"/>
              <w:left w:val="nil"/>
              <w:bottom w:val="nil"/>
              <w:right w:val="nil"/>
            </w:tcBorders>
            <w:shd w:val="clear" w:color="auto" w:fill="auto"/>
            <w:noWrap/>
            <w:vAlign w:val="bottom"/>
            <w:hideMark/>
          </w:tcPr>
          <w:p w14:paraId="5D627DF0"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-8.32***</w:t>
            </w:r>
          </w:p>
        </w:tc>
        <w:tc>
          <w:tcPr>
            <w:tcW w:w="806" w:type="pct"/>
            <w:tcBorders>
              <w:top w:val="single" w:sz="4" w:space="0" w:color="auto"/>
              <w:left w:val="nil"/>
              <w:bottom w:val="nil"/>
              <w:right w:val="nil"/>
            </w:tcBorders>
            <w:shd w:val="clear" w:color="auto" w:fill="auto"/>
            <w:noWrap/>
            <w:vAlign w:val="bottom"/>
            <w:hideMark/>
          </w:tcPr>
          <w:p w14:paraId="26863934"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-2.95***</w:t>
            </w:r>
          </w:p>
        </w:tc>
      </w:tr>
      <w:tr w:rsidR="00A75A98" w:rsidRPr="00D97714" w14:paraId="62DC4B20" w14:textId="77777777" w:rsidTr="0063232D">
        <w:trPr>
          <w:trHeight w:val="20"/>
        </w:trPr>
        <w:tc>
          <w:tcPr>
            <w:tcW w:w="1488" w:type="pct"/>
            <w:tcBorders>
              <w:top w:val="nil"/>
              <w:left w:val="single" w:sz="8" w:space="0" w:color="C1C1C1"/>
              <w:bottom w:val="nil"/>
              <w:right w:val="nil"/>
            </w:tcBorders>
            <w:shd w:val="clear" w:color="auto" w:fill="auto"/>
            <w:hideMark/>
          </w:tcPr>
          <w:p w14:paraId="5F41BA92"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Idiosyncratic risk from Fama-French 3-factor model</w:t>
            </w:r>
          </w:p>
        </w:tc>
        <w:tc>
          <w:tcPr>
            <w:tcW w:w="604" w:type="pct"/>
            <w:tcBorders>
              <w:top w:val="nil"/>
              <w:left w:val="nil"/>
              <w:bottom w:val="nil"/>
              <w:right w:val="nil"/>
            </w:tcBorders>
            <w:shd w:val="clear" w:color="auto" w:fill="auto"/>
            <w:hideMark/>
          </w:tcPr>
          <w:p w14:paraId="779F6381"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4.463%</w:t>
            </w:r>
          </w:p>
        </w:tc>
        <w:tc>
          <w:tcPr>
            <w:tcW w:w="604" w:type="pct"/>
            <w:tcBorders>
              <w:top w:val="nil"/>
              <w:left w:val="nil"/>
              <w:bottom w:val="nil"/>
              <w:right w:val="nil"/>
            </w:tcBorders>
            <w:shd w:val="clear" w:color="auto" w:fill="auto"/>
            <w:hideMark/>
          </w:tcPr>
          <w:p w14:paraId="38B93E5B"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3.868%</w:t>
            </w:r>
          </w:p>
        </w:tc>
        <w:tc>
          <w:tcPr>
            <w:tcW w:w="894" w:type="pct"/>
            <w:tcBorders>
              <w:top w:val="nil"/>
              <w:left w:val="nil"/>
              <w:bottom w:val="nil"/>
              <w:right w:val="nil"/>
            </w:tcBorders>
            <w:shd w:val="clear" w:color="auto" w:fill="auto"/>
            <w:hideMark/>
          </w:tcPr>
          <w:p w14:paraId="3599F184"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-0.595%</w:t>
            </w:r>
          </w:p>
        </w:tc>
        <w:tc>
          <w:tcPr>
            <w:tcW w:w="604" w:type="pct"/>
            <w:tcBorders>
              <w:top w:val="nil"/>
              <w:left w:val="nil"/>
              <w:bottom w:val="nil"/>
              <w:right w:val="nil"/>
            </w:tcBorders>
            <w:shd w:val="clear" w:color="auto" w:fill="auto"/>
            <w:noWrap/>
            <w:vAlign w:val="bottom"/>
            <w:hideMark/>
          </w:tcPr>
          <w:p w14:paraId="6DD3213A"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-9.34***</w:t>
            </w:r>
          </w:p>
        </w:tc>
        <w:tc>
          <w:tcPr>
            <w:tcW w:w="806" w:type="pct"/>
            <w:tcBorders>
              <w:top w:val="nil"/>
              <w:left w:val="nil"/>
              <w:bottom w:val="nil"/>
              <w:right w:val="nil"/>
            </w:tcBorders>
            <w:shd w:val="clear" w:color="auto" w:fill="auto"/>
            <w:noWrap/>
            <w:vAlign w:val="bottom"/>
            <w:hideMark/>
          </w:tcPr>
          <w:p w14:paraId="57AEAAD3"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-3.09***</w:t>
            </w:r>
          </w:p>
        </w:tc>
      </w:tr>
      <w:tr w:rsidR="00A75A98" w:rsidRPr="00D97714" w14:paraId="70A5D0AB" w14:textId="77777777" w:rsidTr="0063232D">
        <w:trPr>
          <w:trHeight w:val="20"/>
        </w:trPr>
        <w:tc>
          <w:tcPr>
            <w:tcW w:w="1488" w:type="pct"/>
            <w:tcBorders>
              <w:top w:val="nil"/>
              <w:left w:val="single" w:sz="8" w:space="0" w:color="C1C1C1"/>
              <w:bottom w:val="nil"/>
              <w:right w:val="nil"/>
            </w:tcBorders>
            <w:shd w:val="clear" w:color="auto" w:fill="auto"/>
            <w:hideMark/>
          </w:tcPr>
          <w:p w14:paraId="383AE8BC"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Idiosyncratic risk from market model</w:t>
            </w:r>
          </w:p>
        </w:tc>
        <w:tc>
          <w:tcPr>
            <w:tcW w:w="604" w:type="pct"/>
            <w:tcBorders>
              <w:top w:val="nil"/>
              <w:left w:val="nil"/>
              <w:bottom w:val="nil"/>
              <w:right w:val="nil"/>
            </w:tcBorders>
            <w:shd w:val="clear" w:color="auto" w:fill="auto"/>
            <w:hideMark/>
          </w:tcPr>
          <w:p w14:paraId="46FF5388"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4.558%</w:t>
            </w:r>
          </w:p>
        </w:tc>
        <w:tc>
          <w:tcPr>
            <w:tcW w:w="604" w:type="pct"/>
            <w:tcBorders>
              <w:top w:val="nil"/>
              <w:left w:val="nil"/>
              <w:bottom w:val="nil"/>
              <w:right w:val="nil"/>
            </w:tcBorders>
            <w:shd w:val="clear" w:color="auto" w:fill="auto"/>
            <w:hideMark/>
          </w:tcPr>
          <w:p w14:paraId="4C345D13"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3.952%</w:t>
            </w:r>
          </w:p>
        </w:tc>
        <w:tc>
          <w:tcPr>
            <w:tcW w:w="894" w:type="pct"/>
            <w:tcBorders>
              <w:top w:val="nil"/>
              <w:left w:val="nil"/>
              <w:bottom w:val="nil"/>
              <w:right w:val="nil"/>
            </w:tcBorders>
            <w:shd w:val="clear" w:color="auto" w:fill="auto"/>
            <w:hideMark/>
          </w:tcPr>
          <w:p w14:paraId="0FE3857C"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-0.606%</w:t>
            </w:r>
          </w:p>
        </w:tc>
        <w:tc>
          <w:tcPr>
            <w:tcW w:w="604" w:type="pct"/>
            <w:tcBorders>
              <w:top w:val="nil"/>
              <w:left w:val="nil"/>
              <w:bottom w:val="nil"/>
              <w:right w:val="nil"/>
            </w:tcBorders>
            <w:shd w:val="clear" w:color="auto" w:fill="auto"/>
            <w:noWrap/>
            <w:vAlign w:val="bottom"/>
            <w:hideMark/>
          </w:tcPr>
          <w:p w14:paraId="2684A8E3"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-9.72***</w:t>
            </w:r>
          </w:p>
        </w:tc>
        <w:tc>
          <w:tcPr>
            <w:tcW w:w="806" w:type="pct"/>
            <w:tcBorders>
              <w:top w:val="nil"/>
              <w:left w:val="nil"/>
              <w:bottom w:val="nil"/>
              <w:right w:val="nil"/>
            </w:tcBorders>
            <w:shd w:val="clear" w:color="auto" w:fill="auto"/>
            <w:noWrap/>
            <w:vAlign w:val="bottom"/>
            <w:hideMark/>
          </w:tcPr>
          <w:p w14:paraId="4A4FC0D7"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-3.11***</w:t>
            </w:r>
          </w:p>
        </w:tc>
      </w:tr>
      <w:tr w:rsidR="00A75A98" w:rsidRPr="00D97714" w14:paraId="4AAFDB79" w14:textId="77777777" w:rsidTr="0063232D">
        <w:trPr>
          <w:trHeight w:val="20"/>
        </w:trPr>
        <w:tc>
          <w:tcPr>
            <w:tcW w:w="1488" w:type="pct"/>
            <w:tcBorders>
              <w:top w:val="nil"/>
              <w:left w:val="single" w:sz="8" w:space="0" w:color="C1C1C1"/>
              <w:bottom w:val="nil"/>
              <w:right w:val="nil"/>
            </w:tcBorders>
            <w:shd w:val="clear" w:color="auto" w:fill="auto"/>
            <w:hideMark/>
          </w:tcPr>
          <w:p w14:paraId="244324C9"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Systematic risk from Fama-French 3-factor model</w:t>
            </w:r>
          </w:p>
        </w:tc>
        <w:tc>
          <w:tcPr>
            <w:tcW w:w="604" w:type="pct"/>
            <w:tcBorders>
              <w:top w:val="nil"/>
              <w:left w:val="nil"/>
              <w:bottom w:val="nil"/>
              <w:right w:val="nil"/>
            </w:tcBorders>
            <w:shd w:val="clear" w:color="auto" w:fill="auto"/>
            <w:hideMark/>
          </w:tcPr>
          <w:p w14:paraId="3EE705D1"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1.876%</w:t>
            </w:r>
          </w:p>
        </w:tc>
        <w:tc>
          <w:tcPr>
            <w:tcW w:w="604" w:type="pct"/>
            <w:tcBorders>
              <w:top w:val="nil"/>
              <w:left w:val="nil"/>
              <w:bottom w:val="nil"/>
              <w:right w:val="nil"/>
            </w:tcBorders>
            <w:shd w:val="clear" w:color="auto" w:fill="auto"/>
            <w:hideMark/>
          </w:tcPr>
          <w:p w14:paraId="3FD6F1C0"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1.745%</w:t>
            </w:r>
          </w:p>
        </w:tc>
        <w:tc>
          <w:tcPr>
            <w:tcW w:w="894" w:type="pct"/>
            <w:tcBorders>
              <w:top w:val="nil"/>
              <w:left w:val="nil"/>
              <w:bottom w:val="nil"/>
              <w:right w:val="nil"/>
            </w:tcBorders>
            <w:shd w:val="clear" w:color="auto" w:fill="auto"/>
            <w:hideMark/>
          </w:tcPr>
          <w:p w14:paraId="34052FE3"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-0.132%</w:t>
            </w:r>
          </w:p>
        </w:tc>
        <w:tc>
          <w:tcPr>
            <w:tcW w:w="604" w:type="pct"/>
            <w:tcBorders>
              <w:top w:val="nil"/>
              <w:left w:val="nil"/>
              <w:bottom w:val="nil"/>
              <w:right w:val="nil"/>
            </w:tcBorders>
            <w:shd w:val="clear" w:color="auto" w:fill="auto"/>
            <w:noWrap/>
            <w:vAlign w:val="bottom"/>
            <w:hideMark/>
          </w:tcPr>
          <w:p w14:paraId="460AE8D6"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-3.15***</w:t>
            </w:r>
          </w:p>
        </w:tc>
        <w:tc>
          <w:tcPr>
            <w:tcW w:w="806" w:type="pct"/>
            <w:tcBorders>
              <w:top w:val="nil"/>
              <w:left w:val="nil"/>
              <w:bottom w:val="nil"/>
              <w:right w:val="nil"/>
            </w:tcBorders>
            <w:shd w:val="clear" w:color="auto" w:fill="auto"/>
            <w:noWrap/>
            <w:vAlign w:val="bottom"/>
            <w:hideMark/>
          </w:tcPr>
          <w:p w14:paraId="2B933DA0"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-1.52</w:t>
            </w:r>
          </w:p>
        </w:tc>
      </w:tr>
      <w:tr w:rsidR="00A75A98" w:rsidRPr="00D97714" w14:paraId="43913631" w14:textId="77777777" w:rsidTr="0063232D">
        <w:trPr>
          <w:trHeight w:val="20"/>
        </w:trPr>
        <w:tc>
          <w:tcPr>
            <w:tcW w:w="1488" w:type="pct"/>
            <w:tcBorders>
              <w:top w:val="nil"/>
              <w:left w:val="single" w:sz="8" w:space="0" w:color="C1C1C1"/>
              <w:bottom w:val="single" w:sz="4" w:space="0" w:color="auto"/>
              <w:right w:val="nil"/>
            </w:tcBorders>
            <w:shd w:val="clear" w:color="auto" w:fill="auto"/>
            <w:hideMark/>
          </w:tcPr>
          <w:p w14:paraId="57837B36"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Systematic risk from market model</w:t>
            </w:r>
          </w:p>
        </w:tc>
        <w:tc>
          <w:tcPr>
            <w:tcW w:w="604" w:type="pct"/>
            <w:tcBorders>
              <w:top w:val="nil"/>
              <w:left w:val="nil"/>
              <w:bottom w:val="single" w:sz="4" w:space="0" w:color="auto"/>
              <w:right w:val="nil"/>
            </w:tcBorders>
            <w:shd w:val="clear" w:color="auto" w:fill="auto"/>
            <w:hideMark/>
          </w:tcPr>
          <w:p w14:paraId="6A1AA0AE"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1.627%</w:t>
            </w:r>
          </w:p>
        </w:tc>
        <w:tc>
          <w:tcPr>
            <w:tcW w:w="604" w:type="pct"/>
            <w:tcBorders>
              <w:top w:val="nil"/>
              <w:left w:val="nil"/>
              <w:bottom w:val="single" w:sz="4" w:space="0" w:color="auto"/>
              <w:right w:val="nil"/>
            </w:tcBorders>
            <w:shd w:val="clear" w:color="auto" w:fill="auto"/>
            <w:hideMark/>
          </w:tcPr>
          <w:p w14:paraId="1A9319CA"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1.541%</w:t>
            </w:r>
          </w:p>
        </w:tc>
        <w:tc>
          <w:tcPr>
            <w:tcW w:w="894" w:type="pct"/>
            <w:tcBorders>
              <w:top w:val="nil"/>
              <w:left w:val="nil"/>
              <w:bottom w:val="single" w:sz="4" w:space="0" w:color="auto"/>
              <w:right w:val="nil"/>
            </w:tcBorders>
            <w:shd w:val="clear" w:color="auto" w:fill="auto"/>
            <w:hideMark/>
          </w:tcPr>
          <w:p w14:paraId="18512769"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-0.087%</w:t>
            </w:r>
          </w:p>
        </w:tc>
        <w:tc>
          <w:tcPr>
            <w:tcW w:w="604" w:type="pct"/>
            <w:tcBorders>
              <w:top w:val="nil"/>
              <w:left w:val="nil"/>
              <w:bottom w:val="single" w:sz="4" w:space="0" w:color="auto"/>
              <w:right w:val="nil"/>
            </w:tcBorders>
            <w:shd w:val="clear" w:color="auto" w:fill="auto"/>
            <w:noWrap/>
            <w:vAlign w:val="bottom"/>
            <w:hideMark/>
          </w:tcPr>
          <w:p w14:paraId="7C61B67D"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-2.01**</w:t>
            </w:r>
          </w:p>
        </w:tc>
        <w:tc>
          <w:tcPr>
            <w:tcW w:w="806" w:type="pct"/>
            <w:tcBorders>
              <w:top w:val="nil"/>
              <w:left w:val="nil"/>
              <w:bottom w:val="single" w:sz="4" w:space="0" w:color="auto"/>
              <w:right w:val="nil"/>
            </w:tcBorders>
            <w:shd w:val="clear" w:color="auto" w:fill="auto"/>
            <w:noWrap/>
            <w:vAlign w:val="bottom"/>
            <w:hideMark/>
          </w:tcPr>
          <w:p w14:paraId="4BA2E753"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-1.08</w:t>
            </w:r>
          </w:p>
        </w:tc>
      </w:tr>
      <w:tr w:rsidR="00A75A98" w:rsidRPr="00D97714" w14:paraId="7ADF4C8D" w14:textId="77777777" w:rsidTr="0063232D">
        <w:trPr>
          <w:trHeight w:val="20"/>
        </w:trPr>
        <w:tc>
          <w:tcPr>
            <w:tcW w:w="5000" w:type="pct"/>
            <w:gridSpan w:val="6"/>
            <w:tcBorders>
              <w:top w:val="single" w:sz="4" w:space="0" w:color="auto"/>
              <w:left w:val="single" w:sz="8" w:space="0" w:color="C1C1C1"/>
              <w:bottom w:val="nil"/>
              <w:right w:val="nil"/>
            </w:tcBorders>
            <w:shd w:val="clear" w:color="auto" w:fill="auto"/>
            <w:hideMark/>
          </w:tcPr>
          <w:p w14:paraId="34D8C3E1" w14:textId="77777777" w:rsidR="00A75A98" w:rsidRPr="00D97714" w:rsidRDefault="00A75A98" w:rsidP="0063232D">
            <w:pPr>
              <w:spacing w:after="0" w:line="240" w:lineRule="auto"/>
              <w:rPr>
                <w:rFonts w:ascii="Times New Roman" w:eastAsia="Times New Roman" w:hAnsi="Times New Roman" w:cs="Times New Roman"/>
                <w:b/>
                <w:i/>
                <w:sz w:val="24"/>
                <w:szCs w:val="24"/>
              </w:rPr>
            </w:pPr>
            <w:r w:rsidRPr="00D97714">
              <w:rPr>
                <w:rFonts w:ascii="Times New Roman" w:eastAsia="Times New Roman" w:hAnsi="Times New Roman" w:cs="Times New Roman"/>
                <w:b/>
                <w:i/>
                <w:color w:val="000000"/>
                <w:sz w:val="24"/>
                <w:szCs w:val="24"/>
              </w:rPr>
              <w:t>Panel B – Equally-weighted non-target matching portfolio</w:t>
            </w:r>
          </w:p>
        </w:tc>
      </w:tr>
      <w:tr w:rsidR="00A75A98" w:rsidRPr="00D97714" w14:paraId="34A2CC4F" w14:textId="77777777" w:rsidTr="0063232D">
        <w:trPr>
          <w:trHeight w:val="20"/>
        </w:trPr>
        <w:tc>
          <w:tcPr>
            <w:tcW w:w="1488" w:type="pct"/>
            <w:tcBorders>
              <w:top w:val="nil"/>
              <w:left w:val="single" w:sz="8" w:space="0" w:color="C1C1C1"/>
              <w:bottom w:val="single" w:sz="4" w:space="0" w:color="auto"/>
              <w:right w:val="nil"/>
            </w:tcBorders>
            <w:shd w:val="clear" w:color="auto" w:fill="auto"/>
            <w:hideMark/>
          </w:tcPr>
          <w:p w14:paraId="6388B7CE"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 </w:t>
            </w:r>
          </w:p>
        </w:tc>
        <w:tc>
          <w:tcPr>
            <w:tcW w:w="604" w:type="pct"/>
            <w:tcBorders>
              <w:top w:val="nil"/>
              <w:left w:val="nil"/>
              <w:bottom w:val="single" w:sz="4" w:space="0" w:color="auto"/>
              <w:right w:val="nil"/>
            </w:tcBorders>
            <w:shd w:val="clear" w:color="auto" w:fill="auto"/>
            <w:noWrap/>
            <w:vAlign w:val="bottom"/>
            <w:hideMark/>
          </w:tcPr>
          <w:p w14:paraId="0F0039F9"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Before</w:t>
            </w:r>
          </w:p>
        </w:tc>
        <w:tc>
          <w:tcPr>
            <w:tcW w:w="604" w:type="pct"/>
            <w:tcBorders>
              <w:top w:val="nil"/>
              <w:left w:val="nil"/>
              <w:bottom w:val="single" w:sz="4" w:space="0" w:color="auto"/>
              <w:right w:val="nil"/>
            </w:tcBorders>
            <w:shd w:val="clear" w:color="auto" w:fill="auto"/>
            <w:noWrap/>
            <w:vAlign w:val="bottom"/>
            <w:hideMark/>
          </w:tcPr>
          <w:p w14:paraId="16BCBAA9"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After</w:t>
            </w:r>
          </w:p>
        </w:tc>
        <w:tc>
          <w:tcPr>
            <w:tcW w:w="894" w:type="pct"/>
            <w:tcBorders>
              <w:top w:val="nil"/>
              <w:left w:val="nil"/>
              <w:bottom w:val="single" w:sz="4" w:space="0" w:color="auto"/>
              <w:right w:val="nil"/>
            </w:tcBorders>
            <w:shd w:val="clear" w:color="auto" w:fill="auto"/>
            <w:noWrap/>
            <w:vAlign w:val="bottom"/>
            <w:hideMark/>
          </w:tcPr>
          <w:p w14:paraId="61519785"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Difference</w:t>
            </w:r>
          </w:p>
        </w:tc>
        <w:tc>
          <w:tcPr>
            <w:tcW w:w="604" w:type="pct"/>
            <w:tcBorders>
              <w:top w:val="nil"/>
              <w:left w:val="nil"/>
              <w:bottom w:val="single" w:sz="4" w:space="0" w:color="auto"/>
              <w:right w:val="nil"/>
            </w:tcBorders>
            <w:shd w:val="clear" w:color="auto" w:fill="auto"/>
            <w:noWrap/>
            <w:vAlign w:val="bottom"/>
            <w:hideMark/>
          </w:tcPr>
          <w:p w14:paraId="122EB704"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t-stat</w:t>
            </w:r>
          </w:p>
        </w:tc>
        <w:tc>
          <w:tcPr>
            <w:tcW w:w="806" w:type="pct"/>
            <w:tcBorders>
              <w:top w:val="nil"/>
              <w:left w:val="nil"/>
              <w:bottom w:val="single" w:sz="4" w:space="0" w:color="auto"/>
              <w:right w:val="nil"/>
            </w:tcBorders>
            <w:shd w:val="clear" w:color="auto" w:fill="auto"/>
            <w:noWrap/>
            <w:vAlign w:val="bottom"/>
            <w:hideMark/>
          </w:tcPr>
          <w:p w14:paraId="252FC4EF"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Wilcoxon-stat</w:t>
            </w:r>
          </w:p>
        </w:tc>
      </w:tr>
      <w:tr w:rsidR="00A75A98" w:rsidRPr="00D97714" w14:paraId="038F3D20" w14:textId="77777777" w:rsidTr="0063232D">
        <w:trPr>
          <w:trHeight w:val="20"/>
        </w:trPr>
        <w:tc>
          <w:tcPr>
            <w:tcW w:w="1488" w:type="pct"/>
            <w:tcBorders>
              <w:top w:val="single" w:sz="4" w:space="0" w:color="auto"/>
              <w:left w:val="single" w:sz="8" w:space="0" w:color="C1C1C1"/>
              <w:bottom w:val="nil"/>
              <w:right w:val="nil"/>
            </w:tcBorders>
            <w:shd w:val="clear" w:color="auto" w:fill="auto"/>
            <w:hideMark/>
          </w:tcPr>
          <w:p w14:paraId="6484B11D"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Return standard deviation</w:t>
            </w:r>
          </w:p>
        </w:tc>
        <w:tc>
          <w:tcPr>
            <w:tcW w:w="604" w:type="pct"/>
            <w:tcBorders>
              <w:top w:val="single" w:sz="4" w:space="0" w:color="auto"/>
              <w:left w:val="nil"/>
              <w:bottom w:val="nil"/>
              <w:right w:val="nil"/>
            </w:tcBorders>
            <w:shd w:val="clear" w:color="auto" w:fill="auto"/>
            <w:hideMark/>
          </w:tcPr>
          <w:p w14:paraId="518B8B23"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3.833%</w:t>
            </w:r>
          </w:p>
        </w:tc>
        <w:tc>
          <w:tcPr>
            <w:tcW w:w="604" w:type="pct"/>
            <w:tcBorders>
              <w:top w:val="single" w:sz="4" w:space="0" w:color="auto"/>
              <w:left w:val="nil"/>
              <w:bottom w:val="nil"/>
              <w:right w:val="nil"/>
            </w:tcBorders>
            <w:shd w:val="clear" w:color="auto" w:fill="auto"/>
            <w:hideMark/>
          </w:tcPr>
          <w:p w14:paraId="7165A33D"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3.671%</w:t>
            </w:r>
          </w:p>
        </w:tc>
        <w:tc>
          <w:tcPr>
            <w:tcW w:w="894" w:type="pct"/>
            <w:tcBorders>
              <w:top w:val="single" w:sz="4" w:space="0" w:color="auto"/>
              <w:left w:val="nil"/>
              <w:bottom w:val="nil"/>
              <w:right w:val="nil"/>
            </w:tcBorders>
            <w:shd w:val="clear" w:color="auto" w:fill="auto"/>
            <w:hideMark/>
          </w:tcPr>
          <w:p w14:paraId="63346015"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-0.162%</w:t>
            </w:r>
          </w:p>
        </w:tc>
        <w:tc>
          <w:tcPr>
            <w:tcW w:w="604" w:type="pct"/>
            <w:tcBorders>
              <w:top w:val="single" w:sz="4" w:space="0" w:color="auto"/>
              <w:left w:val="nil"/>
              <w:bottom w:val="nil"/>
              <w:right w:val="nil"/>
            </w:tcBorders>
            <w:shd w:val="clear" w:color="auto" w:fill="auto"/>
            <w:noWrap/>
            <w:vAlign w:val="bottom"/>
            <w:hideMark/>
          </w:tcPr>
          <w:p w14:paraId="6B56E875"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-2.30**</w:t>
            </w:r>
          </w:p>
        </w:tc>
        <w:tc>
          <w:tcPr>
            <w:tcW w:w="806" w:type="pct"/>
            <w:tcBorders>
              <w:top w:val="single" w:sz="4" w:space="0" w:color="auto"/>
              <w:left w:val="nil"/>
              <w:bottom w:val="nil"/>
              <w:right w:val="nil"/>
            </w:tcBorders>
            <w:shd w:val="clear" w:color="auto" w:fill="auto"/>
            <w:noWrap/>
            <w:vAlign w:val="bottom"/>
            <w:hideMark/>
          </w:tcPr>
          <w:p w14:paraId="0020C0C0"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-1.80*</w:t>
            </w:r>
          </w:p>
        </w:tc>
      </w:tr>
      <w:tr w:rsidR="00A75A98" w:rsidRPr="00D97714" w14:paraId="6519A440" w14:textId="77777777" w:rsidTr="0063232D">
        <w:trPr>
          <w:trHeight w:val="20"/>
        </w:trPr>
        <w:tc>
          <w:tcPr>
            <w:tcW w:w="1488" w:type="pct"/>
            <w:tcBorders>
              <w:top w:val="nil"/>
              <w:left w:val="single" w:sz="8" w:space="0" w:color="C1C1C1"/>
              <w:bottom w:val="nil"/>
              <w:right w:val="nil"/>
            </w:tcBorders>
            <w:shd w:val="clear" w:color="auto" w:fill="auto"/>
            <w:hideMark/>
          </w:tcPr>
          <w:p w14:paraId="2928B105"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Idiosyncratic risk from Fama-French 3-factor model</w:t>
            </w:r>
          </w:p>
        </w:tc>
        <w:tc>
          <w:tcPr>
            <w:tcW w:w="604" w:type="pct"/>
            <w:tcBorders>
              <w:top w:val="nil"/>
              <w:left w:val="nil"/>
              <w:bottom w:val="nil"/>
              <w:right w:val="nil"/>
            </w:tcBorders>
            <w:shd w:val="clear" w:color="auto" w:fill="auto"/>
            <w:hideMark/>
          </w:tcPr>
          <w:p w14:paraId="191BDE1A"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3.409%</w:t>
            </w:r>
          </w:p>
        </w:tc>
        <w:tc>
          <w:tcPr>
            <w:tcW w:w="604" w:type="pct"/>
            <w:tcBorders>
              <w:top w:val="nil"/>
              <w:left w:val="nil"/>
              <w:bottom w:val="nil"/>
              <w:right w:val="nil"/>
            </w:tcBorders>
            <w:shd w:val="clear" w:color="auto" w:fill="auto"/>
            <w:hideMark/>
          </w:tcPr>
          <w:p w14:paraId="5D245177"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3.303%</w:t>
            </w:r>
          </w:p>
        </w:tc>
        <w:tc>
          <w:tcPr>
            <w:tcW w:w="894" w:type="pct"/>
            <w:tcBorders>
              <w:top w:val="nil"/>
              <w:left w:val="nil"/>
              <w:bottom w:val="nil"/>
              <w:right w:val="nil"/>
            </w:tcBorders>
            <w:shd w:val="clear" w:color="auto" w:fill="auto"/>
            <w:hideMark/>
          </w:tcPr>
          <w:p w14:paraId="55562566"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-0.106%</w:t>
            </w:r>
          </w:p>
        </w:tc>
        <w:tc>
          <w:tcPr>
            <w:tcW w:w="604" w:type="pct"/>
            <w:tcBorders>
              <w:top w:val="nil"/>
              <w:left w:val="nil"/>
              <w:bottom w:val="nil"/>
              <w:right w:val="nil"/>
            </w:tcBorders>
            <w:shd w:val="clear" w:color="auto" w:fill="auto"/>
            <w:noWrap/>
            <w:vAlign w:val="bottom"/>
            <w:hideMark/>
          </w:tcPr>
          <w:p w14:paraId="64E59012"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-1.86*</w:t>
            </w:r>
          </w:p>
        </w:tc>
        <w:tc>
          <w:tcPr>
            <w:tcW w:w="806" w:type="pct"/>
            <w:tcBorders>
              <w:top w:val="nil"/>
              <w:left w:val="nil"/>
              <w:bottom w:val="nil"/>
              <w:right w:val="nil"/>
            </w:tcBorders>
            <w:shd w:val="clear" w:color="auto" w:fill="auto"/>
            <w:noWrap/>
            <w:vAlign w:val="bottom"/>
            <w:hideMark/>
          </w:tcPr>
          <w:p w14:paraId="55D4F075"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-1.20</w:t>
            </w:r>
          </w:p>
        </w:tc>
      </w:tr>
      <w:tr w:rsidR="00A75A98" w:rsidRPr="00D97714" w14:paraId="64211772" w14:textId="77777777" w:rsidTr="0063232D">
        <w:trPr>
          <w:trHeight w:val="20"/>
        </w:trPr>
        <w:tc>
          <w:tcPr>
            <w:tcW w:w="1488" w:type="pct"/>
            <w:tcBorders>
              <w:top w:val="nil"/>
              <w:left w:val="single" w:sz="8" w:space="0" w:color="C1C1C1"/>
              <w:bottom w:val="nil"/>
              <w:right w:val="nil"/>
            </w:tcBorders>
            <w:shd w:val="clear" w:color="auto" w:fill="auto"/>
            <w:hideMark/>
          </w:tcPr>
          <w:p w14:paraId="23BF0CBC"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Idiosyncratic risk from market model</w:t>
            </w:r>
          </w:p>
        </w:tc>
        <w:tc>
          <w:tcPr>
            <w:tcW w:w="604" w:type="pct"/>
            <w:tcBorders>
              <w:top w:val="nil"/>
              <w:left w:val="nil"/>
              <w:bottom w:val="nil"/>
              <w:right w:val="nil"/>
            </w:tcBorders>
            <w:shd w:val="clear" w:color="auto" w:fill="auto"/>
            <w:hideMark/>
          </w:tcPr>
          <w:p w14:paraId="735847D5"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3.480%</w:t>
            </w:r>
          </w:p>
        </w:tc>
        <w:tc>
          <w:tcPr>
            <w:tcW w:w="604" w:type="pct"/>
            <w:tcBorders>
              <w:top w:val="nil"/>
              <w:left w:val="nil"/>
              <w:bottom w:val="nil"/>
              <w:right w:val="nil"/>
            </w:tcBorders>
            <w:shd w:val="clear" w:color="auto" w:fill="auto"/>
            <w:hideMark/>
          </w:tcPr>
          <w:p w14:paraId="1CC8B7C8"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3.371%</w:t>
            </w:r>
          </w:p>
        </w:tc>
        <w:tc>
          <w:tcPr>
            <w:tcW w:w="894" w:type="pct"/>
            <w:tcBorders>
              <w:top w:val="nil"/>
              <w:left w:val="nil"/>
              <w:bottom w:val="nil"/>
              <w:right w:val="nil"/>
            </w:tcBorders>
            <w:shd w:val="clear" w:color="auto" w:fill="auto"/>
            <w:hideMark/>
          </w:tcPr>
          <w:p w14:paraId="5B3F41CE"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-0.109%</w:t>
            </w:r>
          </w:p>
        </w:tc>
        <w:tc>
          <w:tcPr>
            <w:tcW w:w="604" w:type="pct"/>
            <w:tcBorders>
              <w:top w:val="nil"/>
              <w:left w:val="nil"/>
              <w:bottom w:val="nil"/>
              <w:right w:val="nil"/>
            </w:tcBorders>
            <w:shd w:val="clear" w:color="auto" w:fill="auto"/>
            <w:noWrap/>
            <w:vAlign w:val="bottom"/>
            <w:hideMark/>
          </w:tcPr>
          <w:p w14:paraId="24CC66FC"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-1.84*</w:t>
            </w:r>
          </w:p>
        </w:tc>
        <w:tc>
          <w:tcPr>
            <w:tcW w:w="806" w:type="pct"/>
            <w:tcBorders>
              <w:top w:val="nil"/>
              <w:left w:val="nil"/>
              <w:bottom w:val="nil"/>
              <w:right w:val="nil"/>
            </w:tcBorders>
            <w:shd w:val="clear" w:color="auto" w:fill="auto"/>
            <w:noWrap/>
            <w:vAlign w:val="bottom"/>
            <w:hideMark/>
          </w:tcPr>
          <w:p w14:paraId="5097A1A5"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-1.23</w:t>
            </w:r>
          </w:p>
        </w:tc>
      </w:tr>
      <w:tr w:rsidR="00A75A98" w:rsidRPr="00D97714" w14:paraId="494763F8" w14:textId="77777777" w:rsidTr="0063232D">
        <w:trPr>
          <w:trHeight w:val="20"/>
        </w:trPr>
        <w:tc>
          <w:tcPr>
            <w:tcW w:w="1488" w:type="pct"/>
            <w:tcBorders>
              <w:top w:val="nil"/>
              <w:left w:val="single" w:sz="8" w:space="0" w:color="C1C1C1"/>
              <w:bottom w:val="nil"/>
              <w:right w:val="nil"/>
            </w:tcBorders>
            <w:shd w:val="clear" w:color="auto" w:fill="auto"/>
            <w:hideMark/>
          </w:tcPr>
          <w:p w14:paraId="648D6ED1"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Systematic risk from Fama-French 3-factor model</w:t>
            </w:r>
          </w:p>
        </w:tc>
        <w:tc>
          <w:tcPr>
            <w:tcW w:w="604" w:type="pct"/>
            <w:tcBorders>
              <w:top w:val="nil"/>
              <w:left w:val="nil"/>
              <w:right w:val="nil"/>
            </w:tcBorders>
            <w:shd w:val="clear" w:color="auto" w:fill="auto"/>
            <w:hideMark/>
          </w:tcPr>
          <w:p w14:paraId="20E1322D"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1.439%</w:t>
            </w:r>
          </w:p>
        </w:tc>
        <w:tc>
          <w:tcPr>
            <w:tcW w:w="604" w:type="pct"/>
            <w:tcBorders>
              <w:top w:val="nil"/>
              <w:left w:val="nil"/>
              <w:right w:val="nil"/>
            </w:tcBorders>
            <w:shd w:val="clear" w:color="auto" w:fill="auto"/>
            <w:hideMark/>
          </w:tcPr>
          <w:p w14:paraId="7A4EB18D"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1.330%</w:t>
            </w:r>
          </w:p>
        </w:tc>
        <w:tc>
          <w:tcPr>
            <w:tcW w:w="894" w:type="pct"/>
            <w:tcBorders>
              <w:top w:val="nil"/>
              <w:left w:val="nil"/>
              <w:right w:val="nil"/>
            </w:tcBorders>
            <w:shd w:val="clear" w:color="auto" w:fill="auto"/>
            <w:hideMark/>
          </w:tcPr>
          <w:p w14:paraId="37FE59D2"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-0.110%</w:t>
            </w:r>
          </w:p>
        </w:tc>
        <w:tc>
          <w:tcPr>
            <w:tcW w:w="604" w:type="pct"/>
            <w:tcBorders>
              <w:top w:val="nil"/>
              <w:left w:val="nil"/>
              <w:right w:val="nil"/>
            </w:tcBorders>
            <w:shd w:val="clear" w:color="auto" w:fill="auto"/>
            <w:noWrap/>
            <w:vAlign w:val="bottom"/>
            <w:hideMark/>
          </w:tcPr>
          <w:p w14:paraId="33C8A0D6"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-2.71***</w:t>
            </w:r>
          </w:p>
        </w:tc>
        <w:tc>
          <w:tcPr>
            <w:tcW w:w="806" w:type="pct"/>
            <w:tcBorders>
              <w:top w:val="nil"/>
              <w:left w:val="nil"/>
              <w:right w:val="nil"/>
            </w:tcBorders>
            <w:shd w:val="clear" w:color="auto" w:fill="auto"/>
            <w:noWrap/>
            <w:vAlign w:val="bottom"/>
            <w:hideMark/>
          </w:tcPr>
          <w:p w14:paraId="32CEF986"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-2.18**</w:t>
            </w:r>
          </w:p>
        </w:tc>
      </w:tr>
      <w:tr w:rsidR="00A75A98" w:rsidRPr="00D97714" w14:paraId="74D34C28" w14:textId="77777777" w:rsidTr="0063232D">
        <w:trPr>
          <w:trHeight w:val="20"/>
        </w:trPr>
        <w:tc>
          <w:tcPr>
            <w:tcW w:w="1488" w:type="pct"/>
            <w:tcBorders>
              <w:top w:val="nil"/>
              <w:left w:val="single" w:sz="8" w:space="0" w:color="C1C1C1"/>
              <w:bottom w:val="single" w:sz="4" w:space="0" w:color="auto"/>
              <w:right w:val="nil"/>
            </w:tcBorders>
            <w:shd w:val="clear" w:color="auto" w:fill="auto"/>
            <w:hideMark/>
          </w:tcPr>
          <w:p w14:paraId="52D2F636"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Systematic risk from market model</w:t>
            </w:r>
          </w:p>
        </w:tc>
        <w:tc>
          <w:tcPr>
            <w:tcW w:w="604" w:type="pct"/>
            <w:tcBorders>
              <w:top w:val="nil"/>
              <w:left w:val="nil"/>
              <w:bottom w:val="single" w:sz="4" w:space="0" w:color="auto"/>
              <w:right w:val="nil"/>
            </w:tcBorders>
            <w:shd w:val="clear" w:color="auto" w:fill="auto"/>
            <w:hideMark/>
          </w:tcPr>
          <w:p w14:paraId="023C5CA6"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1.258%</w:t>
            </w:r>
          </w:p>
        </w:tc>
        <w:tc>
          <w:tcPr>
            <w:tcW w:w="604" w:type="pct"/>
            <w:tcBorders>
              <w:top w:val="nil"/>
              <w:left w:val="nil"/>
              <w:bottom w:val="single" w:sz="4" w:space="0" w:color="auto"/>
              <w:right w:val="nil"/>
            </w:tcBorders>
            <w:shd w:val="clear" w:color="auto" w:fill="auto"/>
            <w:hideMark/>
          </w:tcPr>
          <w:p w14:paraId="60BAF66A"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1.147%</w:t>
            </w:r>
          </w:p>
        </w:tc>
        <w:tc>
          <w:tcPr>
            <w:tcW w:w="894" w:type="pct"/>
            <w:tcBorders>
              <w:top w:val="nil"/>
              <w:left w:val="nil"/>
              <w:bottom w:val="single" w:sz="4" w:space="0" w:color="auto"/>
              <w:right w:val="nil"/>
            </w:tcBorders>
            <w:shd w:val="clear" w:color="auto" w:fill="auto"/>
            <w:hideMark/>
          </w:tcPr>
          <w:p w14:paraId="7F8C1D7E"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-0.111%</w:t>
            </w:r>
          </w:p>
        </w:tc>
        <w:tc>
          <w:tcPr>
            <w:tcW w:w="604" w:type="pct"/>
            <w:tcBorders>
              <w:top w:val="nil"/>
              <w:left w:val="nil"/>
              <w:bottom w:val="single" w:sz="4" w:space="0" w:color="auto"/>
              <w:right w:val="nil"/>
            </w:tcBorders>
            <w:shd w:val="clear" w:color="auto" w:fill="auto"/>
            <w:noWrap/>
            <w:vAlign w:val="bottom"/>
            <w:hideMark/>
          </w:tcPr>
          <w:p w14:paraId="3D546B93"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-3.20***</w:t>
            </w:r>
          </w:p>
        </w:tc>
        <w:tc>
          <w:tcPr>
            <w:tcW w:w="806" w:type="pct"/>
            <w:tcBorders>
              <w:top w:val="nil"/>
              <w:left w:val="nil"/>
              <w:bottom w:val="single" w:sz="4" w:space="0" w:color="auto"/>
              <w:right w:val="nil"/>
            </w:tcBorders>
            <w:shd w:val="clear" w:color="auto" w:fill="auto"/>
            <w:noWrap/>
            <w:vAlign w:val="bottom"/>
            <w:hideMark/>
          </w:tcPr>
          <w:p w14:paraId="6AAFC988"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-2.25**</w:t>
            </w:r>
          </w:p>
        </w:tc>
      </w:tr>
    </w:tbl>
    <w:p w14:paraId="691D8DFE" w14:textId="77777777" w:rsidR="00A75A98" w:rsidRPr="00D97714" w:rsidRDefault="00A75A98" w:rsidP="00A75A98">
      <w:pPr>
        <w:rPr>
          <w:rFonts w:ascii="Times New Roman" w:hAnsi="Times New Roman" w:cs="Times New Roman"/>
          <w:sz w:val="24"/>
          <w:szCs w:val="24"/>
        </w:rPr>
      </w:pPr>
      <w:r w:rsidRPr="00D97714">
        <w:rPr>
          <w:rFonts w:ascii="Times New Roman" w:hAnsi="Times New Roman" w:cs="Times New Roman"/>
          <w:sz w:val="24"/>
          <w:szCs w:val="24"/>
        </w:rPr>
        <w:t>We report the total risk, idiosyncratic risk and systematic risk of the value-weighted portfolio (in Panel A) and equally-weighted portfolio (in Panel B) of matching firms in the year before and the year after the activism events. The value-weighted (based upon market capitalization in the preceding year) and equally-weighted portfolios of matching firms are firms in the same quartiles of institutional ownership and of market capitalization as the target firm. Total risk is measured as the standard deviation of the daily returns of matching firms in the (-252,-31) day and (+31,+252) day windows relative to the announcement date of the activism event, alternatively. Idiosyncratic risk and systematic risk are measured as the standard deviations of the residuals and the predicted values from the market model (R</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 xml:space="preserve"> = α</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 xml:space="preserve"> + β</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×R</w:t>
      </w:r>
      <w:r w:rsidRPr="00D97714">
        <w:rPr>
          <w:rFonts w:ascii="Times New Roman" w:hAnsi="Times New Roman" w:cs="Times New Roman"/>
          <w:sz w:val="24"/>
          <w:szCs w:val="24"/>
          <w:vertAlign w:val="subscript"/>
        </w:rPr>
        <w:t>mt</w:t>
      </w:r>
      <w:r w:rsidRPr="00D97714">
        <w:rPr>
          <w:rFonts w:ascii="Times New Roman" w:hAnsi="Times New Roman" w:cs="Times New Roman"/>
          <w:sz w:val="24"/>
          <w:szCs w:val="24"/>
        </w:rPr>
        <w:t xml:space="preserve"> + ɛ</w:t>
      </w:r>
      <w:r w:rsidRPr="00D97714">
        <w:rPr>
          <w:rFonts w:ascii="Times New Roman" w:hAnsi="Times New Roman" w:cs="Times New Roman"/>
          <w:sz w:val="24"/>
          <w:szCs w:val="24"/>
          <w:vertAlign w:val="subscript"/>
        </w:rPr>
        <w:t>it</w:t>
      </w:r>
      <w:r w:rsidRPr="00D97714">
        <w:rPr>
          <w:rFonts w:ascii="Times New Roman" w:hAnsi="Times New Roman" w:cs="Times New Roman"/>
          <w:sz w:val="24"/>
          <w:szCs w:val="24"/>
        </w:rPr>
        <w:t>) and the Fama-French 3-factor model (R</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 xml:space="preserve"> = α</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 xml:space="preserve"> + β</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 xml:space="preserve"> R</w:t>
      </w:r>
      <w:r w:rsidRPr="00D97714">
        <w:rPr>
          <w:rFonts w:ascii="Times New Roman" w:hAnsi="Times New Roman" w:cs="Times New Roman"/>
          <w:sz w:val="24"/>
          <w:szCs w:val="24"/>
          <w:vertAlign w:val="subscript"/>
        </w:rPr>
        <w:t>mt</w:t>
      </w:r>
      <w:r w:rsidRPr="00D97714">
        <w:rPr>
          <w:rFonts w:ascii="Times New Roman" w:hAnsi="Times New Roman" w:cs="Times New Roman"/>
          <w:sz w:val="24"/>
          <w:szCs w:val="24"/>
        </w:rPr>
        <w:t xml:space="preserve"> + ɤ</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 xml:space="preserve"> SMB</w:t>
      </w:r>
      <w:r w:rsidRPr="00D97714">
        <w:rPr>
          <w:rFonts w:ascii="Times New Roman" w:hAnsi="Times New Roman" w:cs="Times New Roman"/>
          <w:sz w:val="24"/>
          <w:szCs w:val="24"/>
          <w:vertAlign w:val="subscript"/>
        </w:rPr>
        <w:t>t</w:t>
      </w:r>
      <w:r w:rsidRPr="00D97714">
        <w:rPr>
          <w:rFonts w:ascii="Times New Roman" w:hAnsi="Times New Roman" w:cs="Times New Roman"/>
          <w:sz w:val="24"/>
          <w:szCs w:val="24"/>
        </w:rPr>
        <w:t xml:space="preserve"> + ɸ</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 xml:space="preserve"> HML</w:t>
      </w:r>
      <w:r w:rsidRPr="00D97714">
        <w:rPr>
          <w:rFonts w:ascii="Times New Roman" w:hAnsi="Times New Roman" w:cs="Times New Roman"/>
          <w:sz w:val="24"/>
          <w:szCs w:val="24"/>
          <w:vertAlign w:val="subscript"/>
        </w:rPr>
        <w:t>t</w:t>
      </w:r>
      <w:r w:rsidRPr="00D97714">
        <w:rPr>
          <w:rFonts w:ascii="Times New Roman" w:hAnsi="Times New Roman" w:cs="Times New Roman"/>
          <w:sz w:val="24"/>
          <w:szCs w:val="24"/>
        </w:rPr>
        <w:t xml:space="preserve"> + ɛ</w:t>
      </w:r>
      <w:r w:rsidRPr="00D97714">
        <w:rPr>
          <w:rFonts w:ascii="Times New Roman" w:hAnsi="Times New Roman" w:cs="Times New Roman"/>
          <w:sz w:val="24"/>
          <w:szCs w:val="24"/>
          <w:vertAlign w:val="subscript"/>
        </w:rPr>
        <w:t>it</w:t>
      </w:r>
      <w:r w:rsidRPr="00D97714">
        <w:rPr>
          <w:rFonts w:ascii="Times New Roman" w:hAnsi="Times New Roman" w:cs="Times New Roman"/>
          <w:sz w:val="24"/>
          <w:szCs w:val="24"/>
        </w:rPr>
        <w:t xml:space="preserve">), alternatively, in the (-252,-31) day and (+31,+252) day windows relative to the announcement date of the activism event. *, ** and *** indicate the significance levels of 10%, 5% and 1%, respectively. </w:t>
      </w:r>
    </w:p>
    <w:p w14:paraId="2DDD4608" w14:textId="77777777" w:rsidR="00A75A98" w:rsidRPr="00D97714" w:rsidRDefault="00A75A98" w:rsidP="00A75A98">
      <w:pPr>
        <w:rPr>
          <w:rFonts w:ascii="Times New Roman" w:hAnsi="Times New Roman" w:cs="Times New Roman"/>
          <w:sz w:val="24"/>
          <w:szCs w:val="24"/>
        </w:rPr>
      </w:pPr>
    </w:p>
    <w:p w14:paraId="1CD464F2" w14:textId="77777777" w:rsidR="00A75A98" w:rsidRPr="00D97714" w:rsidRDefault="00A75A98" w:rsidP="00A75A98">
      <w:pPr>
        <w:rPr>
          <w:rFonts w:ascii="Times New Roman" w:hAnsi="Times New Roman" w:cs="Times New Roman"/>
          <w:sz w:val="24"/>
          <w:szCs w:val="24"/>
        </w:rPr>
      </w:pPr>
    </w:p>
    <w:p w14:paraId="1B3148B2" w14:textId="77777777" w:rsidR="00A75A98" w:rsidRPr="00D97714" w:rsidRDefault="00A75A98" w:rsidP="00A75A98">
      <w:pPr>
        <w:rPr>
          <w:rFonts w:ascii="Times New Roman" w:hAnsi="Times New Roman" w:cs="Times New Roman"/>
          <w:sz w:val="24"/>
          <w:szCs w:val="24"/>
        </w:rPr>
      </w:pPr>
    </w:p>
    <w:p w14:paraId="4CBE91A8" w14:textId="77777777" w:rsidR="00A75A98" w:rsidRPr="00D97714" w:rsidRDefault="00A75A98" w:rsidP="00A75A98">
      <w:pPr>
        <w:rPr>
          <w:rFonts w:ascii="Times New Roman" w:hAnsi="Times New Roman" w:cs="Times New Roman"/>
          <w:sz w:val="24"/>
          <w:szCs w:val="24"/>
        </w:rPr>
      </w:pPr>
    </w:p>
    <w:p w14:paraId="45E6AE53" w14:textId="77777777" w:rsidR="00A75A98" w:rsidRPr="00D97714" w:rsidRDefault="00A75A98" w:rsidP="00A75A98">
      <w:pPr>
        <w:rPr>
          <w:rFonts w:ascii="Times New Roman" w:hAnsi="Times New Roman" w:cs="Times New Roman"/>
          <w:sz w:val="24"/>
          <w:szCs w:val="24"/>
        </w:rPr>
      </w:pPr>
    </w:p>
    <w:p w14:paraId="30F2C7F4" w14:textId="77777777" w:rsidR="00A75A98" w:rsidRPr="00D97714" w:rsidRDefault="00A75A98" w:rsidP="00A75A98">
      <w:pPr>
        <w:rPr>
          <w:rFonts w:ascii="Times New Roman" w:hAnsi="Times New Roman" w:cs="Times New Roman"/>
          <w:sz w:val="24"/>
          <w:szCs w:val="24"/>
        </w:rPr>
        <w:sectPr w:rsidR="00A75A98" w:rsidRPr="00D97714" w:rsidSect="00B54CA5">
          <w:pgSz w:w="15840" w:h="12240" w:orient="landscape"/>
          <w:pgMar w:top="720" w:right="720" w:bottom="720" w:left="720" w:header="720" w:footer="720" w:gutter="0"/>
          <w:cols w:space="720"/>
          <w:docGrid w:linePitch="360"/>
        </w:sectPr>
      </w:pPr>
    </w:p>
    <w:tbl>
      <w:tblPr>
        <w:tblW w:w="5000" w:type="pct"/>
        <w:tblLayout w:type="fixed"/>
        <w:tblLook w:val="04A0" w:firstRow="1" w:lastRow="0" w:firstColumn="1" w:lastColumn="0" w:noHBand="0" w:noVBand="1"/>
      </w:tblPr>
      <w:tblGrid>
        <w:gridCol w:w="1914"/>
        <w:gridCol w:w="1343"/>
        <w:gridCol w:w="1611"/>
        <w:gridCol w:w="1433"/>
        <w:gridCol w:w="1672"/>
        <w:gridCol w:w="1603"/>
      </w:tblGrid>
      <w:tr w:rsidR="00A75A98" w:rsidRPr="00C96815" w14:paraId="730AE760" w14:textId="77777777" w:rsidTr="0063232D">
        <w:trPr>
          <w:trHeight w:val="20"/>
        </w:trPr>
        <w:tc>
          <w:tcPr>
            <w:tcW w:w="5000" w:type="pct"/>
            <w:gridSpan w:val="6"/>
            <w:tcBorders>
              <w:top w:val="nil"/>
              <w:left w:val="nil"/>
              <w:bottom w:val="single" w:sz="4" w:space="0" w:color="auto"/>
              <w:right w:val="nil"/>
            </w:tcBorders>
            <w:shd w:val="clear" w:color="auto" w:fill="auto"/>
            <w:noWrap/>
            <w:vAlign w:val="bottom"/>
          </w:tcPr>
          <w:p w14:paraId="6CED9F73"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b/>
                <w:color w:val="000000"/>
              </w:rPr>
              <w:t>Table 8 – Cross-Sectional Analyses of Non-Target Matching Portfolios’ Risk</w:t>
            </w:r>
          </w:p>
        </w:tc>
      </w:tr>
      <w:tr w:rsidR="00A75A98" w:rsidRPr="00C96815" w14:paraId="4B230920" w14:textId="77777777" w:rsidTr="00A75A98">
        <w:trPr>
          <w:trHeight w:val="20"/>
        </w:trPr>
        <w:tc>
          <w:tcPr>
            <w:tcW w:w="1000" w:type="pct"/>
            <w:tcBorders>
              <w:top w:val="single" w:sz="4" w:space="0" w:color="auto"/>
              <w:left w:val="nil"/>
              <w:bottom w:val="single" w:sz="4" w:space="0" w:color="auto"/>
              <w:right w:val="nil"/>
            </w:tcBorders>
            <w:shd w:val="clear" w:color="auto" w:fill="auto"/>
            <w:noWrap/>
            <w:vAlign w:val="bottom"/>
            <w:hideMark/>
          </w:tcPr>
          <w:p w14:paraId="045B3D99"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VARIABLES</w:t>
            </w:r>
          </w:p>
        </w:tc>
        <w:tc>
          <w:tcPr>
            <w:tcW w:w="701" w:type="pct"/>
            <w:tcBorders>
              <w:top w:val="single" w:sz="4" w:space="0" w:color="auto"/>
              <w:left w:val="nil"/>
              <w:bottom w:val="single" w:sz="4" w:space="0" w:color="auto"/>
              <w:right w:val="nil"/>
            </w:tcBorders>
            <w:shd w:val="clear" w:color="auto" w:fill="auto"/>
            <w:noWrap/>
            <w:vAlign w:val="bottom"/>
            <w:hideMark/>
          </w:tcPr>
          <w:p w14:paraId="3B56C377"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Total risk</w:t>
            </w:r>
          </w:p>
        </w:tc>
        <w:tc>
          <w:tcPr>
            <w:tcW w:w="841" w:type="pct"/>
            <w:tcBorders>
              <w:top w:val="single" w:sz="4" w:space="0" w:color="auto"/>
              <w:left w:val="nil"/>
              <w:bottom w:val="single" w:sz="4" w:space="0" w:color="auto"/>
              <w:right w:val="nil"/>
            </w:tcBorders>
            <w:shd w:val="clear" w:color="auto" w:fill="auto"/>
            <w:noWrap/>
            <w:vAlign w:val="bottom"/>
            <w:hideMark/>
          </w:tcPr>
          <w:p w14:paraId="0A957E8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Idiosyncratic risk from Fama-French 3-factor model</w:t>
            </w:r>
          </w:p>
        </w:tc>
        <w:tc>
          <w:tcPr>
            <w:tcW w:w="748" w:type="pct"/>
            <w:tcBorders>
              <w:top w:val="single" w:sz="4" w:space="0" w:color="auto"/>
              <w:left w:val="nil"/>
              <w:bottom w:val="single" w:sz="4" w:space="0" w:color="auto"/>
              <w:right w:val="nil"/>
            </w:tcBorders>
            <w:shd w:val="clear" w:color="auto" w:fill="auto"/>
            <w:noWrap/>
            <w:vAlign w:val="bottom"/>
            <w:hideMark/>
          </w:tcPr>
          <w:p w14:paraId="2422DF46"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Idiosyncratic risk from market model</w:t>
            </w:r>
          </w:p>
        </w:tc>
        <w:tc>
          <w:tcPr>
            <w:tcW w:w="873" w:type="pct"/>
            <w:tcBorders>
              <w:top w:val="single" w:sz="4" w:space="0" w:color="auto"/>
              <w:left w:val="nil"/>
              <w:bottom w:val="single" w:sz="4" w:space="0" w:color="auto"/>
              <w:right w:val="nil"/>
            </w:tcBorders>
            <w:shd w:val="clear" w:color="auto" w:fill="auto"/>
            <w:noWrap/>
            <w:vAlign w:val="bottom"/>
            <w:hideMark/>
          </w:tcPr>
          <w:p w14:paraId="68DC540C"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Systematic risk from Fama-French 3-factor model</w:t>
            </w:r>
          </w:p>
        </w:tc>
        <w:tc>
          <w:tcPr>
            <w:tcW w:w="837" w:type="pct"/>
            <w:tcBorders>
              <w:top w:val="single" w:sz="4" w:space="0" w:color="auto"/>
              <w:left w:val="nil"/>
              <w:bottom w:val="single" w:sz="4" w:space="0" w:color="auto"/>
              <w:right w:val="nil"/>
            </w:tcBorders>
            <w:shd w:val="clear" w:color="auto" w:fill="auto"/>
            <w:noWrap/>
            <w:vAlign w:val="bottom"/>
            <w:hideMark/>
          </w:tcPr>
          <w:p w14:paraId="6791457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Systematic risk from market model</w:t>
            </w:r>
          </w:p>
        </w:tc>
      </w:tr>
      <w:tr w:rsidR="00A75A98" w:rsidRPr="00C96815" w14:paraId="08C5F4C8" w14:textId="77777777" w:rsidTr="00A75A98">
        <w:trPr>
          <w:trHeight w:val="20"/>
        </w:trPr>
        <w:tc>
          <w:tcPr>
            <w:tcW w:w="1000" w:type="pct"/>
            <w:tcBorders>
              <w:top w:val="single" w:sz="4" w:space="0" w:color="auto"/>
              <w:left w:val="nil"/>
              <w:bottom w:val="nil"/>
              <w:right w:val="nil"/>
            </w:tcBorders>
            <w:shd w:val="clear" w:color="auto" w:fill="auto"/>
            <w:noWrap/>
            <w:vAlign w:val="bottom"/>
          </w:tcPr>
          <w:p w14:paraId="1A21E61F"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Constant</w:t>
            </w:r>
          </w:p>
        </w:tc>
        <w:tc>
          <w:tcPr>
            <w:tcW w:w="701" w:type="pct"/>
            <w:tcBorders>
              <w:top w:val="single" w:sz="4" w:space="0" w:color="auto"/>
              <w:left w:val="nil"/>
              <w:bottom w:val="nil"/>
              <w:right w:val="nil"/>
            </w:tcBorders>
            <w:shd w:val="clear" w:color="auto" w:fill="auto"/>
            <w:noWrap/>
            <w:vAlign w:val="bottom"/>
          </w:tcPr>
          <w:p w14:paraId="2185F06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0.031</w:t>
            </w:r>
          </w:p>
        </w:tc>
        <w:tc>
          <w:tcPr>
            <w:tcW w:w="841" w:type="pct"/>
            <w:tcBorders>
              <w:top w:val="single" w:sz="4" w:space="0" w:color="auto"/>
              <w:left w:val="nil"/>
              <w:bottom w:val="nil"/>
              <w:right w:val="nil"/>
            </w:tcBorders>
            <w:shd w:val="clear" w:color="auto" w:fill="auto"/>
            <w:noWrap/>
            <w:vAlign w:val="bottom"/>
          </w:tcPr>
          <w:p w14:paraId="2A6481A7"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0.028</w:t>
            </w:r>
          </w:p>
        </w:tc>
        <w:tc>
          <w:tcPr>
            <w:tcW w:w="748" w:type="pct"/>
            <w:tcBorders>
              <w:top w:val="single" w:sz="4" w:space="0" w:color="auto"/>
              <w:left w:val="nil"/>
              <w:bottom w:val="nil"/>
              <w:right w:val="nil"/>
            </w:tcBorders>
            <w:shd w:val="clear" w:color="auto" w:fill="auto"/>
            <w:noWrap/>
            <w:vAlign w:val="bottom"/>
          </w:tcPr>
          <w:p w14:paraId="6CCE9C29"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0.029</w:t>
            </w:r>
          </w:p>
        </w:tc>
        <w:tc>
          <w:tcPr>
            <w:tcW w:w="873" w:type="pct"/>
            <w:tcBorders>
              <w:top w:val="single" w:sz="4" w:space="0" w:color="auto"/>
              <w:left w:val="nil"/>
              <w:bottom w:val="nil"/>
              <w:right w:val="nil"/>
            </w:tcBorders>
            <w:shd w:val="clear" w:color="auto" w:fill="auto"/>
            <w:noWrap/>
            <w:vAlign w:val="bottom"/>
          </w:tcPr>
          <w:p w14:paraId="4D49CF73"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0.011</w:t>
            </w:r>
          </w:p>
        </w:tc>
        <w:tc>
          <w:tcPr>
            <w:tcW w:w="837" w:type="pct"/>
            <w:tcBorders>
              <w:top w:val="single" w:sz="4" w:space="0" w:color="auto"/>
              <w:left w:val="nil"/>
              <w:bottom w:val="nil"/>
              <w:right w:val="nil"/>
            </w:tcBorders>
            <w:shd w:val="clear" w:color="auto" w:fill="auto"/>
            <w:noWrap/>
            <w:vAlign w:val="bottom"/>
          </w:tcPr>
          <w:p w14:paraId="23A840AD"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0.008</w:t>
            </w:r>
          </w:p>
        </w:tc>
      </w:tr>
      <w:tr w:rsidR="00A75A98" w:rsidRPr="00C96815" w14:paraId="229F7918" w14:textId="77777777" w:rsidTr="00A75A98">
        <w:trPr>
          <w:trHeight w:val="20"/>
        </w:trPr>
        <w:tc>
          <w:tcPr>
            <w:tcW w:w="1000" w:type="pct"/>
            <w:tcBorders>
              <w:top w:val="nil"/>
              <w:left w:val="nil"/>
              <w:bottom w:val="nil"/>
              <w:right w:val="nil"/>
            </w:tcBorders>
            <w:shd w:val="clear" w:color="auto" w:fill="auto"/>
            <w:noWrap/>
            <w:vAlign w:val="bottom"/>
          </w:tcPr>
          <w:p w14:paraId="2D4C5E85" w14:textId="77777777" w:rsidR="00A75A98" w:rsidRPr="00C96815" w:rsidRDefault="00A75A98" w:rsidP="0063232D">
            <w:pPr>
              <w:spacing w:after="0" w:line="240" w:lineRule="auto"/>
              <w:rPr>
                <w:rFonts w:ascii="Times New Roman" w:eastAsia="Times New Roman" w:hAnsi="Times New Roman" w:cs="Times New Roman"/>
                <w:color w:val="000000"/>
              </w:rPr>
            </w:pPr>
          </w:p>
        </w:tc>
        <w:tc>
          <w:tcPr>
            <w:tcW w:w="701" w:type="pct"/>
            <w:tcBorders>
              <w:top w:val="nil"/>
              <w:left w:val="nil"/>
              <w:bottom w:val="nil"/>
              <w:right w:val="nil"/>
            </w:tcBorders>
            <w:shd w:val="clear" w:color="auto" w:fill="auto"/>
            <w:noWrap/>
            <w:vAlign w:val="bottom"/>
          </w:tcPr>
          <w:p w14:paraId="65D2E13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(8.930***)</w:t>
            </w:r>
          </w:p>
        </w:tc>
        <w:tc>
          <w:tcPr>
            <w:tcW w:w="841" w:type="pct"/>
            <w:tcBorders>
              <w:top w:val="nil"/>
              <w:left w:val="nil"/>
              <w:bottom w:val="nil"/>
              <w:right w:val="nil"/>
            </w:tcBorders>
            <w:shd w:val="clear" w:color="auto" w:fill="auto"/>
            <w:noWrap/>
            <w:vAlign w:val="bottom"/>
          </w:tcPr>
          <w:p w14:paraId="6615FC93"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(8.678***)</w:t>
            </w:r>
          </w:p>
        </w:tc>
        <w:tc>
          <w:tcPr>
            <w:tcW w:w="748" w:type="pct"/>
            <w:tcBorders>
              <w:top w:val="nil"/>
              <w:left w:val="nil"/>
              <w:bottom w:val="nil"/>
              <w:right w:val="nil"/>
            </w:tcBorders>
            <w:shd w:val="clear" w:color="auto" w:fill="auto"/>
            <w:noWrap/>
            <w:vAlign w:val="bottom"/>
          </w:tcPr>
          <w:p w14:paraId="7487833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(8.882***)</w:t>
            </w:r>
          </w:p>
        </w:tc>
        <w:tc>
          <w:tcPr>
            <w:tcW w:w="873" w:type="pct"/>
            <w:tcBorders>
              <w:top w:val="nil"/>
              <w:left w:val="nil"/>
              <w:bottom w:val="nil"/>
              <w:right w:val="nil"/>
            </w:tcBorders>
            <w:shd w:val="clear" w:color="auto" w:fill="auto"/>
            <w:noWrap/>
            <w:vAlign w:val="bottom"/>
          </w:tcPr>
          <w:p w14:paraId="0DC0EF4E"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(6.308***)</w:t>
            </w:r>
          </w:p>
        </w:tc>
        <w:tc>
          <w:tcPr>
            <w:tcW w:w="837" w:type="pct"/>
            <w:tcBorders>
              <w:top w:val="nil"/>
              <w:left w:val="nil"/>
              <w:bottom w:val="nil"/>
              <w:right w:val="nil"/>
            </w:tcBorders>
            <w:shd w:val="clear" w:color="auto" w:fill="auto"/>
            <w:noWrap/>
            <w:vAlign w:val="bottom"/>
          </w:tcPr>
          <w:p w14:paraId="3DA94A9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(4.774***)</w:t>
            </w:r>
          </w:p>
        </w:tc>
      </w:tr>
      <w:tr w:rsidR="00A75A98" w:rsidRPr="00C96815" w14:paraId="59D597BC" w14:textId="77777777" w:rsidTr="00A75A98">
        <w:trPr>
          <w:trHeight w:val="20"/>
        </w:trPr>
        <w:tc>
          <w:tcPr>
            <w:tcW w:w="1000" w:type="pct"/>
            <w:tcBorders>
              <w:left w:val="nil"/>
              <w:bottom w:val="nil"/>
              <w:right w:val="nil"/>
            </w:tcBorders>
            <w:shd w:val="clear" w:color="auto" w:fill="auto"/>
            <w:noWrap/>
            <w:hideMark/>
          </w:tcPr>
          <w:p w14:paraId="5AF55952"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AFTER</w:t>
            </w:r>
          </w:p>
        </w:tc>
        <w:tc>
          <w:tcPr>
            <w:tcW w:w="701" w:type="pct"/>
            <w:tcBorders>
              <w:left w:val="nil"/>
              <w:bottom w:val="nil"/>
              <w:right w:val="nil"/>
            </w:tcBorders>
            <w:shd w:val="clear" w:color="auto" w:fill="auto"/>
            <w:noWrap/>
            <w:vAlign w:val="bottom"/>
            <w:hideMark/>
          </w:tcPr>
          <w:p w14:paraId="11708332"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-0.036</w:t>
            </w:r>
          </w:p>
        </w:tc>
        <w:tc>
          <w:tcPr>
            <w:tcW w:w="841" w:type="pct"/>
            <w:tcBorders>
              <w:left w:val="nil"/>
              <w:bottom w:val="nil"/>
              <w:right w:val="nil"/>
            </w:tcBorders>
            <w:shd w:val="clear" w:color="auto" w:fill="auto"/>
            <w:noWrap/>
            <w:vAlign w:val="bottom"/>
            <w:hideMark/>
          </w:tcPr>
          <w:p w14:paraId="2465D7ED"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-0.044</w:t>
            </w:r>
          </w:p>
        </w:tc>
        <w:tc>
          <w:tcPr>
            <w:tcW w:w="748" w:type="pct"/>
            <w:tcBorders>
              <w:left w:val="nil"/>
              <w:bottom w:val="nil"/>
              <w:right w:val="nil"/>
            </w:tcBorders>
            <w:shd w:val="clear" w:color="auto" w:fill="auto"/>
            <w:noWrap/>
            <w:vAlign w:val="bottom"/>
            <w:hideMark/>
          </w:tcPr>
          <w:p w14:paraId="721972DD"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-0.043</w:t>
            </w:r>
          </w:p>
        </w:tc>
        <w:tc>
          <w:tcPr>
            <w:tcW w:w="873" w:type="pct"/>
            <w:tcBorders>
              <w:left w:val="nil"/>
              <w:bottom w:val="nil"/>
              <w:right w:val="nil"/>
            </w:tcBorders>
            <w:shd w:val="clear" w:color="auto" w:fill="auto"/>
            <w:noWrap/>
            <w:vAlign w:val="bottom"/>
            <w:hideMark/>
          </w:tcPr>
          <w:p w14:paraId="55588B55"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-0.011</w:t>
            </w:r>
          </w:p>
        </w:tc>
        <w:tc>
          <w:tcPr>
            <w:tcW w:w="837" w:type="pct"/>
            <w:tcBorders>
              <w:left w:val="nil"/>
              <w:bottom w:val="nil"/>
              <w:right w:val="nil"/>
            </w:tcBorders>
            <w:shd w:val="clear" w:color="auto" w:fill="auto"/>
            <w:noWrap/>
            <w:vAlign w:val="bottom"/>
            <w:hideMark/>
          </w:tcPr>
          <w:p w14:paraId="40E6303E"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-0.021</w:t>
            </w:r>
          </w:p>
        </w:tc>
      </w:tr>
      <w:tr w:rsidR="00A75A98" w:rsidRPr="00C96815" w14:paraId="770D8784" w14:textId="77777777" w:rsidTr="00A75A98">
        <w:trPr>
          <w:trHeight w:val="20"/>
        </w:trPr>
        <w:tc>
          <w:tcPr>
            <w:tcW w:w="1000" w:type="pct"/>
            <w:tcBorders>
              <w:top w:val="nil"/>
              <w:left w:val="nil"/>
              <w:bottom w:val="nil"/>
              <w:right w:val="nil"/>
            </w:tcBorders>
            <w:shd w:val="clear" w:color="auto" w:fill="auto"/>
            <w:noWrap/>
            <w:hideMark/>
          </w:tcPr>
          <w:p w14:paraId="722ADFA2" w14:textId="77777777" w:rsidR="00A75A98" w:rsidRPr="00C96815" w:rsidRDefault="00A75A98" w:rsidP="0063232D">
            <w:pPr>
              <w:spacing w:after="0" w:line="240" w:lineRule="auto"/>
              <w:rPr>
                <w:rFonts w:ascii="Times New Roman" w:eastAsia="Times New Roman" w:hAnsi="Times New Roman" w:cs="Times New Roman"/>
                <w:color w:val="000000"/>
              </w:rPr>
            </w:pPr>
          </w:p>
        </w:tc>
        <w:tc>
          <w:tcPr>
            <w:tcW w:w="701" w:type="pct"/>
            <w:tcBorders>
              <w:top w:val="nil"/>
              <w:left w:val="nil"/>
              <w:bottom w:val="nil"/>
              <w:right w:val="nil"/>
            </w:tcBorders>
            <w:shd w:val="clear" w:color="auto" w:fill="auto"/>
            <w:noWrap/>
            <w:vAlign w:val="bottom"/>
            <w:hideMark/>
          </w:tcPr>
          <w:p w14:paraId="71D24FF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(-2.609***)</w:t>
            </w:r>
          </w:p>
        </w:tc>
        <w:tc>
          <w:tcPr>
            <w:tcW w:w="841" w:type="pct"/>
            <w:tcBorders>
              <w:top w:val="nil"/>
              <w:left w:val="nil"/>
              <w:bottom w:val="nil"/>
              <w:right w:val="nil"/>
            </w:tcBorders>
            <w:shd w:val="clear" w:color="auto" w:fill="auto"/>
            <w:noWrap/>
            <w:vAlign w:val="bottom"/>
            <w:hideMark/>
          </w:tcPr>
          <w:p w14:paraId="2C52E2B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(-3.216***)</w:t>
            </w:r>
          </w:p>
        </w:tc>
        <w:tc>
          <w:tcPr>
            <w:tcW w:w="748" w:type="pct"/>
            <w:tcBorders>
              <w:top w:val="nil"/>
              <w:left w:val="nil"/>
              <w:bottom w:val="nil"/>
              <w:right w:val="nil"/>
            </w:tcBorders>
            <w:shd w:val="clear" w:color="auto" w:fill="auto"/>
            <w:noWrap/>
            <w:vAlign w:val="bottom"/>
            <w:hideMark/>
          </w:tcPr>
          <w:p w14:paraId="02CF750C"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(-3.160***)</w:t>
            </w:r>
          </w:p>
        </w:tc>
        <w:tc>
          <w:tcPr>
            <w:tcW w:w="873" w:type="pct"/>
            <w:tcBorders>
              <w:top w:val="nil"/>
              <w:left w:val="nil"/>
              <w:bottom w:val="nil"/>
              <w:right w:val="nil"/>
            </w:tcBorders>
            <w:shd w:val="clear" w:color="auto" w:fill="auto"/>
            <w:noWrap/>
            <w:vAlign w:val="bottom"/>
            <w:hideMark/>
          </w:tcPr>
          <w:p w14:paraId="6BCA118B"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(-0.744 )</w:t>
            </w:r>
          </w:p>
        </w:tc>
        <w:tc>
          <w:tcPr>
            <w:tcW w:w="837" w:type="pct"/>
            <w:tcBorders>
              <w:top w:val="nil"/>
              <w:left w:val="nil"/>
              <w:bottom w:val="nil"/>
              <w:right w:val="nil"/>
            </w:tcBorders>
            <w:shd w:val="clear" w:color="auto" w:fill="auto"/>
            <w:noWrap/>
            <w:vAlign w:val="bottom"/>
            <w:hideMark/>
          </w:tcPr>
          <w:p w14:paraId="420FE694"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(-1.337 )</w:t>
            </w:r>
          </w:p>
        </w:tc>
      </w:tr>
      <w:tr w:rsidR="00A75A98" w:rsidRPr="00C96815" w14:paraId="25A3ED98" w14:textId="77777777" w:rsidTr="00A75A98">
        <w:trPr>
          <w:trHeight w:val="20"/>
        </w:trPr>
        <w:tc>
          <w:tcPr>
            <w:tcW w:w="1000" w:type="pct"/>
            <w:vMerge w:val="restart"/>
            <w:tcBorders>
              <w:top w:val="nil"/>
              <w:left w:val="nil"/>
              <w:right w:val="nil"/>
            </w:tcBorders>
            <w:shd w:val="clear" w:color="auto" w:fill="auto"/>
            <w:noWrap/>
            <w:hideMark/>
          </w:tcPr>
          <w:p w14:paraId="5D14C54B"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WIN</w:t>
            </w:r>
          </w:p>
        </w:tc>
        <w:tc>
          <w:tcPr>
            <w:tcW w:w="701" w:type="pct"/>
            <w:tcBorders>
              <w:top w:val="nil"/>
              <w:left w:val="nil"/>
              <w:bottom w:val="nil"/>
              <w:right w:val="nil"/>
            </w:tcBorders>
            <w:shd w:val="clear" w:color="auto" w:fill="auto"/>
            <w:noWrap/>
            <w:vAlign w:val="bottom"/>
            <w:hideMark/>
          </w:tcPr>
          <w:p w14:paraId="00E1AF4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-0.029</w:t>
            </w:r>
          </w:p>
        </w:tc>
        <w:tc>
          <w:tcPr>
            <w:tcW w:w="841" w:type="pct"/>
            <w:tcBorders>
              <w:top w:val="nil"/>
              <w:left w:val="nil"/>
              <w:bottom w:val="nil"/>
              <w:right w:val="nil"/>
            </w:tcBorders>
            <w:shd w:val="clear" w:color="auto" w:fill="auto"/>
            <w:noWrap/>
            <w:vAlign w:val="bottom"/>
            <w:hideMark/>
          </w:tcPr>
          <w:p w14:paraId="6D0E193F"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-0.036</w:t>
            </w:r>
          </w:p>
        </w:tc>
        <w:tc>
          <w:tcPr>
            <w:tcW w:w="748" w:type="pct"/>
            <w:tcBorders>
              <w:top w:val="nil"/>
              <w:left w:val="nil"/>
              <w:bottom w:val="nil"/>
              <w:right w:val="nil"/>
            </w:tcBorders>
            <w:shd w:val="clear" w:color="auto" w:fill="auto"/>
            <w:noWrap/>
            <w:vAlign w:val="bottom"/>
            <w:hideMark/>
          </w:tcPr>
          <w:p w14:paraId="50EB79A7"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-0.036</w:t>
            </w:r>
          </w:p>
        </w:tc>
        <w:tc>
          <w:tcPr>
            <w:tcW w:w="873" w:type="pct"/>
            <w:tcBorders>
              <w:top w:val="nil"/>
              <w:left w:val="nil"/>
              <w:bottom w:val="nil"/>
              <w:right w:val="nil"/>
            </w:tcBorders>
            <w:shd w:val="clear" w:color="auto" w:fill="auto"/>
            <w:noWrap/>
            <w:vAlign w:val="bottom"/>
            <w:hideMark/>
          </w:tcPr>
          <w:p w14:paraId="74A6D31B"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-0.002</w:t>
            </w:r>
          </w:p>
        </w:tc>
        <w:tc>
          <w:tcPr>
            <w:tcW w:w="837" w:type="pct"/>
            <w:tcBorders>
              <w:top w:val="nil"/>
              <w:left w:val="nil"/>
              <w:bottom w:val="nil"/>
              <w:right w:val="nil"/>
            </w:tcBorders>
            <w:shd w:val="clear" w:color="auto" w:fill="auto"/>
            <w:noWrap/>
            <w:vAlign w:val="bottom"/>
            <w:hideMark/>
          </w:tcPr>
          <w:p w14:paraId="3EFDB20A"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0.001</w:t>
            </w:r>
          </w:p>
        </w:tc>
      </w:tr>
      <w:tr w:rsidR="00A75A98" w:rsidRPr="00C96815" w14:paraId="7B5BF9AC" w14:textId="77777777" w:rsidTr="00C96815">
        <w:trPr>
          <w:trHeight w:val="279"/>
        </w:trPr>
        <w:tc>
          <w:tcPr>
            <w:tcW w:w="1000" w:type="pct"/>
            <w:vMerge/>
            <w:tcBorders>
              <w:left w:val="nil"/>
              <w:bottom w:val="nil"/>
              <w:right w:val="nil"/>
            </w:tcBorders>
            <w:shd w:val="clear" w:color="auto" w:fill="auto"/>
            <w:noWrap/>
            <w:hideMark/>
          </w:tcPr>
          <w:p w14:paraId="1CDEB065" w14:textId="77777777" w:rsidR="00A75A98" w:rsidRPr="00C96815" w:rsidRDefault="00A75A98" w:rsidP="0063232D">
            <w:pPr>
              <w:spacing w:after="0" w:line="240" w:lineRule="auto"/>
              <w:rPr>
                <w:rFonts w:ascii="Times New Roman" w:eastAsia="Times New Roman" w:hAnsi="Times New Roman" w:cs="Times New Roman"/>
                <w:color w:val="000000"/>
              </w:rPr>
            </w:pPr>
          </w:p>
        </w:tc>
        <w:tc>
          <w:tcPr>
            <w:tcW w:w="701" w:type="pct"/>
            <w:tcBorders>
              <w:top w:val="nil"/>
              <w:left w:val="nil"/>
              <w:bottom w:val="nil"/>
              <w:right w:val="nil"/>
            </w:tcBorders>
            <w:shd w:val="clear" w:color="auto" w:fill="auto"/>
            <w:noWrap/>
            <w:vAlign w:val="bottom"/>
            <w:hideMark/>
          </w:tcPr>
          <w:p w14:paraId="2621D3CE"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(-2.072**)</w:t>
            </w:r>
          </w:p>
        </w:tc>
        <w:tc>
          <w:tcPr>
            <w:tcW w:w="841" w:type="pct"/>
            <w:tcBorders>
              <w:top w:val="nil"/>
              <w:left w:val="nil"/>
              <w:bottom w:val="nil"/>
              <w:right w:val="nil"/>
            </w:tcBorders>
            <w:shd w:val="clear" w:color="auto" w:fill="auto"/>
            <w:noWrap/>
            <w:vAlign w:val="bottom"/>
            <w:hideMark/>
          </w:tcPr>
          <w:p w14:paraId="7AC759C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(-2.578**)</w:t>
            </w:r>
          </w:p>
        </w:tc>
        <w:tc>
          <w:tcPr>
            <w:tcW w:w="748" w:type="pct"/>
            <w:tcBorders>
              <w:top w:val="nil"/>
              <w:left w:val="nil"/>
              <w:bottom w:val="nil"/>
              <w:right w:val="nil"/>
            </w:tcBorders>
            <w:shd w:val="clear" w:color="auto" w:fill="auto"/>
            <w:noWrap/>
            <w:vAlign w:val="bottom"/>
            <w:hideMark/>
          </w:tcPr>
          <w:p w14:paraId="4CCB2BBC"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(-2.521**)</w:t>
            </w:r>
          </w:p>
        </w:tc>
        <w:tc>
          <w:tcPr>
            <w:tcW w:w="873" w:type="pct"/>
            <w:tcBorders>
              <w:top w:val="nil"/>
              <w:left w:val="nil"/>
              <w:bottom w:val="nil"/>
              <w:right w:val="nil"/>
            </w:tcBorders>
            <w:shd w:val="clear" w:color="auto" w:fill="auto"/>
            <w:noWrap/>
            <w:vAlign w:val="bottom"/>
            <w:hideMark/>
          </w:tcPr>
          <w:p w14:paraId="2959B76C"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(-0.109 )</w:t>
            </w:r>
          </w:p>
        </w:tc>
        <w:tc>
          <w:tcPr>
            <w:tcW w:w="837" w:type="pct"/>
            <w:tcBorders>
              <w:top w:val="nil"/>
              <w:left w:val="nil"/>
              <w:bottom w:val="nil"/>
              <w:right w:val="nil"/>
            </w:tcBorders>
            <w:shd w:val="clear" w:color="auto" w:fill="auto"/>
            <w:noWrap/>
            <w:vAlign w:val="bottom"/>
            <w:hideMark/>
          </w:tcPr>
          <w:p w14:paraId="71DE61D4"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(0.090 )</w:t>
            </w:r>
          </w:p>
        </w:tc>
      </w:tr>
      <w:tr w:rsidR="00A75A98" w:rsidRPr="00C96815" w14:paraId="47B16591" w14:textId="77777777" w:rsidTr="00A75A98">
        <w:trPr>
          <w:trHeight w:val="20"/>
        </w:trPr>
        <w:tc>
          <w:tcPr>
            <w:tcW w:w="1000" w:type="pct"/>
            <w:vMerge w:val="restart"/>
            <w:tcBorders>
              <w:top w:val="nil"/>
              <w:left w:val="nil"/>
              <w:right w:val="nil"/>
            </w:tcBorders>
            <w:shd w:val="clear" w:color="auto" w:fill="auto"/>
            <w:noWrap/>
            <w:hideMark/>
          </w:tcPr>
          <w:p w14:paraId="12863ED6"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CHANGE</w:t>
            </w:r>
          </w:p>
        </w:tc>
        <w:tc>
          <w:tcPr>
            <w:tcW w:w="701" w:type="pct"/>
            <w:tcBorders>
              <w:top w:val="nil"/>
              <w:left w:val="nil"/>
              <w:bottom w:val="nil"/>
              <w:right w:val="nil"/>
            </w:tcBorders>
            <w:shd w:val="clear" w:color="auto" w:fill="auto"/>
            <w:noWrap/>
            <w:vAlign w:val="bottom"/>
            <w:hideMark/>
          </w:tcPr>
          <w:p w14:paraId="43255B4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0.013</w:t>
            </w:r>
          </w:p>
        </w:tc>
        <w:tc>
          <w:tcPr>
            <w:tcW w:w="841" w:type="pct"/>
            <w:tcBorders>
              <w:top w:val="nil"/>
              <w:left w:val="nil"/>
              <w:bottom w:val="nil"/>
              <w:right w:val="nil"/>
            </w:tcBorders>
            <w:shd w:val="clear" w:color="auto" w:fill="auto"/>
            <w:noWrap/>
            <w:vAlign w:val="bottom"/>
            <w:hideMark/>
          </w:tcPr>
          <w:p w14:paraId="0B2A995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0.019</w:t>
            </w:r>
          </w:p>
        </w:tc>
        <w:tc>
          <w:tcPr>
            <w:tcW w:w="748" w:type="pct"/>
            <w:tcBorders>
              <w:top w:val="nil"/>
              <w:left w:val="nil"/>
              <w:bottom w:val="nil"/>
              <w:right w:val="nil"/>
            </w:tcBorders>
            <w:shd w:val="clear" w:color="auto" w:fill="auto"/>
            <w:noWrap/>
            <w:vAlign w:val="bottom"/>
            <w:hideMark/>
          </w:tcPr>
          <w:p w14:paraId="7C49787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0.018</w:t>
            </w:r>
          </w:p>
        </w:tc>
        <w:tc>
          <w:tcPr>
            <w:tcW w:w="873" w:type="pct"/>
            <w:tcBorders>
              <w:top w:val="nil"/>
              <w:left w:val="nil"/>
              <w:bottom w:val="nil"/>
              <w:right w:val="nil"/>
            </w:tcBorders>
            <w:shd w:val="clear" w:color="auto" w:fill="auto"/>
            <w:noWrap/>
            <w:vAlign w:val="bottom"/>
            <w:hideMark/>
          </w:tcPr>
          <w:p w14:paraId="299E7F16"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-0.029</w:t>
            </w:r>
          </w:p>
        </w:tc>
        <w:tc>
          <w:tcPr>
            <w:tcW w:w="837" w:type="pct"/>
            <w:tcBorders>
              <w:top w:val="nil"/>
              <w:left w:val="nil"/>
              <w:bottom w:val="nil"/>
              <w:right w:val="nil"/>
            </w:tcBorders>
            <w:shd w:val="clear" w:color="auto" w:fill="auto"/>
            <w:noWrap/>
            <w:vAlign w:val="bottom"/>
            <w:hideMark/>
          </w:tcPr>
          <w:p w14:paraId="407E488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-0.033</w:t>
            </w:r>
          </w:p>
        </w:tc>
      </w:tr>
      <w:tr w:rsidR="00A75A98" w:rsidRPr="00C96815" w14:paraId="231086F9" w14:textId="77777777" w:rsidTr="00A75A98">
        <w:trPr>
          <w:trHeight w:val="20"/>
        </w:trPr>
        <w:tc>
          <w:tcPr>
            <w:tcW w:w="1000" w:type="pct"/>
            <w:vMerge/>
            <w:tcBorders>
              <w:left w:val="nil"/>
              <w:bottom w:val="nil"/>
              <w:right w:val="nil"/>
            </w:tcBorders>
            <w:shd w:val="clear" w:color="auto" w:fill="auto"/>
            <w:noWrap/>
            <w:hideMark/>
          </w:tcPr>
          <w:p w14:paraId="7B92558C" w14:textId="77777777" w:rsidR="00A75A98" w:rsidRPr="00C96815" w:rsidRDefault="00A75A98" w:rsidP="0063232D">
            <w:pPr>
              <w:spacing w:after="0" w:line="240" w:lineRule="auto"/>
              <w:rPr>
                <w:rFonts w:ascii="Times New Roman" w:eastAsia="Times New Roman" w:hAnsi="Times New Roman" w:cs="Times New Roman"/>
                <w:color w:val="000000"/>
              </w:rPr>
            </w:pPr>
          </w:p>
        </w:tc>
        <w:tc>
          <w:tcPr>
            <w:tcW w:w="701" w:type="pct"/>
            <w:tcBorders>
              <w:top w:val="nil"/>
              <w:left w:val="nil"/>
              <w:bottom w:val="nil"/>
              <w:right w:val="nil"/>
            </w:tcBorders>
            <w:shd w:val="clear" w:color="auto" w:fill="auto"/>
            <w:noWrap/>
            <w:vAlign w:val="bottom"/>
            <w:hideMark/>
          </w:tcPr>
          <w:p w14:paraId="37E8CEF3"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(0.901 )</w:t>
            </w:r>
          </w:p>
        </w:tc>
        <w:tc>
          <w:tcPr>
            <w:tcW w:w="841" w:type="pct"/>
            <w:tcBorders>
              <w:top w:val="nil"/>
              <w:left w:val="nil"/>
              <w:bottom w:val="nil"/>
              <w:right w:val="nil"/>
            </w:tcBorders>
            <w:shd w:val="clear" w:color="auto" w:fill="auto"/>
            <w:noWrap/>
            <w:vAlign w:val="bottom"/>
            <w:hideMark/>
          </w:tcPr>
          <w:p w14:paraId="79581A1D"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(1.354 )</w:t>
            </w:r>
          </w:p>
        </w:tc>
        <w:tc>
          <w:tcPr>
            <w:tcW w:w="748" w:type="pct"/>
            <w:tcBorders>
              <w:top w:val="nil"/>
              <w:left w:val="nil"/>
              <w:bottom w:val="nil"/>
              <w:right w:val="nil"/>
            </w:tcBorders>
            <w:shd w:val="clear" w:color="auto" w:fill="auto"/>
            <w:noWrap/>
            <w:vAlign w:val="bottom"/>
            <w:hideMark/>
          </w:tcPr>
          <w:p w14:paraId="43EEC292"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(1.273 )</w:t>
            </w:r>
          </w:p>
        </w:tc>
        <w:tc>
          <w:tcPr>
            <w:tcW w:w="873" w:type="pct"/>
            <w:tcBorders>
              <w:top w:val="nil"/>
              <w:left w:val="nil"/>
              <w:bottom w:val="nil"/>
              <w:right w:val="nil"/>
            </w:tcBorders>
            <w:shd w:val="clear" w:color="auto" w:fill="auto"/>
            <w:noWrap/>
            <w:vAlign w:val="bottom"/>
            <w:hideMark/>
          </w:tcPr>
          <w:p w14:paraId="39AB3494"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(-1.815*)</w:t>
            </w:r>
          </w:p>
        </w:tc>
        <w:tc>
          <w:tcPr>
            <w:tcW w:w="837" w:type="pct"/>
            <w:tcBorders>
              <w:top w:val="nil"/>
              <w:left w:val="nil"/>
              <w:bottom w:val="nil"/>
              <w:right w:val="nil"/>
            </w:tcBorders>
            <w:shd w:val="clear" w:color="auto" w:fill="auto"/>
            <w:noWrap/>
            <w:vAlign w:val="bottom"/>
            <w:hideMark/>
          </w:tcPr>
          <w:p w14:paraId="780CEDED"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(-2.087**)</w:t>
            </w:r>
          </w:p>
        </w:tc>
      </w:tr>
      <w:tr w:rsidR="00A75A98" w:rsidRPr="00C96815" w14:paraId="712D4CCA" w14:textId="77777777" w:rsidTr="00A75A98">
        <w:trPr>
          <w:trHeight w:val="20"/>
        </w:trPr>
        <w:tc>
          <w:tcPr>
            <w:tcW w:w="1000" w:type="pct"/>
            <w:vMerge w:val="restart"/>
            <w:tcBorders>
              <w:top w:val="nil"/>
              <w:left w:val="nil"/>
              <w:right w:val="nil"/>
            </w:tcBorders>
            <w:shd w:val="clear" w:color="auto" w:fill="auto"/>
            <w:noWrap/>
            <w:hideMark/>
          </w:tcPr>
          <w:p w14:paraId="4C16CB42"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LN(MKCAP)</w:t>
            </w:r>
          </w:p>
        </w:tc>
        <w:tc>
          <w:tcPr>
            <w:tcW w:w="701" w:type="pct"/>
            <w:tcBorders>
              <w:top w:val="nil"/>
              <w:left w:val="nil"/>
              <w:bottom w:val="nil"/>
              <w:right w:val="nil"/>
            </w:tcBorders>
            <w:shd w:val="clear" w:color="auto" w:fill="auto"/>
            <w:noWrap/>
            <w:vAlign w:val="bottom"/>
            <w:hideMark/>
          </w:tcPr>
          <w:p w14:paraId="218083C9"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-0.131</w:t>
            </w:r>
          </w:p>
        </w:tc>
        <w:tc>
          <w:tcPr>
            <w:tcW w:w="841" w:type="pct"/>
            <w:tcBorders>
              <w:top w:val="nil"/>
              <w:left w:val="nil"/>
              <w:bottom w:val="nil"/>
              <w:right w:val="nil"/>
            </w:tcBorders>
            <w:shd w:val="clear" w:color="auto" w:fill="auto"/>
            <w:noWrap/>
            <w:vAlign w:val="bottom"/>
            <w:hideMark/>
          </w:tcPr>
          <w:p w14:paraId="5A4C8392"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-0.118</w:t>
            </w:r>
          </w:p>
        </w:tc>
        <w:tc>
          <w:tcPr>
            <w:tcW w:w="748" w:type="pct"/>
            <w:tcBorders>
              <w:top w:val="nil"/>
              <w:left w:val="nil"/>
              <w:bottom w:val="nil"/>
              <w:right w:val="nil"/>
            </w:tcBorders>
            <w:shd w:val="clear" w:color="auto" w:fill="auto"/>
            <w:noWrap/>
            <w:vAlign w:val="bottom"/>
            <w:hideMark/>
          </w:tcPr>
          <w:p w14:paraId="446051CE"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-0.124</w:t>
            </w:r>
          </w:p>
        </w:tc>
        <w:tc>
          <w:tcPr>
            <w:tcW w:w="873" w:type="pct"/>
            <w:tcBorders>
              <w:top w:val="nil"/>
              <w:left w:val="nil"/>
              <w:bottom w:val="nil"/>
              <w:right w:val="nil"/>
            </w:tcBorders>
            <w:shd w:val="clear" w:color="auto" w:fill="auto"/>
            <w:noWrap/>
            <w:vAlign w:val="bottom"/>
            <w:hideMark/>
          </w:tcPr>
          <w:p w14:paraId="3E2F168A"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-0.211</w:t>
            </w:r>
          </w:p>
        </w:tc>
        <w:tc>
          <w:tcPr>
            <w:tcW w:w="837" w:type="pct"/>
            <w:tcBorders>
              <w:top w:val="nil"/>
              <w:left w:val="nil"/>
              <w:bottom w:val="nil"/>
              <w:right w:val="nil"/>
            </w:tcBorders>
            <w:shd w:val="clear" w:color="auto" w:fill="auto"/>
            <w:noWrap/>
            <w:vAlign w:val="bottom"/>
            <w:hideMark/>
          </w:tcPr>
          <w:p w14:paraId="2F8089A5"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-0.202</w:t>
            </w:r>
          </w:p>
        </w:tc>
      </w:tr>
      <w:tr w:rsidR="00A75A98" w:rsidRPr="00C96815" w14:paraId="173C4B15" w14:textId="77777777" w:rsidTr="00A75A98">
        <w:trPr>
          <w:trHeight w:val="20"/>
        </w:trPr>
        <w:tc>
          <w:tcPr>
            <w:tcW w:w="1000" w:type="pct"/>
            <w:vMerge/>
            <w:tcBorders>
              <w:left w:val="nil"/>
              <w:bottom w:val="nil"/>
              <w:right w:val="nil"/>
            </w:tcBorders>
            <w:shd w:val="clear" w:color="auto" w:fill="auto"/>
            <w:noWrap/>
            <w:hideMark/>
          </w:tcPr>
          <w:p w14:paraId="71E7D704" w14:textId="77777777" w:rsidR="00A75A98" w:rsidRPr="00C96815" w:rsidRDefault="00A75A98" w:rsidP="0063232D">
            <w:pPr>
              <w:spacing w:after="0" w:line="240" w:lineRule="auto"/>
              <w:rPr>
                <w:rFonts w:ascii="Times New Roman" w:eastAsia="Times New Roman" w:hAnsi="Times New Roman" w:cs="Times New Roman"/>
                <w:color w:val="000000"/>
              </w:rPr>
            </w:pPr>
          </w:p>
        </w:tc>
        <w:tc>
          <w:tcPr>
            <w:tcW w:w="701" w:type="pct"/>
            <w:tcBorders>
              <w:top w:val="nil"/>
              <w:left w:val="nil"/>
              <w:bottom w:val="nil"/>
              <w:right w:val="nil"/>
            </w:tcBorders>
            <w:shd w:val="clear" w:color="auto" w:fill="auto"/>
            <w:noWrap/>
            <w:vAlign w:val="bottom"/>
            <w:hideMark/>
          </w:tcPr>
          <w:p w14:paraId="6630BB8C"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(-5.980***)</w:t>
            </w:r>
          </w:p>
        </w:tc>
        <w:tc>
          <w:tcPr>
            <w:tcW w:w="841" w:type="pct"/>
            <w:tcBorders>
              <w:top w:val="nil"/>
              <w:left w:val="nil"/>
              <w:bottom w:val="nil"/>
              <w:right w:val="nil"/>
            </w:tcBorders>
            <w:shd w:val="clear" w:color="auto" w:fill="auto"/>
            <w:noWrap/>
            <w:vAlign w:val="bottom"/>
            <w:hideMark/>
          </w:tcPr>
          <w:p w14:paraId="7697D6E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(-5.352***)</w:t>
            </w:r>
          </w:p>
        </w:tc>
        <w:tc>
          <w:tcPr>
            <w:tcW w:w="748" w:type="pct"/>
            <w:tcBorders>
              <w:top w:val="nil"/>
              <w:left w:val="nil"/>
              <w:bottom w:val="nil"/>
              <w:right w:val="nil"/>
            </w:tcBorders>
            <w:shd w:val="clear" w:color="auto" w:fill="auto"/>
            <w:noWrap/>
            <w:vAlign w:val="bottom"/>
            <w:hideMark/>
          </w:tcPr>
          <w:p w14:paraId="3A1B5A9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(-5.660***)</w:t>
            </w:r>
          </w:p>
        </w:tc>
        <w:tc>
          <w:tcPr>
            <w:tcW w:w="873" w:type="pct"/>
            <w:tcBorders>
              <w:top w:val="nil"/>
              <w:left w:val="nil"/>
              <w:bottom w:val="nil"/>
              <w:right w:val="nil"/>
            </w:tcBorders>
            <w:shd w:val="clear" w:color="auto" w:fill="auto"/>
            <w:noWrap/>
            <w:vAlign w:val="bottom"/>
            <w:hideMark/>
          </w:tcPr>
          <w:p w14:paraId="466F3F94"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(-8.634***)</w:t>
            </w:r>
          </w:p>
        </w:tc>
        <w:tc>
          <w:tcPr>
            <w:tcW w:w="837" w:type="pct"/>
            <w:tcBorders>
              <w:top w:val="nil"/>
              <w:left w:val="nil"/>
              <w:bottom w:val="nil"/>
              <w:right w:val="nil"/>
            </w:tcBorders>
            <w:shd w:val="clear" w:color="auto" w:fill="auto"/>
            <w:noWrap/>
            <w:vAlign w:val="bottom"/>
            <w:hideMark/>
          </w:tcPr>
          <w:p w14:paraId="34E6D9BF"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(-8.213***)</w:t>
            </w:r>
          </w:p>
        </w:tc>
      </w:tr>
      <w:tr w:rsidR="00A75A98" w:rsidRPr="00C96815" w14:paraId="1A4D74FB" w14:textId="77777777" w:rsidTr="00A75A98">
        <w:trPr>
          <w:trHeight w:val="20"/>
        </w:trPr>
        <w:tc>
          <w:tcPr>
            <w:tcW w:w="1000" w:type="pct"/>
            <w:vMerge w:val="restart"/>
            <w:tcBorders>
              <w:top w:val="nil"/>
              <w:left w:val="nil"/>
              <w:right w:val="nil"/>
            </w:tcBorders>
            <w:shd w:val="clear" w:color="auto" w:fill="auto"/>
            <w:noWrap/>
            <w:hideMark/>
          </w:tcPr>
          <w:p w14:paraId="7F191E2C"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IOPr</w:t>
            </w:r>
          </w:p>
        </w:tc>
        <w:tc>
          <w:tcPr>
            <w:tcW w:w="701" w:type="pct"/>
            <w:tcBorders>
              <w:top w:val="nil"/>
              <w:left w:val="nil"/>
              <w:bottom w:val="nil"/>
              <w:right w:val="nil"/>
            </w:tcBorders>
            <w:shd w:val="clear" w:color="auto" w:fill="auto"/>
            <w:noWrap/>
            <w:vAlign w:val="bottom"/>
            <w:hideMark/>
          </w:tcPr>
          <w:p w14:paraId="01A76B02"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-0.148</w:t>
            </w:r>
          </w:p>
        </w:tc>
        <w:tc>
          <w:tcPr>
            <w:tcW w:w="841" w:type="pct"/>
            <w:tcBorders>
              <w:top w:val="nil"/>
              <w:left w:val="nil"/>
              <w:bottom w:val="nil"/>
              <w:right w:val="nil"/>
            </w:tcBorders>
            <w:shd w:val="clear" w:color="auto" w:fill="auto"/>
            <w:noWrap/>
            <w:vAlign w:val="bottom"/>
            <w:hideMark/>
          </w:tcPr>
          <w:p w14:paraId="0EC0EA4C"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-0.249</w:t>
            </w:r>
          </w:p>
        </w:tc>
        <w:tc>
          <w:tcPr>
            <w:tcW w:w="748" w:type="pct"/>
            <w:tcBorders>
              <w:top w:val="nil"/>
              <w:left w:val="nil"/>
              <w:bottom w:val="nil"/>
              <w:right w:val="nil"/>
            </w:tcBorders>
            <w:shd w:val="clear" w:color="auto" w:fill="auto"/>
            <w:noWrap/>
            <w:vAlign w:val="bottom"/>
            <w:hideMark/>
          </w:tcPr>
          <w:p w14:paraId="19E90C6D"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-0.231</w:t>
            </w:r>
          </w:p>
        </w:tc>
        <w:tc>
          <w:tcPr>
            <w:tcW w:w="873" w:type="pct"/>
            <w:tcBorders>
              <w:top w:val="nil"/>
              <w:left w:val="nil"/>
              <w:bottom w:val="nil"/>
              <w:right w:val="nil"/>
            </w:tcBorders>
            <w:shd w:val="clear" w:color="auto" w:fill="auto"/>
            <w:noWrap/>
            <w:vAlign w:val="bottom"/>
            <w:hideMark/>
          </w:tcPr>
          <w:p w14:paraId="1C8E7406"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0.471</w:t>
            </w:r>
          </w:p>
        </w:tc>
        <w:tc>
          <w:tcPr>
            <w:tcW w:w="837" w:type="pct"/>
            <w:tcBorders>
              <w:top w:val="nil"/>
              <w:left w:val="nil"/>
              <w:bottom w:val="nil"/>
              <w:right w:val="nil"/>
            </w:tcBorders>
            <w:shd w:val="clear" w:color="auto" w:fill="auto"/>
            <w:noWrap/>
            <w:vAlign w:val="bottom"/>
            <w:hideMark/>
          </w:tcPr>
          <w:p w14:paraId="2005D1C7"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0.527</w:t>
            </w:r>
          </w:p>
        </w:tc>
      </w:tr>
      <w:tr w:rsidR="00A75A98" w:rsidRPr="00C96815" w14:paraId="7CDDA7D8" w14:textId="77777777" w:rsidTr="00A75A98">
        <w:trPr>
          <w:trHeight w:val="20"/>
        </w:trPr>
        <w:tc>
          <w:tcPr>
            <w:tcW w:w="1000" w:type="pct"/>
            <w:vMerge/>
            <w:tcBorders>
              <w:left w:val="nil"/>
              <w:bottom w:val="nil"/>
              <w:right w:val="nil"/>
            </w:tcBorders>
            <w:shd w:val="clear" w:color="auto" w:fill="auto"/>
            <w:noWrap/>
            <w:hideMark/>
          </w:tcPr>
          <w:p w14:paraId="288D8D6D" w14:textId="77777777" w:rsidR="00A75A98" w:rsidRPr="00C96815" w:rsidRDefault="00A75A98" w:rsidP="0063232D">
            <w:pPr>
              <w:spacing w:after="0" w:line="240" w:lineRule="auto"/>
              <w:rPr>
                <w:rFonts w:ascii="Times New Roman" w:eastAsia="Times New Roman" w:hAnsi="Times New Roman" w:cs="Times New Roman"/>
                <w:color w:val="000000"/>
              </w:rPr>
            </w:pPr>
          </w:p>
        </w:tc>
        <w:tc>
          <w:tcPr>
            <w:tcW w:w="701" w:type="pct"/>
            <w:tcBorders>
              <w:top w:val="nil"/>
              <w:left w:val="nil"/>
              <w:bottom w:val="nil"/>
              <w:right w:val="nil"/>
            </w:tcBorders>
            <w:shd w:val="clear" w:color="auto" w:fill="auto"/>
            <w:noWrap/>
            <w:vAlign w:val="bottom"/>
            <w:hideMark/>
          </w:tcPr>
          <w:p w14:paraId="59774E53"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(-5.843***)</w:t>
            </w:r>
          </w:p>
        </w:tc>
        <w:tc>
          <w:tcPr>
            <w:tcW w:w="841" w:type="pct"/>
            <w:tcBorders>
              <w:top w:val="nil"/>
              <w:left w:val="nil"/>
              <w:bottom w:val="nil"/>
              <w:right w:val="nil"/>
            </w:tcBorders>
            <w:shd w:val="clear" w:color="auto" w:fill="auto"/>
            <w:noWrap/>
            <w:vAlign w:val="bottom"/>
            <w:hideMark/>
          </w:tcPr>
          <w:p w14:paraId="51049F6E"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(-9.850***)</w:t>
            </w:r>
          </w:p>
        </w:tc>
        <w:tc>
          <w:tcPr>
            <w:tcW w:w="748" w:type="pct"/>
            <w:tcBorders>
              <w:top w:val="nil"/>
              <w:left w:val="nil"/>
              <w:bottom w:val="nil"/>
              <w:right w:val="nil"/>
            </w:tcBorders>
            <w:shd w:val="clear" w:color="auto" w:fill="auto"/>
            <w:noWrap/>
            <w:vAlign w:val="bottom"/>
            <w:hideMark/>
          </w:tcPr>
          <w:p w14:paraId="396515E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(-9.174***)</w:t>
            </w:r>
          </w:p>
        </w:tc>
        <w:tc>
          <w:tcPr>
            <w:tcW w:w="873" w:type="pct"/>
            <w:tcBorders>
              <w:top w:val="nil"/>
              <w:left w:val="nil"/>
              <w:bottom w:val="nil"/>
              <w:right w:val="nil"/>
            </w:tcBorders>
            <w:shd w:val="clear" w:color="auto" w:fill="auto"/>
            <w:noWrap/>
            <w:vAlign w:val="bottom"/>
            <w:hideMark/>
          </w:tcPr>
          <w:p w14:paraId="7605272F"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(16.763***)</w:t>
            </w:r>
          </w:p>
        </w:tc>
        <w:tc>
          <w:tcPr>
            <w:tcW w:w="837" w:type="pct"/>
            <w:tcBorders>
              <w:top w:val="nil"/>
              <w:left w:val="nil"/>
              <w:bottom w:val="nil"/>
              <w:right w:val="nil"/>
            </w:tcBorders>
            <w:shd w:val="clear" w:color="auto" w:fill="auto"/>
            <w:noWrap/>
            <w:vAlign w:val="bottom"/>
            <w:hideMark/>
          </w:tcPr>
          <w:p w14:paraId="3EBD3D1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(18.683***)</w:t>
            </w:r>
          </w:p>
        </w:tc>
      </w:tr>
      <w:tr w:rsidR="00A75A98" w:rsidRPr="00C96815" w14:paraId="45584881" w14:textId="77777777" w:rsidTr="00A75A98">
        <w:trPr>
          <w:trHeight w:val="20"/>
        </w:trPr>
        <w:tc>
          <w:tcPr>
            <w:tcW w:w="1000" w:type="pct"/>
            <w:vMerge w:val="restart"/>
            <w:tcBorders>
              <w:top w:val="nil"/>
              <w:left w:val="nil"/>
              <w:right w:val="nil"/>
            </w:tcBorders>
            <w:shd w:val="clear" w:color="auto" w:fill="auto"/>
            <w:noWrap/>
            <w:hideMark/>
          </w:tcPr>
          <w:p w14:paraId="5E7CF969"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IOV</w:t>
            </w:r>
          </w:p>
        </w:tc>
        <w:tc>
          <w:tcPr>
            <w:tcW w:w="701" w:type="pct"/>
            <w:tcBorders>
              <w:top w:val="nil"/>
              <w:left w:val="nil"/>
              <w:bottom w:val="nil"/>
              <w:right w:val="nil"/>
            </w:tcBorders>
            <w:shd w:val="clear" w:color="auto" w:fill="auto"/>
            <w:noWrap/>
            <w:vAlign w:val="bottom"/>
            <w:hideMark/>
          </w:tcPr>
          <w:p w14:paraId="7B79195E"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0.474</w:t>
            </w:r>
          </w:p>
        </w:tc>
        <w:tc>
          <w:tcPr>
            <w:tcW w:w="841" w:type="pct"/>
            <w:tcBorders>
              <w:top w:val="nil"/>
              <w:left w:val="nil"/>
              <w:bottom w:val="nil"/>
              <w:right w:val="nil"/>
            </w:tcBorders>
            <w:shd w:val="clear" w:color="auto" w:fill="auto"/>
            <w:noWrap/>
            <w:vAlign w:val="bottom"/>
            <w:hideMark/>
          </w:tcPr>
          <w:p w14:paraId="6FCF1E63"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0.572</w:t>
            </w:r>
          </w:p>
        </w:tc>
        <w:tc>
          <w:tcPr>
            <w:tcW w:w="748" w:type="pct"/>
            <w:tcBorders>
              <w:top w:val="nil"/>
              <w:left w:val="nil"/>
              <w:bottom w:val="nil"/>
              <w:right w:val="nil"/>
            </w:tcBorders>
            <w:shd w:val="clear" w:color="auto" w:fill="auto"/>
            <w:noWrap/>
            <w:vAlign w:val="bottom"/>
            <w:hideMark/>
          </w:tcPr>
          <w:p w14:paraId="77CDA3E3"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0.557</w:t>
            </w:r>
          </w:p>
        </w:tc>
        <w:tc>
          <w:tcPr>
            <w:tcW w:w="873" w:type="pct"/>
            <w:tcBorders>
              <w:top w:val="nil"/>
              <w:left w:val="nil"/>
              <w:bottom w:val="nil"/>
              <w:right w:val="nil"/>
            </w:tcBorders>
            <w:shd w:val="clear" w:color="auto" w:fill="auto"/>
            <w:noWrap/>
            <w:vAlign w:val="bottom"/>
            <w:hideMark/>
          </w:tcPr>
          <w:p w14:paraId="27153945"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-0.079</w:t>
            </w:r>
          </w:p>
        </w:tc>
        <w:tc>
          <w:tcPr>
            <w:tcW w:w="837" w:type="pct"/>
            <w:tcBorders>
              <w:top w:val="nil"/>
              <w:left w:val="nil"/>
              <w:bottom w:val="nil"/>
              <w:right w:val="nil"/>
            </w:tcBorders>
            <w:shd w:val="clear" w:color="auto" w:fill="auto"/>
            <w:noWrap/>
            <w:vAlign w:val="bottom"/>
            <w:hideMark/>
          </w:tcPr>
          <w:p w14:paraId="7442E50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-0.143</w:t>
            </w:r>
          </w:p>
        </w:tc>
      </w:tr>
      <w:tr w:rsidR="00A75A98" w:rsidRPr="00C96815" w14:paraId="5592B603" w14:textId="77777777" w:rsidTr="00A75A98">
        <w:trPr>
          <w:trHeight w:val="20"/>
        </w:trPr>
        <w:tc>
          <w:tcPr>
            <w:tcW w:w="1000" w:type="pct"/>
            <w:vMerge/>
            <w:tcBorders>
              <w:left w:val="nil"/>
              <w:bottom w:val="nil"/>
              <w:right w:val="nil"/>
            </w:tcBorders>
            <w:shd w:val="clear" w:color="auto" w:fill="auto"/>
            <w:noWrap/>
            <w:hideMark/>
          </w:tcPr>
          <w:p w14:paraId="66E2617D" w14:textId="77777777" w:rsidR="00A75A98" w:rsidRPr="00C96815" w:rsidRDefault="00A75A98" w:rsidP="0063232D">
            <w:pPr>
              <w:spacing w:after="0" w:line="240" w:lineRule="auto"/>
              <w:rPr>
                <w:rFonts w:ascii="Times New Roman" w:eastAsia="Times New Roman" w:hAnsi="Times New Roman" w:cs="Times New Roman"/>
                <w:color w:val="000000"/>
              </w:rPr>
            </w:pPr>
          </w:p>
        </w:tc>
        <w:tc>
          <w:tcPr>
            <w:tcW w:w="701" w:type="pct"/>
            <w:tcBorders>
              <w:top w:val="nil"/>
              <w:left w:val="nil"/>
              <w:bottom w:val="nil"/>
              <w:right w:val="nil"/>
            </w:tcBorders>
            <w:shd w:val="clear" w:color="auto" w:fill="auto"/>
            <w:noWrap/>
            <w:vAlign w:val="bottom"/>
            <w:hideMark/>
          </w:tcPr>
          <w:p w14:paraId="15C2F67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(19.318***)</w:t>
            </w:r>
          </w:p>
        </w:tc>
        <w:tc>
          <w:tcPr>
            <w:tcW w:w="841" w:type="pct"/>
            <w:tcBorders>
              <w:top w:val="nil"/>
              <w:left w:val="nil"/>
              <w:bottom w:val="nil"/>
              <w:right w:val="nil"/>
            </w:tcBorders>
            <w:shd w:val="clear" w:color="auto" w:fill="auto"/>
            <w:noWrap/>
            <w:vAlign w:val="bottom"/>
            <w:hideMark/>
          </w:tcPr>
          <w:p w14:paraId="73751474"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(23.312***)</w:t>
            </w:r>
          </w:p>
        </w:tc>
        <w:tc>
          <w:tcPr>
            <w:tcW w:w="748" w:type="pct"/>
            <w:tcBorders>
              <w:top w:val="nil"/>
              <w:left w:val="nil"/>
              <w:bottom w:val="nil"/>
              <w:right w:val="nil"/>
            </w:tcBorders>
            <w:shd w:val="clear" w:color="auto" w:fill="auto"/>
            <w:noWrap/>
            <w:vAlign w:val="bottom"/>
            <w:hideMark/>
          </w:tcPr>
          <w:p w14:paraId="6D9EAA50"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(22.710***)</w:t>
            </w:r>
          </w:p>
        </w:tc>
        <w:tc>
          <w:tcPr>
            <w:tcW w:w="873" w:type="pct"/>
            <w:tcBorders>
              <w:top w:val="nil"/>
              <w:left w:val="nil"/>
              <w:bottom w:val="nil"/>
              <w:right w:val="nil"/>
            </w:tcBorders>
            <w:shd w:val="clear" w:color="auto" w:fill="auto"/>
            <w:noWrap/>
            <w:vAlign w:val="bottom"/>
            <w:hideMark/>
          </w:tcPr>
          <w:p w14:paraId="7AF8A8C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(-2.906***)</w:t>
            </w:r>
          </w:p>
        </w:tc>
        <w:tc>
          <w:tcPr>
            <w:tcW w:w="837" w:type="pct"/>
            <w:tcBorders>
              <w:top w:val="nil"/>
              <w:left w:val="nil"/>
              <w:bottom w:val="nil"/>
              <w:right w:val="nil"/>
            </w:tcBorders>
            <w:shd w:val="clear" w:color="auto" w:fill="auto"/>
            <w:noWrap/>
            <w:vAlign w:val="bottom"/>
            <w:hideMark/>
          </w:tcPr>
          <w:p w14:paraId="30700C40"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(-5.206***)</w:t>
            </w:r>
          </w:p>
        </w:tc>
      </w:tr>
      <w:tr w:rsidR="00A75A98" w:rsidRPr="00C96815" w14:paraId="1E89E47F" w14:textId="77777777" w:rsidTr="00A75A98">
        <w:trPr>
          <w:trHeight w:val="20"/>
        </w:trPr>
        <w:tc>
          <w:tcPr>
            <w:tcW w:w="1000" w:type="pct"/>
            <w:vMerge w:val="restart"/>
            <w:tcBorders>
              <w:top w:val="nil"/>
              <w:left w:val="nil"/>
              <w:right w:val="nil"/>
            </w:tcBorders>
            <w:shd w:val="clear" w:color="auto" w:fill="auto"/>
            <w:noWrap/>
            <w:hideMark/>
          </w:tcPr>
          <w:p w14:paraId="785D64DB"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CAPX</w:t>
            </w:r>
          </w:p>
        </w:tc>
        <w:tc>
          <w:tcPr>
            <w:tcW w:w="701" w:type="pct"/>
            <w:tcBorders>
              <w:top w:val="nil"/>
              <w:left w:val="nil"/>
              <w:bottom w:val="nil"/>
              <w:right w:val="nil"/>
            </w:tcBorders>
            <w:shd w:val="clear" w:color="auto" w:fill="auto"/>
            <w:noWrap/>
            <w:vAlign w:val="bottom"/>
            <w:hideMark/>
          </w:tcPr>
          <w:p w14:paraId="31F3289C"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0.192</w:t>
            </w:r>
          </w:p>
        </w:tc>
        <w:tc>
          <w:tcPr>
            <w:tcW w:w="841" w:type="pct"/>
            <w:tcBorders>
              <w:top w:val="nil"/>
              <w:left w:val="nil"/>
              <w:bottom w:val="nil"/>
              <w:right w:val="nil"/>
            </w:tcBorders>
            <w:shd w:val="clear" w:color="auto" w:fill="auto"/>
            <w:noWrap/>
            <w:vAlign w:val="bottom"/>
            <w:hideMark/>
          </w:tcPr>
          <w:p w14:paraId="5869B6AC"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0.162</w:t>
            </w:r>
          </w:p>
        </w:tc>
        <w:tc>
          <w:tcPr>
            <w:tcW w:w="748" w:type="pct"/>
            <w:tcBorders>
              <w:top w:val="nil"/>
              <w:left w:val="nil"/>
              <w:bottom w:val="nil"/>
              <w:right w:val="nil"/>
            </w:tcBorders>
            <w:shd w:val="clear" w:color="auto" w:fill="auto"/>
            <w:noWrap/>
            <w:vAlign w:val="bottom"/>
            <w:hideMark/>
          </w:tcPr>
          <w:p w14:paraId="6A91C1B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0.169</w:t>
            </w:r>
          </w:p>
        </w:tc>
        <w:tc>
          <w:tcPr>
            <w:tcW w:w="873" w:type="pct"/>
            <w:tcBorders>
              <w:top w:val="nil"/>
              <w:left w:val="nil"/>
              <w:bottom w:val="nil"/>
              <w:right w:val="nil"/>
            </w:tcBorders>
            <w:shd w:val="clear" w:color="auto" w:fill="auto"/>
            <w:noWrap/>
            <w:vAlign w:val="bottom"/>
            <w:hideMark/>
          </w:tcPr>
          <w:p w14:paraId="74C0A200"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0.263</w:t>
            </w:r>
          </w:p>
        </w:tc>
        <w:tc>
          <w:tcPr>
            <w:tcW w:w="837" w:type="pct"/>
            <w:tcBorders>
              <w:top w:val="nil"/>
              <w:left w:val="nil"/>
              <w:bottom w:val="nil"/>
              <w:right w:val="nil"/>
            </w:tcBorders>
            <w:shd w:val="clear" w:color="auto" w:fill="auto"/>
            <w:noWrap/>
            <w:vAlign w:val="bottom"/>
            <w:hideMark/>
          </w:tcPr>
          <w:p w14:paraId="1D13E020"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0.255</w:t>
            </w:r>
          </w:p>
        </w:tc>
      </w:tr>
      <w:tr w:rsidR="00A75A98" w:rsidRPr="00C96815" w14:paraId="3A812314" w14:textId="77777777" w:rsidTr="00A75A98">
        <w:trPr>
          <w:trHeight w:val="20"/>
        </w:trPr>
        <w:tc>
          <w:tcPr>
            <w:tcW w:w="1000" w:type="pct"/>
            <w:vMerge/>
            <w:tcBorders>
              <w:left w:val="nil"/>
              <w:bottom w:val="nil"/>
              <w:right w:val="nil"/>
            </w:tcBorders>
            <w:shd w:val="clear" w:color="auto" w:fill="auto"/>
            <w:noWrap/>
            <w:hideMark/>
          </w:tcPr>
          <w:p w14:paraId="2B0FB0CF" w14:textId="77777777" w:rsidR="00A75A98" w:rsidRPr="00C96815" w:rsidRDefault="00A75A98" w:rsidP="0063232D">
            <w:pPr>
              <w:spacing w:after="0" w:line="240" w:lineRule="auto"/>
              <w:rPr>
                <w:rFonts w:ascii="Times New Roman" w:eastAsia="Times New Roman" w:hAnsi="Times New Roman" w:cs="Times New Roman"/>
                <w:color w:val="000000"/>
              </w:rPr>
            </w:pPr>
          </w:p>
        </w:tc>
        <w:tc>
          <w:tcPr>
            <w:tcW w:w="701" w:type="pct"/>
            <w:tcBorders>
              <w:top w:val="nil"/>
              <w:left w:val="nil"/>
              <w:bottom w:val="nil"/>
              <w:right w:val="nil"/>
            </w:tcBorders>
            <w:shd w:val="clear" w:color="auto" w:fill="auto"/>
            <w:noWrap/>
            <w:vAlign w:val="bottom"/>
            <w:hideMark/>
          </w:tcPr>
          <w:p w14:paraId="13FEB26B"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(11.390***)</w:t>
            </w:r>
          </w:p>
        </w:tc>
        <w:tc>
          <w:tcPr>
            <w:tcW w:w="841" w:type="pct"/>
            <w:tcBorders>
              <w:top w:val="nil"/>
              <w:left w:val="nil"/>
              <w:bottom w:val="nil"/>
              <w:right w:val="nil"/>
            </w:tcBorders>
            <w:shd w:val="clear" w:color="auto" w:fill="auto"/>
            <w:noWrap/>
            <w:vAlign w:val="bottom"/>
            <w:hideMark/>
          </w:tcPr>
          <w:p w14:paraId="2D0F75B5"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(9.629***)</w:t>
            </w:r>
          </w:p>
        </w:tc>
        <w:tc>
          <w:tcPr>
            <w:tcW w:w="748" w:type="pct"/>
            <w:tcBorders>
              <w:top w:val="nil"/>
              <w:left w:val="nil"/>
              <w:bottom w:val="nil"/>
              <w:right w:val="nil"/>
            </w:tcBorders>
            <w:shd w:val="clear" w:color="auto" w:fill="auto"/>
            <w:noWrap/>
            <w:vAlign w:val="bottom"/>
            <w:hideMark/>
          </w:tcPr>
          <w:p w14:paraId="45237B7E"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(10.059***)</w:t>
            </w:r>
          </w:p>
        </w:tc>
        <w:tc>
          <w:tcPr>
            <w:tcW w:w="873" w:type="pct"/>
            <w:tcBorders>
              <w:top w:val="nil"/>
              <w:left w:val="nil"/>
              <w:bottom w:val="nil"/>
              <w:right w:val="nil"/>
            </w:tcBorders>
            <w:shd w:val="clear" w:color="auto" w:fill="auto"/>
            <w:noWrap/>
            <w:vAlign w:val="bottom"/>
            <w:hideMark/>
          </w:tcPr>
          <w:p w14:paraId="7D456956"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(14.016***)</w:t>
            </w:r>
          </w:p>
        </w:tc>
        <w:tc>
          <w:tcPr>
            <w:tcW w:w="837" w:type="pct"/>
            <w:tcBorders>
              <w:top w:val="nil"/>
              <w:left w:val="nil"/>
              <w:bottom w:val="nil"/>
              <w:right w:val="nil"/>
            </w:tcBorders>
            <w:shd w:val="clear" w:color="auto" w:fill="auto"/>
            <w:noWrap/>
            <w:vAlign w:val="bottom"/>
            <w:hideMark/>
          </w:tcPr>
          <w:p w14:paraId="6AE6FCE7"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(13.506***)</w:t>
            </w:r>
          </w:p>
        </w:tc>
      </w:tr>
      <w:tr w:rsidR="00A75A98" w:rsidRPr="00C96815" w14:paraId="745B7454" w14:textId="77777777" w:rsidTr="00A75A98">
        <w:trPr>
          <w:trHeight w:val="20"/>
        </w:trPr>
        <w:tc>
          <w:tcPr>
            <w:tcW w:w="1000" w:type="pct"/>
            <w:vMerge w:val="restart"/>
            <w:tcBorders>
              <w:top w:val="nil"/>
              <w:left w:val="nil"/>
              <w:right w:val="nil"/>
            </w:tcBorders>
            <w:shd w:val="clear" w:color="auto" w:fill="auto"/>
            <w:noWrap/>
            <w:hideMark/>
          </w:tcPr>
          <w:p w14:paraId="072B852B"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DEBT</w:t>
            </w:r>
          </w:p>
        </w:tc>
        <w:tc>
          <w:tcPr>
            <w:tcW w:w="701" w:type="pct"/>
            <w:tcBorders>
              <w:top w:val="nil"/>
              <w:left w:val="nil"/>
              <w:bottom w:val="nil"/>
              <w:right w:val="nil"/>
            </w:tcBorders>
            <w:shd w:val="clear" w:color="auto" w:fill="auto"/>
            <w:noWrap/>
            <w:vAlign w:val="bottom"/>
            <w:hideMark/>
          </w:tcPr>
          <w:p w14:paraId="2BA0805D"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0.209</w:t>
            </w:r>
          </w:p>
        </w:tc>
        <w:tc>
          <w:tcPr>
            <w:tcW w:w="841" w:type="pct"/>
            <w:tcBorders>
              <w:top w:val="nil"/>
              <w:left w:val="nil"/>
              <w:bottom w:val="nil"/>
              <w:right w:val="nil"/>
            </w:tcBorders>
            <w:shd w:val="clear" w:color="auto" w:fill="auto"/>
            <w:noWrap/>
            <w:vAlign w:val="bottom"/>
            <w:hideMark/>
          </w:tcPr>
          <w:p w14:paraId="47693D09"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0.206</w:t>
            </w:r>
          </w:p>
        </w:tc>
        <w:tc>
          <w:tcPr>
            <w:tcW w:w="748" w:type="pct"/>
            <w:tcBorders>
              <w:top w:val="nil"/>
              <w:left w:val="nil"/>
              <w:bottom w:val="nil"/>
              <w:right w:val="nil"/>
            </w:tcBorders>
            <w:shd w:val="clear" w:color="auto" w:fill="auto"/>
            <w:noWrap/>
            <w:vAlign w:val="bottom"/>
            <w:hideMark/>
          </w:tcPr>
          <w:p w14:paraId="2B576686"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0.207</w:t>
            </w:r>
          </w:p>
        </w:tc>
        <w:tc>
          <w:tcPr>
            <w:tcW w:w="873" w:type="pct"/>
            <w:tcBorders>
              <w:top w:val="nil"/>
              <w:left w:val="nil"/>
              <w:bottom w:val="nil"/>
              <w:right w:val="nil"/>
            </w:tcBorders>
            <w:shd w:val="clear" w:color="auto" w:fill="auto"/>
            <w:noWrap/>
            <w:vAlign w:val="bottom"/>
            <w:hideMark/>
          </w:tcPr>
          <w:p w14:paraId="5304FDDE"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0.145</w:t>
            </w:r>
          </w:p>
        </w:tc>
        <w:tc>
          <w:tcPr>
            <w:tcW w:w="837" w:type="pct"/>
            <w:tcBorders>
              <w:top w:val="nil"/>
              <w:left w:val="nil"/>
              <w:bottom w:val="nil"/>
              <w:right w:val="nil"/>
            </w:tcBorders>
            <w:shd w:val="clear" w:color="auto" w:fill="auto"/>
            <w:noWrap/>
            <w:vAlign w:val="bottom"/>
            <w:hideMark/>
          </w:tcPr>
          <w:p w14:paraId="018C09AA"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0.124</w:t>
            </w:r>
          </w:p>
        </w:tc>
      </w:tr>
      <w:tr w:rsidR="00A75A98" w:rsidRPr="00C96815" w14:paraId="218FF115" w14:textId="77777777" w:rsidTr="00A75A98">
        <w:trPr>
          <w:trHeight w:val="20"/>
        </w:trPr>
        <w:tc>
          <w:tcPr>
            <w:tcW w:w="1000" w:type="pct"/>
            <w:vMerge/>
            <w:tcBorders>
              <w:left w:val="nil"/>
              <w:bottom w:val="nil"/>
              <w:right w:val="nil"/>
            </w:tcBorders>
            <w:shd w:val="clear" w:color="auto" w:fill="auto"/>
            <w:noWrap/>
            <w:vAlign w:val="bottom"/>
            <w:hideMark/>
          </w:tcPr>
          <w:p w14:paraId="738AB5D9" w14:textId="77777777" w:rsidR="00A75A98" w:rsidRPr="00C96815" w:rsidRDefault="00A75A98" w:rsidP="0063232D">
            <w:pPr>
              <w:spacing w:after="0" w:line="240" w:lineRule="auto"/>
              <w:rPr>
                <w:rFonts w:ascii="Times New Roman" w:eastAsia="Times New Roman" w:hAnsi="Times New Roman" w:cs="Times New Roman"/>
                <w:color w:val="000000"/>
              </w:rPr>
            </w:pPr>
          </w:p>
        </w:tc>
        <w:tc>
          <w:tcPr>
            <w:tcW w:w="701" w:type="pct"/>
            <w:tcBorders>
              <w:top w:val="nil"/>
              <w:left w:val="nil"/>
              <w:bottom w:val="nil"/>
              <w:right w:val="nil"/>
            </w:tcBorders>
            <w:shd w:val="clear" w:color="auto" w:fill="auto"/>
            <w:noWrap/>
            <w:vAlign w:val="bottom"/>
            <w:hideMark/>
          </w:tcPr>
          <w:p w14:paraId="2B6F2A76"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(12.533***)</w:t>
            </w:r>
          </w:p>
        </w:tc>
        <w:tc>
          <w:tcPr>
            <w:tcW w:w="841" w:type="pct"/>
            <w:tcBorders>
              <w:top w:val="nil"/>
              <w:left w:val="nil"/>
              <w:bottom w:val="nil"/>
              <w:right w:val="nil"/>
            </w:tcBorders>
            <w:shd w:val="clear" w:color="auto" w:fill="auto"/>
            <w:noWrap/>
            <w:vAlign w:val="bottom"/>
            <w:hideMark/>
          </w:tcPr>
          <w:p w14:paraId="62BCC89B"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(12.327***)</w:t>
            </w:r>
          </w:p>
        </w:tc>
        <w:tc>
          <w:tcPr>
            <w:tcW w:w="748" w:type="pct"/>
            <w:tcBorders>
              <w:top w:val="nil"/>
              <w:left w:val="nil"/>
              <w:bottom w:val="nil"/>
              <w:right w:val="nil"/>
            </w:tcBorders>
            <w:shd w:val="clear" w:color="auto" w:fill="auto"/>
            <w:noWrap/>
            <w:vAlign w:val="bottom"/>
            <w:hideMark/>
          </w:tcPr>
          <w:p w14:paraId="7F68D70B"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(12.425***)</w:t>
            </w:r>
          </w:p>
        </w:tc>
        <w:tc>
          <w:tcPr>
            <w:tcW w:w="873" w:type="pct"/>
            <w:tcBorders>
              <w:top w:val="nil"/>
              <w:left w:val="nil"/>
              <w:bottom w:val="nil"/>
              <w:right w:val="nil"/>
            </w:tcBorders>
            <w:shd w:val="clear" w:color="auto" w:fill="auto"/>
            <w:noWrap/>
            <w:vAlign w:val="bottom"/>
            <w:hideMark/>
          </w:tcPr>
          <w:p w14:paraId="740EC10C"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(7.810***)</w:t>
            </w:r>
          </w:p>
        </w:tc>
        <w:tc>
          <w:tcPr>
            <w:tcW w:w="837" w:type="pct"/>
            <w:tcBorders>
              <w:top w:val="nil"/>
              <w:left w:val="nil"/>
              <w:bottom w:val="nil"/>
              <w:right w:val="nil"/>
            </w:tcBorders>
            <w:shd w:val="clear" w:color="auto" w:fill="auto"/>
            <w:noWrap/>
            <w:vAlign w:val="bottom"/>
            <w:hideMark/>
          </w:tcPr>
          <w:p w14:paraId="7510D38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(6.651***)</w:t>
            </w:r>
          </w:p>
        </w:tc>
      </w:tr>
      <w:tr w:rsidR="00A75A98" w:rsidRPr="00C96815" w14:paraId="4143AC81" w14:textId="77777777" w:rsidTr="00A75A98">
        <w:trPr>
          <w:trHeight w:val="20"/>
        </w:trPr>
        <w:tc>
          <w:tcPr>
            <w:tcW w:w="1000" w:type="pct"/>
            <w:tcBorders>
              <w:top w:val="nil"/>
              <w:left w:val="nil"/>
              <w:bottom w:val="nil"/>
              <w:right w:val="nil"/>
            </w:tcBorders>
            <w:shd w:val="clear" w:color="auto" w:fill="auto"/>
            <w:noWrap/>
            <w:vAlign w:val="bottom"/>
            <w:hideMark/>
          </w:tcPr>
          <w:p w14:paraId="2A208307" w14:textId="77777777" w:rsidR="00A75A98" w:rsidRPr="00C96815" w:rsidRDefault="00A75A98" w:rsidP="0063232D">
            <w:pPr>
              <w:spacing w:after="0" w:line="240" w:lineRule="auto"/>
              <w:rPr>
                <w:rFonts w:ascii="Times New Roman" w:eastAsia="Times New Roman" w:hAnsi="Times New Roman" w:cs="Times New Roman"/>
              </w:rPr>
            </w:pPr>
          </w:p>
        </w:tc>
        <w:tc>
          <w:tcPr>
            <w:tcW w:w="701" w:type="pct"/>
            <w:tcBorders>
              <w:top w:val="nil"/>
              <w:left w:val="nil"/>
              <w:bottom w:val="nil"/>
              <w:right w:val="nil"/>
            </w:tcBorders>
            <w:shd w:val="clear" w:color="auto" w:fill="auto"/>
            <w:noWrap/>
            <w:vAlign w:val="bottom"/>
            <w:hideMark/>
          </w:tcPr>
          <w:p w14:paraId="3C4F7990" w14:textId="77777777" w:rsidR="00A75A98" w:rsidRPr="00C96815" w:rsidRDefault="00A75A98" w:rsidP="0063232D">
            <w:pPr>
              <w:spacing w:after="0" w:line="240" w:lineRule="auto"/>
              <w:rPr>
                <w:rFonts w:ascii="Times New Roman" w:eastAsia="Times New Roman" w:hAnsi="Times New Roman" w:cs="Times New Roman"/>
              </w:rPr>
            </w:pPr>
          </w:p>
        </w:tc>
        <w:tc>
          <w:tcPr>
            <w:tcW w:w="841" w:type="pct"/>
            <w:tcBorders>
              <w:top w:val="nil"/>
              <w:left w:val="nil"/>
              <w:bottom w:val="nil"/>
              <w:right w:val="nil"/>
            </w:tcBorders>
            <w:shd w:val="clear" w:color="auto" w:fill="auto"/>
            <w:noWrap/>
            <w:vAlign w:val="bottom"/>
            <w:hideMark/>
          </w:tcPr>
          <w:p w14:paraId="4FF750DE" w14:textId="77777777" w:rsidR="00A75A98" w:rsidRPr="00C96815" w:rsidRDefault="00A75A98" w:rsidP="0063232D">
            <w:pPr>
              <w:spacing w:after="0" w:line="240" w:lineRule="auto"/>
              <w:rPr>
                <w:rFonts w:ascii="Times New Roman" w:eastAsia="Times New Roman" w:hAnsi="Times New Roman" w:cs="Times New Roman"/>
              </w:rPr>
            </w:pPr>
          </w:p>
        </w:tc>
        <w:tc>
          <w:tcPr>
            <w:tcW w:w="748" w:type="pct"/>
            <w:tcBorders>
              <w:top w:val="nil"/>
              <w:left w:val="nil"/>
              <w:bottom w:val="nil"/>
              <w:right w:val="nil"/>
            </w:tcBorders>
            <w:shd w:val="clear" w:color="auto" w:fill="auto"/>
            <w:noWrap/>
            <w:vAlign w:val="bottom"/>
            <w:hideMark/>
          </w:tcPr>
          <w:p w14:paraId="5DE64065" w14:textId="77777777" w:rsidR="00A75A98" w:rsidRPr="00C96815" w:rsidRDefault="00A75A98" w:rsidP="0063232D">
            <w:pPr>
              <w:spacing w:after="0" w:line="240" w:lineRule="auto"/>
              <w:rPr>
                <w:rFonts w:ascii="Times New Roman" w:eastAsia="Times New Roman" w:hAnsi="Times New Roman" w:cs="Times New Roman"/>
              </w:rPr>
            </w:pPr>
          </w:p>
        </w:tc>
        <w:tc>
          <w:tcPr>
            <w:tcW w:w="873" w:type="pct"/>
            <w:tcBorders>
              <w:top w:val="nil"/>
              <w:left w:val="nil"/>
              <w:bottom w:val="nil"/>
              <w:right w:val="nil"/>
            </w:tcBorders>
            <w:shd w:val="clear" w:color="auto" w:fill="auto"/>
            <w:noWrap/>
            <w:vAlign w:val="bottom"/>
            <w:hideMark/>
          </w:tcPr>
          <w:p w14:paraId="6541442C" w14:textId="77777777" w:rsidR="00A75A98" w:rsidRPr="00C96815" w:rsidRDefault="00A75A98" w:rsidP="0063232D">
            <w:pPr>
              <w:spacing w:after="0" w:line="240" w:lineRule="auto"/>
              <w:rPr>
                <w:rFonts w:ascii="Times New Roman" w:eastAsia="Times New Roman" w:hAnsi="Times New Roman" w:cs="Times New Roman"/>
              </w:rPr>
            </w:pPr>
          </w:p>
        </w:tc>
        <w:tc>
          <w:tcPr>
            <w:tcW w:w="837" w:type="pct"/>
            <w:tcBorders>
              <w:top w:val="nil"/>
              <w:left w:val="nil"/>
              <w:bottom w:val="nil"/>
              <w:right w:val="nil"/>
            </w:tcBorders>
            <w:shd w:val="clear" w:color="auto" w:fill="auto"/>
            <w:noWrap/>
            <w:vAlign w:val="bottom"/>
            <w:hideMark/>
          </w:tcPr>
          <w:p w14:paraId="13E131E4" w14:textId="77777777" w:rsidR="00A75A98" w:rsidRPr="00C96815" w:rsidRDefault="00A75A98" w:rsidP="0063232D">
            <w:pPr>
              <w:spacing w:after="0" w:line="240" w:lineRule="auto"/>
              <w:rPr>
                <w:rFonts w:ascii="Times New Roman" w:eastAsia="Times New Roman" w:hAnsi="Times New Roman" w:cs="Times New Roman"/>
              </w:rPr>
            </w:pPr>
          </w:p>
        </w:tc>
      </w:tr>
      <w:tr w:rsidR="00A75A98" w:rsidRPr="00C96815" w14:paraId="6C5ADB50" w14:textId="77777777" w:rsidTr="00A75A98">
        <w:trPr>
          <w:trHeight w:val="20"/>
        </w:trPr>
        <w:tc>
          <w:tcPr>
            <w:tcW w:w="1000" w:type="pct"/>
            <w:tcBorders>
              <w:top w:val="nil"/>
              <w:left w:val="nil"/>
              <w:bottom w:val="nil"/>
              <w:right w:val="nil"/>
            </w:tcBorders>
            <w:shd w:val="clear" w:color="auto" w:fill="auto"/>
            <w:noWrap/>
            <w:vAlign w:val="bottom"/>
            <w:hideMark/>
          </w:tcPr>
          <w:p w14:paraId="5C3D9EF0"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F</w:t>
            </w:r>
          </w:p>
        </w:tc>
        <w:tc>
          <w:tcPr>
            <w:tcW w:w="701" w:type="pct"/>
            <w:tcBorders>
              <w:top w:val="nil"/>
              <w:left w:val="nil"/>
              <w:bottom w:val="nil"/>
              <w:right w:val="nil"/>
            </w:tcBorders>
            <w:shd w:val="clear" w:color="auto" w:fill="auto"/>
            <w:noWrap/>
            <w:vAlign w:val="bottom"/>
            <w:hideMark/>
          </w:tcPr>
          <w:p w14:paraId="4307415E"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260.80***</w:t>
            </w:r>
          </w:p>
        </w:tc>
        <w:tc>
          <w:tcPr>
            <w:tcW w:w="841" w:type="pct"/>
            <w:tcBorders>
              <w:top w:val="nil"/>
              <w:left w:val="nil"/>
              <w:bottom w:val="nil"/>
              <w:right w:val="nil"/>
            </w:tcBorders>
            <w:shd w:val="clear" w:color="auto" w:fill="auto"/>
            <w:noWrap/>
            <w:vAlign w:val="bottom"/>
            <w:hideMark/>
          </w:tcPr>
          <w:p w14:paraId="0863875F"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261.20***</w:t>
            </w:r>
          </w:p>
        </w:tc>
        <w:tc>
          <w:tcPr>
            <w:tcW w:w="748" w:type="pct"/>
            <w:tcBorders>
              <w:top w:val="nil"/>
              <w:left w:val="nil"/>
              <w:bottom w:val="nil"/>
              <w:right w:val="nil"/>
            </w:tcBorders>
            <w:shd w:val="clear" w:color="auto" w:fill="auto"/>
            <w:noWrap/>
            <w:vAlign w:val="bottom"/>
            <w:hideMark/>
          </w:tcPr>
          <w:p w14:paraId="6D4D0147"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261.60***</w:t>
            </w:r>
          </w:p>
        </w:tc>
        <w:tc>
          <w:tcPr>
            <w:tcW w:w="873" w:type="pct"/>
            <w:tcBorders>
              <w:top w:val="nil"/>
              <w:left w:val="nil"/>
              <w:bottom w:val="nil"/>
              <w:right w:val="nil"/>
            </w:tcBorders>
            <w:shd w:val="clear" w:color="auto" w:fill="auto"/>
            <w:noWrap/>
            <w:vAlign w:val="bottom"/>
            <w:hideMark/>
          </w:tcPr>
          <w:p w14:paraId="3E3702B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199.60***</w:t>
            </w:r>
          </w:p>
        </w:tc>
        <w:tc>
          <w:tcPr>
            <w:tcW w:w="837" w:type="pct"/>
            <w:tcBorders>
              <w:top w:val="nil"/>
              <w:left w:val="nil"/>
              <w:bottom w:val="nil"/>
              <w:right w:val="nil"/>
            </w:tcBorders>
            <w:shd w:val="clear" w:color="auto" w:fill="auto"/>
            <w:noWrap/>
            <w:vAlign w:val="bottom"/>
            <w:hideMark/>
          </w:tcPr>
          <w:p w14:paraId="5F70257B"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198.00***</w:t>
            </w:r>
          </w:p>
        </w:tc>
      </w:tr>
      <w:tr w:rsidR="00A75A98" w:rsidRPr="00C96815" w14:paraId="01467DFF" w14:textId="77777777" w:rsidTr="00A75A98">
        <w:trPr>
          <w:trHeight w:val="20"/>
        </w:trPr>
        <w:tc>
          <w:tcPr>
            <w:tcW w:w="1000" w:type="pct"/>
            <w:tcBorders>
              <w:top w:val="nil"/>
              <w:left w:val="nil"/>
              <w:bottom w:val="nil"/>
              <w:right w:val="nil"/>
            </w:tcBorders>
            <w:shd w:val="clear" w:color="auto" w:fill="auto"/>
            <w:noWrap/>
            <w:vAlign w:val="bottom"/>
            <w:hideMark/>
          </w:tcPr>
          <w:p w14:paraId="749C8106"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Adj. R-squared</w:t>
            </w:r>
          </w:p>
        </w:tc>
        <w:tc>
          <w:tcPr>
            <w:tcW w:w="701" w:type="pct"/>
            <w:tcBorders>
              <w:top w:val="nil"/>
              <w:left w:val="nil"/>
              <w:bottom w:val="nil"/>
              <w:right w:val="nil"/>
            </w:tcBorders>
            <w:shd w:val="clear" w:color="auto" w:fill="auto"/>
            <w:noWrap/>
            <w:vAlign w:val="bottom"/>
            <w:hideMark/>
          </w:tcPr>
          <w:p w14:paraId="330EB1DA"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0.823</w:t>
            </w:r>
          </w:p>
        </w:tc>
        <w:tc>
          <w:tcPr>
            <w:tcW w:w="841" w:type="pct"/>
            <w:tcBorders>
              <w:top w:val="nil"/>
              <w:left w:val="nil"/>
              <w:bottom w:val="nil"/>
              <w:right w:val="nil"/>
            </w:tcBorders>
            <w:shd w:val="clear" w:color="auto" w:fill="auto"/>
            <w:noWrap/>
            <w:vAlign w:val="bottom"/>
            <w:hideMark/>
          </w:tcPr>
          <w:p w14:paraId="55C9B69C"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0.823</w:t>
            </w:r>
          </w:p>
        </w:tc>
        <w:tc>
          <w:tcPr>
            <w:tcW w:w="748" w:type="pct"/>
            <w:tcBorders>
              <w:top w:val="nil"/>
              <w:left w:val="nil"/>
              <w:bottom w:val="nil"/>
              <w:right w:val="nil"/>
            </w:tcBorders>
            <w:shd w:val="clear" w:color="auto" w:fill="auto"/>
            <w:noWrap/>
            <w:vAlign w:val="bottom"/>
            <w:hideMark/>
          </w:tcPr>
          <w:p w14:paraId="366F6447"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0.824</w:t>
            </w:r>
          </w:p>
        </w:tc>
        <w:tc>
          <w:tcPr>
            <w:tcW w:w="873" w:type="pct"/>
            <w:tcBorders>
              <w:top w:val="nil"/>
              <w:left w:val="nil"/>
              <w:bottom w:val="nil"/>
              <w:right w:val="nil"/>
            </w:tcBorders>
            <w:shd w:val="clear" w:color="auto" w:fill="auto"/>
            <w:noWrap/>
            <w:vAlign w:val="bottom"/>
            <w:hideMark/>
          </w:tcPr>
          <w:p w14:paraId="6A66B6F5"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0.781</w:t>
            </w:r>
          </w:p>
        </w:tc>
        <w:tc>
          <w:tcPr>
            <w:tcW w:w="837" w:type="pct"/>
            <w:tcBorders>
              <w:top w:val="nil"/>
              <w:left w:val="nil"/>
              <w:bottom w:val="nil"/>
              <w:right w:val="nil"/>
            </w:tcBorders>
            <w:shd w:val="clear" w:color="auto" w:fill="auto"/>
            <w:noWrap/>
            <w:vAlign w:val="bottom"/>
            <w:hideMark/>
          </w:tcPr>
          <w:p w14:paraId="0185B39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0.779</w:t>
            </w:r>
          </w:p>
        </w:tc>
      </w:tr>
      <w:tr w:rsidR="00A75A98" w:rsidRPr="00C96815" w14:paraId="2571F049" w14:textId="77777777" w:rsidTr="00A75A98">
        <w:trPr>
          <w:trHeight w:val="20"/>
        </w:trPr>
        <w:tc>
          <w:tcPr>
            <w:tcW w:w="1000" w:type="pct"/>
            <w:tcBorders>
              <w:top w:val="nil"/>
              <w:left w:val="nil"/>
              <w:right w:val="nil"/>
            </w:tcBorders>
            <w:shd w:val="clear" w:color="auto" w:fill="auto"/>
            <w:noWrap/>
            <w:vAlign w:val="bottom"/>
            <w:hideMark/>
          </w:tcPr>
          <w:p w14:paraId="085C5B96"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Year fixed effects</w:t>
            </w:r>
          </w:p>
        </w:tc>
        <w:tc>
          <w:tcPr>
            <w:tcW w:w="701" w:type="pct"/>
            <w:tcBorders>
              <w:top w:val="nil"/>
              <w:left w:val="nil"/>
              <w:right w:val="nil"/>
            </w:tcBorders>
            <w:shd w:val="clear" w:color="auto" w:fill="auto"/>
            <w:noWrap/>
            <w:vAlign w:val="bottom"/>
            <w:hideMark/>
          </w:tcPr>
          <w:p w14:paraId="5A322E17"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Yes</w:t>
            </w:r>
          </w:p>
        </w:tc>
        <w:tc>
          <w:tcPr>
            <w:tcW w:w="841" w:type="pct"/>
            <w:tcBorders>
              <w:top w:val="nil"/>
              <w:left w:val="nil"/>
              <w:right w:val="nil"/>
            </w:tcBorders>
            <w:shd w:val="clear" w:color="auto" w:fill="auto"/>
            <w:noWrap/>
            <w:vAlign w:val="bottom"/>
            <w:hideMark/>
          </w:tcPr>
          <w:p w14:paraId="521F1A7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Yes</w:t>
            </w:r>
          </w:p>
        </w:tc>
        <w:tc>
          <w:tcPr>
            <w:tcW w:w="748" w:type="pct"/>
            <w:tcBorders>
              <w:top w:val="nil"/>
              <w:left w:val="nil"/>
              <w:right w:val="nil"/>
            </w:tcBorders>
            <w:shd w:val="clear" w:color="auto" w:fill="auto"/>
            <w:noWrap/>
            <w:vAlign w:val="bottom"/>
            <w:hideMark/>
          </w:tcPr>
          <w:p w14:paraId="0E464BFA"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Yes</w:t>
            </w:r>
          </w:p>
        </w:tc>
        <w:tc>
          <w:tcPr>
            <w:tcW w:w="873" w:type="pct"/>
            <w:tcBorders>
              <w:top w:val="nil"/>
              <w:left w:val="nil"/>
              <w:right w:val="nil"/>
            </w:tcBorders>
            <w:shd w:val="clear" w:color="auto" w:fill="auto"/>
            <w:noWrap/>
            <w:vAlign w:val="bottom"/>
            <w:hideMark/>
          </w:tcPr>
          <w:p w14:paraId="39DD7104"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Yes</w:t>
            </w:r>
          </w:p>
        </w:tc>
        <w:tc>
          <w:tcPr>
            <w:tcW w:w="837" w:type="pct"/>
            <w:tcBorders>
              <w:top w:val="nil"/>
              <w:left w:val="nil"/>
              <w:right w:val="nil"/>
            </w:tcBorders>
            <w:shd w:val="clear" w:color="auto" w:fill="auto"/>
            <w:noWrap/>
            <w:vAlign w:val="bottom"/>
            <w:hideMark/>
          </w:tcPr>
          <w:p w14:paraId="7F456CF5"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Yes</w:t>
            </w:r>
          </w:p>
        </w:tc>
      </w:tr>
      <w:tr w:rsidR="00A75A98" w:rsidRPr="00C96815" w14:paraId="3E733AD5" w14:textId="77777777" w:rsidTr="00A75A98">
        <w:trPr>
          <w:trHeight w:val="20"/>
        </w:trPr>
        <w:tc>
          <w:tcPr>
            <w:tcW w:w="1000" w:type="pct"/>
            <w:tcBorders>
              <w:top w:val="nil"/>
              <w:left w:val="nil"/>
              <w:bottom w:val="single" w:sz="4" w:space="0" w:color="auto"/>
              <w:right w:val="nil"/>
            </w:tcBorders>
            <w:shd w:val="clear" w:color="auto" w:fill="auto"/>
            <w:noWrap/>
            <w:vAlign w:val="bottom"/>
            <w:hideMark/>
          </w:tcPr>
          <w:p w14:paraId="1F1BEEF9"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Observations</w:t>
            </w:r>
          </w:p>
        </w:tc>
        <w:tc>
          <w:tcPr>
            <w:tcW w:w="701" w:type="pct"/>
            <w:tcBorders>
              <w:top w:val="nil"/>
              <w:left w:val="nil"/>
              <w:bottom w:val="single" w:sz="4" w:space="0" w:color="auto"/>
              <w:right w:val="nil"/>
            </w:tcBorders>
            <w:shd w:val="clear" w:color="auto" w:fill="auto"/>
            <w:noWrap/>
            <w:vAlign w:val="bottom"/>
            <w:hideMark/>
          </w:tcPr>
          <w:p w14:paraId="0DAB80C1"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1,014</w:t>
            </w:r>
          </w:p>
        </w:tc>
        <w:tc>
          <w:tcPr>
            <w:tcW w:w="841" w:type="pct"/>
            <w:tcBorders>
              <w:top w:val="nil"/>
              <w:left w:val="nil"/>
              <w:bottom w:val="single" w:sz="4" w:space="0" w:color="auto"/>
              <w:right w:val="nil"/>
            </w:tcBorders>
            <w:shd w:val="clear" w:color="auto" w:fill="auto"/>
            <w:noWrap/>
            <w:vAlign w:val="bottom"/>
            <w:hideMark/>
          </w:tcPr>
          <w:p w14:paraId="07772BBB"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1,014</w:t>
            </w:r>
          </w:p>
        </w:tc>
        <w:tc>
          <w:tcPr>
            <w:tcW w:w="748" w:type="pct"/>
            <w:tcBorders>
              <w:top w:val="nil"/>
              <w:left w:val="nil"/>
              <w:bottom w:val="single" w:sz="4" w:space="0" w:color="auto"/>
              <w:right w:val="nil"/>
            </w:tcBorders>
            <w:shd w:val="clear" w:color="auto" w:fill="auto"/>
            <w:noWrap/>
            <w:vAlign w:val="bottom"/>
            <w:hideMark/>
          </w:tcPr>
          <w:p w14:paraId="01D56095"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1,014</w:t>
            </w:r>
          </w:p>
        </w:tc>
        <w:tc>
          <w:tcPr>
            <w:tcW w:w="873" w:type="pct"/>
            <w:tcBorders>
              <w:top w:val="nil"/>
              <w:left w:val="nil"/>
              <w:bottom w:val="single" w:sz="4" w:space="0" w:color="auto"/>
              <w:right w:val="nil"/>
            </w:tcBorders>
            <w:shd w:val="clear" w:color="auto" w:fill="auto"/>
            <w:noWrap/>
            <w:vAlign w:val="bottom"/>
            <w:hideMark/>
          </w:tcPr>
          <w:p w14:paraId="71E6D7B8"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1,014</w:t>
            </w:r>
          </w:p>
        </w:tc>
        <w:tc>
          <w:tcPr>
            <w:tcW w:w="837" w:type="pct"/>
            <w:tcBorders>
              <w:top w:val="nil"/>
              <w:left w:val="nil"/>
              <w:bottom w:val="single" w:sz="4" w:space="0" w:color="auto"/>
              <w:right w:val="nil"/>
            </w:tcBorders>
            <w:shd w:val="clear" w:color="auto" w:fill="auto"/>
            <w:noWrap/>
            <w:vAlign w:val="bottom"/>
            <w:hideMark/>
          </w:tcPr>
          <w:p w14:paraId="3FEE9266" w14:textId="77777777" w:rsidR="00A75A98" w:rsidRPr="00C96815" w:rsidRDefault="00A75A98" w:rsidP="0063232D">
            <w:pPr>
              <w:spacing w:after="0" w:line="240" w:lineRule="auto"/>
              <w:rPr>
                <w:rFonts w:ascii="Times New Roman" w:eastAsia="Times New Roman" w:hAnsi="Times New Roman" w:cs="Times New Roman"/>
                <w:color w:val="000000"/>
              </w:rPr>
            </w:pPr>
            <w:r w:rsidRPr="00C96815">
              <w:rPr>
                <w:rFonts w:ascii="Times New Roman" w:eastAsia="Times New Roman" w:hAnsi="Times New Roman" w:cs="Times New Roman"/>
                <w:color w:val="000000"/>
              </w:rPr>
              <w:t>1,014</w:t>
            </w:r>
          </w:p>
        </w:tc>
      </w:tr>
    </w:tbl>
    <w:p w14:paraId="65A4C6CF" w14:textId="57DEF73D" w:rsidR="00A75A98" w:rsidRPr="00C96815" w:rsidRDefault="00A75A98" w:rsidP="00A75A98">
      <w:pPr>
        <w:spacing w:line="240" w:lineRule="auto"/>
        <w:rPr>
          <w:rFonts w:ascii="Times New Roman" w:hAnsi="Times New Roman" w:cs="Times New Roman"/>
        </w:rPr>
      </w:pPr>
      <w:r w:rsidRPr="00C96815">
        <w:rPr>
          <w:rFonts w:ascii="Times New Roman" w:hAnsi="Times New Roman" w:cs="Times New Roman"/>
        </w:rPr>
        <w:t>We report the results from the cross-sectional analyses of total risk, idiosyncratic risk and systematic risk of the value-weighted portfolio of matching firms. The value-weighted (based upon market capitalization in the preceding year) portfolios of matching firms are firms in the same quartiles of institutional ownership and of market capitalization as the target firm. Total risk is measured as the standard deviation of the daily returns of matching firms in the (-252,-31) day and (+31,+252) day windows relative to the announcement date of the activism event, alternatively. Idiosyncratic risk and systematic risk are measured as the standard deviations of the residuals and the predicted values from the market model (R</w:t>
      </w:r>
      <w:r w:rsidRPr="00C96815">
        <w:rPr>
          <w:rFonts w:ascii="Times New Roman" w:hAnsi="Times New Roman" w:cs="Times New Roman"/>
          <w:vertAlign w:val="subscript"/>
        </w:rPr>
        <w:t>i</w:t>
      </w:r>
      <w:r w:rsidRPr="00C96815">
        <w:rPr>
          <w:rFonts w:ascii="Times New Roman" w:hAnsi="Times New Roman" w:cs="Times New Roman"/>
        </w:rPr>
        <w:t xml:space="preserve"> = α</w:t>
      </w:r>
      <w:r w:rsidRPr="00C96815">
        <w:rPr>
          <w:rFonts w:ascii="Times New Roman" w:hAnsi="Times New Roman" w:cs="Times New Roman"/>
          <w:vertAlign w:val="subscript"/>
        </w:rPr>
        <w:t>i</w:t>
      </w:r>
      <w:r w:rsidRPr="00C96815">
        <w:rPr>
          <w:rFonts w:ascii="Times New Roman" w:hAnsi="Times New Roman" w:cs="Times New Roman"/>
        </w:rPr>
        <w:t xml:space="preserve"> + β</w:t>
      </w:r>
      <w:r w:rsidRPr="00C96815">
        <w:rPr>
          <w:rFonts w:ascii="Times New Roman" w:hAnsi="Times New Roman" w:cs="Times New Roman"/>
          <w:vertAlign w:val="subscript"/>
        </w:rPr>
        <w:t>i</w:t>
      </w:r>
      <w:r w:rsidRPr="00C96815">
        <w:rPr>
          <w:rFonts w:ascii="Times New Roman" w:hAnsi="Times New Roman" w:cs="Times New Roman"/>
        </w:rPr>
        <w:t>×R</w:t>
      </w:r>
      <w:r w:rsidRPr="00C96815">
        <w:rPr>
          <w:rFonts w:ascii="Times New Roman" w:hAnsi="Times New Roman" w:cs="Times New Roman"/>
          <w:vertAlign w:val="subscript"/>
        </w:rPr>
        <w:t>mt</w:t>
      </w:r>
      <w:r w:rsidRPr="00C96815">
        <w:rPr>
          <w:rFonts w:ascii="Times New Roman" w:hAnsi="Times New Roman" w:cs="Times New Roman"/>
        </w:rPr>
        <w:t xml:space="preserve"> + ɛ</w:t>
      </w:r>
      <w:r w:rsidRPr="00C96815">
        <w:rPr>
          <w:rFonts w:ascii="Times New Roman" w:hAnsi="Times New Roman" w:cs="Times New Roman"/>
          <w:vertAlign w:val="subscript"/>
        </w:rPr>
        <w:t>it</w:t>
      </w:r>
      <w:r w:rsidRPr="00C96815">
        <w:rPr>
          <w:rFonts w:ascii="Times New Roman" w:hAnsi="Times New Roman" w:cs="Times New Roman"/>
        </w:rPr>
        <w:t>) and the Fama-French 3-factor model (R</w:t>
      </w:r>
      <w:r w:rsidRPr="00C96815">
        <w:rPr>
          <w:rFonts w:ascii="Times New Roman" w:hAnsi="Times New Roman" w:cs="Times New Roman"/>
          <w:vertAlign w:val="subscript"/>
        </w:rPr>
        <w:t>i</w:t>
      </w:r>
      <w:r w:rsidRPr="00C96815">
        <w:rPr>
          <w:rFonts w:ascii="Times New Roman" w:hAnsi="Times New Roman" w:cs="Times New Roman"/>
        </w:rPr>
        <w:t xml:space="preserve"> = α</w:t>
      </w:r>
      <w:r w:rsidRPr="00C96815">
        <w:rPr>
          <w:rFonts w:ascii="Times New Roman" w:hAnsi="Times New Roman" w:cs="Times New Roman"/>
          <w:vertAlign w:val="subscript"/>
        </w:rPr>
        <w:t>i</w:t>
      </w:r>
      <w:r w:rsidRPr="00C96815">
        <w:rPr>
          <w:rFonts w:ascii="Times New Roman" w:hAnsi="Times New Roman" w:cs="Times New Roman"/>
        </w:rPr>
        <w:t xml:space="preserve"> + β</w:t>
      </w:r>
      <w:r w:rsidRPr="00C96815">
        <w:rPr>
          <w:rFonts w:ascii="Times New Roman" w:hAnsi="Times New Roman" w:cs="Times New Roman"/>
          <w:vertAlign w:val="subscript"/>
        </w:rPr>
        <w:t>i</w:t>
      </w:r>
      <w:r w:rsidRPr="00C96815">
        <w:rPr>
          <w:rFonts w:ascii="Times New Roman" w:hAnsi="Times New Roman" w:cs="Times New Roman"/>
        </w:rPr>
        <w:t xml:space="preserve"> R</w:t>
      </w:r>
      <w:r w:rsidRPr="00C96815">
        <w:rPr>
          <w:rFonts w:ascii="Times New Roman" w:hAnsi="Times New Roman" w:cs="Times New Roman"/>
          <w:vertAlign w:val="subscript"/>
        </w:rPr>
        <w:t>mt</w:t>
      </w:r>
      <w:r w:rsidRPr="00C96815">
        <w:rPr>
          <w:rFonts w:ascii="Times New Roman" w:hAnsi="Times New Roman" w:cs="Times New Roman"/>
        </w:rPr>
        <w:t xml:space="preserve"> + ɤ</w:t>
      </w:r>
      <w:r w:rsidRPr="00C96815">
        <w:rPr>
          <w:rFonts w:ascii="Times New Roman" w:hAnsi="Times New Roman" w:cs="Times New Roman"/>
          <w:vertAlign w:val="subscript"/>
        </w:rPr>
        <w:t>i</w:t>
      </w:r>
      <w:r w:rsidRPr="00C96815">
        <w:rPr>
          <w:rFonts w:ascii="Times New Roman" w:hAnsi="Times New Roman" w:cs="Times New Roman"/>
        </w:rPr>
        <w:t xml:space="preserve"> SMB</w:t>
      </w:r>
      <w:r w:rsidRPr="00C96815">
        <w:rPr>
          <w:rFonts w:ascii="Times New Roman" w:hAnsi="Times New Roman" w:cs="Times New Roman"/>
          <w:vertAlign w:val="subscript"/>
        </w:rPr>
        <w:t>t</w:t>
      </w:r>
      <w:r w:rsidRPr="00C96815">
        <w:rPr>
          <w:rFonts w:ascii="Times New Roman" w:hAnsi="Times New Roman" w:cs="Times New Roman"/>
        </w:rPr>
        <w:t xml:space="preserve"> + ɸ</w:t>
      </w:r>
      <w:r w:rsidRPr="00C96815">
        <w:rPr>
          <w:rFonts w:ascii="Times New Roman" w:hAnsi="Times New Roman" w:cs="Times New Roman"/>
          <w:vertAlign w:val="subscript"/>
        </w:rPr>
        <w:t>i</w:t>
      </w:r>
      <w:r w:rsidRPr="00C96815">
        <w:rPr>
          <w:rFonts w:ascii="Times New Roman" w:hAnsi="Times New Roman" w:cs="Times New Roman"/>
        </w:rPr>
        <w:t xml:space="preserve"> HML</w:t>
      </w:r>
      <w:r w:rsidRPr="00C96815">
        <w:rPr>
          <w:rFonts w:ascii="Times New Roman" w:hAnsi="Times New Roman" w:cs="Times New Roman"/>
          <w:vertAlign w:val="subscript"/>
        </w:rPr>
        <w:t>t</w:t>
      </w:r>
      <w:r w:rsidRPr="00C96815">
        <w:rPr>
          <w:rFonts w:ascii="Times New Roman" w:hAnsi="Times New Roman" w:cs="Times New Roman"/>
        </w:rPr>
        <w:t xml:space="preserve"> + ɛ</w:t>
      </w:r>
      <w:r w:rsidRPr="00C96815">
        <w:rPr>
          <w:rFonts w:ascii="Times New Roman" w:hAnsi="Times New Roman" w:cs="Times New Roman"/>
          <w:vertAlign w:val="subscript"/>
        </w:rPr>
        <w:t>it</w:t>
      </w:r>
      <w:r w:rsidRPr="00C96815">
        <w:rPr>
          <w:rFonts w:ascii="Times New Roman" w:hAnsi="Times New Roman" w:cs="Times New Roman"/>
        </w:rPr>
        <w:t xml:space="preserve">), alternatively, in the (-252,-31) day and (+31,+252) day windows relative to the announcement date of the activism event. AFTER is the dummy variable for the year following the activism events. WIN is the dummy variable for events whereby the dissidents win or partially win the campaign. CHANGE is the dummy variables for campaigns in which the activists demand changes/control of the board. IOPr is the average of total institutional ownership in a firm in the preceding 5 years (20 quarters). IOV is the average of the standard deviation of the ownership across institutional owners of a firm in the past 5 years (20 quarters). CAPX and DEBT </w:t>
      </w:r>
      <w:r w:rsidRPr="00C96815">
        <w:rPr>
          <w:rFonts w:ascii="Times New Roman" w:eastAsiaTheme="minorEastAsia" w:hAnsi="Times New Roman" w:cs="Times New Roman"/>
        </w:rPr>
        <w:t xml:space="preserve">represent equally-weighted/value-weighed industry-adjusted figures of </w:t>
      </w:r>
      <w:r w:rsidRPr="00C96815">
        <w:rPr>
          <w:rFonts w:ascii="Times New Roman" w:hAnsi="Times New Roman" w:cs="Times New Roman"/>
        </w:rPr>
        <w:t>capital expenditure-to- asset ratio and total debt-to-total asset ratio, respectively,</w:t>
      </w:r>
      <w:r w:rsidRPr="00C96815">
        <w:rPr>
          <w:rFonts w:ascii="Times New Roman" w:eastAsiaTheme="minorEastAsia" w:hAnsi="Times New Roman" w:cs="Times New Roman"/>
        </w:rPr>
        <w:t xml:space="preserve"> of the firms comprising the matching non-targeted portfolio</w:t>
      </w:r>
      <w:r w:rsidR="006103D2" w:rsidRPr="00C96815">
        <w:rPr>
          <w:rFonts w:ascii="Times New Roman" w:eastAsiaTheme="minorEastAsia" w:hAnsi="Times New Roman" w:cs="Times New Roman"/>
        </w:rPr>
        <w:t>. They</w:t>
      </w:r>
      <w:r w:rsidRPr="00C96815">
        <w:rPr>
          <w:rFonts w:ascii="Times New Roman" w:eastAsiaTheme="minorEastAsia" w:hAnsi="Times New Roman" w:cs="Times New Roman"/>
        </w:rPr>
        <w:t xml:space="preserve"> are measured at the end of the fiscal year preceding the announcement date. </w:t>
      </w:r>
      <w:r w:rsidRPr="00C96815">
        <w:rPr>
          <w:rFonts w:ascii="Times New Roman" w:hAnsi="Times New Roman" w:cs="Times New Roman"/>
        </w:rPr>
        <w:t xml:space="preserve">We report robust t-statistics. *, ** and *** indicate the significance levels of 10%, 5% and 1%, respectively. </w:t>
      </w:r>
    </w:p>
    <w:p w14:paraId="7D6BCD56" w14:textId="77777777" w:rsidR="00A75A98" w:rsidRPr="00D97714" w:rsidRDefault="00A75A98" w:rsidP="00A75A98">
      <w:pPr>
        <w:spacing w:line="240" w:lineRule="auto"/>
        <w:rPr>
          <w:rFonts w:ascii="Times New Roman" w:hAnsi="Times New Roman" w:cs="Times New Roman"/>
          <w:sz w:val="24"/>
          <w:szCs w:val="24"/>
        </w:rPr>
      </w:pPr>
    </w:p>
    <w:p w14:paraId="3D926B3D" w14:textId="77777777" w:rsidR="00A75A98" w:rsidRPr="00D97714" w:rsidRDefault="00A75A98" w:rsidP="00A75A98">
      <w:pPr>
        <w:rPr>
          <w:rFonts w:ascii="Times New Roman" w:hAnsi="Times New Roman" w:cs="Times New Roman"/>
          <w:sz w:val="24"/>
          <w:szCs w:val="24"/>
        </w:rPr>
      </w:pPr>
    </w:p>
    <w:tbl>
      <w:tblPr>
        <w:tblW w:w="5000" w:type="pct"/>
        <w:tblLook w:val="04A0" w:firstRow="1" w:lastRow="0" w:firstColumn="1" w:lastColumn="0" w:noHBand="0" w:noVBand="1"/>
      </w:tblPr>
      <w:tblGrid>
        <w:gridCol w:w="2477"/>
        <w:gridCol w:w="2365"/>
        <w:gridCol w:w="2367"/>
        <w:gridCol w:w="2367"/>
      </w:tblGrid>
      <w:tr w:rsidR="00A75A98" w:rsidRPr="00D97714" w14:paraId="6401AE0C" w14:textId="77777777" w:rsidTr="00A75A98">
        <w:trPr>
          <w:trHeight w:val="20"/>
        </w:trPr>
        <w:tc>
          <w:tcPr>
            <w:tcW w:w="5000" w:type="pct"/>
            <w:gridSpan w:val="4"/>
            <w:tcBorders>
              <w:top w:val="single" w:sz="4" w:space="0" w:color="auto"/>
              <w:left w:val="nil"/>
              <w:bottom w:val="nil"/>
              <w:right w:val="nil"/>
            </w:tcBorders>
            <w:shd w:val="clear" w:color="auto" w:fill="auto"/>
            <w:noWrap/>
            <w:vAlign w:val="bottom"/>
          </w:tcPr>
          <w:p w14:paraId="19EE3F5E" w14:textId="1904C445" w:rsidR="00A75A98" w:rsidRPr="00D97714" w:rsidRDefault="00A75A98" w:rsidP="00A75A98">
            <w:pPr>
              <w:spacing w:after="0" w:line="240" w:lineRule="auto"/>
              <w:rPr>
                <w:rFonts w:ascii="Times New Roman" w:eastAsia="Times New Roman" w:hAnsi="Times New Roman" w:cs="Times New Roman"/>
                <w:b/>
                <w:color w:val="000000"/>
                <w:sz w:val="24"/>
                <w:szCs w:val="24"/>
              </w:rPr>
            </w:pPr>
            <w:r w:rsidRPr="00D97714">
              <w:rPr>
                <w:rFonts w:ascii="Times New Roman" w:eastAsia="Times New Roman" w:hAnsi="Times New Roman" w:cs="Times New Roman"/>
                <w:b/>
                <w:sz w:val="24"/>
                <w:szCs w:val="24"/>
              </w:rPr>
              <w:t>Table 9 – Cross-Sectional Analyses for Individual Non-Target Matching Firms</w:t>
            </w:r>
          </w:p>
        </w:tc>
      </w:tr>
      <w:tr w:rsidR="00A75A98" w:rsidRPr="00D97714" w14:paraId="02053C5B" w14:textId="77777777" w:rsidTr="00A75A98">
        <w:trPr>
          <w:trHeight w:val="20"/>
        </w:trPr>
        <w:tc>
          <w:tcPr>
            <w:tcW w:w="1293" w:type="pct"/>
            <w:tcBorders>
              <w:top w:val="single" w:sz="4" w:space="0" w:color="auto"/>
              <w:left w:val="nil"/>
              <w:bottom w:val="nil"/>
              <w:right w:val="nil"/>
            </w:tcBorders>
            <w:shd w:val="clear" w:color="auto" w:fill="auto"/>
            <w:noWrap/>
            <w:vAlign w:val="bottom"/>
            <w:hideMark/>
          </w:tcPr>
          <w:p w14:paraId="2F7EE557" w14:textId="77777777" w:rsidR="00A75A98" w:rsidRPr="00D97714" w:rsidRDefault="00A75A98" w:rsidP="0063232D">
            <w:pPr>
              <w:spacing w:after="0" w:line="240" w:lineRule="auto"/>
              <w:rPr>
                <w:rFonts w:ascii="Times New Roman" w:eastAsia="Times New Roman" w:hAnsi="Times New Roman" w:cs="Times New Roman"/>
                <w:sz w:val="24"/>
                <w:szCs w:val="24"/>
              </w:rPr>
            </w:pPr>
          </w:p>
        </w:tc>
        <w:tc>
          <w:tcPr>
            <w:tcW w:w="1235" w:type="pct"/>
            <w:tcBorders>
              <w:top w:val="single" w:sz="4" w:space="0" w:color="auto"/>
              <w:left w:val="nil"/>
              <w:bottom w:val="nil"/>
              <w:right w:val="nil"/>
            </w:tcBorders>
            <w:shd w:val="clear" w:color="auto" w:fill="auto"/>
            <w:noWrap/>
            <w:vAlign w:val="bottom"/>
            <w:hideMark/>
          </w:tcPr>
          <w:p w14:paraId="3231126C"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Total risk</w:t>
            </w:r>
          </w:p>
        </w:tc>
        <w:tc>
          <w:tcPr>
            <w:tcW w:w="1236" w:type="pct"/>
            <w:tcBorders>
              <w:top w:val="single" w:sz="4" w:space="0" w:color="auto"/>
              <w:left w:val="nil"/>
              <w:bottom w:val="nil"/>
              <w:right w:val="nil"/>
            </w:tcBorders>
            <w:shd w:val="clear" w:color="auto" w:fill="auto"/>
            <w:noWrap/>
            <w:vAlign w:val="bottom"/>
            <w:hideMark/>
          </w:tcPr>
          <w:p w14:paraId="1F9C8E94"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Idiosyncratic risk</w:t>
            </w:r>
          </w:p>
        </w:tc>
        <w:tc>
          <w:tcPr>
            <w:tcW w:w="1236" w:type="pct"/>
            <w:tcBorders>
              <w:top w:val="single" w:sz="4" w:space="0" w:color="auto"/>
              <w:left w:val="nil"/>
              <w:bottom w:val="nil"/>
              <w:right w:val="nil"/>
            </w:tcBorders>
            <w:shd w:val="clear" w:color="auto" w:fill="auto"/>
            <w:noWrap/>
            <w:vAlign w:val="bottom"/>
            <w:hideMark/>
          </w:tcPr>
          <w:p w14:paraId="54169955"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Systematic risk</w:t>
            </w:r>
          </w:p>
        </w:tc>
      </w:tr>
      <w:tr w:rsidR="00A75A98" w:rsidRPr="00D97714" w14:paraId="7E6F9002" w14:textId="77777777" w:rsidTr="00A75A98">
        <w:trPr>
          <w:trHeight w:val="20"/>
        </w:trPr>
        <w:tc>
          <w:tcPr>
            <w:tcW w:w="1293" w:type="pct"/>
            <w:tcBorders>
              <w:top w:val="single" w:sz="4" w:space="0" w:color="auto"/>
              <w:left w:val="single" w:sz="8" w:space="0" w:color="C1C1C1"/>
              <w:bottom w:val="nil"/>
              <w:right w:val="nil"/>
            </w:tcBorders>
            <w:shd w:val="clear" w:color="auto" w:fill="auto"/>
            <w:hideMark/>
          </w:tcPr>
          <w:p w14:paraId="1DE926CF" w14:textId="77777777" w:rsidR="00A75A98" w:rsidRPr="00D97714" w:rsidRDefault="00A75A98" w:rsidP="0063232D">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Intercept</w:t>
            </w:r>
          </w:p>
        </w:tc>
        <w:tc>
          <w:tcPr>
            <w:tcW w:w="1235" w:type="pct"/>
            <w:tcBorders>
              <w:top w:val="single" w:sz="4" w:space="0" w:color="auto"/>
              <w:left w:val="nil"/>
              <w:bottom w:val="nil"/>
              <w:right w:val="nil"/>
            </w:tcBorders>
            <w:shd w:val="clear" w:color="auto" w:fill="auto"/>
            <w:hideMark/>
          </w:tcPr>
          <w:p w14:paraId="14828C13"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0.068</w:t>
            </w:r>
          </w:p>
        </w:tc>
        <w:tc>
          <w:tcPr>
            <w:tcW w:w="1236" w:type="pct"/>
            <w:tcBorders>
              <w:top w:val="single" w:sz="4" w:space="0" w:color="auto"/>
              <w:left w:val="nil"/>
              <w:bottom w:val="nil"/>
              <w:right w:val="nil"/>
            </w:tcBorders>
            <w:shd w:val="clear" w:color="auto" w:fill="auto"/>
            <w:hideMark/>
          </w:tcPr>
          <w:p w14:paraId="6F447A35"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0.069</w:t>
            </w:r>
          </w:p>
        </w:tc>
        <w:tc>
          <w:tcPr>
            <w:tcW w:w="1236" w:type="pct"/>
            <w:tcBorders>
              <w:top w:val="single" w:sz="4" w:space="0" w:color="auto"/>
              <w:left w:val="nil"/>
              <w:bottom w:val="nil"/>
              <w:right w:val="nil"/>
            </w:tcBorders>
            <w:shd w:val="clear" w:color="auto" w:fill="auto"/>
            <w:hideMark/>
          </w:tcPr>
          <w:p w14:paraId="31114422"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0.009</w:t>
            </w:r>
          </w:p>
        </w:tc>
      </w:tr>
      <w:tr w:rsidR="00A75A98" w:rsidRPr="00D97714" w14:paraId="1F73D049" w14:textId="77777777" w:rsidTr="00A75A98">
        <w:trPr>
          <w:trHeight w:val="20"/>
        </w:trPr>
        <w:tc>
          <w:tcPr>
            <w:tcW w:w="1293" w:type="pct"/>
            <w:tcBorders>
              <w:top w:val="nil"/>
              <w:left w:val="single" w:sz="8" w:space="0" w:color="C1C1C1"/>
              <w:bottom w:val="nil"/>
              <w:right w:val="nil"/>
            </w:tcBorders>
            <w:shd w:val="clear" w:color="auto" w:fill="auto"/>
            <w:hideMark/>
          </w:tcPr>
          <w:p w14:paraId="18F49DC1" w14:textId="77777777" w:rsidR="00A75A98" w:rsidRPr="00D97714" w:rsidRDefault="00A75A98" w:rsidP="0063232D">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bCs/>
                <w:color w:val="000000"/>
                <w:sz w:val="24"/>
                <w:szCs w:val="24"/>
              </w:rPr>
              <w:t> </w:t>
            </w:r>
          </w:p>
        </w:tc>
        <w:tc>
          <w:tcPr>
            <w:tcW w:w="1235" w:type="pct"/>
            <w:tcBorders>
              <w:top w:val="single" w:sz="8" w:space="0" w:color="C1C1C1"/>
              <w:left w:val="nil"/>
              <w:bottom w:val="nil"/>
              <w:right w:val="nil"/>
            </w:tcBorders>
            <w:shd w:val="clear" w:color="auto" w:fill="auto"/>
            <w:hideMark/>
          </w:tcPr>
          <w:p w14:paraId="7B54C6DB"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(177.20***)</w:t>
            </w:r>
          </w:p>
        </w:tc>
        <w:tc>
          <w:tcPr>
            <w:tcW w:w="1236" w:type="pct"/>
            <w:tcBorders>
              <w:top w:val="single" w:sz="8" w:space="0" w:color="C1C1C1"/>
              <w:left w:val="nil"/>
              <w:bottom w:val="nil"/>
              <w:right w:val="nil"/>
            </w:tcBorders>
            <w:shd w:val="clear" w:color="auto" w:fill="auto"/>
            <w:hideMark/>
          </w:tcPr>
          <w:p w14:paraId="7E5DC647"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(196.98***)</w:t>
            </w:r>
          </w:p>
        </w:tc>
        <w:tc>
          <w:tcPr>
            <w:tcW w:w="1236" w:type="pct"/>
            <w:tcBorders>
              <w:top w:val="single" w:sz="8" w:space="0" w:color="C1C1C1"/>
              <w:left w:val="nil"/>
              <w:bottom w:val="nil"/>
              <w:right w:val="nil"/>
            </w:tcBorders>
            <w:shd w:val="clear" w:color="auto" w:fill="auto"/>
            <w:hideMark/>
          </w:tcPr>
          <w:p w14:paraId="6E8C8268" w14:textId="77777777" w:rsidR="00A75A98" w:rsidRPr="00D97714" w:rsidRDefault="00A75A98" w:rsidP="0063232D">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(45.43***)</w:t>
            </w:r>
          </w:p>
        </w:tc>
      </w:tr>
      <w:tr w:rsidR="00666BA4" w:rsidRPr="00D97714" w14:paraId="09D2744D" w14:textId="77777777" w:rsidTr="00A75A98">
        <w:trPr>
          <w:trHeight w:val="20"/>
        </w:trPr>
        <w:tc>
          <w:tcPr>
            <w:tcW w:w="1293" w:type="pct"/>
            <w:tcBorders>
              <w:left w:val="nil"/>
              <w:bottom w:val="nil"/>
              <w:right w:val="nil"/>
            </w:tcBorders>
            <w:shd w:val="clear" w:color="auto" w:fill="auto"/>
            <w:hideMark/>
          </w:tcPr>
          <w:p w14:paraId="390A47C7" w14:textId="77777777" w:rsidR="00666BA4" w:rsidRPr="00D97714" w:rsidRDefault="00666BA4" w:rsidP="00666BA4">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color w:val="000000"/>
                <w:sz w:val="24"/>
                <w:szCs w:val="24"/>
              </w:rPr>
              <w:t>AFTER</w:t>
            </w:r>
          </w:p>
        </w:tc>
        <w:tc>
          <w:tcPr>
            <w:tcW w:w="1235" w:type="pct"/>
            <w:tcBorders>
              <w:top w:val="nil"/>
              <w:left w:val="nil"/>
              <w:bottom w:val="nil"/>
              <w:right w:val="nil"/>
            </w:tcBorders>
            <w:shd w:val="clear" w:color="auto" w:fill="auto"/>
            <w:hideMark/>
          </w:tcPr>
          <w:p w14:paraId="5A706D2A"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-0.001</w:t>
            </w:r>
          </w:p>
        </w:tc>
        <w:tc>
          <w:tcPr>
            <w:tcW w:w="1236" w:type="pct"/>
            <w:tcBorders>
              <w:top w:val="nil"/>
              <w:left w:val="nil"/>
              <w:bottom w:val="nil"/>
              <w:right w:val="nil"/>
            </w:tcBorders>
            <w:shd w:val="clear" w:color="auto" w:fill="auto"/>
            <w:hideMark/>
          </w:tcPr>
          <w:p w14:paraId="2618D63A"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-0.002</w:t>
            </w:r>
          </w:p>
        </w:tc>
        <w:tc>
          <w:tcPr>
            <w:tcW w:w="1236" w:type="pct"/>
            <w:tcBorders>
              <w:top w:val="nil"/>
              <w:left w:val="nil"/>
              <w:bottom w:val="nil"/>
              <w:right w:val="nil"/>
            </w:tcBorders>
            <w:shd w:val="clear" w:color="auto" w:fill="auto"/>
            <w:hideMark/>
          </w:tcPr>
          <w:p w14:paraId="21DF2D1D" w14:textId="1DECE20E"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-0.002</w:t>
            </w:r>
          </w:p>
        </w:tc>
      </w:tr>
      <w:tr w:rsidR="00666BA4" w:rsidRPr="00D97714" w14:paraId="13D8FDC6" w14:textId="77777777" w:rsidTr="00A75A98">
        <w:trPr>
          <w:trHeight w:val="20"/>
        </w:trPr>
        <w:tc>
          <w:tcPr>
            <w:tcW w:w="1293" w:type="pct"/>
            <w:tcBorders>
              <w:top w:val="nil"/>
              <w:left w:val="nil"/>
              <w:bottom w:val="nil"/>
              <w:right w:val="nil"/>
            </w:tcBorders>
            <w:shd w:val="clear" w:color="auto" w:fill="auto"/>
            <w:hideMark/>
          </w:tcPr>
          <w:p w14:paraId="69C45B61" w14:textId="77777777" w:rsidR="00666BA4" w:rsidRPr="00D97714" w:rsidRDefault="00666BA4" w:rsidP="00666BA4">
            <w:pPr>
              <w:spacing w:after="0" w:line="240" w:lineRule="auto"/>
              <w:rPr>
                <w:rFonts w:ascii="Times New Roman" w:eastAsia="Times New Roman" w:hAnsi="Times New Roman" w:cs="Times New Roman"/>
                <w:bCs/>
                <w:color w:val="000000"/>
                <w:sz w:val="24"/>
                <w:szCs w:val="24"/>
              </w:rPr>
            </w:pPr>
          </w:p>
        </w:tc>
        <w:tc>
          <w:tcPr>
            <w:tcW w:w="1235" w:type="pct"/>
            <w:tcBorders>
              <w:top w:val="nil"/>
              <w:left w:val="nil"/>
              <w:bottom w:val="nil"/>
              <w:right w:val="nil"/>
            </w:tcBorders>
            <w:shd w:val="clear" w:color="auto" w:fill="auto"/>
            <w:hideMark/>
          </w:tcPr>
          <w:p w14:paraId="2CF274ED"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(-13.62***)</w:t>
            </w:r>
          </w:p>
        </w:tc>
        <w:tc>
          <w:tcPr>
            <w:tcW w:w="1236" w:type="pct"/>
            <w:tcBorders>
              <w:top w:val="nil"/>
              <w:left w:val="nil"/>
              <w:bottom w:val="nil"/>
              <w:right w:val="nil"/>
            </w:tcBorders>
            <w:shd w:val="clear" w:color="auto" w:fill="auto"/>
            <w:hideMark/>
          </w:tcPr>
          <w:p w14:paraId="6C7C7605"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(-2.15**)</w:t>
            </w:r>
          </w:p>
        </w:tc>
        <w:tc>
          <w:tcPr>
            <w:tcW w:w="1236" w:type="pct"/>
            <w:tcBorders>
              <w:top w:val="nil"/>
              <w:left w:val="nil"/>
              <w:bottom w:val="nil"/>
              <w:right w:val="nil"/>
            </w:tcBorders>
            <w:shd w:val="clear" w:color="auto" w:fill="auto"/>
            <w:hideMark/>
          </w:tcPr>
          <w:p w14:paraId="7DC89A6B" w14:textId="223D2D01"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(-1.41)</w:t>
            </w:r>
          </w:p>
        </w:tc>
      </w:tr>
      <w:tr w:rsidR="00666BA4" w:rsidRPr="00D97714" w14:paraId="448A9998" w14:textId="77777777" w:rsidTr="00A75A98">
        <w:trPr>
          <w:trHeight w:val="20"/>
        </w:trPr>
        <w:tc>
          <w:tcPr>
            <w:tcW w:w="1293" w:type="pct"/>
            <w:vMerge w:val="restart"/>
            <w:tcBorders>
              <w:top w:val="nil"/>
              <w:left w:val="nil"/>
              <w:right w:val="nil"/>
            </w:tcBorders>
            <w:shd w:val="clear" w:color="auto" w:fill="auto"/>
            <w:hideMark/>
          </w:tcPr>
          <w:p w14:paraId="068C54FF"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WIN</w:t>
            </w:r>
          </w:p>
        </w:tc>
        <w:tc>
          <w:tcPr>
            <w:tcW w:w="1235" w:type="pct"/>
            <w:tcBorders>
              <w:top w:val="nil"/>
              <w:left w:val="nil"/>
              <w:bottom w:val="nil"/>
              <w:right w:val="nil"/>
            </w:tcBorders>
            <w:shd w:val="clear" w:color="auto" w:fill="auto"/>
            <w:noWrap/>
            <w:hideMark/>
          </w:tcPr>
          <w:p w14:paraId="50A579BA" w14:textId="530A9FDF" w:rsidR="00666BA4" w:rsidRPr="00D97714" w:rsidRDefault="00C45FA5"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w:t>
            </w:r>
            <w:r w:rsidR="00666BA4" w:rsidRPr="00D97714">
              <w:rPr>
                <w:rFonts w:ascii="Times New Roman" w:eastAsia="Times New Roman" w:hAnsi="Times New Roman" w:cs="Times New Roman"/>
                <w:color w:val="000000"/>
                <w:sz w:val="24"/>
                <w:szCs w:val="24"/>
              </w:rPr>
              <w:t>0.001</w:t>
            </w:r>
          </w:p>
        </w:tc>
        <w:tc>
          <w:tcPr>
            <w:tcW w:w="1236" w:type="pct"/>
            <w:tcBorders>
              <w:top w:val="nil"/>
              <w:left w:val="nil"/>
              <w:bottom w:val="nil"/>
              <w:right w:val="nil"/>
            </w:tcBorders>
            <w:shd w:val="clear" w:color="auto" w:fill="auto"/>
            <w:noWrap/>
            <w:hideMark/>
          </w:tcPr>
          <w:p w14:paraId="773BAC29"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-0.001</w:t>
            </w:r>
          </w:p>
        </w:tc>
        <w:tc>
          <w:tcPr>
            <w:tcW w:w="1236" w:type="pct"/>
            <w:tcBorders>
              <w:top w:val="nil"/>
              <w:left w:val="nil"/>
              <w:bottom w:val="nil"/>
              <w:right w:val="nil"/>
            </w:tcBorders>
            <w:shd w:val="clear" w:color="auto" w:fill="auto"/>
            <w:noWrap/>
            <w:hideMark/>
          </w:tcPr>
          <w:p w14:paraId="474887B2" w14:textId="7763275C"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-0.001</w:t>
            </w:r>
          </w:p>
        </w:tc>
      </w:tr>
      <w:tr w:rsidR="00666BA4" w:rsidRPr="00D97714" w14:paraId="46519F53" w14:textId="77777777" w:rsidTr="00A75A98">
        <w:trPr>
          <w:trHeight w:val="20"/>
        </w:trPr>
        <w:tc>
          <w:tcPr>
            <w:tcW w:w="1293" w:type="pct"/>
            <w:vMerge/>
            <w:tcBorders>
              <w:left w:val="nil"/>
              <w:bottom w:val="nil"/>
              <w:right w:val="nil"/>
            </w:tcBorders>
            <w:shd w:val="clear" w:color="auto" w:fill="auto"/>
            <w:hideMark/>
          </w:tcPr>
          <w:p w14:paraId="14334592"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p>
        </w:tc>
        <w:tc>
          <w:tcPr>
            <w:tcW w:w="1235" w:type="pct"/>
            <w:tcBorders>
              <w:top w:val="nil"/>
              <w:left w:val="nil"/>
              <w:bottom w:val="nil"/>
              <w:right w:val="nil"/>
            </w:tcBorders>
            <w:shd w:val="clear" w:color="auto" w:fill="auto"/>
            <w:noWrap/>
            <w:hideMark/>
          </w:tcPr>
          <w:p w14:paraId="0E00B45B"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(-3.48***)</w:t>
            </w:r>
          </w:p>
        </w:tc>
        <w:tc>
          <w:tcPr>
            <w:tcW w:w="1236" w:type="pct"/>
            <w:tcBorders>
              <w:top w:val="nil"/>
              <w:left w:val="nil"/>
              <w:bottom w:val="nil"/>
              <w:right w:val="nil"/>
            </w:tcBorders>
            <w:shd w:val="clear" w:color="auto" w:fill="auto"/>
            <w:noWrap/>
            <w:hideMark/>
          </w:tcPr>
          <w:p w14:paraId="4C13B105"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(-9.68***)</w:t>
            </w:r>
          </w:p>
        </w:tc>
        <w:tc>
          <w:tcPr>
            <w:tcW w:w="1236" w:type="pct"/>
            <w:tcBorders>
              <w:top w:val="nil"/>
              <w:left w:val="nil"/>
              <w:bottom w:val="nil"/>
              <w:right w:val="nil"/>
            </w:tcBorders>
            <w:shd w:val="clear" w:color="auto" w:fill="auto"/>
            <w:noWrap/>
            <w:hideMark/>
          </w:tcPr>
          <w:p w14:paraId="2A7ADBDE" w14:textId="757D4556"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(-1.71*)</w:t>
            </w:r>
          </w:p>
        </w:tc>
      </w:tr>
      <w:tr w:rsidR="00666BA4" w:rsidRPr="00D97714" w14:paraId="26D7F890" w14:textId="77777777" w:rsidTr="00A75A98">
        <w:trPr>
          <w:trHeight w:val="20"/>
        </w:trPr>
        <w:tc>
          <w:tcPr>
            <w:tcW w:w="1293" w:type="pct"/>
            <w:vMerge w:val="restart"/>
            <w:tcBorders>
              <w:top w:val="nil"/>
              <w:left w:val="nil"/>
              <w:right w:val="nil"/>
            </w:tcBorders>
            <w:shd w:val="clear" w:color="auto" w:fill="auto"/>
            <w:hideMark/>
          </w:tcPr>
          <w:p w14:paraId="445A1E86"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CHANGE</w:t>
            </w:r>
          </w:p>
        </w:tc>
        <w:tc>
          <w:tcPr>
            <w:tcW w:w="1235" w:type="pct"/>
            <w:tcBorders>
              <w:top w:val="nil"/>
              <w:left w:val="nil"/>
              <w:bottom w:val="nil"/>
              <w:right w:val="nil"/>
            </w:tcBorders>
            <w:shd w:val="clear" w:color="auto" w:fill="auto"/>
            <w:hideMark/>
          </w:tcPr>
          <w:p w14:paraId="5051DFAF"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0.000</w:t>
            </w:r>
          </w:p>
        </w:tc>
        <w:tc>
          <w:tcPr>
            <w:tcW w:w="1236" w:type="pct"/>
            <w:tcBorders>
              <w:top w:val="nil"/>
              <w:left w:val="nil"/>
              <w:bottom w:val="nil"/>
              <w:right w:val="nil"/>
            </w:tcBorders>
            <w:shd w:val="clear" w:color="auto" w:fill="auto"/>
            <w:hideMark/>
          </w:tcPr>
          <w:p w14:paraId="6FFF10B7"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-0.001</w:t>
            </w:r>
          </w:p>
        </w:tc>
        <w:tc>
          <w:tcPr>
            <w:tcW w:w="1236" w:type="pct"/>
            <w:tcBorders>
              <w:top w:val="nil"/>
              <w:left w:val="nil"/>
              <w:bottom w:val="nil"/>
              <w:right w:val="nil"/>
            </w:tcBorders>
            <w:shd w:val="clear" w:color="auto" w:fill="auto"/>
            <w:hideMark/>
          </w:tcPr>
          <w:p w14:paraId="27313C03"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-0.001</w:t>
            </w:r>
          </w:p>
        </w:tc>
      </w:tr>
      <w:tr w:rsidR="00666BA4" w:rsidRPr="00D97714" w14:paraId="38ECE9C2" w14:textId="77777777" w:rsidTr="00A75A98">
        <w:trPr>
          <w:trHeight w:val="20"/>
        </w:trPr>
        <w:tc>
          <w:tcPr>
            <w:tcW w:w="1293" w:type="pct"/>
            <w:vMerge/>
            <w:tcBorders>
              <w:left w:val="nil"/>
              <w:bottom w:val="nil"/>
              <w:right w:val="nil"/>
            </w:tcBorders>
            <w:shd w:val="clear" w:color="auto" w:fill="auto"/>
            <w:hideMark/>
          </w:tcPr>
          <w:p w14:paraId="46676C00"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p>
        </w:tc>
        <w:tc>
          <w:tcPr>
            <w:tcW w:w="1235" w:type="pct"/>
            <w:tcBorders>
              <w:top w:val="nil"/>
              <w:left w:val="nil"/>
              <w:bottom w:val="nil"/>
              <w:right w:val="nil"/>
            </w:tcBorders>
            <w:shd w:val="clear" w:color="auto" w:fill="auto"/>
            <w:hideMark/>
          </w:tcPr>
          <w:p w14:paraId="08A724FA"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(.28)</w:t>
            </w:r>
          </w:p>
        </w:tc>
        <w:tc>
          <w:tcPr>
            <w:tcW w:w="1236" w:type="pct"/>
            <w:tcBorders>
              <w:top w:val="nil"/>
              <w:left w:val="nil"/>
              <w:bottom w:val="nil"/>
              <w:right w:val="nil"/>
            </w:tcBorders>
            <w:shd w:val="clear" w:color="auto" w:fill="auto"/>
            <w:hideMark/>
          </w:tcPr>
          <w:p w14:paraId="0F4250A8"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(-5.40***)</w:t>
            </w:r>
          </w:p>
        </w:tc>
        <w:tc>
          <w:tcPr>
            <w:tcW w:w="1236" w:type="pct"/>
            <w:tcBorders>
              <w:top w:val="nil"/>
              <w:left w:val="nil"/>
              <w:bottom w:val="nil"/>
              <w:right w:val="nil"/>
            </w:tcBorders>
            <w:shd w:val="clear" w:color="auto" w:fill="auto"/>
            <w:hideMark/>
          </w:tcPr>
          <w:p w14:paraId="7E1CFB98"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(-23.48***)</w:t>
            </w:r>
          </w:p>
        </w:tc>
      </w:tr>
      <w:tr w:rsidR="00666BA4" w:rsidRPr="00D97714" w14:paraId="1D67BE79" w14:textId="77777777" w:rsidTr="00A75A98">
        <w:trPr>
          <w:trHeight w:val="20"/>
        </w:trPr>
        <w:tc>
          <w:tcPr>
            <w:tcW w:w="1293" w:type="pct"/>
            <w:vMerge w:val="restart"/>
            <w:tcBorders>
              <w:top w:val="nil"/>
              <w:left w:val="nil"/>
              <w:right w:val="nil"/>
            </w:tcBorders>
            <w:shd w:val="clear" w:color="auto" w:fill="auto"/>
            <w:hideMark/>
          </w:tcPr>
          <w:p w14:paraId="73D094E9"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LN(MKCAP)</w:t>
            </w:r>
          </w:p>
        </w:tc>
        <w:tc>
          <w:tcPr>
            <w:tcW w:w="1235" w:type="pct"/>
            <w:tcBorders>
              <w:top w:val="nil"/>
              <w:left w:val="nil"/>
              <w:bottom w:val="nil"/>
              <w:right w:val="nil"/>
            </w:tcBorders>
            <w:shd w:val="clear" w:color="auto" w:fill="auto"/>
            <w:noWrap/>
            <w:hideMark/>
          </w:tcPr>
          <w:p w14:paraId="23ED9BE4"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-0.005</w:t>
            </w:r>
          </w:p>
        </w:tc>
        <w:tc>
          <w:tcPr>
            <w:tcW w:w="1236" w:type="pct"/>
            <w:tcBorders>
              <w:top w:val="nil"/>
              <w:left w:val="nil"/>
              <w:bottom w:val="nil"/>
              <w:right w:val="nil"/>
            </w:tcBorders>
            <w:shd w:val="clear" w:color="auto" w:fill="auto"/>
            <w:noWrap/>
            <w:hideMark/>
          </w:tcPr>
          <w:p w14:paraId="6D824D5F"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-0.005</w:t>
            </w:r>
          </w:p>
        </w:tc>
        <w:tc>
          <w:tcPr>
            <w:tcW w:w="1236" w:type="pct"/>
            <w:tcBorders>
              <w:top w:val="nil"/>
              <w:left w:val="nil"/>
              <w:bottom w:val="nil"/>
              <w:right w:val="nil"/>
            </w:tcBorders>
            <w:shd w:val="clear" w:color="auto" w:fill="auto"/>
            <w:noWrap/>
            <w:hideMark/>
          </w:tcPr>
          <w:p w14:paraId="3ADF23A8"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0.000</w:t>
            </w:r>
          </w:p>
        </w:tc>
      </w:tr>
      <w:tr w:rsidR="00666BA4" w:rsidRPr="00D97714" w14:paraId="359A97B5" w14:textId="77777777" w:rsidTr="00A75A98">
        <w:trPr>
          <w:trHeight w:val="20"/>
        </w:trPr>
        <w:tc>
          <w:tcPr>
            <w:tcW w:w="1293" w:type="pct"/>
            <w:vMerge/>
            <w:tcBorders>
              <w:left w:val="nil"/>
              <w:bottom w:val="nil"/>
              <w:right w:val="nil"/>
            </w:tcBorders>
            <w:shd w:val="clear" w:color="auto" w:fill="auto"/>
            <w:hideMark/>
          </w:tcPr>
          <w:p w14:paraId="3002E4A6"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p>
        </w:tc>
        <w:tc>
          <w:tcPr>
            <w:tcW w:w="1235" w:type="pct"/>
            <w:tcBorders>
              <w:top w:val="nil"/>
              <w:left w:val="nil"/>
              <w:bottom w:val="nil"/>
              <w:right w:val="nil"/>
            </w:tcBorders>
            <w:shd w:val="clear" w:color="auto" w:fill="auto"/>
            <w:noWrap/>
            <w:hideMark/>
          </w:tcPr>
          <w:p w14:paraId="7A0A9316"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(-141.20***)</w:t>
            </w:r>
          </w:p>
        </w:tc>
        <w:tc>
          <w:tcPr>
            <w:tcW w:w="1236" w:type="pct"/>
            <w:tcBorders>
              <w:top w:val="nil"/>
              <w:left w:val="nil"/>
              <w:bottom w:val="nil"/>
              <w:right w:val="nil"/>
            </w:tcBorders>
            <w:shd w:val="clear" w:color="auto" w:fill="auto"/>
            <w:noWrap/>
            <w:hideMark/>
          </w:tcPr>
          <w:p w14:paraId="02B9AA95"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(-167.34***)</w:t>
            </w:r>
          </w:p>
        </w:tc>
        <w:tc>
          <w:tcPr>
            <w:tcW w:w="1236" w:type="pct"/>
            <w:tcBorders>
              <w:top w:val="nil"/>
              <w:left w:val="nil"/>
              <w:bottom w:val="nil"/>
              <w:right w:val="nil"/>
            </w:tcBorders>
            <w:shd w:val="clear" w:color="auto" w:fill="auto"/>
            <w:noWrap/>
            <w:hideMark/>
          </w:tcPr>
          <w:p w14:paraId="27D1C5B6"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(2.51**)</w:t>
            </w:r>
          </w:p>
        </w:tc>
      </w:tr>
      <w:tr w:rsidR="00666BA4" w:rsidRPr="00D97714" w14:paraId="374FE6B5" w14:textId="77777777" w:rsidTr="00A75A98">
        <w:trPr>
          <w:trHeight w:val="20"/>
        </w:trPr>
        <w:tc>
          <w:tcPr>
            <w:tcW w:w="1293" w:type="pct"/>
            <w:vMerge w:val="restart"/>
            <w:tcBorders>
              <w:top w:val="nil"/>
              <w:left w:val="nil"/>
              <w:right w:val="nil"/>
            </w:tcBorders>
            <w:shd w:val="clear" w:color="auto" w:fill="auto"/>
            <w:hideMark/>
          </w:tcPr>
          <w:p w14:paraId="06BADB44"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IOPr</w:t>
            </w:r>
          </w:p>
        </w:tc>
        <w:tc>
          <w:tcPr>
            <w:tcW w:w="1235" w:type="pct"/>
            <w:tcBorders>
              <w:top w:val="nil"/>
              <w:left w:val="nil"/>
              <w:bottom w:val="nil"/>
              <w:right w:val="nil"/>
            </w:tcBorders>
            <w:shd w:val="clear" w:color="auto" w:fill="auto"/>
            <w:hideMark/>
          </w:tcPr>
          <w:p w14:paraId="497A7161"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0.002</w:t>
            </w:r>
          </w:p>
        </w:tc>
        <w:tc>
          <w:tcPr>
            <w:tcW w:w="1236" w:type="pct"/>
            <w:tcBorders>
              <w:top w:val="nil"/>
              <w:left w:val="nil"/>
              <w:bottom w:val="nil"/>
              <w:right w:val="nil"/>
            </w:tcBorders>
            <w:shd w:val="clear" w:color="auto" w:fill="auto"/>
            <w:hideMark/>
          </w:tcPr>
          <w:p w14:paraId="795C807C"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0.000</w:t>
            </w:r>
          </w:p>
        </w:tc>
        <w:tc>
          <w:tcPr>
            <w:tcW w:w="1236" w:type="pct"/>
            <w:tcBorders>
              <w:top w:val="nil"/>
              <w:left w:val="nil"/>
              <w:bottom w:val="nil"/>
              <w:right w:val="nil"/>
            </w:tcBorders>
            <w:shd w:val="clear" w:color="auto" w:fill="auto"/>
            <w:hideMark/>
          </w:tcPr>
          <w:p w14:paraId="6CBA049D"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-0.005</w:t>
            </w:r>
          </w:p>
        </w:tc>
      </w:tr>
      <w:tr w:rsidR="00666BA4" w:rsidRPr="00D97714" w14:paraId="188E735B" w14:textId="77777777" w:rsidTr="00A75A98">
        <w:trPr>
          <w:trHeight w:val="20"/>
        </w:trPr>
        <w:tc>
          <w:tcPr>
            <w:tcW w:w="1293" w:type="pct"/>
            <w:vMerge/>
            <w:tcBorders>
              <w:left w:val="nil"/>
              <w:bottom w:val="nil"/>
              <w:right w:val="nil"/>
            </w:tcBorders>
            <w:shd w:val="clear" w:color="auto" w:fill="auto"/>
            <w:hideMark/>
          </w:tcPr>
          <w:p w14:paraId="0F528858" w14:textId="77777777" w:rsidR="00666BA4" w:rsidRPr="00D97714" w:rsidRDefault="00666BA4" w:rsidP="00666BA4">
            <w:pPr>
              <w:spacing w:after="0" w:line="240" w:lineRule="auto"/>
              <w:rPr>
                <w:rFonts w:ascii="Times New Roman" w:eastAsia="Times New Roman" w:hAnsi="Times New Roman" w:cs="Times New Roman"/>
                <w:bCs/>
                <w:color w:val="000000"/>
                <w:sz w:val="24"/>
                <w:szCs w:val="24"/>
              </w:rPr>
            </w:pPr>
          </w:p>
        </w:tc>
        <w:tc>
          <w:tcPr>
            <w:tcW w:w="1235" w:type="pct"/>
            <w:tcBorders>
              <w:top w:val="nil"/>
              <w:left w:val="nil"/>
              <w:bottom w:val="nil"/>
              <w:right w:val="nil"/>
            </w:tcBorders>
            <w:shd w:val="clear" w:color="auto" w:fill="auto"/>
            <w:hideMark/>
          </w:tcPr>
          <w:p w14:paraId="6C456298"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(13.81***)</w:t>
            </w:r>
          </w:p>
        </w:tc>
        <w:tc>
          <w:tcPr>
            <w:tcW w:w="1236" w:type="pct"/>
            <w:tcBorders>
              <w:top w:val="nil"/>
              <w:left w:val="nil"/>
              <w:bottom w:val="nil"/>
              <w:right w:val="nil"/>
            </w:tcBorders>
            <w:shd w:val="clear" w:color="auto" w:fill="auto"/>
            <w:hideMark/>
          </w:tcPr>
          <w:p w14:paraId="3CE45E20"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(-1.59)</w:t>
            </w:r>
          </w:p>
        </w:tc>
        <w:tc>
          <w:tcPr>
            <w:tcW w:w="1236" w:type="pct"/>
            <w:tcBorders>
              <w:top w:val="nil"/>
              <w:left w:val="nil"/>
              <w:bottom w:val="nil"/>
              <w:right w:val="nil"/>
            </w:tcBorders>
            <w:shd w:val="clear" w:color="auto" w:fill="auto"/>
            <w:hideMark/>
          </w:tcPr>
          <w:p w14:paraId="1FFBC3AC"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(-17.40***)</w:t>
            </w:r>
          </w:p>
        </w:tc>
      </w:tr>
      <w:tr w:rsidR="00666BA4" w:rsidRPr="00D97714" w14:paraId="691F86CD" w14:textId="77777777" w:rsidTr="00A75A98">
        <w:trPr>
          <w:trHeight w:val="20"/>
        </w:trPr>
        <w:tc>
          <w:tcPr>
            <w:tcW w:w="1293" w:type="pct"/>
            <w:vMerge w:val="restart"/>
            <w:tcBorders>
              <w:top w:val="nil"/>
              <w:left w:val="nil"/>
              <w:right w:val="nil"/>
            </w:tcBorders>
            <w:shd w:val="clear" w:color="auto" w:fill="auto"/>
            <w:hideMark/>
          </w:tcPr>
          <w:p w14:paraId="2BEC23AE"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IOV</w:t>
            </w:r>
          </w:p>
        </w:tc>
        <w:tc>
          <w:tcPr>
            <w:tcW w:w="1235" w:type="pct"/>
            <w:tcBorders>
              <w:top w:val="nil"/>
              <w:left w:val="nil"/>
              <w:bottom w:val="nil"/>
              <w:right w:val="nil"/>
            </w:tcBorders>
            <w:shd w:val="clear" w:color="auto" w:fill="auto"/>
            <w:noWrap/>
            <w:hideMark/>
          </w:tcPr>
          <w:p w14:paraId="1D2197D7"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-0.182</w:t>
            </w:r>
          </w:p>
        </w:tc>
        <w:tc>
          <w:tcPr>
            <w:tcW w:w="1236" w:type="pct"/>
            <w:tcBorders>
              <w:top w:val="nil"/>
              <w:left w:val="nil"/>
              <w:bottom w:val="nil"/>
              <w:right w:val="nil"/>
            </w:tcBorders>
            <w:shd w:val="clear" w:color="auto" w:fill="auto"/>
            <w:noWrap/>
            <w:hideMark/>
          </w:tcPr>
          <w:p w14:paraId="2CCACD7A"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-0.023</w:t>
            </w:r>
          </w:p>
        </w:tc>
        <w:tc>
          <w:tcPr>
            <w:tcW w:w="1236" w:type="pct"/>
            <w:tcBorders>
              <w:top w:val="nil"/>
              <w:left w:val="nil"/>
              <w:bottom w:val="nil"/>
              <w:right w:val="nil"/>
            </w:tcBorders>
            <w:shd w:val="clear" w:color="auto" w:fill="auto"/>
            <w:noWrap/>
            <w:hideMark/>
          </w:tcPr>
          <w:p w14:paraId="7B3987E6"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-0.323</w:t>
            </w:r>
          </w:p>
        </w:tc>
      </w:tr>
      <w:tr w:rsidR="00666BA4" w:rsidRPr="00D97714" w14:paraId="419D6EED" w14:textId="77777777" w:rsidTr="00A75A98">
        <w:trPr>
          <w:trHeight w:val="20"/>
        </w:trPr>
        <w:tc>
          <w:tcPr>
            <w:tcW w:w="1293" w:type="pct"/>
            <w:vMerge/>
            <w:tcBorders>
              <w:left w:val="nil"/>
              <w:bottom w:val="nil"/>
              <w:right w:val="nil"/>
            </w:tcBorders>
            <w:shd w:val="clear" w:color="auto" w:fill="auto"/>
            <w:hideMark/>
          </w:tcPr>
          <w:p w14:paraId="7983573D" w14:textId="77777777" w:rsidR="00666BA4" w:rsidRPr="00D97714" w:rsidRDefault="00666BA4" w:rsidP="00666BA4">
            <w:pPr>
              <w:spacing w:after="0" w:line="240" w:lineRule="auto"/>
              <w:rPr>
                <w:rFonts w:ascii="Times New Roman" w:eastAsia="Times New Roman" w:hAnsi="Times New Roman" w:cs="Times New Roman"/>
                <w:bCs/>
                <w:color w:val="000000"/>
                <w:sz w:val="24"/>
                <w:szCs w:val="24"/>
              </w:rPr>
            </w:pPr>
          </w:p>
        </w:tc>
        <w:tc>
          <w:tcPr>
            <w:tcW w:w="1235" w:type="pct"/>
            <w:tcBorders>
              <w:top w:val="nil"/>
              <w:left w:val="nil"/>
              <w:bottom w:val="nil"/>
              <w:right w:val="nil"/>
            </w:tcBorders>
            <w:shd w:val="clear" w:color="auto" w:fill="auto"/>
            <w:noWrap/>
            <w:hideMark/>
          </w:tcPr>
          <w:p w14:paraId="3EB6A729"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(-6.18***)</w:t>
            </w:r>
          </w:p>
        </w:tc>
        <w:tc>
          <w:tcPr>
            <w:tcW w:w="1236" w:type="pct"/>
            <w:tcBorders>
              <w:top w:val="nil"/>
              <w:left w:val="nil"/>
              <w:bottom w:val="nil"/>
              <w:right w:val="nil"/>
            </w:tcBorders>
            <w:shd w:val="clear" w:color="auto" w:fill="auto"/>
            <w:noWrap/>
            <w:hideMark/>
          </w:tcPr>
          <w:p w14:paraId="0037AE3C"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(-1.02)</w:t>
            </w:r>
          </w:p>
        </w:tc>
        <w:tc>
          <w:tcPr>
            <w:tcW w:w="1236" w:type="pct"/>
            <w:tcBorders>
              <w:top w:val="nil"/>
              <w:left w:val="nil"/>
              <w:bottom w:val="nil"/>
              <w:right w:val="nil"/>
            </w:tcBorders>
            <w:shd w:val="clear" w:color="auto" w:fill="auto"/>
            <w:noWrap/>
            <w:hideMark/>
          </w:tcPr>
          <w:p w14:paraId="7323DB35"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(-15.47***)</w:t>
            </w:r>
          </w:p>
        </w:tc>
      </w:tr>
      <w:tr w:rsidR="00666BA4" w:rsidRPr="00D97714" w14:paraId="1CD3E34E" w14:textId="77777777" w:rsidTr="00A75A98">
        <w:trPr>
          <w:trHeight w:val="20"/>
        </w:trPr>
        <w:tc>
          <w:tcPr>
            <w:tcW w:w="1293" w:type="pct"/>
            <w:tcBorders>
              <w:top w:val="nil"/>
              <w:left w:val="nil"/>
              <w:right w:val="nil"/>
            </w:tcBorders>
            <w:shd w:val="clear" w:color="auto" w:fill="auto"/>
          </w:tcPr>
          <w:p w14:paraId="4FB546E6" w14:textId="77777777" w:rsidR="00666BA4" w:rsidRPr="00D97714" w:rsidRDefault="00666BA4" w:rsidP="00666BA4">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color w:val="000000"/>
                <w:sz w:val="24"/>
                <w:szCs w:val="24"/>
              </w:rPr>
              <w:t>CAPX</w:t>
            </w:r>
          </w:p>
        </w:tc>
        <w:tc>
          <w:tcPr>
            <w:tcW w:w="1235" w:type="pct"/>
            <w:tcBorders>
              <w:top w:val="nil"/>
              <w:left w:val="nil"/>
              <w:bottom w:val="nil"/>
              <w:right w:val="nil"/>
            </w:tcBorders>
            <w:shd w:val="clear" w:color="auto" w:fill="auto"/>
          </w:tcPr>
          <w:p w14:paraId="786DC65C"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0.002</w:t>
            </w:r>
          </w:p>
        </w:tc>
        <w:tc>
          <w:tcPr>
            <w:tcW w:w="1236" w:type="pct"/>
            <w:tcBorders>
              <w:top w:val="nil"/>
              <w:left w:val="nil"/>
              <w:bottom w:val="nil"/>
              <w:right w:val="nil"/>
            </w:tcBorders>
            <w:shd w:val="clear" w:color="auto" w:fill="auto"/>
          </w:tcPr>
          <w:p w14:paraId="265FAB56"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0.000</w:t>
            </w:r>
          </w:p>
        </w:tc>
        <w:tc>
          <w:tcPr>
            <w:tcW w:w="1236" w:type="pct"/>
            <w:tcBorders>
              <w:top w:val="nil"/>
              <w:left w:val="nil"/>
              <w:bottom w:val="nil"/>
              <w:right w:val="nil"/>
            </w:tcBorders>
            <w:shd w:val="clear" w:color="auto" w:fill="auto"/>
          </w:tcPr>
          <w:p w14:paraId="3F3CDC15"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0.006</w:t>
            </w:r>
          </w:p>
        </w:tc>
      </w:tr>
      <w:tr w:rsidR="00666BA4" w:rsidRPr="00D97714" w14:paraId="5E81762A" w14:textId="77777777" w:rsidTr="00A75A98">
        <w:trPr>
          <w:trHeight w:val="20"/>
        </w:trPr>
        <w:tc>
          <w:tcPr>
            <w:tcW w:w="1293" w:type="pct"/>
            <w:tcBorders>
              <w:left w:val="nil"/>
              <w:bottom w:val="nil"/>
              <w:right w:val="nil"/>
            </w:tcBorders>
            <w:shd w:val="clear" w:color="auto" w:fill="auto"/>
          </w:tcPr>
          <w:p w14:paraId="07C3DA5E" w14:textId="77777777" w:rsidR="00666BA4" w:rsidRPr="00D97714" w:rsidRDefault="00666BA4" w:rsidP="00666BA4">
            <w:pPr>
              <w:spacing w:after="0" w:line="240" w:lineRule="auto"/>
              <w:rPr>
                <w:rFonts w:ascii="Times New Roman" w:eastAsia="Times New Roman" w:hAnsi="Times New Roman" w:cs="Times New Roman"/>
                <w:bCs/>
                <w:color w:val="000000"/>
                <w:sz w:val="24"/>
                <w:szCs w:val="24"/>
              </w:rPr>
            </w:pPr>
          </w:p>
        </w:tc>
        <w:tc>
          <w:tcPr>
            <w:tcW w:w="1235" w:type="pct"/>
            <w:tcBorders>
              <w:top w:val="nil"/>
              <w:left w:val="nil"/>
              <w:bottom w:val="nil"/>
              <w:right w:val="nil"/>
            </w:tcBorders>
            <w:shd w:val="clear" w:color="auto" w:fill="auto"/>
          </w:tcPr>
          <w:p w14:paraId="7F9CF002"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(.94)</w:t>
            </w:r>
          </w:p>
        </w:tc>
        <w:tc>
          <w:tcPr>
            <w:tcW w:w="1236" w:type="pct"/>
            <w:tcBorders>
              <w:top w:val="nil"/>
              <w:left w:val="nil"/>
              <w:bottom w:val="nil"/>
              <w:right w:val="nil"/>
            </w:tcBorders>
            <w:shd w:val="clear" w:color="auto" w:fill="auto"/>
          </w:tcPr>
          <w:p w14:paraId="42B06ED8"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(.21)</w:t>
            </w:r>
          </w:p>
        </w:tc>
        <w:tc>
          <w:tcPr>
            <w:tcW w:w="1236" w:type="pct"/>
            <w:tcBorders>
              <w:top w:val="nil"/>
              <w:left w:val="nil"/>
              <w:bottom w:val="nil"/>
              <w:right w:val="nil"/>
            </w:tcBorders>
            <w:shd w:val="clear" w:color="auto" w:fill="auto"/>
          </w:tcPr>
          <w:p w14:paraId="05992086"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(8.17***)</w:t>
            </w:r>
          </w:p>
        </w:tc>
      </w:tr>
      <w:tr w:rsidR="00666BA4" w:rsidRPr="00D97714" w14:paraId="3989A18B" w14:textId="77777777" w:rsidTr="00A75A98">
        <w:trPr>
          <w:trHeight w:val="20"/>
        </w:trPr>
        <w:tc>
          <w:tcPr>
            <w:tcW w:w="1293" w:type="pct"/>
            <w:vMerge w:val="restart"/>
            <w:tcBorders>
              <w:top w:val="nil"/>
              <w:left w:val="nil"/>
              <w:right w:val="nil"/>
            </w:tcBorders>
            <w:shd w:val="clear" w:color="auto" w:fill="auto"/>
            <w:hideMark/>
          </w:tcPr>
          <w:p w14:paraId="279F2005" w14:textId="77777777" w:rsidR="00666BA4" w:rsidRPr="00D97714" w:rsidRDefault="00666BA4" w:rsidP="00666BA4">
            <w:pPr>
              <w:spacing w:after="0" w:line="240" w:lineRule="auto"/>
              <w:rPr>
                <w:rFonts w:ascii="Times New Roman" w:eastAsia="Times New Roman" w:hAnsi="Times New Roman" w:cs="Times New Roman"/>
                <w:bCs/>
                <w:color w:val="000000"/>
                <w:sz w:val="24"/>
                <w:szCs w:val="24"/>
              </w:rPr>
            </w:pPr>
            <w:r w:rsidRPr="00D97714">
              <w:rPr>
                <w:rFonts w:ascii="Times New Roman" w:eastAsia="Times New Roman" w:hAnsi="Times New Roman" w:cs="Times New Roman"/>
                <w:color w:val="000000"/>
                <w:sz w:val="24"/>
                <w:szCs w:val="24"/>
              </w:rPr>
              <w:t>DEBT</w:t>
            </w:r>
          </w:p>
        </w:tc>
        <w:tc>
          <w:tcPr>
            <w:tcW w:w="1235" w:type="pct"/>
            <w:tcBorders>
              <w:top w:val="nil"/>
              <w:left w:val="nil"/>
              <w:bottom w:val="nil"/>
              <w:right w:val="nil"/>
            </w:tcBorders>
            <w:shd w:val="clear" w:color="auto" w:fill="auto"/>
            <w:hideMark/>
          </w:tcPr>
          <w:p w14:paraId="1E9C35D6"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0.006</w:t>
            </w:r>
          </w:p>
        </w:tc>
        <w:tc>
          <w:tcPr>
            <w:tcW w:w="1236" w:type="pct"/>
            <w:tcBorders>
              <w:top w:val="nil"/>
              <w:left w:val="nil"/>
              <w:bottom w:val="nil"/>
              <w:right w:val="nil"/>
            </w:tcBorders>
            <w:shd w:val="clear" w:color="auto" w:fill="auto"/>
            <w:hideMark/>
          </w:tcPr>
          <w:p w14:paraId="69CA1A4C"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0.006</w:t>
            </w:r>
          </w:p>
        </w:tc>
        <w:tc>
          <w:tcPr>
            <w:tcW w:w="1236" w:type="pct"/>
            <w:tcBorders>
              <w:top w:val="nil"/>
              <w:left w:val="nil"/>
              <w:bottom w:val="nil"/>
              <w:right w:val="nil"/>
            </w:tcBorders>
            <w:shd w:val="clear" w:color="auto" w:fill="auto"/>
            <w:hideMark/>
          </w:tcPr>
          <w:p w14:paraId="095FC15C"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0.001</w:t>
            </w:r>
          </w:p>
        </w:tc>
      </w:tr>
      <w:tr w:rsidR="00666BA4" w:rsidRPr="00D97714" w14:paraId="761D6947" w14:textId="77777777" w:rsidTr="00A75A98">
        <w:trPr>
          <w:trHeight w:val="20"/>
        </w:trPr>
        <w:tc>
          <w:tcPr>
            <w:tcW w:w="1293" w:type="pct"/>
            <w:vMerge/>
            <w:tcBorders>
              <w:left w:val="nil"/>
              <w:bottom w:val="nil"/>
              <w:right w:val="nil"/>
            </w:tcBorders>
            <w:shd w:val="clear" w:color="auto" w:fill="auto"/>
            <w:vAlign w:val="bottom"/>
            <w:hideMark/>
          </w:tcPr>
          <w:p w14:paraId="70071108" w14:textId="77777777" w:rsidR="00666BA4" w:rsidRPr="00D97714" w:rsidRDefault="00666BA4" w:rsidP="00666BA4">
            <w:pPr>
              <w:spacing w:after="0" w:line="240" w:lineRule="auto"/>
              <w:rPr>
                <w:rFonts w:ascii="Times New Roman" w:eastAsia="Times New Roman" w:hAnsi="Times New Roman" w:cs="Times New Roman"/>
                <w:bCs/>
                <w:color w:val="000000"/>
                <w:sz w:val="24"/>
                <w:szCs w:val="24"/>
              </w:rPr>
            </w:pPr>
          </w:p>
        </w:tc>
        <w:tc>
          <w:tcPr>
            <w:tcW w:w="1235" w:type="pct"/>
            <w:tcBorders>
              <w:top w:val="nil"/>
              <w:left w:val="nil"/>
              <w:bottom w:val="nil"/>
              <w:right w:val="nil"/>
            </w:tcBorders>
            <w:shd w:val="clear" w:color="auto" w:fill="auto"/>
            <w:hideMark/>
          </w:tcPr>
          <w:p w14:paraId="5A25614E"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(4.52***)</w:t>
            </w:r>
          </w:p>
        </w:tc>
        <w:tc>
          <w:tcPr>
            <w:tcW w:w="1236" w:type="pct"/>
            <w:tcBorders>
              <w:top w:val="nil"/>
              <w:left w:val="nil"/>
              <w:bottom w:val="nil"/>
              <w:right w:val="nil"/>
            </w:tcBorders>
            <w:shd w:val="clear" w:color="auto" w:fill="auto"/>
            <w:hideMark/>
          </w:tcPr>
          <w:p w14:paraId="6712E1D9"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(4.57***)</w:t>
            </w:r>
          </w:p>
        </w:tc>
        <w:tc>
          <w:tcPr>
            <w:tcW w:w="1236" w:type="pct"/>
            <w:tcBorders>
              <w:top w:val="nil"/>
              <w:left w:val="nil"/>
              <w:bottom w:val="nil"/>
              <w:right w:val="nil"/>
            </w:tcBorders>
            <w:shd w:val="clear" w:color="auto" w:fill="auto"/>
            <w:hideMark/>
          </w:tcPr>
          <w:p w14:paraId="5A6F2CFA"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(3.74***)</w:t>
            </w:r>
          </w:p>
        </w:tc>
      </w:tr>
      <w:tr w:rsidR="00666BA4" w:rsidRPr="00D97714" w14:paraId="473DDFB9" w14:textId="77777777" w:rsidTr="00A75A98">
        <w:trPr>
          <w:trHeight w:val="20"/>
        </w:trPr>
        <w:tc>
          <w:tcPr>
            <w:tcW w:w="1293" w:type="pct"/>
            <w:tcBorders>
              <w:top w:val="nil"/>
              <w:left w:val="nil"/>
              <w:bottom w:val="nil"/>
              <w:right w:val="nil"/>
            </w:tcBorders>
            <w:shd w:val="clear" w:color="auto" w:fill="auto"/>
            <w:noWrap/>
            <w:vAlign w:val="bottom"/>
            <w:hideMark/>
          </w:tcPr>
          <w:p w14:paraId="615CCFAA" w14:textId="77777777" w:rsidR="00666BA4" w:rsidRPr="00D97714" w:rsidRDefault="00666BA4" w:rsidP="00666BA4">
            <w:pPr>
              <w:spacing w:after="0" w:line="240" w:lineRule="auto"/>
              <w:rPr>
                <w:rFonts w:ascii="Times New Roman" w:eastAsia="Times New Roman" w:hAnsi="Times New Roman" w:cs="Times New Roman"/>
                <w:sz w:val="24"/>
                <w:szCs w:val="24"/>
              </w:rPr>
            </w:pPr>
          </w:p>
        </w:tc>
        <w:tc>
          <w:tcPr>
            <w:tcW w:w="1235" w:type="pct"/>
            <w:tcBorders>
              <w:top w:val="nil"/>
              <w:left w:val="nil"/>
              <w:bottom w:val="nil"/>
              <w:right w:val="nil"/>
            </w:tcBorders>
            <w:shd w:val="clear" w:color="auto" w:fill="auto"/>
            <w:noWrap/>
            <w:vAlign w:val="bottom"/>
            <w:hideMark/>
          </w:tcPr>
          <w:p w14:paraId="409784CD" w14:textId="77777777" w:rsidR="00666BA4" w:rsidRPr="00D97714" w:rsidRDefault="00666BA4" w:rsidP="00666BA4">
            <w:pPr>
              <w:spacing w:after="0" w:line="240" w:lineRule="auto"/>
              <w:rPr>
                <w:rFonts w:ascii="Times New Roman" w:eastAsia="Times New Roman" w:hAnsi="Times New Roman" w:cs="Times New Roman"/>
                <w:sz w:val="24"/>
                <w:szCs w:val="24"/>
              </w:rPr>
            </w:pPr>
          </w:p>
        </w:tc>
        <w:tc>
          <w:tcPr>
            <w:tcW w:w="1236" w:type="pct"/>
            <w:tcBorders>
              <w:top w:val="nil"/>
              <w:left w:val="nil"/>
              <w:bottom w:val="nil"/>
              <w:right w:val="nil"/>
            </w:tcBorders>
            <w:shd w:val="clear" w:color="auto" w:fill="auto"/>
            <w:noWrap/>
            <w:vAlign w:val="bottom"/>
            <w:hideMark/>
          </w:tcPr>
          <w:p w14:paraId="0FCE705C" w14:textId="77777777" w:rsidR="00666BA4" w:rsidRPr="00D97714" w:rsidRDefault="00666BA4" w:rsidP="00666BA4">
            <w:pPr>
              <w:spacing w:after="0" w:line="240" w:lineRule="auto"/>
              <w:rPr>
                <w:rFonts w:ascii="Times New Roman" w:eastAsia="Times New Roman" w:hAnsi="Times New Roman" w:cs="Times New Roman"/>
                <w:sz w:val="24"/>
                <w:szCs w:val="24"/>
              </w:rPr>
            </w:pPr>
          </w:p>
        </w:tc>
        <w:tc>
          <w:tcPr>
            <w:tcW w:w="1236" w:type="pct"/>
            <w:tcBorders>
              <w:top w:val="nil"/>
              <w:left w:val="nil"/>
              <w:bottom w:val="nil"/>
              <w:right w:val="nil"/>
            </w:tcBorders>
            <w:shd w:val="clear" w:color="auto" w:fill="auto"/>
            <w:noWrap/>
            <w:vAlign w:val="bottom"/>
            <w:hideMark/>
          </w:tcPr>
          <w:p w14:paraId="7DB942A0" w14:textId="77777777" w:rsidR="00666BA4" w:rsidRPr="00D97714" w:rsidRDefault="00666BA4" w:rsidP="00666BA4">
            <w:pPr>
              <w:spacing w:after="0" w:line="240" w:lineRule="auto"/>
              <w:rPr>
                <w:rFonts w:ascii="Times New Roman" w:eastAsia="Times New Roman" w:hAnsi="Times New Roman" w:cs="Times New Roman"/>
                <w:sz w:val="24"/>
                <w:szCs w:val="24"/>
              </w:rPr>
            </w:pPr>
          </w:p>
        </w:tc>
      </w:tr>
      <w:tr w:rsidR="00666BA4" w:rsidRPr="00D97714" w14:paraId="7065D75E" w14:textId="77777777" w:rsidTr="00A75A98">
        <w:trPr>
          <w:trHeight w:val="20"/>
        </w:trPr>
        <w:tc>
          <w:tcPr>
            <w:tcW w:w="1293" w:type="pct"/>
            <w:tcBorders>
              <w:top w:val="nil"/>
              <w:left w:val="nil"/>
              <w:bottom w:val="nil"/>
              <w:right w:val="nil"/>
            </w:tcBorders>
            <w:shd w:val="clear" w:color="auto" w:fill="auto"/>
            <w:noWrap/>
            <w:vAlign w:val="bottom"/>
            <w:hideMark/>
          </w:tcPr>
          <w:p w14:paraId="2BBC8FC1"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F-stat</w:t>
            </w:r>
          </w:p>
        </w:tc>
        <w:tc>
          <w:tcPr>
            <w:tcW w:w="1235" w:type="pct"/>
            <w:tcBorders>
              <w:top w:val="nil"/>
              <w:left w:val="nil"/>
              <w:bottom w:val="nil"/>
              <w:right w:val="nil"/>
            </w:tcBorders>
            <w:shd w:val="clear" w:color="auto" w:fill="auto"/>
            <w:noWrap/>
            <w:vAlign w:val="bottom"/>
            <w:hideMark/>
          </w:tcPr>
          <w:p w14:paraId="7BE3A6E4"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5249.22***</w:t>
            </w:r>
          </w:p>
        </w:tc>
        <w:tc>
          <w:tcPr>
            <w:tcW w:w="1236" w:type="pct"/>
            <w:tcBorders>
              <w:top w:val="nil"/>
              <w:left w:val="nil"/>
              <w:bottom w:val="nil"/>
              <w:right w:val="nil"/>
            </w:tcBorders>
            <w:shd w:val="clear" w:color="auto" w:fill="auto"/>
            <w:noWrap/>
            <w:vAlign w:val="bottom"/>
            <w:hideMark/>
          </w:tcPr>
          <w:p w14:paraId="6786797A"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5432.36***</w:t>
            </w:r>
          </w:p>
        </w:tc>
        <w:tc>
          <w:tcPr>
            <w:tcW w:w="1236" w:type="pct"/>
            <w:tcBorders>
              <w:top w:val="nil"/>
              <w:left w:val="nil"/>
              <w:bottom w:val="nil"/>
              <w:right w:val="nil"/>
            </w:tcBorders>
            <w:shd w:val="clear" w:color="auto" w:fill="auto"/>
            <w:noWrap/>
            <w:vAlign w:val="bottom"/>
            <w:hideMark/>
          </w:tcPr>
          <w:p w14:paraId="2CEF38E1"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5515.47***</w:t>
            </w:r>
          </w:p>
        </w:tc>
      </w:tr>
      <w:tr w:rsidR="00666BA4" w:rsidRPr="00D97714" w14:paraId="6410B108" w14:textId="77777777" w:rsidTr="00A75A98">
        <w:trPr>
          <w:trHeight w:val="20"/>
        </w:trPr>
        <w:tc>
          <w:tcPr>
            <w:tcW w:w="1293" w:type="pct"/>
            <w:tcBorders>
              <w:top w:val="nil"/>
              <w:left w:val="nil"/>
              <w:bottom w:val="nil"/>
              <w:right w:val="nil"/>
            </w:tcBorders>
            <w:shd w:val="clear" w:color="auto" w:fill="auto"/>
            <w:noWrap/>
            <w:vAlign w:val="bottom"/>
            <w:hideMark/>
          </w:tcPr>
          <w:p w14:paraId="0E0423DE"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Adj. R-squared</w:t>
            </w:r>
          </w:p>
        </w:tc>
        <w:tc>
          <w:tcPr>
            <w:tcW w:w="1235" w:type="pct"/>
            <w:tcBorders>
              <w:top w:val="nil"/>
              <w:left w:val="nil"/>
              <w:bottom w:val="nil"/>
              <w:right w:val="nil"/>
            </w:tcBorders>
            <w:shd w:val="clear" w:color="auto" w:fill="auto"/>
            <w:noWrap/>
            <w:vAlign w:val="bottom"/>
            <w:hideMark/>
          </w:tcPr>
          <w:p w14:paraId="4FE0B2B8"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0.332</w:t>
            </w:r>
          </w:p>
        </w:tc>
        <w:tc>
          <w:tcPr>
            <w:tcW w:w="1236" w:type="pct"/>
            <w:tcBorders>
              <w:top w:val="nil"/>
              <w:left w:val="nil"/>
              <w:bottom w:val="nil"/>
              <w:right w:val="nil"/>
            </w:tcBorders>
            <w:shd w:val="clear" w:color="auto" w:fill="auto"/>
            <w:noWrap/>
            <w:vAlign w:val="bottom"/>
            <w:hideMark/>
          </w:tcPr>
          <w:p w14:paraId="7A352A16"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0.382</w:t>
            </w:r>
          </w:p>
        </w:tc>
        <w:tc>
          <w:tcPr>
            <w:tcW w:w="1236" w:type="pct"/>
            <w:tcBorders>
              <w:top w:val="nil"/>
              <w:left w:val="nil"/>
              <w:bottom w:val="nil"/>
              <w:right w:val="nil"/>
            </w:tcBorders>
            <w:shd w:val="clear" w:color="auto" w:fill="auto"/>
            <w:noWrap/>
            <w:vAlign w:val="bottom"/>
            <w:hideMark/>
          </w:tcPr>
          <w:p w14:paraId="649C87C0"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0.2726</w:t>
            </w:r>
          </w:p>
        </w:tc>
      </w:tr>
      <w:tr w:rsidR="00666BA4" w:rsidRPr="00D97714" w14:paraId="48568A83" w14:textId="77777777" w:rsidTr="00A75A98">
        <w:trPr>
          <w:trHeight w:val="20"/>
        </w:trPr>
        <w:tc>
          <w:tcPr>
            <w:tcW w:w="1293" w:type="pct"/>
            <w:tcBorders>
              <w:top w:val="nil"/>
              <w:left w:val="nil"/>
              <w:bottom w:val="nil"/>
              <w:right w:val="nil"/>
            </w:tcBorders>
            <w:shd w:val="clear" w:color="auto" w:fill="auto"/>
            <w:noWrap/>
            <w:vAlign w:val="bottom"/>
            <w:hideMark/>
          </w:tcPr>
          <w:p w14:paraId="6F646967"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Year fixed effects</w:t>
            </w:r>
          </w:p>
        </w:tc>
        <w:tc>
          <w:tcPr>
            <w:tcW w:w="1235" w:type="pct"/>
            <w:tcBorders>
              <w:top w:val="nil"/>
              <w:left w:val="nil"/>
              <w:bottom w:val="nil"/>
              <w:right w:val="nil"/>
            </w:tcBorders>
            <w:shd w:val="clear" w:color="auto" w:fill="auto"/>
            <w:noWrap/>
            <w:vAlign w:val="bottom"/>
            <w:hideMark/>
          </w:tcPr>
          <w:p w14:paraId="7A2C8B07"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c>
          <w:tcPr>
            <w:tcW w:w="1236" w:type="pct"/>
            <w:tcBorders>
              <w:top w:val="nil"/>
              <w:left w:val="nil"/>
              <w:bottom w:val="nil"/>
              <w:right w:val="nil"/>
            </w:tcBorders>
            <w:shd w:val="clear" w:color="auto" w:fill="auto"/>
            <w:noWrap/>
            <w:vAlign w:val="bottom"/>
            <w:hideMark/>
          </w:tcPr>
          <w:p w14:paraId="19DE7A11"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c>
          <w:tcPr>
            <w:tcW w:w="1236" w:type="pct"/>
            <w:tcBorders>
              <w:top w:val="nil"/>
              <w:left w:val="nil"/>
              <w:bottom w:val="nil"/>
              <w:right w:val="nil"/>
            </w:tcBorders>
            <w:shd w:val="clear" w:color="auto" w:fill="auto"/>
            <w:noWrap/>
            <w:vAlign w:val="bottom"/>
            <w:hideMark/>
          </w:tcPr>
          <w:p w14:paraId="06FD8EA8"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r>
      <w:tr w:rsidR="00666BA4" w:rsidRPr="00D97714" w14:paraId="6575CB3F" w14:textId="77777777" w:rsidTr="00A75A98">
        <w:trPr>
          <w:trHeight w:val="20"/>
        </w:trPr>
        <w:tc>
          <w:tcPr>
            <w:tcW w:w="1293" w:type="pct"/>
            <w:tcBorders>
              <w:top w:val="nil"/>
              <w:left w:val="nil"/>
              <w:right w:val="nil"/>
            </w:tcBorders>
            <w:shd w:val="clear" w:color="auto" w:fill="auto"/>
            <w:noWrap/>
            <w:vAlign w:val="bottom"/>
            <w:hideMark/>
          </w:tcPr>
          <w:p w14:paraId="3B0CA85E"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Firm clustered std err</w:t>
            </w:r>
          </w:p>
        </w:tc>
        <w:tc>
          <w:tcPr>
            <w:tcW w:w="1235" w:type="pct"/>
            <w:tcBorders>
              <w:top w:val="nil"/>
              <w:left w:val="nil"/>
              <w:right w:val="nil"/>
            </w:tcBorders>
            <w:shd w:val="clear" w:color="auto" w:fill="auto"/>
            <w:noWrap/>
            <w:vAlign w:val="bottom"/>
            <w:hideMark/>
          </w:tcPr>
          <w:p w14:paraId="6FA403C0"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c>
          <w:tcPr>
            <w:tcW w:w="1236" w:type="pct"/>
            <w:tcBorders>
              <w:top w:val="nil"/>
              <w:left w:val="nil"/>
              <w:right w:val="nil"/>
            </w:tcBorders>
            <w:shd w:val="clear" w:color="auto" w:fill="auto"/>
            <w:noWrap/>
            <w:vAlign w:val="bottom"/>
            <w:hideMark/>
          </w:tcPr>
          <w:p w14:paraId="0230C248"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c>
          <w:tcPr>
            <w:tcW w:w="1236" w:type="pct"/>
            <w:tcBorders>
              <w:top w:val="nil"/>
              <w:left w:val="nil"/>
              <w:right w:val="nil"/>
            </w:tcBorders>
            <w:shd w:val="clear" w:color="auto" w:fill="auto"/>
            <w:noWrap/>
            <w:vAlign w:val="bottom"/>
            <w:hideMark/>
          </w:tcPr>
          <w:p w14:paraId="2399FC6E"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Yes</w:t>
            </w:r>
          </w:p>
        </w:tc>
      </w:tr>
      <w:tr w:rsidR="00666BA4" w:rsidRPr="00D97714" w14:paraId="24929146" w14:textId="77777777" w:rsidTr="00A75A98">
        <w:trPr>
          <w:trHeight w:val="20"/>
        </w:trPr>
        <w:tc>
          <w:tcPr>
            <w:tcW w:w="1293" w:type="pct"/>
            <w:tcBorders>
              <w:top w:val="nil"/>
              <w:left w:val="nil"/>
              <w:bottom w:val="single" w:sz="4" w:space="0" w:color="auto"/>
              <w:right w:val="nil"/>
            </w:tcBorders>
            <w:shd w:val="clear" w:color="auto" w:fill="auto"/>
            <w:noWrap/>
            <w:vAlign w:val="bottom"/>
            <w:hideMark/>
          </w:tcPr>
          <w:p w14:paraId="73032512"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N</w:t>
            </w:r>
          </w:p>
        </w:tc>
        <w:tc>
          <w:tcPr>
            <w:tcW w:w="1235" w:type="pct"/>
            <w:tcBorders>
              <w:top w:val="nil"/>
              <w:left w:val="nil"/>
              <w:bottom w:val="single" w:sz="4" w:space="0" w:color="auto"/>
              <w:right w:val="nil"/>
            </w:tcBorders>
            <w:shd w:val="clear" w:color="auto" w:fill="auto"/>
            <w:noWrap/>
            <w:vAlign w:val="bottom"/>
            <w:hideMark/>
          </w:tcPr>
          <w:p w14:paraId="5AB22709"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282,710</w:t>
            </w:r>
          </w:p>
        </w:tc>
        <w:tc>
          <w:tcPr>
            <w:tcW w:w="1236" w:type="pct"/>
            <w:tcBorders>
              <w:top w:val="nil"/>
              <w:left w:val="nil"/>
              <w:bottom w:val="single" w:sz="4" w:space="0" w:color="auto"/>
              <w:right w:val="nil"/>
            </w:tcBorders>
            <w:shd w:val="clear" w:color="auto" w:fill="auto"/>
            <w:noWrap/>
            <w:vAlign w:val="bottom"/>
            <w:hideMark/>
          </w:tcPr>
          <w:p w14:paraId="7F907C14"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282,710</w:t>
            </w:r>
          </w:p>
        </w:tc>
        <w:tc>
          <w:tcPr>
            <w:tcW w:w="1236" w:type="pct"/>
            <w:tcBorders>
              <w:top w:val="nil"/>
              <w:left w:val="nil"/>
              <w:bottom w:val="single" w:sz="4" w:space="0" w:color="auto"/>
              <w:right w:val="nil"/>
            </w:tcBorders>
            <w:shd w:val="clear" w:color="auto" w:fill="auto"/>
            <w:noWrap/>
            <w:vAlign w:val="bottom"/>
            <w:hideMark/>
          </w:tcPr>
          <w:p w14:paraId="64F4F61D" w14:textId="77777777" w:rsidR="00666BA4" w:rsidRPr="00D97714" w:rsidRDefault="00666BA4" w:rsidP="00666BA4">
            <w:pPr>
              <w:spacing w:after="0" w:line="240" w:lineRule="auto"/>
              <w:rPr>
                <w:rFonts w:ascii="Times New Roman" w:eastAsia="Times New Roman" w:hAnsi="Times New Roman" w:cs="Times New Roman"/>
                <w:color w:val="000000"/>
                <w:sz w:val="24"/>
                <w:szCs w:val="24"/>
              </w:rPr>
            </w:pPr>
            <w:r w:rsidRPr="00D97714">
              <w:rPr>
                <w:rFonts w:ascii="Times New Roman" w:eastAsia="Times New Roman" w:hAnsi="Times New Roman" w:cs="Times New Roman"/>
                <w:color w:val="000000"/>
                <w:sz w:val="24"/>
                <w:szCs w:val="24"/>
              </w:rPr>
              <w:t>282,710</w:t>
            </w:r>
          </w:p>
        </w:tc>
      </w:tr>
    </w:tbl>
    <w:p w14:paraId="25DC02FF" w14:textId="1BC9A86A" w:rsidR="00A75A98" w:rsidRPr="00D97714" w:rsidRDefault="00A75A98" w:rsidP="00A75A98">
      <w:pPr>
        <w:spacing w:line="240" w:lineRule="auto"/>
        <w:rPr>
          <w:rFonts w:ascii="Times New Roman" w:hAnsi="Times New Roman" w:cs="Times New Roman"/>
          <w:sz w:val="24"/>
          <w:szCs w:val="24"/>
        </w:rPr>
      </w:pPr>
      <w:r w:rsidRPr="00D97714">
        <w:rPr>
          <w:rFonts w:ascii="Times New Roman" w:hAnsi="Times New Roman" w:cs="Times New Roman"/>
          <w:sz w:val="24"/>
          <w:szCs w:val="24"/>
        </w:rPr>
        <w:t>We report the results from the cross-sectional analyses of total risk, idiosyncratic risk and systematic risk of individual non-target matching firms. Total risk is measured as the standard deviation of the daily returns of matching firms in the (-252,-31) day and (+31,+252) day windows relative to the announcement date of the activism event, alternatively. Idiosyncratic risk and systematic risk are measured as the standard deviations of the residuals and the predicted values from the Fama-French 3-factor model (R</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 xml:space="preserve"> = α</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 xml:space="preserve"> + β</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 xml:space="preserve"> R</w:t>
      </w:r>
      <w:r w:rsidRPr="00D97714">
        <w:rPr>
          <w:rFonts w:ascii="Times New Roman" w:hAnsi="Times New Roman" w:cs="Times New Roman"/>
          <w:sz w:val="24"/>
          <w:szCs w:val="24"/>
          <w:vertAlign w:val="subscript"/>
        </w:rPr>
        <w:t>mt</w:t>
      </w:r>
      <w:r w:rsidRPr="00D97714">
        <w:rPr>
          <w:rFonts w:ascii="Times New Roman" w:hAnsi="Times New Roman" w:cs="Times New Roman"/>
          <w:sz w:val="24"/>
          <w:szCs w:val="24"/>
        </w:rPr>
        <w:t xml:space="preserve"> + ɤ</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 xml:space="preserve"> SMB</w:t>
      </w:r>
      <w:r w:rsidRPr="00D97714">
        <w:rPr>
          <w:rFonts w:ascii="Times New Roman" w:hAnsi="Times New Roman" w:cs="Times New Roman"/>
          <w:sz w:val="24"/>
          <w:szCs w:val="24"/>
          <w:vertAlign w:val="subscript"/>
        </w:rPr>
        <w:t>t</w:t>
      </w:r>
      <w:r w:rsidRPr="00D97714">
        <w:rPr>
          <w:rFonts w:ascii="Times New Roman" w:hAnsi="Times New Roman" w:cs="Times New Roman"/>
          <w:sz w:val="24"/>
          <w:szCs w:val="24"/>
        </w:rPr>
        <w:t xml:space="preserve"> + ɸ</w:t>
      </w:r>
      <w:r w:rsidRPr="00D97714">
        <w:rPr>
          <w:rFonts w:ascii="Times New Roman" w:hAnsi="Times New Roman" w:cs="Times New Roman"/>
          <w:sz w:val="24"/>
          <w:szCs w:val="24"/>
          <w:vertAlign w:val="subscript"/>
        </w:rPr>
        <w:t>i</w:t>
      </w:r>
      <w:r w:rsidRPr="00D97714">
        <w:rPr>
          <w:rFonts w:ascii="Times New Roman" w:hAnsi="Times New Roman" w:cs="Times New Roman"/>
          <w:sz w:val="24"/>
          <w:szCs w:val="24"/>
        </w:rPr>
        <w:t xml:space="preserve"> HML</w:t>
      </w:r>
      <w:r w:rsidRPr="00D97714">
        <w:rPr>
          <w:rFonts w:ascii="Times New Roman" w:hAnsi="Times New Roman" w:cs="Times New Roman"/>
          <w:sz w:val="24"/>
          <w:szCs w:val="24"/>
          <w:vertAlign w:val="subscript"/>
        </w:rPr>
        <w:t>t</w:t>
      </w:r>
      <w:r w:rsidRPr="00D97714">
        <w:rPr>
          <w:rFonts w:ascii="Times New Roman" w:hAnsi="Times New Roman" w:cs="Times New Roman"/>
          <w:sz w:val="24"/>
          <w:szCs w:val="24"/>
        </w:rPr>
        <w:t xml:space="preserve"> + ɛ</w:t>
      </w:r>
      <w:r w:rsidRPr="00D97714">
        <w:rPr>
          <w:rFonts w:ascii="Times New Roman" w:hAnsi="Times New Roman" w:cs="Times New Roman"/>
          <w:sz w:val="24"/>
          <w:szCs w:val="24"/>
          <w:vertAlign w:val="subscript"/>
        </w:rPr>
        <w:t>it</w:t>
      </w:r>
      <w:r w:rsidRPr="00D97714">
        <w:rPr>
          <w:rFonts w:ascii="Times New Roman" w:hAnsi="Times New Roman" w:cs="Times New Roman"/>
          <w:sz w:val="24"/>
          <w:szCs w:val="24"/>
        </w:rPr>
        <w:t xml:space="preserve">) in the (-252,-31) day and (+31,+252) day windows relative to the announcement date of the activism event. AFTER is the dummy variable for the year following the activism events. WIN is the dummy variable for events whereby the dissidents win or partially win the campaign. CHANGE is the dummy variables for campaigns in which the activists demand changes/control of the board. IOPr is the average of total institutional ownership in a firm in the preceding 5 years (20 quarters). IOV is the average of the standard deviation of the ownership across institutional owners of a firm in the past 5 years (20 quarters). CAPX and DEBT </w:t>
      </w:r>
      <w:r w:rsidRPr="00D97714">
        <w:rPr>
          <w:rFonts w:ascii="Times New Roman" w:eastAsiaTheme="minorEastAsia" w:hAnsi="Times New Roman" w:cs="Times New Roman"/>
          <w:sz w:val="24"/>
          <w:szCs w:val="24"/>
        </w:rPr>
        <w:t xml:space="preserve">represent equally-weighted/value-weighed industry-adjusted figures of </w:t>
      </w:r>
      <w:r w:rsidRPr="00D97714">
        <w:rPr>
          <w:rFonts w:ascii="Times New Roman" w:hAnsi="Times New Roman" w:cs="Times New Roman"/>
          <w:sz w:val="24"/>
          <w:szCs w:val="24"/>
        </w:rPr>
        <w:t>capital expenditure-to- asset ratio and total debt-to-total asset ratio, respectively,</w:t>
      </w:r>
      <w:r w:rsidRPr="00D97714">
        <w:rPr>
          <w:rFonts w:ascii="Times New Roman" w:eastAsiaTheme="minorEastAsia" w:hAnsi="Times New Roman" w:cs="Times New Roman"/>
          <w:sz w:val="24"/>
          <w:szCs w:val="24"/>
        </w:rPr>
        <w:t xml:space="preserve"> of the firms comprising the matching non-targeted portfolio</w:t>
      </w:r>
      <w:r w:rsidR="00C377C9" w:rsidRPr="00D97714">
        <w:rPr>
          <w:rFonts w:ascii="Times New Roman" w:eastAsiaTheme="minorEastAsia" w:hAnsi="Times New Roman" w:cs="Times New Roman"/>
          <w:sz w:val="24"/>
          <w:szCs w:val="24"/>
        </w:rPr>
        <w:t>.</w:t>
      </w:r>
      <w:r w:rsidRPr="00D97714">
        <w:rPr>
          <w:rFonts w:ascii="Times New Roman" w:eastAsiaTheme="minorEastAsia" w:hAnsi="Times New Roman" w:cs="Times New Roman"/>
          <w:sz w:val="24"/>
          <w:szCs w:val="24"/>
        </w:rPr>
        <w:t xml:space="preserve"> </w:t>
      </w:r>
      <w:r w:rsidR="00C377C9" w:rsidRPr="00D97714">
        <w:rPr>
          <w:rFonts w:ascii="Times New Roman" w:eastAsiaTheme="minorEastAsia" w:hAnsi="Times New Roman" w:cs="Times New Roman"/>
          <w:sz w:val="24"/>
          <w:szCs w:val="24"/>
        </w:rPr>
        <w:t xml:space="preserve">They </w:t>
      </w:r>
      <w:r w:rsidRPr="00D97714">
        <w:rPr>
          <w:rFonts w:ascii="Times New Roman" w:eastAsiaTheme="minorEastAsia" w:hAnsi="Times New Roman" w:cs="Times New Roman"/>
          <w:sz w:val="24"/>
          <w:szCs w:val="24"/>
        </w:rPr>
        <w:t xml:space="preserve">are measured at the end of the fiscal year preceding the announcement date. </w:t>
      </w:r>
      <w:r w:rsidRPr="00D97714">
        <w:rPr>
          <w:rFonts w:ascii="Times New Roman" w:hAnsi="Times New Roman" w:cs="Times New Roman"/>
          <w:sz w:val="24"/>
          <w:szCs w:val="24"/>
        </w:rPr>
        <w:t xml:space="preserve">We report robust t-statistics. *, ** and *** indicate the significance levels of 10%, 5% and 1%, respectively. </w:t>
      </w:r>
    </w:p>
    <w:sectPr w:rsidR="00A75A98" w:rsidRPr="00D97714" w:rsidSect="00A75A9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A988E" w14:textId="77777777" w:rsidR="00E15892" w:rsidRDefault="00E15892" w:rsidP="0008045A">
      <w:pPr>
        <w:spacing w:after="0" w:line="240" w:lineRule="auto"/>
      </w:pPr>
      <w:r>
        <w:separator/>
      </w:r>
    </w:p>
  </w:endnote>
  <w:endnote w:type="continuationSeparator" w:id="0">
    <w:p w14:paraId="1B1E3DF8" w14:textId="77777777" w:rsidR="00E15892" w:rsidRDefault="00E15892" w:rsidP="0008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734893"/>
      <w:docPartObj>
        <w:docPartGallery w:val="Page Numbers (Bottom of Page)"/>
        <w:docPartUnique/>
      </w:docPartObj>
    </w:sdtPr>
    <w:sdtEndPr>
      <w:rPr>
        <w:noProof/>
      </w:rPr>
    </w:sdtEndPr>
    <w:sdtContent>
      <w:p w14:paraId="7D2B5D0B" w14:textId="73C47524" w:rsidR="00225BAD" w:rsidRDefault="00225BAD">
        <w:pPr>
          <w:pStyle w:val="Footer"/>
          <w:jc w:val="center"/>
        </w:pPr>
        <w:r>
          <w:fldChar w:fldCharType="begin"/>
        </w:r>
        <w:r>
          <w:instrText xml:space="preserve"> PAGE   \* MERGEFORMAT </w:instrText>
        </w:r>
        <w:r>
          <w:fldChar w:fldCharType="separate"/>
        </w:r>
        <w:r w:rsidR="00771201">
          <w:rPr>
            <w:noProof/>
          </w:rPr>
          <w:t>1</w:t>
        </w:r>
        <w:r>
          <w:rPr>
            <w:noProof/>
          </w:rPr>
          <w:fldChar w:fldCharType="end"/>
        </w:r>
      </w:p>
    </w:sdtContent>
  </w:sdt>
  <w:p w14:paraId="039D6649" w14:textId="77777777" w:rsidR="00225BAD" w:rsidRDefault="00225B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579091"/>
      <w:docPartObj>
        <w:docPartGallery w:val="Page Numbers (Bottom of Page)"/>
        <w:docPartUnique/>
      </w:docPartObj>
    </w:sdtPr>
    <w:sdtEndPr>
      <w:rPr>
        <w:noProof/>
      </w:rPr>
    </w:sdtEndPr>
    <w:sdtContent>
      <w:p w14:paraId="203DACFB" w14:textId="0D2FE555" w:rsidR="00225BAD" w:rsidRDefault="00225BAD">
        <w:pPr>
          <w:pStyle w:val="Footer"/>
          <w:jc w:val="center"/>
        </w:pPr>
        <w:r>
          <w:fldChar w:fldCharType="begin"/>
        </w:r>
        <w:r>
          <w:instrText xml:space="preserve"> PAGE   \* MERGEFORMAT </w:instrText>
        </w:r>
        <w:r>
          <w:fldChar w:fldCharType="separate"/>
        </w:r>
        <w:r w:rsidR="006905FB">
          <w:rPr>
            <w:noProof/>
          </w:rPr>
          <w:t>43</w:t>
        </w:r>
        <w:r>
          <w:rPr>
            <w:noProof/>
          </w:rPr>
          <w:fldChar w:fldCharType="end"/>
        </w:r>
      </w:p>
    </w:sdtContent>
  </w:sdt>
  <w:p w14:paraId="18EF975A" w14:textId="77777777" w:rsidR="00225BAD" w:rsidRDefault="00225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C48BD" w14:textId="77777777" w:rsidR="00E15892" w:rsidRDefault="00E15892" w:rsidP="0008045A">
      <w:pPr>
        <w:spacing w:after="0" w:line="240" w:lineRule="auto"/>
      </w:pPr>
      <w:r>
        <w:separator/>
      </w:r>
    </w:p>
  </w:footnote>
  <w:footnote w:type="continuationSeparator" w:id="0">
    <w:p w14:paraId="1795DD35" w14:textId="77777777" w:rsidR="00E15892" w:rsidRDefault="00E15892" w:rsidP="0008045A">
      <w:pPr>
        <w:spacing w:after="0" w:line="240" w:lineRule="auto"/>
      </w:pPr>
      <w:r>
        <w:continuationSeparator/>
      </w:r>
    </w:p>
  </w:footnote>
  <w:footnote w:id="1">
    <w:p w14:paraId="69A53A5D" w14:textId="2875B568" w:rsidR="00225BAD" w:rsidRPr="00B52D4D" w:rsidRDefault="00225BAD">
      <w:pPr>
        <w:pStyle w:val="FootnoteText"/>
        <w:rPr>
          <w:rFonts w:ascii="Times New Roman" w:hAnsi="Times New Roman" w:cs="Times New Roman"/>
        </w:rPr>
      </w:pPr>
      <w:r w:rsidRPr="00B52D4D">
        <w:rPr>
          <w:rStyle w:val="FootnoteReference"/>
          <w:rFonts w:ascii="Times New Roman" w:hAnsi="Times New Roman" w:cs="Times New Roman"/>
        </w:rPr>
        <w:footnoteRef/>
      </w:r>
      <w:r w:rsidRPr="00B52D4D">
        <w:rPr>
          <w:rFonts w:ascii="Times New Roman" w:hAnsi="Times New Roman" w:cs="Times New Roman"/>
        </w:rPr>
        <w:t xml:space="preserve"> </w:t>
      </w:r>
      <w:r>
        <w:rPr>
          <w:rFonts w:ascii="Times New Roman" w:hAnsi="Times New Roman" w:cs="Times New Roman"/>
        </w:rPr>
        <w:t xml:space="preserve">See “Shareholder activism: Who, what, when and how?” available at </w:t>
      </w:r>
      <w:r w:rsidRPr="00B52D4D">
        <w:rPr>
          <w:rFonts w:ascii="Times New Roman" w:hAnsi="Times New Roman" w:cs="Times New Roman"/>
        </w:rPr>
        <w:t>https://www.pwc.com/us/en/corporate-governance/publications/assets/pwc-shareholder-activism-full-report.pdf.</w:t>
      </w:r>
    </w:p>
  </w:footnote>
  <w:footnote w:id="2">
    <w:p w14:paraId="410A8959" w14:textId="7B23ADA2" w:rsidR="00225BAD" w:rsidRPr="00A12A23" w:rsidRDefault="00225BAD">
      <w:pPr>
        <w:pStyle w:val="FootnoteText"/>
      </w:pPr>
      <w:r>
        <w:rPr>
          <w:rStyle w:val="FootnoteReference"/>
        </w:rPr>
        <w:footnoteRef/>
      </w:r>
      <w:r>
        <w:t xml:space="preserve"> </w:t>
      </w:r>
      <w:hyperlink r:id="rId1" w:history="1">
        <w:r w:rsidRPr="00740BF8">
          <w:rPr>
            <w:rStyle w:val="Hyperlink"/>
          </w:rPr>
          <w:t>http://www.businessinsider.com/the-shakers-9-bad-ass-activist-investors-and-the-deals-that-made-them-famous-2012-1?op=1&amp;IR=T</w:t>
        </w:r>
      </w:hyperlink>
      <w:r>
        <w:t xml:space="preserve"> </w:t>
      </w:r>
    </w:p>
  </w:footnote>
  <w:footnote w:id="3">
    <w:p w14:paraId="07034E00" w14:textId="77777777" w:rsidR="00225BAD" w:rsidRPr="0060376C" w:rsidRDefault="00225BAD" w:rsidP="0026729C">
      <w:pPr>
        <w:pStyle w:val="FootnoteText"/>
        <w:rPr>
          <w:rFonts w:ascii="Times New Roman" w:hAnsi="Times New Roman" w:cs="Times New Roman"/>
        </w:rPr>
      </w:pPr>
      <w:r w:rsidRPr="0060376C">
        <w:rPr>
          <w:rStyle w:val="FootnoteReference"/>
          <w:rFonts w:ascii="Times New Roman" w:hAnsi="Times New Roman" w:cs="Times New Roman"/>
        </w:rPr>
        <w:footnoteRef/>
      </w:r>
      <w:r w:rsidRPr="0060376C">
        <w:rPr>
          <w:rFonts w:ascii="Times New Roman" w:hAnsi="Times New Roman" w:cs="Times New Roman"/>
        </w:rPr>
        <w:t xml:space="preserve"> </w:t>
      </w:r>
      <w:r>
        <w:rPr>
          <w:rFonts w:ascii="Times New Roman" w:hAnsi="Times New Roman" w:cs="Times New Roman"/>
        </w:rPr>
        <w:t xml:space="preserve">See “Shareholder activism: Who, what, when and how?”, available at </w:t>
      </w:r>
      <w:r w:rsidRPr="0060376C">
        <w:rPr>
          <w:rFonts w:ascii="Times New Roman" w:hAnsi="Times New Roman" w:cs="Times New Roman"/>
        </w:rPr>
        <w:t>https://www.pwc.com/us/en/corporate-governance/publications/assets/pwc-shareholder-activism-full-report.pdf.</w:t>
      </w:r>
    </w:p>
  </w:footnote>
  <w:footnote w:id="4">
    <w:p w14:paraId="31C8ABAF" w14:textId="77777777" w:rsidR="00225BAD" w:rsidRPr="009E35D2" w:rsidRDefault="00225BAD" w:rsidP="0026729C">
      <w:pPr>
        <w:pStyle w:val="FootnoteText"/>
        <w:rPr>
          <w:rFonts w:ascii="Times New Roman" w:hAnsi="Times New Roman" w:cs="Times New Roman"/>
        </w:rPr>
      </w:pPr>
      <w:r w:rsidRPr="009E35D2">
        <w:rPr>
          <w:rStyle w:val="FootnoteReference"/>
          <w:rFonts w:ascii="Times New Roman" w:hAnsi="Times New Roman" w:cs="Times New Roman"/>
        </w:rPr>
        <w:footnoteRef/>
      </w:r>
      <w:r w:rsidRPr="009E35D2">
        <w:rPr>
          <w:rFonts w:ascii="Times New Roman" w:hAnsi="Times New Roman" w:cs="Times New Roman"/>
        </w:rPr>
        <w:t xml:space="preserve"> ‘Shareholder activism: Battle for the boardroom’, </w:t>
      </w:r>
      <w:r w:rsidRPr="009E35D2">
        <w:rPr>
          <w:rFonts w:ascii="Times New Roman" w:hAnsi="Times New Roman" w:cs="Times New Roman"/>
          <w:i/>
        </w:rPr>
        <w:t>Financial Times</w:t>
      </w:r>
      <w:r w:rsidRPr="009E35D2">
        <w:rPr>
          <w:rFonts w:ascii="Times New Roman" w:hAnsi="Times New Roman" w:cs="Times New Roman"/>
        </w:rPr>
        <w:t xml:space="preserve">, April 23, 2014. Accessed at </w:t>
      </w:r>
      <w:hyperlink r:id="rId2" w:history="1">
        <w:r w:rsidRPr="009E35D2">
          <w:rPr>
            <w:rStyle w:val="Hyperlink"/>
            <w:rFonts w:ascii="Times New Roman" w:hAnsi="Times New Roman" w:cs="Times New Roman"/>
          </w:rPr>
          <w:t>www.ft.com</w:t>
        </w:r>
      </w:hyperlink>
      <w:r w:rsidRPr="009E35D2">
        <w:rPr>
          <w:rFonts w:ascii="Times New Roman" w:hAnsi="Times New Roman" w:cs="Times New Roman"/>
        </w:rPr>
        <w:t xml:space="preserve"> on 12/14/2014</w:t>
      </w:r>
    </w:p>
  </w:footnote>
  <w:footnote w:id="5">
    <w:p w14:paraId="54ED5371" w14:textId="13976848" w:rsidR="00225BAD" w:rsidRPr="00B00B7A" w:rsidRDefault="00225BAD">
      <w:pPr>
        <w:pStyle w:val="FootnoteText"/>
        <w:rPr>
          <w:lang w:val="en-GB"/>
        </w:rPr>
      </w:pPr>
      <w:r>
        <w:rPr>
          <w:rStyle w:val="FootnoteReference"/>
        </w:rPr>
        <w:footnoteRef/>
      </w:r>
      <w:r>
        <w:t xml:space="preserve"> </w:t>
      </w:r>
      <w:r>
        <w:rPr>
          <w:lang w:val="en-GB"/>
        </w:rPr>
        <w:t>The TRSAI database starts in 2000.</w:t>
      </w:r>
    </w:p>
  </w:footnote>
  <w:footnote w:id="6">
    <w:p w14:paraId="6BCE9245" w14:textId="5B86DAC6" w:rsidR="00225BAD" w:rsidRPr="00D61D81" w:rsidRDefault="00225BAD">
      <w:pPr>
        <w:pStyle w:val="FootnoteText"/>
        <w:rPr>
          <w:lang w:val="en-GB"/>
        </w:rPr>
      </w:pPr>
      <w:r w:rsidRPr="009E35D2">
        <w:rPr>
          <w:rStyle w:val="FootnoteReference"/>
          <w:rFonts w:ascii="Times New Roman" w:hAnsi="Times New Roman" w:cs="Times New Roman"/>
        </w:rPr>
        <w:footnoteRef/>
      </w:r>
      <w:r w:rsidRPr="009E35D2">
        <w:rPr>
          <w:rFonts w:ascii="Times New Roman" w:hAnsi="Times New Roman" w:cs="Times New Roman"/>
        </w:rPr>
        <w:t xml:space="preserve"> </w:t>
      </w:r>
      <w:hyperlink r:id="rId3" w:history="1">
        <w:r w:rsidRPr="009E35D2">
          <w:rPr>
            <w:rStyle w:val="Hyperlink"/>
            <w:rFonts w:ascii="Times New Roman" w:hAnsi="Times New Roman" w:cs="Times New Roman"/>
          </w:rPr>
          <w:t>http://thomsonreuters.com/products/financial-risk/content/07_010/thomson-reuters-shareholder-activism-intelligence-v1.3.pdf</w:t>
        </w:r>
      </w:hyperlink>
      <w:r>
        <w:t xml:space="preserve"> </w:t>
      </w:r>
    </w:p>
  </w:footnote>
  <w:footnote w:id="7">
    <w:p w14:paraId="2E763478" w14:textId="008EB7FA" w:rsidR="00225BAD" w:rsidRPr="001B3F12" w:rsidRDefault="00225BAD">
      <w:pPr>
        <w:pStyle w:val="FootnoteText"/>
        <w:rPr>
          <w:lang w:val="en-GB"/>
        </w:rPr>
      </w:pPr>
      <w:r>
        <w:rPr>
          <w:rStyle w:val="FootnoteReference"/>
        </w:rPr>
        <w:footnoteRef/>
      </w:r>
      <w:r>
        <w:t xml:space="preserve"> </w:t>
      </w:r>
      <w:r w:rsidRPr="0098415C">
        <w:t xml:space="preserve">A review of the literature suggests varied reasons to support the rise of activism during that period. Shearer (2006) observes that the years 2005 and 2006 coincided with the highest </w:t>
      </w:r>
      <w:r>
        <w:t>levels</w:t>
      </w:r>
      <w:r w:rsidRPr="0098415C">
        <w:t xml:space="preserve"> of cash as a proportion of equity and liabilities held by S&amp;P500 companies. This was likewise the era of low interest rates and cheap and abundant funding owing to securitization and other innovative products proposed by the financial institutions. Eisinger (2005) explains that activists call for companies to hand over those surplus cash in the form of dividends and buybacks. All these elements taken together could account for the rise of shareholder activism events around the year 2006.</w:t>
      </w:r>
    </w:p>
  </w:footnote>
  <w:footnote w:id="8">
    <w:p w14:paraId="246B834C" w14:textId="2F0F01CF" w:rsidR="00225BAD" w:rsidRPr="001B3F12" w:rsidRDefault="00225BAD" w:rsidP="003F4F9D">
      <w:pPr>
        <w:pStyle w:val="FootnoteText"/>
        <w:rPr>
          <w:lang w:val="en-GB"/>
        </w:rPr>
      </w:pPr>
      <w:r>
        <w:rPr>
          <w:rStyle w:val="FootnoteReference"/>
        </w:rPr>
        <w:footnoteRef/>
      </w:r>
      <w:r>
        <w:t xml:space="preserve"> This finding explains why value weighted portfolios exhibit a large standard deviation compared to equally weighted portfolios in Table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C0374"/>
    <w:multiLevelType w:val="multilevel"/>
    <w:tmpl w:val="05F841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3D20478"/>
    <w:multiLevelType w:val="hybridMultilevel"/>
    <w:tmpl w:val="0B10A0B8"/>
    <w:lvl w:ilvl="0" w:tplc="04D48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02846"/>
    <w:multiLevelType w:val="hybridMultilevel"/>
    <w:tmpl w:val="29CE4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245F31"/>
    <w:multiLevelType w:val="hybridMultilevel"/>
    <w:tmpl w:val="0B10A0B8"/>
    <w:lvl w:ilvl="0" w:tplc="04D48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IwNTAzMTA3NjEysjBR0lEKTi0uzszPAykwqgUAR23HzCwAAAA="/>
  </w:docVars>
  <w:rsids>
    <w:rsidRoot w:val="00B92C7B"/>
    <w:rsid w:val="000001BD"/>
    <w:rsid w:val="000001E3"/>
    <w:rsid w:val="000009D1"/>
    <w:rsid w:val="00000B9A"/>
    <w:rsid w:val="00007C92"/>
    <w:rsid w:val="000129D8"/>
    <w:rsid w:val="00022138"/>
    <w:rsid w:val="000228B4"/>
    <w:rsid w:val="00026EB7"/>
    <w:rsid w:val="0002763D"/>
    <w:rsid w:val="0003243B"/>
    <w:rsid w:val="000333CC"/>
    <w:rsid w:val="00033B53"/>
    <w:rsid w:val="00037427"/>
    <w:rsid w:val="00054E48"/>
    <w:rsid w:val="00055487"/>
    <w:rsid w:val="00057033"/>
    <w:rsid w:val="0006068D"/>
    <w:rsid w:val="00065155"/>
    <w:rsid w:val="000706CB"/>
    <w:rsid w:val="00071399"/>
    <w:rsid w:val="000730DD"/>
    <w:rsid w:val="000741ED"/>
    <w:rsid w:val="00074724"/>
    <w:rsid w:val="00075480"/>
    <w:rsid w:val="00075DC1"/>
    <w:rsid w:val="0008045A"/>
    <w:rsid w:val="00080624"/>
    <w:rsid w:val="00090F32"/>
    <w:rsid w:val="000930FD"/>
    <w:rsid w:val="000938FB"/>
    <w:rsid w:val="00093A51"/>
    <w:rsid w:val="00096FE9"/>
    <w:rsid w:val="000A348F"/>
    <w:rsid w:val="000A6251"/>
    <w:rsid w:val="000B36BE"/>
    <w:rsid w:val="000B41D9"/>
    <w:rsid w:val="000B541B"/>
    <w:rsid w:val="000B6358"/>
    <w:rsid w:val="000B7E84"/>
    <w:rsid w:val="000C4DB6"/>
    <w:rsid w:val="000C63D1"/>
    <w:rsid w:val="000C789C"/>
    <w:rsid w:val="000D78D3"/>
    <w:rsid w:val="000E102F"/>
    <w:rsid w:val="000E10D6"/>
    <w:rsid w:val="000E17F5"/>
    <w:rsid w:val="000E3BF5"/>
    <w:rsid w:val="000F2DE7"/>
    <w:rsid w:val="000F55AA"/>
    <w:rsid w:val="00105C64"/>
    <w:rsid w:val="00111270"/>
    <w:rsid w:val="001143ED"/>
    <w:rsid w:val="00116CF7"/>
    <w:rsid w:val="001213CE"/>
    <w:rsid w:val="00124918"/>
    <w:rsid w:val="001272D6"/>
    <w:rsid w:val="00127EBC"/>
    <w:rsid w:val="00131B0E"/>
    <w:rsid w:val="00132838"/>
    <w:rsid w:val="00137BE7"/>
    <w:rsid w:val="00144868"/>
    <w:rsid w:val="001525D7"/>
    <w:rsid w:val="00164735"/>
    <w:rsid w:val="00164740"/>
    <w:rsid w:val="00181F2C"/>
    <w:rsid w:val="001826D9"/>
    <w:rsid w:val="00187FDD"/>
    <w:rsid w:val="0019316D"/>
    <w:rsid w:val="0019693E"/>
    <w:rsid w:val="00197AE1"/>
    <w:rsid w:val="001A1187"/>
    <w:rsid w:val="001A1CAD"/>
    <w:rsid w:val="001A5CF3"/>
    <w:rsid w:val="001B28BE"/>
    <w:rsid w:val="001B299D"/>
    <w:rsid w:val="001B3F12"/>
    <w:rsid w:val="001B6A71"/>
    <w:rsid w:val="001D19D0"/>
    <w:rsid w:val="001D600E"/>
    <w:rsid w:val="001E02AE"/>
    <w:rsid w:val="001E0431"/>
    <w:rsid w:val="001E2317"/>
    <w:rsid w:val="001E4134"/>
    <w:rsid w:val="001E5D27"/>
    <w:rsid w:val="001F3E3E"/>
    <w:rsid w:val="00201B0B"/>
    <w:rsid w:val="0020264D"/>
    <w:rsid w:val="00215664"/>
    <w:rsid w:val="00215A62"/>
    <w:rsid w:val="002231D3"/>
    <w:rsid w:val="00223A36"/>
    <w:rsid w:val="00223F76"/>
    <w:rsid w:val="00225BAD"/>
    <w:rsid w:val="0023072D"/>
    <w:rsid w:val="00234837"/>
    <w:rsid w:val="00235B88"/>
    <w:rsid w:val="00237B56"/>
    <w:rsid w:val="002401B1"/>
    <w:rsid w:val="002405D2"/>
    <w:rsid w:val="00240C7B"/>
    <w:rsid w:val="002434D9"/>
    <w:rsid w:val="0024426A"/>
    <w:rsid w:val="00245B4E"/>
    <w:rsid w:val="00246527"/>
    <w:rsid w:val="00250E6F"/>
    <w:rsid w:val="00255520"/>
    <w:rsid w:val="0026486F"/>
    <w:rsid w:val="00264E1D"/>
    <w:rsid w:val="00266040"/>
    <w:rsid w:val="0026729C"/>
    <w:rsid w:val="002701F3"/>
    <w:rsid w:val="002752A2"/>
    <w:rsid w:val="0029230F"/>
    <w:rsid w:val="002A44EB"/>
    <w:rsid w:val="002B0838"/>
    <w:rsid w:val="002B424B"/>
    <w:rsid w:val="002B5339"/>
    <w:rsid w:val="002C2BB7"/>
    <w:rsid w:val="002D1100"/>
    <w:rsid w:val="002D3EA3"/>
    <w:rsid w:val="002D3F10"/>
    <w:rsid w:val="002D60A6"/>
    <w:rsid w:val="002E3D82"/>
    <w:rsid w:val="002F1764"/>
    <w:rsid w:val="002F3EC8"/>
    <w:rsid w:val="002F42C6"/>
    <w:rsid w:val="002F4339"/>
    <w:rsid w:val="002F5028"/>
    <w:rsid w:val="002F7845"/>
    <w:rsid w:val="003029C3"/>
    <w:rsid w:val="003047EE"/>
    <w:rsid w:val="00307CF2"/>
    <w:rsid w:val="00311591"/>
    <w:rsid w:val="00311E7E"/>
    <w:rsid w:val="00316B23"/>
    <w:rsid w:val="00317C50"/>
    <w:rsid w:val="00323D79"/>
    <w:rsid w:val="003240CD"/>
    <w:rsid w:val="0033344E"/>
    <w:rsid w:val="0033739C"/>
    <w:rsid w:val="0034152B"/>
    <w:rsid w:val="00342B19"/>
    <w:rsid w:val="00351CFB"/>
    <w:rsid w:val="00351EE9"/>
    <w:rsid w:val="0035627D"/>
    <w:rsid w:val="00367452"/>
    <w:rsid w:val="00371798"/>
    <w:rsid w:val="00371BA8"/>
    <w:rsid w:val="00383826"/>
    <w:rsid w:val="00386188"/>
    <w:rsid w:val="0038741A"/>
    <w:rsid w:val="00391AAF"/>
    <w:rsid w:val="00392587"/>
    <w:rsid w:val="00394FAD"/>
    <w:rsid w:val="003A136A"/>
    <w:rsid w:val="003A179A"/>
    <w:rsid w:val="003A3427"/>
    <w:rsid w:val="003B05B6"/>
    <w:rsid w:val="003B73A7"/>
    <w:rsid w:val="003D2B34"/>
    <w:rsid w:val="003D5C21"/>
    <w:rsid w:val="003D6316"/>
    <w:rsid w:val="003E5B7E"/>
    <w:rsid w:val="003E5C1C"/>
    <w:rsid w:val="003E6F20"/>
    <w:rsid w:val="003F006E"/>
    <w:rsid w:val="003F0449"/>
    <w:rsid w:val="003F097C"/>
    <w:rsid w:val="003F4F9D"/>
    <w:rsid w:val="00401170"/>
    <w:rsid w:val="00402A3E"/>
    <w:rsid w:val="0041716C"/>
    <w:rsid w:val="00417851"/>
    <w:rsid w:val="004253B9"/>
    <w:rsid w:val="00425EBB"/>
    <w:rsid w:val="0042659D"/>
    <w:rsid w:val="00430E51"/>
    <w:rsid w:val="00437074"/>
    <w:rsid w:val="00437377"/>
    <w:rsid w:val="004408E4"/>
    <w:rsid w:val="00442315"/>
    <w:rsid w:val="00442FE8"/>
    <w:rsid w:val="00444F6F"/>
    <w:rsid w:val="00465E72"/>
    <w:rsid w:val="00471851"/>
    <w:rsid w:val="004737B7"/>
    <w:rsid w:val="00481CB0"/>
    <w:rsid w:val="00481DC0"/>
    <w:rsid w:val="0048278F"/>
    <w:rsid w:val="00482906"/>
    <w:rsid w:val="0048411E"/>
    <w:rsid w:val="00485F4B"/>
    <w:rsid w:val="00486346"/>
    <w:rsid w:val="0048695B"/>
    <w:rsid w:val="004902A7"/>
    <w:rsid w:val="00490EE9"/>
    <w:rsid w:val="00491E0E"/>
    <w:rsid w:val="004A100A"/>
    <w:rsid w:val="004A5DC1"/>
    <w:rsid w:val="004A6F18"/>
    <w:rsid w:val="004B4DDD"/>
    <w:rsid w:val="004B55B5"/>
    <w:rsid w:val="004B67D1"/>
    <w:rsid w:val="004C14DC"/>
    <w:rsid w:val="004C277A"/>
    <w:rsid w:val="004C5291"/>
    <w:rsid w:val="004D2996"/>
    <w:rsid w:val="004E2F3A"/>
    <w:rsid w:val="004F2881"/>
    <w:rsid w:val="004F4AB0"/>
    <w:rsid w:val="004F57FD"/>
    <w:rsid w:val="005033D0"/>
    <w:rsid w:val="00512C4D"/>
    <w:rsid w:val="00512E38"/>
    <w:rsid w:val="00513831"/>
    <w:rsid w:val="00515ED5"/>
    <w:rsid w:val="00516AC3"/>
    <w:rsid w:val="00521F77"/>
    <w:rsid w:val="00522333"/>
    <w:rsid w:val="005227A2"/>
    <w:rsid w:val="00525234"/>
    <w:rsid w:val="00525A16"/>
    <w:rsid w:val="00530A6F"/>
    <w:rsid w:val="0053152F"/>
    <w:rsid w:val="00536A01"/>
    <w:rsid w:val="005441C3"/>
    <w:rsid w:val="00546D98"/>
    <w:rsid w:val="00556139"/>
    <w:rsid w:val="0056172B"/>
    <w:rsid w:val="00561A95"/>
    <w:rsid w:val="00561C7B"/>
    <w:rsid w:val="0056213A"/>
    <w:rsid w:val="00563212"/>
    <w:rsid w:val="00571AE2"/>
    <w:rsid w:val="005767EC"/>
    <w:rsid w:val="00583AD1"/>
    <w:rsid w:val="00584041"/>
    <w:rsid w:val="00586912"/>
    <w:rsid w:val="005A108D"/>
    <w:rsid w:val="005A2ECF"/>
    <w:rsid w:val="005A7033"/>
    <w:rsid w:val="005A7C16"/>
    <w:rsid w:val="005B1CDD"/>
    <w:rsid w:val="005B3732"/>
    <w:rsid w:val="005C10A4"/>
    <w:rsid w:val="005D15FA"/>
    <w:rsid w:val="005F08C3"/>
    <w:rsid w:val="005F1DFF"/>
    <w:rsid w:val="0060667B"/>
    <w:rsid w:val="00606A7A"/>
    <w:rsid w:val="006103D2"/>
    <w:rsid w:val="0061456C"/>
    <w:rsid w:val="00614833"/>
    <w:rsid w:val="00614FDD"/>
    <w:rsid w:val="006155F5"/>
    <w:rsid w:val="00615D93"/>
    <w:rsid w:val="0062192F"/>
    <w:rsid w:val="0063232D"/>
    <w:rsid w:val="00634BCA"/>
    <w:rsid w:val="00634F29"/>
    <w:rsid w:val="00635ED0"/>
    <w:rsid w:val="00636C43"/>
    <w:rsid w:val="006374D6"/>
    <w:rsid w:val="006404FB"/>
    <w:rsid w:val="0064327C"/>
    <w:rsid w:val="00651248"/>
    <w:rsid w:val="006517EB"/>
    <w:rsid w:val="006529C3"/>
    <w:rsid w:val="00655B9C"/>
    <w:rsid w:val="00664ADE"/>
    <w:rsid w:val="00666BA4"/>
    <w:rsid w:val="00666F0C"/>
    <w:rsid w:val="00674CD4"/>
    <w:rsid w:val="0068170F"/>
    <w:rsid w:val="006825BE"/>
    <w:rsid w:val="006853FA"/>
    <w:rsid w:val="00685A6A"/>
    <w:rsid w:val="0068779B"/>
    <w:rsid w:val="006905FB"/>
    <w:rsid w:val="006967C2"/>
    <w:rsid w:val="006A3EBB"/>
    <w:rsid w:val="006A4E8B"/>
    <w:rsid w:val="006B2D04"/>
    <w:rsid w:val="006B6BD9"/>
    <w:rsid w:val="006B6F44"/>
    <w:rsid w:val="006B78B1"/>
    <w:rsid w:val="006C00D5"/>
    <w:rsid w:val="006C1485"/>
    <w:rsid w:val="006C47CD"/>
    <w:rsid w:val="006D2DD9"/>
    <w:rsid w:val="006D517C"/>
    <w:rsid w:val="006E152C"/>
    <w:rsid w:val="006E2FE3"/>
    <w:rsid w:val="006E406C"/>
    <w:rsid w:val="006E70BD"/>
    <w:rsid w:val="006F0AE7"/>
    <w:rsid w:val="006F0DEC"/>
    <w:rsid w:val="006F2BE7"/>
    <w:rsid w:val="006F364C"/>
    <w:rsid w:val="006F38C2"/>
    <w:rsid w:val="006F4931"/>
    <w:rsid w:val="00702229"/>
    <w:rsid w:val="0070522A"/>
    <w:rsid w:val="00711069"/>
    <w:rsid w:val="00712A92"/>
    <w:rsid w:val="0071500A"/>
    <w:rsid w:val="00720243"/>
    <w:rsid w:val="007254A7"/>
    <w:rsid w:val="007264DA"/>
    <w:rsid w:val="00727475"/>
    <w:rsid w:val="0073398C"/>
    <w:rsid w:val="00736EA0"/>
    <w:rsid w:val="007410C6"/>
    <w:rsid w:val="00743BB1"/>
    <w:rsid w:val="00744731"/>
    <w:rsid w:val="00746CA5"/>
    <w:rsid w:val="00752C5A"/>
    <w:rsid w:val="00756E29"/>
    <w:rsid w:val="007570C9"/>
    <w:rsid w:val="007630D7"/>
    <w:rsid w:val="00764BD1"/>
    <w:rsid w:val="00765C18"/>
    <w:rsid w:val="00771201"/>
    <w:rsid w:val="00772CDF"/>
    <w:rsid w:val="00774919"/>
    <w:rsid w:val="00783ED6"/>
    <w:rsid w:val="007851FA"/>
    <w:rsid w:val="00795F56"/>
    <w:rsid w:val="00796FFD"/>
    <w:rsid w:val="007A17A3"/>
    <w:rsid w:val="007B4A5C"/>
    <w:rsid w:val="007B7ECF"/>
    <w:rsid w:val="007C4399"/>
    <w:rsid w:val="007C7386"/>
    <w:rsid w:val="007D09DE"/>
    <w:rsid w:val="007D431E"/>
    <w:rsid w:val="007E17E2"/>
    <w:rsid w:val="007F5BFF"/>
    <w:rsid w:val="008061C9"/>
    <w:rsid w:val="00807D8C"/>
    <w:rsid w:val="00811ACB"/>
    <w:rsid w:val="0081452A"/>
    <w:rsid w:val="008165A4"/>
    <w:rsid w:val="00820036"/>
    <w:rsid w:val="00820515"/>
    <w:rsid w:val="008217AB"/>
    <w:rsid w:val="00822F28"/>
    <w:rsid w:val="00826F41"/>
    <w:rsid w:val="008310E1"/>
    <w:rsid w:val="0083466C"/>
    <w:rsid w:val="0084076A"/>
    <w:rsid w:val="008435D9"/>
    <w:rsid w:val="008508A5"/>
    <w:rsid w:val="008508FA"/>
    <w:rsid w:val="00850D40"/>
    <w:rsid w:val="008511F1"/>
    <w:rsid w:val="00851D8C"/>
    <w:rsid w:val="008547F5"/>
    <w:rsid w:val="008555CD"/>
    <w:rsid w:val="00871E1D"/>
    <w:rsid w:val="00877D1D"/>
    <w:rsid w:val="0088355E"/>
    <w:rsid w:val="00885097"/>
    <w:rsid w:val="00886C03"/>
    <w:rsid w:val="00886C9B"/>
    <w:rsid w:val="00887892"/>
    <w:rsid w:val="00890659"/>
    <w:rsid w:val="00892597"/>
    <w:rsid w:val="008974AD"/>
    <w:rsid w:val="008A0F50"/>
    <w:rsid w:val="008A35DB"/>
    <w:rsid w:val="008B3EC3"/>
    <w:rsid w:val="008B67E3"/>
    <w:rsid w:val="008B7A8C"/>
    <w:rsid w:val="008C068C"/>
    <w:rsid w:val="008D3B28"/>
    <w:rsid w:val="008D6773"/>
    <w:rsid w:val="008E0047"/>
    <w:rsid w:val="008E7B08"/>
    <w:rsid w:val="008F2A3C"/>
    <w:rsid w:val="008F3087"/>
    <w:rsid w:val="008F7F4F"/>
    <w:rsid w:val="009030E7"/>
    <w:rsid w:val="00903E10"/>
    <w:rsid w:val="00904590"/>
    <w:rsid w:val="0090763C"/>
    <w:rsid w:val="0092095B"/>
    <w:rsid w:val="0093170D"/>
    <w:rsid w:val="009329CD"/>
    <w:rsid w:val="00937967"/>
    <w:rsid w:val="00940F7D"/>
    <w:rsid w:val="00941D99"/>
    <w:rsid w:val="009464E8"/>
    <w:rsid w:val="009465EE"/>
    <w:rsid w:val="0095014A"/>
    <w:rsid w:val="0095059F"/>
    <w:rsid w:val="009538E9"/>
    <w:rsid w:val="009548D9"/>
    <w:rsid w:val="0095583E"/>
    <w:rsid w:val="00961137"/>
    <w:rsid w:val="00961577"/>
    <w:rsid w:val="00962237"/>
    <w:rsid w:val="00965B96"/>
    <w:rsid w:val="009669EE"/>
    <w:rsid w:val="00970838"/>
    <w:rsid w:val="00975C7A"/>
    <w:rsid w:val="0098415C"/>
    <w:rsid w:val="00986D20"/>
    <w:rsid w:val="009871B7"/>
    <w:rsid w:val="009918A0"/>
    <w:rsid w:val="00992590"/>
    <w:rsid w:val="00995864"/>
    <w:rsid w:val="00997021"/>
    <w:rsid w:val="009A3373"/>
    <w:rsid w:val="009A7119"/>
    <w:rsid w:val="009B0F42"/>
    <w:rsid w:val="009B6F1F"/>
    <w:rsid w:val="009C03EF"/>
    <w:rsid w:val="009C0491"/>
    <w:rsid w:val="009C58C9"/>
    <w:rsid w:val="009D1CD1"/>
    <w:rsid w:val="009D2FC1"/>
    <w:rsid w:val="009D3258"/>
    <w:rsid w:val="009D5729"/>
    <w:rsid w:val="009D71D2"/>
    <w:rsid w:val="009E06E6"/>
    <w:rsid w:val="009E33F9"/>
    <w:rsid w:val="009E35D2"/>
    <w:rsid w:val="009E3F84"/>
    <w:rsid w:val="009F3946"/>
    <w:rsid w:val="009F5A5F"/>
    <w:rsid w:val="009F6BEF"/>
    <w:rsid w:val="009F7D5D"/>
    <w:rsid w:val="00A02397"/>
    <w:rsid w:val="00A031D8"/>
    <w:rsid w:val="00A038EF"/>
    <w:rsid w:val="00A06302"/>
    <w:rsid w:val="00A12A23"/>
    <w:rsid w:val="00A12E21"/>
    <w:rsid w:val="00A15E61"/>
    <w:rsid w:val="00A20C9F"/>
    <w:rsid w:val="00A2230E"/>
    <w:rsid w:val="00A3094B"/>
    <w:rsid w:val="00A36FF1"/>
    <w:rsid w:val="00A4017D"/>
    <w:rsid w:val="00A40D6B"/>
    <w:rsid w:val="00A42720"/>
    <w:rsid w:val="00A5461D"/>
    <w:rsid w:val="00A54809"/>
    <w:rsid w:val="00A562DA"/>
    <w:rsid w:val="00A57A1F"/>
    <w:rsid w:val="00A650C8"/>
    <w:rsid w:val="00A66416"/>
    <w:rsid w:val="00A6793D"/>
    <w:rsid w:val="00A75A98"/>
    <w:rsid w:val="00A90726"/>
    <w:rsid w:val="00A945A0"/>
    <w:rsid w:val="00A95714"/>
    <w:rsid w:val="00A97CF5"/>
    <w:rsid w:val="00AA0325"/>
    <w:rsid w:val="00AA176E"/>
    <w:rsid w:val="00AA638C"/>
    <w:rsid w:val="00AA67BB"/>
    <w:rsid w:val="00AA6B6C"/>
    <w:rsid w:val="00AB5004"/>
    <w:rsid w:val="00AB5E4B"/>
    <w:rsid w:val="00AC1ADD"/>
    <w:rsid w:val="00AC232F"/>
    <w:rsid w:val="00AC54F1"/>
    <w:rsid w:val="00AC5657"/>
    <w:rsid w:val="00AD021E"/>
    <w:rsid w:val="00AD2008"/>
    <w:rsid w:val="00AD2969"/>
    <w:rsid w:val="00AE2A72"/>
    <w:rsid w:val="00AE58C1"/>
    <w:rsid w:val="00AE78E6"/>
    <w:rsid w:val="00AF274E"/>
    <w:rsid w:val="00B00B7A"/>
    <w:rsid w:val="00B02DCC"/>
    <w:rsid w:val="00B051CE"/>
    <w:rsid w:val="00B05BA5"/>
    <w:rsid w:val="00B06F6B"/>
    <w:rsid w:val="00B21962"/>
    <w:rsid w:val="00B4335F"/>
    <w:rsid w:val="00B44625"/>
    <w:rsid w:val="00B44941"/>
    <w:rsid w:val="00B458C0"/>
    <w:rsid w:val="00B52D4D"/>
    <w:rsid w:val="00B53965"/>
    <w:rsid w:val="00B54CA5"/>
    <w:rsid w:val="00B552D4"/>
    <w:rsid w:val="00B56944"/>
    <w:rsid w:val="00B640F4"/>
    <w:rsid w:val="00B6654F"/>
    <w:rsid w:val="00B6798D"/>
    <w:rsid w:val="00B72F44"/>
    <w:rsid w:val="00B76398"/>
    <w:rsid w:val="00B81CEA"/>
    <w:rsid w:val="00B879B4"/>
    <w:rsid w:val="00B90D61"/>
    <w:rsid w:val="00B914D6"/>
    <w:rsid w:val="00B92C7B"/>
    <w:rsid w:val="00B931E4"/>
    <w:rsid w:val="00BA312E"/>
    <w:rsid w:val="00BB4BAC"/>
    <w:rsid w:val="00BB53BA"/>
    <w:rsid w:val="00BB7A57"/>
    <w:rsid w:val="00BC0D5C"/>
    <w:rsid w:val="00BD2455"/>
    <w:rsid w:val="00BE04D3"/>
    <w:rsid w:val="00BE0513"/>
    <w:rsid w:val="00BE1D5F"/>
    <w:rsid w:val="00BE2005"/>
    <w:rsid w:val="00BE4F28"/>
    <w:rsid w:val="00BE5470"/>
    <w:rsid w:val="00BE5D2A"/>
    <w:rsid w:val="00BE7AFB"/>
    <w:rsid w:val="00BF71ED"/>
    <w:rsid w:val="00C01297"/>
    <w:rsid w:val="00C10237"/>
    <w:rsid w:val="00C11B4F"/>
    <w:rsid w:val="00C12970"/>
    <w:rsid w:val="00C13F68"/>
    <w:rsid w:val="00C2316A"/>
    <w:rsid w:val="00C23E84"/>
    <w:rsid w:val="00C33E0F"/>
    <w:rsid w:val="00C377C9"/>
    <w:rsid w:val="00C441F1"/>
    <w:rsid w:val="00C45FA5"/>
    <w:rsid w:val="00C47F04"/>
    <w:rsid w:val="00C54EF6"/>
    <w:rsid w:val="00C569C5"/>
    <w:rsid w:val="00C63BB1"/>
    <w:rsid w:val="00C71FE0"/>
    <w:rsid w:val="00C818E2"/>
    <w:rsid w:val="00C82258"/>
    <w:rsid w:val="00C8355D"/>
    <w:rsid w:val="00C94543"/>
    <w:rsid w:val="00C94642"/>
    <w:rsid w:val="00C94EC0"/>
    <w:rsid w:val="00C96815"/>
    <w:rsid w:val="00CA4FA9"/>
    <w:rsid w:val="00CA6BD7"/>
    <w:rsid w:val="00CB0F9A"/>
    <w:rsid w:val="00CB2FB3"/>
    <w:rsid w:val="00CC5C40"/>
    <w:rsid w:val="00CC6FCD"/>
    <w:rsid w:val="00CD3C7D"/>
    <w:rsid w:val="00CD7363"/>
    <w:rsid w:val="00CD73B3"/>
    <w:rsid w:val="00CE748A"/>
    <w:rsid w:val="00CF0133"/>
    <w:rsid w:val="00CF30C7"/>
    <w:rsid w:val="00CF660A"/>
    <w:rsid w:val="00D02F55"/>
    <w:rsid w:val="00D10F4F"/>
    <w:rsid w:val="00D125AF"/>
    <w:rsid w:val="00D12A18"/>
    <w:rsid w:val="00D153FE"/>
    <w:rsid w:val="00D218D1"/>
    <w:rsid w:val="00D233D6"/>
    <w:rsid w:val="00D250D9"/>
    <w:rsid w:val="00D271A4"/>
    <w:rsid w:val="00D30753"/>
    <w:rsid w:val="00D313D4"/>
    <w:rsid w:val="00D322D0"/>
    <w:rsid w:val="00D3288E"/>
    <w:rsid w:val="00D40A61"/>
    <w:rsid w:val="00D4248A"/>
    <w:rsid w:val="00D544F7"/>
    <w:rsid w:val="00D56745"/>
    <w:rsid w:val="00D56E66"/>
    <w:rsid w:val="00D6181D"/>
    <w:rsid w:val="00D61D81"/>
    <w:rsid w:val="00D62908"/>
    <w:rsid w:val="00D655EE"/>
    <w:rsid w:val="00D66F95"/>
    <w:rsid w:val="00D7572A"/>
    <w:rsid w:val="00D77647"/>
    <w:rsid w:val="00D77C47"/>
    <w:rsid w:val="00D809C1"/>
    <w:rsid w:val="00D8377C"/>
    <w:rsid w:val="00D93A62"/>
    <w:rsid w:val="00D949E0"/>
    <w:rsid w:val="00D95477"/>
    <w:rsid w:val="00D97714"/>
    <w:rsid w:val="00DA1C56"/>
    <w:rsid w:val="00DA5DAB"/>
    <w:rsid w:val="00DA7CA0"/>
    <w:rsid w:val="00DB0615"/>
    <w:rsid w:val="00DB407C"/>
    <w:rsid w:val="00DB420D"/>
    <w:rsid w:val="00DB66FF"/>
    <w:rsid w:val="00DB7F29"/>
    <w:rsid w:val="00DC1C6C"/>
    <w:rsid w:val="00DC5AA7"/>
    <w:rsid w:val="00DD00E6"/>
    <w:rsid w:val="00DD20E1"/>
    <w:rsid w:val="00DD25FC"/>
    <w:rsid w:val="00DD4977"/>
    <w:rsid w:val="00DD53DB"/>
    <w:rsid w:val="00DD5742"/>
    <w:rsid w:val="00DD739B"/>
    <w:rsid w:val="00DD7956"/>
    <w:rsid w:val="00DE2F55"/>
    <w:rsid w:val="00DE4F13"/>
    <w:rsid w:val="00DE53E8"/>
    <w:rsid w:val="00DF68BC"/>
    <w:rsid w:val="00E03915"/>
    <w:rsid w:val="00E10676"/>
    <w:rsid w:val="00E10CCC"/>
    <w:rsid w:val="00E11451"/>
    <w:rsid w:val="00E13591"/>
    <w:rsid w:val="00E15892"/>
    <w:rsid w:val="00E16019"/>
    <w:rsid w:val="00E2408F"/>
    <w:rsid w:val="00E26DA6"/>
    <w:rsid w:val="00E305CC"/>
    <w:rsid w:val="00E31DD3"/>
    <w:rsid w:val="00E36149"/>
    <w:rsid w:val="00E42A53"/>
    <w:rsid w:val="00E442BD"/>
    <w:rsid w:val="00E476F8"/>
    <w:rsid w:val="00E5206E"/>
    <w:rsid w:val="00E52E92"/>
    <w:rsid w:val="00E54094"/>
    <w:rsid w:val="00E56E1F"/>
    <w:rsid w:val="00E67873"/>
    <w:rsid w:val="00E717A7"/>
    <w:rsid w:val="00E76116"/>
    <w:rsid w:val="00E87201"/>
    <w:rsid w:val="00E93676"/>
    <w:rsid w:val="00EA0ADA"/>
    <w:rsid w:val="00EA789B"/>
    <w:rsid w:val="00EB0722"/>
    <w:rsid w:val="00EB4D46"/>
    <w:rsid w:val="00EB6246"/>
    <w:rsid w:val="00EB6660"/>
    <w:rsid w:val="00EC3219"/>
    <w:rsid w:val="00EC47AA"/>
    <w:rsid w:val="00ED1C2F"/>
    <w:rsid w:val="00ED4FAB"/>
    <w:rsid w:val="00EE0236"/>
    <w:rsid w:val="00EE078C"/>
    <w:rsid w:val="00EF31B6"/>
    <w:rsid w:val="00F01B2D"/>
    <w:rsid w:val="00F12006"/>
    <w:rsid w:val="00F1324F"/>
    <w:rsid w:val="00F204F8"/>
    <w:rsid w:val="00F21601"/>
    <w:rsid w:val="00F4340B"/>
    <w:rsid w:val="00F47A23"/>
    <w:rsid w:val="00F50FB4"/>
    <w:rsid w:val="00F51189"/>
    <w:rsid w:val="00F52428"/>
    <w:rsid w:val="00F54529"/>
    <w:rsid w:val="00F54BDA"/>
    <w:rsid w:val="00F57028"/>
    <w:rsid w:val="00F63523"/>
    <w:rsid w:val="00F63A6B"/>
    <w:rsid w:val="00F64223"/>
    <w:rsid w:val="00F64609"/>
    <w:rsid w:val="00F67CD2"/>
    <w:rsid w:val="00F67E7C"/>
    <w:rsid w:val="00F708AE"/>
    <w:rsid w:val="00F713AB"/>
    <w:rsid w:val="00F716D4"/>
    <w:rsid w:val="00F71CC7"/>
    <w:rsid w:val="00F743C0"/>
    <w:rsid w:val="00F8384C"/>
    <w:rsid w:val="00F85FAD"/>
    <w:rsid w:val="00F9230F"/>
    <w:rsid w:val="00F92909"/>
    <w:rsid w:val="00F9445D"/>
    <w:rsid w:val="00F951DC"/>
    <w:rsid w:val="00F97C26"/>
    <w:rsid w:val="00FB0C9E"/>
    <w:rsid w:val="00FC0B8A"/>
    <w:rsid w:val="00FC1F66"/>
    <w:rsid w:val="00FC3980"/>
    <w:rsid w:val="00FC4BB2"/>
    <w:rsid w:val="00FD5B51"/>
    <w:rsid w:val="00FE7D75"/>
    <w:rsid w:val="00FF152D"/>
    <w:rsid w:val="00FF2D74"/>
    <w:rsid w:val="00FF34AB"/>
    <w:rsid w:val="00FF645A"/>
    <w:rsid w:val="00FF7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B3977"/>
  <w15:docId w15:val="{C1ACE5D4-CD52-48BD-A5E5-BCA58191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F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2C7B"/>
    <w:rPr>
      <w:color w:val="0563C1" w:themeColor="hyperlink"/>
      <w:u w:val="single"/>
    </w:rPr>
  </w:style>
  <w:style w:type="paragraph" w:styleId="ListParagraph">
    <w:name w:val="List Paragraph"/>
    <w:basedOn w:val="Normal"/>
    <w:uiPriority w:val="34"/>
    <w:qFormat/>
    <w:rsid w:val="00A57A1F"/>
    <w:pPr>
      <w:ind w:left="720"/>
      <w:contextualSpacing/>
    </w:pPr>
  </w:style>
  <w:style w:type="paragraph" w:styleId="FootnoteText">
    <w:name w:val="footnote text"/>
    <w:basedOn w:val="Normal"/>
    <w:link w:val="FootnoteTextChar"/>
    <w:uiPriority w:val="99"/>
    <w:unhideWhenUsed/>
    <w:rsid w:val="0008045A"/>
    <w:pPr>
      <w:spacing w:after="0" w:line="240" w:lineRule="auto"/>
    </w:pPr>
    <w:rPr>
      <w:sz w:val="20"/>
      <w:szCs w:val="20"/>
    </w:rPr>
  </w:style>
  <w:style w:type="character" w:customStyle="1" w:styleId="FootnoteTextChar">
    <w:name w:val="Footnote Text Char"/>
    <w:basedOn w:val="DefaultParagraphFont"/>
    <w:link w:val="FootnoteText"/>
    <w:uiPriority w:val="99"/>
    <w:rsid w:val="0008045A"/>
    <w:rPr>
      <w:sz w:val="20"/>
      <w:szCs w:val="20"/>
    </w:rPr>
  </w:style>
  <w:style w:type="character" w:styleId="FootnoteReference">
    <w:name w:val="footnote reference"/>
    <w:basedOn w:val="DefaultParagraphFont"/>
    <w:uiPriority w:val="99"/>
    <w:unhideWhenUsed/>
    <w:rsid w:val="0008045A"/>
    <w:rPr>
      <w:vertAlign w:val="superscript"/>
    </w:rPr>
  </w:style>
  <w:style w:type="character" w:styleId="PlaceholderText">
    <w:name w:val="Placeholder Text"/>
    <w:basedOn w:val="DefaultParagraphFont"/>
    <w:uiPriority w:val="99"/>
    <w:semiHidden/>
    <w:rsid w:val="00C8355D"/>
    <w:rPr>
      <w:color w:val="808080"/>
    </w:rPr>
  </w:style>
  <w:style w:type="paragraph" w:styleId="BalloonText">
    <w:name w:val="Balloon Text"/>
    <w:basedOn w:val="Normal"/>
    <w:link w:val="BalloonTextChar"/>
    <w:uiPriority w:val="99"/>
    <w:semiHidden/>
    <w:unhideWhenUsed/>
    <w:rsid w:val="00AB500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B5004"/>
    <w:rPr>
      <w:rFonts w:ascii="Lucida Grande" w:hAnsi="Lucida Grande"/>
      <w:sz w:val="18"/>
      <w:szCs w:val="18"/>
    </w:rPr>
  </w:style>
  <w:style w:type="table" w:styleId="TableGrid">
    <w:name w:val="Table Grid"/>
    <w:basedOn w:val="TableNormal"/>
    <w:uiPriority w:val="59"/>
    <w:rsid w:val="00316B23"/>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833"/>
  </w:style>
  <w:style w:type="paragraph" w:styleId="Footer">
    <w:name w:val="footer"/>
    <w:basedOn w:val="Normal"/>
    <w:link w:val="FooterChar"/>
    <w:uiPriority w:val="99"/>
    <w:unhideWhenUsed/>
    <w:rsid w:val="00614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833"/>
  </w:style>
  <w:style w:type="character" w:styleId="CommentReference">
    <w:name w:val="annotation reference"/>
    <w:basedOn w:val="DefaultParagraphFont"/>
    <w:uiPriority w:val="99"/>
    <w:semiHidden/>
    <w:unhideWhenUsed/>
    <w:rsid w:val="00F21601"/>
    <w:rPr>
      <w:sz w:val="18"/>
      <w:szCs w:val="18"/>
    </w:rPr>
  </w:style>
  <w:style w:type="paragraph" w:styleId="CommentText">
    <w:name w:val="annotation text"/>
    <w:basedOn w:val="Normal"/>
    <w:link w:val="CommentTextChar"/>
    <w:uiPriority w:val="99"/>
    <w:semiHidden/>
    <w:unhideWhenUsed/>
    <w:rsid w:val="00F21601"/>
    <w:pPr>
      <w:spacing w:line="240" w:lineRule="auto"/>
    </w:pPr>
    <w:rPr>
      <w:sz w:val="24"/>
      <w:szCs w:val="24"/>
    </w:rPr>
  </w:style>
  <w:style w:type="character" w:customStyle="1" w:styleId="CommentTextChar">
    <w:name w:val="Comment Text Char"/>
    <w:basedOn w:val="DefaultParagraphFont"/>
    <w:link w:val="CommentText"/>
    <w:uiPriority w:val="99"/>
    <w:semiHidden/>
    <w:rsid w:val="00F21601"/>
    <w:rPr>
      <w:sz w:val="24"/>
      <w:szCs w:val="24"/>
    </w:rPr>
  </w:style>
  <w:style w:type="paragraph" w:styleId="CommentSubject">
    <w:name w:val="annotation subject"/>
    <w:basedOn w:val="CommentText"/>
    <w:next w:val="CommentText"/>
    <w:link w:val="CommentSubjectChar"/>
    <w:uiPriority w:val="99"/>
    <w:semiHidden/>
    <w:unhideWhenUsed/>
    <w:rsid w:val="00F21601"/>
    <w:rPr>
      <w:b/>
      <w:bCs/>
      <w:sz w:val="20"/>
      <w:szCs w:val="20"/>
    </w:rPr>
  </w:style>
  <w:style w:type="character" w:customStyle="1" w:styleId="CommentSubjectChar">
    <w:name w:val="Comment Subject Char"/>
    <w:basedOn w:val="CommentTextChar"/>
    <w:link w:val="CommentSubject"/>
    <w:uiPriority w:val="99"/>
    <w:semiHidden/>
    <w:rsid w:val="00F21601"/>
    <w:rPr>
      <w:b/>
      <w:bCs/>
      <w:sz w:val="20"/>
      <w:szCs w:val="20"/>
    </w:rPr>
  </w:style>
  <w:style w:type="paragraph" w:styleId="Revision">
    <w:name w:val="Revision"/>
    <w:hidden/>
    <w:uiPriority w:val="99"/>
    <w:semiHidden/>
    <w:rsid w:val="00465E72"/>
    <w:pPr>
      <w:spacing w:after="0" w:line="240" w:lineRule="auto"/>
    </w:pPr>
  </w:style>
  <w:style w:type="character" w:customStyle="1" w:styleId="apple-converted-space">
    <w:name w:val="apple-converted-space"/>
    <w:basedOn w:val="DefaultParagraphFont"/>
    <w:rsid w:val="00057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4038">
      <w:bodyDiv w:val="1"/>
      <w:marLeft w:val="0"/>
      <w:marRight w:val="0"/>
      <w:marTop w:val="0"/>
      <w:marBottom w:val="0"/>
      <w:divBdr>
        <w:top w:val="none" w:sz="0" w:space="0" w:color="auto"/>
        <w:left w:val="none" w:sz="0" w:space="0" w:color="auto"/>
        <w:bottom w:val="none" w:sz="0" w:space="0" w:color="auto"/>
        <w:right w:val="none" w:sz="0" w:space="0" w:color="auto"/>
      </w:divBdr>
    </w:div>
    <w:div w:id="223100489">
      <w:bodyDiv w:val="1"/>
      <w:marLeft w:val="0"/>
      <w:marRight w:val="0"/>
      <w:marTop w:val="0"/>
      <w:marBottom w:val="0"/>
      <w:divBdr>
        <w:top w:val="none" w:sz="0" w:space="0" w:color="auto"/>
        <w:left w:val="none" w:sz="0" w:space="0" w:color="auto"/>
        <w:bottom w:val="none" w:sz="0" w:space="0" w:color="auto"/>
        <w:right w:val="none" w:sz="0" w:space="0" w:color="auto"/>
      </w:divBdr>
      <w:divsChild>
        <w:div w:id="1928268963">
          <w:marLeft w:val="0"/>
          <w:marRight w:val="0"/>
          <w:marTop w:val="0"/>
          <w:marBottom w:val="0"/>
          <w:divBdr>
            <w:top w:val="none" w:sz="0" w:space="0" w:color="auto"/>
            <w:left w:val="none" w:sz="0" w:space="0" w:color="auto"/>
            <w:bottom w:val="none" w:sz="0" w:space="0" w:color="auto"/>
            <w:right w:val="none" w:sz="0" w:space="0" w:color="auto"/>
          </w:divBdr>
        </w:div>
        <w:div w:id="1112358204">
          <w:marLeft w:val="0"/>
          <w:marRight w:val="0"/>
          <w:marTop w:val="0"/>
          <w:marBottom w:val="0"/>
          <w:divBdr>
            <w:top w:val="none" w:sz="0" w:space="0" w:color="auto"/>
            <w:left w:val="none" w:sz="0" w:space="0" w:color="auto"/>
            <w:bottom w:val="none" w:sz="0" w:space="0" w:color="auto"/>
            <w:right w:val="none" w:sz="0" w:space="0" w:color="auto"/>
          </w:divBdr>
        </w:div>
        <w:div w:id="1286740351">
          <w:marLeft w:val="0"/>
          <w:marRight w:val="0"/>
          <w:marTop w:val="0"/>
          <w:marBottom w:val="0"/>
          <w:divBdr>
            <w:top w:val="none" w:sz="0" w:space="0" w:color="auto"/>
            <w:left w:val="none" w:sz="0" w:space="0" w:color="auto"/>
            <w:bottom w:val="none" w:sz="0" w:space="0" w:color="auto"/>
            <w:right w:val="none" w:sz="0" w:space="0" w:color="auto"/>
          </w:divBdr>
        </w:div>
        <w:div w:id="527067830">
          <w:marLeft w:val="0"/>
          <w:marRight w:val="0"/>
          <w:marTop w:val="0"/>
          <w:marBottom w:val="0"/>
          <w:divBdr>
            <w:top w:val="none" w:sz="0" w:space="0" w:color="auto"/>
            <w:left w:val="none" w:sz="0" w:space="0" w:color="auto"/>
            <w:bottom w:val="none" w:sz="0" w:space="0" w:color="auto"/>
            <w:right w:val="none" w:sz="0" w:space="0" w:color="auto"/>
          </w:divBdr>
        </w:div>
        <w:div w:id="1650013188">
          <w:marLeft w:val="0"/>
          <w:marRight w:val="0"/>
          <w:marTop w:val="0"/>
          <w:marBottom w:val="0"/>
          <w:divBdr>
            <w:top w:val="none" w:sz="0" w:space="0" w:color="auto"/>
            <w:left w:val="none" w:sz="0" w:space="0" w:color="auto"/>
            <w:bottom w:val="none" w:sz="0" w:space="0" w:color="auto"/>
            <w:right w:val="none" w:sz="0" w:space="0" w:color="auto"/>
          </w:divBdr>
        </w:div>
        <w:div w:id="40711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jory@soton.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2139/ssrn.17871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139/ssrn.23565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guyenhkhoa@yahoo.com" TargetMode="External"/><Relationship Id="rId4" Type="http://schemas.openxmlformats.org/officeDocument/2006/relationships/settings" Target="settings.xml"/><Relationship Id="rId9" Type="http://schemas.openxmlformats.org/officeDocument/2006/relationships/hyperlink" Target="mailto:ngot@ecu.edu"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thomsonreuters.com/products/financial-risk/content/07_010/thomson-reuters-shareholder-activism-intelligence-v1.3.pdf" TargetMode="External"/><Relationship Id="rId2" Type="http://schemas.openxmlformats.org/officeDocument/2006/relationships/hyperlink" Target="http://www.ft.com" TargetMode="External"/><Relationship Id="rId1" Type="http://schemas.openxmlformats.org/officeDocument/2006/relationships/hyperlink" Target="http://www.businessinsider.com/the-shakers-9-bad-ass-activist-investors-and-the-deals-that-made-them-famous-2012-1?op=1&amp;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348C1-E487-48A0-8746-15950106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11825</Words>
  <Characters>67409</Characters>
  <Application>Microsoft Office Word</Application>
  <DocSecurity>4</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79076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ngo</dc:creator>
  <cp:lastModifiedBy>Balfour S.</cp:lastModifiedBy>
  <cp:revision>2</cp:revision>
  <cp:lastPrinted>2015-10-20T18:15:00Z</cp:lastPrinted>
  <dcterms:created xsi:type="dcterms:W3CDTF">2017-05-10T13:18:00Z</dcterms:created>
  <dcterms:modified xsi:type="dcterms:W3CDTF">2017-05-10T13:18:00Z</dcterms:modified>
</cp:coreProperties>
</file>