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4D577" w14:textId="77777777" w:rsidR="002C6C46" w:rsidRDefault="002C6C46" w:rsidP="002C6C46">
      <w:pPr>
        <w:jc w:val="both"/>
        <w:rPr>
          <w:rFonts w:ascii="Times New Roman" w:hAnsi="Times New Roman" w:cs="Times New Roman"/>
          <w:b/>
        </w:rPr>
      </w:pPr>
      <w:r w:rsidRPr="002C6C46">
        <w:rPr>
          <w:rFonts w:ascii="Times New Roman" w:hAnsi="Times New Roman" w:cs="Times New Roman"/>
          <w:b/>
        </w:rPr>
        <w:t>Unveiling patterns of contestation over Better Regulation reforms in the European Union.</w:t>
      </w:r>
    </w:p>
    <w:p w14:paraId="6B534F1B" w14:textId="77777777" w:rsidR="005856AD" w:rsidRDefault="005856AD" w:rsidP="002C6C46">
      <w:pPr>
        <w:jc w:val="both"/>
        <w:rPr>
          <w:rFonts w:ascii="Times New Roman" w:hAnsi="Times New Roman" w:cs="Times New Roman"/>
          <w:b/>
        </w:rPr>
      </w:pPr>
    </w:p>
    <w:p w14:paraId="760EBFE8" w14:textId="27FA93DD" w:rsidR="005856AD" w:rsidRPr="005856AD" w:rsidRDefault="005856AD" w:rsidP="002C6C46">
      <w:pPr>
        <w:jc w:val="both"/>
        <w:rPr>
          <w:rFonts w:ascii="Times New Roman" w:hAnsi="Times New Roman" w:cs="Times New Roman"/>
          <w:i/>
        </w:rPr>
      </w:pPr>
      <w:r w:rsidRPr="005856AD">
        <w:rPr>
          <w:rFonts w:ascii="Times New Roman" w:hAnsi="Times New Roman" w:cs="Times New Roman"/>
          <w:i/>
        </w:rPr>
        <w:t>Version accepted for publication. April 10</w:t>
      </w:r>
      <w:r w:rsidRPr="005856AD">
        <w:rPr>
          <w:rFonts w:ascii="Times New Roman" w:hAnsi="Times New Roman" w:cs="Times New Roman"/>
          <w:i/>
          <w:vertAlign w:val="superscript"/>
        </w:rPr>
        <w:t>th</w:t>
      </w:r>
      <w:r w:rsidRPr="005856AD">
        <w:rPr>
          <w:rFonts w:ascii="Times New Roman" w:hAnsi="Times New Roman" w:cs="Times New Roman"/>
          <w:i/>
        </w:rPr>
        <w:t>, 2017.</w:t>
      </w:r>
    </w:p>
    <w:p w14:paraId="149E25A7" w14:textId="77777777" w:rsidR="002C6C46" w:rsidRDefault="002C6C46" w:rsidP="002C6C46">
      <w:pPr>
        <w:spacing w:line="360" w:lineRule="auto"/>
        <w:jc w:val="both"/>
        <w:rPr>
          <w:rFonts w:ascii="Times New Roman" w:hAnsi="Times New Roman" w:cs="Times New Roman"/>
          <w:b/>
        </w:rPr>
      </w:pPr>
    </w:p>
    <w:p w14:paraId="12172F0B" w14:textId="0DDD8903" w:rsidR="002C6C46" w:rsidRPr="002C6C46" w:rsidRDefault="002C6C46" w:rsidP="002C6C46">
      <w:pPr>
        <w:jc w:val="both"/>
        <w:rPr>
          <w:rFonts w:ascii="Times New Roman" w:hAnsi="Times New Roman" w:cs="Times New Roman"/>
        </w:rPr>
      </w:pPr>
      <w:r w:rsidRPr="002C6C46">
        <w:rPr>
          <w:rFonts w:ascii="Times New Roman" w:hAnsi="Times New Roman" w:cs="Times New Roman"/>
        </w:rPr>
        <w:t>Adriana Bunea, University of Southampton</w:t>
      </w:r>
    </w:p>
    <w:p w14:paraId="5ABFDF12" w14:textId="76760B96" w:rsidR="002C6C46" w:rsidRDefault="002C6C46" w:rsidP="002C6C46">
      <w:pPr>
        <w:jc w:val="both"/>
        <w:rPr>
          <w:rFonts w:ascii="Times New Roman" w:hAnsi="Times New Roman" w:cs="Times New Roman"/>
        </w:rPr>
      </w:pPr>
      <w:r w:rsidRPr="002C6C46">
        <w:rPr>
          <w:rFonts w:ascii="Times New Roman" w:hAnsi="Times New Roman" w:cs="Times New Roman"/>
        </w:rPr>
        <w:t>Raimondas Ibenskas,</w:t>
      </w:r>
      <w:r>
        <w:rPr>
          <w:rFonts w:ascii="Times New Roman" w:hAnsi="Times New Roman" w:cs="Times New Roman"/>
          <w:b/>
        </w:rPr>
        <w:t xml:space="preserve"> </w:t>
      </w:r>
      <w:r w:rsidRPr="002C6C46">
        <w:rPr>
          <w:rFonts w:ascii="Times New Roman" w:hAnsi="Times New Roman" w:cs="Times New Roman"/>
        </w:rPr>
        <w:t>University of Southampton</w:t>
      </w:r>
    </w:p>
    <w:p w14:paraId="29A774E7" w14:textId="77777777" w:rsidR="002C6C46" w:rsidRDefault="002C6C46" w:rsidP="002C6C46">
      <w:pPr>
        <w:jc w:val="both"/>
        <w:rPr>
          <w:rFonts w:ascii="Times New Roman" w:hAnsi="Times New Roman" w:cs="Times New Roman"/>
          <w:b/>
        </w:rPr>
      </w:pPr>
    </w:p>
    <w:p w14:paraId="6361EA7F" w14:textId="77777777" w:rsidR="002C6C46" w:rsidRDefault="002C6C46" w:rsidP="002C6C46">
      <w:pPr>
        <w:jc w:val="both"/>
        <w:rPr>
          <w:rFonts w:ascii="Times New Roman" w:hAnsi="Times New Roman" w:cs="Times New Roman"/>
          <w:b/>
        </w:rPr>
      </w:pPr>
      <w:r w:rsidRPr="00E860BD">
        <w:rPr>
          <w:rFonts w:ascii="Times New Roman" w:hAnsi="Times New Roman" w:cs="Times New Roman"/>
          <w:b/>
        </w:rPr>
        <w:t>Abstract</w:t>
      </w:r>
    </w:p>
    <w:p w14:paraId="74C8403C" w14:textId="3E6E08FE" w:rsidR="002C6C46" w:rsidRPr="002C6C46" w:rsidRDefault="002C6C46" w:rsidP="002C6C46">
      <w:pPr>
        <w:jc w:val="both"/>
        <w:rPr>
          <w:rFonts w:ascii="Times New Roman" w:hAnsi="Times New Roman" w:cs="Times New Roman"/>
          <w:b/>
        </w:rPr>
      </w:pPr>
      <w:r>
        <w:rPr>
          <w:rFonts w:ascii="Times New Roman" w:hAnsi="Times New Roman" w:cs="Times New Roman"/>
        </w:rPr>
        <w:t xml:space="preserve">Regulatory reforms labeled </w:t>
      </w:r>
      <w:r w:rsidRPr="00125D21">
        <w:rPr>
          <w:rFonts w:ascii="Times New Roman" w:hAnsi="Times New Roman" w:cs="Times New Roman"/>
        </w:rPr>
        <w:t>‘Better Regulation’</w:t>
      </w:r>
      <w:r>
        <w:rPr>
          <w:rFonts w:ascii="Times New Roman" w:hAnsi="Times New Roman" w:cs="Times New Roman"/>
        </w:rPr>
        <w:t xml:space="preserve"> </w:t>
      </w:r>
      <w:r w:rsidRPr="00125D21">
        <w:rPr>
          <w:rFonts w:ascii="Times New Roman" w:hAnsi="Times New Roman" w:cs="Times New Roman"/>
        </w:rPr>
        <w:t xml:space="preserve">are a prominent item on the political agendas of </w:t>
      </w:r>
      <w:r>
        <w:rPr>
          <w:rFonts w:ascii="Times New Roman" w:hAnsi="Times New Roman" w:cs="Times New Roman"/>
        </w:rPr>
        <w:t xml:space="preserve">most advanced </w:t>
      </w:r>
      <w:r w:rsidRPr="00125D21">
        <w:rPr>
          <w:rFonts w:ascii="Times New Roman" w:hAnsi="Times New Roman" w:cs="Times New Roman"/>
        </w:rPr>
        <w:t xml:space="preserve">democracies and the </w:t>
      </w:r>
      <w:r>
        <w:rPr>
          <w:rFonts w:ascii="Times New Roman" w:hAnsi="Times New Roman" w:cs="Times New Roman"/>
        </w:rPr>
        <w:t>European Union</w:t>
      </w:r>
      <w:r w:rsidRPr="00125D21">
        <w:rPr>
          <w:rFonts w:ascii="Times New Roman" w:hAnsi="Times New Roman" w:cs="Times New Roman"/>
        </w:rPr>
        <w:t>.</w:t>
      </w:r>
      <w:r>
        <w:rPr>
          <w:rFonts w:ascii="Times New Roman" w:hAnsi="Times New Roman" w:cs="Times New Roman"/>
        </w:rPr>
        <w:t xml:space="preserve"> Governments adopt Better Regulation measures to </w:t>
      </w:r>
      <w:r w:rsidRPr="00F56901">
        <w:rPr>
          <w:rFonts w:ascii="Times New Roman" w:hAnsi="Times New Roman" w:cs="Times New Roman"/>
        </w:rPr>
        <w:t>strengthen their democratic legitimacy and increase their regulatory and economic effectiveness</w:t>
      </w:r>
      <w:r>
        <w:rPr>
          <w:rFonts w:ascii="Times New Roman" w:hAnsi="Times New Roman" w:cs="Times New Roman"/>
        </w:rPr>
        <w:t xml:space="preserve">. Notwithstanding their </w:t>
      </w:r>
      <w:r w:rsidRPr="00DD0C1B">
        <w:rPr>
          <w:rFonts w:ascii="Times New Roman" w:hAnsi="Times New Roman" w:cs="Times New Roman"/>
        </w:rPr>
        <w:t>rhetorical appeal, their design and implementation are susceptible to high levels of political contestation.</w:t>
      </w:r>
      <w:r>
        <w:rPr>
          <w:rFonts w:ascii="Times New Roman" w:hAnsi="Times New Roman" w:cs="Times New Roman"/>
        </w:rPr>
        <w:t xml:space="preserve"> </w:t>
      </w:r>
      <w:r w:rsidRPr="00F56901">
        <w:rPr>
          <w:rFonts w:ascii="Times New Roman" w:hAnsi="Times New Roman" w:cs="Times New Roman"/>
        </w:rPr>
        <w:t xml:space="preserve">We </w:t>
      </w:r>
      <w:r>
        <w:rPr>
          <w:rFonts w:ascii="Times New Roman" w:hAnsi="Times New Roman" w:cs="Times New Roman"/>
        </w:rPr>
        <w:t xml:space="preserve">therefore ask: </w:t>
      </w:r>
      <w:r w:rsidRPr="00843D4D">
        <w:rPr>
          <w:rFonts w:ascii="Times New Roman" w:hAnsi="Times New Roman" w:cs="Times New Roman"/>
        </w:rPr>
        <w:t xml:space="preserve">are there systematic differences in stakeholders’ demands for what Better Regulation should achieve? </w:t>
      </w:r>
      <w:r>
        <w:rPr>
          <w:rFonts w:ascii="Times New Roman" w:hAnsi="Times New Roman" w:cs="Times New Roman"/>
        </w:rPr>
        <w:t>What</w:t>
      </w:r>
      <w:r w:rsidRPr="00843D4D">
        <w:rPr>
          <w:rFonts w:ascii="Times New Roman" w:hAnsi="Times New Roman" w:cs="Times New Roman"/>
        </w:rPr>
        <w:t xml:space="preserve"> explains these differences?</w:t>
      </w:r>
      <w:r>
        <w:rPr>
          <w:rFonts w:ascii="Times New Roman" w:hAnsi="Times New Roman" w:cs="Times New Roman"/>
          <w:i/>
        </w:rPr>
        <w:t xml:space="preserve"> </w:t>
      </w:r>
      <w:r>
        <w:rPr>
          <w:rFonts w:ascii="Times New Roman" w:hAnsi="Times New Roman" w:cs="Times New Roman"/>
        </w:rPr>
        <w:t xml:space="preserve">We argue that </w:t>
      </w:r>
      <w:r w:rsidRPr="002C1A92">
        <w:rPr>
          <w:rFonts w:ascii="Times New Roman" w:hAnsi="Times New Roman" w:cs="Times New Roman"/>
        </w:rPr>
        <w:t>conflict over Better Regulation is rooted in what stakeholders prefer as a regulatory system of governance.</w:t>
      </w:r>
      <w:r w:rsidRPr="00843D4D">
        <w:rPr>
          <w:rFonts w:ascii="Times New Roman" w:hAnsi="Times New Roman" w:cs="Times New Roman"/>
        </w:rPr>
        <w:t xml:space="preserve"> </w:t>
      </w:r>
      <w:r>
        <w:rPr>
          <w:rFonts w:ascii="Times New Roman" w:hAnsi="Times New Roman" w:cs="Times New Roman"/>
        </w:rPr>
        <w:t>S</w:t>
      </w:r>
      <w:r w:rsidRPr="002C1A92">
        <w:rPr>
          <w:rFonts w:ascii="Times New Roman" w:hAnsi="Times New Roman" w:cs="Times New Roman"/>
        </w:rPr>
        <w:t xml:space="preserve">takeholders demand for </w:t>
      </w:r>
      <w:r>
        <w:rPr>
          <w:rFonts w:ascii="Times New Roman" w:hAnsi="Times New Roman" w:cs="Times New Roman"/>
        </w:rPr>
        <w:t>reforms</w:t>
      </w:r>
      <w:r w:rsidRPr="002C1A92">
        <w:rPr>
          <w:rFonts w:ascii="Times New Roman" w:hAnsi="Times New Roman" w:cs="Times New Roman"/>
        </w:rPr>
        <w:t xml:space="preserve"> that lead to one of the following three scenarios: </w:t>
      </w:r>
      <w:r w:rsidRPr="00843D4D">
        <w:rPr>
          <w:rFonts w:ascii="Times New Roman" w:hAnsi="Times New Roman" w:cs="Times New Roman"/>
        </w:rPr>
        <w:t>deregulation, technocratic or participatory policymaking.</w:t>
      </w:r>
      <w:r>
        <w:rPr>
          <w:rFonts w:ascii="Times New Roman" w:hAnsi="Times New Roman" w:cs="Times New Roman"/>
        </w:rPr>
        <w:t xml:space="preserve"> </w:t>
      </w:r>
      <w:r w:rsidRPr="00DD0C1B">
        <w:rPr>
          <w:rFonts w:ascii="Times New Roman" w:hAnsi="Times New Roman" w:cs="Times New Roman"/>
        </w:rPr>
        <w:t xml:space="preserve">We </w:t>
      </w:r>
      <w:r>
        <w:rPr>
          <w:rFonts w:ascii="Times New Roman" w:hAnsi="Times New Roman" w:cs="Times New Roman"/>
        </w:rPr>
        <w:t>examine</w:t>
      </w:r>
      <w:r w:rsidRPr="00DD0C1B">
        <w:rPr>
          <w:rFonts w:ascii="Times New Roman" w:hAnsi="Times New Roman" w:cs="Times New Roman"/>
        </w:rPr>
        <w:t xml:space="preserve"> stakeholders’ demands expressed in the </w:t>
      </w:r>
      <w:r>
        <w:rPr>
          <w:rFonts w:ascii="Times New Roman" w:hAnsi="Times New Roman" w:cs="Times New Roman"/>
        </w:rPr>
        <w:t>EU. We find that national</w:t>
      </w:r>
      <w:r w:rsidRPr="002C1A92">
        <w:rPr>
          <w:rFonts w:ascii="Times New Roman" w:hAnsi="Times New Roman" w:cs="Times New Roman"/>
        </w:rPr>
        <w:t xml:space="preserve"> authorities responsible </w:t>
      </w:r>
      <w:r>
        <w:rPr>
          <w:rFonts w:ascii="Times New Roman" w:hAnsi="Times New Roman" w:cs="Times New Roman"/>
        </w:rPr>
        <w:t>for coordinating</w:t>
      </w:r>
      <w:r w:rsidRPr="002C1A92">
        <w:rPr>
          <w:rFonts w:ascii="Times New Roman" w:hAnsi="Times New Roman" w:cs="Times New Roman"/>
        </w:rPr>
        <w:t xml:space="preserve"> Better Regulation </w:t>
      </w:r>
      <w:r>
        <w:rPr>
          <w:rFonts w:ascii="Times New Roman" w:hAnsi="Times New Roman" w:cs="Times New Roman"/>
        </w:rPr>
        <w:t xml:space="preserve">and cross-sectoral business organizations </w:t>
      </w:r>
      <w:r w:rsidRPr="002C1A92">
        <w:rPr>
          <w:rFonts w:ascii="Times New Roman" w:hAnsi="Times New Roman" w:cs="Times New Roman"/>
        </w:rPr>
        <w:t xml:space="preserve">support </w:t>
      </w:r>
      <w:r w:rsidRPr="00843D4D">
        <w:rPr>
          <w:rFonts w:ascii="Times New Roman" w:hAnsi="Times New Roman" w:cs="Times New Roman"/>
        </w:rPr>
        <w:t>deregulatory and technocratic reforms</w:t>
      </w:r>
      <w:r w:rsidRPr="002C1A92">
        <w:rPr>
          <w:rFonts w:ascii="Times New Roman" w:hAnsi="Times New Roman" w:cs="Times New Roman"/>
        </w:rPr>
        <w:t xml:space="preserve">. </w:t>
      </w:r>
      <w:r>
        <w:rPr>
          <w:rFonts w:ascii="Times New Roman" w:hAnsi="Times New Roman" w:cs="Times New Roman"/>
        </w:rPr>
        <w:t>B</w:t>
      </w:r>
      <w:r w:rsidRPr="002C1A92">
        <w:rPr>
          <w:rFonts w:ascii="Times New Roman" w:hAnsi="Times New Roman" w:cs="Times New Roman"/>
        </w:rPr>
        <w:t xml:space="preserve">usiness and public interest </w:t>
      </w:r>
      <w:r>
        <w:rPr>
          <w:rFonts w:ascii="Times New Roman" w:hAnsi="Times New Roman" w:cs="Times New Roman"/>
        </w:rPr>
        <w:t>organizations</w:t>
      </w:r>
      <w:r w:rsidRPr="002C1A92">
        <w:rPr>
          <w:rFonts w:ascii="Times New Roman" w:hAnsi="Times New Roman" w:cs="Times New Roman"/>
        </w:rPr>
        <w:t xml:space="preserve"> are equally supportive of </w:t>
      </w:r>
      <w:r>
        <w:rPr>
          <w:rFonts w:ascii="Times New Roman" w:hAnsi="Times New Roman" w:cs="Times New Roman"/>
        </w:rPr>
        <w:t>strengthening</w:t>
      </w:r>
      <w:r w:rsidRPr="002C1A92">
        <w:rPr>
          <w:rFonts w:ascii="Times New Roman" w:hAnsi="Times New Roman" w:cs="Times New Roman"/>
        </w:rPr>
        <w:t xml:space="preserve"> participatory policymaking.</w:t>
      </w:r>
    </w:p>
    <w:p w14:paraId="415545DE" w14:textId="77777777" w:rsidR="002C6C46" w:rsidRDefault="002C6C46" w:rsidP="002C6C46">
      <w:pPr>
        <w:jc w:val="both"/>
        <w:rPr>
          <w:rFonts w:ascii="Times New Roman" w:hAnsi="Times New Roman" w:cs="Times New Roman"/>
        </w:rPr>
      </w:pPr>
    </w:p>
    <w:p w14:paraId="7F662A17" w14:textId="77777777" w:rsidR="002C6C46" w:rsidRDefault="002C6C46" w:rsidP="002C6C46">
      <w:pPr>
        <w:jc w:val="both"/>
        <w:rPr>
          <w:rFonts w:ascii="Times New Roman" w:hAnsi="Times New Roman" w:cs="Times New Roman"/>
        </w:rPr>
      </w:pPr>
    </w:p>
    <w:p w14:paraId="0D69A966" w14:textId="77777777" w:rsidR="002C6C46" w:rsidRDefault="002C6C46" w:rsidP="002C6C46">
      <w:pPr>
        <w:jc w:val="both"/>
        <w:rPr>
          <w:rFonts w:ascii="Times New Roman" w:hAnsi="Times New Roman" w:cs="Times New Roman"/>
        </w:rPr>
      </w:pPr>
    </w:p>
    <w:p w14:paraId="2994570B" w14:textId="77777777" w:rsidR="002C6C46" w:rsidRDefault="002C6C46" w:rsidP="002C6C46">
      <w:pPr>
        <w:jc w:val="both"/>
        <w:rPr>
          <w:rFonts w:ascii="Times New Roman" w:hAnsi="Times New Roman" w:cs="Times New Roman"/>
          <w:b/>
        </w:rPr>
      </w:pPr>
      <w:r w:rsidRPr="00E860BD">
        <w:rPr>
          <w:rFonts w:ascii="Times New Roman" w:hAnsi="Times New Roman" w:cs="Times New Roman"/>
          <w:b/>
        </w:rPr>
        <w:t xml:space="preserve">Key words </w:t>
      </w:r>
    </w:p>
    <w:p w14:paraId="3ADC022F" w14:textId="77777777" w:rsidR="002C6C46" w:rsidRPr="00843D4D" w:rsidRDefault="002C6C46" w:rsidP="002C6C46">
      <w:pPr>
        <w:jc w:val="both"/>
        <w:rPr>
          <w:rFonts w:ascii="Times New Roman" w:hAnsi="Times New Roman" w:cs="Times New Roman"/>
        </w:rPr>
      </w:pPr>
    </w:p>
    <w:p w14:paraId="254C9FF7" w14:textId="77777777" w:rsidR="002C6C46" w:rsidRPr="00843D4D" w:rsidRDefault="002C6C46" w:rsidP="002C6C46">
      <w:pPr>
        <w:jc w:val="both"/>
        <w:rPr>
          <w:rFonts w:ascii="Times New Roman" w:hAnsi="Times New Roman" w:cs="Times New Roman"/>
        </w:rPr>
      </w:pPr>
      <w:r w:rsidRPr="00843D4D">
        <w:rPr>
          <w:rFonts w:ascii="Times New Roman" w:hAnsi="Times New Roman" w:cs="Times New Roman"/>
        </w:rPr>
        <w:t xml:space="preserve">Better Regulation, European Union, </w:t>
      </w:r>
      <w:r>
        <w:rPr>
          <w:rFonts w:ascii="Times New Roman" w:hAnsi="Times New Roman" w:cs="Times New Roman"/>
        </w:rPr>
        <w:t xml:space="preserve">regulatory governance, </w:t>
      </w:r>
      <w:r w:rsidRPr="00843D4D">
        <w:rPr>
          <w:rFonts w:ascii="Times New Roman" w:hAnsi="Times New Roman" w:cs="Times New Roman"/>
        </w:rPr>
        <w:t>stakeholders</w:t>
      </w:r>
      <w:r>
        <w:rPr>
          <w:rFonts w:ascii="Times New Roman" w:hAnsi="Times New Roman" w:cs="Times New Roman"/>
        </w:rPr>
        <w:t xml:space="preserve">, policy demands, </w:t>
      </w:r>
      <w:r w:rsidRPr="00843D4D">
        <w:rPr>
          <w:rFonts w:ascii="Times New Roman" w:hAnsi="Times New Roman" w:cs="Times New Roman"/>
        </w:rPr>
        <w:t>deregulation, technocratic policymaking, participatory policymaking.</w:t>
      </w:r>
    </w:p>
    <w:p w14:paraId="07A186DF" w14:textId="77777777" w:rsidR="002C6C46" w:rsidRDefault="002C6C46" w:rsidP="002C6C46">
      <w:pPr>
        <w:jc w:val="both"/>
        <w:rPr>
          <w:rFonts w:ascii="Times New Roman" w:hAnsi="Times New Roman" w:cs="Times New Roman"/>
          <w:b/>
        </w:rPr>
      </w:pPr>
    </w:p>
    <w:p w14:paraId="7ACFF8E1" w14:textId="77777777" w:rsidR="002C6C46" w:rsidRDefault="002C6C46" w:rsidP="00476AF8">
      <w:pPr>
        <w:spacing w:line="480" w:lineRule="auto"/>
        <w:jc w:val="both"/>
        <w:rPr>
          <w:rFonts w:ascii="Times New Roman" w:hAnsi="Times New Roman" w:cs="Times New Roman"/>
          <w:b/>
        </w:rPr>
      </w:pPr>
    </w:p>
    <w:p w14:paraId="178BBBDD" w14:textId="77777777" w:rsidR="002C6C46" w:rsidRDefault="002C6C46" w:rsidP="00476AF8">
      <w:pPr>
        <w:spacing w:line="480" w:lineRule="auto"/>
        <w:jc w:val="both"/>
        <w:rPr>
          <w:rFonts w:ascii="Times New Roman" w:hAnsi="Times New Roman" w:cs="Times New Roman"/>
          <w:b/>
        </w:rPr>
      </w:pPr>
    </w:p>
    <w:p w14:paraId="66B2C4F4" w14:textId="77777777" w:rsidR="002C6C46" w:rsidRDefault="002C6C46" w:rsidP="00476AF8">
      <w:pPr>
        <w:spacing w:line="480" w:lineRule="auto"/>
        <w:jc w:val="both"/>
        <w:rPr>
          <w:rFonts w:ascii="Times New Roman" w:hAnsi="Times New Roman" w:cs="Times New Roman"/>
          <w:b/>
        </w:rPr>
      </w:pPr>
    </w:p>
    <w:p w14:paraId="733AC344" w14:textId="77777777" w:rsidR="002C6C46" w:rsidRDefault="002C6C46" w:rsidP="00476AF8">
      <w:pPr>
        <w:spacing w:line="480" w:lineRule="auto"/>
        <w:jc w:val="both"/>
        <w:rPr>
          <w:rFonts w:ascii="Times New Roman" w:hAnsi="Times New Roman" w:cs="Times New Roman"/>
          <w:b/>
        </w:rPr>
      </w:pPr>
    </w:p>
    <w:p w14:paraId="306206DC" w14:textId="77777777" w:rsidR="002C6C46" w:rsidRDefault="002C6C46" w:rsidP="00476AF8">
      <w:pPr>
        <w:spacing w:line="480" w:lineRule="auto"/>
        <w:jc w:val="both"/>
        <w:rPr>
          <w:rFonts w:ascii="Times New Roman" w:hAnsi="Times New Roman" w:cs="Times New Roman"/>
          <w:b/>
        </w:rPr>
      </w:pPr>
    </w:p>
    <w:p w14:paraId="3BADE2D7" w14:textId="77777777" w:rsidR="002C6C46" w:rsidRDefault="002C6C46" w:rsidP="00476AF8">
      <w:pPr>
        <w:spacing w:line="480" w:lineRule="auto"/>
        <w:jc w:val="both"/>
        <w:rPr>
          <w:rFonts w:ascii="Times New Roman" w:hAnsi="Times New Roman" w:cs="Times New Roman"/>
          <w:b/>
        </w:rPr>
      </w:pPr>
    </w:p>
    <w:p w14:paraId="18E41F6F" w14:textId="77777777" w:rsidR="002C6C46" w:rsidRDefault="002C6C46" w:rsidP="00476AF8">
      <w:pPr>
        <w:spacing w:line="480" w:lineRule="auto"/>
        <w:jc w:val="both"/>
        <w:rPr>
          <w:rFonts w:ascii="Times New Roman" w:hAnsi="Times New Roman" w:cs="Times New Roman"/>
          <w:b/>
        </w:rPr>
      </w:pPr>
    </w:p>
    <w:p w14:paraId="7FC4B73A" w14:textId="77777777" w:rsidR="002C6C46" w:rsidRDefault="002C6C46" w:rsidP="00476AF8">
      <w:pPr>
        <w:spacing w:line="480" w:lineRule="auto"/>
        <w:jc w:val="both"/>
        <w:rPr>
          <w:rFonts w:ascii="Times New Roman" w:hAnsi="Times New Roman" w:cs="Times New Roman"/>
          <w:b/>
        </w:rPr>
      </w:pPr>
    </w:p>
    <w:p w14:paraId="690BA424" w14:textId="77777777" w:rsidR="002C6C46" w:rsidRDefault="002C6C46" w:rsidP="00476AF8">
      <w:pPr>
        <w:spacing w:line="480" w:lineRule="auto"/>
        <w:jc w:val="both"/>
        <w:rPr>
          <w:rFonts w:ascii="Times New Roman" w:hAnsi="Times New Roman" w:cs="Times New Roman"/>
          <w:b/>
        </w:rPr>
      </w:pPr>
    </w:p>
    <w:p w14:paraId="00843D1E" w14:textId="1F179DB0" w:rsidR="0092007E" w:rsidRPr="00E860BD" w:rsidRDefault="00F56901" w:rsidP="00476AF8">
      <w:pPr>
        <w:spacing w:line="480" w:lineRule="auto"/>
        <w:jc w:val="both"/>
        <w:rPr>
          <w:rFonts w:ascii="Times New Roman" w:hAnsi="Times New Roman" w:cs="Times New Roman"/>
          <w:b/>
        </w:rPr>
      </w:pPr>
      <w:r w:rsidRPr="00E860BD">
        <w:rPr>
          <w:rFonts w:ascii="Times New Roman" w:hAnsi="Times New Roman" w:cs="Times New Roman"/>
          <w:b/>
        </w:rPr>
        <w:lastRenderedPageBreak/>
        <w:t>Introduction</w:t>
      </w:r>
    </w:p>
    <w:p w14:paraId="6C295980" w14:textId="3B3D7E9E" w:rsidR="0092007E" w:rsidRPr="00F56901" w:rsidRDefault="00F56901" w:rsidP="00495265">
      <w:pPr>
        <w:spacing w:line="360" w:lineRule="auto"/>
        <w:jc w:val="both"/>
        <w:rPr>
          <w:rFonts w:ascii="Times New Roman" w:hAnsi="Times New Roman" w:cs="Times New Roman"/>
        </w:rPr>
      </w:pPr>
      <w:r>
        <w:rPr>
          <w:rFonts w:ascii="Times New Roman" w:hAnsi="Times New Roman" w:cs="Times New Roman"/>
        </w:rPr>
        <w:t xml:space="preserve">Regulatory reforms </w:t>
      </w:r>
      <w:r w:rsidRPr="00972080">
        <w:rPr>
          <w:rFonts w:ascii="Times New Roman" w:hAnsi="Times New Roman" w:cs="Times New Roman"/>
          <w:lang w:val="en-GB"/>
        </w:rPr>
        <w:t>label</w:t>
      </w:r>
      <w:r w:rsidR="00246C96">
        <w:rPr>
          <w:rFonts w:ascii="Times New Roman" w:hAnsi="Times New Roman" w:cs="Times New Roman"/>
          <w:lang w:val="en-GB"/>
        </w:rPr>
        <w:t>l</w:t>
      </w:r>
      <w:r w:rsidRPr="00972080">
        <w:rPr>
          <w:rFonts w:ascii="Times New Roman" w:hAnsi="Times New Roman" w:cs="Times New Roman"/>
          <w:lang w:val="en-GB"/>
        </w:rPr>
        <w:t>ed</w:t>
      </w:r>
      <w:r>
        <w:rPr>
          <w:rFonts w:ascii="Times New Roman" w:hAnsi="Times New Roman" w:cs="Times New Roman"/>
        </w:rPr>
        <w:t xml:space="preserve"> ‘Better Regulation’</w:t>
      </w:r>
      <w:r w:rsidR="0092007E" w:rsidRPr="00F56901">
        <w:rPr>
          <w:rFonts w:ascii="Times New Roman" w:hAnsi="Times New Roman" w:cs="Times New Roman"/>
        </w:rPr>
        <w:t xml:space="preserve"> have recently become one of the prominent items on the political reform agendas of </w:t>
      </w:r>
      <w:r w:rsidR="00BE7831" w:rsidRPr="00F56901">
        <w:rPr>
          <w:rFonts w:ascii="Times New Roman" w:hAnsi="Times New Roman" w:cs="Times New Roman"/>
        </w:rPr>
        <w:t>several</w:t>
      </w:r>
      <w:r w:rsidR="0092007E" w:rsidRPr="00F56901">
        <w:rPr>
          <w:rFonts w:ascii="Times New Roman" w:hAnsi="Times New Roman" w:cs="Times New Roman"/>
        </w:rPr>
        <w:t xml:space="preserve"> advanced industrial democracies and the European Union. Experiencing increasingly </w:t>
      </w:r>
      <w:r>
        <w:rPr>
          <w:rFonts w:ascii="Times New Roman" w:hAnsi="Times New Roman" w:cs="Times New Roman"/>
        </w:rPr>
        <w:t>regulatory profiles (</w:t>
      </w:r>
      <w:r w:rsidR="0092007E" w:rsidRPr="00F56901">
        <w:rPr>
          <w:rFonts w:ascii="Times New Roman" w:hAnsi="Times New Roman" w:cs="Times New Roman"/>
        </w:rPr>
        <w:t>Majone</w:t>
      </w:r>
      <w:r>
        <w:rPr>
          <w:rFonts w:ascii="Times New Roman" w:hAnsi="Times New Roman" w:cs="Times New Roman"/>
        </w:rPr>
        <w:t xml:space="preserve"> 1994)</w:t>
      </w:r>
      <w:r w:rsidR="0092007E" w:rsidRPr="00F56901">
        <w:rPr>
          <w:rFonts w:ascii="Times New Roman" w:hAnsi="Times New Roman" w:cs="Times New Roman"/>
        </w:rPr>
        <w:t>, contemporary Western systems of governance adopt Better Regulation measures to strengthen their democratic legitimacy and increase their regulatory and economic effectiveness</w:t>
      </w:r>
      <w:r w:rsidR="009C283B">
        <w:rPr>
          <w:rFonts w:ascii="Times New Roman" w:hAnsi="Times New Roman" w:cs="Times New Roman"/>
        </w:rPr>
        <w:t xml:space="preserve"> (Baldwin et al. 2012</w:t>
      </w:r>
      <w:r w:rsidR="00C52A90">
        <w:rPr>
          <w:rFonts w:ascii="Times New Roman" w:hAnsi="Times New Roman" w:cs="Times New Roman"/>
        </w:rPr>
        <w:t>,</w:t>
      </w:r>
      <w:r w:rsidR="00DD3776">
        <w:rPr>
          <w:rFonts w:ascii="Times New Roman" w:hAnsi="Times New Roman" w:cs="Times New Roman"/>
        </w:rPr>
        <w:t xml:space="preserve"> </w:t>
      </w:r>
      <w:r w:rsidR="00C52A90">
        <w:rPr>
          <w:rFonts w:ascii="Times New Roman" w:hAnsi="Times New Roman" w:cs="Times New Roman"/>
        </w:rPr>
        <w:t xml:space="preserve">p. </w:t>
      </w:r>
      <w:r w:rsidR="00DD3776">
        <w:rPr>
          <w:rFonts w:ascii="Times New Roman" w:hAnsi="Times New Roman" w:cs="Times New Roman"/>
        </w:rPr>
        <w:t>377</w:t>
      </w:r>
      <w:r w:rsidR="009C283B">
        <w:rPr>
          <w:rFonts w:ascii="Times New Roman" w:hAnsi="Times New Roman" w:cs="Times New Roman"/>
        </w:rPr>
        <w:t>)</w:t>
      </w:r>
      <w:r w:rsidR="0092007E" w:rsidRPr="00F56901">
        <w:rPr>
          <w:rFonts w:ascii="Times New Roman" w:hAnsi="Times New Roman" w:cs="Times New Roman"/>
        </w:rPr>
        <w:t>. Better Regulation tools such as regulatory impact assessments, consultations with stakeholders and ex-post evaluations of regulatory interventions are used by governments to</w:t>
      </w:r>
      <w:r w:rsidR="008467D9">
        <w:rPr>
          <w:rFonts w:ascii="Times New Roman" w:hAnsi="Times New Roman" w:cs="Times New Roman"/>
        </w:rPr>
        <w:t xml:space="preserve"> </w:t>
      </w:r>
      <w:r w:rsidR="0092007E" w:rsidRPr="00F56901">
        <w:rPr>
          <w:rFonts w:ascii="Times New Roman" w:hAnsi="Times New Roman" w:cs="Times New Roman"/>
        </w:rPr>
        <w:t>ensure input, throughput and output legitimacy for their policymaking and to address perceived failures of regulation such as extensive administrative burdens on business</w:t>
      </w:r>
      <w:r w:rsidR="00D54261" w:rsidRPr="00F56901">
        <w:rPr>
          <w:rFonts w:ascii="Times New Roman" w:hAnsi="Times New Roman" w:cs="Times New Roman"/>
        </w:rPr>
        <w:t>, insufficient</w:t>
      </w:r>
      <w:r w:rsidR="0092007E" w:rsidRPr="00F56901">
        <w:rPr>
          <w:rFonts w:ascii="Times New Roman" w:hAnsi="Times New Roman" w:cs="Times New Roman"/>
        </w:rPr>
        <w:t xml:space="preserve"> use of scientific evidence in preparing public policies, </w:t>
      </w:r>
      <w:r w:rsidR="002E56F8">
        <w:rPr>
          <w:rFonts w:ascii="Times New Roman" w:hAnsi="Times New Roman" w:cs="Times New Roman"/>
        </w:rPr>
        <w:t>biased</w:t>
      </w:r>
      <w:r w:rsidR="002E56F8" w:rsidRPr="00F56901">
        <w:rPr>
          <w:rFonts w:ascii="Times New Roman" w:hAnsi="Times New Roman" w:cs="Times New Roman"/>
        </w:rPr>
        <w:t xml:space="preserve"> </w:t>
      </w:r>
      <w:r w:rsidR="0092007E" w:rsidRPr="00F56901">
        <w:rPr>
          <w:rFonts w:ascii="Times New Roman" w:hAnsi="Times New Roman" w:cs="Times New Roman"/>
        </w:rPr>
        <w:t>interest represent</w:t>
      </w:r>
      <w:r>
        <w:rPr>
          <w:rFonts w:ascii="Times New Roman" w:hAnsi="Times New Roman" w:cs="Times New Roman"/>
        </w:rPr>
        <w:t>ation in decision-making (</w:t>
      </w:r>
      <w:r w:rsidR="0092007E" w:rsidRPr="00F56901">
        <w:rPr>
          <w:rFonts w:ascii="Times New Roman" w:hAnsi="Times New Roman" w:cs="Times New Roman"/>
        </w:rPr>
        <w:t>Lodge</w:t>
      </w:r>
      <w:r>
        <w:rPr>
          <w:rFonts w:ascii="Times New Roman" w:hAnsi="Times New Roman" w:cs="Times New Roman"/>
        </w:rPr>
        <w:t xml:space="preserve"> and </w:t>
      </w:r>
      <w:r w:rsidR="0092007E" w:rsidRPr="00F56901">
        <w:rPr>
          <w:rFonts w:ascii="Times New Roman" w:hAnsi="Times New Roman" w:cs="Times New Roman"/>
        </w:rPr>
        <w:t>Wegrich</w:t>
      </w:r>
      <w:r>
        <w:rPr>
          <w:rFonts w:ascii="Times New Roman" w:hAnsi="Times New Roman" w:cs="Times New Roman"/>
        </w:rPr>
        <w:t xml:space="preserve"> </w:t>
      </w:r>
      <w:r w:rsidR="0092007E" w:rsidRPr="00F56901">
        <w:rPr>
          <w:rFonts w:ascii="Times New Roman" w:hAnsi="Times New Roman" w:cs="Times New Roman"/>
        </w:rPr>
        <w:t>2012</w:t>
      </w:r>
      <w:r>
        <w:rPr>
          <w:rFonts w:ascii="Times New Roman" w:hAnsi="Times New Roman" w:cs="Times New Roman"/>
        </w:rPr>
        <w:t>)</w:t>
      </w:r>
      <w:r w:rsidR="0092007E" w:rsidRPr="00F56901">
        <w:rPr>
          <w:rFonts w:ascii="Times New Roman" w:hAnsi="Times New Roman" w:cs="Times New Roman"/>
        </w:rPr>
        <w:t xml:space="preserve">. </w:t>
      </w:r>
    </w:p>
    <w:p w14:paraId="095B66C9" w14:textId="76097A45" w:rsidR="0092007E" w:rsidRPr="00F56901" w:rsidRDefault="0092007E" w:rsidP="00495265">
      <w:pPr>
        <w:spacing w:line="360" w:lineRule="auto"/>
        <w:ind w:firstLine="720"/>
        <w:jc w:val="both"/>
        <w:rPr>
          <w:rFonts w:ascii="Times New Roman" w:hAnsi="Times New Roman" w:cs="Times New Roman"/>
        </w:rPr>
      </w:pPr>
      <w:r w:rsidRPr="00F56901">
        <w:rPr>
          <w:rFonts w:ascii="Times New Roman" w:hAnsi="Times New Roman" w:cs="Times New Roman"/>
        </w:rPr>
        <w:t xml:space="preserve">Notwithstanding this </w:t>
      </w:r>
      <w:r w:rsidR="00CD6BC5" w:rsidRPr="00F56901">
        <w:rPr>
          <w:rFonts w:ascii="Times New Roman" w:hAnsi="Times New Roman" w:cs="Times New Roman"/>
        </w:rPr>
        <w:t>legitimizing</w:t>
      </w:r>
      <w:r w:rsidRPr="00F56901">
        <w:rPr>
          <w:rFonts w:ascii="Times New Roman" w:hAnsi="Times New Roman" w:cs="Times New Roman"/>
        </w:rPr>
        <w:t xml:space="preserve"> promise and rhetorical appeal, the design and implementation of Better Regulation reforms are susceptible to high levels of political contestation. On a conceptual level policy actors agree on the desi</w:t>
      </w:r>
      <w:r w:rsidR="00F56901">
        <w:rPr>
          <w:rFonts w:ascii="Times New Roman" w:hAnsi="Times New Roman" w:cs="Times New Roman"/>
        </w:rPr>
        <w:t>rability of B</w:t>
      </w:r>
      <w:r w:rsidR="00C52A90">
        <w:rPr>
          <w:rFonts w:ascii="Times New Roman" w:hAnsi="Times New Roman" w:cs="Times New Roman"/>
        </w:rPr>
        <w:t>etter Regulation: ‘as a slogan “</w:t>
      </w:r>
      <w:r w:rsidR="00F56901">
        <w:rPr>
          <w:rFonts w:ascii="Times New Roman" w:hAnsi="Times New Roman" w:cs="Times New Roman"/>
        </w:rPr>
        <w:t>Better Re</w:t>
      </w:r>
      <w:r w:rsidR="00C52A90">
        <w:rPr>
          <w:rFonts w:ascii="Times New Roman" w:hAnsi="Times New Roman" w:cs="Times New Roman"/>
        </w:rPr>
        <w:t>gulation”</w:t>
      </w:r>
      <w:r w:rsidRPr="00F56901">
        <w:rPr>
          <w:rFonts w:ascii="Times New Roman" w:hAnsi="Times New Roman" w:cs="Times New Roman"/>
        </w:rPr>
        <w:t xml:space="preserve"> invites neither contradiction nor even debate. Who would promote</w:t>
      </w:r>
      <w:r w:rsidR="00C52A90">
        <w:rPr>
          <w:rFonts w:ascii="Times New Roman" w:hAnsi="Times New Roman" w:cs="Times New Roman"/>
        </w:rPr>
        <w:t xml:space="preserve"> “Worse regulation”?’</w:t>
      </w:r>
      <w:r w:rsidR="00F56901">
        <w:rPr>
          <w:rFonts w:ascii="Times New Roman" w:hAnsi="Times New Roman" w:cs="Times New Roman"/>
        </w:rPr>
        <w:t xml:space="preserve"> (</w:t>
      </w:r>
      <w:r w:rsidRPr="00F56901">
        <w:rPr>
          <w:rFonts w:ascii="Times New Roman" w:hAnsi="Times New Roman" w:cs="Times New Roman"/>
        </w:rPr>
        <w:t>Weatherill</w:t>
      </w:r>
      <w:r w:rsidR="00F56901">
        <w:rPr>
          <w:rFonts w:ascii="Times New Roman" w:hAnsi="Times New Roman" w:cs="Times New Roman"/>
        </w:rPr>
        <w:t xml:space="preserve"> </w:t>
      </w:r>
      <w:r w:rsidR="005459C0">
        <w:rPr>
          <w:rFonts w:ascii="Times New Roman" w:hAnsi="Times New Roman" w:cs="Times New Roman"/>
        </w:rPr>
        <w:t>2007</w:t>
      </w:r>
      <w:r w:rsidR="00C52A90">
        <w:rPr>
          <w:rFonts w:ascii="Times New Roman" w:hAnsi="Times New Roman" w:cs="Times New Roman"/>
        </w:rPr>
        <w:t>,</w:t>
      </w:r>
      <w:r w:rsidR="00F56901">
        <w:rPr>
          <w:rFonts w:ascii="Times New Roman" w:hAnsi="Times New Roman" w:cs="Times New Roman"/>
        </w:rPr>
        <w:t xml:space="preserve"> </w:t>
      </w:r>
      <w:r w:rsidR="00C52A90">
        <w:rPr>
          <w:rFonts w:ascii="Times New Roman" w:hAnsi="Times New Roman" w:cs="Times New Roman"/>
        </w:rPr>
        <w:t xml:space="preserve">p. </w:t>
      </w:r>
      <w:r w:rsidR="00F56901">
        <w:rPr>
          <w:rFonts w:ascii="Times New Roman" w:hAnsi="Times New Roman" w:cs="Times New Roman"/>
        </w:rPr>
        <w:t>3)</w:t>
      </w:r>
      <w:r w:rsidRPr="00F56901">
        <w:rPr>
          <w:rFonts w:ascii="Times New Roman" w:hAnsi="Times New Roman" w:cs="Times New Roman"/>
        </w:rPr>
        <w:t xml:space="preserve">. On a </w:t>
      </w:r>
      <w:r w:rsidR="00F56901">
        <w:rPr>
          <w:rFonts w:ascii="Times New Roman" w:hAnsi="Times New Roman" w:cs="Times New Roman"/>
        </w:rPr>
        <w:t xml:space="preserve">practical </w:t>
      </w:r>
      <w:r w:rsidRPr="00F56901">
        <w:rPr>
          <w:rFonts w:ascii="Times New Roman" w:hAnsi="Times New Roman" w:cs="Times New Roman"/>
        </w:rPr>
        <w:t>level howeve</w:t>
      </w:r>
      <w:r w:rsidR="00B80DF0">
        <w:rPr>
          <w:rFonts w:ascii="Times New Roman" w:hAnsi="Times New Roman" w:cs="Times New Roman"/>
        </w:rPr>
        <w:t>r</w:t>
      </w:r>
      <w:r w:rsidR="00EA0FAA">
        <w:rPr>
          <w:rFonts w:ascii="Times New Roman" w:hAnsi="Times New Roman" w:cs="Times New Roman"/>
        </w:rPr>
        <w:t>,</w:t>
      </w:r>
      <w:r w:rsidRPr="00F56901">
        <w:rPr>
          <w:rFonts w:ascii="Times New Roman" w:hAnsi="Times New Roman" w:cs="Times New Roman"/>
        </w:rPr>
        <w:t xml:space="preserve"> actors diverge considerably in their expectations about how it </w:t>
      </w:r>
      <w:r w:rsidRPr="00E92A11">
        <w:rPr>
          <w:rFonts w:ascii="Times New Roman" w:hAnsi="Times New Roman" w:cs="Times New Roman"/>
        </w:rPr>
        <w:t>should work</w:t>
      </w:r>
      <w:r w:rsidR="00D22E78">
        <w:rPr>
          <w:rFonts w:ascii="Times New Roman" w:hAnsi="Times New Roman" w:cs="Times New Roman"/>
        </w:rPr>
        <w:t xml:space="preserve"> </w:t>
      </w:r>
      <w:r w:rsidRPr="00F56901">
        <w:rPr>
          <w:rFonts w:ascii="Times New Roman" w:hAnsi="Times New Roman" w:cs="Times New Roman"/>
        </w:rPr>
        <w:t>and w</w:t>
      </w:r>
      <w:r w:rsidR="00D22E78">
        <w:rPr>
          <w:rFonts w:ascii="Times New Roman" w:hAnsi="Times New Roman" w:cs="Times New Roman"/>
        </w:rPr>
        <w:t>hat it should deliver</w:t>
      </w:r>
      <w:r w:rsidRPr="00F56901">
        <w:rPr>
          <w:rFonts w:ascii="Times New Roman" w:hAnsi="Times New Roman" w:cs="Times New Roman"/>
        </w:rPr>
        <w:t xml:space="preserve">. The </w:t>
      </w:r>
      <w:r w:rsidR="005459C0">
        <w:rPr>
          <w:rFonts w:ascii="Times New Roman" w:hAnsi="Times New Roman" w:cs="Times New Roman"/>
        </w:rPr>
        <w:t>E</w:t>
      </w:r>
      <w:r w:rsidR="00083E4D">
        <w:rPr>
          <w:rFonts w:ascii="Times New Roman" w:hAnsi="Times New Roman" w:cs="Times New Roman"/>
        </w:rPr>
        <w:t>uropean Union</w:t>
      </w:r>
      <w:r w:rsidR="005459C0">
        <w:rPr>
          <w:rFonts w:ascii="Times New Roman" w:hAnsi="Times New Roman" w:cs="Times New Roman"/>
        </w:rPr>
        <w:t xml:space="preserve"> </w:t>
      </w:r>
      <w:r w:rsidRPr="00F56901">
        <w:rPr>
          <w:rFonts w:ascii="Times New Roman" w:hAnsi="Times New Roman" w:cs="Times New Roman"/>
        </w:rPr>
        <w:t>illustrates this conundrum.</w:t>
      </w:r>
      <w:r w:rsidR="00C52A90">
        <w:rPr>
          <w:rFonts w:ascii="Times New Roman" w:hAnsi="Times New Roman" w:cs="Times New Roman"/>
        </w:rPr>
        <w:t xml:space="preserve"> The recent adoption of the EU </w:t>
      </w:r>
      <w:r w:rsidRPr="00F56901">
        <w:rPr>
          <w:rFonts w:ascii="Times New Roman" w:hAnsi="Times New Roman" w:cs="Times New Roman"/>
        </w:rPr>
        <w:t>Better Reg</w:t>
      </w:r>
      <w:r w:rsidR="00C52A90">
        <w:rPr>
          <w:rFonts w:ascii="Times New Roman" w:hAnsi="Times New Roman" w:cs="Times New Roman"/>
        </w:rPr>
        <w:t xml:space="preserve">ulation package (May 2015) and the subsequent </w:t>
      </w:r>
      <w:r w:rsidRPr="00F56901">
        <w:rPr>
          <w:rFonts w:ascii="Times New Roman" w:hAnsi="Times New Roman" w:cs="Times New Roman"/>
        </w:rPr>
        <w:t>Inter-</w:t>
      </w:r>
      <w:proofErr w:type="gramStart"/>
      <w:r w:rsidRPr="00F56901">
        <w:rPr>
          <w:rFonts w:ascii="Times New Roman" w:hAnsi="Times New Roman" w:cs="Times New Roman"/>
        </w:rPr>
        <w:t>institutional</w:t>
      </w:r>
      <w:proofErr w:type="gramEnd"/>
      <w:r w:rsidR="00C52A90">
        <w:rPr>
          <w:rFonts w:ascii="Times New Roman" w:hAnsi="Times New Roman" w:cs="Times New Roman"/>
        </w:rPr>
        <w:t xml:space="preserve"> Agreement on Better Law-making</w:t>
      </w:r>
      <w:r w:rsidRPr="00F56901">
        <w:rPr>
          <w:rFonts w:ascii="Times New Roman" w:hAnsi="Times New Roman" w:cs="Times New Roman"/>
        </w:rPr>
        <w:t xml:space="preserve"> (April 2016) stirred significant controversy and debate. Its potential to affect the EU inter-institutional balance of power by </w:t>
      </w:r>
      <w:r w:rsidR="008D4DAC">
        <w:rPr>
          <w:rFonts w:ascii="Times New Roman" w:hAnsi="Times New Roman" w:cs="Times New Roman"/>
        </w:rPr>
        <w:t xml:space="preserve">extending the evidence-based (technocratic) policymaking and thus </w:t>
      </w:r>
      <w:r w:rsidRPr="00F56901">
        <w:rPr>
          <w:rFonts w:ascii="Times New Roman" w:hAnsi="Times New Roman" w:cs="Times New Roman"/>
        </w:rPr>
        <w:t>enhancing the European executive</w:t>
      </w:r>
      <w:r w:rsidR="003C4CE5">
        <w:rPr>
          <w:rFonts w:ascii="Times New Roman" w:hAnsi="Times New Roman" w:cs="Times New Roman"/>
        </w:rPr>
        <w:t>’</w:t>
      </w:r>
      <w:r w:rsidR="00F56901">
        <w:rPr>
          <w:rFonts w:ascii="Times New Roman" w:hAnsi="Times New Roman" w:cs="Times New Roman"/>
        </w:rPr>
        <w:t>s leverage</w:t>
      </w:r>
      <w:r w:rsidR="008D4DAC">
        <w:rPr>
          <w:rFonts w:ascii="Times New Roman" w:hAnsi="Times New Roman" w:cs="Times New Roman"/>
        </w:rPr>
        <w:t xml:space="preserve"> </w:t>
      </w:r>
      <w:r w:rsidR="00F56901">
        <w:rPr>
          <w:rFonts w:ascii="Times New Roman" w:hAnsi="Times New Roman" w:cs="Times New Roman"/>
        </w:rPr>
        <w:t>was discussed</w:t>
      </w:r>
      <w:r w:rsidR="00D36978">
        <w:rPr>
          <w:rFonts w:ascii="Times New Roman" w:hAnsi="Times New Roman" w:cs="Times New Roman"/>
        </w:rPr>
        <w:t xml:space="preserve">. </w:t>
      </w:r>
      <w:r w:rsidRPr="00F56901">
        <w:rPr>
          <w:rFonts w:ascii="Times New Roman" w:hAnsi="Times New Roman" w:cs="Times New Roman"/>
        </w:rPr>
        <w:t>Its potential deregulatory consequences in areas of public intere</w:t>
      </w:r>
      <w:r w:rsidR="00E860BD">
        <w:rPr>
          <w:rFonts w:ascii="Times New Roman" w:hAnsi="Times New Roman" w:cs="Times New Roman"/>
        </w:rPr>
        <w:t xml:space="preserve">st </w:t>
      </w:r>
      <w:r w:rsidR="004F1B43">
        <w:rPr>
          <w:rFonts w:ascii="Times New Roman" w:hAnsi="Times New Roman" w:cs="Times New Roman"/>
        </w:rPr>
        <w:t xml:space="preserve">(environment, public health) </w:t>
      </w:r>
      <w:r w:rsidRPr="00F56901">
        <w:rPr>
          <w:rFonts w:ascii="Times New Roman" w:hAnsi="Times New Roman" w:cs="Times New Roman"/>
        </w:rPr>
        <w:t>were</w:t>
      </w:r>
      <w:r w:rsidR="003C4CE5">
        <w:rPr>
          <w:rFonts w:ascii="Times New Roman" w:hAnsi="Times New Roman" w:cs="Times New Roman"/>
        </w:rPr>
        <w:t xml:space="preserve"> </w:t>
      </w:r>
      <w:r w:rsidRPr="00F56901">
        <w:rPr>
          <w:rFonts w:ascii="Times New Roman" w:hAnsi="Times New Roman" w:cs="Times New Roman"/>
        </w:rPr>
        <w:t>debated</w:t>
      </w:r>
      <w:r w:rsidR="004F1B43">
        <w:rPr>
          <w:rFonts w:ascii="Times New Roman" w:hAnsi="Times New Roman" w:cs="Times New Roman"/>
        </w:rPr>
        <w:t>,</w:t>
      </w:r>
      <w:r w:rsidR="005429F6">
        <w:rPr>
          <w:rFonts w:ascii="Times New Roman" w:hAnsi="Times New Roman" w:cs="Times New Roman"/>
        </w:rPr>
        <w:t xml:space="preserve"> </w:t>
      </w:r>
      <w:r w:rsidR="004F1B43">
        <w:rPr>
          <w:rFonts w:ascii="Times New Roman" w:hAnsi="Times New Roman" w:cs="Times New Roman"/>
        </w:rPr>
        <w:t>and</w:t>
      </w:r>
      <w:r w:rsidRPr="00F56901">
        <w:rPr>
          <w:rFonts w:ascii="Times New Roman" w:hAnsi="Times New Roman" w:cs="Times New Roman"/>
        </w:rPr>
        <w:t xml:space="preserve"> </w:t>
      </w:r>
      <w:r w:rsidR="004F1B43">
        <w:rPr>
          <w:rFonts w:ascii="Times New Roman" w:hAnsi="Times New Roman" w:cs="Times New Roman"/>
        </w:rPr>
        <w:t>p</w:t>
      </w:r>
      <w:r w:rsidRPr="00F56901">
        <w:rPr>
          <w:rFonts w:ascii="Times New Roman" w:hAnsi="Times New Roman" w:cs="Times New Roman"/>
        </w:rPr>
        <w:t>ublic interes</w:t>
      </w:r>
      <w:r w:rsidR="00662286">
        <w:rPr>
          <w:rFonts w:ascii="Times New Roman" w:hAnsi="Times New Roman" w:cs="Times New Roman"/>
        </w:rPr>
        <w:t>t organizations established a</w:t>
      </w:r>
      <w:r w:rsidR="00CD4551">
        <w:rPr>
          <w:rFonts w:ascii="Times New Roman" w:hAnsi="Times New Roman" w:cs="Times New Roman"/>
        </w:rPr>
        <w:t xml:space="preserve"> </w:t>
      </w:r>
      <w:r w:rsidRPr="00F56901">
        <w:rPr>
          <w:rFonts w:ascii="Times New Roman" w:hAnsi="Times New Roman" w:cs="Times New Roman"/>
        </w:rPr>
        <w:t>large Bet</w:t>
      </w:r>
      <w:r w:rsidR="00C52A90">
        <w:rPr>
          <w:rFonts w:ascii="Times New Roman" w:hAnsi="Times New Roman" w:cs="Times New Roman"/>
        </w:rPr>
        <w:t>ter Regulation Watchdog network</w:t>
      </w:r>
      <w:r w:rsidRPr="00F56901">
        <w:rPr>
          <w:rFonts w:ascii="Times New Roman" w:hAnsi="Times New Roman" w:cs="Times New Roman"/>
        </w:rPr>
        <w:t xml:space="preserve"> to ensure that t</w:t>
      </w:r>
      <w:r w:rsidR="00C52A90">
        <w:rPr>
          <w:rFonts w:ascii="Times New Roman" w:hAnsi="Times New Roman" w:cs="Times New Roman"/>
        </w:rPr>
        <w:t>he proposed measures would not ‘</w:t>
      </w:r>
      <w:r w:rsidRPr="00F56901">
        <w:rPr>
          <w:rFonts w:ascii="Times New Roman" w:hAnsi="Times New Roman" w:cs="Times New Roman"/>
        </w:rPr>
        <w:t>weaken or undermine essential regulations and subordinate the public good to co</w:t>
      </w:r>
      <w:r w:rsidR="00C52A90">
        <w:rPr>
          <w:rFonts w:ascii="Times New Roman" w:hAnsi="Times New Roman" w:cs="Times New Roman"/>
        </w:rPr>
        <w:t>rporate interests’</w:t>
      </w:r>
      <w:r w:rsidR="00C90DF6">
        <w:rPr>
          <w:rFonts w:ascii="Times New Roman" w:hAnsi="Times New Roman" w:cs="Times New Roman"/>
        </w:rPr>
        <w:t xml:space="preserve"> (Euractiv 2015)</w:t>
      </w:r>
      <w:r w:rsidR="00D54261">
        <w:rPr>
          <w:rFonts w:ascii="Times New Roman" w:hAnsi="Times New Roman" w:cs="Times New Roman"/>
        </w:rPr>
        <w:t>.</w:t>
      </w:r>
    </w:p>
    <w:p w14:paraId="1282DF99" w14:textId="56E07D66" w:rsidR="0092007E" w:rsidRPr="00662286" w:rsidRDefault="0092007E" w:rsidP="00495265">
      <w:pPr>
        <w:spacing w:line="360" w:lineRule="auto"/>
        <w:ind w:firstLine="720"/>
        <w:jc w:val="both"/>
        <w:rPr>
          <w:rFonts w:ascii="Times New Roman" w:hAnsi="Times New Roman" w:cs="Times New Roman"/>
          <w:i/>
        </w:rPr>
      </w:pPr>
      <w:r w:rsidRPr="00F56901">
        <w:rPr>
          <w:rFonts w:ascii="Times New Roman" w:hAnsi="Times New Roman" w:cs="Times New Roman"/>
        </w:rPr>
        <w:t>We observe this intrinsic tension in the logic and workings of Better Regulation reforms</w:t>
      </w:r>
      <w:r w:rsidR="00662286">
        <w:rPr>
          <w:rFonts w:ascii="Times New Roman" w:hAnsi="Times New Roman" w:cs="Times New Roman"/>
        </w:rPr>
        <w:t xml:space="preserve"> and ask the following</w:t>
      </w:r>
      <w:r w:rsidR="00E1130C">
        <w:rPr>
          <w:rFonts w:ascii="Times New Roman" w:hAnsi="Times New Roman" w:cs="Times New Roman"/>
        </w:rPr>
        <w:t xml:space="preserve">: </w:t>
      </w:r>
      <w:r w:rsidR="00E1130C" w:rsidRPr="002C1A92">
        <w:rPr>
          <w:rFonts w:ascii="Times New Roman" w:hAnsi="Times New Roman" w:cs="Times New Roman"/>
          <w:i/>
        </w:rPr>
        <w:t>a</w:t>
      </w:r>
      <w:r w:rsidRPr="002C1A92">
        <w:rPr>
          <w:rFonts w:ascii="Times New Roman" w:hAnsi="Times New Roman" w:cs="Times New Roman"/>
          <w:i/>
        </w:rPr>
        <w:t xml:space="preserve">re there systematic differences in </w:t>
      </w:r>
      <w:r w:rsidR="003C4CE5" w:rsidRPr="002C1A92">
        <w:rPr>
          <w:rFonts w:ascii="Times New Roman" w:hAnsi="Times New Roman" w:cs="Times New Roman"/>
          <w:i/>
        </w:rPr>
        <w:lastRenderedPageBreak/>
        <w:t xml:space="preserve">stakeholders’ </w:t>
      </w:r>
      <w:r w:rsidRPr="002C1A92">
        <w:rPr>
          <w:rFonts w:ascii="Times New Roman" w:hAnsi="Times New Roman" w:cs="Times New Roman"/>
          <w:i/>
        </w:rPr>
        <w:t>demands and expectations for what Be</w:t>
      </w:r>
      <w:r w:rsidR="00662286" w:rsidRPr="002C1A92">
        <w:rPr>
          <w:rFonts w:ascii="Times New Roman" w:hAnsi="Times New Roman" w:cs="Times New Roman"/>
          <w:i/>
        </w:rPr>
        <w:t>tter Regulation should achieve?</w:t>
      </w:r>
      <w:r w:rsidR="00662286" w:rsidRPr="00662286">
        <w:rPr>
          <w:rFonts w:ascii="Times New Roman" w:hAnsi="Times New Roman" w:cs="Times New Roman"/>
          <w:i/>
        </w:rPr>
        <w:t xml:space="preserve"> </w:t>
      </w:r>
      <w:r w:rsidRPr="00662286">
        <w:rPr>
          <w:rFonts w:ascii="Times New Roman" w:hAnsi="Times New Roman" w:cs="Times New Roman"/>
          <w:i/>
        </w:rPr>
        <w:t>If so, what explain</w:t>
      </w:r>
      <w:r w:rsidR="00662286" w:rsidRPr="00662286">
        <w:rPr>
          <w:rFonts w:ascii="Times New Roman" w:hAnsi="Times New Roman" w:cs="Times New Roman"/>
          <w:i/>
        </w:rPr>
        <w:t>s these systematic differences?</w:t>
      </w:r>
    </w:p>
    <w:p w14:paraId="1B617F70" w14:textId="0DFEF74B" w:rsidR="0049049B" w:rsidRPr="002C1A92" w:rsidRDefault="0092007E" w:rsidP="00495265">
      <w:pPr>
        <w:spacing w:line="360" w:lineRule="auto"/>
        <w:ind w:firstLine="720"/>
        <w:jc w:val="both"/>
        <w:rPr>
          <w:rFonts w:ascii="Times New Roman" w:hAnsi="Times New Roman" w:cs="Times New Roman"/>
        </w:rPr>
      </w:pPr>
      <w:r w:rsidRPr="002C1A92">
        <w:rPr>
          <w:rFonts w:ascii="Times New Roman" w:hAnsi="Times New Roman" w:cs="Times New Roman"/>
        </w:rPr>
        <w:t xml:space="preserve">We answer this by elaborating and testing empirically a theoretical argument suggesting that conflict </w:t>
      </w:r>
      <w:r w:rsidR="00662286" w:rsidRPr="002C1A92">
        <w:rPr>
          <w:rFonts w:ascii="Times New Roman" w:hAnsi="Times New Roman" w:cs="Times New Roman"/>
        </w:rPr>
        <w:t xml:space="preserve">over Better Regulation reforms </w:t>
      </w:r>
      <w:r w:rsidRPr="002C1A92">
        <w:rPr>
          <w:rFonts w:ascii="Times New Roman" w:hAnsi="Times New Roman" w:cs="Times New Roman"/>
        </w:rPr>
        <w:t>is rooted in what different constituencies of stakeholders</w:t>
      </w:r>
      <w:r w:rsidR="00DD348E" w:rsidRPr="002C1A92">
        <w:rPr>
          <w:rFonts w:ascii="Times New Roman" w:hAnsi="Times New Roman" w:cs="Times New Roman"/>
        </w:rPr>
        <w:t xml:space="preserve"> prefer as a regulatory system of governance.</w:t>
      </w:r>
      <w:r w:rsidR="00662286" w:rsidRPr="002C1A92">
        <w:rPr>
          <w:rFonts w:ascii="Times New Roman" w:hAnsi="Times New Roman" w:cs="Times New Roman"/>
        </w:rPr>
        <w:t xml:space="preserve"> </w:t>
      </w:r>
      <w:r w:rsidR="003D56B7" w:rsidRPr="002C1A92">
        <w:rPr>
          <w:rFonts w:ascii="Times New Roman" w:hAnsi="Times New Roman" w:cs="Times New Roman"/>
        </w:rPr>
        <w:t xml:space="preserve">In line with classic theories of regulation (i.e. public </w:t>
      </w:r>
      <w:r w:rsidR="00936898" w:rsidRPr="002C1A92">
        <w:rPr>
          <w:rFonts w:ascii="Times New Roman" w:hAnsi="Times New Roman" w:cs="Times New Roman"/>
        </w:rPr>
        <w:t>choice</w:t>
      </w:r>
      <w:r w:rsidR="003D56B7" w:rsidRPr="002C1A92">
        <w:rPr>
          <w:rFonts w:ascii="Times New Roman" w:hAnsi="Times New Roman" w:cs="Times New Roman"/>
        </w:rPr>
        <w:t xml:space="preserve">, public </w:t>
      </w:r>
      <w:r w:rsidR="00936898" w:rsidRPr="002C1A92">
        <w:rPr>
          <w:rFonts w:ascii="Times New Roman" w:hAnsi="Times New Roman" w:cs="Times New Roman"/>
        </w:rPr>
        <w:t>interests</w:t>
      </w:r>
      <w:r w:rsidR="003D56B7" w:rsidRPr="002C1A92">
        <w:rPr>
          <w:rFonts w:ascii="Times New Roman" w:hAnsi="Times New Roman" w:cs="Times New Roman"/>
        </w:rPr>
        <w:t xml:space="preserve"> and </w:t>
      </w:r>
      <w:r w:rsidR="00364DB8" w:rsidRPr="002C1A92">
        <w:rPr>
          <w:rFonts w:ascii="Times New Roman" w:hAnsi="Times New Roman" w:cs="Times New Roman"/>
        </w:rPr>
        <w:t>pluralist-deliberative</w:t>
      </w:r>
      <w:r w:rsidR="00774F79" w:rsidRPr="002C1A92">
        <w:rPr>
          <w:rFonts w:ascii="Times New Roman" w:hAnsi="Times New Roman" w:cs="Times New Roman"/>
        </w:rPr>
        <w:t xml:space="preserve"> approaches</w:t>
      </w:r>
      <w:r w:rsidR="00364DB8" w:rsidRPr="002C1A92">
        <w:rPr>
          <w:rFonts w:ascii="Times New Roman" w:hAnsi="Times New Roman" w:cs="Times New Roman"/>
        </w:rPr>
        <w:t xml:space="preserve">), stakeholders demand for Better Regulation measures that </w:t>
      </w:r>
      <w:r w:rsidR="00774F79" w:rsidRPr="002C1A92">
        <w:rPr>
          <w:rFonts w:ascii="Times New Roman" w:hAnsi="Times New Roman" w:cs="Times New Roman"/>
        </w:rPr>
        <w:t>lead to one of</w:t>
      </w:r>
      <w:r w:rsidRPr="002C1A92">
        <w:rPr>
          <w:rFonts w:ascii="Times New Roman" w:hAnsi="Times New Roman" w:cs="Times New Roman"/>
        </w:rPr>
        <w:t xml:space="preserve"> </w:t>
      </w:r>
      <w:r w:rsidR="00544492" w:rsidRPr="002C1A92">
        <w:rPr>
          <w:rFonts w:ascii="Times New Roman" w:hAnsi="Times New Roman" w:cs="Times New Roman"/>
        </w:rPr>
        <w:t xml:space="preserve">the following three scenarios: </w:t>
      </w:r>
      <w:r w:rsidR="00544492" w:rsidRPr="002C1A92">
        <w:rPr>
          <w:rFonts w:ascii="Times New Roman" w:hAnsi="Times New Roman" w:cs="Times New Roman"/>
          <w:i/>
        </w:rPr>
        <w:t>deregulation</w:t>
      </w:r>
      <w:r w:rsidR="00544492" w:rsidRPr="002C1A92">
        <w:rPr>
          <w:rFonts w:ascii="Times New Roman" w:hAnsi="Times New Roman" w:cs="Times New Roman"/>
        </w:rPr>
        <w:t xml:space="preserve">, </w:t>
      </w:r>
      <w:r w:rsidR="00544492" w:rsidRPr="002C1A92">
        <w:rPr>
          <w:rFonts w:ascii="Times New Roman" w:hAnsi="Times New Roman" w:cs="Times New Roman"/>
          <w:i/>
        </w:rPr>
        <w:t>technocratic policymaking</w:t>
      </w:r>
      <w:r w:rsidR="00544492" w:rsidRPr="002C1A92">
        <w:rPr>
          <w:rFonts w:ascii="Times New Roman" w:hAnsi="Times New Roman" w:cs="Times New Roman"/>
        </w:rPr>
        <w:t xml:space="preserve"> </w:t>
      </w:r>
      <w:r w:rsidR="00936898" w:rsidRPr="002C1A92">
        <w:rPr>
          <w:rFonts w:ascii="Times New Roman" w:hAnsi="Times New Roman" w:cs="Times New Roman"/>
        </w:rPr>
        <w:t xml:space="preserve">or </w:t>
      </w:r>
      <w:r w:rsidR="00544492" w:rsidRPr="002C1A92">
        <w:rPr>
          <w:rFonts w:ascii="Times New Roman" w:hAnsi="Times New Roman" w:cs="Times New Roman"/>
          <w:i/>
        </w:rPr>
        <w:t>participatory policymaking</w:t>
      </w:r>
      <w:r w:rsidRPr="002C1A92">
        <w:rPr>
          <w:rFonts w:ascii="Times New Roman" w:hAnsi="Times New Roman" w:cs="Times New Roman"/>
        </w:rPr>
        <w:t xml:space="preserve">. We identify the main constituencies of stakeholders and derive a set of theoretical expectations about their demands for which of the three scenarios should prevail. </w:t>
      </w:r>
    </w:p>
    <w:p w14:paraId="41C8BB5C" w14:textId="798581D7" w:rsidR="0092007E" w:rsidRPr="002C1A92" w:rsidRDefault="0092007E" w:rsidP="00495265">
      <w:pPr>
        <w:spacing w:line="360" w:lineRule="auto"/>
        <w:ind w:firstLine="720"/>
        <w:jc w:val="both"/>
        <w:rPr>
          <w:rFonts w:ascii="Times New Roman" w:hAnsi="Times New Roman" w:cs="Times New Roman"/>
        </w:rPr>
      </w:pPr>
      <w:r w:rsidRPr="002C1A92">
        <w:rPr>
          <w:rFonts w:ascii="Times New Roman" w:hAnsi="Times New Roman" w:cs="Times New Roman"/>
        </w:rPr>
        <w:t xml:space="preserve">We test our argument in the </w:t>
      </w:r>
      <w:r w:rsidR="00DD348E" w:rsidRPr="002C1A92">
        <w:rPr>
          <w:rFonts w:ascii="Times New Roman" w:hAnsi="Times New Roman" w:cs="Times New Roman"/>
        </w:rPr>
        <w:t>EU context</w:t>
      </w:r>
      <w:r w:rsidRPr="002C1A92">
        <w:rPr>
          <w:rFonts w:ascii="Times New Roman" w:hAnsi="Times New Roman" w:cs="Times New Roman"/>
        </w:rPr>
        <w:t>, a system of governance displaying one of the most well-established and influential models o</w:t>
      </w:r>
      <w:r w:rsidR="00544492" w:rsidRPr="002C1A92">
        <w:rPr>
          <w:rFonts w:ascii="Times New Roman" w:hAnsi="Times New Roman" w:cs="Times New Roman"/>
        </w:rPr>
        <w:t>f Better Regulation (</w:t>
      </w:r>
      <w:r w:rsidR="00CD4551" w:rsidRPr="002C1A92">
        <w:rPr>
          <w:rFonts w:ascii="Times New Roman" w:hAnsi="Times New Roman" w:cs="Times New Roman"/>
        </w:rPr>
        <w:t>Lodge and Kai 2012</w:t>
      </w:r>
      <w:r w:rsidR="00544492" w:rsidRPr="002C1A92">
        <w:rPr>
          <w:rFonts w:ascii="Times New Roman" w:hAnsi="Times New Roman" w:cs="Times New Roman"/>
        </w:rPr>
        <w:t>)</w:t>
      </w:r>
      <w:r w:rsidRPr="002C1A92">
        <w:rPr>
          <w:rFonts w:ascii="Times New Roman" w:hAnsi="Times New Roman" w:cs="Times New Roman"/>
        </w:rPr>
        <w:t xml:space="preserve">. We detail our case selection in the research design section. </w:t>
      </w:r>
      <w:r w:rsidR="005459C0" w:rsidRPr="002C1A92">
        <w:rPr>
          <w:rFonts w:ascii="Times New Roman" w:hAnsi="Times New Roman" w:cs="Times New Roman"/>
        </w:rPr>
        <w:t>We</w:t>
      </w:r>
      <w:r w:rsidR="00544492" w:rsidRPr="002C1A92">
        <w:rPr>
          <w:rFonts w:ascii="Times New Roman" w:hAnsi="Times New Roman" w:cs="Times New Roman"/>
        </w:rPr>
        <w:t xml:space="preserve"> examine stakeholders’</w:t>
      </w:r>
      <w:r w:rsidRPr="002C1A92">
        <w:rPr>
          <w:rFonts w:ascii="Times New Roman" w:hAnsi="Times New Roman" w:cs="Times New Roman"/>
        </w:rPr>
        <w:t xml:space="preserve"> demands expressed in the open consultation on Better Regulation </w:t>
      </w:r>
      <w:r w:rsidR="00CD6BC5" w:rsidRPr="002C1A92">
        <w:rPr>
          <w:rFonts w:ascii="Times New Roman" w:hAnsi="Times New Roman" w:cs="Times New Roman"/>
        </w:rPr>
        <w:t>organized</w:t>
      </w:r>
      <w:r w:rsidRPr="002C1A92">
        <w:rPr>
          <w:rFonts w:ascii="Times New Roman" w:hAnsi="Times New Roman" w:cs="Times New Roman"/>
        </w:rPr>
        <w:t xml:space="preserve"> by the European Commission in June-September 2</w:t>
      </w:r>
      <w:r w:rsidR="00544492" w:rsidRPr="002C1A92">
        <w:rPr>
          <w:rFonts w:ascii="Times New Roman" w:hAnsi="Times New Roman" w:cs="Times New Roman"/>
        </w:rPr>
        <w:t>012</w:t>
      </w:r>
      <w:r w:rsidR="00A90EC9" w:rsidRPr="002C1A92">
        <w:rPr>
          <w:rFonts w:ascii="Times New Roman" w:hAnsi="Times New Roman" w:cs="Times New Roman"/>
        </w:rPr>
        <w:t xml:space="preserve"> </w:t>
      </w:r>
      <w:r w:rsidR="00544492" w:rsidRPr="002C1A92">
        <w:rPr>
          <w:rFonts w:ascii="Times New Roman" w:hAnsi="Times New Roman" w:cs="Times New Roman"/>
        </w:rPr>
        <w:t>to map actors’</w:t>
      </w:r>
      <w:r w:rsidRPr="002C1A92">
        <w:rPr>
          <w:rFonts w:ascii="Times New Roman" w:hAnsi="Times New Roman" w:cs="Times New Roman"/>
        </w:rPr>
        <w:t xml:space="preserve"> </w:t>
      </w:r>
      <w:r w:rsidR="008F38F5" w:rsidRPr="002C1A92">
        <w:rPr>
          <w:rFonts w:ascii="Times New Roman" w:hAnsi="Times New Roman" w:cs="Times New Roman"/>
        </w:rPr>
        <w:t>preferences</w:t>
      </w:r>
      <w:r w:rsidRPr="002C1A92">
        <w:rPr>
          <w:rFonts w:ascii="Times New Roman" w:hAnsi="Times New Roman" w:cs="Times New Roman"/>
        </w:rPr>
        <w:t xml:space="preserve"> on what </w:t>
      </w:r>
      <w:r w:rsidR="008F38F5" w:rsidRPr="002C1A92">
        <w:rPr>
          <w:rFonts w:ascii="Times New Roman" w:hAnsi="Times New Roman" w:cs="Times New Roman"/>
        </w:rPr>
        <w:t xml:space="preserve">type of regulatory reform Better Regulation measures should </w:t>
      </w:r>
      <w:r w:rsidR="00DD28BE" w:rsidRPr="002C1A92">
        <w:rPr>
          <w:rFonts w:ascii="Times New Roman" w:hAnsi="Times New Roman" w:cs="Times New Roman"/>
        </w:rPr>
        <w:t>achieve</w:t>
      </w:r>
      <w:r w:rsidRPr="002C1A92">
        <w:rPr>
          <w:rFonts w:ascii="Times New Roman" w:hAnsi="Times New Roman" w:cs="Times New Roman"/>
        </w:rPr>
        <w:t>. In line with the theoretical argument, national</w:t>
      </w:r>
      <w:r w:rsidR="00BE7831" w:rsidRPr="002C1A92">
        <w:rPr>
          <w:rFonts w:ascii="Times New Roman" w:hAnsi="Times New Roman" w:cs="Times New Roman"/>
        </w:rPr>
        <w:t xml:space="preserve"> </w:t>
      </w:r>
      <w:r w:rsidRPr="002C1A92">
        <w:rPr>
          <w:rFonts w:ascii="Times New Roman" w:hAnsi="Times New Roman" w:cs="Times New Roman"/>
        </w:rPr>
        <w:t>public authorities responsible for the coordination and oversight of Better Regula</w:t>
      </w:r>
      <w:r w:rsidR="00544492" w:rsidRPr="002C1A92">
        <w:rPr>
          <w:rFonts w:ascii="Times New Roman" w:hAnsi="Times New Roman" w:cs="Times New Roman"/>
        </w:rPr>
        <w:t xml:space="preserve">tion </w:t>
      </w:r>
      <w:r w:rsidR="008F38F5" w:rsidRPr="002C1A92">
        <w:rPr>
          <w:rFonts w:ascii="Times New Roman" w:hAnsi="Times New Roman" w:cs="Times New Roman"/>
        </w:rPr>
        <w:t xml:space="preserve">at national level </w:t>
      </w:r>
      <w:r w:rsidR="00544492" w:rsidRPr="002C1A92">
        <w:rPr>
          <w:rFonts w:ascii="Times New Roman" w:hAnsi="Times New Roman" w:cs="Times New Roman"/>
        </w:rPr>
        <w:t xml:space="preserve">support measures </w:t>
      </w:r>
      <w:r w:rsidR="00975FAD" w:rsidRPr="002C1A92">
        <w:rPr>
          <w:rFonts w:ascii="Times New Roman" w:hAnsi="Times New Roman" w:cs="Times New Roman"/>
        </w:rPr>
        <w:t>that promote</w:t>
      </w:r>
      <w:r w:rsidR="00544492" w:rsidRPr="002C1A92">
        <w:rPr>
          <w:rFonts w:ascii="Times New Roman" w:hAnsi="Times New Roman" w:cs="Times New Roman"/>
        </w:rPr>
        <w:t xml:space="preserve"> </w:t>
      </w:r>
      <w:r w:rsidR="008F38F5" w:rsidRPr="002C1A92">
        <w:rPr>
          <w:rFonts w:ascii="Times New Roman" w:hAnsi="Times New Roman" w:cs="Times New Roman"/>
          <w:i/>
        </w:rPr>
        <w:t>deregulatory and technocratic</w:t>
      </w:r>
      <w:r w:rsidRPr="002C1A92">
        <w:rPr>
          <w:rFonts w:ascii="Times New Roman" w:hAnsi="Times New Roman" w:cs="Times New Roman"/>
          <w:i/>
        </w:rPr>
        <w:t xml:space="preserve"> reforms</w:t>
      </w:r>
      <w:r w:rsidRPr="002C1A92">
        <w:rPr>
          <w:rFonts w:ascii="Times New Roman" w:hAnsi="Times New Roman" w:cs="Times New Roman"/>
        </w:rPr>
        <w:t xml:space="preserve">. </w:t>
      </w:r>
      <w:r w:rsidR="009215DB" w:rsidRPr="002C1A92">
        <w:rPr>
          <w:rFonts w:ascii="Times New Roman" w:hAnsi="Times New Roman" w:cs="Times New Roman"/>
        </w:rPr>
        <w:t>Similarly, c</w:t>
      </w:r>
      <w:r w:rsidR="00734906" w:rsidRPr="002C1A92">
        <w:rPr>
          <w:rFonts w:ascii="Times New Roman" w:hAnsi="Times New Roman" w:cs="Times New Roman"/>
        </w:rPr>
        <w:t>ross-sectoral b</w:t>
      </w:r>
      <w:r w:rsidRPr="002C1A92">
        <w:rPr>
          <w:rFonts w:ascii="Times New Roman" w:hAnsi="Times New Roman" w:cs="Times New Roman"/>
        </w:rPr>
        <w:t xml:space="preserve">usiness </w:t>
      </w:r>
      <w:r w:rsidR="00734906" w:rsidRPr="002C1A92">
        <w:rPr>
          <w:rFonts w:ascii="Times New Roman" w:hAnsi="Times New Roman" w:cs="Times New Roman"/>
        </w:rPr>
        <w:t>organizations</w:t>
      </w:r>
      <w:r w:rsidRPr="002C1A92">
        <w:rPr>
          <w:rFonts w:ascii="Times New Roman" w:hAnsi="Times New Roman" w:cs="Times New Roman"/>
        </w:rPr>
        <w:t xml:space="preserve"> </w:t>
      </w:r>
      <w:r w:rsidR="00544492" w:rsidRPr="002C1A92">
        <w:rPr>
          <w:rFonts w:ascii="Times New Roman" w:hAnsi="Times New Roman" w:cs="Times New Roman"/>
        </w:rPr>
        <w:t xml:space="preserve">support reforms towards </w:t>
      </w:r>
      <w:r w:rsidR="00544492" w:rsidRPr="002C1A92">
        <w:rPr>
          <w:rFonts w:ascii="Times New Roman" w:hAnsi="Times New Roman" w:cs="Times New Roman"/>
          <w:i/>
        </w:rPr>
        <w:t>technocratic policymaking</w:t>
      </w:r>
      <w:r w:rsidRPr="002C1A92">
        <w:rPr>
          <w:rFonts w:ascii="Times New Roman" w:hAnsi="Times New Roman" w:cs="Times New Roman"/>
        </w:rPr>
        <w:t xml:space="preserve"> </w:t>
      </w:r>
      <w:r w:rsidR="009215DB" w:rsidRPr="002C1A92">
        <w:rPr>
          <w:rFonts w:ascii="Times New Roman" w:hAnsi="Times New Roman" w:cs="Times New Roman"/>
        </w:rPr>
        <w:t>and</w:t>
      </w:r>
      <w:r w:rsidRPr="002C1A92">
        <w:rPr>
          <w:rFonts w:ascii="Times New Roman" w:hAnsi="Times New Roman" w:cs="Times New Roman"/>
        </w:rPr>
        <w:t xml:space="preserve"> were</w:t>
      </w:r>
      <w:r w:rsidR="00734906" w:rsidRPr="002C1A92">
        <w:rPr>
          <w:rFonts w:ascii="Times New Roman" w:hAnsi="Times New Roman" w:cs="Times New Roman"/>
        </w:rPr>
        <w:t xml:space="preserve"> </w:t>
      </w:r>
      <w:r w:rsidR="007B1CC6" w:rsidRPr="002C1A92">
        <w:rPr>
          <w:rFonts w:ascii="Times New Roman" w:hAnsi="Times New Roman" w:cs="Times New Roman"/>
        </w:rPr>
        <w:t xml:space="preserve">also </w:t>
      </w:r>
      <w:r w:rsidRPr="002C1A92">
        <w:rPr>
          <w:rFonts w:ascii="Times New Roman" w:hAnsi="Times New Roman" w:cs="Times New Roman"/>
        </w:rPr>
        <w:t>more lik</w:t>
      </w:r>
      <w:r w:rsidR="00544492" w:rsidRPr="002C1A92">
        <w:rPr>
          <w:rFonts w:ascii="Times New Roman" w:hAnsi="Times New Roman" w:cs="Times New Roman"/>
        </w:rPr>
        <w:t xml:space="preserve">ely to support </w:t>
      </w:r>
      <w:r w:rsidR="00544492" w:rsidRPr="002C1A92">
        <w:rPr>
          <w:rFonts w:ascii="Times New Roman" w:hAnsi="Times New Roman" w:cs="Times New Roman"/>
          <w:i/>
        </w:rPr>
        <w:t>deregulatory</w:t>
      </w:r>
      <w:r w:rsidR="00544492" w:rsidRPr="002C1A92">
        <w:rPr>
          <w:rFonts w:ascii="Times New Roman" w:hAnsi="Times New Roman" w:cs="Times New Roman"/>
        </w:rPr>
        <w:t xml:space="preserve"> </w:t>
      </w:r>
      <w:r w:rsidR="00774F79" w:rsidRPr="002C1A92">
        <w:rPr>
          <w:rFonts w:ascii="Times New Roman" w:hAnsi="Times New Roman" w:cs="Times New Roman"/>
        </w:rPr>
        <w:t>measures</w:t>
      </w:r>
      <w:r w:rsidR="009215DB" w:rsidRPr="002C1A92">
        <w:rPr>
          <w:rFonts w:ascii="Times New Roman" w:hAnsi="Times New Roman" w:cs="Times New Roman"/>
        </w:rPr>
        <w:t xml:space="preserve"> than other stakeholders</w:t>
      </w:r>
      <w:r w:rsidRPr="002C1A92">
        <w:rPr>
          <w:rFonts w:ascii="Times New Roman" w:hAnsi="Times New Roman" w:cs="Times New Roman"/>
        </w:rPr>
        <w:t>. We found only limited support for the argument that public interest organizations supp</w:t>
      </w:r>
      <w:r w:rsidR="00544492" w:rsidRPr="002C1A92">
        <w:rPr>
          <w:rFonts w:ascii="Times New Roman" w:hAnsi="Times New Roman" w:cs="Times New Roman"/>
        </w:rPr>
        <w:t xml:space="preserve">ort measures leading to </w:t>
      </w:r>
      <w:r w:rsidR="00544492" w:rsidRPr="002C1A92">
        <w:rPr>
          <w:rFonts w:ascii="Times New Roman" w:hAnsi="Times New Roman" w:cs="Times New Roman"/>
          <w:i/>
        </w:rPr>
        <w:t xml:space="preserve">participatory </w:t>
      </w:r>
      <w:r w:rsidRPr="002C1A92">
        <w:rPr>
          <w:rFonts w:ascii="Times New Roman" w:hAnsi="Times New Roman" w:cs="Times New Roman"/>
          <w:i/>
        </w:rPr>
        <w:t>policymaking</w:t>
      </w:r>
      <w:r w:rsidRPr="002C1A92">
        <w:rPr>
          <w:rFonts w:ascii="Times New Roman" w:hAnsi="Times New Roman" w:cs="Times New Roman"/>
        </w:rPr>
        <w:t xml:space="preserve">. </w:t>
      </w:r>
      <w:r w:rsidR="00B82C44" w:rsidRPr="002C1A92">
        <w:rPr>
          <w:rFonts w:ascii="Times New Roman" w:hAnsi="Times New Roman" w:cs="Times New Roman"/>
        </w:rPr>
        <w:t>The results indicate that business organizations and public interest groups are equally supportive of Better Regulation reforms leading to participatory policymaking.</w:t>
      </w:r>
    </w:p>
    <w:p w14:paraId="4CC89CE6" w14:textId="7252FE85" w:rsidR="0092007E" w:rsidRPr="002C1A92" w:rsidRDefault="0092007E" w:rsidP="00495265">
      <w:pPr>
        <w:spacing w:line="360" w:lineRule="auto"/>
        <w:ind w:firstLine="720"/>
        <w:jc w:val="both"/>
        <w:rPr>
          <w:rFonts w:ascii="Times New Roman" w:hAnsi="Times New Roman" w:cs="Times New Roman"/>
        </w:rPr>
      </w:pPr>
      <w:r w:rsidRPr="002C1A92">
        <w:rPr>
          <w:rFonts w:ascii="Times New Roman" w:hAnsi="Times New Roman" w:cs="Times New Roman"/>
        </w:rPr>
        <w:t xml:space="preserve">Addressing </w:t>
      </w:r>
      <w:r w:rsidR="0071275B" w:rsidRPr="009D0204">
        <w:rPr>
          <w:rFonts w:ascii="Times New Roman" w:hAnsi="Times New Roman" w:cs="Times New Roman"/>
        </w:rPr>
        <w:t>this</w:t>
      </w:r>
      <w:r w:rsidRPr="009D0204">
        <w:rPr>
          <w:rFonts w:ascii="Times New Roman" w:hAnsi="Times New Roman" w:cs="Times New Roman"/>
        </w:rPr>
        <w:t xml:space="preserve"> </w:t>
      </w:r>
      <w:r w:rsidR="0071275B" w:rsidRPr="009D0204">
        <w:rPr>
          <w:rFonts w:ascii="Times New Roman" w:hAnsi="Times New Roman" w:cs="Times New Roman"/>
        </w:rPr>
        <w:t>research</w:t>
      </w:r>
      <w:r w:rsidR="0071275B">
        <w:rPr>
          <w:rFonts w:ascii="Times New Roman" w:hAnsi="Times New Roman" w:cs="Times New Roman"/>
        </w:rPr>
        <w:t xml:space="preserve"> </w:t>
      </w:r>
      <w:r w:rsidRPr="002C1A92">
        <w:rPr>
          <w:rFonts w:ascii="Times New Roman" w:hAnsi="Times New Roman" w:cs="Times New Roman"/>
        </w:rPr>
        <w:t xml:space="preserve">question is relevant in several ways.  First, Better Regulation represents a key approach to improving contemporary </w:t>
      </w:r>
      <w:r w:rsidR="00544492" w:rsidRPr="002C1A92">
        <w:rPr>
          <w:rFonts w:ascii="Times New Roman" w:hAnsi="Times New Roman" w:cs="Times New Roman"/>
        </w:rPr>
        <w:t xml:space="preserve">systems of governance and </w:t>
      </w:r>
      <w:r w:rsidRPr="002C1A92">
        <w:rPr>
          <w:rFonts w:ascii="Times New Roman" w:hAnsi="Times New Roman" w:cs="Times New Roman"/>
        </w:rPr>
        <w:t>rests a</w:t>
      </w:r>
      <w:r w:rsidR="00544492" w:rsidRPr="002C1A92">
        <w:rPr>
          <w:rFonts w:ascii="Times New Roman" w:hAnsi="Times New Roman" w:cs="Times New Roman"/>
        </w:rPr>
        <w:t>t the core of democratic states’</w:t>
      </w:r>
      <w:r w:rsidRPr="002C1A92">
        <w:rPr>
          <w:rFonts w:ascii="Times New Roman" w:hAnsi="Times New Roman" w:cs="Times New Roman"/>
        </w:rPr>
        <w:t xml:space="preserve"> administrative functioning and policy</w:t>
      </w:r>
      <w:r w:rsidR="00B82C44" w:rsidRPr="002C1A92">
        <w:rPr>
          <w:rFonts w:ascii="Times New Roman" w:hAnsi="Times New Roman" w:cs="Times New Roman"/>
        </w:rPr>
        <w:t xml:space="preserve"> </w:t>
      </w:r>
      <w:r w:rsidRPr="002C1A92">
        <w:rPr>
          <w:rFonts w:ascii="Times New Roman" w:hAnsi="Times New Roman" w:cs="Times New Roman"/>
        </w:rPr>
        <w:t>performance. Better Regulation taps directly into the quality of governance. Therefo</w:t>
      </w:r>
      <w:r w:rsidR="00544492" w:rsidRPr="002C1A92">
        <w:rPr>
          <w:rFonts w:ascii="Times New Roman" w:hAnsi="Times New Roman" w:cs="Times New Roman"/>
        </w:rPr>
        <w:t xml:space="preserve">re, </w:t>
      </w:r>
      <w:r w:rsidRPr="002C1A92">
        <w:rPr>
          <w:rFonts w:ascii="Times New Roman" w:hAnsi="Times New Roman" w:cs="Times New Roman"/>
        </w:rPr>
        <w:t xml:space="preserve">Better Regulation debates offer valuable insights </w:t>
      </w:r>
      <w:r w:rsidR="00544492" w:rsidRPr="002C1A92">
        <w:rPr>
          <w:rFonts w:ascii="Times New Roman" w:hAnsi="Times New Roman" w:cs="Times New Roman"/>
        </w:rPr>
        <w:t xml:space="preserve">about the structuring of </w:t>
      </w:r>
      <w:r w:rsidR="008E16C8" w:rsidRPr="002C1A92">
        <w:rPr>
          <w:rFonts w:ascii="Times New Roman" w:hAnsi="Times New Roman" w:cs="Times New Roman"/>
        </w:rPr>
        <w:t xml:space="preserve">stakeholders’ </w:t>
      </w:r>
      <w:r w:rsidRPr="002C1A92">
        <w:rPr>
          <w:rFonts w:ascii="Times New Roman" w:hAnsi="Times New Roman" w:cs="Times New Roman"/>
        </w:rPr>
        <w:t xml:space="preserve">preferences regarding the functioning of governance. Second, interest group theories constitute one of the main approaches </w:t>
      </w:r>
      <w:r w:rsidR="00421B03" w:rsidRPr="002C1A92">
        <w:rPr>
          <w:rFonts w:ascii="Times New Roman" w:hAnsi="Times New Roman" w:cs="Times New Roman"/>
        </w:rPr>
        <w:t xml:space="preserve">used </w:t>
      </w:r>
      <w:r w:rsidRPr="002C1A92">
        <w:rPr>
          <w:rFonts w:ascii="Times New Roman" w:hAnsi="Times New Roman" w:cs="Times New Roman"/>
        </w:rPr>
        <w:t>in</w:t>
      </w:r>
      <w:r w:rsidR="00903A2D" w:rsidRPr="002C1A92">
        <w:rPr>
          <w:rFonts w:ascii="Times New Roman" w:hAnsi="Times New Roman" w:cs="Times New Roman"/>
        </w:rPr>
        <w:t xml:space="preserve"> economics,</w:t>
      </w:r>
      <w:r w:rsidRPr="002C1A92">
        <w:rPr>
          <w:rFonts w:ascii="Times New Roman" w:hAnsi="Times New Roman" w:cs="Times New Roman"/>
        </w:rPr>
        <w:t xml:space="preserve"> political science and public policy research to </w:t>
      </w:r>
      <w:r w:rsidR="00544492" w:rsidRPr="002C1A92">
        <w:rPr>
          <w:rFonts w:ascii="Times New Roman" w:hAnsi="Times New Roman" w:cs="Times New Roman"/>
        </w:rPr>
        <w:t>study regulatory regimes (</w:t>
      </w:r>
      <w:r w:rsidRPr="002C1A92">
        <w:rPr>
          <w:rFonts w:ascii="Times New Roman" w:hAnsi="Times New Roman" w:cs="Times New Roman"/>
        </w:rPr>
        <w:t>Baldwin</w:t>
      </w:r>
      <w:r w:rsidR="00544492" w:rsidRPr="002C1A92">
        <w:rPr>
          <w:rFonts w:ascii="Times New Roman" w:hAnsi="Times New Roman" w:cs="Times New Roman"/>
        </w:rPr>
        <w:t xml:space="preserve"> </w:t>
      </w:r>
      <w:r w:rsidRPr="002C1A92">
        <w:rPr>
          <w:rFonts w:ascii="Times New Roman" w:hAnsi="Times New Roman" w:cs="Times New Roman"/>
        </w:rPr>
        <w:t>et</w:t>
      </w:r>
      <w:r w:rsidR="00544492" w:rsidRPr="002C1A92">
        <w:rPr>
          <w:rFonts w:ascii="Times New Roman" w:hAnsi="Times New Roman" w:cs="Times New Roman"/>
        </w:rPr>
        <w:t xml:space="preserve"> </w:t>
      </w:r>
      <w:r w:rsidRPr="002C1A92">
        <w:rPr>
          <w:rFonts w:ascii="Times New Roman" w:hAnsi="Times New Roman" w:cs="Times New Roman"/>
        </w:rPr>
        <w:t>al</w:t>
      </w:r>
      <w:r w:rsidR="004E407B" w:rsidRPr="002C1A92">
        <w:rPr>
          <w:rFonts w:ascii="Times New Roman" w:hAnsi="Times New Roman" w:cs="Times New Roman"/>
        </w:rPr>
        <w:t>.</w:t>
      </w:r>
      <w:r w:rsidR="00544492" w:rsidRPr="002C1A92">
        <w:rPr>
          <w:rFonts w:ascii="Times New Roman" w:hAnsi="Times New Roman" w:cs="Times New Roman"/>
        </w:rPr>
        <w:t xml:space="preserve"> </w:t>
      </w:r>
      <w:r w:rsidR="00EB0651" w:rsidRPr="002C1A92">
        <w:rPr>
          <w:rFonts w:ascii="Times New Roman" w:hAnsi="Times New Roman" w:cs="Times New Roman"/>
        </w:rPr>
        <w:t>2012)</w:t>
      </w:r>
      <w:r w:rsidRPr="002C1A92">
        <w:rPr>
          <w:rFonts w:ascii="Times New Roman" w:hAnsi="Times New Roman" w:cs="Times New Roman"/>
        </w:rPr>
        <w:t xml:space="preserve">. </w:t>
      </w:r>
      <w:r w:rsidR="008E7D95" w:rsidRPr="002C1A92">
        <w:rPr>
          <w:rFonts w:ascii="Times New Roman" w:hAnsi="Times New Roman" w:cs="Times New Roman"/>
        </w:rPr>
        <w:lastRenderedPageBreak/>
        <w:t>The</w:t>
      </w:r>
      <w:r w:rsidR="003F75E2" w:rsidRPr="002C1A92">
        <w:rPr>
          <w:rFonts w:ascii="Times New Roman" w:hAnsi="Times New Roman" w:cs="Times New Roman"/>
        </w:rPr>
        <w:t xml:space="preserve"> </w:t>
      </w:r>
      <w:r w:rsidR="008E7D95" w:rsidRPr="002C1A92">
        <w:rPr>
          <w:rFonts w:ascii="Times New Roman" w:hAnsi="Times New Roman" w:cs="Times New Roman"/>
        </w:rPr>
        <w:t xml:space="preserve">literature </w:t>
      </w:r>
      <w:r w:rsidR="003F75E2" w:rsidRPr="002C1A92">
        <w:rPr>
          <w:rFonts w:ascii="Times New Roman" w:hAnsi="Times New Roman" w:cs="Times New Roman"/>
        </w:rPr>
        <w:t xml:space="preserve">shows </w:t>
      </w:r>
      <w:r w:rsidRPr="002C1A92">
        <w:rPr>
          <w:rFonts w:ascii="Times New Roman" w:hAnsi="Times New Roman" w:cs="Times New Roman"/>
        </w:rPr>
        <w:t xml:space="preserve">that private actors play a crucial role in the design, evolution and implementation of regulatory regimes across systems and levels of </w:t>
      </w:r>
      <w:r w:rsidR="00F40C1E" w:rsidRPr="002C1A92">
        <w:rPr>
          <w:rFonts w:ascii="Times New Roman" w:hAnsi="Times New Roman" w:cs="Times New Roman"/>
        </w:rPr>
        <w:t xml:space="preserve">government </w:t>
      </w:r>
      <w:r w:rsidR="008E7D95" w:rsidRPr="002C1A92">
        <w:rPr>
          <w:rFonts w:ascii="Times New Roman" w:hAnsi="Times New Roman" w:cs="Times New Roman"/>
        </w:rPr>
        <w:t>(</w:t>
      </w:r>
      <w:r w:rsidR="00C40292" w:rsidRPr="002C1A92">
        <w:rPr>
          <w:rFonts w:ascii="Times New Roman" w:hAnsi="Times New Roman" w:cs="Times New Roman"/>
        </w:rPr>
        <w:t>Ayres and Braithwaite 1992</w:t>
      </w:r>
      <w:r w:rsidR="00F82E8B">
        <w:rPr>
          <w:rFonts w:ascii="Times New Roman" w:hAnsi="Times New Roman" w:cs="Times New Roman"/>
        </w:rPr>
        <w:t>,</w:t>
      </w:r>
      <w:r w:rsidR="00F82E8B" w:rsidRPr="00F82E8B">
        <w:rPr>
          <w:rFonts w:ascii="Times New Roman" w:hAnsi="Times New Roman" w:cs="Times New Roman"/>
        </w:rPr>
        <w:t xml:space="preserve"> </w:t>
      </w:r>
      <w:r w:rsidR="00F82E8B" w:rsidRPr="002C1A92">
        <w:rPr>
          <w:rFonts w:ascii="Times New Roman" w:hAnsi="Times New Roman" w:cs="Times New Roman"/>
        </w:rPr>
        <w:t>Croley 2008</w:t>
      </w:r>
      <w:r w:rsidR="008E7D95" w:rsidRPr="002C1A92">
        <w:rPr>
          <w:rFonts w:ascii="Times New Roman" w:hAnsi="Times New Roman" w:cs="Times New Roman"/>
        </w:rPr>
        <w:t>)</w:t>
      </w:r>
      <w:r w:rsidRPr="002C1A92">
        <w:rPr>
          <w:rFonts w:ascii="Times New Roman" w:hAnsi="Times New Roman" w:cs="Times New Roman"/>
        </w:rPr>
        <w:t>. However, the literature still debates what is the structure</w:t>
      </w:r>
      <w:r w:rsidR="00BE78F8" w:rsidRPr="002C1A92">
        <w:rPr>
          <w:rFonts w:ascii="Times New Roman" w:hAnsi="Times New Roman" w:cs="Times New Roman"/>
        </w:rPr>
        <w:t xml:space="preserve"> (</w:t>
      </w:r>
      <w:r w:rsidR="00B74E7F" w:rsidRPr="002C1A92">
        <w:rPr>
          <w:rFonts w:ascii="Times New Roman" w:hAnsi="Times New Roman" w:cs="Times New Roman"/>
        </w:rPr>
        <w:t>pattern</w:t>
      </w:r>
      <w:r w:rsidR="00BE78F8" w:rsidRPr="002C1A92">
        <w:rPr>
          <w:rFonts w:ascii="Times New Roman" w:hAnsi="Times New Roman" w:cs="Times New Roman"/>
        </w:rPr>
        <w:t>)</w:t>
      </w:r>
      <w:r w:rsidRPr="002C1A92">
        <w:rPr>
          <w:rFonts w:ascii="Times New Roman" w:hAnsi="Times New Roman" w:cs="Times New Roman"/>
        </w:rPr>
        <w:t xml:space="preserve"> of private </w:t>
      </w:r>
      <w:r w:rsidR="00EB0651" w:rsidRPr="002C1A92">
        <w:rPr>
          <w:rFonts w:ascii="Times New Roman" w:hAnsi="Times New Roman" w:cs="Times New Roman"/>
        </w:rPr>
        <w:t>actors’</w:t>
      </w:r>
      <w:r w:rsidRPr="002C1A92">
        <w:rPr>
          <w:rFonts w:ascii="Times New Roman" w:hAnsi="Times New Roman" w:cs="Times New Roman"/>
        </w:rPr>
        <w:t xml:space="preserve"> preferences re</w:t>
      </w:r>
      <w:r w:rsidR="004355A1" w:rsidRPr="002C1A92">
        <w:rPr>
          <w:rFonts w:ascii="Times New Roman" w:hAnsi="Times New Roman" w:cs="Times New Roman"/>
        </w:rPr>
        <w:t>lative to regulation in general</w:t>
      </w:r>
      <w:r w:rsidRPr="002C1A92">
        <w:rPr>
          <w:rFonts w:ascii="Times New Roman" w:hAnsi="Times New Roman" w:cs="Times New Roman"/>
        </w:rPr>
        <w:t xml:space="preserve"> and to Better </w:t>
      </w:r>
      <w:r w:rsidR="00EB0651" w:rsidRPr="002C1A92">
        <w:rPr>
          <w:rFonts w:ascii="Times New Roman" w:hAnsi="Times New Roman" w:cs="Times New Roman"/>
        </w:rPr>
        <w:t>Regulation in particular (</w:t>
      </w:r>
      <w:r w:rsidRPr="002C1A92">
        <w:rPr>
          <w:rFonts w:ascii="Times New Roman" w:hAnsi="Times New Roman" w:cs="Times New Roman"/>
        </w:rPr>
        <w:t>Radaelli</w:t>
      </w:r>
      <w:r w:rsidR="00EB0651" w:rsidRPr="002C1A92">
        <w:rPr>
          <w:rFonts w:ascii="Times New Roman" w:hAnsi="Times New Roman" w:cs="Times New Roman"/>
        </w:rPr>
        <w:t xml:space="preserve"> </w:t>
      </w:r>
      <w:r w:rsidR="004E407B" w:rsidRPr="002C1A92">
        <w:rPr>
          <w:rFonts w:ascii="Times New Roman" w:hAnsi="Times New Roman" w:cs="Times New Roman"/>
        </w:rPr>
        <w:t>2007)</w:t>
      </w:r>
      <w:r w:rsidRPr="002C1A92">
        <w:rPr>
          <w:rFonts w:ascii="Times New Roman" w:hAnsi="Times New Roman" w:cs="Times New Roman"/>
        </w:rPr>
        <w:t xml:space="preserve">. This is at least partly due to the heterogeneous nature of stakeholders and to the challenge of </w:t>
      </w:r>
      <w:r w:rsidR="00CD6BC5" w:rsidRPr="002C1A92">
        <w:rPr>
          <w:rFonts w:ascii="Times New Roman" w:hAnsi="Times New Roman" w:cs="Times New Roman"/>
        </w:rPr>
        <w:t>conceptualizing</w:t>
      </w:r>
      <w:r w:rsidRPr="002C1A92">
        <w:rPr>
          <w:rFonts w:ascii="Times New Roman" w:hAnsi="Times New Roman" w:cs="Times New Roman"/>
        </w:rPr>
        <w:t xml:space="preserve"> and </w:t>
      </w:r>
      <w:r w:rsidR="00CD6BC5" w:rsidRPr="002C1A92">
        <w:rPr>
          <w:rFonts w:ascii="Times New Roman" w:hAnsi="Times New Roman" w:cs="Times New Roman"/>
        </w:rPr>
        <w:t>operationalizing</w:t>
      </w:r>
      <w:r w:rsidRPr="002C1A92">
        <w:rPr>
          <w:rFonts w:ascii="Times New Roman" w:hAnsi="Times New Roman" w:cs="Times New Roman"/>
        </w:rPr>
        <w:t xml:space="preserve"> Better Regulation. This justifies our decision to limit our analytical focus to examine </w:t>
      </w:r>
      <w:r w:rsidR="00EB0651" w:rsidRPr="002C1A92">
        <w:rPr>
          <w:rFonts w:ascii="Times New Roman" w:hAnsi="Times New Roman" w:cs="Times New Roman"/>
        </w:rPr>
        <w:t>stakeholders’</w:t>
      </w:r>
      <w:r w:rsidRPr="002C1A92">
        <w:rPr>
          <w:rFonts w:ascii="Times New Roman" w:hAnsi="Times New Roman" w:cs="Times New Roman"/>
        </w:rPr>
        <w:t xml:space="preserve"> </w:t>
      </w:r>
      <w:r w:rsidR="008E16C8" w:rsidRPr="002C1A92">
        <w:rPr>
          <w:rFonts w:ascii="Times New Roman" w:hAnsi="Times New Roman" w:cs="Times New Roman"/>
        </w:rPr>
        <w:t xml:space="preserve">preferences </w:t>
      </w:r>
      <w:r w:rsidRPr="002C1A92">
        <w:rPr>
          <w:rFonts w:ascii="Times New Roman" w:hAnsi="Times New Roman" w:cs="Times New Roman"/>
        </w:rPr>
        <w:t>only, while not considering the preferences of formal decision-</w:t>
      </w:r>
      <w:r w:rsidR="004E407B" w:rsidRPr="002C1A92">
        <w:rPr>
          <w:rFonts w:ascii="Times New Roman" w:hAnsi="Times New Roman" w:cs="Times New Roman"/>
        </w:rPr>
        <w:t>makers</w:t>
      </w:r>
      <w:r w:rsidR="004355A1" w:rsidRPr="002C1A92">
        <w:rPr>
          <w:rFonts w:ascii="Times New Roman" w:hAnsi="Times New Roman" w:cs="Times New Roman"/>
        </w:rPr>
        <w:t>.</w:t>
      </w:r>
      <w:r w:rsidRPr="002C1A92">
        <w:rPr>
          <w:rFonts w:ascii="Times New Roman" w:hAnsi="Times New Roman" w:cs="Times New Roman"/>
        </w:rPr>
        <w:t xml:space="preserve"> Lastly, examining this question allows understanding to what extent Better Regulation reforms correspond to policy necessities</w:t>
      </w:r>
      <w:r w:rsidR="00D54261" w:rsidRPr="002C1A92">
        <w:rPr>
          <w:rFonts w:ascii="Times New Roman" w:hAnsi="Times New Roman" w:cs="Times New Roman"/>
        </w:rPr>
        <w:t xml:space="preserve"> (as indicated by its end-users’</w:t>
      </w:r>
      <w:r w:rsidRPr="002C1A92">
        <w:rPr>
          <w:rFonts w:ascii="Times New Roman" w:hAnsi="Times New Roman" w:cs="Times New Roman"/>
        </w:rPr>
        <w:t xml:space="preserve"> </w:t>
      </w:r>
      <w:r w:rsidR="00FB5861" w:rsidRPr="002C1A92">
        <w:rPr>
          <w:rFonts w:ascii="Times New Roman" w:hAnsi="Times New Roman" w:cs="Times New Roman"/>
        </w:rPr>
        <w:t>preferences</w:t>
      </w:r>
      <w:r w:rsidRPr="002C1A92">
        <w:rPr>
          <w:rFonts w:ascii="Times New Roman" w:hAnsi="Times New Roman" w:cs="Times New Roman"/>
        </w:rPr>
        <w:t>) or constitute a unilateral act of top-down policy entrepreneurship initiated by bureaucratic executive actors</w:t>
      </w:r>
      <w:r w:rsidR="00EB0651" w:rsidRPr="002C1A92">
        <w:rPr>
          <w:rFonts w:ascii="Times New Roman" w:hAnsi="Times New Roman" w:cs="Times New Roman"/>
        </w:rPr>
        <w:t xml:space="preserve"> </w:t>
      </w:r>
      <w:r w:rsidRPr="002C1A92">
        <w:rPr>
          <w:rFonts w:ascii="Times New Roman" w:hAnsi="Times New Roman" w:cs="Times New Roman"/>
        </w:rPr>
        <w:t xml:space="preserve">in order to increase the coherence and cohesiveness of </w:t>
      </w:r>
      <w:r w:rsidR="00F2614B" w:rsidRPr="002C1A92">
        <w:rPr>
          <w:rFonts w:ascii="Times New Roman" w:hAnsi="Times New Roman" w:cs="Times New Roman"/>
        </w:rPr>
        <w:t xml:space="preserve">their </w:t>
      </w:r>
      <w:r w:rsidRPr="002C1A92">
        <w:rPr>
          <w:rFonts w:ascii="Times New Roman" w:hAnsi="Times New Roman" w:cs="Times New Roman"/>
        </w:rPr>
        <w:t xml:space="preserve">decision-making procedures and subsequent political power during legislative decision-making </w:t>
      </w:r>
      <w:r w:rsidR="00EB0651" w:rsidRPr="002C1A92">
        <w:rPr>
          <w:rFonts w:ascii="Times New Roman" w:hAnsi="Times New Roman" w:cs="Times New Roman"/>
        </w:rPr>
        <w:t>(</w:t>
      </w:r>
      <w:r w:rsidR="00F82E8B" w:rsidRPr="002C1A92">
        <w:rPr>
          <w:rFonts w:ascii="Times New Roman" w:hAnsi="Times New Roman" w:cs="Times New Roman"/>
        </w:rPr>
        <w:t>Radaelli and De Francesco 2007</w:t>
      </w:r>
      <w:r w:rsidR="00F82E8B">
        <w:rPr>
          <w:rFonts w:ascii="Times New Roman" w:hAnsi="Times New Roman" w:cs="Times New Roman"/>
        </w:rPr>
        <w:t xml:space="preserve">, </w:t>
      </w:r>
      <w:r w:rsidRPr="002C1A92">
        <w:rPr>
          <w:rFonts w:ascii="Times New Roman" w:hAnsi="Times New Roman" w:cs="Times New Roman"/>
        </w:rPr>
        <w:t>Radaelli</w:t>
      </w:r>
      <w:r w:rsidR="00EB0651" w:rsidRPr="002C1A92">
        <w:rPr>
          <w:rFonts w:ascii="Times New Roman" w:hAnsi="Times New Roman" w:cs="Times New Roman"/>
        </w:rPr>
        <w:t xml:space="preserve"> and </w:t>
      </w:r>
      <w:r w:rsidRPr="002C1A92">
        <w:rPr>
          <w:rFonts w:ascii="Times New Roman" w:hAnsi="Times New Roman" w:cs="Times New Roman"/>
        </w:rPr>
        <w:t>Meuwese</w:t>
      </w:r>
      <w:r w:rsidR="00EB0651" w:rsidRPr="002C1A92">
        <w:rPr>
          <w:rFonts w:ascii="Times New Roman" w:hAnsi="Times New Roman" w:cs="Times New Roman"/>
        </w:rPr>
        <w:t xml:space="preserve"> </w:t>
      </w:r>
      <w:r w:rsidR="00F82E8B">
        <w:rPr>
          <w:rFonts w:ascii="Times New Roman" w:hAnsi="Times New Roman" w:cs="Times New Roman"/>
        </w:rPr>
        <w:t>2010</w:t>
      </w:r>
      <w:r w:rsidR="00EB0651" w:rsidRPr="002C1A92">
        <w:rPr>
          <w:rFonts w:ascii="Times New Roman" w:hAnsi="Times New Roman" w:cs="Times New Roman"/>
        </w:rPr>
        <w:t>)</w:t>
      </w:r>
      <w:r w:rsidRPr="002C1A92">
        <w:rPr>
          <w:rFonts w:ascii="Times New Roman" w:hAnsi="Times New Roman" w:cs="Times New Roman"/>
        </w:rPr>
        <w:t>.</w:t>
      </w:r>
    </w:p>
    <w:p w14:paraId="473813A6" w14:textId="71F31118" w:rsidR="0092007E" w:rsidRPr="002C1A92" w:rsidRDefault="0092007E" w:rsidP="00271C20">
      <w:pPr>
        <w:spacing w:line="360" w:lineRule="auto"/>
        <w:ind w:firstLine="720"/>
        <w:jc w:val="both"/>
        <w:rPr>
          <w:rFonts w:ascii="Times New Roman" w:hAnsi="Times New Roman" w:cs="Times New Roman"/>
        </w:rPr>
      </w:pPr>
      <w:r w:rsidRPr="002C1A92">
        <w:rPr>
          <w:rFonts w:ascii="Times New Roman" w:hAnsi="Times New Roman" w:cs="Times New Roman"/>
        </w:rPr>
        <w:t xml:space="preserve">We contribute to the literatures </w:t>
      </w:r>
      <w:r w:rsidR="00EB0651" w:rsidRPr="002C1A92">
        <w:rPr>
          <w:rFonts w:ascii="Times New Roman" w:hAnsi="Times New Roman" w:cs="Times New Roman"/>
        </w:rPr>
        <w:t>on regulatory governance (</w:t>
      </w:r>
      <w:r w:rsidR="009300B7" w:rsidRPr="002C1A92">
        <w:rPr>
          <w:rFonts w:ascii="Times New Roman" w:hAnsi="Times New Roman" w:cs="Times New Roman"/>
        </w:rPr>
        <w:t>Baldwin et al. 2012</w:t>
      </w:r>
      <w:r w:rsidR="00EB0651" w:rsidRPr="002C1A92">
        <w:rPr>
          <w:rFonts w:ascii="Times New Roman" w:hAnsi="Times New Roman" w:cs="Times New Roman"/>
        </w:rPr>
        <w:t>)</w:t>
      </w:r>
      <w:r w:rsidR="00656336" w:rsidRPr="002C1A92">
        <w:rPr>
          <w:rFonts w:ascii="Times New Roman" w:hAnsi="Times New Roman" w:cs="Times New Roman"/>
        </w:rPr>
        <w:t>, supranational policymaking (Richardson 2012)</w:t>
      </w:r>
      <w:r w:rsidRPr="002C1A92">
        <w:rPr>
          <w:rFonts w:ascii="Times New Roman" w:hAnsi="Times New Roman" w:cs="Times New Roman"/>
        </w:rPr>
        <w:t xml:space="preserve"> and </w:t>
      </w:r>
      <w:r w:rsidR="009300B7" w:rsidRPr="002C1A92">
        <w:rPr>
          <w:rFonts w:ascii="Times New Roman" w:hAnsi="Times New Roman" w:cs="Times New Roman"/>
        </w:rPr>
        <w:t>interest groups’ participation in rulemaking (</w:t>
      </w:r>
      <w:r w:rsidR="00F82E8B" w:rsidRPr="002C1A92">
        <w:rPr>
          <w:rFonts w:ascii="Times New Roman" w:hAnsi="Times New Roman" w:cs="Times New Roman"/>
        </w:rPr>
        <w:t>Ayres and Braithwaite 1992</w:t>
      </w:r>
      <w:r w:rsidR="00F82E8B">
        <w:rPr>
          <w:rFonts w:ascii="Times New Roman" w:hAnsi="Times New Roman" w:cs="Times New Roman"/>
        </w:rPr>
        <w:t xml:space="preserve">, </w:t>
      </w:r>
      <w:r w:rsidR="009300B7" w:rsidRPr="002C1A92">
        <w:rPr>
          <w:rFonts w:ascii="Times New Roman" w:hAnsi="Times New Roman" w:cs="Times New Roman"/>
        </w:rPr>
        <w:t xml:space="preserve">Croley 2008, </w:t>
      </w:r>
      <w:r w:rsidR="007B1CC6" w:rsidRPr="002C1A92">
        <w:rPr>
          <w:rFonts w:ascii="Times New Roman" w:hAnsi="Times New Roman" w:cs="Times New Roman"/>
        </w:rPr>
        <w:t>2011</w:t>
      </w:r>
      <w:r w:rsidR="00656336" w:rsidRPr="002C1A92">
        <w:rPr>
          <w:rFonts w:ascii="Times New Roman" w:hAnsi="Times New Roman" w:cs="Times New Roman"/>
        </w:rPr>
        <w:t>, Balla 2011)</w:t>
      </w:r>
      <w:r w:rsidR="00EB0651" w:rsidRPr="002C1A92">
        <w:rPr>
          <w:rFonts w:ascii="Times New Roman" w:hAnsi="Times New Roman" w:cs="Times New Roman"/>
        </w:rPr>
        <w:t xml:space="preserve">. Theoretically, </w:t>
      </w:r>
      <w:r w:rsidRPr="002C1A92">
        <w:rPr>
          <w:rFonts w:ascii="Times New Roman" w:hAnsi="Times New Roman" w:cs="Times New Roman"/>
        </w:rPr>
        <w:t xml:space="preserve">we elaborate an argument that relates three </w:t>
      </w:r>
      <w:r w:rsidR="00FB5861" w:rsidRPr="002C1A92">
        <w:rPr>
          <w:rFonts w:ascii="Times New Roman" w:hAnsi="Times New Roman" w:cs="Times New Roman"/>
        </w:rPr>
        <w:t xml:space="preserve">classic </w:t>
      </w:r>
      <w:r w:rsidR="00D90129" w:rsidRPr="002C1A92">
        <w:rPr>
          <w:rFonts w:ascii="Times New Roman" w:hAnsi="Times New Roman" w:cs="Times New Roman"/>
        </w:rPr>
        <w:t>approaches to</w:t>
      </w:r>
      <w:r w:rsidRPr="002C1A92">
        <w:rPr>
          <w:rFonts w:ascii="Times New Roman" w:hAnsi="Times New Roman" w:cs="Times New Roman"/>
        </w:rPr>
        <w:t xml:space="preserve"> regulatory reform with a key explanatory variable in theories of interest representation</w:t>
      </w:r>
      <w:r w:rsidR="004E407B" w:rsidRPr="002C1A92">
        <w:rPr>
          <w:rFonts w:ascii="Times New Roman" w:hAnsi="Times New Roman" w:cs="Times New Roman"/>
        </w:rPr>
        <w:t>:</w:t>
      </w:r>
      <w:r w:rsidRPr="002C1A92">
        <w:rPr>
          <w:rFonts w:ascii="Times New Roman" w:hAnsi="Times New Roman" w:cs="Times New Roman"/>
        </w:rPr>
        <w:t xml:space="preserve"> the constituency of interests represent</w:t>
      </w:r>
      <w:r w:rsidR="00EB0651" w:rsidRPr="002C1A92">
        <w:rPr>
          <w:rFonts w:ascii="Times New Roman" w:hAnsi="Times New Roman" w:cs="Times New Roman"/>
        </w:rPr>
        <w:t xml:space="preserve">ed. Empirically, we propose </w:t>
      </w:r>
      <w:r w:rsidRPr="002C1A92">
        <w:rPr>
          <w:rFonts w:ascii="Times New Roman" w:hAnsi="Times New Roman" w:cs="Times New Roman"/>
        </w:rPr>
        <w:t xml:space="preserve">one of the first systematic studies </w:t>
      </w:r>
      <w:r w:rsidR="00FB5861" w:rsidRPr="002C1A92">
        <w:rPr>
          <w:rFonts w:ascii="Times New Roman" w:hAnsi="Times New Roman" w:cs="Times New Roman"/>
        </w:rPr>
        <w:t xml:space="preserve">identifying and </w:t>
      </w:r>
      <w:r w:rsidRPr="002C1A92">
        <w:rPr>
          <w:rFonts w:ascii="Times New Roman" w:hAnsi="Times New Roman" w:cs="Times New Roman"/>
        </w:rPr>
        <w:t xml:space="preserve">mapping </w:t>
      </w:r>
      <w:r w:rsidR="00271C20" w:rsidRPr="002C1A92">
        <w:rPr>
          <w:rFonts w:ascii="Times New Roman" w:hAnsi="Times New Roman" w:cs="Times New Roman"/>
        </w:rPr>
        <w:t xml:space="preserve">stakeholders’ </w:t>
      </w:r>
      <w:r w:rsidR="00FB5861" w:rsidRPr="002C1A92">
        <w:rPr>
          <w:rFonts w:ascii="Times New Roman" w:hAnsi="Times New Roman" w:cs="Times New Roman"/>
        </w:rPr>
        <w:t>preferences for</w:t>
      </w:r>
      <w:r w:rsidR="00271C20" w:rsidRPr="002C1A92">
        <w:rPr>
          <w:rFonts w:ascii="Times New Roman" w:hAnsi="Times New Roman" w:cs="Times New Roman"/>
        </w:rPr>
        <w:t xml:space="preserve"> what should be the direction of Better Regulation reforms, on a set of discrete policy issues. </w:t>
      </w:r>
      <w:r w:rsidRPr="002C1A92">
        <w:rPr>
          <w:rFonts w:ascii="Times New Roman" w:hAnsi="Times New Roman" w:cs="Times New Roman"/>
        </w:rPr>
        <w:t>Methodologically, we innovate by employing a fine-grained</w:t>
      </w:r>
      <w:r w:rsidR="00EB0651" w:rsidRPr="002C1A92">
        <w:rPr>
          <w:rFonts w:ascii="Times New Roman" w:hAnsi="Times New Roman" w:cs="Times New Roman"/>
        </w:rPr>
        <w:t xml:space="preserve"> identification of stakeholders’</w:t>
      </w:r>
      <w:r w:rsidRPr="002C1A92">
        <w:rPr>
          <w:rFonts w:ascii="Times New Roman" w:hAnsi="Times New Roman" w:cs="Times New Roman"/>
        </w:rPr>
        <w:t xml:space="preserve"> demands expressed in pub</w:t>
      </w:r>
      <w:r w:rsidR="00EB0651" w:rsidRPr="002C1A92">
        <w:rPr>
          <w:rFonts w:ascii="Times New Roman" w:hAnsi="Times New Roman" w:cs="Times New Roman"/>
        </w:rPr>
        <w:t>lic consultations that al</w:t>
      </w:r>
      <w:r w:rsidR="002A77B1" w:rsidRPr="002C1A92">
        <w:rPr>
          <w:rFonts w:ascii="Times New Roman" w:hAnsi="Times New Roman" w:cs="Times New Roman"/>
        </w:rPr>
        <w:t xml:space="preserve">lows a </w:t>
      </w:r>
      <w:r w:rsidRPr="002C1A92">
        <w:rPr>
          <w:rFonts w:ascii="Times New Roman" w:hAnsi="Times New Roman" w:cs="Times New Roman"/>
        </w:rPr>
        <w:t>disaggregate empirical analysis of any systematic differences in preferences over Better Regulation</w:t>
      </w:r>
      <w:r w:rsidR="000E4D49" w:rsidRPr="002C1A92">
        <w:rPr>
          <w:rFonts w:ascii="Times New Roman" w:hAnsi="Times New Roman" w:cs="Times New Roman"/>
        </w:rPr>
        <w:t xml:space="preserve"> reforms</w:t>
      </w:r>
      <w:r w:rsidRPr="002C1A92">
        <w:rPr>
          <w:rFonts w:ascii="Times New Roman" w:hAnsi="Times New Roman" w:cs="Times New Roman"/>
        </w:rPr>
        <w:t>. Our empirical strategy also contributes to policy research by proposing a systematic, quantitative analysis of a key Better Regulation tool, namely public consultations. This goes at the heart of a key issue in bureaucratic policymaking</w:t>
      </w:r>
      <w:r w:rsidR="004E407B" w:rsidRPr="002C1A92">
        <w:rPr>
          <w:rFonts w:ascii="Times New Roman" w:hAnsi="Times New Roman" w:cs="Times New Roman"/>
        </w:rPr>
        <w:t>:</w:t>
      </w:r>
      <w:r w:rsidRPr="002C1A92">
        <w:rPr>
          <w:rFonts w:ascii="Times New Roman" w:hAnsi="Times New Roman" w:cs="Times New Roman"/>
        </w:rPr>
        <w:t xml:space="preserve"> how to best e</w:t>
      </w:r>
      <w:r w:rsidR="00EB0651" w:rsidRPr="002C1A92">
        <w:rPr>
          <w:rFonts w:ascii="Times New Roman" w:hAnsi="Times New Roman" w:cs="Times New Roman"/>
        </w:rPr>
        <w:t>xamine and process stakeholders’</w:t>
      </w:r>
      <w:r w:rsidRPr="002C1A92">
        <w:rPr>
          <w:rFonts w:ascii="Times New Roman" w:hAnsi="Times New Roman" w:cs="Times New Roman"/>
        </w:rPr>
        <w:t xml:space="preserve"> policy feedback in a scientific, systematic and reliable manner.</w:t>
      </w:r>
    </w:p>
    <w:p w14:paraId="747126B4" w14:textId="64D549E1" w:rsidR="00C90DF6" w:rsidRPr="00C90DF6" w:rsidRDefault="0092007E" w:rsidP="00C90DF6">
      <w:pPr>
        <w:spacing w:line="360" w:lineRule="auto"/>
        <w:ind w:firstLine="720"/>
        <w:jc w:val="both"/>
        <w:rPr>
          <w:rFonts w:ascii="Times New Roman" w:hAnsi="Times New Roman" w:cs="Times New Roman"/>
        </w:rPr>
      </w:pPr>
      <w:r w:rsidRPr="002C1A92">
        <w:rPr>
          <w:rFonts w:ascii="Times New Roman" w:hAnsi="Times New Roman" w:cs="Times New Roman"/>
        </w:rPr>
        <w:t>The literature defines Better R</w:t>
      </w:r>
      <w:r w:rsidR="00EB0651" w:rsidRPr="002C1A92">
        <w:rPr>
          <w:rFonts w:ascii="Times New Roman" w:hAnsi="Times New Roman" w:cs="Times New Roman"/>
        </w:rPr>
        <w:t>egulation in several ways: ‘meta-regulation’ (</w:t>
      </w:r>
      <w:r w:rsidRPr="002C1A92">
        <w:rPr>
          <w:rFonts w:ascii="Times New Roman" w:hAnsi="Times New Roman" w:cs="Times New Roman"/>
        </w:rPr>
        <w:t>Black</w:t>
      </w:r>
      <w:r w:rsidR="00EB0651" w:rsidRPr="002C1A92">
        <w:rPr>
          <w:rFonts w:ascii="Times New Roman" w:hAnsi="Times New Roman" w:cs="Times New Roman"/>
        </w:rPr>
        <w:t xml:space="preserve"> </w:t>
      </w:r>
      <w:r w:rsidRPr="002C1A92">
        <w:rPr>
          <w:rFonts w:ascii="Times New Roman" w:hAnsi="Times New Roman" w:cs="Times New Roman"/>
        </w:rPr>
        <w:t>2007, Radaelli</w:t>
      </w:r>
      <w:r w:rsidR="00EB0651" w:rsidRPr="002C1A92">
        <w:rPr>
          <w:rFonts w:ascii="Times New Roman" w:hAnsi="Times New Roman" w:cs="Times New Roman"/>
        </w:rPr>
        <w:t xml:space="preserve"> and </w:t>
      </w:r>
      <w:r w:rsidRPr="002C1A92">
        <w:rPr>
          <w:rFonts w:ascii="Times New Roman" w:hAnsi="Times New Roman" w:cs="Times New Roman"/>
        </w:rPr>
        <w:t>Meuwese</w:t>
      </w:r>
      <w:r w:rsidR="00EB0651" w:rsidRPr="002C1A92">
        <w:rPr>
          <w:rFonts w:ascii="Times New Roman" w:hAnsi="Times New Roman" w:cs="Times New Roman"/>
        </w:rPr>
        <w:t xml:space="preserve"> 2009), ‘second-order regulation’ (</w:t>
      </w:r>
      <w:r w:rsidRPr="002C1A92">
        <w:rPr>
          <w:rFonts w:ascii="Times New Roman" w:hAnsi="Times New Roman" w:cs="Times New Roman"/>
        </w:rPr>
        <w:t>Lodge</w:t>
      </w:r>
      <w:r w:rsidR="00EB0651" w:rsidRPr="002C1A92">
        <w:rPr>
          <w:rFonts w:ascii="Times New Roman" w:hAnsi="Times New Roman" w:cs="Times New Roman"/>
        </w:rPr>
        <w:t xml:space="preserve"> and </w:t>
      </w:r>
      <w:r w:rsidRPr="002C1A92">
        <w:rPr>
          <w:rFonts w:ascii="Times New Roman" w:hAnsi="Times New Roman" w:cs="Times New Roman"/>
        </w:rPr>
        <w:t>Wegrich</w:t>
      </w:r>
      <w:r w:rsidR="00EB0651" w:rsidRPr="002C1A92">
        <w:rPr>
          <w:rFonts w:ascii="Times New Roman" w:hAnsi="Times New Roman" w:cs="Times New Roman"/>
        </w:rPr>
        <w:t xml:space="preserve"> </w:t>
      </w:r>
      <w:r w:rsidRPr="002C1A92">
        <w:rPr>
          <w:rFonts w:ascii="Times New Roman" w:hAnsi="Times New Roman" w:cs="Times New Roman"/>
        </w:rPr>
        <w:t>2012</w:t>
      </w:r>
      <w:r w:rsidR="00C52A90">
        <w:rPr>
          <w:rFonts w:ascii="Times New Roman" w:hAnsi="Times New Roman" w:cs="Times New Roman"/>
        </w:rPr>
        <w:t>,</w:t>
      </w:r>
      <w:r w:rsidR="00EB0651" w:rsidRPr="002C1A92">
        <w:rPr>
          <w:rFonts w:ascii="Times New Roman" w:hAnsi="Times New Roman" w:cs="Times New Roman"/>
        </w:rPr>
        <w:t xml:space="preserve"> </w:t>
      </w:r>
      <w:r w:rsidR="00C52A90">
        <w:rPr>
          <w:rFonts w:ascii="Times New Roman" w:hAnsi="Times New Roman" w:cs="Times New Roman"/>
        </w:rPr>
        <w:t xml:space="preserve">p. </w:t>
      </w:r>
      <w:r w:rsidR="00EB0651" w:rsidRPr="002C1A92">
        <w:rPr>
          <w:rFonts w:ascii="Times New Roman" w:hAnsi="Times New Roman" w:cs="Times New Roman"/>
        </w:rPr>
        <w:t>195), or ‘soft constitutional law’ (</w:t>
      </w:r>
      <w:r w:rsidRPr="002C1A92">
        <w:rPr>
          <w:rFonts w:ascii="Times New Roman" w:hAnsi="Times New Roman" w:cs="Times New Roman"/>
        </w:rPr>
        <w:t>Meuwese</w:t>
      </w:r>
      <w:r w:rsidR="00EB0651" w:rsidRPr="002C1A92">
        <w:rPr>
          <w:rFonts w:ascii="Times New Roman" w:hAnsi="Times New Roman" w:cs="Times New Roman"/>
        </w:rPr>
        <w:t xml:space="preserve"> </w:t>
      </w:r>
      <w:r w:rsidRPr="002C1A92">
        <w:rPr>
          <w:rFonts w:ascii="Times New Roman" w:hAnsi="Times New Roman" w:cs="Times New Roman"/>
        </w:rPr>
        <w:t>2007</w:t>
      </w:r>
      <w:r w:rsidR="00C52A90">
        <w:rPr>
          <w:rFonts w:ascii="Times New Roman" w:hAnsi="Times New Roman" w:cs="Times New Roman"/>
        </w:rPr>
        <w:t>,</w:t>
      </w:r>
      <w:r w:rsidR="00EB0651" w:rsidRPr="002C1A92">
        <w:rPr>
          <w:rFonts w:ascii="Times New Roman" w:hAnsi="Times New Roman" w:cs="Times New Roman"/>
        </w:rPr>
        <w:t xml:space="preserve"> </w:t>
      </w:r>
      <w:r w:rsidR="00C52A90">
        <w:rPr>
          <w:rFonts w:ascii="Times New Roman" w:hAnsi="Times New Roman" w:cs="Times New Roman"/>
        </w:rPr>
        <w:t xml:space="preserve">p. </w:t>
      </w:r>
      <w:r w:rsidR="00EB0651" w:rsidRPr="002C1A92">
        <w:rPr>
          <w:rFonts w:ascii="Times New Roman" w:hAnsi="Times New Roman" w:cs="Times New Roman"/>
        </w:rPr>
        <w:t>276)</w:t>
      </w:r>
      <w:r w:rsidRPr="002C1A92">
        <w:rPr>
          <w:rFonts w:ascii="Times New Roman" w:hAnsi="Times New Roman" w:cs="Times New Roman"/>
        </w:rPr>
        <w:t xml:space="preserve">. In </w:t>
      </w:r>
      <w:r w:rsidR="00656CDA" w:rsidRPr="002C1A92">
        <w:rPr>
          <w:rFonts w:ascii="Times New Roman" w:hAnsi="Times New Roman" w:cs="Times New Roman"/>
        </w:rPr>
        <w:lastRenderedPageBreak/>
        <w:t>practice</w:t>
      </w:r>
      <w:r w:rsidRPr="002C1A92">
        <w:rPr>
          <w:rFonts w:ascii="Times New Roman" w:hAnsi="Times New Roman" w:cs="Times New Roman"/>
        </w:rPr>
        <w:t xml:space="preserve"> this reform consists of applying a set of tools that ensure the management of differe</w:t>
      </w:r>
      <w:r w:rsidR="00EB0651" w:rsidRPr="002C1A92">
        <w:rPr>
          <w:rFonts w:ascii="Times New Roman" w:hAnsi="Times New Roman" w:cs="Times New Roman"/>
        </w:rPr>
        <w:t>nt aspects of regulation (</w:t>
      </w:r>
      <w:r w:rsidRPr="002C1A92">
        <w:rPr>
          <w:rFonts w:ascii="Times New Roman" w:hAnsi="Times New Roman" w:cs="Times New Roman"/>
        </w:rPr>
        <w:t>Radaelli</w:t>
      </w:r>
      <w:r w:rsidR="00EB0651" w:rsidRPr="002C1A92">
        <w:rPr>
          <w:rFonts w:ascii="Times New Roman" w:hAnsi="Times New Roman" w:cs="Times New Roman"/>
        </w:rPr>
        <w:t xml:space="preserve"> 2010)</w:t>
      </w:r>
      <w:r w:rsidRPr="002C1A92">
        <w:rPr>
          <w:rFonts w:ascii="Times New Roman" w:hAnsi="Times New Roman" w:cs="Times New Roman"/>
        </w:rPr>
        <w:t>. We build on these definitions and recognise the inherent reformatory nature of Better Regulation measures: they are introduced to improve regulatory systems of governance. This justifies our choice to interchangea</w:t>
      </w:r>
      <w:r w:rsidR="00DD0B5A" w:rsidRPr="002C1A92">
        <w:rPr>
          <w:rFonts w:ascii="Times New Roman" w:hAnsi="Times New Roman" w:cs="Times New Roman"/>
        </w:rPr>
        <w:t>bly refer to Better Regulation ‘reforms’ and/or ‘measures’</w:t>
      </w:r>
      <w:r w:rsidR="005E4192" w:rsidRPr="00C90DF6">
        <w:rPr>
          <w:rFonts w:ascii="Times New Roman" w:hAnsi="Times New Roman" w:cs="Times New Roman"/>
        </w:rPr>
        <w:t>.</w:t>
      </w:r>
      <w:r w:rsidR="00C90DF6" w:rsidRPr="00C90DF6">
        <w:rPr>
          <w:rFonts w:ascii="Times New Roman" w:hAnsi="Times New Roman" w:cs="Times New Roman"/>
        </w:rPr>
        <w:t xml:space="preserve"> </w:t>
      </w:r>
      <w:r w:rsidR="00C90DF6" w:rsidRPr="00E737B8">
        <w:rPr>
          <w:rFonts w:ascii="Times New Roman" w:hAnsi="Times New Roman" w:cs="Times New Roman"/>
        </w:rPr>
        <w:t>We use the term ‘stakeholder’ to refer to interest organizations (business and non-business) and to national or regional-level authorities that participate in and are affected by (supranational) policymaking.</w:t>
      </w:r>
      <w:r w:rsidR="00C90DF6" w:rsidRPr="00C90DF6">
        <w:rPr>
          <w:rFonts w:ascii="Times New Roman" w:hAnsi="Times New Roman" w:cs="Times New Roman"/>
        </w:rPr>
        <w:t xml:space="preserve"> </w:t>
      </w:r>
    </w:p>
    <w:p w14:paraId="0DE9EBB4" w14:textId="1305FCE8" w:rsidR="0092007E" w:rsidRPr="002C1A92" w:rsidRDefault="005E4192" w:rsidP="005E4192">
      <w:pPr>
        <w:spacing w:line="360" w:lineRule="auto"/>
        <w:jc w:val="both"/>
        <w:rPr>
          <w:rFonts w:ascii="Times New Roman" w:hAnsi="Times New Roman" w:cs="Times New Roman"/>
        </w:rPr>
      </w:pPr>
      <w:r w:rsidRPr="002C1A92">
        <w:rPr>
          <w:rFonts w:ascii="Times New Roman" w:hAnsi="Times New Roman" w:cs="Times New Roman"/>
        </w:rPr>
        <w:tab/>
      </w:r>
      <w:r w:rsidR="0092007E" w:rsidRPr="002C1A92">
        <w:rPr>
          <w:rFonts w:ascii="Times New Roman" w:hAnsi="Times New Roman" w:cs="Times New Roman"/>
        </w:rPr>
        <w:t xml:space="preserve">We first elaborate our theoretical argument and derive a set of expectations about </w:t>
      </w:r>
      <w:r w:rsidRPr="002C1A92">
        <w:rPr>
          <w:rFonts w:ascii="Times New Roman" w:hAnsi="Times New Roman" w:cs="Times New Roman"/>
        </w:rPr>
        <w:t>stakeholders’ demands</w:t>
      </w:r>
      <w:r w:rsidR="0092007E" w:rsidRPr="002C1A92">
        <w:rPr>
          <w:rFonts w:ascii="Times New Roman" w:hAnsi="Times New Roman" w:cs="Times New Roman"/>
        </w:rPr>
        <w:t xml:space="preserve"> over </w:t>
      </w:r>
      <w:r w:rsidR="003C00C4" w:rsidRPr="002C1A92">
        <w:rPr>
          <w:rFonts w:ascii="Times New Roman" w:hAnsi="Times New Roman" w:cs="Times New Roman"/>
        </w:rPr>
        <w:t xml:space="preserve">the direction of </w:t>
      </w:r>
      <w:r w:rsidR="0092007E" w:rsidRPr="002C1A92">
        <w:rPr>
          <w:rFonts w:ascii="Times New Roman" w:hAnsi="Times New Roman" w:cs="Times New Roman"/>
        </w:rPr>
        <w:t>Better Regulation reforms. Section two details the research design. Section three presents our analyses. Section four concludes.</w:t>
      </w:r>
    </w:p>
    <w:p w14:paraId="620422CB" w14:textId="77777777" w:rsidR="0092007E" w:rsidRPr="002C1A92" w:rsidRDefault="0092007E" w:rsidP="00495265">
      <w:pPr>
        <w:spacing w:line="360" w:lineRule="auto"/>
        <w:jc w:val="both"/>
        <w:rPr>
          <w:rFonts w:ascii="Times New Roman" w:hAnsi="Times New Roman" w:cs="Times New Roman"/>
        </w:rPr>
      </w:pPr>
    </w:p>
    <w:p w14:paraId="53B7ADBF" w14:textId="65CBAC77" w:rsidR="0092007E" w:rsidRPr="002C1A92" w:rsidRDefault="00F50D90" w:rsidP="00495265">
      <w:pPr>
        <w:spacing w:line="360" w:lineRule="auto"/>
        <w:jc w:val="both"/>
        <w:rPr>
          <w:rFonts w:ascii="Times New Roman" w:hAnsi="Times New Roman" w:cs="Times New Roman"/>
          <w:b/>
        </w:rPr>
      </w:pPr>
      <w:r>
        <w:rPr>
          <w:rFonts w:ascii="Times New Roman" w:hAnsi="Times New Roman" w:cs="Times New Roman"/>
          <w:b/>
        </w:rPr>
        <w:t>Better Regulation and classic theories of regulation</w:t>
      </w:r>
    </w:p>
    <w:p w14:paraId="250C5999" w14:textId="7EFF6D01" w:rsidR="00B05C05" w:rsidRPr="002C1A92" w:rsidRDefault="00D46645" w:rsidP="00086B99">
      <w:pPr>
        <w:spacing w:line="360" w:lineRule="auto"/>
        <w:jc w:val="both"/>
        <w:rPr>
          <w:rFonts w:ascii="Times New Roman" w:hAnsi="Times New Roman" w:cs="Times New Roman"/>
        </w:rPr>
      </w:pPr>
      <w:r w:rsidRPr="002C1A92">
        <w:rPr>
          <w:rFonts w:ascii="Times New Roman" w:hAnsi="Times New Roman" w:cs="Times New Roman"/>
          <w:i/>
        </w:rPr>
        <w:tab/>
      </w:r>
      <w:r w:rsidR="0092007E" w:rsidRPr="002C1A92">
        <w:rPr>
          <w:rFonts w:ascii="Times New Roman" w:hAnsi="Times New Roman" w:cs="Times New Roman"/>
        </w:rPr>
        <w:t xml:space="preserve">Broadly defined, Better Regulation reforms aim </w:t>
      </w:r>
      <w:r w:rsidR="00BE78F8" w:rsidRPr="002C1A92">
        <w:rPr>
          <w:rFonts w:ascii="Times New Roman" w:hAnsi="Times New Roman" w:cs="Times New Roman"/>
        </w:rPr>
        <w:t>to</w:t>
      </w:r>
      <w:r w:rsidR="0092007E" w:rsidRPr="002C1A92">
        <w:rPr>
          <w:rFonts w:ascii="Times New Roman" w:hAnsi="Times New Roman" w:cs="Times New Roman"/>
        </w:rPr>
        <w:t xml:space="preserve"> improv</w:t>
      </w:r>
      <w:r w:rsidR="00BE78F8" w:rsidRPr="002C1A92">
        <w:rPr>
          <w:rFonts w:ascii="Times New Roman" w:hAnsi="Times New Roman" w:cs="Times New Roman"/>
        </w:rPr>
        <w:t>e</w:t>
      </w:r>
      <w:r w:rsidR="0092007E" w:rsidRPr="002C1A92">
        <w:rPr>
          <w:rFonts w:ascii="Times New Roman" w:hAnsi="Times New Roman" w:cs="Times New Roman"/>
        </w:rPr>
        <w:t xml:space="preserve"> </w:t>
      </w:r>
      <w:r w:rsidR="00B05C05" w:rsidRPr="002C1A92">
        <w:rPr>
          <w:rFonts w:ascii="Times New Roman" w:hAnsi="Times New Roman" w:cs="Times New Roman"/>
        </w:rPr>
        <w:t>policy</w:t>
      </w:r>
      <w:r w:rsidRPr="002C1A92">
        <w:rPr>
          <w:rFonts w:ascii="Times New Roman" w:hAnsi="Times New Roman" w:cs="Times New Roman"/>
        </w:rPr>
        <w:t>making</w:t>
      </w:r>
      <w:r w:rsidR="0092007E" w:rsidRPr="002C1A92">
        <w:rPr>
          <w:rFonts w:ascii="Times New Roman" w:hAnsi="Times New Roman" w:cs="Times New Roman"/>
        </w:rPr>
        <w:t xml:space="preserve"> </w:t>
      </w:r>
      <w:r w:rsidR="00B05C05" w:rsidRPr="002C1A92">
        <w:rPr>
          <w:rFonts w:ascii="Times New Roman" w:hAnsi="Times New Roman" w:cs="Times New Roman"/>
        </w:rPr>
        <w:t xml:space="preserve">and regulation </w:t>
      </w:r>
      <w:r w:rsidR="0092007E" w:rsidRPr="002C1A92">
        <w:rPr>
          <w:rFonts w:ascii="Times New Roman" w:hAnsi="Times New Roman" w:cs="Times New Roman"/>
        </w:rPr>
        <w:t xml:space="preserve">by adopting standards and procedures that govern regulatory decision-making across different </w:t>
      </w:r>
      <w:r w:rsidR="002359DD" w:rsidRPr="002C1A92">
        <w:rPr>
          <w:rFonts w:ascii="Times New Roman" w:hAnsi="Times New Roman" w:cs="Times New Roman"/>
        </w:rPr>
        <w:t xml:space="preserve">public </w:t>
      </w:r>
      <w:r w:rsidR="0092007E" w:rsidRPr="002C1A92">
        <w:rPr>
          <w:rFonts w:ascii="Times New Roman" w:hAnsi="Times New Roman" w:cs="Times New Roman"/>
        </w:rPr>
        <w:t xml:space="preserve">policy areas. </w:t>
      </w:r>
      <w:r w:rsidR="00D059DE" w:rsidRPr="002C1A92">
        <w:rPr>
          <w:rFonts w:ascii="Times New Roman" w:hAnsi="Times New Roman" w:cs="Times New Roman"/>
        </w:rPr>
        <w:t xml:space="preserve">These measures focus on the process </w:t>
      </w:r>
      <w:r w:rsidR="00196466" w:rsidRPr="002C1A92">
        <w:rPr>
          <w:rFonts w:ascii="Times New Roman" w:hAnsi="Times New Roman" w:cs="Times New Roman"/>
        </w:rPr>
        <w:t>through which the</w:t>
      </w:r>
      <w:r w:rsidR="00D059DE" w:rsidRPr="002C1A92">
        <w:rPr>
          <w:rFonts w:ascii="Times New Roman" w:hAnsi="Times New Roman" w:cs="Times New Roman"/>
        </w:rPr>
        <w:t xml:space="preserve"> ‘very production of regulation’ </w:t>
      </w:r>
      <w:r w:rsidR="00196466" w:rsidRPr="002C1A92">
        <w:rPr>
          <w:rFonts w:ascii="Times New Roman" w:hAnsi="Times New Roman" w:cs="Times New Roman"/>
        </w:rPr>
        <w:t xml:space="preserve">happens </w:t>
      </w:r>
      <w:r w:rsidR="00C52A90">
        <w:rPr>
          <w:rFonts w:ascii="Times New Roman" w:hAnsi="Times New Roman" w:cs="Times New Roman"/>
        </w:rPr>
        <w:t>(Croley 2011,</w:t>
      </w:r>
      <w:r w:rsidR="00D059DE" w:rsidRPr="002C1A92">
        <w:rPr>
          <w:rFonts w:ascii="Times New Roman" w:hAnsi="Times New Roman" w:cs="Times New Roman"/>
        </w:rPr>
        <w:t xml:space="preserve"> </w:t>
      </w:r>
      <w:r w:rsidR="00C52A90">
        <w:rPr>
          <w:rFonts w:ascii="Times New Roman" w:hAnsi="Times New Roman" w:cs="Times New Roman"/>
        </w:rPr>
        <w:t xml:space="preserve">p. </w:t>
      </w:r>
      <w:r w:rsidR="00D059DE" w:rsidRPr="002C1A92">
        <w:rPr>
          <w:rFonts w:ascii="Times New Roman" w:hAnsi="Times New Roman" w:cs="Times New Roman"/>
        </w:rPr>
        <w:t>61)</w:t>
      </w:r>
      <w:r w:rsidR="002359DD" w:rsidRPr="002C1A92">
        <w:rPr>
          <w:rFonts w:ascii="Times New Roman" w:hAnsi="Times New Roman" w:cs="Times New Roman"/>
        </w:rPr>
        <w:t>,</w:t>
      </w:r>
      <w:r w:rsidR="00D059DE" w:rsidRPr="002C1A92">
        <w:rPr>
          <w:rFonts w:ascii="Times New Roman" w:hAnsi="Times New Roman" w:cs="Times New Roman"/>
        </w:rPr>
        <w:t xml:space="preserve"> and </w:t>
      </w:r>
      <w:r w:rsidR="00196466" w:rsidRPr="002C1A92">
        <w:rPr>
          <w:rFonts w:ascii="Times New Roman" w:hAnsi="Times New Roman" w:cs="Times New Roman"/>
        </w:rPr>
        <w:t>try to shape</w:t>
      </w:r>
      <w:r w:rsidR="00D059DE" w:rsidRPr="002C1A92">
        <w:rPr>
          <w:rFonts w:ascii="Times New Roman" w:hAnsi="Times New Roman" w:cs="Times New Roman"/>
        </w:rPr>
        <w:t xml:space="preserve"> the behavior and regulatory practices of regulators</w:t>
      </w:r>
      <w:r w:rsidR="002359DD" w:rsidRPr="002C1A92">
        <w:rPr>
          <w:rFonts w:ascii="Times New Roman" w:hAnsi="Times New Roman" w:cs="Times New Roman"/>
        </w:rPr>
        <w:t xml:space="preserve"> themselves</w:t>
      </w:r>
      <w:r w:rsidR="00D059DE" w:rsidRPr="002C1A92">
        <w:rPr>
          <w:rFonts w:ascii="Times New Roman" w:hAnsi="Times New Roman" w:cs="Times New Roman"/>
        </w:rPr>
        <w:t xml:space="preserve">. The underlying assumption of Better Regulation reforms is that the two main challenges of regulatory governance, namely ensuring </w:t>
      </w:r>
      <w:r w:rsidR="00196466" w:rsidRPr="002C1A92">
        <w:rPr>
          <w:rFonts w:ascii="Times New Roman" w:hAnsi="Times New Roman" w:cs="Times New Roman"/>
        </w:rPr>
        <w:t xml:space="preserve">regulatory </w:t>
      </w:r>
      <w:r w:rsidR="00D059DE" w:rsidRPr="002C1A92">
        <w:rPr>
          <w:rFonts w:ascii="Times New Roman" w:hAnsi="Times New Roman" w:cs="Times New Roman"/>
        </w:rPr>
        <w:t>effectiveness</w:t>
      </w:r>
      <w:r w:rsidR="00C52A90">
        <w:rPr>
          <w:rFonts w:ascii="Times New Roman" w:hAnsi="Times New Roman" w:cs="Times New Roman"/>
        </w:rPr>
        <w:t xml:space="preserve"> and legitimacy (Levi-Faur 2011,</w:t>
      </w:r>
      <w:r w:rsidR="00D059DE" w:rsidRPr="002C1A92">
        <w:rPr>
          <w:rFonts w:ascii="Times New Roman" w:hAnsi="Times New Roman" w:cs="Times New Roman"/>
        </w:rPr>
        <w:t xml:space="preserve"> </w:t>
      </w:r>
      <w:r w:rsidR="00C52A90">
        <w:rPr>
          <w:rFonts w:ascii="Times New Roman" w:hAnsi="Times New Roman" w:cs="Times New Roman"/>
        </w:rPr>
        <w:t xml:space="preserve">p. </w:t>
      </w:r>
      <w:r w:rsidR="00D059DE" w:rsidRPr="002C1A92">
        <w:rPr>
          <w:rFonts w:ascii="Times New Roman" w:hAnsi="Times New Roman" w:cs="Times New Roman"/>
        </w:rPr>
        <w:t>15)</w:t>
      </w:r>
      <w:r w:rsidR="00196466" w:rsidRPr="002C1A92">
        <w:rPr>
          <w:rFonts w:ascii="Times New Roman" w:hAnsi="Times New Roman" w:cs="Times New Roman"/>
        </w:rPr>
        <w:t xml:space="preserve">, can be satisfactorily addressed by focusing on the design and functioning of decision-making rules and tools. Better Regulation consists of administrative measures that stipulate how a set of specific policy tools should be applied to policy and decision-making processes </w:t>
      </w:r>
      <w:r w:rsidR="00BE7831" w:rsidRPr="002C1A92">
        <w:rPr>
          <w:rFonts w:ascii="Times New Roman" w:hAnsi="Times New Roman" w:cs="Times New Roman"/>
        </w:rPr>
        <w:t>to</w:t>
      </w:r>
      <w:r w:rsidR="00196466" w:rsidRPr="002C1A92">
        <w:rPr>
          <w:rFonts w:ascii="Times New Roman" w:hAnsi="Times New Roman" w:cs="Times New Roman"/>
        </w:rPr>
        <w:t xml:space="preserve"> improve both regulatory procedures and outcomes. </w:t>
      </w:r>
      <w:r w:rsidR="0092007E" w:rsidRPr="002C1A92">
        <w:rPr>
          <w:rFonts w:ascii="Times New Roman" w:hAnsi="Times New Roman" w:cs="Times New Roman"/>
        </w:rPr>
        <w:t xml:space="preserve">The most prominent among these </w:t>
      </w:r>
      <w:r w:rsidR="00B05C05" w:rsidRPr="002C1A92">
        <w:rPr>
          <w:rFonts w:ascii="Times New Roman" w:hAnsi="Times New Roman" w:cs="Times New Roman"/>
        </w:rPr>
        <w:t xml:space="preserve">tools </w:t>
      </w:r>
      <w:r w:rsidR="0092007E" w:rsidRPr="002C1A92">
        <w:rPr>
          <w:rFonts w:ascii="Times New Roman" w:hAnsi="Times New Roman" w:cs="Times New Roman"/>
        </w:rPr>
        <w:t>is the regulatory impact assessment (RIA), an instrument usually employed during the policy</w:t>
      </w:r>
      <w:r w:rsidR="00063593" w:rsidRPr="002C1A92">
        <w:rPr>
          <w:rFonts w:ascii="Times New Roman" w:hAnsi="Times New Roman" w:cs="Times New Roman"/>
        </w:rPr>
        <w:t xml:space="preserve"> f</w:t>
      </w:r>
      <w:r w:rsidR="0092007E" w:rsidRPr="002C1A92">
        <w:rPr>
          <w:rFonts w:ascii="Times New Roman" w:hAnsi="Times New Roman" w:cs="Times New Roman"/>
        </w:rPr>
        <w:t>ormulation stage in drafting policy/legislative initiatives by executive bureaucratic bodies such as national ministries and/or regulatory agencies at national level and by</w:t>
      </w:r>
      <w:r w:rsidR="0092007E" w:rsidRPr="00F56901">
        <w:rPr>
          <w:rFonts w:ascii="Times New Roman" w:hAnsi="Times New Roman" w:cs="Times New Roman"/>
        </w:rPr>
        <w:t xml:space="preserve"> the European Commission at supranational level </w:t>
      </w:r>
      <w:r w:rsidR="00DD0B5A">
        <w:rPr>
          <w:rFonts w:ascii="Times New Roman" w:hAnsi="Times New Roman" w:cs="Times New Roman"/>
        </w:rPr>
        <w:t>(</w:t>
      </w:r>
      <w:r w:rsidR="0092007E" w:rsidRPr="00F56901">
        <w:rPr>
          <w:rFonts w:ascii="Times New Roman" w:hAnsi="Times New Roman" w:cs="Times New Roman"/>
        </w:rPr>
        <w:t>Radaelli</w:t>
      </w:r>
      <w:r w:rsidR="00DD0B5A">
        <w:rPr>
          <w:rFonts w:ascii="Times New Roman" w:hAnsi="Times New Roman" w:cs="Times New Roman"/>
        </w:rPr>
        <w:t xml:space="preserve"> 2010)</w:t>
      </w:r>
      <w:r w:rsidR="00E860BD">
        <w:rPr>
          <w:rFonts w:ascii="Times New Roman" w:hAnsi="Times New Roman" w:cs="Times New Roman"/>
        </w:rPr>
        <w:t>.</w:t>
      </w:r>
      <w:r w:rsidR="00D36978">
        <w:rPr>
          <w:rFonts w:ascii="Times New Roman" w:hAnsi="Times New Roman" w:cs="Times New Roman"/>
        </w:rPr>
        <w:t xml:space="preserve"> </w:t>
      </w:r>
      <w:r w:rsidR="0092007E" w:rsidRPr="00F56901">
        <w:rPr>
          <w:rFonts w:ascii="Times New Roman" w:hAnsi="Times New Roman" w:cs="Times New Roman"/>
        </w:rPr>
        <w:t xml:space="preserve">Other instruments include </w:t>
      </w:r>
      <w:r w:rsidR="00EA2274">
        <w:rPr>
          <w:rFonts w:ascii="Times New Roman" w:hAnsi="Times New Roman" w:cs="Times New Roman"/>
        </w:rPr>
        <w:t>stakeholders’</w:t>
      </w:r>
      <w:r w:rsidR="00063593">
        <w:rPr>
          <w:rFonts w:ascii="Times New Roman" w:hAnsi="Times New Roman" w:cs="Times New Roman"/>
        </w:rPr>
        <w:t xml:space="preserve"> consultations</w:t>
      </w:r>
      <w:r w:rsidR="0092007E" w:rsidRPr="00F56901">
        <w:rPr>
          <w:rFonts w:ascii="Times New Roman" w:hAnsi="Times New Roman" w:cs="Times New Roman"/>
        </w:rPr>
        <w:t>, ex-post evaluations and simplification of existing regulation, measurement of compliance costs, market-based alternatives to traditional regulation, rules on enforcement (including risk</w:t>
      </w:r>
      <w:r w:rsidR="00063593">
        <w:rPr>
          <w:rFonts w:ascii="Times New Roman" w:hAnsi="Times New Roman" w:cs="Times New Roman"/>
        </w:rPr>
        <w:t>-</w:t>
      </w:r>
      <w:r w:rsidR="0092007E" w:rsidRPr="00F56901">
        <w:rPr>
          <w:rFonts w:ascii="Times New Roman" w:hAnsi="Times New Roman" w:cs="Times New Roman"/>
        </w:rPr>
        <w:t>management</w:t>
      </w:r>
      <w:r w:rsidR="00063593">
        <w:rPr>
          <w:rFonts w:ascii="Times New Roman" w:hAnsi="Times New Roman" w:cs="Times New Roman"/>
        </w:rPr>
        <w:t xml:space="preserve"> approaches</w:t>
      </w:r>
      <w:r w:rsidR="0044173E">
        <w:rPr>
          <w:rFonts w:ascii="Times New Roman" w:hAnsi="Times New Roman" w:cs="Times New Roman"/>
        </w:rPr>
        <w:t>) (</w:t>
      </w:r>
      <w:r w:rsidR="0092007E" w:rsidRPr="00F56901">
        <w:rPr>
          <w:rFonts w:ascii="Times New Roman" w:hAnsi="Times New Roman" w:cs="Times New Roman"/>
        </w:rPr>
        <w:t>Baldwin</w:t>
      </w:r>
      <w:r w:rsidR="0044173E">
        <w:rPr>
          <w:rFonts w:ascii="Times New Roman" w:hAnsi="Times New Roman" w:cs="Times New Roman"/>
        </w:rPr>
        <w:t xml:space="preserve"> </w:t>
      </w:r>
      <w:r w:rsidR="0092007E" w:rsidRPr="00F56901">
        <w:rPr>
          <w:rFonts w:ascii="Times New Roman" w:hAnsi="Times New Roman" w:cs="Times New Roman"/>
        </w:rPr>
        <w:t>2007, Lodge</w:t>
      </w:r>
      <w:r w:rsidR="0044173E">
        <w:rPr>
          <w:rFonts w:ascii="Times New Roman" w:hAnsi="Times New Roman" w:cs="Times New Roman"/>
        </w:rPr>
        <w:t xml:space="preserve"> and </w:t>
      </w:r>
      <w:r w:rsidR="0092007E" w:rsidRPr="00F56901">
        <w:rPr>
          <w:rFonts w:ascii="Times New Roman" w:hAnsi="Times New Roman" w:cs="Times New Roman"/>
        </w:rPr>
        <w:t>Wegrich</w:t>
      </w:r>
      <w:r w:rsidR="0044173E">
        <w:rPr>
          <w:rFonts w:ascii="Times New Roman" w:hAnsi="Times New Roman" w:cs="Times New Roman"/>
        </w:rPr>
        <w:t xml:space="preserve"> 2012</w:t>
      </w:r>
      <w:r w:rsidR="0044173E" w:rsidRPr="002C1A92">
        <w:rPr>
          <w:rFonts w:ascii="Times New Roman" w:hAnsi="Times New Roman" w:cs="Times New Roman"/>
        </w:rPr>
        <w:t>). These instruments</w:t>
      </w:r>
      <w:r w:rsidR="00063593" w:rsidRPr="002C1A92">
        <w:rPr>
          <w:rFonts w:ascii="Times New Roman" w:hAnsi="Times New Roman" w:cs="Times New Roman"/>
        </w:rPr>
        <w:t xml:space="preserve"> structure</w:t>
      </w:r>
      <w:r w:rsidR="0044173E" w:rsidRPr="002C1A92">
        <w:rPr>
          <w:rFonts w:ascii="Times New Roman" w:hAnsi="Times New Roman" w:cs="Times New Roman"/>
        </w:rPr>
        <w:t xml:space="preserve"> </w:t>
      </w:r>
      <w:r w:rsidR="00063593" w:rsidRPr="002C1A92">
        <w:rPr>
          <w:rFonts w:ascii="Times New Roman" w:hAnsi="Times New Roman" w:cs="Times New Roman"/>
        </w:rPr>
        <w:t>‘</w:t>
      </w:r>
      <w:r w:rsidR="0092007E" w:rsidRPr="002C1A92">
        <w:rPr>
          <w:rFonts w:ascii="Times New Roman" w:hAnsi="Times New Roman" w:cs="Times New Roman"/>
        </w:rPr>
        <w:t>public and private</w:t>
      </w:r>
      <w:r w:rsidR="0044173E" w:rsidRPr="002C1A92">
        <w:rPr>
          <w:rFonts w:ascii="Times New Roman" w:hAnsi="Times New Roman" w:cs="Times New Roman"/>
        </w:rPr>
        <w:t xml:space="preserve"> </w:t>
      </w:r>
      <w:r w:rsidR="0044173E" w:rsidRPr="002C1A92">
        <w:rPr>
          <w:rFonts w:ascii="Times New Roman" w:hAnsi="Times New Roman" w:cs="Times New Roman"/>
        </w:rPr>
        <w:lastRenderedPageBreak/>
        <w:t>action in regulatory processes’</w:t>
      </w:r>
      <w:r w:rsidR="0092007E" w:rsidRPr="002C1A92">
        <w:rPr>
          <w:rFonts w:ascii="Times New Roman" w:hAnsi="Times New Roman" w:cs="Times New Roman"/>
        </w:rPr>
        <w:t xml:space="preserve"> </w:t>
      </w:r>
      <w:r w:rsidR="0044173E" w:rsidRPr="002C1A92">
        <w:rPr>
          <w:rFonts w:ascii="Times New Roman" w:hAnsi="Times New Roman" w:cs="Times New Roman"/>
        </w:rPr>
        <w:t>(</w:t>
      </w:r>
      <w:r w:rsidR="0092007E" w:rsidRPr="002C1A92">
        <w:rPr>
          <w:rFonts w:ascii="Times New Roman" w:hAnsi="Times New Roman" w:cs="Times New Roman"/>
        </w:rPr>
        <w:t>Radaelli</w:t>
      </w:r>
      <w:r w:rsidR="00D54261" w:rsidRPr="002C1A92">
        <w:rPr>
          <w:rFonts w:ascii="Times New Roman" w:hAnsi="Times New Roman" w:cs="Times New Roman"/>
        </w:rPr>
        <w:t xml:space="preserve"> </w:t>
      </w:r>
      <w:r w:rsidR="0092007E" w:rsidRPr="002C1A92">
        <w:rPr>
          <w:rFonts w:ascii="Times New Roman" w:hAnsi="Times New Roman" w:cs="Times New Roman"/>
        </w:rPr>
        <w:t>2010</w:t>
      </w:r>
      <w:r w:rsidR="00C52A90">
        <w:rPr>
          <w:rFonts w:ascii="Times New Roman" w:hAnsi="Times New Roman" w:cs="Times New Roman"/>
        </w:rPr>
        <w:t>,</w:t>
      </w:r>
      <w:r w:rsidR="0044173E" w:rsidRPr="002C1A92">
        <w:rPr>
          <w:rFonts w:ascii="Times New Roman" w:hAnsi="Times New Roman" w:cs="Times New Roman"/>
        </w:rPr>
        <w:t xml:space="preserve"> </w:t>
      </w:r>
      <w:r w:rsidR="00C52A90">
        <w:rPr>
          <w:rFonts w:ascii="Times New Roman" w:hAnsi="Times New Roman" w:cs="Times New Roman"/>
        </w:rPr>
        <w:t xml:space="preserve">p. </w:t>
      </w:r>
      <w:r w:rsidR="0044173E" w:rsidRPr="002C1A92">
        <w:rPr>
          <w:rFonts w:ascii="Times New Roman" w:hAnsi="Times New Roman" w:cs="Times New Roman"/>
        </w:rPr>
        <w:t>89)</w:t>
      </w:r>
      <w:r w:rsidR="00B05C05" w:rsidRPr="002C1A92">
        <w:rPr>
          <w:rFonts w:ascii="Times New Roman" w:hAnsi="Times New Roman" w:cs="Times New Roman"/>
        </w:rPr>
        <w:t xml:space="preserve"> and allow address</w:t>
      </w:r>
      <w:r w:rsidR="00CD22D0" w:rsidRPr="002C1A92">
        <w:rPr>
          <w:rFonts w:ascii="Times New Roman" w:hAnsi="Times New Roman" w:cs="Times New Roman"/>
        </w:rPr>
        <w:t>ing some of the</w:t>
      </w:r>
      <w:r w:rsidR="00B05C05" w:rsidRPr="002C1A92">
        <w:rPr>
          <w:rFonts w:ascii="Times New Roman" w:hAnsi="Times New Roman" w:cs="Times New Roman"/>
        </w:rPr>
        <w:t xml:space="preserve"> </w:t>
      </w:r>
      <w:r w:rsidR="00BD2CF2" w:rsidRPr="002C1A92">
        <w:rPr>
          <w:rFonts w:ascii="Times New Roman" w:hAnsi="Times New Roman" w:cs="Times New Roman"/>
        </w:rPr>
        <w:t xml:space="preserve">problems </w:t>
      </w:r>
      <w:r w:rsidR="009647E2" w:rsidRPr="002C1A92">
        <w:rPr>
          <w:rFonts w:ascii="Times New Roman" w:hAnsi="Times New Roman" w:cs="Times New Roman"/>
        </w:rPr>
        <w:t xml:space="preserve">that </w:t>
      </w:r>
      <w:r w:rsidR="00CD22D0" w:rsidRPr="002C1A92">
        <w:rPr>
          <w:rFonts w:ascii="Times New Roman" w:hAnsi="Times New Roman" w:cs="Times New Roman"/>
        </w:rPr>
        <w:t>might</w:t>
      </w:r>
      <w:r w:rsidR="009647E2" w:rsidRPr="002C1A92">
        <w:rPr>
          <w:rFonts w:ascii="Times New Roman" w:hAnsi="Times New Roman" w:cs="Times New Roman"/>
        </w:rPr>
        <w:t xml:space="preserve"> emerge </w:t>
      </w:r>
      <w:r w:rsidR="00CD22D0" w:rsidRPr="002C1A92">
        <w:rPr>
          <w:rFonts w:ascii="Times New Roman" w:hAnsi="Times New Roman" w:cs="Times New Roman"/>
        </w:rPr>
        <w:t>within</w:t>
      </w:r>
      <w:r w:rsidR="009647E2" w:rsidRPr="002C1A92">
        <w:rPr>
          <w:rFonts w:ascii="Times New Roman" w:hAnsi="Times New Roman" w:cs="Times New Roman"/>
        </w:rPr>
        <w:t xml:space="preserve"> the regulatory state</w:t>
      </w:r>
      <w:r w:rsidR="00BD2CF2" w:rsidRPr="002C1A92">
        <w:rPr>
          <w:rFonts w:ascii="Times New Roman" w:hAnsi="Times New Roman" w:cs="Times New Roman"/>
        </w:rPr>
        <w:t xml:space="preserve"> such as interest group</w:t>
      </w:r>
      <w:r w:rsidR="00EA2274" w:rsidRPr="002C1A92">
        <w:rPr>
          <w:rFonts w:ascii="Times New Roman" w:hAnsi="Times New Roman" w:cs="Times New Roman"/>
        </w:rPr>
        <w:t>s’</w:t>
      </w:r>
      <w:r w:rsidR="00BD2CF2" w:rsidRPr="002C1A92">
        <w:rPr>
          <w:rFonts w:ascii="Times New Roman" w:hAnsi="Times New Roman" w:cs="Times New Roman"/>
        </w:rPr>
        <w:t xml:space="preserve"> capture </w:t>
      </w:r>
      <w:r w:rsidR="009647E2" w:rsidRPr="002C1A92">
        <w:rPr>
          <w:rFonts w:ascii="Times New Roman" w:hAnsi="Times New Roman" w:cs="Times New Roman"/>
        </w:rPr>
        <w:t>of regulators</w:t>
      </w:r>
      <w:r w:rsidR="00EA2274" w:rsidRPr="002C1A92">
        <w:rPr>
          <w:rFonts w:ascii="Times New Roman" w:hAnsi="Times New Roman" w:cs="Times New Roman"/>
        </w:rPr>
        <w:t xml:space="preserve"> and decision-making,</w:t>
      </w:r>
      <w:r w:rsidR="009647E2" w:rsidRPr="002C1A92">
        <w:rPr>
          <w:rFonts w:ascii="Times New Roman" w:hAnsi="Times New Roman" w:cs="Times New Roman"/>
        </w:rPr>
        <w:t xml:space="preserve"> </w:t>
      </w:r>
      <w:r w:rsidR="00EA2274" w:rsidRPr="002C1A92">
        <w:rPr>
          <w:rFonts w:ascii="Times New Roman" w:hAnsi="Times New Roman" w:cs="Times New Roman"/>
        </w:rPr>
        <w:t>biased policies, regulatory</w:t>
      </w:r>
      <w:r w:rsidR="00BD2CF2" w:rsidRPr="002C1A92">
        <w:rPr>
          <w:rFonts w:ascii="Times New Roman" w:hAnsi="Times New Roman" w:cs="Times New Roman"/>
        </w:rPr>
        <w:t xml:space="preserve"> </w:t>
      </w:r>
      <w:r w:rsidR="00EA2274" w:rsidRPr="002C1A92">
        <w:rPr>
          <w:rFonts w:ascii="Times New Roman" w:hAnsi="Times New Roman" w:cs="Times New Roman"/>
        </w:rPr>
        <w:t>inefficiencies and</w:t>
      </w:r>
      <w:r w:rsidR="009647E2" w:rsidRPr="002C1A92">
        <w:rPr>
          <w:rFonts w:ascii="Times New Roman" w:hAnsi="Times New Roman" w:cs="Times New Roman"/>
        </w:rPr>
        <w:t xml:space="preserve"> market failures </w:t>
      </w:r>
      <w:r w:rsidR="00BD2CF2" w:rsidRPr="002C1A92">
        <w:rPr>
          <w:rFonts w:ascii="Times New Roman" w:hAnsi="Times New Roman" w:cs="Times New Roman"/>
        </w:rPr>
        <w:t>(Baldwin et al. 2011</w:t>
      </w:r>
      <w:r w:rsidR="00C52A90">
        <w:rPr>
          <w:rFonts w:ascii="Times New Roman" w:hAnsi="Times New Roman" w:cs="Times New Roman"/>
        </w:rPr>
        <w:t>,</w:t>
      </w:r>
      <w:r w:rsidR="00C32FEF" w:rsidRPr="002C1A92">
        <w:rPr>
          <w:rFonts w:ascii="Times New Roman" w:hAnsi="Times New Roman" w:cs="Times New Roman"/>
        </w:rPr>
        <w:t xml:space="preserve"> </w:t>
      </w:r>
      <w:r w:rsidR="00C52A90">
        <w:rPr>
          <w:rFonts w:ascii="Times New Roman" w:hAnsi="Times New Roman" w:cs="Times New Roman"/>
        </w:rPr>
        <w:t xml:space="preserve">p. </w:t>
      </w:r>
      <w:r w:rsidR="00BD2CF2" w:rsidRPr="002C1A92">
        <w:rPr>
          <w:rFonts w:ascii="Times New Roman" w:hAnsi="Times New Roman" w:cs="Times New Roman"/>
        </w:rPr>
        <w:t xml:space="preserve">105). </w:t>
      </w:r>
    </w:p>
    <w:p w14:paraId="12D4FDBB" w14:textId="42AF3DDD" w:rsidR="004862F3" w:rsidRPr="002C1A92" w:rsidRDefault="00B05C05" w:rsidP="00AE4219">
      <w:pPr>
        <w:widowControl w:val="0"/>
        <w:autoSpaceDE w:val="0"/>
        <w:autoSpaceDN w:val="0"/>
        <w:adjustRightInd w:val="0"/>
        <w:spacing w:line="360" w:lineRule="auto"/>
        <w:ind w:firstLine="720"/>
        <w:jc w:val="both"/>
        <w:rPr>
          <w:rFonts w:ascii="Times" w:hAnsi="Times" w:cs="Times"/>
          <w:lang w:val="en-GB"/>
        </w:rPr>
      </w:pPr>
      <w:r w:rsidRPr="002C1A92">
        <w:rPr>
          <w:rFonts w:ascii="Times New Roman" w:hAnsi="Times New Roman" w:cs="Times New Roman"/>
        </w:rPr>
        <w:t>Although the</w:t>
      </w:r>
      <w:r w:rsidR="0092007E" w:rsidRPr="002C1A92">
        <w:rPr>
          <w:rFonts w:ascii="Times New Roman" w:hAnsi="Times New Roman" w:cs="Times New Roman"/>
        </w:rPr>
        <w:t xml:space="preserve"> set of Better Regulation tools is quite </w:t>
      </w:r>
      <w:r w:rsidR="00CD6BC5" w:rsidRPr="002C1A92">
        <w:rPr>
          <w:rFonts w:ascii="Times New Roman" w:hAnsi="Times New Roman" w:cs="Times New Roman"/>
        </w:rPr>
        <w:t>institutionalized</w:t>
      </w:r>
      <w:r w:rsidR="0092007E" w:rsidRPr="002C1A92">
        <w:rPr>
          <w:rFonts w:ascii="Times New Roman" w:hAnsi="Times New Roman" w:cs="Times New Roman"/>
        </w:rPr>
        <w:t xml:space="preserve">, there is disagreement among policymakers and stakeholders </w:t>
      </w:r>
      <w:r w:rsidR="00BD2CF2" w:rsidRPr="002C1A92">
        <w:rPr>
          <w:rFonts w:ascii="Times New Roman" w:hAnsi="Times New Roman" w:cs="Times New Roman"/>
        </w:rPr>
        <w:t xml:space="preserve">on </w:t>
      </w:r>
      <w:r w:rsidR="00B33DE6" w:rsidRPr="002C1A92">
        <w:rPr>
          <w:rFonts w:ascii="Times New Roman" w:hAnsi="Times New Roman" w:cs="Times New Roman"/>
        </w:rPr>
        <w:t xml:space="preserve">what strategies of </w:t>
      </w:r>
      <w:r w:rsidR="00CD22D0" w:rsidRPr="002C1A92">
        <w:rPr>
          <w:rFonts w:ascii="Times New Roman" w:hAnsi="Times New Roman" w:cs="Times New Roman"/>
        </w:rPr>
        <w:t xml:space="preserve">regulation and </w:t>
      </w:r>
      <w:r w:rsidR="00B33DE6" w:rsidRPr="002C1A92">
        <w:rPr>
          <w:rFonts w:ascii="Times New Roman" w:hAnsi="Times New Roman" w:cs="Times New Roman"/>
        </w:rPr>
        <w:t>regulat</w:t>
      </w:r>
      <w:r w:rsidR="00CD22D0" w:rsidRPr="002C1A92">
        <w:rPr>
          <w:rFonts w:ascii="Times New Roman" w:hAnsi="Times New Roman" w:cs="Times New Roman"/>
        </w:rPr>
        <w:t>ory reform</w:t>
      </w:r>
      <w:r w:rsidR="0092007E" w:rsidRPr="002C1A92">
        <w:rPr>
          <w:rFonts w:ascii="Times New Roman" w:hAnsi="Times New Roman" w:cs="Times New Roman"/>
        </w:rPr>
        <w:t xml:space="preserve"> these tools should primarily </w:t>
      </w:r>
      <w:r w:rsidR="00B33DE6" w:rsidRPr="002C1A92">
        <w:rPr>
          <w:rFonts w:ascii="Times New Roman" w:hAnsi="Times New Roman" w:cs="Times New Roman"/>
        </w:rPr>
        <w:t xml:space="preserve">support </w:t>
      </w:r>
      <w:r w:rsidR="0092007E" w:rsidRPr="002C1A92">
        <w:rPr>
          <w:rFonts w:ascii="Times New Roman" w:hAnsi="Times New Roman" w:cs="Times New Roman"/>
        </w:rPr>
        <w:t>and, consequently, how</w:t>
      </w:r>
      <w:r w:rsidR="00B33DE6" w:rsidRPr="002C1A92">
        <w:rPr>
          <w:rFonts w:ascii="Times New Roman" w:hAnsi="Times New Roman" w:cs="Times New Roman"/>
        </w:rPr>
        <w:t xml:space="preserve"> Better Regulation measures</w:t>
      </w:r>
      <w:r w:rsidR="0092007E" w:rsidRPr="002C1A92">
        <w:rPr>
          <w:rFonts w:ascii="Times New Roman" w:hAnsi="Times New Roman" w:cs="Times New Roman"/>
        </w:rPr>
        <w:t xml:space="preserve"> should be designed and applied </w:t>
      </w:r>
      <w:r w:rsidR="0044173E" w:rsidRPr="002C1A92">
        <w:rPr>
          <w:rFonts w:ascii="Times New Roman" w:hAnsi="Times New Roman" w:cs="Times New Roman"/>
        </w:rPr>
        <w:t>(</w:t>
      </w:r>
      <w:r w:rsidR="0092007E" w:rsidRPr="002C1A92">
        <w:rPr>
          <w:rFonts w:ascii="Times New Roman" w:hAnsi="Times New Roman" w:cs="Times New Roman"/>
        </w:rPr>
        <w:t>Lodge</w:t>
      </w:r>
      <w:r w:rsidR="0044173E" w:rsidRPr="002C1A92">
        <w:rPr>
          <w:rFonts w:ascii="Times New Roman" w:hAnsi="Times New Roman" w:cs="Times New Roman"/>
        </w:rPr>
        <w:t xml:space="preserve"> and </w:t>
      </w:r>
      <w:r w:rsidR="0092007E" w:rsidRPr="002C1A92">
        <w:rPr>
          <w:rFonts w:ascii="Times New Roman" w:hAnsi="Times New Roman" w:cs="Times New Roman"/>
        </w:rPr>
        <w:t>Wegrich</w:t>
      </w:r>
      <w:r w:rsidR="0044173E" w:rsidRPr="002C1A92">
        <w:rPr>
          <w:rFonts w:ascii="Times New Roman" w:hAnsi="Times New Roman" w:cs="Times New Roman"/>
        </w:rPr>
        <w:t xml:space="preserve"> </w:t>
      </w:r>
      <w:r w:rsidR="0092007E" w:rsidRPr="002C1A92">
        <w:rPr>
          <w:rFonts w:ascii="Times New Roman" w:hAnsi="Times New Roman" w:cs="Times New Roman"/>
        </w:rPr>
        <w:t>2012</w:t>
      </w:r>
      <w:r w:rsidR="00C52A90">
        <w:rPr>
          <w:rFonts w:ascii="Times New Roman" w:hAnsi="Times New Roman" w:cs="Times New Roman"/>
        </w:rPr>
        <w:t>,</w:t>
      </w:r>
      <w:r w:rsidR="0044173E" w:rsidRPr="002C1A92">
        <w:rPr>
          <w:rFonts w:ascii="Times New Roman" w:hAnsi="Times New Roman" w:cs="Times New Roman"/>
        </w:rPr>
        <w:t xml:space="preserve"> </w:t>
      </w:r>
      <w:r w:rsidR="00C52A90">
        <w:rPr>
          <w:rFonts w:ascii="Times New Roman" w:hAnsi="Times New Roman" w:cs="Times New Roman"/>
        </w:rPr>
        <w:t xml:space="preserve">p. </w:t>
      </w:r>
      <w:r w:rsidR="0044173E" w:rsidRPr="002C1A92">
        <w:rPr>
          <w:rFonts w:ascii="Times New Roman" w:hAnsi="Times New Roman" w:cs="Times New Roman"/>
        </w:rPr>
        <w:t>195)</w:t>
      </w:r>
      <w:r w:rsidR="0092007E" w:rsidRPr="002C1A92">
        <w:rPr>
          <w:rFonts w:ascii="Times New Roman" w:hAnsi="Times New Roman" w:cs="Times New Roman"/>
        </w:rPr>
        <w:t xml:space="preserve">. </w:t>
      </w:r>
      <w:r w:rsidR="00AA2D24" w:rsidRPr="002C1A92">
        <w:rPr>
          <w:rFonts w:ascii="Times New Roman" w:hAnsi="Times New Roman" w:cs="Times New Roman"/>
        </w:rPr>
        <w:t xml:space="preserve">We </w:t>
      </w:r>
      <w:r w:rsidR="004862F3" w:rsidRPr="002C1A92">
        <w:rPr>
          <w:rFonts w:ascii="Times New Roman" w:hAnsi="Times New Roman" w:cs="Times New Roman"/>
        </w:rPr>
        <w:t xml:space="preserve">argue that stakeholders’ preferences for the </w:t>
      </w:r>
      <w:r w:rsidR="004862F3" w:rsidRPr="002C1A92">
        <w:rPr>
          <w:rFonts w:ascii="Times New Roman" w:hAnsi="Times New Roman" w:cs="Times New Roman"/>
          <w:i/>
        </w:rPr>
        <w:t>organization of a</w:t>
      </w:r>
      <w:r w:rsidR="00BD0122" w:rsidRPr="002C1A92">
        <w:rPr>
          <w:rFonts w:ascii="Times New Roman" w:hAnsi="Times New Roman" w:cs="Times New Roman"/>
          <w:i/>
        </w:rPr>
        <w:t xml:space="preserve"> </w:t>
      </w:r>
      <w:r w:rsidR="004862F3" w:rsidRPr="002C1A92">
        <w:rPr>
          <w:rFonts w:ascii="Times New Roman" w:hAnsi="Times New Roman" w:cs="Times New Roman"/>
          <w:i/>
        </w:rPr>
        <w:t>regulatory regime</w:t>
      </w:r>
      <w:r w:rsidR="004862F3" w:rsidRPr="002C1A92">
        <w:rPr>
          <w:rFonts w:ascii="Times New Roman" w:hAnsi="Times New Roman" w:cs="Times New Roman"/>
        </w:rPr>
        <w:t xml:space="preserve"> (</w:t>
      </w:r>
      <w:r w:rsidR="00C32FEF" w:rsidRPr="002C1A92">
        <w:rPr>
          <w:rFonts w:ascii="Times New Roman" w:hAnsi="Times New Roman" w:cs="Times New Roman"/>
        </w:rPr>
        <w:t>i.e.</w:t>
      </w:r>
      <w:r w:rsidR="004862F3" w:rsidRPr="002C1A92">
        <w:rPr>
          <w:rFonts w:ascii="Times New Roman" w:hAnsi="Times New Roman" w:cs="Times New Roman"/>
        </w:rPr>
        <w:t xml:space="preserve"> Better Regulation measures) are likely to be informed by their preferences for the overall </w:t>
      </w:r>
      <w:r w:rsidR="004862F3" w:rsidRPr="002C1A92">
        <w:rPr>
          <w:rFonts w:ascii="Times New Roman" w:hAnsi="Times New Roman" w:cs="Times New Roman"/>
          <w:i/>
        </w:rPr>
        <w:t>orientation of a regulatory regime</w:t>
      </w:r>
      <w:r w:rsidR="004862F3" w:rsidRPr="002C1A92">
        <w:rPr>
          <w:rFonts w:ascii="Times New Roman" w:hAnsi="Times New Roman" w:cs="Times New Roman"/>
        </w:rPr>
        <w:t>,</w:t>
      </w:r>
      <w:r w:rsidR="00776694" w:rsidRPr="002C1A92">
        <w:rPr>
          <w:rFonts w:ascii="Times New Roman" w:hAnsi="Times New Roman" w:cs="Times New Roman"/>
        </w:rPr>
        <w:t xml:space="preserve"> the latter </w:t>
      </w:r>
      <w:r w:rsidR="00CC56F3" w:rsidRPr="002C1A92">
        <w:rPr>
          <w:rFonts w:ascii="Times New Roman" w:hAnsi="Times New Roman" w:cs="Times New Roman"/>
        </w:rPr>
        <w:t>being defined</w:t>
      </w:r>
      <w:r w:rsidR="00776694" w:rsidRPr="002C1A92">
        <w:rPr>
          <w:rFonts w:ascii="Times New Roman" w:hAnsi="Times New Roman" w:cs="Times New Roman"/>
        </w:rPr>
        <w:t xml:space="preserve"> here as </w:t>
      </w:r>
      <w:r w:rsidR="004862F3" w:rsidRPr="002C1A92">
        <w:rPr>
          <w:rFonts w:ascii="Times" w:hAnsi="Times" w:cs="Times"/>
          <w:lang w:val="en-GB"/>
        </w:rPr>
        <w:t>‘state actors’ beliefs about the proper scope, goals, and method of government intervention in the economy and about how this intervention affects eco</w:t>
      </w:r>
      <w:r w:rsidR="00DA4E45">
        <w:rPr>
          <w:rFonts w:ascii="Times" w:hAnsi="Times" w:cs="Times"/>
          <w:lang w:val="en-GB"/>
        </w:rPr>
        <w:t>nomic performance</w:t>
      </w:r>
      <w:r w:rsidR="00C52A90">
        <w:rPr>
          <w:rFonts w:ascii="Times" w:hAnsi="Times" w:cs="Times"/>
          <w:lang w:val="en-GB"/>
        </w:rPr>
        <w:t>’ (Vogel 1996,</w:t>
      </w:r>
      <w:r w:rsidR="004862F3" w:rsidRPr="002C1A92">
        <w:rPr>
          <w:rFonts w:ascii="Times" w:hAnsi="Times" w:cs="Times"/>
          <w:lang w:val="en-GB"/>
        </w:rPr>
        <w:t xml:space="preserve"> </w:t>
      </w:r>
      <w:r w:rsidR="00C52A90">
        <w:rPr>
          <w:rFonts w:ascii="Times" w:hAnsi="Times" w:cs="Times"/>
          <w:lang w:val="en-GB"/>
        </w:rPr>
        <w:t xml:space="preserve">p. </w:t>
      </w:r>
      <w:r w:rsidR="004862F3" w:rsidRPr="002C1A92">
        <w:rPr>
          <w:rFonts w:ascii="Times" w:hAnsi="Times" w:cs="Times"/>
          <w:lang w:val="en-GB"/>
        </w:rPr>
        <w:t>2</w:t>
      </w:r>
      <w:r w:rsidR="00C52A90">
        <w:rPr>
          <w:rFonts w:ascii="Times" w:hAnsi="Times" w:cs="Times"/>
          <w:lang w:val="en-GB"/>
        </w:rPr>
        <w:t>0-21 cited in Levi-Strauss 2011,</w:t>
      </w:r>
      <w:r w:rsidR="004862F3" w:rsidRPr="002C1A92">
        <w:rPr>
          <w:rFonts w:ascii="Times" w:hAnsi="Times" w:cs="Times"/>
          <w:lang w:val="en-GB"/>
        </w:rPr>
        <w:t xml:space="preserve"> </w:t>
      </w:r>
      <w:r w:rsidR="00C52A90">
        <w:rPr>
          <w:rFonts w:ascii="Times" w:hAnsi="Times" w:cs="Times"/>
          <w:lang w:val="en-GB"/>
        </w:rPr>
        <w:t xml:space="preserve">p. </w:t>
      </w:r>
      <w:r w:rsidR="004862F3" w:rsidRPr="002C1A92">
        <w:rPr>
          <w:rFonts w:ascii="Times" w:hAnsi="Times" w:cs="Times"/>
          <w:lang w:val="en-GB"/>
        </w:rPr>
        <w:t>13</w:t>
      </w:r>
      <w:r w:rsidR="004862F3" w:rsidRPr="002C1A92">
        <w:rPr>
          <w:rFonts w:ascii="Times New Roman" w:hAnsi="Times New Roman" w:cs="Times New Roman"/>
          <w:lang w:val="en-GB"/>
        </w:rPr>
        <w:t xml:space="preserve">). </w:t>
      </w:r>
      <w:r w:rsidR="00AA2D24" w:rsidRPr="002C1A92">
        <w:rPr>
          <w:rFonts w:ascii="Times New Roman" w:hAnsi="Times New Roman" w:cs="Times New Roman"/>
          <w:lang w:val="en-GB"/>
        </w:rPr>
        <w:t xml:space="preserve">Since Better Regulation measures </w:t>
      </w:r>
      <w:r w:rsidR="00CC56F3" w:rsidRPr="002C1A92">
        <w:rPr>
          <w:rFonts w:ascii="Times New Roman" w:hAnsi="Times New Roman" w:cs="Times New Roman"/>
          <w:lang w:val="en-GB"/>
        </w:rPr>
        <w:t>aim</w:t>
      </w:r>
      <w:r w:rsidR="00AA2D24" w:rsidRPr="002C1A92">
        <w:rPr>
          <w:rFonts w:ascii="Times New Roman" w:hAnsi="Times New Roman" w:cs="Times New Roman"/>
          <w:lang w:val="en-GB"/>
        </w:rPr>
        <w:t xml:space="preserve"> to improve a regulatory regime</w:t>
      </w:r>
      <w:r w:rsidR="00DA5081" w:rsidRPr="002C1A92">
        <w:rPr>
          <w:rFonts w:ascii="Times New Roman" w:hAnsi="Times New Roman" w:cs="Times New Roman"/>
          <w:lang w:val="en-GB"/>
        </w:rPr>
        <w:t xml:space="preserve"> </w:t>
      </w:r>
      <w:r w:rsidR="00CC56F3" w:rsidRPr="002C1A92">
        <w:rPr>
          <w:rFonts w:ascii="Times New Roman" w:hAnsi="Times New Roman" w:cs="Times New Roman"/>
          <w:lang w:val="en-GB"/>
        </w:rPr>
        <w:t>by improving administrative rulemaking</w:t>
      </w:r>
      <w:r w:rsidR="00AA2D24" w:rsidRPr="002C1A92">
        <w:rPr>
          <w:rFonts w:ascii="Times New Roman" w:hAnsi="Times New Roman" w:cs="Times New Roman"/>
          <w:lang w:val="en-GB"/>
        </w:rPr>
        <w:t>, stakeholders’ preferences for the direction of these rulemaking reforms is likely to be informed by their preferences for what should be the orientation of the overall regulatory regime.</w:t>
      </w:r>
      <w:r w:rsidR="00AA2D24" w:rsidRPr="002C1A92">
        <w:rPr>
          <w:rFonts w:ascii="Times" w:hAnsi="Times" w:cs="Times"/>
          <w:sz w:val="26"/>
          <w:szCs w:val="26"/>
          <w:lang w:val="en-GB"/>
        </w:rPr>
        <w:t xml:space="preserve"> </w:t>
      </w:r>
    </w:p>
    <w:p w14:paraId="09F8505B" w14:textId="3B270F6A" w:rsidR="007F04D8" w:rsidRPr="002C1A92" w:rsidRDefault="00715689" w:rsidP="00300195">
      <w:pPr>
        <w:spacing w:line="360" w:lineRule="auto"/>
        <w:ind w:firstLine="720"/>
        <w:jc w:val="both"/>
        <w:rPr>
          <w:rFonts w:ascii="Times New Roman" w:hAnsi="Times New Roman" w:cs="Times New Roman"/>
        </w:rPr>
      </w:pPr>
      <w:r w:rsidRPr="002C1A92">
        <w:rPr>
          <w:rFonts w:ascii="Times New Roman" w:hAnsi="Times New Roman" w:cs="Times New Roman"/>
        </w:rPr>
        <w:t xml:space="preserve">In line with the extant literature (Meuwese 2007, </w:t>
      </w:r>
      <w:r w:rsidR="00636A56" w:rsidRPr="002C1A92">
        <w:rPr>
          <w:rFonts w:ascii="Times New Roman" w:hAnsi="Times New Roman" w:cs="Times New Roman"/>
        </w:rPr>
        <w:t xml:space="preserve">Wegrich 2011, </w:t>
      </w:r>
      <w:r w:rsidRPr="002C1A92">
        <w:rPr>
          <w:rFonts w:ascii="Times New Roman" w:hAnsi="Times New Roman" w:cs="Times New Roman"/>
        </w:rPr>
        <w:t xml:space="preserve">Smith et al. 2015), we argue that Better Regulation </w:t>
      </w:r>
      <w:r w:rsidR="00932C34" w:rsidRPr="002C1A92">
        <w:rPr>
          <w:rFonts w:ascii="Times New Roman" w:hAnsi="Times New Roman" w:cs="Times New Roman"/>
        </w:rPr>
        <w:t>measures are a regulatory reform aimed at reducing</w:t>
      </w:r>
      <w:r w:rsidR="00FC5A51" w:rsidRPr="002C1A92">
        <w:rPr>
          <w:rFonts w:ascii="Times New Roman" w:hAnsi="Times New Roman" w:cs="Times New Roman"/>
        </w:rPr>
        <w:t xml:space="preserve"> regulatory</w:t>
      </w:r>
      <w:r w:rsidR="00932C34" w:rsidRPr="002C1A92">
        <w:rPr>
          <w:rFonts w:ascii="Times New Roman" w:hAnsi="Times New Roman" w:cs="Times New Roman"/>
        </w:rPr>
        <w:t xml:space="preserve"> inefficiency and failure</w:t>
      </w:r>
      <w:r w:rsidR="004F0F4E" w:rsidRPr="002C1A92">
        <w:rPr>
          <w:rFonts w:ascii="Times New Roman" w:hAnsi="Times New Roman" w:cs="Times New Roman"/>
        </w:rPr>
        <w:t xml:space="preserve">. </w:t>
      </w:r>
      <w:r w:rsidR="00932C34" w:rsidRPr="002C1A92">
        <w:rPr>
          <w:rFonts w:ascii="Times New Roman" w:hAnsi="Times New Roman" w:cs="Times New Roman"/>
        </w:rPr>
        <w:t xml:space="preserve">Classic theories of regulation </w:t>
      </w:r>
      <w:r w:rsidR="00FC5A51" w:rsidRPr="002C1A92">
        <w:rPr>
          <w:rFonts w:ascii="Times New Roman" w:hAnsi="Times New Roman" w:cs="Times New Roman"/>
        </w:rPr>
        <w:t>constitute</w:t>
      </w:r>
      <w:r w:rsidR="00932C34" w:rsidRPr="002C1A92">
        <w:rPr>
          <w:rFonts w:ascii="Times New Roman" w:hAnsi="Times New Roman" w:cs="Times New Roman"/>
        </w:rPr>
        <w:t xml:space="preserve"> thus</w:t>
      </w:r>
      <w:r w:rsidR="00FC5A51" w:rsidRPr="002C1A92">
        <w:rPr>
          <w:rFonts w:ascii="Times New Roman" w:hAnsi="Times New Roman" w:cs="Times New Roman"/>
        </w:rPr>
        <w:t xml:space="preserve"> an</w:t>
      </w:r>
      <w:r w:rsidR="00932C34" w:rsidRPr="002C1A92">
        <w:rPr>
          <w:rFonts w:ascii="Times New Roman" w:hAnsi="Times New Roman" w:cs="Times New Roman"/>
        </w:rPr>
        <w:t xml:space="preserve"> informative</w:t>
      </w:r>
      <w:r w:rsidR="00FC5A51" w:rsidRPr="002C1A92">
        <w:rPr>
          <w:rFonts w:ascii="Times New Roman" w:hAnsi="Times New Roman" w:cs="Times New Roman"/>
        </w:rPr>
        <w:t xml:space="preserve"> starting point to identify the main types of regulatory solutions that can be proposed as part of Better Regulation measures to address regulatory inefficiencies and </w:t>
      </w:r>
      <w:r w:rsidR="001E51B0" w:rsidRPr="002C1A92">
        <w:rPr>
          <w:rFonts w:ascii="Times New Roman" w:hAnsi="Times New Roman" w:cs="Times New Roman"/>
        </w:rPr>
        <w:t>sub-optimal regulatory decision-making procedures and outcomes</w:t>
      </w:r>
      <w:r w:rsidR="00FC5A51" w:rsidRPr="002C1A92">
        <w:rPr>
          <w:rFonts w:ascii="Times New Roman" w:hAnsi="Times New Roman" w:cs="Times New Roman"/>
        </w:rPr>
        <w:t>.</w:t>
      </w:r>
      <w:r w:rsidR="00300195" w:rsidRPr="002C1A92">
        <w:rPr>
          <w:rFonts w:ascii="Times New Roman" w:hAnsi="Times New Roman" w:cs="Times New Roman"/>
          <w:i/>
        </w:rPr>
        <w:t xml:space="preserve"> </w:t>
      </w:r>
      <w:r w:rsidR="00205380" w:rsidRPr="002C1A92">
        <w:rPr>
          <w:rFonts w:ascii="Times New Roman" w:hAnsi="Times New Roman" w:cs="Times New Roman"/>
          <w:i/>
        </w:rPr>
        <w:t>Public interest</w:t>
      </w:r>
      <w:r w:rsidR="00205380" w:rsidRPr="002C1A92">
        <w:rPr>
          <w:rFonts w:ascii="Times New Roman" w:hAnsi="Times New Roman" w:cs="Times New Roman"/>
        </w:rPr>
        <w:t xml:space="preserve"> </w:t>
      </w:r>
      <w:r w:rsidR="00205380" w:rsidRPr="002C1A92">
        <w:rPr>
          <w:rFonts w:ascii="Times New Roman" w:hAnsi="Times New Roman" w:cs="Times New Roman"/>
          <w:i/>
        </w:rPr>
        <w:t xml:space="preserve">theories </w:t>
      </w:r>
      <w:r w:rsidR="00205380" w:rsidRPr="002C1A92">
        <w:rPr>
          <w:rFonts w:ascii="Times New Roman" w:hAnsi="Times New Roman" w:cs="Times New Roman"/>
        </w:rPr>
        <w:t xml:space="preserve">of regulation </w:t>
      </w:r>
      <w:r w:rsidR="00A14E8D" w:rsidRPr="002C1A92">
        <w:rPr>
          <w:rFonts w:ascii="Times New Roman" w:hAnsi="Times New Roman" w:cs="Times New Roman"/>
        </w:rPr>
        <w:t>assume that regulators adopt measures that benefit the general public and increase societal welfare</w:t>
      </w:r>
      <w:r w:rsidR="00C52A90">
        <w:rPr>
          <w:rFonts w:ascii="Times New Roman" w:hAnsi="Times New Roman" w:cs="Times New Roman"/>
        </w:rPr>
        <w:t xml:space="preserve"> (Balla 2011,</w:t>
      </w:r>
      <w:r w:rsidR="000B697D" w:rsidRPr="002C1A92">
        <w:rPr>
          <w:rFonts w:ascii="Times New Roman" w:hAnsi="Times New Roman" w:cs="Times New Roman"/>
        </w:rPr>
        <w:t xml:space="preserve"> </w:t>
      </w:r>
      <w:r w:rsidR="00C52A90">
        <w:rPr>
          <w:rFonts w:ascii="Times New Roman" w:hAnsi="Times New Roman" w:cs="Times New Roman"/>
        </w:rPr>
        <w:t xml:space="preserve">p. </w:t>
      </w:r>
      <w:r w:rsidR="000B697D" w:rsidRPr="002C1A92">
        <w:rPr>
          <w:rFonts w:ascii="Times New Roman" w:hAnsi="Times New Roman" w:cs="Times New Roman"/>
        </w:rPr>
        <w:t>71</w:t>
      </w:r>
      <w:r w:rsidR="00553AAD" w:rsidRPr="002C1A92">
        <w:rPr>
          <w:rFonts w:ascii="Times New Roman" w:hAnsi="Times New Roman" w:cs="Times New Roman"/>
        </w:rPr>
        <w:t xml:space="preserve">, </w:t>
      </w:r>
      <w:r w:rsidR="00C52A90">
        <w:rPr>
          <w:rFonts w:ascii="Times New Roman" w:hAnsi="Times New Roman" w:cs="Times New Roman"/>
        </w:rPr>
        <w:t>Christensen 2011,</w:t>
      </w:r>
      <w:r w:rsidR="000B697D" w:rsidRPr="002C1A92">
        <w:rPr>
          <w:rFonts w:ascii="Times New Roman" w:hAnsi="Times New Roman" w:cs="Times New Roman"/>
        </w:rPr>
        <w:t xml:space="preserve"> </w:t>
      </w:r>
      <w:r w:rsidR="00C52A90">
        <w:rPr>
          <w:rFonts w:ascii="Times New Roman" w:hAnsi="Times New Roman" w:cs="Times New Roman"/>
        </w:rPr>
        <w:t xml:space="preserve">p. </w:t>
      </w:r>
      <w:r w:rsidR="000B697D" w:rsidRPr="002C1A92">
        <w:rPr>
          <w:rFonts w:ascii="Times New Roman" w:hAnsi="Times New Roman" w:cs="Times New Roman"/>
        </w:rPr>
        <w:t>97)</w:t>
      </w:r>
      <w:r w:rsidR="00A14E8D" w:rsidRPr="002C1A92">
        <w:rPr>
          <w:rFonts w:ascii="Times New Roman" w:hAnsi="Times New Roman" w:cs="Times New Roman"/>
        </w:rPr>
        <w:t xml:space="preserve">. </w:t>
      </w:r>
      <w:r w:rsidR="00553AAD" w:rsidRPr="002C1A92">
        <w:rPr>
          <w:rFonts w:ascii="Times New Roman" w:hAnsi="Times New Roman" w:cs="Times New Roman"/>
        </w:rPr>
        <w:t>Proponents of this approach argue that m</w:t>
      </w:r>
      <w:r w:rsidR="00A14E8D" w:rsidRPr="002C1A92">
        <w:rPr>
          <w:rFonts w:ascii="Times New Roman" w:hAnsi="Times New Roman" w:cs="Times New Roman"/>
        </w:rPr>
        <w:t xml:space="preserve">ost regulatory outcomes ‘will more frequently than not be characterized as general interest’ (Croley 2008), based on the assumption that regulators possess both the motivation and </w:t>
      </w:r>
      <w:r w:rsidR="004F2E06" w:rsidRPr="002C1A92">
        <w:rPr>
          <w:rFonts w:ascii="Times New Roman" w:hAnsi="Times New Roman" w:cs="Times New Roman"/>
        </w:rPr>
        <w:t xml:space="preserve">the </w:t>
      </w:r>
      <w:r w:rsidR="00A14E8D" w:rsidRPr="002C1A92">
        <w:rPr>
          <w:rFonts w:ascii="Times New Roman" w:hAnsi="Times New Roman" w:cs="Times New Roman"/>
        </w:rPr>
        <w:t xml:space="preserve">information required to regulate in the general public interest. </w:t>
      </w:r>
      <w:r w:rsidR="00553AAD" w:rsidRPr="002C1A92">
        <w:rPr>
          <w:rFonts w:ascii="Times New Roman" w:hAnsi="Times New Roman" w:cs="Times New Roman"/>
        </w:rPr>
        <w:t>In this setting, regulatory d</w:t>
      </w:r>
      <w:r w:rsidR="00A14E8D" w:rsidRPr="002C1A92">
        <w:rPr>
          <w:rFonts w:ascii="Times New Roman" w:hAnsi="Times New Roman" w:cs="Times New Roman"/>
        </w:rPr>
        <w:t>ecision</w:t>
      </w:r>
      <w:r w:rsidR="007F04D8" w:rsidRPr="002C1A92">
        <w:rPr>
          <w:rFonts w:ascii="Times New Roman" w:hAnsi="Times New Roman" w:cs="Times New Roman"/>
        </w:rPr>
        <w:t xml:space="preserve">-making </w:t>
      </w:r>
      <w:r w:rsidR="00A14E8D" w:rsidRPr="002C1A92">
        <w:rPr>
          <w:rFonts w:ascii="Times New Roman" w:hAnsi="Times New Roman" w:cs="Times New Roman"/>
        </w:rPr>
        <w:t xml:space="preserve">is embedded </w:t>
      </w:r>
      <w:r w:rsidR="007F04D8" w:rsidRPr="002C1A92">
        <w:rPr>
          <w:rFonts w:ascii="Times New Roman" w:hAnsi="Times New Roman" w:cs="Times New Roman"/>
        </w:rPr>
        <w:t xml:space="preserve">in </w:t>
      </w:r>
      <w:r w:rsidR="00B13AF3" w:rsidRPr="002C1A92">
        <w:rPr>
          <w:rFonts w:ascii="Times New Roman" w:hAnsi="Times New Roman" w:cs="Times New Roman"/>
        </w:rPr>
        <w:t xml:space="preserve">the </w:t>
      </w:r>
      <w:r w:rsidR="007F04D8" w:rsidRPr="002C1A92">
        <w:rPr>
          <w:rFonts w:ascii="Times New Roman" w:hAnsi="Times New Roman" w:cs="Times New Roman"/>
        </w:rPr>
        <w:t xml:space="preserve">economic analysis of </w:t>
      </w:r>
      <w:r w:rsidR="00B13AF3" w:rsidRPr="002C1A92">
        <w:rPr>
          <w:rFonts w:ascii="Times New Roman" w:hAnsi="Times New Roman" w:cs="Times New Roman"/>
        </w:rPr>
        <w:t>costs and benefits</w:t>
      </w:r>
      <w:r w:rsidR="007F04D8" w:rsidRPr="002C1A92">
        <w:rPr>
          <w:rFonts w:ascii="Times New Roman" w:hAnsi="Times New Roman" w:cs="Times New Roman"/>
        </w:rPr>
        <w:t xml:space="preserve"> of regulatory measures</w:t>
      </w:r>
      <w:r w:rsidR="00B13AF3" w:rsidRPr="002C1A92">
        <w:rPr>
          <w:rFonts w:ascii="Times New Roman" w:hAnsi="Times New Roman" w:cs="Times New Roman"/>
        </w:rPr>
        <w:t>,</w:t>
      </w:r>
      <w:r w:rsidR="007F04D8" w:rsidRPr="002C1A92">
        <w:rPr>
          <w:rFonts w:ascii="Times New Roman" w:hAnsi="Times New Roman" w:cs="Times New Roman"/>
        </w:rPr>
        <w:t xml:space="preserve"> in an attempt to increase their net-benefits. Th</w:t>
      </w:r>
      <w:r w:rsidR="001A24AF" w:rsidRPr="002C1A92">
        <w:rPr>
          <w:rFonts w:ascii="Times New Roman" w:hAnsi="Times New Roman" w:cs="Times New Roman"/>
        </w:rPr>
        <w:t>is implies that the</w:t>
      </w:r>
      <w:r w:rsidR="007F04D8" w:rsidRPr="002C1A92">
        <w:rPr>
          <w:rFonts w:ascii="Times New Roman" w:hAnsi="Times New Roman" w:cs="Times New Roman"/>
        </w:rPr>
        <w:t xml:space="preserve"> solution </w:t>
      </w:r>
      <w:r w:rsidR="001A24AF" w:rsidRPr="002C1A92">
        <w:rPr>
          <w:rFonts w:ascii="Times New Roman" w:hAnsi="Times New Roman" w:cs="Times New Roman"/>
        </w:rPr>
        <w:t xml:space="preserve">to </w:t>
      </w:r>
      <w:r w:rsidR="00A14E8D" w:rsidRPr="002C1A92">
        <w:rPr>
          <w:rFonts w:ascii="Times New Roman" w:hAnsi="Times New Roman" w:cs="Times New Roman"/>
        </w:rPr>
        <w:t>any potential regulatory inefficiency and bias</w:t>
      </w:r>
      <w:r w:rsidR="001A24AF" w:rsidRPr="002C1A92">
        <w:rPr>
          <w:rFonts w:ascii="Times New Roman" w:hAnsi="Times New Roman" w:cs="Times New Roman"/>
        </w:rPr>
        <w:t xml:space="preserve"> </w:t>
      </w:r>
      <w:r w:rsidR="007F04D8" w:rsidRPr="002C1A92">
        <w:rPr>
          <w:rFonts w:ascii="Times New Roman" w:hAnsi="Times New Roman" w:cs="Times New Roman"/>
        </w:rPr>
        <w:t xml:space="preserve">is to </w:t>
      </w:r>
      <w:r w:rsidR="007F04D8" w:rsidRPr="002C1A92">
        <w:rPr>
          <w:rFonts w:ascii="Times New Roman" w:hAnsi="Times New Roman" w:cs="Times New Roman"/>
        </w:rPr>
        <w:lastRenderedPageBreak/>
        <w:t xml:space="preserve">improve the rationality of </w:t>
      </w:r>
      <w:r w:rsidR="005D1DBF" w:rsidRPr="002C1A92">
        <w:rPr>
          <w:rFonts w:ascii="Times New Roman" w:hAnsi="Times New Roman" w:cs="Times New Roman"/>
        </w:rPr>
        <w:t xml:space="preserve">the </w:t>
      </w:r>
      <w:r w:rsidR="007F04D8" w:rsidRPr="002C1A92">
        <w:rPr>
          <w:rFonts w:ascii="Times New Roman" w:hAnsi="Times New Roman" w:cs="Times New Roman"/>
        </w:rPr>
        <w:t>regulatory decision-making</w:t>
      </w:r>
      <w:r w:rsidR="005D1DBF" w:rsidRPr="002C1A92">
        <w:rPr>
          <w:rFonts w:ascii="Times New Roman" w:hAnsi="Times New Roman" w:cs="Times New Roman"/>
        </w:rPr>
        <w:t xml:space="preserve"> process</w:t>
      </w:r>
      <w:r w:rsidR="007F04D8" w:rsidRPr="002C1A92">
        <w:rPr>
          <w:rFonts w:ascii="Times New Roman" w:hAnsi="Times New Roman" w:cs="Times New Roman"/>
        </w:rPr>
        <w:t xml:space="preserve">, which helps preventing rushed decisions adopted under </w:t>
      </w:r>
      <w:r w:rsidR="00EF5CA9" w:rsidRPr="002C1A92">
        <w:rPr>
          <w:rFonts w:ascii="Times New Roman" w:hAnsi="Times New Roman" w:cs="Times New Roman"/>
        </w:rPr>
        <w:t>bias, concern for short-term priorities and specific interest</w:t>
      </w:r>
      <w:r w:rsidR="007262F7" w:rsidRPr="002C1A92">
        <w:rPr>
          <w:rFonts w:ascii="Times New Roman" w:hAnsi="Times New Roman" w:cs="Times New Roman"/>
        </w:rPr>
        <w:t>s</w:t>
      </w:r>
      <w:r w:rsidR="00EF5CA9" w:rsidRPr="002C1A92">
        <w:rPr>
          <w:rFonts w:ascii="Times New Roman" w:hAnsi="Times New Roman" w:cs="Times New Roman"/>
        </w:rPr>
        <w:t xml:space="preserve"> only, high public and media pressure which might </w:t>
      </w:r>
      <w:r w:rsidR="00B13AF3" w:rsidRPr="002C1A92">
        <w:rPr>
          <w:rFonts w:ascii="Times New Roman" w:hAnsi="Times New Roman" w:cs="Times New Roman"/>
        </w:rPr>
        <w:t xml:space="preserve">make regulation </w:t>
      </w:r>
      <w:r w:rsidR="00EF5CA9" w:rsidRPr="002C1A92">
        <w:rPr>
          <w:rFonts w:ascii="Times New Roman" w:hAnsi="Times New Roman" w:cs="Times New Roman"/>
        </w:rPr>
        <w:t>susceptible t</w:t>
      </w:r>
      <w:r w:rsidR="00C52A90">
        <w:rPr>
          <w:rFonts w:ascii="Times New Roman" w:hAnsi="Times New Roman" w:cs="Times New Roman"/>
        </w:rPr>
        <w:t>o politicization (Weigrich 2010,</w:t>
      </w:r>
      <w:r w:rsidR="00EF5CA9" w:rsidRPr="002C1A92">
        <w:rPr>
          <w:rFonts w:ascii="Times New Roman" w:hAnsi="Times New Roman" w:cs="Times New Roman"/>
        </w:rPr>
        <w:t xml:space="preserve"> </w:t>
      </w:r>
      <w:r w:rsidR="00C52A90">
        <w:rPr>
          <w:rFonts w:ascii="Times New Roman" w:hAnsi="Times New Roman" w:cs="Times New Roman"/>
        </w:rPr>
        <w:t xml:space="preserve">p. </w:t>
      </w:r>
      <w:r w:rsidR="00EF5CA9" w:rsidRPr="002C1A92">
        <w:rPr>
          <w:rFonts w:ascii="Times New Roman" w:hAnsi="Times New Roman" w:cs="Times New Roman"/>
        </w:rPr>
        <w:t xml:space="preserve">35). </w:t>
      </w:r>
      <w:r w:rsidR="007F04D8" w:rsidRPr="002C1A92">
        <w:rPr>
          <w:rFonts w:ascii="Times New Roman" w:hAnsi="Times New Roman" w:cs="Times New Roman"/>
        </w:rPr>
        <w:t xml:space="preserve">Only by carefully collecting and analyzing the evidence on the costs and benefits of different policy options, </w:t>
      </w:r>
      <w:r w:rsidR="005D1DBF" w:rsidRPr="002C1A92">
        <w:rPr>
          <w:rFonts w:ascii="Times New Roman" w:hAnsi="Times New Roman" w:cs="Times New Roman"/>
        </w:rPr>
        <w:t>decision-makers</w:t>
      </w:r>
      <w:r w:rsidR="007F04D8" w:rsidRPr="002C1A92">
        <w:rPr>
          <w:rFonts w:ascii="Times New Roman" w:hAnsi="Times New Roman" w:cs="Times New Roman"/>
        </w:rPr>
        <w:t xml:space="preserve"> </w:t>
      </w:r>
      <w:r w:rsidR="00BE7831" w:rsidRPr="002C1A92">
        <w:rPr>
          <w:rFonts w:ascii="Times New Roman" w:hAnsi="Times New Roman" w:cs="Times New Roman"/>
        </w:rPr>
        <w:t>can</w:t>
      </w:r>
      <w:r w:rsidR="007F04D8" w:rsidRPr="002C1A92">
        <w:rPr>
          <w:rFonts w:ascii="Times New Roman" w:hAnsi="Times New Roman" w:cs="Times New Roman"/>
        </w:rPr>
        <w:t xml:space="preserve"> increase aggregate social welfare. </w:t>
      </w:r>
      <w:r w:rsidR="00541588" w:rsidRPr="002C1A92">
        <w:rPr>
          <w:rFonts w:ascii="Times New Roman" w:hAnsi="Times New Roman" w:cs="Times New Roman"/>
        </w:rPr>
        <w:t>This</w:t>
      </w:r>
      <w:r w:rsidR="005D1DBF" w:rsidRPr="002C1A92">
        <w:rPr>
          <w:rFonts w:ascii="Times New Roman" w:hAnsi="Times New Roman" w:cs="Times New Roman"/>
        </w:rPr>
        <w:t xml:space="preserve"> evidence-based, rationalized</w:t>
      </w:r>
      <w:r w:rsidR="00541588" w:rsidRPr="002C1A92">
        <w:rPr>
          <w:rFonts w:ascii="Times New Roman" w:hAnsi="Times New Roman" w:cs="Times New Roman"/>
        </w:rPr>
        <w:t xml:space="preserve"> approach </w:t>
      </w:r>
      <w:r w:rsidR="005D1DBF" w:rsidRPr="002C1A92">
        <w:rPr>
          <w:rFonts w:ascii="Times New Roman" w:hAnsi="Times New Roman" w:cs="Times New Roman"/>
        </w:rPr>
        <w:t xml:space="preserve">to regulatory decision-making </w:t>
      </w:r>
      <w:r w:rsidR="00541588" w:rsidRPr="002C1A92">
        <w:rPr>
          <w:rFonts w:ascii="Times New Roman" w:hAnsi="Times New Roman" w:cs="Times New Roman"/>
        </w:rPr>
        <w:t xml:space="preserve">also allows enhancing the transparency of policymaking and represents thus an </w:t>
      </w:r>
      <w:r w:rsidR="00A22C13" w:rsidRPr="002C1A92">
        <w:rPr>
          <w:rFonts w:ascii="Times New Roman" w:hAnsi="Times New Roman" w:cs="Times New Roman"/>
        </w:rPr>
        <w:t xml:space="preserve">antidote to regulatory </w:t>
      </w:r>
      <w:r w:rsidR="00541588" w:rsidRPr="002C1A92">
        <w:rPr>
          <w:rFonts w:ascii="Times New Roman" w:hAnsi="Times New Roman" w:cs="Times New Roman"/>
        </w:rPr>
        <w:t xml:space="preserve">capture </w:t>
      </w:r>
      <w:r w:rsidR="00A22C13" w:rsidRPr="002C1A92">
        <w:rPr>
          <w:rFonts w:ascii="Times New Roman" w:hAnsi="Times New Roman" w:cs="Times New Roman"/>
        </w:rPr>
        <w:t xml:space="preserve">by specific interest </w:t>
      </w:r>
      <w:r w:rsidR="00C52A90">
        <w:rPr>
          <w:rFonts w:ascii="Times New Roman" w:hAnsi="Times New Roman" w:cs="Times New Roman"/>
        </w:rPr>
        <w:t xml:space="preserve">(Shapiro 2011, p. </w:t>
      </w:r>
      <w:r w:rsidR="00541588" w:rsidRPr="002C1A92">
        <w:rPr>
          <w:rFonts w:ascii="Times New Roman" w:hAnsi="Times New Roman" w:cs="Times New Roman"/>
        </w:rPr>
        <w:t xml:space="preserve">396). </w:t>
      </w:r>
      <w:r w:rsidR="007F04D8" w:rsidRPr="002C1A92">
        <w:rPr>
          <w:rFonts w:ascii="Times New Roman" w:hAnsi="Times New Roman" w:cs="Times New Roman"/>
        </w:rPr>
        <w:t xml:space="preserve">This direction of </w:t>
      </w:r>
      <w:r w:rsidR="003F0583" w:rsidRPr="002C1A92">
        <w:rPr>
          <w:rFonts w:ascii="Times New Roman" w:hAnsi="Times New Roman" w:cs="Times New Roman"/>
        </w:rPr>
        <w:t xml:space="preserve">regulatory </w:t>
      </w:r>
      <w:r w:rsidR="007F04D8" w:rsidRPr="002C1A92">
        <w:rPr>
          <w:rFonts w:ascii="Times New Roman" w:hAnsi="Times New Roman" w:cs="Times New Roman"/>
        </w:rPr>
        <w:t>reform is usually enthusiastically supported by ‘technocrats’</w:t>
      </w:r>
      <w:r w:rsidR="00C52A90">
        <w:rPr>
          <w:rFonts w:ascii="Times New Roman" w:hAnsi="Times New Roman" w:cs="Times New Roman"/>
        </w:rPr>
        <w:t xml:space="preserve"> (Lodge and Wegrich 2009,</w:t>
      </w:r>
      <w:r w:rsidR="002E795C" w:rsidRPr="002C1A92">
        <w:rPr>
          <w:rFonts w:ascii="Times New Roman" w:hAnsi="Times New Roman" w:cs="Times New Roman"/>
        </w:rPr>
        <w:t xml:space="preserve"> </w:t>
      </w:r>
      <w:r w:rsidR="00C52A90">
        <w:rPr>
          <w:rFonts w:ascii="Times New Roman" w:hAnsi="Times New Roman" w:cs="Times New Roman"/>
        </w:rPr>
        <w:t xml:space="preserve">p. </w:t>
      </w:r>
      <w:r w:rsidR="002E795C" w:rsidRPr="002C1A92">
        <w:rPr>
          <w:rFonts w:ascii="Times New Roman" w:hAnsi="Times New Roman" w:cs="Times New Roman"/>
        </w:rPr>
        <w:t>145)</w:t>
      </w:r>
      <w:r w:rsidR="007F04D8" w:rsidRPr="002C1A92">
        <w:rPr>
          <w:rFonts w:ascii="Times New Roman" w:hAnsi="Times New Roman" w:cs="Times New Roman"/>
        </w:rPr>
        <w:t>.</w:t>
      </w:r>
    </w:p>
    <w:p w14:paraId="6A7213F5" w14:textId="4B98C9D7" w:rsidR="006554BD" w:rsidRPr="002C1A92" w:rsidRDefault="006554BD" w:rsidP="004F2E06">
      <w:pPr>
        <w:spacing w:line="360" w:lineRule="auto"/>
        <w:ind w:firstLine="720"/>
        <w:jc w:val="both"/>
        <w:rPr>
          <w:rFonts w:ascii="Times New Roman" w:hAnsi="Times New Roman" w:cs="Times New Roman"/>
        </w:rPr>
      </w:pPr>
      <w:r w:rsidRPr="002C1A92">
        <w:rPr>
          <w:rFonts w:ascii="Times New Roman" w:hAnsi="Times New Roman" w:cs="Times New Roman"/>
          <w:i/>
        </w:rPr>
        <w:t>Public choice</w:t>
      </w:r>
      <w:r w:rsidRPr="002C1A92">
        <w:rPr>
          <w:rFonts w:ascii="Times New Roman" w:hAnsi="Times New Roman" w:cs="Times New Roman"/>
        </w:rPr>
        <w:t xml:space="preserve"> </w:t>
      </w:r>
      <w:r w:rsidRPr="002C1A92">
        <w:rPr>
          <w:rFonts w:ascii="Times New Roman" w:hAnsi="Times New Roman" w:cs="Times New Roman"/>
          <w:i/>
        </w:rPr>
        <w:t>theories</w:t>
      </w:r>
      <w:r w:rsidRPr="002C1A92">
        <w:rPr>
          <w:rFonts w:ascii="Times New Roman" w:hAnsi="Times New Roman" w:cs="Times New Roman"/>
        </w:rPr>
        <w:t xml:space="preserve"> of regulation ‘analogize regulatory decision-making to market decision-making’ and assume that the regulatory state is a market in which regulators supply the regulation demanded by the regulated interests, and receive in exchange </w:t>
      </w:r>
      <w:r w:rsidR="005D1DBF" w:rsidRPr="002C1A92">
        <w:rPr>
          <w:rFonts w:ascii="Times New Roman" w:hAnsi="Times New Roman" w:cs="Times New Roman"/>
        </w:rPr>
        <w:t xml:space="preserve">various forms of </w:t>
      </w:r>
      <w:r w:rsidRPr="002C1A92">
        <w:rPr>
          <w:rFonts w:ascii="Times New Roman" w:hAnsi="Times New Roman" w:cs="Times New Roman"/>
        </w:rPr>
        <w:t xml:space="preserve">support </w:t>
      </w:r>
      <w:r w:rsidR="005D1DBF" w:rsidRPr="002C1A92">
        <w:rPr>
          <w:rFonts w:ascii="Times New Roman" w:hAnsi="Times New Roman" w:cs="Times New Roman"/>
        </w:rPr>
        <w:t xml:space="preserve">from </w:t>
      </w:r>
      <w:r w:rsidRPr="002C1A92">
        <w:rPr>
          <w:rFonts w:ascii="Times New Roman" w:hAnsi="Times New Roman" w:cs="Times New Roman"/>
        </w:rPr>
        <w:t xml:space="preserve">these interests (Croley 2008).  </w:t>
      </w:r>
      <w:r w:rsidR="004F2E06" w:rsidRPr="002C1A92">
        <w:rPr>
          <w:rFonts w:ascii="Times New Roman" w:hAnsi="Times New Roman" w:cs="Times New Roman"/>
        </w:rPr>
        <w:t>However, the most common and fundamental regulatory problem emerging within this setting is that regulation becomes ‘liable to fall under (or be established under) the sway of the economically powerful ones’ (Baldwin e</w:t>
      </w:r>
      <w:r w:rsidR="00C52A90">
        <w:rPr>
          <w:rFonts w:ascii="Times New Roman" w:hAnsi="Times New Roman" w:cs="Times New Roman"/>
        </w:rPr>
        <w:t xml:space="preserve">t al. 2011, p. </w:t>
      </w:r>
      <w:r w:rsidR="004F2E06" w:rsidRPr="002C1A92">
        <w:rPr>
          <w:rFonts w:ascii="Times New Roman" w:hAnsi="Times New Roman" w:cs="Times New Roman"/>
        </w:rPr>
        <w:t>108) and susceptible to capture by concentrated and well-organized private interests (Stigler 1971, Posner 1974, Peltzman 1976). A corollary of this is the unequal and biased mobilization and participation of affected interests in regulatory decision-making due to unevenly distributed costs and benefits of regulation (Wilson 198</w:t>
      </w:r>
      <w:r w:rsidR="004355A1" w:rsidRPr="002C1A92">
        <w:rPr>
          <w:rFonts w:ascii="Times New Roman" w:hAnsi="Times New Roman" w:cs="Times New Roman"/>
        </w:rPr>
        <w:t>0</w:t>
      </w:r>
      <w:r w:rsidR="004F2E06" w:rsidRPr="002C1A92">
        <w:rPr>
          <w:rFonts w:ascii="Times New Roman" w:hAnsi="Times New Roman" w:cs="Times New Roman"/>
        </w:rPr>
        <w:t xml:space="preserve">) and to the different degrees to which stakeholders manage to overcome collective action problems (Croley 2008). Regulatory capture and stakeholders’ biased participation result in sub-optimal and inefficient policy decisions and regulatory outcomes </w:t>
      </w:r>
      <w:r w:rsidR="004B4441" w:rsidRPr="002C1A92">
        <w:rPr>
          <w:rFonts w:ascii="Times New Roman" w:hAnsi="Times New Roman" w:cs="Times New Roman"/>
        </w:rPr>
        <w:t>that are likely to</w:t>
      </w:r>
      <w:r w:rsidR="004F2E06" w:rsidRPr="002C1A92">
        <w:rPr>
          <w:rFonts w:ascii="Times New Roman" w:hAnsi="Times New Roman" w:cs="Times New Roman"/>
        </w:rPr>
        <w:t xml:space="preserve"> reduce general societal welfare</w:t>
      </w:r>
      <w:r w:rsidR="003E4798" w:rsidRPr="002C1A92">
        <w:rPr>
          <w:rFonts w:ascii="Times New Roman" w:hAnsi="Times New Roman" w:cs="Times New Roman"/>
        </w:rPr>
        <w:t xml:space="preserve">. </w:t>
      </w:r>
      <w:r w:rsidRPr="002C1A92">
        <w:rPr>
          <w:rFonts w:ascii="Times New Roman" w:hAnsi="Times New Roman" w:cs="Times New Roman"/>
        </w:rPr>
        <w:t xml:space="preserve">In line with this reasoning, the best solution to address regulatory inefficiency and failure is to ‘increase reliance on markets as an alternative to government regulation’ (Croley 2008) and thus to prefer market-based alternatives to the traditional ‘command and control’ regulation. Supporters of such reforms are usually identified as ‘deregulators’ and they may support for example ‘cutting the red tape’ </w:t>
      </w:r>
      <w:r w:rsidR="004B4441" w:rsidRPr="002C1A92">
        <w:rPr>
          <w:rFonts w:ascii="Times New Roman" w:hAnsi="Times New Roman" w:cs="Times New Roman"/>
        </w:rPr>
        <w:t xml:space="preserve">using </w:t>
      </w:r>
      <w:r w:rsidRPr="002C1A92">
        <w:rPr>
          <w:rFonts w:ascii="Times New Roman" w:hAnsi="Times New Roman" w:cs="Times New Roman"/>
        </w:rPr>
        <w:t>a thorough measurement of the cost</w:t>
      </w:r>
      <w:r w:rsidR="004B4441" w:rsidRPr="002C1A92">
        <w:rPr>
          <w:rFonts w:ascii="Times New Roman" w:hAnsi="Times New Roman" w:cs="Times New Roman"/>
        </w:rPr>
        <w:t>s</w:t>
      </w:r>
      <w:r w:rsidRPr="002C1A92">
        <w:rPr>
          <w:rFonts w:ascii="Times New Roman" w:hAnsi="Times New Roman" w:cs="Times New Roman"/>
        </w:rPr>
        <w:t xml:space="preserve"> of complying with the existing or draft legislation for business</w:t>
      </w:r>
      <w:r w:rsidR="00C52A90">
        <w:rPr>
          <w:rFonts w:ascii="Times New Roman" w:hAnsi="Times New Roman" w:cs="Times New Roman"/>
        </w:rPr>
        <w:t xml:space="preserve"> (Lodge and Wegrich 2009,</w:t>
      </w:r>
      <w:r w:rsidR="00610E50" w:rsidRPr="002C1A92">
        <w:rPr>
          <w:rFonts w:ascii="Times New Roman" w:hAnsi="Times New Roman" w:cs="Times New Roman"/>
        </w:rPr>
        <w:t xml:space="preserve"> </w:t>
      </w:r>
      <w:r w:rsidR="00C52A90">
        <w:rPr>
          <w:rFonts w:ascii="Times New Roman" w:hAnsi="Times New Roman" w:cs="Times New Roman"/>
        </w:rPr>
        <w:t xml:space="preserve">p. </w:t>
      </w:r>
      <w:r w:rsidR="00610E50" w:rsidRPr="002C1A92">
        <w:rPr>
          <w:rFonts w:ascii="Times New Roman" w:hAnsi="Times New Roman" w:cs="Times New Roman"/>
        </w:rPr>
        <w:t>146)</w:t>
      </w:r>
      <w:r w:rsidRPr="002C1A92">
        <w:rPr>
          <w:rFonts w:ascii="Times New Roman" w:hAnsi="Times New Roman" w:cs="Times New Roman"/>
        </w:rPr>
        <w:t>.</w:t>
      </w:r>
    </w:p>
    <w:p w14:paraId="21E4F7E5" w14:textId="3A709DF9" w:rsidR="00EF5CA9" w:rsidRPr="002C1A92" w:rsidRDefault="004F2E06" w:rsidP="004F2E06">
      <w:pPr>
        <w:spacing w:line="360" w:lineRule="auto"/>
        <w:jc w:val="both"/>
        <w:rPr>
          <w:rFonts w:ascii="Times New Roman" w:hAnsi="Times New Roman" w:cs="Times New Roman"/>
        </w:rPr>
      </w:pPr>
      <w:r w:rsidRPr="002C1A92">
        <w:rPr>
          <w:rFonts w:ascii="Times New Roman" w:hAnsi="Times New Roman" w:cs="Times New Roman"/>
          <w:i/>
        </w:rPr>
        <w:tab/>
      </w:r>
      <w:r w:rsidR="001A24AF" w:rsidRPr="002C1A92">
        <w:rPr>
          <w:rFonts w:ascii="Times New Roman" w:hAnsi="Times New Roman" w:cs="Times New Roman"/>
          <w:i/>
        </w:rPr>
        <w:t xml:space="preserve">Neo-pluralist and </w:t>
      </w:r>
      <w:r w:rsidR="00A14E8D" w:rsidRPr="002C1A92">
        <w:rPr>
          <w:rFonts w:ascii="Times New Roman" w:hAnsi="Times New Roman" w:cs="Times New Roman"/>
          <w:i/>
        </w:rPr>
        <w:t>deliberative theories</w:t>
      </w:r>
      <w:r w:rsidR="00A14E8D" w:rsidRPr="002C1A92">
        <w:rPr>
          <w:rFonts w:ascii="Times New Roman" w:hAnsi="Times New Roman" w:cs="Times New Roman"/>
        </w:rPr>
        <w:t xml:space="preserve"> of regulation (</w:t>
      </w:r>
      <w:r w:rsidR="00EF5CA9" w:rsidRPr="002C1A92">
        <w:rPr>
          <w:rFonts w:ascii="Times New Roman" w:hAnsi="Times New Roman" w:cs="Times New Roman"/>
        </w:rPr>
        <w:t>Becker 1983, Ayres and Braithwaite 1992</w:t>
      </w:r>
      <w:r w:rsidR="00E80FED">
        <w:rPr>
          <w:rFonts w:ascii="Times New Roman" w:hAnsi="Times New Roman" w:cs="Times New Roman"/>
        </w:rPr>
        <w:t xml:space="preserve">, </w:t>
      </w:r>
      <w:r w:rsidR="00E80FED" w:rsidRPr="002C1A92">
        <w:rPr>
          <w:rFonts w:ascii="Times New Roman" w:hAnsi="Times New Roman" w:cs="Times New Roman"/>
        </w:rPr>
        <w:t>Croley 2008</w:t>
      </w:r>
      <w:r w:rsidR="00A14E8D" w:rsidRPr="002C1A92">
        <w:rPr>
          <w:rFonts w:ascii="Times New Roman" w:hAnsi="Times New Roman" w:cs="Times New Roman"/>
        </w:rPr>
        <w:t>)</w:t>
      </w:r>
      <w:r w:rsidR="00EF5CA9" w:rsidRPr="002C1A92">
        <w:rPr>
          <w:rFonts w:ascii="Times New Roman" w:hAnsi="Times New Roman" w:cs="Times New Roman"/>
        </w:rPr>
        <w:t xml:space="preserve"> emphasize the important role of interest groups’ participation in regulatory decision-making</w:t>
      </w:r>
      <w:r w:rsidR="00074845" w:rsidRPr="002C1A92">
        <w:rPr>
          <w:rFonts w:ascii="Times New Roman" w:hAnsi="Times New Roman" w:cs="Times New Roman"/>
        </w:rPr>
        <w:t xml:space="preserve"> </w:t>
      </w:r>
      <w:r w:rsidR="00EF5CA9" w:rsidRPr="002C1A92">
        <w:rPr>
          <w:rFonts w:ascii="Times New Roman" w:hAnsi="Times New Roman" w:cs="Times New Roman"/>
        </w:rPr>
        <w:t>and pr</w:t>
      </w:r>
      <w:r w:rsidR="00A37FE9" w:rsidRPr="002C1A92">
        <w:rPr>
          <w:rFonts w:ascii="Times New Roman" w:hAnsi="Times New Roman" w:cs="Times New Roman"/>
        </w:rPr>
        <w:t>opose increased interest groups</w:t>
      </w:r>
      <w:r w:rsidR="00EF5CA9" w:rsidRPr="002C1A92">
        <w:rPr>
          <w:rFonts w:ascii="Times New Roman" w:hAnsi="Times New Roman" w:cs="Times New Roman"/>
        </w:rPr>
        <w:t xml:space="preserve"> </w:t>
      </w:r>
      <w:r w:rsidR="00EF5CA9" w:rsidRPr="002C1A92">
        <w:rPr>
          <w:rFonts w:ascii="Times New Roman" w:hAnsi="Times New Roman" w:cs="Times New Roman"/>
        </w:rPr>
        <w:lastRenderedPageBreak/>
        <w:t>competition in policymaking to address the problem of regulatory capture and bias. The solution to this problem is thus to create a ‘level playing field for all societal actors in the regulatory process, through consultation procedures and freedom of i</w:t>
      </w:r>
      <w:r w:rsidR="00C52A90">
        <w:rPr>
          <w:rFonts w:ascii="Times New Roman" w:hAnsi="Times New Roman" w:cs="Times New Roman"/>
        </w:rPr>
        <w:t>nformation rules’ (Wegrich 2010,</w:t>
      </w:r>
      <w:r w:rsidR="00EF5CA9" w:rsidRPr="002C1A92">
        <w:rPr>
          <w:rFonts w:ascii="Times New Roman" w:hAnsi="Times New Roman" w:cs="Times New Roman"/>
        </w:rPr>
        <w:t xml:space="preserve"> </w:t>
      </w:r>
      <w:r w:rsidR="00C52A90">
        <w:rPr>
          <w:rFonts w:ascii="Times New Roman" w:hAnsi="Times New Roman" w:cs="Times New Roman"/>
        </w:rPr>
        <w:t xml:space="preserve">p. </w:t>
      </w:r>
      <w:r w:rsidR="00EF5CA9" w:rsidRPr="002C1A92">
        <w:rPr>
          <w:rFonts w:ascii="Times New Roman" w:hAnsi="Times New Roman" w:cs="Times New Roman"/>
        </w:rPr>
        <w:t xml:space="preserve">35). Proponents of this approach </w:t>
      </w:r>
      <w:r w:rsidR="0071665A" w:rsidRPr="002C1A92">
        <w:rPr>
          <w:rFonts w:ascii="Times New Roman" w:hAnsi="Times New Roman" w:cs="Times New Roman"/>
        </w:rPr>
        <w:t>usually</w:t>
      </w:r>
      <w:r w:rsidR="00EF5CA9" w:rsidRPr="002C1A92">
        <w:rPr>
          <w:rFonts w:ascii="Times New Roman" w:hAnsi="Times New Roman" w:cs="Times New Roman"/>
        </w:rPr>
        <w:t xml:space="preserve"> support </w:t>
      </w:r>
      <w:r w:rsidR="0071665A" w:rsidRPr="002C1A92">
        <w:rPr>
          <w:rFonts w:ascii="Times New Roman" w:hAnsi="Times New Roman" w:cs="Times New Roman"/>
        </w:rPr>
        <w:t xml:space="preserve">regulatory </w:t>
      </w:r>
      <w:r w:rsidR="007262F7" w:rsidRPr="002C1A92">
        <w:rPr>
          <w:rFonts w:ascii="Times New Roman" w:hAnsi="Times New Roman" w:cs="Times New Roman"/>
        </w:rPr>
        <w:t xml:space="preserve">reform </w:t>
      </w:r>
      <w:r w:rsidR="00EF5CA9" w:rsidRPr="002C1A92">
        <w:rPr>
          <w:rFonts w:ascii="Times New Roman" w:hAnsi="Times New Roman" w:cs="Times New Roman"/>
        </w:rPr>
        <w:t>measures aimed at increasing ‘participatory policymaking’.</w:t>
      </w:r>
    </w:p>
    <w:p w14:paraId="5464DF35" w14:textId="77C8FCC0" w:rsidR="00D955E5" w:rsidRPr="002C1A92" w:rsidRDefault="00D955E5" w:rsidP="00D955E5">
      <w:pPr>
        <w:spacing w:line="360" w:lineRule="auto"/>
        <w:ind w:firstLine="720"/>
        <w:jc w:val="both"/>
        <w:rPr>
          <w:rFonts w:ascii="Times New Roman" w:hAnsi="Times New Roman" w:cs="Times New Roman"/>
        </w:rPr>
      </w:pPr>
      <w:r w:rsidRPr="002C1A92">
        <w:rPr>
          <w:rFonts w:ascii="Times New Roman" w:hAnsi="Times New Roman" w:cs="Times New Roman"/>
        </w:rPr>
        <w:t xml:space="preserve">We build on these three general perspectives on the direction of regulatory reforms and argue that these also inform </w:t>
      </w:r>
      <w:r w:rsidR="004037D6" w:rsidRPr="002C1A92">
        <w:rPr>
          <w:rFonts w:ascii="Times New Roman" w:hAnsi="Times New Roman" w:cs="Times New Roman"/>
        </w:rPr>
        <w:t xml:space="preserve">debates about </w:t>
      </w:r>
      <w:r w:rsidRPr="002C1A92">
        <w:rPr>
          <w:rFonts w:ascii="Times New Roman" w:hAnsi="Times New Roman" w:cs="Times New Roman"/>
        </w:rPr>
        <w:t>Better Regulation measures. As such, we expect to see stakeholders expressing demands for Better Regulation measures that lead to (</w:t>
      </w:r>
      <w:r w:rsidR="00300195" w:rsidRPr="002C1A92">
        <w:rPr>
          <w:rFonts w:ascii="Times New Roman" w:hAnsi="Times New Roman" w:cs="Times New Roman"/>
        </w:rPr>
        <w:t>1</w:t>
      </w:r>
      <w:r w:rsidRPr="002C1A92">
        <w:rPr>
          <w:rFonts w:ascii="Times New Roman" w:hAnsi="Times New Roman" w:cs="Times New Roman"/>
        </w:rPr>
        <w:t>) technocratic (evidence-based) policymaking</w:t>
      </w:r>
      <w:r w:rsidR="00300195" w:rsidRPr="002C1A92">
        <w:rPr>
          <w:rFonts w:ascii="Times New Roman" w:hAnsi="Times New Roman" w:cs="Times New Roman"/>
        </w:rPr>
        <w:t>, (2) deregulation</w:t>
      </w:r>
      <w:r w:rsidRPr="002C1A92">
        <w:rPr>
          <w:rFonts w:ascii="Times New Roman" w:hAnsi="Times New Roman" w:cs="Times New Roman"/>
        </w:rPr>
        <w:t xml:space="preserve"> or (3) participatory policymaking. </w:t>
      </w:r>
    </w:p>
    <w:p w14:paraId="481CC3EF" w14:textId="1921EAD0" w:rsidR="00B33DE6" w:rsidRDefault="00D955E5" w:rsidP="00770FE7">
      <w:pPr>
        <w:spacing w:line="360" w:lineRule="auto"/>
        <w:ind w:firstLine="720"/>
        <w:jc w:val="both"/>
        <w:rPr>
          <w:rFonts w:ascii="Times New Roman" w:hAnsi="Times New Roman" w:cs="Times New Roman"/>
        </w:rPr>
      </w:pPr>
      <w:r w:rsidRPr="002C1A92">
        <w:rPr>
          <w:rFonts w:ascii="Times New Roman" w:hAnsi="Times New Roman" w:cs="Times New Roman"/>
        </w:rPr>
        <w:t>We are aware that these directions of reform are not necessarily mutually exclusive and some level of agreement may characterize actors’ preferences over Better Regulation due to overlapping goals. For example, the inclusion of the Standard Cost Model for measuring administrative burdens in impact assessments by several European countries and the EU in the 2000s (following its development in the Netherlands) was seen by ‘deregulators’ as a first step towards the systematic measurement of all compliance costs for business. The ‘technocrats’ on the other hand saw this reform as being part of a broader agenda of systematizing the measurement of various costs and benefits of regulation in impact assessments (Wegrich 2010). However, research indicates that the probability of well crystallized and strongly contrasting views over Better Regulation reforms is likely to increase as they become more developed, comprehensive and a long-standing p</w:t>
      </w:r>
      <w:r w:rsidR="00C52A90">
        <w:rPr>
          <w:rFonts w:ascii="Times New Roman" w:hAnsi="Times New Roman" w:cs="Times New Roman"/>
        </w:rPr>
        <w:t>ractice (Lodge and Wegrich 2012,</w:t>
      </w:r>
      <w:r w:rsidRPr="002C1A92">
        <w:rPr>
          <w:rFonts w:ascii="Times New Roman" w:hAnsi="Times New Roman" w:cs="Times New Roman"/>
        </w:rPr>
        <w:t xml:space="preserve"> </w:t>
      </w:r>
      <w:r w:rsidR="00C52A90">
        <w:rPr>
          <w:rFonts w:ascii="Times New Roman" w:hAnsi="Times New Roman" w:cs="Times New Roman"/>
        </w:rPr>
        <w:t xml:space="preserve">p. </w:t>
      </w:r>
      <w:r w:rsidRPr="002C1A92">
        <w:rPr>
          <w:rFonts w:ascii="Times New Roman" w:hAnsi="Times New Roman" w:cs="Times New Roman"/>
        </w:rPr>
        <w:t xml:space="preserve">219-220). The EU context exemplifies this: </w:t>
      </w:r>
      <w:proofErr w:type="gramStart"/>
      <w:r w:rsidRPr="002C1A92">
        <w:rPr>
          <w:rFonts w:ascii="Times New Roman" w:hAnsi="Times New Roman" w:cs="Times New Roman"/>
        </w:rPr>
        <w:t>the</w:t>
      </w:r>
      <w:proofErr w:type="gramEnd"/>
      <w:r w:rsidRPr="002C1A92">
        <w:rPr>
          <w:rFonts w:ascii="Times New Roman" w:hAnsi="Times New Roman" w:cs="Times New Roman"/>
        </w:rPr>
        <w:t xml:space="preserve"> Better Regulation agenda was formalized in the early 2000s (with the publication of the White Paper on Governance and the Malderkern report on Better Regulation in 2001), and even earlier in some member states (Radaelli 2010). This aspect informs our expectation to observe clearly delineated and contrasting alignments of stakeholders in policy settings with well-established Better Regulation agendas such as the EU, which represents our case study and empirical testing ground.</w:t>
      </w:r>
    </w:p>
    <w:p w14:paraId="781F1A10" w14:textId="77777777" w:rsidR="00133589" w:rsidRPr="002C1A92" w:rsidRDefault="00133589" w:rsidP="00770FE7">
      <w:pPr>
        <w:spacing w:line="360" w:lineRule="auto"/>
        <w:ind w:firstLine="720"/>
        <w:jc w:val="both"/>
        <w:rPr>
          <w:rFonts w:ascii="Times New Roman" w:hAnsi="Times New Roman" w:cs="Times New Roman"/>
        </w:rPr>
      </w:pPr>
    </w:p>
    <w:p w14:paraId="736155F5" w14:textId="64F12258" w:rsidR="0092007E" w:rsidRPr="002C1A92" w:rsidRDefault="0044173E" w:rsidP="00495265">
      <w:pPr>
        <w:spacing w:line="360" w:lineRule="auto"/>
        <w:jc w:val="both"/>
        <w:rPr>
          <w:rFonts w:ascii="Times New Roman" w:hAnsi="Times New Roman" w:cs="Times New Roman"/>
          <w:i/>
        </w:rPr>
      </w:pPr>
      <w:r w:rsidRPr="002C1A92">
        <w:rPr>
          <w:rFonts w:ascii="Times New Roman" w:hAnsi="Times New Roman" w:cs="Times New Roman"/>
          <w:i/>
        </w:rPr>
        <w:t>Interests, stakeholder</w:t>
      </w:r>
      <w:r w:rsidR="003F2105" w:rsidRPr="002C1A92">
        <w:rPr>
          <w:rFonts w:ascii="Times New Roman" w:hAnsi="Times New Roman" w:cs="Times New Roman"/>
          <w:i/>
        </w:rPr>
        <w:t>s</w:t>
      </w:r>
      <w:r w:rsidRPr="002C1A92">
        <w:rPr>
          <w:rFonts w:ascii="Times New Roman" w:hAnsi="Times New Roman" w:cs="Times New Roman"/>
          <w:i/>
        </w:rPr>
        <w:t>’</w:t>
      </w:r>
      <w:r w:rsidR="0092007E" w:rsidRPr="002C1A92">
        <w:rPr>
          <w:rFonts w:ascii="Times New Roman" w:hAnsi="Times New Roman" w:cs="Times New Roman"/>
          <w:i/>
        </w:rPr>
        <w:t xml:space="preserve"> </w:t>
      </w:r>
      <w:r w:rsidRPr="002C1A92">
        <w:rPr>
          <w:rFonts w:ascii="Times New Roman" w:hAnsi="Times New Roman" w:cs="Times New Roman"/>
          <w:i/>
        </w:rPr>
        <w:t xml:space="preserve">alignments and </w:t>
      </w:r>
      <w:r w:rsidR="00300195" w:rsidRPr="002C1A92">
        <w:rPr>
          <w:rFonts w:ascii="Times New Roman" w:hAnsi="Times New Roman" w:cs="Times New Roman"/>
          <w:i/>
        </w:rPr>
        <w:t>types of Better Regulation reforms</w:t>
      </w:r>
    </w:p>
    <w:p w14:paraId="25E080CC" w14:textId="2C4AB081" w:rsidR="00095EEE" w:rsidRPr="002C1A92" w:rsidRDefault="0092007E" w:rsidP="00495265">
      <w:pPr>
        <w:spacing w:line="360" w:lineRule="auto"/>
        <w:ind w:firstLine="720"/>
        <w:jc w:val="both"/>
        <w:rPr>
          <w:rFonts w:ascii="Times New Roman" w:hAnsi="Times New Roman" w:cs="Times New Roman"/>
        </w:rPr>
      </w:pPr>
      <w:r w:rsidRPr="002C1A92">
        <w:rPr>
          <w:rFonts w:ascii="Times New Roman" w:hAnsi="Times New Roman" w:cs="Times New Roman"/>
        </w:rPr>
        <w:t xml:space="preserve">Classic theories of regulation and regulatory governance </w:t>
      </w:r>
      <w:r w:rsidR="00943814" w:rsidRPr="002C1A92">
        <w:rPr>
          <w:rFonts w:ascii="Times New Roman" w:hAnsi="Times New Roman" w:cs="Times New Roman"/>
        </w:rPr>
        <w:t>recognize</w:t>
      </w:r>
      <w:r w:rsidRPr="002C1A92">
        <w:rPr>
          <w:rFonts w:ascii="Times New Roman" w:hAnsi="Times New Roman" w:cs="Times New Roman"/>
        </w:rPr>
        <w:t xml:space="preserve"> the key role played by various constellations of constituencies of interests in the design and functioning of regulatory regimes </w:t>
      </w:r>
      <w:r w:rsidR="0044173E" w:rsidRPr="002C1A92">
        <w:rPr>
          <w:rFonts w:ascii="Times New Roman" w:hAnsi="Times New Roman" w:cs="Times New Roman"/>
        </w:rPr>
        <w:t>(</w:t>
      </w:r>
      <w:r w:rsidRPr="002C1A92">
        <w:rPr>
          <w:rFonts w:ascii="Times New Roman" w:hAnsi="Times New Roman" w:cs="Times New Roman"/>
        </w:rPr>
        <w:t>Wilson</w:t>
      </w:r>
      <w:r w:rsidR="0044173E" w:rsidRPr="002C1A92">
        <w:rPr>
          <w:rFonts w:ascii="Times New Roman" w:hAnsi="Times New Roman" w:cs="Times New Roman"/>
        </w:rPr>
        <w:t xml:space="preserve"> 1980)</w:t>
      </w:r>
      <w:r w:rsidRPr="002C1A92">
        <w:rPr>
          <w:rFonts w:ascii="Times New Roman" w:hAnsi="Times New Roman" w:cs="Times New Roman"/>
        </w:rPr>
        <w:t xml:space="preserve">. </w:t>
      </w:r>
      <w:r w:rsidR="00790E5B" w:rsidRPr="002C1A92">
        <w:rPr>
          <w:rFonts w:ascii="Times New Roman" w:hAnsi="Times New Roman" w:cs="Times New Roman"/>
        </w:rPr>
        <w:t>Building</w:t>
      </w:r>
      <w:r w:rsidRPr="002C1A92">
        <w:rPr>
          <w:rFonts w:ascii="Times New Roman" w:hAnsi="Times New Roman" w:cs="Times New Roman"/>
        </w:rPr>
        <w:t xml:space="preserve"> on this</w:t>
      </w:r>
      <w:r w:rsidR="00790E5B" w:rsidRPr="002C1A92">
        <w:rPr>
          <w:rFonts w:ascii="Times New Roman" w:hAnsi="Times New Roman" w:cs="Times New Roman"/>
        </w:rPr>
        <w:t>, we</w:t>
      </w:r>
      <w:r w:rsidRPr="002C1A92">
        <w:rPr>
          <w:rFonts w:ascii="Times New Roman" w:hAnsi="Times New Roman" w:cs="Times New Roman"/>
        </w:rPr>
        <w:t xml:space="preserve"> argue that the </w:t>
      </w:r>
      <w:r w:rsidRPr="002C1A92">
        <w:rPr>
          <w:rFonts w:ascii="Times New Roman" w:hAnsi="Times New Roman" w:cs="Times New Roman"/>
        </w:rPr>
        <w:lastRenderedPageBreak/>
        <w:t xml:space="preserve">constituency of interests a stakeholder represents has a direct effect on its preference for what should be the primary goal of Better Regulation reforms. </w:t>
      </w:r>
      <w:r w:rsidR="003F2105" w:rsidRPr="002C1A92">
        <w:rPr>
          <w:rFonts w:ascii="Times New Roman" w:hAnsi="Times New Roman" w:cs="Times New Roman"/>
        </w:rPr>
        <w:t>W</w:t>
      </w:r>
      <w:r w:rsidRPr="002C1A92">
        <w:rPr>
          <w:rFonts w:ascii="Times New Roman" w:hAnsi="Times New Roman" w:cs="Times New Roman"/>
        </w:rPr>
        <w:t xml:space="preserve">e expect that in policy debates, each of the three aforementioned perspectives over Better Regulation is put forward and advocated for by a specific group of stakeholders </w:t>
      </w:r>
      <w:r w:rsidR="0044173E" w:rsidRPr="002C1A92">
        <w:rPr>
          <w:rFonts w:ascii="Times New Roman" w:hAnsi="Times New Roman" w:cs="Times New Roman"/>
        </w:rPr>
        <w:t>in line with their constituency’</w:t>
      </w:r>
      <w:r w:rsidRPr="002C1A92">
        <w:rPr>
          <w:rFonts w:ascii="Times New Roman" w:hAnsi="Times New Roman" w:cs="Times New Roman"/>
        </w:rPr>
        <w:t xml:space="preserve">s goals. </w:t>
      </w:r>
    </w:p>
    <w:p w14:paraId="391F5629" w14:textId="5817349C" w:rsidR="0092007E" w:rsidRPr="002C1A92" w:rsidRDefault="0092007E" w:rsidP="00495265">
      <w:pPr>
        <w:spacing w:line="360" w:lineRule="auto"/>
        <w:ind w:firstLine="720"/>
        <w:jc w:val="both"/>
        <w:rPr>
          <w:rFonts w:ascii="Times New Roman" w:hAnsi="Times New Roman" w:cs="Times New Roman"/>
        </w:rPr>
      </w:pPr>
      <w:r w:rsidRPr="002C1A92">
        <w:rPr>
          <w:rFonts w:ascii="Times New Roman" w:hAnsi="Times New Roman" w:cs="Times New Roman"/>
        </w:rPr>
        <w:t xml:space="preserve">Starting with </w:t>
      </w:r>
      <w:r w:rsidR="00790E5B" w:rsidRPr="002C1A92">
        <w:rPr>
          <w:rFonts w:ascii="Times New Roman" w:hAnsi="Times New Roman" w:cs="Times New Roman"/>
          <w:i/>
        </w:rPr>
        <w:t>politicians and bureaucrats</w:t>
      </w:r>
      <w:r w:rsidRPr="002C1A92">
        <w:rPr>
          <w:rFonts w:ascii="Times New Roman" w:hAnsi="Times New Roman" w:cs="Times New Roman"/>
        </w:rPr>
        <w:t>, Wegrich</w:t>
      </w:r>
      <w:r w:rsidR="0044173E" w:rsidRPr="002C1A92">
        <w:rPr>
          <w:rFonts w:ascii="Times New Roman" w:hAnsi="Times New Roman" w:cs="Times New Roman"/>
        </w:rPr>
        <w:t xml:space="preserve"> </w:t>
      </w:r>
      <w:r w:rsidR="00790E5B" w:rsidRPr="002C1A92">
        <w:rPr>
          <w:rFonts w:ascii="Times New Roman" w:hAnsi="Times New Roman" w:cs="Times New Roman"/>
        </w:rPr>
        <w:t>(</w:t>
      </w:r>
      <w:r w:rsidRPr="002C1A92">
        <w:rPr>
          <w:rFonts w:ascii="Times New Roman" w:hAnsi="Times New Roman" w:cs="Times New Roman"/>
        </w:rPr>
        <w:t>2011</w:t>
      </w:r>
      <w:r w:rsidR="00C52A90">
        <w:rPr>
          <w:rFonts w:ascii="Times New Roman" w:hAnsi="Times New Roman" w:cs="Times New Roman"/>
        </w:rPr>
        <w:t>,</w:t>
      </w:r>
      <w:r w:rsidR="0044173E" w:rsidRPr="002C1A92">
        <w:rPr>
          <w:rFonts w:ascii="Times New Roman" w:hAnsi="Times New Roman" w:cs="Times New Roman"/>
        </w:rPr>
        <w:t xml:space="preserve"> </w:t>
      </w:r>
      <w:r w:rsidR="00C52A90">
        <w:rPr>
          <w:rFonts w:ascii="Times New Roman" w:hAnsi="Times New Roman" w:cs="Times New Roman"/>
        </w:rPr>
        <w:t xml:space="preserve">p. </w:t>
      </w:r>
      <w:r w:rsidR="0044173E" w:rsidRPr="002C1A92">
        <w:rPr>
          <w:rFonts w:ascii="Times New Roman" w:hAnsi="Times New Roman" w:cs="Times New Roman"/>
        </w:rPr>
        <w:t>405-406)</w:t>
      </w:r>
      <w:r w:rsidRPr="002C1A92">
        <w:rPr>
          <w:rFonts w:ascii="Times New Roman" w:hAnsi="Times New Roman" w:cs="Times New Roman"/>
        </w:rPr>
        <w:t xml:space="preserve"> argues that</w:t>
      </w:r>
      <w:r w:rsidR="0044173E" w:rsidRPr="002C1A92">
        <w:rPr>
          <w:rFonts w:ascii="Times New Roman" w:hAnsi="Times New Roman" w:cs="Times New Roman"/>
        </w:rPr>
        <w:t xml:space="preserve"> </w:t>
      </w:r>
      <w:r w:rsidR="00790E5B" w:rsidRPr="002C1A92">
        <w:rPr>
          <w:rFonts w:ascii="Times New Roman" w:hAnsi="Times New Roman" w:cs="Times New Roman"/>
        </w:rPr>
        <w:t xml:space="preserve">they </w:t>
      </w:r>
      <w:r w:rsidR="0044173E" w:rsidRPr="002C1A92">
        <w:rPr>
          <w:rFonts w:ascii="Times New Roman" w:hAnsi="Times New Roman" w:cs="Times New Roman"/>
        </w:rPr>
        <w:t>are usually divided into ‘deregulators’ and ‘technocrats’</w:t>
      </w:r>
      <w:r w:rsidRPr="002C1A92">
        <w:rPr>
          <w:rFonts w:ascii="Times New Roman" w:hAnsi="Times New Roman" w:cs="Times New Roman"/>
        </w:rPr>
        <w:t>. For example, the former dominated the regulatory reform in the UK until the victory of the Labour party in the 1997 election, followin</w:t>
      </w:r>
      <w:r w:rsidR="0044173E" w:rsidRPr="002C1A92">
        <w:rPr>
          <w:rFonts w:ascii="Times New Roman" w:hAnsi="Times New Roman" w:cs="Times New Roman"/>
        </w:rPr>
        <w:t>g which the focus shifted from ‘less regulation’</w:t>
      </w:r>
      <w:r w:rsidRPr="002C1A92">
        <w:rPr>
          <w:rFonts w:ascii="Times New Roman" w:hAnsi="Times New Roman" w:cs="Times New Roman"/>
        </w:rPr>
        <w:t xml:space="preserve"> </w:t>
      </w:r>
      <w:r w:rsidR="0044173E" w:rsidRPr="002C1A92">
        <w:rPr>
          <w:rFonts w:ascii="Times New Roman" w:hAnsi="Times New Roman" w:cs="Times New Roman"/>
        </w:rPr>
        <w:t>(deregulation) to ‘better regulation’</w:t>
      </w:r>
      <w:r w:rsidRPr="002C1A92">
        <w:rPr>
          <w:rFonts w:ascii="Times New Roman" w:hAnsi="Times New Roman" w:cs="Times New Roman"/>
        </w:rPr>
        <w:t xml:space="preserve"> understood as evidence-based policymaking </w:t>
      </w:r>
      <w:r w:rsidR="0044173E" w:rsidRPr="002C1A92">
        <w:rPr>
          <w:rFonts w:ascii="Times New Roman" w:hAnsi="Times New Roman" w:cs="Times New Roman"/>
        </w:rPr>
        <w:t>(</w:t>
      </w:r>
      <w:r w:rsidRPr="002C1A92">
        <w:rPr>
          <w:rFonts w:ascii="Times New Roman" w:hAnsi="Times New Roman" w:cs="Times New Roman"/>
        </w:rPr>
        <w:t>Weatherill</w:t>
      </w:r>
      <w:r w:rsidR="0044173E" w:rsidRPr="002C1A92">
        <w:rPr>
          <w:rFonts w:ascii="Times New Roman" w:hAnsi="Times New Roman" w:cs="Times New Roman"/>
        </w:rPr>
        <w:t xml:space="preserve"> 2007)</w:t>
      </w:r>
      <w:r w:rsidRPr="002C1A92">
        <w:rPr>
          <w:rFonts w:ascii="Times New Roman" w:hAnsi="Times New Roman" w:cs="Times New Roman"/>
        </w:rPr>
        <w:t xml:space="preserve">. We therefore expect that public institutional actors would promote either of these two perspectives with a higher probability than most other stakeholders. In doing so, politicians and senior civil servants hope to increase the legitimacy of their rule-making and the economic competitiveness or broaden social welfare, thus assuring re-election (politicians) or the survival and expansion of their agencies (bureaucrats). </w:t>
      </w:r>
    </w:p>
    <w:p w14:paraId="674F1BD0" w14:textId="6281426E" w:rsidR="0092007E" w:rsidRPr="00F56901" w:rsidRDefault="0092007E" w:rsidP="00495265">
      <w:pPr>
        <w:spacing w:line="360" w:lineRule="auto"/>
        <w:ind w:firstLine="720"/>
        <w:jc w:val="both"/>
        <w:rPr>
          <w:rFonts w:ascii="Times New Roman" w:hAnsi="Times New Roman" w:cs="Times New Roman"/>
        </w:rPr>
      </w:pPr>
      <w:r w:rsidRPr="002C1A92">
        <w:rPr>
          <w:rFonts w:ascii="Times New Roman" w:hAnsi="Times New Roman" w:cs="Times New Roman"/>
        </w:rPr>
        <w:t xml:space="preserve">However, we note that this argument mainly applies to those public authorities that are responsible for the development of Better Regulation instruments and the enforcement and/or oversight of their application by sectoral ministries and agencies and sub-national public authorities. These latter, implementing actors are likely to be reluctant and sometimes even hostile to Better Regulation reforms given that </w:t>
      </w:r>
      <w:r w:rsidR="00790E5B" w:rsidRPr="002C1A92">
        <w:rPr>
          <w:rFonts w:ascii="Times New Roman" w:hAnsi="Times New Roman" w:cs="Times New Roman"/>
        </w:rPr>
        <w:t xml:space="preserve">these </w:t>
      </w:r>
      <w:r w:rsidRPr="002C1A92">
        <w:rPr>
          <w:rFonts w:ascii="Times New Roman" w:hAnsi="Times New Roman" w:cs="Times New Roman"/>
        </w:rPr>
        <w:t>restrict their freedom of action and strengthen top-down political control. Indeed, Radaelli</w:t>
      </w:r>
      <w:r w:rsidR="0044173E" w:rsidRPr="002C1A92">
        <w:rPr>
          <w:rFonts w:ascii="Times New Roman" w:hAnsi="Times New Roman" w:cs="Times New Roman"/>
        </w:rPr>
        <w:t xml:space="preserve"> </w:t>
      </w:r>
      <w:r w:rsidR="00D54261" w:rsidRPr="002C1A92">
        <w:rPr>
          <w:rFonts w:ascii="Times New Roman" w:hAnsi="Times New Roman" w:cs="Times New Roman"/>
        </w:rPr>
        <w:t>(</w:t>
      </w:r>
      <w:r w:rsidR="0044173E" w:rsidRPr="002C1A92">
        <w:rPr>
          <w:rFonts w:ascii="Times New Roman" w:hAnsi="Times New Roman" w:cs="Times New Roman"/>
        </w:rPr>
        <w:t>2010)</w:t>
      </w:r>
      <w:r w:rsidRPr="002C1A92">
        <w:rPr>
          <w:rFonts w:ascii="Times New Roman" w:hAnsi="Times New Roman" w:cs="Times New Roman"/>
        </w:rPr>
        <w:t xml:space="preserve"> finds that politica</w:t>
      </w:r>
      <w:r w:rsidRPr="00F56901">
        <w:rPr>
          <w:rFonts w:ascii="Times New Roman" w:hAnsi="Times New Roman" w:cs="Times New Roman"/>
        </w:rPr>
        <w:t xml:space="preserve">l control </w:t>
      </w:r>
      <w:r w:rsidR="0044173E">
        <w:rPr>
          <w:rFonts w:ascii="Times New Roman" w:hAnsi="Times New Roman" w:cs="Times New Roman"/>
        </w:rPr>
        <w:t>of sectoral departments by the ‘core executive’</w:t>
      </w:r>
      <w:r w:rsidRPr="00F56901">
        <w:rPr>
          <w:rFonts w:ascii="Times New Roman" w:hAnsi="Times New Roman" w:cs="Times New Roman"/>
        </w:rPr>
        <w:t xml:space="preserve"> was an important motivation in the design of regulatory impact assessments in Europe, somewhat similar to the delegation from Congress to regulatory agencies in the US </w:t>
      </w:r>
      <w:r w:rsidR="00D54261">
        <w:rPr>
          <w:rFonts w:ascii="Times New Roman" w:hAnsi="Times New Roman" w:cs="Times New Roman"/>
        </w:rPr>
        <w:t>(McC</w:t>
      </w:r>
      <w:r w:rsidRPr="00F56901">
        <w:rPr>
          <w:rFonts w:ascii="Times New Roman" w:hAnsi="Times New Roman" w:cs="Times New Roman"/>
        </w:rPr>
        <w:t>ubbins</w:t>
      </w:r>
      <w:r w:rsidR="0044173E">
        <w:rPr>
          <w:rFonts w:ascii="Times New Roman" w:hAnsi="Times New Roman" w:cs="Times New Roman"/>
        </w:rPr>
        <w:t xml:space="preserve"> </w:t>
      </w:r>
      <w:r w:rsidRPr="00F56901">
        <w:rPr>
          <w:rFonts w:ascii="Times New Roman" w:hAnsi="Times New Roman" w:cs="Times New Roman"/>
        </w:rPr>
        <w:t>et</w:t>
      </w:r>
      <w:r w:rsidR="0044173E">
        <w:rPr>
          <w:rFonts w:ascii="Times New Roman" w:hAnsi="Times New Roman" w:cs="Times New Roman"/>
        </w:rPr>
        <w:t xml:space="preserve"> </w:t>
      </w:r>
      <w:r w:rsidRPr="00F56901">
        <w:rPr>
          <w:rFonts w:ascii="Times New Roman" w:hAnsi="Times New Roman" w:cs="Times New Roman"/>
        </w:rPr>
        <w:t>al</w:t>
      </w:r>
      <w:r w:rsidR="0044173E">
        <w:rPr>
          <w:rFonts w:ascii="Times New Roman" w:hAnsi="Times New Roman" w:cs="Times New Roman"/>
        </w:rPr>
        <w:t>. 1987)</w:t>
      </w:r>
      <w:r w:rsidRPr="00F56901">
        <w:rPr>
          <w:rFonts w:ascii="Times New Roman" w:hAnsi="Times New Roman" w:cs="Times New Roman"/>
        </w:rPr>
        <w:t>. Although the reform of Better Regulation in the EU only indirectly affects these public authorities, De</w:t>
      </w:r>
      <w:r w:rsidR="0044173E">
        <w:rPr>
          <w:rFonts w:ascii="Times New Roman" w:hAnsi="Times New Roman" w:cs="Times New Roman"/>
        </w:rPr>
        <w:t xml:space="preserve"> F</w:t>
      </w:r>
      <w:r w:rsidRPr="00F56901">
        <w:rPr>
          <w:rFonts w:ascii="Times New Roman" w:hAnsi="Times New Roman" w:cs="Times New Roman"/>
        </w:rPr>
        <w:t>rancesco</w:t>
      </w:r>
      <w:r w:rsidR="0044173E">
        <w:rPr>
          <w:rFonts w:ascii="Times New Roman" w:hAnsi="Times New Roman" w:cs="Times New Roman"/>
        </w:rPr>
        <w:t xml:space="preserve"> </w:t>
      </w:r>
      <w:r w:rsidR="00790E5B">
        <w:rPr>
          <w:rFonts w:ascii="Times New Roman" w:hAnsi="Times New Roman" w:cs="Times New Roman"/>
        </w:rPr>
        <w:t>(</w:t>
      </w:r>
      <w:r w:rsidR="0044173E">
        <w:rPr>
          <w:rFonts w:ascii="Times New Roman" w:hAnsi="Times New Roman" w:cs="Times New Roman"/>
        </w:rPr>
        <w:t>2012)</w:t>
      </w:r>
      <w:r w:rsidRPr="00F56901">
        <w:rPr>
          <w:rFonts w:ascii="Times New Roman" w:hAnsi="Times New Roman" w:cs="Times New Roman"/>
        </w:rPr>
        <w:t xml:space="preserve"> finds that the length of the membership in the EU is one of the most important predictors of the diffusion of impact assessments in OECD and EU countries. Any support for strengthening the tools of Better Regulation at EU level (our empirical case study) therefore is likely to lead to st</w:t>
      </w:r>
      <w:r w:rsidR="00F90981">
        <w:rPr>
          <w:rFonts w:ascii="Times New Roman" w:hAnsi="Times New Roman" w:cs="Times New Roman"/>
        </w:rPr>
        <w:t>ronger reforms in member states</w:t>
      </w:r>
      <w:r w:rsidRPr="00F56901">
        <w:rPr>
          <w:rFonts w:ascii="Times New Roman" w:hAnsi="Times New Roman" w:cs="Times New Roman"/>
        </w:rPr>
        <w:t xml:space="preserve"> in line with the preferences of the public authorities responsible for the development and oversight of Better Regulation instruments but not with those public institutions and agencies that implement the</w:t>
      </w:r>
      <w:r w:rsidR="00650237">
        <w:rPr>
          <w:rFonts w:ascii="Times New Roman" w:hAnsi="Times New Roman" w:cs="Times New Roman"/>
        </w:rPr>
        <w:t>m</w:t>
      </w:r>
      <w:r w:rsidRPr="00F56901">
        <w:rPr>
          <w:rFonts w:ascii="Times New Roman" w:hAnsi="Times New Roman" w:cs="Times New Roman"/>
        </w:rPr>
        <w:t>.</w:t>
      </w:r>
    </w:p>
    <w:p w14:paraId="60EAF393" w14:textId="17117410" w:rsidR="0092007E" w:rsidRPr="00F56901" w:rsidRDefault="0092007E" w:rsidP="00495265">
      <w:pPr>
        <w:spacing w:line="360" w:lineRule="auto"/>
        <w:ind w:firstLine="720"/>
        <w:jc w:val="both"/>
        <w:rPr>
          <w:rFonts w:ascii="Times New Roman" w:hAnsi="Times New Roman" w:cs="Times New Roman"/>
        </w:rPr>
      </w:pPr>
      <w:r w:rsidRPr="00F56901">
        <w:rPr>
          <w:rFonts w:ascii="Times New Roman" w:hAnsi="Times New Roman" w:cs="Times New Roman"/>
        </w:rPr>
        <w:lastRenderedPageBreak/>
        <w:t xml:space="preserve">The role of Better Regulation as a tool of political control of bureaucracy also suggests </w:t>
      </w:r>
      <w:r w:rsidR="00F90981">
        <w:rPr>
          <w:rFonts w:ascii="Times New Roman" w:hAnsi="Times New Roman" w:cs="Times New Roman"/>
        </w:rPr>
        <w:t>that the relative influence of ‘deregulators’ and ‘technocrats’</w:t>
      </w:r>
      <w:r w:rsidRPr="00F56901">
        <w:rPr>
          <w:rFonts w:ascii="Times New Roman" w:hAnsi="Times New Roman" w:cs="Times New Roman"/>
        </w:rPr>
        <w:t xml:space="preserve"> is driven to a large extent by the attitudes of government parties towards deregulation. </w:t>
      </w:r>
      <w:r w:rsidR="00650237">
        <w:rPr>
          <w:rFonts w:ascii="Times New Roman" w:hAnsi="Times New Roman" w:cs="Times New Roman"/>
        </w:rPr>
        <w:t>Case</w:t>
      </w:r>
      <w:r w:rsidRPr="00F56901">
        <w:rPr>
          <w:rFonts w:ascii="Times New Roman" w:hAnsi="Times New Roman" w:cs="Times New Roman"/>
        </w:rPr>
        <w:t xml:space="preserve"> studies in the literature support this</w:t>
      </w:r>
      <w:r w:rsidR="00F90981">
        <w:rPr>
          <w:rFonts w:ascii="Times New Roman" w:hAnsi="Times New Roman" w:cs="Times New Roman"/>
        </w:rPr>
        <w:t xml:space="preserve"> argument: UK shifted from </w:t>
      </w:r>
      <w:r w:rsidR="00D54261">
        <w:rPr>
          <w:rFonts w:ascii="Times New Roman" w:hAnsi="Times New Roman" w:cs="Times New Roman"/>
        </w:rPr>
        <w:t>‘</w:t>
      </w:r>
      <w:r w:rsidR="00D54261" w:rsidRPr="00F56901">
        <w:rPr>
          <w:rFonts w:ascii="Times New Roman" w:hAnsi="Times New Roman" w:cs="Times New Roman"/>
        </w:rPr>
        <w:t>de</w:t>
      </w:r>
      <w:r w:rsidR="00D54261">
        <w:rPr>
          <w:rFonts w:ascii="Times New Roman" w:hAnsi="Times New Roman" w:cs="Times New Roman"/>
        </w:rPr>
        <w:t>regulation’ to</w:t>
      </w:r>
      <w:r w:rsidR="00F90981">
        <w:rPr>
          <w:rFonts w:ascii="Times New Roman" w:hAnsi="Times New Roman" w:cs="Times New Roman"/>
        </w:rPr>
        <w:t xml:space="preserve"> ‘less regulation’ and then ‘better regulation’</w:t>
      </w:r>
      <w:r w:rsidRPr="00F56901">
        <w:rPr>
          <w:rFonts w:ascii="Times New Roman" w:hAnsi="Times New Roman" w:cs="Times New Roman"/>
        </w:rPr>
        <w:t xml:space="preserve"> following the Labour Party coming to power in 1997 </w:t>
      </w:r>
      <w:r w:rsidR="00F90981">
        <w:rPr>
          <w:rFonts w:ascii="Times New Roman" w:hAnsi="Times New Roman" w:cs="Times New Roman"/>
        </w:rPr>
        <w:t>(</w:t>
      </w:r>
      <w:r w:rsidRPr="00F56901">
        <w:rPr>
          <w:rFonts w:ascii="Times New Roman" w:hAnsi="Times New Roman" w:cs="Times New Roman"/>
        </w:rPr>
        <w:t>Weatherill</w:t>
      </w:r>
      <w:r w:rsidR="00F90981">
        <w:rPr>
          <w:rFonts w:ascii="Times New Roman" w:hAnsi="Times New Roman" w:cs="Times New Roman"/>
        </w:rPr>
        <w:t xml:space="preserve"> 2007)</w:t>
      </w:r>
      <w:r w:rsidR="00650237">
        <w:rPr>
          <w:rFonts w:ascii="Times New Roman" w:hAnsi="Times New Roman" w:cs="Times New Roman"/>
        </w:rPr>
        <w:t>. I</w:t>
      </w:r>
      <w:r w:rsidRPr="00F56901">
        <w:rPr>
          <w:rFonts w:ascii="Times New Roman" w:hAnsi="Times New Roman" w:cs="Times New Roman"/>
        </w:rPr>
        <w:t>n Germany</w:t>
      </w:r>
      <w:r w:rsidR="003659C5">
        <w:rPr>
          <w:rFonts w:ascii="Times New Roman" w:hAnsi="Times New Roman" w:cs="Times New Roman"/>
        </w:rPr>
        <w:t>,</w:t>
      </w:r>
      <w:r w:rsidRPr="00F56901">
        <w:rPr>
          <w:rFonts w:ascii="Times New Roman" w:hAnsi="Times New Roman" w:cs="Times New Roman"/>
        </w:rPr>
        <w:t xml:space="preserve"> the replacement of the Social Democrats with the liberal Free Democrats in the government coalition after the 2009 federal election</w:t>
      </w:r>
      <w:r w:rsidR="00F90981">
        <w:rPr>
          <w:rFonts w:ascii="Times New Roman" w:hAnsi="Times New Roman" w:cs="Times New Roman"/>
        </w:rPr>
        <w:t xml:space="preserve"> strengthened the influence of ‘deregulators’ (</w:t>
      </w:r>
      <w:r w:rsidRPr="00F56901">
        <w:rPr>
          <w:rFonts w:ascii="Times New Roman" w:hAnsi="Times New Roman" w:cs="Times New Roman"/>
        </w:rPr>
        <w:t>Wegrich</w:t>
      </w:r>
      <w:r w:rsidR="00F90981">
        <w:rPr>
          <w:rFonts w:ascii="Times New Roman" w:hAnsi="Times New Roman" w:cs="Times New Roman"/>
        </w:rPr>
        <w:t xml:space="preserve"> </w:t>
      </w:r>
      <w:r w:rsidRPr="00F56901">
        <w:rPr>
          <w:rFonts w:ascii="Times New Roman" w:hAnsi="Times New Roman" w:cs="Times New Roman"/>
        </w:rPr>
        <w:t>2010</w:t>
      </w:r>
      <w:r w:rsidR="00C52A90">
        <w:rPr>
          <w:rFonts w:ascii="Times New Roman" w:hAnsi="Times New Roman" w:cs="Times New Roman"/>
        </w:rPr>
        <w:t>,</w:t>
      </w:r>
      <w:r w:rsidR="00F90981">
        <w:rPr>
          <w:rFonts w:ascii="Times New Roman" w:hAnsi="Times New Roman" w:cs="Times New Roman"/>
        </w:rPr>
        <w:t xml:space="preserve"> </w:t>
      </w:r>
      <w:r w:rsidR="00C52A90">
        <w:rPr>
          <w:rFonts w:ascii="Times New Roman" w:hAnsi="Times New Roman" w:cs="Times New Roman"/>
        </w:rPr>
        <w:t xml:space="preserve">p. </w:t>
      </w:r>
      <w:r w:rsidR="00F90981">
        <w:rPr>
          <w:rFonts w:ascii="Times New Roman" w:hAnsi="Times New Roman" w:cs="Times New Roman"/>
        </w:rPr>
        <w:t>40)</w:t>
      </w:r>
      <w:r w:rsidRPr="00F56901">
        <w:rPr>
          <w:rFonts w:ascii="Times New Roman" w:hAnsi="Times New Roman" w:cs="Times New Roman"/>
        </w:rPr>
        <w:t xml:space="preserve">. </w:t>
      </w:r>
      <w:r w:rsidR="00650237">
        <w:rPr>
          <w:rFonts w:ascii="Times New Roman" w:hAnsi="Times New Roman" w:cs="Times New Roman"/>
        </w:rPr>
        <w:t xml:space="preserve">We </w:t>
      </w:r>
      <w:r w:rsidR="00650237" w:rsidRPr="00F56901">
        <w:rPr>
          <w:rFonts w:ascii="Times New Roman" w:hAnsi="Times New Roman" w:cs="Times New Roman"/>
        </w:rPr>
        <w:t xml:space="preserve">derive </w:t>
      </w:r>
      <w:r w:rsidRPr="00F56901">
        <w:rPr>
          <w:rFonts w:ascii="Times New Roman" w:hAnsi="Times New Roman" w:cs="Times New Roman"/>
        </w:rPr>
        <w:t>the following expectations:</w:t>
      </w:r>
    </w:p>
    <w:p w14:paraId="300C2A66" w14:textId="77777777" w:rsidR="0092007E" w:rsidRPr="00F56901" w:rsidRDefault="0092007E" w:rsidP="00495265">
      <w:pPr>
        <w:spacing w:line="360" w:lineRule="auto"/>
        <w:jc w:val="both"/>
        <w:rPr>
          <w:rFonts w:ascii="Times New Roman" w:hAnsi="Times New Roman" w:cs="Times New Roman"/>
        </w:rPr>
      </w:pPr>
    </w:p>
    <w:p w14:paraId="5DC34F9D" w14:textId="113D6F76" w:rsidR="0092007E" w:rsidRPr="00F56901" w:rsidRDefault="00F90981" w:rsidP="00B91C93">
      <w:pPr>
        <w:jc w:val="both"/>
        <w:rPr>
          <w:rFonts w:ascii="Times New Roman" w:hAnsi="Times New Roman" w:cs="Times New Roman"/>
        </w:rPr>
      </w:pPr>
      <w:r>
        <w:rPr>
          <w:rFonts w:ascii="Times New Roman" w:hAnsi="Times New Roman" w:cs="Times New Roman"/>
        </w:rPr>
        <w:t>H1</w:t>
      </w:r>
      <w:r w:rsidR="0092007E" w:rsidRPr="00F56901">
        <w:rPr>
          <w:rFonts w:ascii="Times New Roman" w:hAnsi="Times New Roman" w:cs="Times New Roman"/>
        </w:rPr>
        <w:t xml:space="preserve">: </w:t>
      </w:r>
      <w:r w:rsidR="0092007E" w:rsidRPr="00D54261">
        <w:rPr>
          <w:rFonts w:ascii="Times New Roman" w:hAnsi="Times New Roman" w:cs="Times New Roman"/>
          <w:i/>
        </w:rPr>
        <w:t>Public authorities responsible for the coordination/oversight of Better Regulation at national lev</w:t>
      </w:r>
      <w:r w:rsidR="0089500A">
        <w:rPr>
          <w:rFonts w:ascii="Times New Roman" w:hAnsi="Times New Roman" w:cs="Times New Roman"/>
          <w:i/>
        </w:rPr>
        <w:t>el are more likely to demand a deregulatory</w:t>
      </w:r>
      <w:r w:rsidR="0092007E" w:rsidRPr="00D54261">
        <w:rPr>
          <w:rFonts w:ascii="Times New Roman" w:hAnsi="Times New Roman" w:cs="Times New Roman"/>
          <w:i/>
        </w:rPr>
        <w:t xml:space="preserve"> type of reform if the national government is controlled by pro-deregulation parties.</w:t>
      </w:r>
    </w:p>
    <w:p w14:paraId="0DE7227E" w14:textId="77777777" w:rsidR="0092007E" w:rsidRPr="00F56901" w:rsidRDefault="0092007E" w:rsidP="00B91C93">
      <w:pPr>
        <w:jc w:val="both"/>
        <w:rPr>
          <w:rFonts w:ascii="Times New Roman" w:hAnsi="Times New Roman" w:cs="Times New Roman"/>
        </w:rPr>
      </w:pPr>
    </w:p>
    <w:p w14:paraId="7722E3DB" w14:textId="2FC80916" w:rsidR="0092007E" w:rsidRPr="00F56901" w:rsidRDefault="00F90981" w:rsidP="00B91C93">
      <w:pPr>
        <w:jc w:val="both"/>
        <w:rPr>
          <w:rFonts w:ascii="Times New Roman" w:hAnsi="Times New Roman" w:cs="Times New Roman"/>
        </w:rPr>
      </w:pPr>
      <w:r>
        <w:rPr>
          <w:rFonts w:ascii="Times New Roman" w:hAnsi="Times New Roman" w:cs="Times New Roman"/>
        </w:rPr>
        <w:t xml:space="preserve">H2: </w:t>
      </w:r>
      <w:r w:rsidR="0092007E" w:rsidRPr="00D54261">
        <w:rPr>
          <w:rFonts w:ascii="Times New Roman" w:hAnsi="Times New Roman" w:cs="Times New Roman"/>
          <w:i/>
        </w:rPr>
        <w:t>Public authorities responsible for the coordination/oversight of Better Regulation at national level are more likely to demand the adoption of Better Regul</w:t>
      </w:r>
      <w:r w:rsidR="0089500A">
        <w:rPr>
          <w:rFonts w:ascii="Times New Roman" w:hAnsi="Times New Roman" w:cs="Times New Roman"/>
          <w:i/>
        </w:rPr>
        <w:t xml:space="preserve">ation measures that strengthen </w:t>
      </w:r>
      <w:r w:rsidR="00B91C93">
        <w:rPr>
          <w:rFonts w:ascii="Times New Roman" w:hAnsi="Times New Roman" w:cs="Times New Roman"/>
          <w:i/>
        </w:rPr>
        <w:t>technocratic</w:t>
      </w:r>
      <w:r w:rsidR="0089500A">
        <w:rPr>
          <w:rFonts w:ascii="Times New Roman" w:hAnsi="Times New Roman" w:cs="Times New Roman"/>
          <w:i/>
        </w:rPr>
        <w:t xml:space="preserve"> policymaking</w:t>
      </w:r>
      <w:r w:rsidR="0092007E" w:rsidRPr="00D54261">
        <w:rPr>
          <w:rFonts w:ascii="Times New Roman" w:hAnsi="Times New Roman" w:cs="Times New Roman"/>
          <w:i/>
        </w:rPr>
        <w:t xml:space="preserve"> if the national government is controlled by parties that oppose deregulation.</w:t>
      </w:r>
    </w:p>
    <w:p w14:paraId="313C08C6" w14:textId="77777777" w:rsidR="0092007E" w:rsidRPr="00F56901" w:rsidRDefault="0092007E" w:rsidP="00495265">
      <w:pPr>
        <w:spacing w:line="360" w:lineRule="auto"/>
        <w:jc w:val="both"/>
        <w:rPr>
          <w:rFonts w:ascii="Times New Roman" w:hAnsi="Times New Roman" w:cs="Times New Roman"/>
        </w:rPr>
      </w:pPr>
    </w:p>
    <w:p w14:paraId="7AE169FD" w14:textId="5585D955" w:rsidR="00525070" w:rsidRDefault="0092007E" w:rsidP="00495265">
      <w:pPr>
        <w:spacing w:line="360" w:lineRule="auto"/>
        <w:ind w:firstLine="720"/>
        <w:jc w:val="both"/>
        <w:rPr>
          <w:rFonts w:ascii="Times New Roman" w:hAnsi="Times New Roman" w:cs="Times New Roman"/>
        </w:rPr>
      </w:pPr>
      <w:r w:rsidRPr="00F56901">
        <w:rPr>
          <w:rFonts w:ascii="Times New Roman" w:hAnsi="Times New Roman" w:cs="Times New Roman"/>
        </w:rPr>
        <w:t xml:space="preserve">When </w:t>
      </w:r>
      <w:r w:rsidR="00304AE3">
        <w:rPr>
          <w:rFonts w:ascii="Times New Roman" w:hAnsi="Times New Roman" w:cs="Times New Roman"/>
        </w:rPr>
        <w:t xml:space="preserve">discussing and </w:t>
      </w:r>
      <w:r w:rsidR="00943814" w:rsidRPr="00F56901">
        <w:rPr>
          <w:rFonts w:ascii="Times New Roman" w:hAnsi="Times New Roman" w:cs="Times New Roman"/>
        </w:rPr>
        <w:t>theorizing</w:t>
      </w:r>
      <w:r w:rsidRPr="00F56901">
        <w:rPr>
          <w:rFonts w:ascii="Times New Roman" w:hAnsi="Times New Roman" w:cs="Times New Roman"/>
        </w:rPr>
        <w:t xml:space="preserve"> the preferences of </w:t>
      </w:r>
      <w:r w:rsidRPr="00B91C93">
        <w:rPr>
          <w:rFonts w:ascii="Times New Roman" w:hAnsi="Times New Roman" w:cs="Times New Roman"/>
          <w:i/>
        </w:rPr>
        <w:t>economic</w:t>
      </w:r>
      <w:r w:rsidR="00BD597C">
        <w:rPr>
          <w:rFonts w:ascii="Times New Roman" w:hAnsi="Times New Roman" w:cs="Times New Roman"/>
          <w:i/>
        </w:rPr>
        <w:t xml:space="preserve"> </w:t>
      </w:r>
      <w:r w:rsidRPr="00B91C93">
        <w:rPr>
          <w:rFonts w:ascii="Times New Roman" w:hAnsi="Times New Roman" w:cs="Times New Roman"/>
          <w:i/>
        </w:rPr>
        <w:t>interests</w:t>
      </w:r>
      <w:r w:rsidRPr="00F56901">
        <w:rPr>
          <w:rFonts w:ascii="Times New Roman" w:hAnsi="Times New Roman" w:cs="Times New Roman"/>
        </w:rPr>
        <w:t xml:space="preserve"> towards Better Regulation, two </w:t>
      </w:r>
      <w:r w:rsidR="00D54261" w:rsidRPr="00F56901">
        <w:rPr>
          <w:rFonts w:ascii="Times New Roman" w:hAnsi="Times New Roman" w:cs="Times New Roman"/>
        </w:rPr>
        <w:t>considerations are</w:t>
      </w:r>
      <w:r w:rsidRPr="00F56901">
        <w:rPr>
          <w:rFonts w:ascii="Times New Roman" w:hAnsi="Times New Roman" w:cs="Times New Roman"/>
        </w:rPr>
        <w:t xml:space="preserve"> particular</w:t>
      </w:r>
      <w:r w:rsidR="00650237">
        <w:rPr>
          <w:rFonts w:ascii="Times New Roman" w:hAnsi="Times New Roman" w:cs="Times New Roman"/>
        </w:rPr>
        <w:t>ly</w:t>
      </w:r>
      <w:r w:rsidRPr="00F56901">
        <w:rPr>
          <w:rFonts w:ascii="Times New Roman" w:hAnsi="Times New Roman" w:cs="Times New Roman"/>
        </w:rPr>
        <w:t xml:space="preserve"> </w:t>
      </w:r>
      <w:r w:rsidR="00650237" w:rsidRPr="00F56901">
        <w:rPr>
          <w:rFonts w:ascii="Times New Roman" w:hAnsi="Times New Roman" w:cs="Times New Roman"/>
        </w:rPr>
        <w:t>importan</w:t>
      </w:r>
      <w:r w:rsidR="00650237">
        <w:rPr>
          <w:rFonts w:ascii="Times New Roman" w:hAnsi="Times New Roman" w:cs="Times New Roman"/>
        </w:rPr>
        <w:t>t</w:t>
      </w:r>
      <w:r w:rsidRPr="00F56901">
        <w:rPr>
          <w:rFonts w:ascii="Times New Roman" w:hAnsi="Times New Roman" w:cs="Times New Roman"/>
        </w:rPr>
        <w:t xml:space="preserve">. On the one hand, deregulation by means of Better Regulation tools decreases the regulatory burden </w:t>
      </w:r>
      <w:r w:rsidR="00F90981">
        <w:rPr>
          <w:rFonts w:ascii="Times New Roman" w:hAnsi="Times New Roman" w:cs="Times New Roman"/>
        </w:rPr>
        <w:t>(</w:t>
      </w:r>
      <w:r w:rsidR="00A10A03" w:rsidRPr="00F56901">
        <w:rPr>
          <w:rFonts w:ascii="Times New Roman" w:hAnsi="Times New Roman" w:cs="Times New Roman"/>
        </w:rPr>
        <w:t>Radaelli</w:t>
      </w:r>
      <w:r w:rsidR="00A10A03">
        <w:rPr>
          <w:rFonts w:ascii="Times New Roman" w:hAnsi="Times New Roman" w:cs="Times New Roman"/>
        </w:rPr>
        <w:t xml:space="preserve"> and </w:t>
      </w:r>
      <w:r w:rsidR="00A10A03" w:rsidRPr="00F56901">
        <w:rPr>
          <w:rFonts w:ascii="Times New Roman" w:hAnsi="Times New Roman" w:cs="Times New Roman"/>
        </w:rPr>
        <w:t>De</w:t>
      </w:r>
      <w:r w:rsidR="00A10A03">
        <w:rPr>
          <w:rFonts w:ascii="Times New Roman" w:hAnsi="Times New Roman" w:cs="Times New Roman"/>
        </w:rPr>
        <w:t xml:space="preserve"> Francesco 2007, </w:t>
      </w:r>
      <w:r w:rsidRPr="00F56901">
        <w:rPr>
          <w:rFonts w:ascii="Times New Roman" w:hAnsi="Times New Roman" w:cs="Times New Roman"/>
        </w:rPr>
        <w:t>Lodge</w:t>
      </w:r>
      <w:r w:rsidR="00F90981">
        <w:rPr>
          <w:rFonts w:ascii="Times New Roman" w:hAnsi="Times New Roman" w:cs="Times New Roman"/>
        </w:rPr>
        <w:t xml:space="preserve"> and </w:t>
      </w:r>
      <w:r w:rsidRPr="00F56901">
        <w:rPr>
          <w:rFonts w:ascii="Times New Roman" w:hAnsi="Times New Roman" w:cs="Times New Roman"/>
        </w:rPr>
        <w:t>Wegrich</w:t>
      </w:r>
      <w:r w:rsidR="00F90981">
        <w:rPr>
          <w:rFonts w:ascii="Times New Roman" w:hAnsi="Times New Roman" w:cs="Times New Roman"/>
        </w:rPr>
        <w:t xml:space="preserve"> </w:t>
      </w:r>
      <w:r w:rsidR="00A10A03">
        <w:rPr>
          <w:rFonts w:ascii="Times New Roman" w:hAnsi="Times New Roman" w:cs="Times New Roman"/>
        </w:rPr>
        <w:t>2012</w:t>
      </w:r>
      <w:r w:rsidR="00F90981">
        <w:rPr>
          <w:rFonts w:ascii="Times New Roman" w:hAnsi="Times New Roman" w:cs="Times New Roman"/>
        </w:rPr>
        <w:t>)</w:t>
      </w:r>
      <w:r w:rsidRPr="00F56901">
        <w:rPr>
          <w:rFonts w:ascii="Times New Roman" w:hAnsi="Times New Roman" w:cs="Times New Roman"/>
        </w:rPr>
        <w:t>. On the other hand, business groups m</w:t>
      </w:r>
      <w:r w:rsidR="00F110A5">
        <w:rPr>
          <w:rFonts w:ascii="Times New Roman" w:hAnsi="Times New Roman" w:cs="Times New Roman"/>
        </w:rPr>
        <w:t>ight</w:t>
      </w:r>
      <w:r w:rsidRPr="00F56901">
        <w:rPr>
          <w:rFonts w:ascii="Times New Roman" w:hAnsi="Times New Roman" w:cs="Times New Roman"/>
        </w:rPr>
        <w:t xml:space="preserve"> prefer </w:t>
      </w:r>
      <w:r w:rsidR="00F110A5">
        <w:rPr>
          <w:rFonts w:ascii="Times New Roman" w:hAnsi="Times New Roman" w:cs="Times New Roman"/>
        </w:rPr>
        <w:t>having</w:t>
      </w:r>
      <w:r w:rsidRPr="00F56901">
        <w:rPr>
          <w:rFonts w:ascii="Times New Roman" w:hAnsi="Times New Roman" w:cs="Times New Roman"/>
        </w:rPr>
        <w:t xml:space="preserve"> more regulation to increase their profits through rent-seeking </w:t>
      </w:r>
      <w:r w:rsidR="00F90981">
        <w:rPr>
          <w:rFonts w:ascii="Times New Roman" w:hAnsi="Times New Roman" w:cs="Times New Roman"/>
        </w:rPr>
        <w:t>(</w:t>
      </w:r>
      <w:r w:rsidRPr="00F56901">
        <w:rPr>
          <w:rFonts w:ascii="Times New Roman" w:hAnsi="Times New Roman" w:cs="Times New Roman"/>
        </w:rPr>
        <w:t>Stigler</w:t>
      </w:r>
      <w:r w:rsidR="00F90981">
        <w:rPr>
          <w:rFonts w:ascii="Times New Roman" w:hAnsi="Times New Roman" w:cs="Times New Roman"/>
        </w:rPr>
        <w:t xml:space="preserve"> 1971)</w:t>
      </w:r>
      <w:r w:rsidRPr="00F56901">
        <w:rPr>
          <w:rFonts w:ascii="Times New Roman" w:hAnsi="Times New Roman" w:cs="Times New Roman"/>
        </w:rPr>
        <w:t>. We expect that the former goal will be dominant in driving the preferences of broad, cross-sectoral business associations, active at European, national or sub-national level. For these actors, the profits of the members representing one sector generated through regulatory protection may lead to losses to the members representing another sector.</w:t>
      </w:r>
      <w:r w:rsidR="00525070">
        <w:rPr>
          <w:rFonts w:ascii="Times New Roman" w:hAnsi="Times New Roman" w:cs="Times New Roman"/>
        </w:rPr>
        <w:t xml:space="preserve"> </w:t>
      </w:r>
      <w:r w:rsidR="00525070" w:rsidRPr="00A10A03">
        <w:rPr>
          <w:rFonts w:ascii="Times New Roman" w:hAnsi="Times New Roman" w:cs="Times New Roman"/>
        </w:rPr>
        <w:t>For example, lower standards on CO2 emissions may prevent the development of the industry of electrical cars.</w:t>
      </w:r>
    </w:p>
    <w:p w14:paraId="4E63F973" w14:textId="70195099" w:rsidR="0092007E" w:rsidRDefault="00F90981" w:rsidP="00133589">
      <w:pPr>
        <w:pStyle w:val="FootnoteText"/>
        <w:spacing w:line="360" w:lineRule="auto"/>
        <w:jc w:val="both"/>
        <w:rPr>
          <w:rFonts w:ascii="Times New Roman" w:hAnsi="Times New Roman" w:cs="Times New Roman"/>
        </w:rPr>
      </w:pPr>
      <w:r>
        <w:rPr>
          <w:rFonts w:ascii="Times New Roman" w:hAnsi="Times New Roman" w:cs="Times New Roman"/>
        </w:rPr>
        <w:t xml:space="preserve"> </w:t>
      </w:r>
      <w:r w:rsidR="00133589">
        <w:rPr>
          <w:rFonts w:ascii="Times New Roman" w:hAnsi="Times New Roman" w:cs="Times New Roman"/>
        </w:rPr>
        <w:tab/>
      </w:r>
      <w:r w:rsidR="0092007E" w:rsidRPr="00F56901">
        <w:rPr>
          <w:rFonts w:ascii="Times New Roman" w:hAnsi="Times New Roman" w:cs="Times New Roman"/>
        </w:rPr>
        <w:t xml:space="preserve">In contrast, sectoral business associations are more likely to perceive the imposition of Better Regulation </w:t>
      </w:r>
      <w:r w:rsidR="00650237">
        <w:rPr>
          <w:rFonts w:ascii="Times New Roman" w:hAnsi="Times New Roman" w:cs="Times New Roman"/>
        </w:rPr>
        <w:t>measures</w:t>
      </w:r>
      <w:r w:rsidR="00650237" w:rsidRPr="00F56901">
        <w:rPr>
          <w:rFonts w:ascii="Times New Roman" w:hAnsi="Times New Roman" w:cs="Times New Roman"/>
        </w:rPr>
        <w:t xml:space="preserve"> </w:t>
      </w:r>
      <w:r w:rsidR="0092007E" w:rsidRPr="00F56901">
        <w:rPr>
          <w:rFonts w:ascii="Times New Roman" w:hAnsi="Times New Roman" w:cs="Times New Roman"/>
        </w:rPr>
        <w:t>on the regulators in their sectors as a risk. As the freedom of action of these regulators is restrained, so is their ability to pass or sustain regulation that benefits the existing market players. It follows that:</w:t>
      </w:r>
    </w:p>
    <w:p w14:paraId="3672E072" w14:textId="77777777" w:rsidR="00133589" w:rsidRPr="00133589" w:rsidRDefault="00133589" w:rsidP="00133589">
      <w:pPr>
        <w:pStyle w:val="FootnoteText"/>
        <w:jc w:val="both"/>
      </w:pPr>
    </w:p>
    <w:p w14:paraId="5417A5E2" w14:textId="25D3B93A" w:rsidR="0092007E" w:rsidRPr="00F56901" w:rsidRDefault="00F90981" w:rsidP="008543E0">
      <w:pPr>
        <w:jc w:val="both"/>
        <w:rPr>
          <w:rFonts w:ascii="Times New Roman" w:hAnsi="Times New Roman" w:cs="Times New Roman"/>
        </w:rPr>
      </w:pPr>
      <w:r>
        <w:rPr>
          <w:rFonts w:ascii="Times New Roman" w:hAnsi="Times New Roman" w:cs="Times New Roman"/>
        </w:rPr>
        <w:t xml:space="preserve">H3: </w:t>
      </w:r>
      <w:r w:rsidR="0092007E" w:rsidRPr="00F56901">
        <w:rPr>
          <w:rFonts w:ascii="Times New Roman" w:hAnsi="Times New Roman" w:cs="Times New Roman"/>
        </w:rPr>
        <w:t xml:space="preserve"> </w:t>
      </w:r>
      <w:r w:rsidR="0092007E" w:rsidRPr="00D54261">
        <w:rPr>
          <w:rFonts w:ascii="Times New Roman" w:hAnsi="Times New Roman" w:cs="Times New Roman"/>
          <w:i/>
        </w:rPr>
        <w:t>Cross-sectoral business associatio</w:t>
      </w:r>
      <w:r w:rsidR="0089500A">
        <w:rPr>
          <w:rFonts w:ascii="Times New Roman" w:hAnsi="Times New Roman" w:cs="Times New Roman"/>
          <w:i/>
        </w:rPr>
        <w:t>ns are more likely to demand a deregulatory</w:t>
      </w:r>
      <w:r w:rsidR="0092007E" w:rsidRPr="00D54261">
        <w:rPr>
          <w:rFonts w:ascii="Times New Roman" w:hAnsi="Times New Roman" w:cs="Times New Roman"/>
          <w:i/>
        </w:rPr>
        <w:t xml:space="preserve"> type of Better Regulation reforms.</w:t>
      </w:r>
    </w:p>
    <w:p w14:paraId="1635FFF6" w14:textId="30A935F1" w:rsidR="00133589" w:rsidRPr="00F56901" w:rsidRDefault="0092007E" w:rsidP="00133589">
      <w:pPr>
        <w:spacing w:line="360" w:lineRule="auto"/>
        <w:ind w:firstLine="720"/>
        <w:jc w:val="both"/>
        <w:rPr>
          <w:rFonts w:ascii="Times New Roman" w:hAnsi="Times New Roman" w:cs="Times New Roman"/>
        </w:rPr>
      </w:pPr>
      <w:r w:rsidRPr="00F56901">
        <w:rPr>
          <w:rFonts w:ascii="Times New Roman" w:hAnsi="Times New Roman" w:cs="Times New Roman"/>
        </w:rPr>
        <w:lastRenderedPageBreak/>
        <w:t xml:space="preserve">Finally, we argue that </w:t>
      </w:r>
      <w:r w:rsidRPr="00D74578">
        <w:rPr>
          <w:rFonts w:ascii="Times New Roman" w:hAnsi="Times New Roman" w:cs="Times New Roman"/>
          <w:i/>
        </w:rPr>
        <w:t>public</w:t>
      </w:r>
      <w:r w:rsidRPr="00F56901">
        <w:rPr>
          <w:rFonts w:ascii="Times New Roman" w:hAnsi="Times New Roman" w:cs="Times New Roman"/>
        </w:rPr>
        <w:t xml:space="preserve"> </w:t>
      </w:r>
      <w:r w:rsidRPr="00B91C93">
        <w:rPr>
          <w:rFonts w:ascii="Times New Roman" w:hAnsi="Times New Roman" w:cs="Times New Roman"/>
          <w:i/>
        </w:rPr>
        <w:t>interest organizations</w:t>
      </w:r>
      <w:r w:rsidRPr="00F56901">
        <w:rPr>
          <w:rFonts w:ascii="Times New Roman" w:hAnsi="Times New Roman" w:cs="Times New Roman"/>
        </w:rPr>
        <w:t xml:space="preserve"> are most interested in Better </w:t>
      </w:r>
      <w:r w:rsidR="00F90981">
        <w:rPr>
          <w:rFonts w:ascii="Times New Roman" w:hAnsi="Times New Roman" w:cs="Times New Roman"/>
        </w:rPr>
        <w:t xml:space="preserve">Regulation reforms </w:t>
      </w:r>
      <w:r w:rsidR="00943814">
        <w:rPr>
          <w:rFonts w:ascii="Times New Roman" w:hAnsi="Times New Roman" w:cs="Times New Roman"/>
        </w:rPr>
        <w:t>emphasizing</w:t>
      </w:r>
      <w:r w:rsidR="00F90981">
        <w:rPr>
          <w:rFonts w:ascii="Times New Roman" w:hAnsi="Times New Roman" w:cs="Times New Roman"/>
        </w:rPr>
        <w:t xml:space="preserve"> participatory policymaking</w:t>
      </w:r>
      <w:r w:rsidRPr="00F56901">
        <w:rPr>
          <w:rFonts w:ascii="Times New Roman" w:hAnsi="Times New Roman" w:cs="Times New Roman"/>
        </w:rPr>
        <w:t xml:space="preserve">. As these </w:t>
      </w:r>
      <w:r w:rsidR="00943814" w:rsidRPr="00F56901">
        <w:rPr>
          <w:rFonts w:ascii="Times New Roman" w:hAnsi="Times New Roman" w:cs="Times New Roman"/>
        </w:rPr>
        <w:t>organizations</w:t>
      </w:r>
      <w:r w:rsidRPr="00F56901">
        <w:rPr>
          <w:rFonts w:ascii="Times New Roman" w:hAnsi="Times New Roman" w:cs="Times New Roman"/>
        </w:rPr>
        <w:t xml:space="preserve"> often lack the resources to compete with the more resource-rich interest </w:t>
      </w:r>
      <w:r w:rsidR="00943814" w:rsidRPr="00F56901">
        <w:rPr>
          <w:rFonts w:ascii="Times New Roman" w:hAnsi="Times New Roman" w:cs="Times New Roman"/>
        </w:rPr>
        <w:t>organizations</w:t>
      </w:r>
      <w:r w:rsidRPr="00F56901">
        <w:rPr>
          <w:rFonts w:ascii="Times New Roman" w:hAnsi="Times New Roman" w:cs="Times New Roman"/>
        </w:rPr>
        <w:t xml:space="preserve"> when trying to influence regulation, they should be eager to develop institutions (such as open consultations with low thresholds of participation) that could eventually create a more level-playing field in participation and interest representation. However, we note that this rationale does not apply to professional associations (trade unions) because</w:t>
      </w:r>
      <w:r w:rsidR="00650237">
        <w:rPr>
          <w:rFonts w:ascii="Times New Roman" w:hAnsi="Times New Roman" w:cs="Times New Roman"/>
        </w:rPr>
        <w:t xml:space="preserve"> usually</w:t>
      </w:r>
      <w:r w:rsidR="00650237" w:rsidRPr="00F56901">
        <w:rPr>
          <w:rFonts w:ascii="Times New Roman" w:hAnsi="Times New Roman" w:cs="Times New Roman"/>
        </w:rPr>
        <w:t xml:space="preserve"> </w:t>
      </w:r>
      <w:r w:rsidRPr="00F56901">
        <w:rPr>
          <w:rFonts w:ascii="Times New Roman" w:hAnsi="Times New Roman" w:cs="Times New Roman"/>
        </w:rPr>
        <w:t>they</w:t>
      </w:r>
      <w:r w:rsidR="00F90981">
        <w:rPr>
          <w:rFonts w:ascii="Times New Roman" w:hAnsi="Times New Roman" w:cs="Times New Roman"/>
        </w:rPr>
        <w:t xml:space="preserve"> hold a privileged position of ‘social partners’</w:t>
      </w:r>
      <w:r w:rsidRPr="00F56901">
        <w:rPr>
          <w:rFonts w:ascii="Times New Roman" w:hAnsi="Times New Roman" w:cs="Times New Roman"/>
        </w:rPr>
        <w:t xml:space="preserve"> </w:t>
      </w:r>
      <w:r w:rsidR="00650237">
        <w:rPr>
          <w:rFonts w:ascii="Times New Roman" w:hAnsi="Times New Roman" w:cs="Times New Roman"/>
        </w:rPr>
        <w:t>(e.g. the</w:t>
      </w:r>
      <w:r w:rsidRPr="00F56901">
        <w:rPr>
          <w:rFonts w:ascii="Times New Roman" w:hAnsi="Times New Roman" w:cs="Times New Roman"/>
        </w:rPr>
        <w:t xml:space="preserve"> EU Social Dialogue between institutions and representatives of employers</w:t>
      </w:r>
      <w:r w:rsidR="00650237">
        <w:rPr>
          <w:rFonts w:ascii="Times New Roman" w:hAnsi="Times New Roman" w:cs="Times New Roman"/>
        </w:rPr>
        <w:t xml:space="preserve">, </w:t>
      </w:r>
      <w:r w:rsidRPr="00F56901">
        <w:rPr>
          <w:rFonts w:ascii="Times New Roman" w:hAnsi="Times New Roman" w:cs="Times New Roman"/>
        </w:rPr>
        <w:t>Articles 153-155 of the Treaties of the EU</w:t>
      </w:r>
      <w:r w:rsidR="00650237">
        <w:rPr>
          <w:rFonts w:ascii="Times New Roman" w:hAnsi="Times New Roman" w:cs="Times New Roman"/>
        </w:rPr>
        <w:t>)</w:t>
      </w:r>
      <w:r w:rsidRPr="00F56901">
        <w:rPr>
          <w:rFonts w:ascii="Times New Roman" w:hAnsi="Times New Roman" w:cs="Times New Roman"/>
        </w:rPr>
        <w:t xml:space="preserve">. Thus, we conceptually and empirically distinguish between </w:t>
      </w:r>
      <w:r w:rsidR="007E0FE0">
        <w:rPr>
          <w:rFonts w:ascii="Times New Roman" w:hAnsi="Times New Roman" w:cs="Times New Roman"/>
        </w:rPr>
        <w:t xml:space="preserve">(1) </w:t>
      </w:r>
      <w:r w:rsidRPr="00650237">
        <w:rPr>
          <w:rFonts w:ascii="Times New Roman" w:hAnsi="Times New Roman" w:cs="Times New Roman"/>
          <w:i/>
        </w:rPr>
        <w:t>public interest organ</w:t>
      </w:r>
      <w:r w:rsidR="00F90981" w:rsidRPr="00650237">
        <w:rPr>
          <w:rFonts w:ascii="Times New Roman" w:hAnsi="Times New Roman" w:cs="Times New Roman"/>
          <w:i/>
        </w:rPr>
        <w:t>izations representing consumers’</w:t>
      </w:r>
      <w:r w:rsidRPr="00650237">
        <w:rPr>
          <w:rFonts w:ascii="Times New Roman" w:hAnsi="Times New Roman" w:cs="Times New Roman"/>
          <w:i/>
        </w:rPr>
        <w:t xml:space="preserve"> interest</w:t>
      </w:r>
      <w:r w:rsidR="00F90981" w:rsidRPr="00650237">
        <w:rPr>
          <w:rFonts w:ascii="Times New Roman" w:hAnsi="Times New Roman" w:cs="Times New Roman"/>
          <w:i/>
        </w:rPr>
        <w:t>s</w:t>
      </w:r>
      <w:r w:rsidRPr="00650237">
        <w:rPr>
          <w:rFonts w:ascii="Times New Roman" w:hAnsi="Times New Roman" w:cs="Times New Roman"/>
          <w:i/>
        </w:rPr>
        <w:t xml:space="preserve"> and</w:t>
      </w:r>
      <w:r w:rsidR="00FE7B98">
        <w:rPr>
          <w:rFonts w:ascii="Times New Roman" w:hAnsi="Times New Roman" w:cs="Times New Roman"/>
          <w:i/>
        </w:rPr>
        <w:t xml:space="preserve"> </w:t>
      </w:r>
      <w:r w:rsidRPr="00650237">
        <w:rPr>
          <w:rFonts w:ascii="Times New Roman" w:hAnsi="Times New Roman" w:cs="Times New Roman"/>
          <w:i/>
        </w:rPr>
        <w:t>environmental NGOs</w:t>
      </w:r>
      <w:r w:rsidRPr="00F56901">
        <w:rPr>
          <w:rFonts w:ascii="Times New Roman" w:hAnsi="Times New Roman" w:cs="Times New Roman"/>
        </w:rPr>
        <w:t xml:space="preserve"> and </w:t>
      </w:r>
      <w:r w:rsidR="007E0FE0">
        <w:rPr>
          <w:rFonts w:ascii="Times New Roman" w:hAnsi="Times New Roman" w:cs="Times New Roman"/>
        </w:rPr>
        <w:t xml:space="preserve">(2) </w:t>
      </w:r>
      <w:r w:rsidRPr="00650237">
        <w:rPr>
          <w:rFonts w:ascii="Times New Roman" w:hAnsi="Times New Roman" w:cs="Times New Roman"/>
          <w:i/>
        </w:rPr>
        <w:t>professional associations</w:t>
      </w:r>
      <w:r w:rsidR="00FE7B98">
        <w:rPr>
          <w:rFonts w:ascii="Times New Roman" w:hAnsi="Times New Roman" w:cs="Times New Roman"/>
          <w:i/>
        </w:rPr>
        <w:t>,</w:t>
      </w:r>
      <w:r w:rsidRPr="00F56901">
        <w:rPr>
          <w:rFonts w:ascii="Times New Roman" w:hAnsi="Times New Roman" w:cs="Times New Roman"/>
        </w:rPr>
        <w:t xml:space="preserve"> and argue that only the former will promote the equal participation of all stakeholders in the regulatory decision-making through broader consultations and increased transparency:</w:t>
      </w:r>
    </w:p>
    <w:p w14:paraId="06B044A0" w14:textId="4CAE7BFA" w:rsidR="0089500A" w:rsidRPr="0089500A" w:rsidRDefault="00F90981" w:rsidP="00B91C93">
      <w:pPr>
        <w:jc w:val="both"/>
        <w:rPr>
          <w:rFonts w:ascii="Times New Roman" w:hAnsi="Times New Roman" w:cs="Times New Roman"/>
          <w:i/>
        </w:rPr>
      </w:pPr>
      <w:r>
        <w:rPr>
          <w:rFonts w:ascii="Times New Roman" w:hAnsi="Times New Roman" w:cs="Times New Roman"/>
        </w:rPr>
        <w:t>H4:</w:t>
      </w:r>
      <w:r w:rsidR="0092007E" w:rsidRPr="00F56901">
        <w:rPr>
          <w:rFonts w:ascii="Times New Roman" w:hAnsi="Times New Roman" w:cs="Times New Roman"/>
        </w:rPr>
        <w:t xml:space="preserve"> </w:t>
      </w:r>
      <w:r w:rsidR="0092007E" w:rsidRPr="00D54261">
        <w:rPr>
          <w:rFonts w:ascii="Times New Roman" w:hAnsi="Times New Roman" w:cs="Times New Roman"/>
          <w:i/>
        </w:rPr>
        <w:t xml:space="preserve">Public interest </w:t>
      </w:r>
      <w:r w:rsidR="00943814" w:rsidRPr="00D54261">
        <w:rPr>
          <w:rFonts w:ascii="Times New Roman" w:hAnsi="Times New Roman" w:cs="Times New Roman"/>
          <w:i/>
        </w:rPr>
        <w:t>organizations</w:t>
      </w:r>
      <w:r w:rsidRPr="00D54261">
        <w:rPr>
          <w:rFonts w:ascii="Times New Roman" w:hAnsi="Times New Roman" w:cs="Times New Roman"/>
          <w:i/>
        </w:rPr>
        <w:t xml:space="preserve"> are more likely to demand a participatory</w:t>
      </w:r>
      <w:r w:rsidR="0092007E" w:rsidRPr="00D54261">
        <w:rPr>
          <w:rFonts w:ascii="Times New Roman" w:hAnsi="Times New Roman" w:cs="Times New Roman"/>
          <w:i/>
        </w:rPr>
        <w:t xml:space="preserve"> type of Better Regulation reforms.</w:t>
      </w:r>
    </w:p>
    <w:p w14:paraId="415B11E9" w14:textId="77777777" w:rsidR="00D36978" w:rsidRPr="00F56901" w:rsidRDefault="00D36978" w:rsidP="00495265">
      <w:pPr>
        <w:spacing w:line="360" w:lineRule="auto"/>
        <w:jc w:val="both"/>
        <w:rPr>
          <w:rFonts w:ascii="Times New Roman" w:hAnsi="Times New Roman" w:cs="Times New Roman"/>
        </w:rPr>
      </w:pPr>
    </w:p>
    <w:p w14:paraId="3FCA202E" w14:textId="6487D5EC" w:rsidR="0089500A" w:rsidRDefault="0092007E" w:rsidP="00495265">
      <w:pPr>
        <w:spacing w:line="360" w:lineRule="auto"/>
        <w:ind w:firstLine="720"/>
        <w:jc w:val="both"/>
        <w:rPr>
          <w:rFonts w:ascii="Times New Roman" w:hAnsi="Times New Roman" w:cs="Times New Roman"/>
        </w:rPr>
      </w:pPr>
      <w:r w:rsidRPr="00F56901">
        <w:rPr>
          <w:rFonts w:ascii="Times New Roman" w:hAnsi="Times New Roman" w:cs="Times New Roman"/>
        </w:rPr>
        <w:t>In a nutshell, we expect that the debate over Better Regulation reform</w:t>
      </w:r>
      <w:r w:rsidR="00F90981">
        <w:rPr>
          <w:rFonts w:ascii="Times New Roman" w:hAnsi="Times New Roman" w:cs="Times New Roman"/>
        </w:rPr>
        <w:t>s is structured around four clusters</w:t>
      </w:r>
      <w:r w:rsidR="00B91C93">
        <w:rPr>
          <w:rFonts w:ascii="Times New Roman" w:hAnsi="Times New Roman" w:cs="Times New Roman"/>
        </w:rPr>
        <w:t xml:space="preserve"> of stakeholders. The </w:t>
      </w:r>
      <w:r w:rsidR="00B91C93" w:rsidRPr="00B91C93">
        <w:rPr>
          <w:rFonts w:ascii="Times New Roman" w:hAnsi="Times New Roman" w:cs="Times New Roman"/>
          <w:i/>
        </w:rPr>
        <w:t>deregulatory</w:t>
      </w:r>
      <w:r w:rsidRPr="00B91C93">
        <w:rPr>
          <w:rFonts w:ascii="Times New Roman" w:hAnsi="Times New Roman" w:cs="Times New Roman"/>
          <w:i/>
        </w:rPr>
        <w:t xml:space="preserve"> cluster</w:t>
      </w:r>
      <w:r w:rsidRPr="00F56901">
        <w:rPr>
          <w:rFonts w:ascii="Times New Roman" w:hAnsi="Times New Roman" w:cs="Times New Roman"/>
        </w:rPr>
        <w:t xml:space="preserve"> include</w:t>
      </w:r>
      <w:r w:rsidR="00E3471C">
        <w:rPr>
          <w:rFonts w:ascii="Times New Roman" w:hAnsi="Times New Roman" w:cs="Times New Roman"/>
        </w:rPr>
        <w:t>s</w:t>
      </w:r>
      <w:r w:rsidRPr="00F56901">
        <w:rPr>
          <w:rFonts w:ascii="Times New Roman" w:hAnsi="Times New Roman" w:cs="Times New Roman"/>
        </w:rPr>
        <w:t xml:space="preserve"> public authorities responsible for the coordination/oversight of Better Regulation measures when the government has a pro-deregulatory inclination and c</w:t>
      </w:r>
      <w:r w:rsidR="0089500A">
        <w:rPr>
          <w:rFonts w:ascii="Times New Roman" w:hAnsi="Times New Roman" w:cs="Times New Roman"/>
        </w:rPr>
        <w:t xml:space="preserve">ross-sectoral business. The </w:t>
      </w:r>
      <w:r w:rsidR="0089500A" w:rsidRPr="0089500A">
        <w:rPr>
          <w:rFonts w:ascii="Times New Roman" w:hAnsi="Times New Roman" w:cs="Times New Roman"/>
          <w:i/>
        </w:rPr>
        <w:t>technocratic</w:t>
      </w:r>
      <w:r w:rsidRPr="0089500A">
        <w:rPr>
          <w:rFonts w:ascii="Times New Roman" w:hAnsi="Times New Roman" w:cs="Times New Roman"/>
          <w:i/>
        </w:rPr>
        <w:t xml:space="preserve"> cluster</w:t>
      </w:r>
      <w:r w:rsidRPr="00F56901">
        <w:rPr>
          <w:rFonts w:ascii="Times New Roman" w:hAnsi="Times New Roman" w:cs="Times New Roman"/>
        </w:rPr>
        <w:t xml:space="preserve"> consists of public authorities that coordinate/oversee Better Regulation agenda at national level whose government is </w:t>
      </w:r>
      <w:r w:rsidR="00943814" w:rsidRPr="00F56901">
        <w:rPr>
          <w:rFonts w:ascii="Times New Roman" w:hAnsi="Times New Roman" w:cs="Times New Roman"/>
        </w:rPr>
        <w:t>led</w:t>
      </w:r>
      <w:r w:rsidRPr="00F56901">
        <w:rPr>
          <w:rFonts w:ascii="Times New Roman" w:hAnsi="Times New Roman" w:cs="Times New Roman"/>
        </w:rPr>
        <w:t xml:space="preserve"> by parties</w:t>
      </w:r>
      <w:r w:rsidR="00F90981">
        <w:rPr>
          <w:rFonts w:ascii="Times New Roman" w:hAnsi="Times New Roman" w:cs="Times New Roman"/>
        </w:rPr>
        <w:t xml:space="preserve"> </w:t>
      </w:r>
      <w:r w:rsidR="00E3471C">
        <w:rPr>
          <w:rFonts w:ascii="Times New Roman" w:hAnsi="Times New Roman" w:cs="Times New Roman"/>
        </w:rPr>
        <w:t>opposing</w:t>
      </w:r>
      <w:r w:rsidR="0089500A">
        <w:rPr>
          <w:rFonts w:ascii="Times New Roman" w:hAnsi="Times New Roman" w:cs="Times New Roman"/>
        </w:rPr>
        <w:t xml:space="preserve"> deregulation. The </w:t>
      </w:r>
      <w:r w:rsidR="0089500A" w:rsidRPr="0089500A">
        <w:rPr>
          <w:rFonts w:ascii="Times New Roman" w:hAnsi="Times New Roman" w:cs="Times New Roman"/>
          <w:i/>
        </w:rPr>
        <w:t>participatory</w:t>
      </w:r>
      <w:r w:rsidRPr="0089500A">
        <w:rPr>
          <w:rFonts w:ascii="Times New Roman" w:hAnsi="Times New Roman" w:cs="Times New Roman"/>
          <w:i/>
        </w:rPr>
        <w:t xml:space="preserve"> cluster</w:t>
      </w:r>
      <w:r w:rsidRPr="00F56901">
        <w:rPr>
          <w:rFonts w:ascii="Times New Roman" w:hAnsi="Times New Roman" w:cs="Times New Roman"/>
        </w:rPr>
        <w:t xml:space="preserve"> includes public interest </w:t>
      </w:r>
      <w:r w:rsidR="00943814" w:rsidRPr="00F56901">
        <w:rPr>
          <w:rFonts w:ascii="Times New Roman" w:hAnsi="Times New Roman" w:cs="Times New Roman"/>
        </w:rPr>
        <w:t>organizations</w:t>
      </w:r>
      <w:r w:rsidRPr="00F56901">
        <w:rPr>
          <w:rFonts w:ascii="Times New Roman" w:hAnsi="Times New Roman" w:cs="Times New Roman"/>
        </w:rPr>
        <w:t xml:space="preserve">. </w:t>
      </w:r>
      <w:r w:rsidR="0089500A" w:rsidRPr="00F91488">
        <w:rPr>
          <w:rFonts w:ascii="Times New Roman" w:hAnsi="Times New Roman" w:cs="Times New Roman"/>
        </w:rPr>
        <w:t xml:space="preserve">A </w:t>
      </w:r>
      <w:r w:rsidR="0089500A" w:rsidRPr="00F91488">
        <w:rPr>
          <w:rFonts w:ascii="Times New Roman" w:hAnsi="Times New Roman" w:cs="Times New Roman"/>
          <w:i/>
        </w:rPr>
        <w:t>fourth cluster</w:t>
      </w:r>
      <w:r w:rsidR="0089500A" w:rsidRPr="00F91488">
        <w:rPr>
          <w:rFonts w:ascii="Times New Roman" w:hAnsi="Times New Roman" w:cs="Times New Roman"/>
        </w:rPr>
        <w:t xml:space="preserve"> includes stakeholders that are likely </w:t>
      </w:r>
      <w:r w:rsidR="0089500A" w:rsidRPr="007E0FE0">
        <w:rPr>
          <w:rFonts w:ascii="Times New Roman" w:hAnsi="Times New Roman" w:cs="Times New Roman"/>
          <w:i/>
        </w:rPr>
        <w:t>to oppose</w:t>
      </w:r>
      <w:r w:rsidR="0089500A" w:rsidRPr="00F91488">
        <w:rPr>
          <w:rFonts w:ascii="Times New Roman" w:hAnsi="Times New Roman" w:cs="Times New Roman"/>
        </w:rPr>
        <w:t xml:space="preserve"> </w:t>
      </w:r>
      <w:r w:rsidR="0089500A" w:rsidRPr="007E0FE0">
        <w:rPr>
          <w:rFonts w:ascii="Times New Roman" w:hAnsi="Times New Roman" w:cs="Times New Roman"/>
          <w:i/>
        </w:rPr>
        <w:t>any type of Better Regulation reforms</w:t>
      </w:r>
      <w:r w:rsidR="0089500A" w:rsidRPr="00F91488">
        <w:rPr>
          <w:rFonts w:ascii="Times New Roman" w:hAnsi="Times New Roman" w:cs="Times New Roman"/>
        </w:rPr>
        <w:t xml:space="preserve"> for </w:t>
      </w:r>
      <w:r w:rsidR="00497BFB" w:rsidRPr="00F91488">
        <w:rPr>
          <w:rFonts w:ascii="Times New Roman" w:hAnsi="Times New Roman" w:cs="Times New Roman"/>
        </w:rPr>
        <w:t>different</w:t>
      </w:r>
      <w:r w:rsidR="0089500A" w:rsidRPr="00F91488">
        <w:rPr>
          <w:rFonts w:ascii="Times New Roman" w:hAnsi="Times New Roman" w:cs="Times New Roman"/>
        </w:rPr>
        <w:t xml:space="preserve"> reasons: </w:t>
      </w:r>
      <w:r w:rsidR="0089500A" w:rsidRPr="00821610">
        <w:rPr>
          <w:rFonts w:ascii="Times New Roman" w:hAnsi="Times New Roman" w:cs="Times New Roman"/>
        </w:rPr>
        <w:t xml:space="preserve">public authorities that implement Better Regulation measures are reluctant because this reform constrains their administrative behavior and autonomy; sectoral business associations because Better Regulation measures might </w:t>
      </w:r>
      <w:r w:rsidR="00497BFB" w:rsidRPr="00821610">
        <w:rPr>
          <w:rFonts w:ascii="Times New Roman" w:hAnsi="Times New Roman" w:cs="Times New Roman"/>
        </w:rPr>
        <w:t xml:space="preserve">introduce procedures that could </w:t>
      </w:r>
      <w:r w:rsidR="0089500A" w:rsidRPr="00821610">
        <w:rPr>
          <w:rFonts w:ascii="Times New Roman" w:hAnsi="Times New Roman" w:cs="Times New Roman"/>
        </w:rPr>
        <w:t xml:space="preserve">reduce their ability to </w:t>
      </w:r>
      <w:r w:rsidR="00497BFB" w:rsidRPr="00821610">
        <w:rPr>
          <w:rFonts w:ascii="Times New Roman" w:hAnsi="Times New Roman" w:cs="Times New Roman"/>
        </w:rPr>
        <w:t>successfully capture and influence regulatory decision-making</w:t>
      </w:r>
      <w:r w:rsidR="00281FE9">
        <w:rPr>
          <w:rFonts w:ascii="Times New Roman" w:hAnsi="Times New Roman" w:cs="Times New Roman"/>
        </w:rPr>
        <w:t xml:space="preserve"> </w:t>
      </w:r>
      <w:r w:rsidR="008543E0">
        <w:rPr>
          <w:rFonts w:ascii="Times New Roman" w:hAnsi="Times New Roman" w:cs="Times New Roman"/>
        </w:rPr>
        <w:t>(Radaelli and de Francesco 2007,</w:t>
      </w:r>
      <w:r w:rsidR="00281FE9" w:rsidRPr="006E283F">
        <w:rPr>
          <w:rFonts w:ascii="Times New Roman" w:hAnsi="Times New Roman" w:cs="Times New Roman"/>
        </w:rPr>
        <w:t xml:space="preserve"> </w:t>
      </w:r>
      <w:r w:rsidR="008543E0">
        <w:rPr>
          <w:rFonts w:ascii="Times New Roman" w:hAnsi="Times New Roman" w:cs="Times New Roman"/>
        </w:rPr>
        <w:t xml:space="preserve">p. </w:t>
      </w:r>
      <w:r w:rsidR="00281FE9" w:rsidRPr="006E283F">
        <w:rPr>
          <w:rFonts w:ascii="Times New Roman" w:hAnsi="Times New Roman" w:cs="Times New Roman"/>
        </w:rPr>
        <w:t>45)</w:t>
      </w:r>
      <w:r w:rsidR="00497BFB" w:rsidRPr="006E283F">
        <w:rPr>
          <w:rFonts w:ascii="Times New Roman" w:hAnsi="Times New Roman" w:cs="Times New Roman"/>
        </w:rPr>
        <w:t>; professional associations because deregulation might reduce the overall societal welfare of their members</w:t>
      </w:r>
      <w:r w:rsidR="00525070">
        <w:rPr>
          <w:rFonts w:ascii="Times New Roman" w:hAnsi="Times New Roman" w:cs="Times New Roman"/>
        </w:rPr>
        <w:t>,</w:t>
      </w:r>
      <w:r w:rsidR="00497BFB" w:rsidRPr="006E283F">
        <w:rPr>
          <w:rFonts w:ascii="Times New Roman" w:hAnsi="Times New Roman" w:cs="Times New Roman"/>
        </w:rPr>
        <w:t xml:space="preserve"> while both technocratic and participatory policymaking might threaten their special status of ‘social partners’</w:t>
      </w:r>
      <w:r w:rsidR="00DC6A96" w:rsidRPr="006E283F">
        <w:rPr>
          <w:rFonts w:ascii="Times New Roman" w:hAnsi="Times New Roman" w:cs="Times New Roman"/>
        </w:rPr>
        <w:t xml:space="preserve"> </w:t>
      </w:r>
      <w:r w:rsidR="00DC6A96" w:rsidRPr="006E283F">
        <w:rPr>
          <w:rFonts w:ascii="Times New Roman" w:hAnsi="Times New Roman" w:cs="Times New Roman"/>
        </w:rPr>
        <w:lastRenderedPageBreak/>
        <w:t>(Smismans 2014)</w:t>
      </w:r>
      <w:r w:rsidR="00497BFB" w:rsidRPr="006E283F">
        <w:rPr>
          <w:rFonts w:ascii="Times New Roman" w:hAnsi="Times New Roman" w:cs="Times New Roman"/>
        </w:rPr>
        <w:t>.</w:t>
      </w:r>
      <w:r w:rsidR="00497BFB" w:rsidRPr="00821610">
        <w:rPr>
          <w:rFonts w:ascii="Times New Roman" w:hAnsi="Times New Roman" w:cs="Times New Roman"/>
        </w:rPr>
        <w:t xml:space="preserve"> </w:t>
      </w:r>
      <w:r w:rsidR="007E54E7" w:rsidRPr="00821610">
        <w:rPr>
          <w:rFonts w:ascii="Times New Roman" w:hAnsi="Times New Roman" w:cs="Times New Roman"/>
        </w:rPr>
        <w:t>Empirically</w:t>
      </w:r>
      <w:r w:rsidR="00411722" w:rsidRPr="00821610">
        <w:rPr>
          <w:rFonts w:ascii="Times New Roman" w:hAnsi="Times New Roman" w:cs="Times New Roman"/>
        </w:rPr>
        <w:t>,</w:t>
      </w:r>
      <w:r w:rsidR="007E54E7" w:rsidRPr="00821610">
        <w:rPr>
          <w:rFonts w:ascii="Times New Roman" w:hAnsi="Times New Roman" w:cs="Times New Roman"/>
        </w:rPr>
        <w:t xml:space="preserve"> we expect to observe that stakeholders that are part of this </w:t>
      </w:r>
      <w:r w:rsidR="00411722" w:rsidRPr="00821610">
        <w:rPr>
          <w:rFonts w:ascii="Times New Roman" w:hAnsi="Times New Roman" w:cs="Times New Roman"/>
          <w:i/>
        </w:rPr>
        <w:t xml:space="preserve">opposition </w:t>
      </w:r>
      <w:r w:rsidR="007E54E7" w:rsidRPr="00821610">
        <w:rPr>
          <w:rFonts w:ascii="Times New Roman" w:hAnsi="Times New Roman" w:cs="Times New Roman"/>
          <w:i/>
        </w:rPr>
        <w:t>cluster</w:t>
      </w:r>
      <w:r w:rsidR="007E54E7" w:rsidRPr="00821610">
        <w:rPr>
          <w:rFonts w:ascii="Times New Roman" w:hAnsi="Times New Roman" w:cs="Times New Roman"/>
        </w:rPr>
        <w:t xml:space="preserve"> make significantly less demands than</w:t>
      </w:r>
      <w:r w:rsidR="00411722" w:rsidRPr="00821610">
        <w:rPr>
          <w:rFonts w:ascii="Times New Roman" w:hAnsi="Times New Roman" w:cs="Times New Roman"/>
        </w:rPr>
        <w:t xml:space="preserve"> all other stakeholders in relation to each of the three types of Better Regulation reform identified.</w:t>
      </w:r>
      <w:r w:rsidR="00411722">
        <w:rPr>
          <w:rFonts w:ascii="Times New Roman" w:hAnsi="Times New Roman" w:cs="Times New Roman"/>
        </w:rPr>
        <w:t xml:space="preserve"> </w:t>
      </w:r>
    </w:p>
    <w:p w14:paraId="6F8CC714" w14:textId="77777777" w:rsidR="00CD6BC5" w:rsidRPr="00F56901" w:rsidRDefault="00CD6BC5" w:rsidP="00497BFB">
      <w:pPr>
        <w:spacing w:line="360" w:lineRule="auto"/>
        <w:jc w:val="both"/>
        <w:rPr>
          <w:rFonts w:ascii="Times New Roman" w:hAnsi="Times New Roman" w:cs="Times New Roman"/>
        </w:rPr>
      </w:pPr>
    </w:p>
    <w:p w14:paraId="013EB2C4" w14:textId="0C9DBA99" w:rsidR="0092007E" w:rsidRPr="00F90981" w:rsidRDefault="0092007E" w:rsidP="00495265">
      <w:pPr>
        <w:spacing w:line="360" w:lineRule="auto"/>
        <w:jc w:val="both"/>
        <w:rPr>
          <w:rFonts w:ascii="Times New Roman" w:hAnsi="Times New Roman" w:cs="Times New Roman"/>
          <w:b/>
        </w:rPr>
      </w:pPr>
      <w:r w:rsidRPr="00F90981">
        <w:rPr>
          <w:rFonts w:ascii="Times New Roman" w:hAnsi="Times New Roman" w:cs="Times New Roman"/>
          <w:b/>
        </w:rPr>
        <w:t>Research d</w:t>
      </w:r>
      <w:r w:rsidR="00F90981" w:rsidRPr="00F90981">
        <w:rPr>
          <w:rFonts w:ascii="Times New Roman" w:hAnsi="Times New Roman" w:cs="Times New Roman"/>
          <w:b/>
        </w:rPr>
        <w:t>esign</w:t>
      </w:r>
    </w:p>
    <w:p w14:paraId="4743ED77" w14:textId="4BE684BC" w:rsidR="0092007E" w:rsidRPr="00F90981" w:rsidRDefault="00F90981" w:rsidP="00495265">
      <w:pPr>
        <w:spacing w:line="360" w:lineRule="auto"/>
        <w:jc w:val="both"/>
        <w:rPr>
          <w:rFonts w:ascii="Times New Roman" w:hAnsi="Times New Roman" w:cs="Times New Roman"/>
          <w:i/>
        </w:rPr>
      </w:pPr>
      <w:r w:rsidRPr="00F90981">
        <w:rPr>
          <w:rFonts w:ascii="Times New Roman" w:hAnsi="Times New Roman" w:cs="Times New Roman"/>
          <w:i/>
        </w:rPr>
        <w:t>Case selection</w:t>
      </w:r>
    </w:p>
    <w:p w14:paraId="70A56A66" w14:textId="62439336" w:rsidR="0092007E" w:rsidRPr="00F56901" w:rsidRDefault="0092007E" w:rsidP="00495265">
      <w:pPr>
        <w:spacing w:line="360" w:lineRule="auto"/>
        <w:ind w:firstLine="720"/>
        <w:jc w:val="both"/>
        <w:rPr>
          <w:rFonts w:ascii="Times New Roman" w:hAnsi="Times New Roman" w:cs="Times New Roman"/>
        </w:rPr>
      </w:pPr>
      <w:r w:rsidRPr="00F56901">
        <w:rPr>
          <w:rFonts w:ascii="Times New Roman" w:hAnsi="Times New Roman" w:cs="Times New Roman"/>
        </w:rPr>
        <w:t>The European Union system of governance represents an interesting and suitable testing ground for examining empiricall</w:t>
      </w:r>
      <w:r w:rsidR="00497BFB">
        <w:rPr>
          <w:rFonts w:ascii="Times New Roman" w:hAnsi="Times New Roman" w:cs="Times New Roman"/>
        </w:rPr>
        <w:t>y</w:t>
      </w:r>
      <w:r w:rsidRPr="00F56901">
        <w:rPr>
          <w:rFonts w:ascii="Times New Roman" w:hAnsi="Times New Roman" w:cs="Times New Roman"/>
        </w:rPr>
        <w:t xml:space="preserve"> Better Regulation reforms for several reasons. First, the EU has witnessed in the last fifteen years the development</w:t>
      </w:r>
      <w:r w:rsidR="00F90981">
        <w:rPr>
          <w:rFonts w:ascii="Times New Roman" w:hAnsi="Times New Roman" w:cs="Times New Roman"/>
        </w:rPr>
        <w:t xml:space="preserve"> of the most elaborate and well-</w:t>
      </w:r>
      <w:r w:rsidRPr="00F56901">
        <w:rPr>
          <w:rFonts w:ascii="Times New Roman" w:hAnsi="Times New Roman" w:cs="Times New Roman"/>
        </w:rPr>
        <w:t>established set of Better Regulation measur</w:t>
      </w:r>
      <w:r w:rsidR="00F90981">
        <w:rPr>
          <w:rFonts w:ascii="Times New Roman" w:hAnsi="Times New Roman" w:cs="Times New Roman"/>
        </w:rPr>
        <w:t>es. In many ways, the EU has a ‘state of the art’</w:t>
      </w:r>
      <w:r w:rsidRPr="00F56901">
        <w:rPr>
          <w:rFonts w:ascii="Times New Roman" w:hAnsi="Times New Roman" w:cs="Times New Roman"/>
        </w:rPr>
        <w:t xml:space="preserve"> Better Regulation policy </w:t>
      </w:r>
      <w:r w:rsidR="00F90981">
        <w:rPr>
          <w:rFonts w:ascii="Times New Roman" w:hAnsi="Times New Roman" w:cs="Times New Roman"/>
        </w:rPr>
        <w:t>(</w:t>
      </w:r>
      <w:r w:rsidRPr="00F56901">
        <w:rPr>
          <w:rFonts w:ascii="Times New Roman" w:hAnsi="Times New Roman" w:cs="Times New Roman"/>
        </w:rPr>
        <w:t>Radaelli</w:t>
      </w:r>
      <w:r w:rsidR="00F90981">
        <w:rPr>
          <w:rFonts w:ascii="Times New Roman" w:hAnsi="Times New Roman" w:cs="Times New Roman"/>
        </w:rPr>
        <w:t xml:space="preserve"> 2010). Its strong ‘regulatory state’</w:t>
      </w:r>
      <w:r w:rsidRPr="00F56901">
        <w:rPr>
          <w:rFonts w:ascii="Times New Roman" w:hAnsi="Times New Roman" w:cs="Times New Roman"/>
        </w:rPr>
        <w:t xml:space="preserve"> characteristics place Better Regulation at the very heart of its regulatory functioning, making it fundamental for its policymaking processes.  Second, the EU has recently adopted one of the most ambitious B</w:t>
      </w:r>
      <w:r w:rsidR="00D54261">
        <w:rPr>
          <w:rFonts w:ascii="Times New Roman" w:hAnsi="Times New Roman" w:cs="Times New Roman"/>
        </w:rPr>
        <w:t xml:space="preserve">etter Regulation reforms </w:t>
      </w:r>
      <w:r w:rsidR="008543E0">
        <w:rPr>
          <w:rFonts w:ascii="Times New Roman" w:hAnsi="Times New Roman" w:cs="Times New Roman"/>
        </w:rPr>
        <w:t>(the Better Regulation package</w:t>
      </w:r>
      <w:r w:rsidRPr="00F56901">
        <w:rPr>
          <w:rFonts w:ascii="Times New Roman" w:hAnsi="Times New Roman" w:cs="Times New Roman"/>
        </w:rPr>
        <w:t xml:space="preserve"> - </w:t>
      </w:r>
      <w:r w:rsidR="008543E0">
        <w:rPr>
          <w:rFonts w:ascii="Times New Roman" w:hAnsi="Times New Roman" w:cs="Times New Roman"/>
        </w:rPr>
        <w:t xml:space="preserve">May 2015) which resulted in an </w:t>
      </w:r>
      <w:r w:rsidRPr="00F56901">
        <w:rPr>
          <w:rFonts w:ascii="Times New Roman" w:hAnsi="Times New Roman" w:cs="Times New Roman"/>
        </w:rPr>
        <w:t>Inter-Institutional</w:t>
      </w:r>
      <w:r w:rsidR="008543E0">
        <w:rPr>
          <w:rFonts w:ascii="Times New Roman" w:hAnsi="Times New Roman" w:cs="Times New Roman"/>
        </w:rPr>
        <w:t xml:space="preserve"> Agreement on Better Law-making</w:t>
      </w:r>
      <w:r w:rsidRPr="00F56901">
        <w:rPr>
          <w:rFonts w:ascii="Times New Roman" w:hAnsi="Times New Roman" w:cs="Times New Roman"/>
        </w:rPr>
        <w:t xml:space="preserve"> signed by the Commission and the EP in April </w:t>
      </w:r>
      <w:r w:rsidR="00945549">
        <w:rPr>
          <w:rFonts w:ascii="Times New Roman" w:hAnsi="Times New Roman" w:cs="Times New Roman"/>
        </w:rPr>
        <w:t>2016</w:t>
      </w:r>
      <w:r w:rsidRPr="00F56901">
        <w:rPr>
          <w:rFonts w:ascii="Times New Roman" w:hAnsi="Times New Roman" w:cs="Times New Roman"/>
        </w:rPr>
        <w:t>. This indicates the high policy salience and political profile of Better Regulation in this setting, which translates</w:t>
      </w:r>
      <w:r w:rsidR="00F90981">
        <w:rPr>
          <w:rFonts w:ascii="Times New Roman" w:hAnsi="Times New Roman" w:cs="Times New Roman"/>
        </w:rPr>
        <w:t xml:space="preserve"> into a high likelihood of well</w:t>
      </w:r>
      <w:r w:rsidR="006C4155">
        <w:rPr>
          <w:rFonts w:ascii="Times New Roman" w:hAnsi="Times New Roman" w:cs="Times New Roman"/>
        </w:rPr>
        <w:t>-</w:t>
      </w:r>
      <w:r w:rsidR="00943814" w:rsidRPr="00F56901">
        <w:rPr>
          <w:rFonts w:ascii="Times New Roman" w:hAnsi="Times New Roman" w:cs="Times New Roman"/>
        </w:rPr>
        <w:t>crystallized</w:t>
      </w:r>
      <w:r w:rsidRPr="00F56901">
        <w:rPr>
          <w:rFonts w:ascii="Times New Roman" w:hAnsi="Times New Roman" w:cs="Times New Roman"/>
        </w:rPr>
        <w:t xml:space="preserve"> and articulated lines of contestation and policy conflict over it. Third, the EU operates a highly </w:t>
      </w:r>
      <w:r w:rsidR="00943814" w:rsidRPr="00F56901">
        <w:rPr>
          <w:rFonts w:ascii="Times New Roman" w:hAnsi="Times New Roman" w:cs="Times New Roman"/>
        </w:rPr>
        <w:t>institutionalized</w:t>
      </w:r>
      <w:r w:rsidRPr="00F56901">
        <w:rPr>
          <w:rFonts w:ascii="Times New Roman" w:hAnsi="Times New Roman" w:cs="Times New Roman"/>
        </w:rPr>
        <w:t xml:space="preserve"> regime of open </w:t>
      </w:r>
      <w:r w:rsidR="00D54261" w:rsidRPr="00F56901">
        <w:rPr>
          <w:rFonts w:ascii="Times New Roman" w:hAnsi="Times New Roman" w:cs="Times New Roman"/>
        </w:rPr>
        <w:t>consultations that</w:t>
      </w:r>
      <w:r w:rsidRPr="00F56901">
        <w:rPr>
          <w:rFonts w:ascii="Times New Roman" w:hAnsi="Times New Roman" w:cs="Times New Roman"/>
        </w:rPr>
        <w:t xml:space="preserve"> facilitates access to information that allows observing and mapping empirically </w:t>
      </w:r>
      <w:r w:rsidR="00907D17">
        <w:rPr>
          <w:rFonts w:ascii="Times New Roman" w:hAnsi="Times New Roman" w:cs="Times New Roman"/>
        </w:rPr>
        <w:t>stakeholders’ differen</w:t>
      </w:r>
      <w:r w:rsidR="00945549">
        <w:rPr>
          <w:rFonts w:ascii="Times New Roman" w:hAnsi="Times New Roman" w:cs="Times New Roman"/>
        </w:rPr>
        <w:t xml:space="preserve">t preferences </w:t>
      </w:r>
      <w:r w:rsidRPr="00F56901">
        <w:rPr>
          <w:rFonts w:ascii="Times New Roman" w:hAnsi="Times New Roman" w:cs="Times New Roman"/>
        </w:rPr>
        <w:t xml:space="preserve">over </w:t>
      </w:r>
      <w:r w:rsidR="00907D17">
        <w:rPr>
          <w:rFonts w:ascii="Times New Roman" w:hAnsi="Times New Roman" w:cs="Times New Roman"/>
        </w:rPr>
        <w:t xml:space="preserve">what should be the direction and policy goals of </w:t>
      </w:r>
      <w:r w:rsidRPr="00F56901">
        <w:rPr>
          <w:rFonts w:ascii="Times New Roman" w:hAnsi="Times New Roman" w:cs="Times New Roman"/>
        </w:rPr>
        <w:t xml:space="preserve">Better Regulation reforms. Lastly, it is reasonable to argue that although the EU Better Regulation measures target supranational regulatory and policymaking processes, these measures affect national policymaking and are driving similar developments in member states. This makes our analysis relevant for examining and understanding the dynamics of similar Better Regulation </w:t>
      </w:r>
      <w:r w:rsidR="006C4155">
        <w:rPr>
          <w:rFonts w:ascii="Times New Roman" w:hAnsi="Times New Roman" w:cs="Times New Roman"/>
        </w:rPr>
        <w:t>initiatives</w:t>
      </w:r>
      <w:r w:rsidR="006C4155" w:rsidRPr="00F56901">
        <w:rPr>
          <w:rFonts w:ascii="Times New Roman" w:hAnsi="Times New Roman" w:cs="Times New Roman"/>
        </w:rPr>
        <w:t xml:space="preserve"> </w:t>
      </w:r>
      <w:r w:rsidRPr="00F56901">
        <w:rPr>
          <w:rFonts w:ascii="Times New Roman" w:hAnsi="Times New Roman" w:cs="Times New Roman"/>
        </w:rPr>
        <w:t>at national level.</w:t>
      </w:r>
    </w:p>
    <w:p w14:paraId="4B5E96DD" w14:textId="749C80EC" w:rsidR="0092007E" w:rsidRPr="00F56901" w:rsidRDefault="00F90981" w:rsidP="00495265">
      <w:pPr>
        <w:spacing w:line="360" w:lineRule="auto"/>
        <w:ind w:firstLine="720"/>
        <w:jc w:val="both"/>
        <w:rPr>
          <w:rFonts w:ascii="Times New Roman" w:hAnsi="Times New Roman" w:cs="Times New Roman"/>
        </w:rPr>
      </w:pPr>
      <w:r>
        <w:rPr>
          <w:rFonts w:ascii="Times New Roman" w:hAnsi="Times New Roman" w:cs="Times New Roman"/>
        </w:rPr>
        <w:t>To identify stakeholders’</w:t>
      </w:r>
      <w:r w:rsidR="0092007E" w:rsidRPr="00F56901">
        <w:rPr>
          <w:rFonts w:ascii="Times New Roman" w:hAnsi="Times New Roman" w:cs="Times New Roman"/>
        </w:rPr>
        <w:t xml:space="preserve"> </w:t>
      </w:r>
      <w:r w:rsidR="005318DC">
        <w:rPr>
          <w:rFonts w:ascii="Times New Roman" w:hAnsi="Times New Roman" w:cs="Times New Roman"/>
        </w:rPr>
        <w:t>preferences</w:t>
      </w:r>
      <w:r w:rsidR="005318DC" w:rsidRPr="00F56901">
        <w:rPr>
          <w:rFonts w:ascii="Times New Roman" w:hAnsi="Times New Roman" w:cs="Times New Roman"/>
        </w:rPr>
        <w:t xml:space="preserve"> </w:t>
      </w:r>
      <w:r w:rsidR="0092007E" w:rsidRPr="00F56901">
        <w:rPr>
          <w:rFonts w:ascii="Times New Roman" w:hAnsi="Times New Roman" w:cs="Times New Roman"/>
        </w:rPr>
        <w:t>on the EU Better Reg</w:t>
      </w:r>
      <w:r>
        <w:rPr>
          <w:rFonts w:ascii="Times New Roman" w:hAnsi="Times New Roman" w:cs="Times New Roman"/>
        </w:rPr>
        <w:t>ulation, we examine</w:t>
      </w:r>
      <w:r w:rsidR="00907D17">
        <w:rPr>
          <w:rFonts w:ascii="Times New Roman" w:hAnsi="Times New Roman" w:cs="Times New Roman"/>
        </w:rPr>
        <w:t>d</w:t>
      </w:r>
      <w:r>
        <w:rPr>
          <w:rFonts w:ascii="Times New Roman" w:hAnsi="Times New Roman" w:cs="Times New Roman"/>
        </w:rPr>
        <w:t xml:space="preserve"> the ‘</w:t>
      </w:r>
      <w:r w:rsidR="0092007E" w:rsidRPr="00F56901">
        <w:rPr>
          <w:rFonts w:ascii="Times New Roman" w:hAnsi="Times New Roman" w:cs="Times New Roman"/>
        </w:rPr>
        <w:t>Stakeholder consultatio</w:t>
      </w:r>
      <w:r>
        <w:rPr>
          <w:rFonts w:ascii="Times New Roman" w:hAnsi="Times New Roman" w:cs="Times New Roman"/>
        </w:rPr>
        <w:t>n on Smart Regulation in the EU’</w:t>
      </w:r>
      <w:r w:rsidR="0092007E" w:rsidRPr="00F56901">
        <w:rPr>
          <w:rFonts w:ascii="Times New Roman" w:hAnsi="Times New Roman" w:cs="Times New Roman"/>
        </w:rPr>
        <w:t xml:space="preserve"> </w:t>
      </w:r>
      <w:r w:rsidR="00943814" w:rsidRPr="00F56901">
        <w:rPr>
          <w:rFonts w:ascii="Times New Roman" w:hAnsi="Times New Roman" w:cs="Times New Roman"/>
        </w:rPr>
        <w:t>organized</w:t>
      </w:r>
      <w:r w:rsidR="0092007E" w:rsidRPr="00F56901">
        <w:rPr>
          <w:rFonts w:ascii="Times New Roman" w:hAnsi="Times New Roman" w:cs="Times New Roman"/>
        </w:rPr>
        <w:t xml:space="preserve"> by the European executive in 2012. Based on the analysis of EC official documentation resulting from </w:t>
      </w:r>
      <w:r w:rsidR="006C4155">
        <w:rPr>
          <w:rFonts w:ascii="Times New Roman" w:hAnsi="Times New Roman" w:cs="Times New Roman"/>
        </w:rPr>
        <w:t>it</w:t>
      </w:r>
      <w:r w:rsidR="0092007E" w:rsidRPr="00F56901">
        <w:rPr>
          <w:rFonts w:ascii="Times New Roman" w:hAnsi="Times New Roman" w:cs="Times New Roman"/>
        </w:rPr>
        <w:t xml:space="preserve">, of websites and </w:t>
      </w:r>
      <w:r w:rsidR="00943814" w:rsidRPr="00F56901">
        <w:rPr>
          <w:rFonts w:ascii="Times New Roman" w:hAnsi="Times New Roman" w:cs="Times New Roman"/>
        </w:rPr>
        <w:t>organizational</w:t>
      </w:r>
      <w:r w:rsidR="0092007E" w:rsidRPr="00F56901">
        <w:rPr>
          <w:rFonts w:ascii="Times New Roman" w:hAnsi="Times New Roman" w:cs="Times New Roman"/>
        </w:rPr>
        <w:t xml:space="preserve"> online profiles, we built an original dataset recording </w:t>
      </w:r>
      <w:r w:rsidR="00C82FDB">
        <w:rPr>
          <w:rFonts w:ascii="Times New Roman" w:hAnsi="Times New Roman" w:cs="Times New Roman"/>
        </w:rPr>
        <w:t xml:space="preserve">information about </w:t>
      </w:r>
      <w:r w:rsidR="003659C5">
        <w:rPr>
          <w:rFonts w:ascii="Times New Roman" w:hAnsi="Times New Roman" w:cs="Times New Roman"/>
        </w:rPr>
        <w:t>stakeholders’</w:t>
      </w:r>
      <w:r w:rsidR="0092007E" w:rsidRPr="00F56901">
        <w:rPr>
          <w:rFonts w:ascii="Times New Roman" w:hAnsi="Times New Roman" w:cs="Times New Roman"/>
        </w:rPr>
        <w:t xml:space="preserve"> expressed discrete </w:t>
      </w:r>
      <w:r w:rsidR="00DF4E85">
        <w:rPr>
          <w:rFonts w:ascii="Times New Roman" w:hAnsi="Times New Roman" w:cs="Times New Roman"/>
        </w:rPr>
        <w:t>preferences</w:t>
      </w:r>
      <w:r w:rsidR="00DF4E85" w:rsidRPr="00F56901">
        <w:rPr>
          <w:rFonts w:ascii="Times New Roman" w:hAnsi="Times New Roman" w:cs="Times New Roman"/>
        </w:rPr>
        <w:t xml:space="preserve"> </w:t>
      </w:r>
      <w:r w:rsidR="0092007E" w:rsidRPr="00F56901">
        <w:rPr>
          <w:rFonts w:ascii="Times New Roman" w:hAnsi="Times New Roman" w:cs="Times New Roman"/>
        </w:rPr>
        <w:t xml:space="preserve">and </w:t>
      </w:r>
      <w:r w:rsidR="00943814" w:rsidRPr="00F56901">
        <w:rPr>
          <w:rFonts w:ascii="Times New Roman" w:hAnsi="Times New Roman" w:cs="Times New Roman"/>
        </w:rPr>
        <w:t>organizational</w:t>
      </w:r>
      <w:r w:rsidR="0092007E" w:rsidRPr="00F56901">
        <w:rPr>
          <w:rFonts w:ascii="Times New Roman" w:hAnsi="Times New Roman" w:cs="Times New Roman"/>
        </w:rPr>
        <w:t xml:space="preserve"> characteristics.</w:t>
      </w:r>
    </w:p>
    <w:p w14:paraId="06CE8A6F" w14:textId="4E6C72E3" w:rsidR="0092007E" w:rsidRPr="00F56901" w:rsidRDefault="0092007E" w:rsidP="00495265">
      <w:pPr>
        <w:spacing w:line="360" w:lineRule="auto"/>
        <w:ind w:firstLine="720"/>
        <w:jc w:val="both"/>
        <w:rPr>
          <w:rFonts w:ascii="Times New Roman" w:hAnsi="Times New Roman" w:cs="Times New Roman"/>
        </w:rPr>
      </w:pPr>
      <w:r w:rsidRPr="00F56901">
        <w:rPr>
          <w:rFonts w:ascii="Times New Roman" w:hAnsi="Times New Roman" w:cs="Times New Roman"/>
        </w:rPr>
        <w:lastRenderedPageBreak/>
        <w:t>Our decision to examine this public consultation builds on what has become a well-established approach in resear</w:t>
      </w:r>
      <w:r w:rsidR="00C82FDB">
        <w:rPr>
          <w:rFonts w:ascii="Times New Roman" w:hAnsi="Times New Roman" w:cs="Times New Roman"/>
        </w:rPr>
        <w:t>ching private and public actors’</w:t>
      </w:r>
      <w:r w:rsidRPr="00F56901">
        <w:rPr>
          <w:rFonts w:ascii="Times New Roman" w:hAnsi="Times New Roman" w:cs="Times New Roman"/>
        </w:rPr>
        <w:t xml:space="preserve"> preferences in the EU policymaking based on their positions expressed in open consultations </w:t>
      </w:r>
      <w:r w:rsidR="00943814" w:rsidRPr="00F56901">
        <w:rPr>
          <w:rFonts w:ascii="Times New Roman" w:hAnsi="Times New Roman" w:cs="Times New Roman"/>
        </w:rPr>
        <w:t>organized</w:t>
      </w:r>
      <w:r w:rsidRPr="00F56901">
        <w:rPr>
          <w:rFonts w:ascii="Times New Roman" w:hAnsi="Times New Roman" w:cs="Times New Roman"/>
        </w:rPr>
        <w:t xml:space="preserve"> by the </w:t>
      </w:r>
      <w:r w:rsidR="00A820EA">
        <w:rPr>
          <w:rFonts w:ascii="Times New Roman" w:hAnsi="Times New Roman" w:cs="Times New Roman"/>
        </w:rPr>
        <w:t xml:space="preserve">European </w:t>
      </w:r>
      <w:r w:rsidRPr="00F56901">
        <w:rPr>
          <w:rFonts w:ascii="Times New Roman" w:hAnsi="Times New Roman" w:cs="Times New Roman"/>
        </w:rPr>
        <w:t xml:space="preserve">Commission. Open consultations were used to study interest </w:t>
      </w:r>
      <w:r w:rsidR="00943814" w:rsidRPr="00F56901">
        <w:rPr>
          <w:rFonts w:ascii="Times New Roman" w:hAnsi="Times New Roman" w:cs="Times New Roman"/>
        </w:rPr>
        <w:t>mobilization</w:t>
      </w:r>
      <w:r w:rsidRPr="00F56901">
        <w:rPr>
          <w:rFonts w:ascii="Times New Roman" w:hAnsi="Times New Roman" w:cs="Times New Roman"/>
        </w:rPr>
        <w:t xml:space="preserve">, lobbying strategies and success at EU level </w:t>
      </w:r>
      <w:r w:rsidR="00C82FDB">
        <w:rPr>
          <w:rFonts w:ascii="Times New Roman" w:hAnsi="Times New Roman" w:cs="Times New Roman"/>
        </w:rPr>
        <w:t>(</w:t>
      </w:r>
      <w:r w:rsidRPr="00F56901">
        <w:rPr>
          <w:rFonts w:ascii="Times New Roman" w:hAnsi="Times New Roman" w:cs="Times New Roman"/>
        </w:rPr>
        <w:t>Bunea</w:t>
      </w:r>
      <w:r w:rsidR="00C82FDB">
        <w:rPr>
          <w:rFonts w:ascii="Times New Roman" w:hAnsi="Times New Roman" w:cs="Times New Roman"/>
        </w:rPr>
        <w:t xml:space="preserve"> and </w:t>
      </w:r>
      <w:r w:rsidRPr="00F56901">
        <w:rPr>
          <w:rFonts w:ascii="Times New Roman" w:hAnsi="Times New Roman" w:cs="Times New Roman"/>
        </w:rPr>
        <w:t>Ibenskas</w:t>
      </w:r>
      <w:r w:rsidR="00C82FDB">
        <w:rPr>
          <w:rFonts w:ascii="Times New Roman" w:hAnsi="Times New Roman" w:cs="Times New Roman"/>
        </w:rPr>
        <w:t xml:space="preserve"> </w:t>
      </w:r>
      <w:r w:rsidRPr="00F56901">
        <w:rPr>
          <w:rFonts w:ascii="Times New Roman" w:hAnsi="Times New Roman" w:cs="Times New Roman"/>
        </w:rPr>
        <w:t>2015</w:t>
      </w:r>
      <w:r w:rsidR="001537FB">
        <w:rPr>
          <w:rFonts w:ascii="Times New Roman" w:hAnsi="Times New Roman" w:cs="Times New Roman"/>
        </w:rPr>
        <w:t>, Bunea 2017</w:t>
      </w:r>
      <w:r w:rsidR="00C82FDB">
        <w:rPr>
          <w:rFonts w:ascii="Times New Roman" w:hAnsi="Times New Roman" w:cs="Times New Roman"/>
        </w:rPr>
        <w:t>)</w:t>
      </w:r>
      <w:r w:rsidRPr="00F56901">
        <w:rPr>
          <w:rFonts w:ascii="Times New Roman" w:hAnsi="Times New Roman" w:cs="Times New Roman"/>
        </w:rPr>
        <w:t xml:space="preserve">. </w:t>
      </w:r>
      <w:r w:rsidR="00A820EA">
        <w:rPr>
          <w:rFonts w:ascii="Times New Roman" w:hAnsi="Times New Roman" w:cs="Times New Roman"/>
        </w:rPr>
        <w:t>This</w:t>
      </w:r>
      <w:r w:rsidRPr="00F56901">
        <w:rPr>
          <w:rFonts w:ascii="Times New Roman" w:hAnsi="Times New Roman" w:cs="Times New Roman"/>
        </w:rPr>
        <w:t xml:space="preserve"> consultation included a diverse set of stakeholders, thus covering all types of interes</w:t>
      </w:r>
      <w:r w:rsidR="00C82FDB">
        <w:rPr>
          <w:rFonts w:ascii="Times New Roman" w:hAnsi="Times New Roman" w:cs="Times New Roman"/>
        </w:rPr>
        <w:t>ts that are relevant in shaping</w:t>
      </w:r>
      <w:r w:rsidRPr="00F56901">
        <w:rPr>
          <w:rFonts w:ascii="Times New Roman" w:hAnsi="Times New Roman" w:cs="Times New Roman"/>
        </w:rPr>
        <w:t xml:space="preserve"> regulatory reforms in the EU. Such representativeness would have been very difficult to achieve through other methods of data collection (e.g. surveys). Additionally, the consultation call asked </w:t>
      </w:r>
      <w:r w:rsidR="00C82FDB">
        <w:rPr>
          <w:rFonts w:ascii="Times New Roman" w:hAnsi="Times New Roman" w:cs="Times New Roman"/>
        </w:rPr>
        <w:t>for stakeholders’</w:t>
      </w:r>
      <w:r w:rsidRPr="00F56901">
        <w:rPr>
          <w:rFonts w:ascii="Times New Roman" w:hAnsi="Times New Roman" w:cs="Times New Roman"/>
        </w:rPr>
        <w:t xml:space="preserve"> feedback on most instruments of Better Regulation, such as impact assessments, e</w:t>
      </w:r>
      <w:r w:rsidR="00185E0B">
        <w:rPr>
          <w:rFonts w:ascii="Times New Roman" w:hAnsi="Times New Roman" w:cs="Times New Roman"/>
        </w:rPr>
        <w:t>x-post evaluations (including ‘fitness checks’</w:t>
      </w:r>
      <w:r w:rsidRPr="00F56901">
        <w:rPr>
          <w:rFonts w:ascii="Times New Roman" w:hAnsi="Times New Roman" w:cs="Times New Roman"/>
        </w:rPr>
        <w:t xml:space="preserve"> of the whole policy area), measurement of administrative burdens, consultations with stakeholders and the tools to improve implementation. The use of open an</w:t>
      </w:r>
      <w:r w:rsidR="00C82FDB">
        <w:rPr>
          <w:rFonts w:ascii="Times New Roman" w:hAnsi="Times New Roman" w:cs="Times New Roman"/>
        </w:rPr>
        <w:t>d rather broad questions (e.g. ‘</w:t>
      </w:r>
      <w:r w:rsidRPr="00F56901">
        <w:rPr>
          <w:rFonts w:ascii="Times New Roman" w:hAnsi="Times New Roman" w:cs="Times New Roman"/>
        </w:rPr>
        <w:t xml:space="preserve">What can be done to better achieve </w:t>
      </w:r>
      <w:r w:rsidR="00C82FDB">
        <w:rPr>
          <w:rFonts w:ascii="Times New Roman" w:hAnsi="Times New Roman" w:cs="Times New Roman"/>
        </w:rPr>
        <w:t>the aims of impact assessments?’</w:t>
      </w:r>
      <w:r w:rsidRPr="00F56901">
        <w:rPr>
          <w:rFonts w:ascii="Times New Roman" w:hAnsi="Times New Roman" w:cs="Times New Roman"/>
        </w:rPr>
        <w:t xml:space="preserve">) allowed stakeholders to express a diverse set of </w:t>
      </w:r>
      <w:r w:rsidR="00DF4E85">
        <w:rPr>
          <w:rFonts w:ascii="Times New Roman" w:hAnsi="Times New Roman" w:cs="Times New Roman"/>
        </w:rPr>
        <w:t>preferences</w:t>
      </w:r>
      <w:r w:rsidRPr="00F56901">
        <w:rPr>
          <w:rFonts w:ascii="Times New Roman" w:hAnsi="Times New Roman" w:cs="Times New Roman"/>
        </w:rPr>
        <w:t xml:space="preserve">. Finally, the timing of the consultation is perfect for understanding the divisions between private and public actors before the last major reform of the </w:t>
      </w:r>
      <w:r w:rsidR="00A820EA">
        <w:rPr>
          <w:rFonts w:ascii="Times New Roman" w:hAnsi="Times New Roman" w:cs="Times New Roman"/>
        </w:rPr>
        <w:t xml:space="preserve">EU </w:t>
      </w:r>
      <w:r w:rsidRPr="00F56901">
        <w:rPr>
          <w:rFonts w:ascii="Times New Roman" w:hAnsi="Times New Roman" w:cs="Times New Roman"/>
        </w:rPr>
        <w:t xml:space="preserve">Better Regulation policy. The information gathered from this consultation was used by the Commission for revising the guidelines on key </w:t>
      </w:r>
      <w:r w:rsidR="00A820EA">
        <w:rPr>
          <w:rFonts w:ascii="Times New Roman" w:hAnsi="Times New Roman" w:cs="Times New Roman"/>
        </w:rPr>
        <w:t xml:space="preserve">Better Regulation </w:t>
      </w:r>
      <w:r w:rsidRPr="00F56901">
        <w:rPr>
          <w:rFonts w:ascii="Times New Roman" w:hAnsi="Times New Roman" w:cs="Times New Roman"/>
        </w:rPr>
        <w:t xml:space="preserve">instruments, all of which were adopted in </w:t>
      </w:r>
      <w:r w:rsidR="00A820EA">
        <w:rPr>
          <w:rFonts w:ascii="Times New Roman" w:hAnsi="Times New Roman" w:cs="Times New Roman"/>
        </w:rPr>
        <w:t>the 2015</w:t>
      </w:r>
      <w:r w:rsidRPr="00F56901">
        <w:rPr>
          <w:rFonts w:ascii="Times New Roman" w:hAnsi="Times New Roman" w:cs="Times New Roman"/>
        </w:rPr>
        <w:t xml:space="preserve"> Better Regulation package.  </w:t>
      </w:r>
    </w:p>
    <w:p w14:paraId="11D0019A" w14:textId="77777777" w:rsidR="00C50430" w:rsidRPr="00F56901" w:rsidRDefault="00C50430" w:rsidP="00495265">
      <w:pPr>
        <w:spacing w:line="360" w:lineRule="auto"/>
        <w:jc w:val="both"/>
        <w:rPr>
          <w:rFonts w:ascii="Times New Roman" w:hAnsi="Times New Roman" w:cs="Times New Roman"/>
        </w:rPr>
      </w:pPr>
    </w:p>
    <w:p w14:paraId="1EA7712D" w14:textId="35BD137D" w:rsidR="0092007E" w:rsidRPr="00C82FDB" w:rsidRDefault="0092007E" w:rsidP="00495265">
      <w:pPr>
        <w:spacing w:line="360" w:lineRule="auto"/>
        <w:jc w:val="both"/>
        <w:rPr>
          <w:rFonts w:ascii="Times New Roman" w:hAnsi="Times New Roman" w:cs="Times New Roman"/>
          <w:i/>
        </w:rPr>
      </w:pPr>
      <w:r w:rsidRPr="00C82FDB">
        <w:rPr>
          <w:rFonts w:ascii="Times New Roman" w:hAnsi="Times New Roman" w:cs="Times New Roman"/>
          <w:i/>
        </w:rPr>
        <w:t>Dep</w:t>
      </w:r>
      <w:r w:rsidR="00C82FDB" w:rsidRPr="00C82FDB">
        <w:rPr>
          <w:rFonts w:ascii="Times New Roman" w:hAnsi="Times New Roman" w:cs="Times New Roman"/>
          <w:i/>
        </w:rPr>
        <w:t>endent variable</w:t>
      </w:r>
      <w:r w:rsidR="007103C7">
        <w:rPr>
          <w:rFonts w:ascii="Times New Roman" w:hAnsi="Times New Roman" w:cs="Times New Roman"/>
          <w:i/>
        </w:rPr>
        <w:t>s</w:t>
      </w:r>
      <w:r w:rsidR="00C82FDB" w:rsidRPr="00C82FDB">
        <w:rPr>
          <w:rFonts w:ascii="Times New Roman" w:hAnsi="Times New Roman" w:cs="Times New Roman"/>
          <w:i/>
        </w:rPr>
        <w:t xml:space="preserve">: </w:t>
      </w:r>
      <w:r w:rsidR="00133589">
        <w:rPr>
          <w:rFonts w:ascii="Times New Roman" w:hAnsi="Times New Roman" w:cs="Times New Roman"/>
          <w:i/>
        </w:rPr>
        <w:t xml:space="preserve">stakeholders’ </w:t>
      </w:r>
      <w:r w:rsidR="00C82FDB" w:rsidRPr="00C82FDB">
        <w:rPr>
          <w:rFonts w:ascii="Times New Roman" w:hAnsi="Times New Roman" w:cs="Times New Roman"/>
          <w:i/>
        </w:rPr>
        <w:t>policy demands</w:t>
      </w:r>
      <w:r w:rsidRPr="00C82FDB">
        <w:rPr>
          <w:rFonts w:ascii="Times New Roman" w:hAnsi="Times New Roman" w:cs="Times New Roman"/>
          <w:i/>
        </w:rPr>
        <w:t xml:space="preserve"> </w:t>
      </w:r>
    </w:p>
    <w:p w14:paraId="573FA446" w14:textId="3BBB09C4" w:rsidR="0092007E" w:rsidRPr="00F56901" w:rsidRDefault="0092007E" w:rsidP="00495265">
      <w:pPr>
        <w:spacing w:line="360" w:lineRule="auto"/>
        <w:ind w:firstLine="720"/>
        <w:jc w:val="both"/>
        <w:rPr>
          <w:rFonts w:ascii="Times New Roman" w:hAnsi="Times New Roman" w:cs="Times New Roman"/>
        </w:rPr>
      </w:pPr>
      <w:r w:rsidRPr="00F56901">
        <w:rPr>
          <w:rFonts w:ascii="Times New Roman" w:hAnsi="Times New Roman" w:cs="Times New Roman"/>
        </w:rPr>
        <w:t xml:space="preserve">To identify the </w:t>
      </w:r>
      <w:r w:rsidR="00C82FDB" w:rsidRPr="00C82FDB">
        <w:rPr>
          <w:rFonts w:ascii="Times New Roman" w:hAnsi="Times New Roman" w:cs="Times New Roman"/>
          <w:i/>
        </w:rPr>
        <w:t>policy issues</w:t>
      </w:r>
      <w:r w:rsidRPr="00F56901">
        <w:rPr>
          <w:rFonts w:ascii="Times New Roman" w:hAnsi="Times New Roman" w:cs="Times New Roman"/>
        </w:rPr>
        <w:t xml:space="preserve"> on which the Commission consulted on, we used two official data sources: </w:t>
      </w:r>
      <w:proofErr w:type="gramStart"/>
      <w:r w:rsidRPr="00F56901">
        <w:rPr>
          <w:rFonts w:ascii="Times New Roman" w:hAnsi="Times New Roman" w:cs="Times New Roman"/>
        </w:rPr>
        <w:t>the</w:t>
      </w:r>
      <w:proofErr w:type="gramEnd"/>
      <w:r w:rsidRPr="00F56901">
        <w:rPr>
          <w:rFonts w:ascii="Times New Roman" w:hAnsi="Times New Roman" w:cs="Times New Roman"/>
        </w:rPr>
        <w:t xml:space="preserve"> Commission consultation call and the Annex docum</w:t>
      </w:r>
      <w:r w:rsidR="00D54261">
        <w:rPr>
          <w:rFonts w:ascii="Times New Roman" w:hAnsi="Times New Roman" w:cs="Times New Roman"/>
        </w:rPr>
        <w:t>ent accompanying the Commission’</w:t>
      </w:r>
      <w:r w:rsidRPr="00F56901">
        <w:rPr>
          <w:rFonts w:ascii="Times New Roman" w:hAnsi="Times New Roman" w:cs="Times New Roman"/>
        </w:rPr>
        <w:t xml:space="preserve">s report, which listed the positions expressed in the consultation and the actors expressing them. We identified a total of 53 open-ended question items, 284 </w:t>
      </w:r>
      <w:r w:rsidR="00DF4E85">
        <w:rPr>
          <w:rFonts w:ascii="Times New Roman" w:hAnsi="Times New Roman" w:cs="Times New Roman"/>
        </w:rPr>
        <w:t>preferences</w:t>
      </w:r>
      <w:r w:rsidRPr="00F56901">
        <w:rPr>
          <w:rFonts w:ascii="Times New Roman" w:hAnsi="Times New Roman" w:cs="Times New Roman"/>
        </w:rPr>
        <w:t>/demands expressed and 110 stakeholders submitting individual or joint policy position documents.</w:t>
      </w:r>
    </w:p>
    <w:p w14:paraId="02D9C7C2" w14:textId="2FF56FD8" w:rsidR="00FD604F" w:rsidRPr="008816E2" w:rsidRDefault="0092007E" w:rsidP="00FD604F">
      <w:pPr>
        <w:spacing w:line="360" w:lineRule="auto"/>
        <w:ind w:firstLine="720"/>
        <w:jc w:val="both"/>
        <w:rPr>
          <w:rFonts w:ascii="Times New Roman" w:hAnsi="Times New Roman" w:cs="Times New Roman"/>
        </w:rPr>
      </w:pPr>
      <w:r w:rsidRPr="008816E2">
        <w:rPr>
          <w:rFonts w:ascii="Times New Roman" w:hAnsi="Times New Roman" w:cs="Times New Roman"/>
        </w:rPr>
        <w:t xml:space="preserve">Based on this information, we constructed a dataset that includes </w:t>
      </w:r>
      <w:r w:rsidR="00907D17" w:rsidRPr="008816E2">
        <w:rPr>
          <w:rFonts w:ascii="Times New Roman" w:hAnsi="Times New Roman" w:cs="Times New Roman"/>
        </w:rPr>
        <w:t xml:space="preserve">26 </w:t>
      </w:r>
      <w:r w:rsidRPr="008816E2">
        <w:rPr>
          <w:rFonts w:ascii="Times New Roman" w:hAnsi="Times New Roman" w:cs="Times New Roman"/>
        </w:rPr>
        <w:t>dichotomous items listed in Table</w:t>
      </w:r>
      <w:r w:rsidR="00C82FDB" w:rsidRPr="008816E2">
        <w:rPr>
          <w:rFonts w:ascii="Times New Roman" w:hAnsi="Times New Roman" w:cs="Times New Roman"/>
        </w:rPr>
        <w:t xml:space="preserve"> 1.</w:t>
      </w:r>
      <w:r w:rsidRPr="008816E2">
        <w:rPr>
          <w:rFonts w:ascii="Times New Roman" w:hAnsi="Times New Roman" w:cs="Times New Roman"/>
        </w:rPr>
        <w:t xml:space="preserve"> Each captures a demand for changing the institutional framework</w:t>
      </w:r>
      <w:r w:rsidR="00BE06A4" w:rsidRPr="008816E2">
        <w:rPr>
          <w:rFonts w:ascii="Times New Roman" w:hAnsi="Times New Roman" w:cs="Times New Roman"/>
        </w:rPr>
        <w:t>, procedures</w:t>
      </w:r>
      <w:r w:rsidRPr="008816E2">
        <w:rPr>
          <w:rFonts w:ascii="Times New Roman" w:hAnsi="Times New Roman" w:cs="Times New Roman"/>
        </w:rPr>
        <w:t xml:space="preserve"> or practice in relation to one of the four key areas of Better Regulation: </w:t>
      </w:r>
      <w:r w:rsidR="00C82FDB" w:rsidRPr="008816E2">
        <w:rPr>
          <w:rFonts w:ascii="Times New Roman" w:hAnsi="Times New Roman" w:cs="Times New Roman"/>
          <w:i/>
        </w:rPr>
        <w:t>impact assessments</w:t>
      </w:r>
      <w:r w:rsidRPr="008816E2">
        <w:rPr>
          <w:rFonts w:ascii="Times New Roman" w:hAnsi="Times New Roman" w:cs="Times New Roman"/>
        </w:rPr>
        <w:t xml:space="preserve"> (</w:t>
      </w:r>
      <w:r w:rsidR="002606E0" w:rsidRPr="008816E2">
        <w:rPr>
          <w:rFonts w:ascii="Times New Roman" w:hAnsi="Times New Roman" w:cs="Times New Roman"/>
        </w:rPr>
        <w:t>7</w:t>
      </w:r>
      <w:r w:rsidR="00BE06A4" w:rsidRPr="008816E2">
        <w:rPr>
          <w:rFonts w:ascii="Times New Roman" w:hAnsi="Times New Roman" w:cs="Times New Roman"/>
        </w:rPr>
        <w:t xml:space="preserve"> </w:t>
      </w:r>
      <w:r w:rsidRPr="008816E2">
        <w:rPr>
          <w:rFonts w:ascii="Times New Roman" w:hAnsi="Times New Roman" w:cs="Times New Roman"/>
        </w:rPr>
        <w:t xml:space="preserve">demands in total; this category also included demands on designing new regulations), </w:t>
      </w:r>
      <w:r w:rsidR="00C82FDB" w:rsidRPr="008816E2">
        <w:rPr>
          <w:rFonts w:ascii="Times New Roman" w:hAnsi="Times New Roman" w:cs="Times New Roman"/>
          <w:i/>
        </w:rPr>
        <w:t>implementation of regulations</w:t>
      </w:r>
      <w:r w:rsidRPr="008816E2">
        <w:rPr>
          <w:rFonts w:ascii="Times New Roman" w:hAnsi="Times New Roman" w:cs="Times New Roman"/>
        </w:rPr>
        <w:t xml:space="preserve"> (</w:t>
      </w:r>
      <w:r w:rsidR="002606E0" w:rsidRPr="008816E2">
        <w:rPr>
          <w:rFonts w:ascii="Times New Roman" w:hAnsi="Times New Roman" w:cs="Times New Roman"/>
        </w:rPr>
        <w:t>2</w:t>
      </w:r>
      <w:r w:rsidR="00BE06A4" w:rsidRPr="008816E2">
        <w:rPr>
          <w:rFonts w:ascii="Times New Roman" w:hAnsi="Times New Roman" w:cs="Times New Roman"/>
        </w:rPr>
        <w:t xml:space="preserve"> </w:t>
      </w:r>
      <w:r w:rsidRPr="008816E2">
        <w:rPr>
          <w:rFonts w:ascii="Times New Roman" w:hAnsi="Times New Roman" w:cs="Times New Roman"/>
        </w:rPr>
        <w:t xml:space="preserve">demands), their </w:t>
      </w:r>
      <w:r w:rsidR="00C82FDB" w:rsidRPr="008816E2">
        <w:rPr>
          <w:rFonts w:ascii="Times New Roman" w:hAnsi="Times New Roman" w:cs="Times New Roman"/>
          <w:i/>
        </w:rPr>
        <w:t>ex-post evaluations</w:t>
      </w:r>
      <w:r w:rsidRPr="008816E2">
        <w:rPr>
          <w:rFonts w:ascii="Times New Roman" w:hAnsi="Times New Roman" w:cs="Times New Roman"/>
        </w:rPr>
        <w:t xml:space="preserve"> (</w:t>
      </w:r>
      <w:r w:rsidR="002606E0" w:rsidRPr="008816E2">
        <w:rPr>
          <w:rFonts w:ascii="Times New Roman" w:hAnsi="Times New Roman" w:cs="Times New Roman"/>
        </w:rPr>
        <w:t>6</w:t>
      </w:r>
      <w:r w:rsidR="00BE06A4" w:rsidRPr="008816E2">
        <w:rPr>
          <w:rFonts w:ascii="Times New Roman" w:hAnsi="Times New Roman" w:cs="Times New Roman"/>
        </w:rPr>
        <w:t xml:space="preserve"> </w:t>
      </w:r>
      <w:r w:rsidRPr="008816E2">
        <w:rPr>
          <w:rFonts w:ascii="Times New Roman" w:hAnsi="Times New Roman" w:cs="Times New Roman"/>
        </w:rPr>
        <w:t xml:space="preserve">demands including </w:t>
      </w:r>
      <w:r w:rsidR="002606E0" w:rsidRPr="008816E2">
        <w:rPr>
          <w:rFonts w:ascii="Times New Roman" w:hAnsi="Times New Roman" w:cs="Times New Roman"/>
        </w:rPr>
        <w:t xml:space="preserve">three </w:t>
      </w:r>
      <w:r w:rsidRPr="008816E2">
        <w:rPr>
          <w:rFonts w:ascii="Times New Roman" w:hAnsi="Times New Roman" w:cs="Times New Roman"/>
        </w:rPr>
        <w:t xml:space="preserve">demands explicitly </w:t>
      </w:r>
      <w:r w:rsidR="00A820EA" w:rsidRPr="008816E2">
        <w:rPr>
          <w:rFonts w:ascii="Times New Roman" w:hAnsi="Times New Roman" w:cs="Times New Roman"/>
        </w:rPr>
        <w:t>on</w:t>
      </w:r>
      <w:r w:rsidRPr="008816E2">
        <w:rPr>
          <w:rFonts w:ascii="Times New Roman" w:hAnsi="Times New Roman" w:cs="Times New Roman"/>
        </w:rPr>
        <w:t xml:space="preserve"> </w:t>
      </w:r>
      <w:r w:rsidRPr="008816E2">
        <w:rPr>
          <w:rFonts w:ascii="Times New Roman" w:hAnsi="Times New Roman" w:cs="Times New Roman"/>
        </w:rPr>
        <w:lastRenderedPageBreak/>
        <w:t xml:space="preserve">administrative burdens) and </w:t>
      </w:r>
      <w:r w:rsidRPr="008816E2">
        <w:rPr>
          <w:rFonts w:ascii="Times New Roman" w:hAnsi="Times New Roman" w:cs="Times New Roman"/>
          <w:i/>
        </w:rPr>
        <w:t>consultations with sta</w:t>
      </w:r>
      <w:r w:rsidR="00C82FDB" w:rsidRPr="008816E2">
        <w:rPr>
          <w:rFonts w:ascii="Times New Roman" w:hAnsi="Times New Roman" w:cs="Times New Roman"/>
          <w:i/>
        </w:rPr>
        <w:t>keholders</w:t>
      </w:r>
      <w:r w:rsidRPr="008816E2">
        <w:rPr>
          <w:rFonts w:ascii="Times New Roman" w:hAnsi="Times New Roman" w:cs="Times New Roman"/>
        </w:rPr>
        <w:t xml:space="preserve"> (</w:t>
      </w:r>
      <w:r w:rsidR="002606E0" w:rsidRPr="008816E2">
        <w:rPr>
          <w:rFonts w:ascii="Times New Roman" w:hAnsi="Times New Roman" w:cs="Times New Roman"/>
        </w:rPr>
        <w:t>11</w:t>
      </w:r>
      <w:r w:rsidR="00BE06A4" w:rsidRPr="008816E2">
        <w:rPr>
          <w:rFonts w:ascii="Times New Roman" w:hAnsi="Times New Roman" w:cs="Times New Roman"/>
        </w:rPr>
        <w:t xml:space="preserve"> </w:t>
      </w:r>
      <w:r w:rsidRPr="008816E2">
        <w:rPr>
          <w:rFonts w:ascii="Times New Roman" w:hAnsi="Times New Roman" w:cs="Times New Roman"/>
        </w:rPr>
        <w:t xml:space="preserve">demands). </w:t>
      </w:r>
      <w:r w:rsidR="002606E0" w:rsidRPr="008816E2">
        <w:rPr>
          <w:rFonts w:ascii="Times New Roman" w:hAnsi="Times New Roman" w:cs="Times New Roman"/>
        </w:rPr>
        <w:t>The demand with the highest frequency was that of extending the scope of consultations to more types of legislative acts and policymaking stages (</w:t>
      </w:r>
      <w:proofErr w:type="gramStart"/>
      <w:r w:rsidR="002606E0" w:rsidRPr="008816E2">
        <w:rPr>
          <w:rFonts w:ascii="Times New Roman" w:hAnsi="Times New Roman" w:cs="Times New Roman"/>
        </w:rPr>
        <w:t>cons.scope</w:t>
      </w:r>
      <w:proofErr w:type="gramEnd"/>
      <w:r w:rsidR="002606E0" w:rsidRPr="008816E2">
        <w:rPr>
          <w:rFonts w:ascii="Times New Roman" w:hAnsi="Times New Roman" w:cs="Times New Roman"/>
        </w:rPr>
        <w:t xml:space="preserve">.extend) articulated by 80 of the 110 stakeholders. </w:t>
      </w:r>
      <w:r w:rsidR="00073322" w:rsidRPr="008816E2">
        <w:rPr>
          <w:rFonts w:ascii="Times New Roman" w:hAnsi="Times New Roman" w:cs="Times New Roman"/>
        </w:rPr>
        <w:t>The second most frequent demand was for the methodology of impact assessment to be improved mostly by strengthening the scientific and quantitative analysis aspects (</w:t>
      </w:r>
      <w:proofErr w:type="gramStart"/>
      <w:r w:rsidR="00073322" w:rsidRPr="008816E2">
        <w:rPr>
          <w:rFonts w:ascii="Times New Roman" w:hAnsi="Times New Roman" w:cs="Times New Roman"/>
        </w:rPr>
        <w:t>ia.meth</w:t>
      </w:r>
      <w:proofErr w:type="gramEnd"/>
      <w:r w:rsidR="00073322" w:rsidRPr="008816E2">
        <w:rPr>
          <w:rFonts w:ascii="Times New Roman" w:hAnsi="Times New Roman" w:cs="Times New Roman"/>
        </w:rPr>
        <w:t>.impprove, 79 stakeholders). The third most frequent demand was for improving the guidance offered by the Commission on the implementation of EU legislation (</w:t>
      </w:r>
      <w:proofErr w:type="gramStart"/>
      <w:r w:rsidR="00073322" w:rsidRPr="008816E2">
        <w:rPr>
          <w:rFonts w:ascii="Times New Roman" w:hAnsi="Times New Roman" w:cs="Times New Roman"/>
        </w:rPr>
        <w:t>impl.improve</w:t>
      </w:r>
      <w:proofErr w:type="gramEnd"/>
      <w:r w:rsidR="00073322" w:rsidRPr="008816E2">
        <w:rPr>
          <w:rFonts w:ascii="Times New Roman" w:hAnsi="Times New Roman" w:cs="Times New Roman"/>
        </w:rPr>
        <w:t xml:space="preserve">), a </w:t>
      </w:r>
      <w:r w:rsidR="0006537B" w:rsidRPr="008816E2">
        <w:rPr>
          <w:rFonts w:ascii="Times New Roman" w:hAnsi="Times New Roman" w:cs="Times New Roman"/>
        </w:rPr>
        <w:t xml:space="preserve">concern </w:t>
      </w:r>
      <w:r w:rsidR="00073322" w:rsidRPr="008816E2">
        <w:rPr>
          <w:rFonts w:ascii="Times New Roman" w:hAnsi="Times New Roman" w:cs="Times New Roman"/>
        </w:rPr>
        <w:t xml:space="preserve">shared by 69 stakeholders. The fourth most frequent demand expressed by stakeholders was for the methodology of ex-post evaluations of regulatory measures to be improved (67 </w:t>
      </w:r>
      <w:r w:rsidR="00005DEC" w:rsidRPr="008816E2">
        <w:rPr>
          <w:rFonts w:ascii="Times New Roman" w:hAnsi="Times New Roman" w:cs="Times New Roman"/>
        </w:rPr>
        <w:t>stakeholders</w:t>
      </w:r>
      <w:r w:rsidR="00073322" w:rsidRPr="008816E2">
        <w:rPr>
          <w:rFonts w:ascii="Times New Roman" w:hAnsi="Times New Roman" w:cs="Times New Roman"/>
        </w:rPr>
        <w:t xml:space="preserve">). </w:t>
      </w:r>
    </w:p>
    <w:p w14:paraId="7696E46E" w14:textId="2508F476" w:rsidR="00BE06A4" w:rsidRPr="00B11AD5" w:rsidRDefault="00FD604F" w:rsidP="00FD604F">
      <w:pPr>
        <w:spacing w:line="360" w:lineRule="auto"/>
        <w:ind w:firstLine="720"/>
        <w:jc w:val="both"/>
        <w:rPr>
          <w:rFonts w:ascii="Times New Roman" w:hAnsi="Times New Roman" w:cs="Times New Roman"/>
        </w:rPr>
      </w:pPr>
      <w:r w:rsidRPr="008816E2">
        <w:rPr>
          <w:rFonts w:ascii="Times New Roman" w:hAnsi="Times New Roman" w:cs="Times New Roman"/>
        </w:rPr>
        <w:t xml:space="preserve">The dependent </w:t>
      </w:r>
      <w:r w:rsidR="00005DEC" w:rsidRPr="008816E2">
        <w:rPr>
          <w:rFonts w:ascii="Times New Roman" w:hAnsi="Times New Roman" w:cs="Times New Roman"/>
        </w:rPr>
        <w:t xml:space="preserve">variables in the empirical analysis are the counts of demands associated with three perspectives over regulatory reform. </w:t>
      </w:r>
      <w:r w:rsidR="00073322" w:rsidRPr="008816E2">
        <w:rPr>
          <w:rFonts w:ascii="Times New Roman" w:hAnsi="Times New Roman" w:cs="Times New Roman"/>
        </w:rPr>
        <w:t xml:space="preserve">Five demands were coded as being consistent with a </w:t>
      </w:r>
      <w:r w:rsidR="00073322" w:rsidRPr="008816E2">
        <w:rPr>
          <w:rFonts w:ascii="Times New Roman" w:hAnsi="Times New Roman" w:cs="Times New Roman"/>
          <w:i/>
        </w:rPr>
        <w:t xml:space="preserve">deregulatory </w:t>
      </w:r>
      <w:r w:rsidR="00073322" w:rsidRPr="008816E2">
        <w:rPr>
          <w:rFonts w:ascii="Times New Roman" w:hAnsi="Times New Roman" w:cs="Times New Roman"/>
        </w:rPr>
        <w:t xml:space="preserve">direction of Better Regulation reforms, twelve in line with a Better Regulation turn towards </w:t>
      </w:r>
      <w:r w:rsidR="00073322" w:rsidRPr="008816E2">
        <w:rPr>
          <w:rFonts w:ascii="Times New Roman" w:hAnsi="Times New Roman" w:cs="Times New Roman"/>
          <w:i/>
        </w:rPr>
        <w:t>technocratic policymaking</w:t>
      </w:r>
      <w:r w:rsidR="00073322" w:rsidRPr="008816E2">
        <w:rPr>
          <w:rFonts w:ascii="Times New Roman" w:hAnsi="Times New Roman" w:cs="Times New Roman"/>
        </w:rPr>
        <w:t xml:space="preserve">, while nine </w:t>
      </w:r>
      <w:r w:rsidR="007103C7" w:rsidRPr="008816E2">
        <w:rPr>
          <w:rFonts w:ascii="Times New Roman" w:hAnsi="Times New Roman" w:cs="Times New Roman"/>
        </w:rPr>
        <w:t>reflected preferences for</w:t>
      </w:r>
      <w:r w:rsidR="00073322" w:rsidRPr="008816E2">
        <w:rPr>
          <w:rFonts w:ascii="Times New Roman" w:hAnsi="Times New Roman" w:cs="Times New Roman"/>
        </w:rPr>
        <w:t xml:space="preserve"> </w:t>
      </w:r>
      <w:r w:rsidR="00AD6B46" w:rsidRPr="008816E2">
        <w:rPr>
          <w:rFonts w:ascii="Times New Roman" w:hAnsi="Times New Roman" w:cs="Times New Roman"/>
        </w:rPr>
        <w:t xml:space="preserve">a reform supporting </w:t>
      </w:r>
      <w:r w:rsidR="00073322" w:rsidRPr="008816E2">
        <w:rPr>
          <w:rFonts w:ascii="Times New Roman" w:hAnsi="Times New Roman" w:cs="Times New Roman"/>
          <w:i/>
        </w:rPr>
        <w:t>participatory policymaking</w:t>
      </w:r>
      <w:r w:rsidR="00471B5E" w:rsidRPr="008816E2">
        <w:rPr>
          <w:rFonts w:ascii="Times New Roman" w:hAnsi="Times New Roman" w:cs="Times New Roman"/>
        </w:rPr>
        <w:t>.</w:t>
      </w:r>
      <w:r w:rsidR="00005DEC" w:rsidRPr="008816E2">
        <w:rPr>
          <w:rFonts w:ascii="Times New Roman" w:hAnsi="Times New Roman" w:cs="Times New Roman"/>
        </w:rPr>
        <w:t xml:space="preserve"> </w:t>
      </w:r>
      <w:r w:rsidR="006239F1" w:rsidRPr="008816E2">
        <w:rPr>
          <w:rFonts w:ascii="Times New Roman" w:hAnsi="Times New Roman" w:cs="Times New Roman"/>
        </w:rPr>
        <w:t>The third column in Table 1 indicates the demand type.</w:t>
      </w:r>
      <w:r w:rsidR="00133589">
        <w:rPr>
          <w:rFonts w:ascii="Times New Roman" w:hAnsi="Times New Roman" w:cs="Times New Roman"/>
        </w:rPr>
        <w:t xml:space="preserve"> </w:t>
      </w:r>
      <w:r w:rsidR="00133589" w:rsidRPr="009D25F5">
        <w:rPr>
          <w:rFonts w:ascii="Times New Roman" w:hAnsi="Times New Roman" w:cs="Times New Roman"/>
        </w:rPr>
        <w:t xml:space="preserve">Although theoretically it is also possible for stakeholders to ask for less focus in the Better Regulation on each of these goals, we find very limited evidence for that. None of the demands explicitly asked for less evidence-based policymaking or participation and only two of them indicated explicit opposition to the deregulatory turn of the reform. Due to the small number of demands, </w:t>
      </w:r>
      <w:r w:rsidR="00C57FE9" w:rsidRPr="009D25F5">
        <w:rPr>
          <w:rFonts w:ascii="Times New Roman" w:hAnsi="Times New Roman" w:cs="Times New Roman"/>
        </w:rPr>
        <w:t>these demands were excluded from analysis.</w:t>
      </w:r>
    </w:p>
    <w:p w14:paraId="180E814E" w14:textId="16D8741E" w:rsidR="00133589" w:rsidRDefault="0092007E" w:rsidP="00133589">
      <w:pPr>
        <w:spacing w:line="360" w:lineRule="auto"/>
        <w:ind w:firstLine="720"/>
        <w:jc w:val="both"/>
        <w:rPr>
          <w:rFonts w:ascii="Times New Roman" w:hAnsi="Times New Roman" w:cs="Times New Roman"/>
        </w:rPr>
      </w:pPr>
      <w:r w:rsidRPr="00F56901">
        <w:rPr>
          <w:rFonts w:ascii="Times New Roman" w:hAnsi="Times New Roman" w:cs="Times New Roman"/>
        </w:rPr>
        <w:t xml:space="preserve">We developed the dataset in four steps. First, we excluded 14 stakeholder positions that referred to the support of the status quo on a particular issue (e.g. </w:t>
      </w:r>
      <w:r w:rsidR="00A820EA">
        <w:rPr>
          <w:rFonts w:ascii="Times New Roman" w:hAnsi="Times New Roman" w:cs="Times New Roman"/>
        </w:rPr>
        <w:t>agreeing</w:t>
      </w:r>
      <w:r w:rsidRPr="00F56901">
        <w:rPr>
          <w:rFonts w:ascii="Times New Roman" w:hAnsi="Times New Roman" w:cs="Times New Roman"/>
        </w:rPr>
        <w:t xml:space="preserve"> that the aims of impact assessments are right). Since the development of Better Regulation in the EU is the result of numerous compromises between different visions of regulatory reform </w:t>
      </w:r>
      <w:r w:rsidR="00C82FDB">
        <w:rPr>
          <w:rFonts w:ascii="Times New Roman" w:hAnsi="Times New Roman" w:cs="Times New Roman"/>
        </w:rPr>
        <w:t>(</w:t>
      </w:r>
      <w:r w:rsidRPr="00F56901">
        <w:rPr>
          <w:rFonts w:ascii="Times New Roman" w:hAnsi="Times New Roman" w:cs="Times New Roman"/>
        </w:rPr>
        <w:t>Wegrich</w:t>
      </w:r>
      <w:r w:rsidR="00C82FDB">
        <w:rPr>
          <w:rFonts w:ascii="Times New Roman" w:hAnsi="Times New Roman" w:cs="Times New Roman"/>
        </w:rPr>
        <w:t xml:space="preserve"> 2011)</w:t>
      </w:r>
      <w:r w:rsidRPr="00F56901">
        <w:rPr>
          <w:rFonts w:ascii="Times New Roman" w:hAnsi="Times New Roman" w:cs="Times New Roman"/>
        </w:rPr>
        <w:t xml:space="preserve">, the positions expressing support for status quo can be associated with all types of reform. </w:t>
      </w:r>
      <w:r w:rsidR="00A820EA">
        <w:rPr>
          <w:rFonts w:ascii="Times New Roman" w:hAnsi="Times New Roman" w:cs="Times New Roman"/>
        </w:rPr>
        <w:t>Thus</w:t>
      </w:r>
      <w:r w:rsidRPr="00F56901">
        <w:rPr>
          <w:rFonts w:ascii="Times New Roman" w:hAnsi="Times New Roman" w:cs="Times New Roman"/>
        </w:rPr>
        <w:t>, they are of limited use in trying to understand the type of reform preferred by different stakeholders</w:t>
      </w:r>
      <w:r w:rsidR="00133589">
        <w:rPr>
          <w:rFonts w:ascii="Times New Roman" w:hAnsi="Times New Roman" w:cs="Times New Roman"/>
        </w:rPr>
        <w:t>.</w:t>
      </w:r>
      <w:r w:rsidRPr="00F56901">
        <w:rPr>
          <w:rFonts w:ascii="Times New Roman" w:hAnsi="Times New Roman" w:cs="Times New Roman"/>
        </w:rPr>
        <w:t xml:space="preserve"> </w:t>
      </w:r>
      <w:r w:rsidR="00133589" w:rsidRPr="009D25F5">
        <w:rPr>
          <w:rFonts w:ascii="Times New Roman" w:hAnsi="Times New Roman" w:cs="Times New Roman"/>
        </w:rPr>
        <w:t xml:space="preserve">To maximize the amount of information contained in our dataset, we have also fit an additional negative binomial regression model that had as dependent variable the number of demands for maintaining the status quo and interest type as a predictor. The results are presented in </w:t>
      </w:r>
      <w:r w:rsidR="009D25F5" w:rsidRPr="009D25F5">
        <w:rPr>
          <w:rFonts w:ascii="Times New Roman" w:hAnsi="Times New Roman" w:cs="Times New Roman"/>
        </w:rPr>
        <w:t xml:space="preserve">Table 2 in </w:t>
      </w:r>
      <w:r w:rsidR="00133589" w:rsidRPr="009D25F5">
        <w:rPr>
          <w:rFonts w:ascii="Times New Roman" w:hAnsi="Times New Roman" w:cs="Times New Roman"/>
        </w:rPr>
        <w:t xml:space="preserve">the Online Appendix and indicate little differentiation with regard to the positions on status quo among those stakeholders </w:t>
      </w:r>
      <w:r w:rsidR="00133589" w:rsidRPr="009D25F5">
        <w:rPr>
          <w:rFonts w:ascii="Times New Roman" w:hAnsi="Times New Roman" w:cs="Times New Roman"/>
        </w:rPr>
        <w:lastRenderedPageBreak/>
        <w:t>who were found</w:t>
      </w:r>
      <w:r w:rsidR="009D25F5">
        <w:rPr>
          <w:rFonts w:ascii="Times New Roman" w:hAnsi="Times New Roman" w:cs="Times New Roman"/>
        </w:rPr>
        <w:t xml:space="preserve"> to</w:t>
      </w:r>
      <w:r w:rsidR="00133589" w:rsidRPr="009D25F5">
        <w:rPr>
          <w:rFonts w:ascii="Times New Roman" w:hAnsi="Times New Roman" w:cs="Times New Roman"/>
        </w:rPr>
        <w:t xml:space="preserve"> support at least one type of regulatory reform. This supports our argument that </w:t>
      </w:r>
      <w:r w:rsidR="009D25F5">
        <w:rPr>
          <w:rFonts w:ascii="Times New Roman" w:hAnsi="Times New Roman" w:cs="Times New Roman"/>
        </w:rPr>
        <w:t xml:space="preserve">the </w:t>
      </w:r>
      <w:r w:rsidR="00133589" w:rsidRPr="009D25F5">
        <w:rPr>
          <w:rFonts w:ascii="Times New Roman" w:hAnsi="Times New Roman" w:cs="Times New Roman"/>
        </w:rPr>
        <w:t>status quo of Better Regulation in 2012 reflected numerous compromises of previous regulatory reforms.</w:t>
      </w:r>
    </w:p>
    <w:p w14:paraId="3F1437BD" w14:textId="6C28DCD8" w:rsidR="00133589" w:rsidRPr="00F56901" w:rsidRDefault="0092007E" w:rsidP="00133589">
      <w:pPr>
        <w:spacing w:line="360" w:lineRule="auto"/>
        <w:ind w:firstLine="720"/>
        <w:jc w:val="both"/>
        <w:rPr>
          <w:rFonts w:ascii="Times New Roman" w:hAnsi="Times New Roman" w:cs="Times New Roman"/>
        </w:rPr>
      </w:pPr>
      <w:r w:rsidRPr="00F56901">
        <w:rPr>
          <w:rFonts w:ascii="Times New Roman" w:hAnsi="Times New Roman" w:cs="Times New Roman"/>
        </w:rPr>
        <w:t xml:space="preserve">Second, we also exclude </w:t>
      </w:r>
      <w:r w:rsidR="00E33BB7">
        <w:rPr>
          <w:rFonts w:ascii="Times New Roman" w:hAnsi="Times New Roman" w:cs="Times New Roman"/>
        </w:rPr>
        <w:t>10</w:t>
      </w:r>
      <w:r w:rsidR="00E33BB7" w:rsidRPr="00F56901">
        <w:rPr>
          <w:rFonts w:ascii="Times New Roman" w:hAnsi="Times New Roman" w:cs="Times New Roman"/>
        </w:rPr>
        <w:t xml:space="preserve"> </w:t>
      </w:r>
      <w:r w:rsidRPr="00F56901">
        <w:rPr>
          <w:rFonts w:ascii="Times New Roman" w:hAnsi="Times New Roman" w:cs="Times New Roman"/>
        </w:rPr>
        <w:t xml:space="preserve">positions that </w:t>
      </w:r>
      <w:r w:rsidR="00943814">
        <w:rPr>
          <w:rFonts w:ascii="Times New Roman" w:hAnsi="Times New Roman" w:cs="Times New Roman"/>
        </w:rPr>
        <w:t>summarized</w:t>
      </w:r>
      <w:r w:rsidR="00C82FDB">
        <w:rPr>
          <w:rFonts w:ascii="Times New Roman" w:hAnsi="Times New Roman" w:cs="Times New Roman"/>
        </w:rPr>
        <w:t xml:space="preserve"> stakeholders’</w:t>
      </w:r>
      <w:r w:rsidRPr="00F56901">
        <w:rPr>
          <w:rFonts w:ascii="Times New Roman" w:hAnsi="Times New Roman" w:cs="Times New Roman"/>
        </w:rPr>
        <w:t xml:space="preserve"> </w:t>
      </w:r>
      <w:r w:rsidR="00A820EA">
        <w:rPr>
          <w:rFonts w:ascii="Times New Roman" w:hAnsi="Times New Roman" w:cs="Times New Roman"/>
        </w:rPr>
        <w:t xml:space="preserve">own </w:t>
      </w:r>
      <w:r w:rsidRPr="00F56901">
        <w:rPr>
          <w:rFonts w:ascii="Times New Roman" w:hAnsi="Times New Roman" w:cs="Times New Roman"/>
        </w:rPr>
        <w:t>experience with the use of different Better Regulation too</w:t>
      </w:r>
      <w:r w:rsidR="00C82FDB">
        <w:rPr>
          <w:rFonts w:ascii="Times New Roman" w:hAnsi="Times New Roman" w:cs="Times New Roman"/>
        </w:rPr>
        <w:t xml:space="preserve">ls (e.g. </w:t>
      </w:r>
      <w:r w:rsidR="00D54261">
        <w:rPr>
          <w:rFonts w:ascii="Times New Roman" w:hAnsi="Times New Roman" w:cs="Times New Roman"/>
        </w:rPr>
        <w:t>roadmaps</w:t>
      </w:r>
      <w:r w:rsidRPr="00F56901">
        <w:rPr>
          <w:rFonts w:ascii="Times New Roman" w:hAnsi="Times New Roman" w:cs="Times New Roman"/>
        </w:rPr>
        <w:t xml:space="preserve">). Third, we recoded the remaining positions into a smaller set of demands </w:t>
      </w:r>
      <w:r w:rsidR="00BE7831" w:rsidRPr="00F56901">
        <w:rPr>
          <w:rFonts w:ascii="Times New Roman" w:hAnsi="Times New Roman" w:cs="Times New Roman"/>
        </w:rPr>
        <w:t>to</w:t>
      </w:r>
      <w:r w:rsidRPr="00F56901">
        <w:rPr>
          <w:rFonts w:ascii="Times New Roman" w:hAnsi="Times New Roman" w:cs="Times New Roman"/>
        </w:rPr>
        <w:t xml:space="preserve"> account for the similarities among </w:t>
      </w:r>
      <w:r w:rsidR="00C82FDB">
        <w:rPr>
          <w:rFonts w:ascii="Times New Roman" w:hAnsi="Times New Roman" w:cs="Times New Roman"/>
        </w:rPr>
        <w:t>the positions in the Commission’</w:t>
      </w:r>
      <w:r w:rsidRPr="00F56901">
        <w:rPr>
          <w:rFonts w:ascii="Times New Roman" w:hAnsi="Times New Roman" w:cs="Times New Roman"/>
        </w:rPr>
        <w:t>s document (the recoded demands could encompass positions expressed in response to more than one question</w:t>
      </w:r>
      <w:r w:rsidR="00C82FDB">
        <w:rPr>
          <w:rFonts w:ascii="Times New Roman" w:hAnsi="Times New Roman" w:cs="Times New Roman"/>
        </w:rPr>
        <w:t xml:space="preserve">). For example, the demands </w:t>
      </w:r>
      <w:r w:rsidR="00EA6109">
        <w:rPr>
          <w:rFonts w:ascii="Times New Roman" w:hAnsi="Times New Roman" w:cs="Times New Roman"/>
        </w:rPr>
        <w:t xml:space="preserve">for </w:t>
      </w:r>
      <w:r w:rsidR="00C82FDB">
        <w:rPr>
          <w:rFonts w:ascii="Times New Roman" w:hAnsi="Times New Roman" w:cs="Times New Roman"/>
        </w:rPr>
        <w:t>‘</w:t>
      </w:r>
      <w:r w:rsidR="00EA6109">
        <w:rPr>
          <w:rFonts w:ascii="Times New Roman" w:hAnsi="Times New Roman" w:cs="Times New Roman"/>
        </w:rPr>
        <w:t>the Impact Assessment Board to include external experts’</w:t>
      </w:r>
      <w:r w:rsidR="00C82FDB">
        <w:rPr>
          <w:rFonts w:ascii="Times New Roman" w:hAnsi="Times New Roman" w:cs="Times New Roman"/>
        </w:rPr>
        <w:t xml:space="preserve"> and ‘</w:t>
      </w:r>
      <w:r w:rsidR="00EA6109">
        <w:rPr>
          <w:rFonts w:ascii="Times New Roman" w:hAnsi="Times New Roman" w:cs="Times New Roman"/>
        </w:rPr>
        <w:t>for the Impact Assessment Board to provide a positive opinion on draft legislation before a legislative proposal is adopted by the Commission</w:t>
      </w:r>
      <w:r w:rsidR="00C82FDB">
        <w:rPr>
          <w:rFonts w:ascii="Times New Roman" w:hAnsi="Times New Roman" w:cs="Times New Roman"/>
        </w:rPr>
        <w:t>’</w:t>
      </w:r>
      <w:r w:rsidRPr="00F56901">
        <w:rPr>
          <w:rFonts w:ascii="Times New Roman" w:hAnsi="Times New Roman" w:cs="Times New Roman"/>
        </w:rPr>
        <w:t xml:space="preserve"> were recoded into a single demand for </w:t>
      </w:r>
      <w:r w:rsidR="00EA6109">
        <w:rPr>
          <w:rFonts w:ascii="Times New Roman" w:hAnsi="Times New Roman" w:cs="Times New Roman"/>
        </w:rPr>
        <w:t xml:space="preserve">increasing the powers and/or independence of the </w:t>
      </w:r>
      <w:r w:rsidR="0049049B">
        <w:rPr>
          <w:rFonts w:ascii="Times New Roman" w:hAnsi="Times New Roman" w:cs="Times New Roman"/>
        </w:rPr>
        <w:t>Impact Assessment Board</w:t>
      </w:r>
      <w:r w:rsidR="00133589">
        <w:rPr>
          <w:rFonts w:ascii="Times New Roman" w:hAnsi="Times New Roman" w:cs="Times New Roman"/>
        </w:rPr>
        <w:t xml:space="preserve"> (i.e. the Regulatory Scrutiny Board since 2015)</w:t>
      </w:r>
      <w:r w:rsidRPr="00F56901">
        <w:rPr>
          <w:rFonts w:ascii="Times New Roman" w:hAnsi="Times New Roman" w:cs="Times New Roman"/>
        </w:rPr>
        <w:t>. The recoding of positions was both inductive (we compared positions based on the similarity of their wording) and deductive (we drew on the literature to identify the key issues of contention</w:t>
      </w:r>
      <w:r w:rsidRPr="00B11AD5">
        <w:rPr>
          <w:rFonts w:ascii="Times New Roman" w:hAnsi="Times New Roman" w:cs="Times New Roman"/>
        </w:rPr>
        <w:t>).</w:t>
      </w:r>
      <w:r w:rsidR="00133589" w:rsidRPr="00B11AD5">
        <w:rPr>
          <w:rFonts w:ascii="Times New Roman" w:hAnsi="Times New Roman" w:cs="Times New Roman"/>
        </w:rPr>
        <w:t xml:space="preserve"> </w:t>
      </w:r>
      <w:r w:rsidR="00133589" w:rsidRPr="00DC405C">
        <w:rPr>
          <w:rFonts w:ascii="Times New Roman" w:hAnsi="Times New Roman" w:cs="Times New Roman"/>
        </w:rPr>
        <w:t>For example, the demands on ex-post evaluations relate directly to four out of five variables used by Mastenbroek et al. (201</w:t>
      </w:r>
      <w:r w:rsidR="00D13887" w:rsidRPr="00DC405C">
        <w:rPr>
          <w:rFonts w:ascii="Times New Roman" w:hAnsi="Times New Roman" w:cs="Times New Roman"/>
        </w:rPr>
        <w:t>6</w:t>
      </w:r>
      <w:r w:rsidR="00133589" w:rsidRPr="00DC405C">
        <w:rPr>
          <w:rFonts w:ascii="Times New Roman" w:hAnsi="Times New Roman" w:cs="Times New Roman"/>
        </w:rPr>
        <w:t>) to evaluate ex-post regulatory evaluations in the EU: 51 stakeholders requested for the improvement in the planning of evaluations, relating to Mastenbroek et al.’s variable of systematic coverage; 67 stakeholders demanded a better methodological quality of evaluations, which reflects the same variable in Mastenbroek et al. (201</w:t>
      </w:r>
      <w:r w:rsidR="00D13887" w:rsidRPr="00DC405C">
        <w:rPr>
          <w:rFonts w:ascii="Times New Roman" w:hAnsi="Times New Roman" w:cs="Times New Roman"/>
        </w:rPr>
        <w:t>6</w:t>
      </w:r>
      <w:r w:rsidR="00133589" w:rsidRPr="00DC405C">
        <w:rPr>
          <w:rFonts w:ascii="Times New Roman" w:hAnsi="Times New Roman" w:cs="Times New Roman"/>
        </w:rPr>
        <w:t>). Finally, the demand to improve clarity and accessibility of evaluation reports, expressed by 7 stakeholders, relates to Mastenbroek et al.’s variables of process quality in terms of the availability of reports and usefulness of evaluation reports.</w:t>
      </w:r>
    </w:p>
    <w:p w14:paraId="57B39B54" w14:textId="59DBFECE" w:rsidR="0092007E" w:rsidRPr="00C82FDB" w:rsidRDefault="00C82FDB" w:rsidP="00495265">
      <w:pPr>
        <w:spacing w:line="360" w:lineRule="auto"/>
        <w:jc w:val="center"/>
        <w:rPr>
          <w:rFonts w:ascii="Times New Roman" w:hAnsi="Times New Roman" w:cs="Times New Roman"/>
          <w:b/>
        </w:rPr>
      </w:pPr>
      <w:r w:rsidRPr="00C82FDB">
        <w:rPr>
          <w:rFonts w:ascii="Times New Roman" w:hAnsi="Times New Roman" w:cs="Times New Roman"/>
          <w:b/>
        </w:rPr>
        <w:t>[Table 1]</w:t>
      </w:r>
    </w:p>
    <w:p w14:paraId="205AD6E2" w14:textId="77777777" w:rsidR="0092007E" w:rsidRPr="00F56901" w:rsidRDefault="0092007E" w:rsidP="00495265">
      <w:pPr>
        <w:spacing w:line="360" w:lineRule="auto"/>
        <w:jc w:val="both"/>
        <w:rPr>
          <w:rFonts w:ascii="Times New Roman" w:hAnsi="Times New Roman" w:cs="Times New Roman"/>
        </w:rPr>
      </w:pPr>
    </w:p>
    <w:p w14:paraId="0A9DDBFF" w14:textId="03C2F276" w:rsidR="0092007E" w:rsidRPr="00C82FDB" w:rsidRDefault="0092007E" w:rsidP="00495265">
      <w:pPr>
        <w:spacing w:line="360" w:lineRule="auto"/>
        <w:jc w:val="both"/>
        <w:rPr>
          <w:rFonts w:ascii="Times New Roman" w:hAnsi="Times New Roman" w:cs="Times New Roman"/>
          <w:i/>
        </w:rPr>
      </w:pPr>
      <w:r w:rsidRPr="00C82FDB">
        <w:rPr>
          <w:rFonts w:ascii="Times New Roman" w:hAnsi="Times New Roman" w:cs="Times New Roman"/>
          <w:i/>
        </w:rPr>
        <w:t>Pr</w:t>
      </w:r>
      <w:r w:rsidR="00C82FDB" w:rsidRPr="00C82FDB">
        <w:rPr>
          <w:rFonts w:ascii="Times New Roman" w:hAnsi="Times New Roman" w:cs="Times New Roman"/>
          <w:i/>
        </w:rPr>
        <w:t>edictor variable: interest type</w:t>
      </w:r>
    </w:p>
    <w:p w14:paraId="650D700B" w14:textId="38537C33" w:rsidR="0092007E" w:rsidRPr="00F56901" w:rsidRDefault="00C82FDB" w:rsidP="00495265">
      <w:pPr>
        <w:spacing w:line="360" w:lineRule="auto"/>
        <w:ind w:firstLine="720"/>
        <w:jc w:val="both"/>
        <w:rPr>
          <w:rFonts w:ascii="Times New Roman" w:hAnsi="Times New Roman" w:cs="Times New Roman"/>
        </w:rPr>
      </w:pPr>
      <w:r>
        <w:rPr>
          <w:rFonts w:ascii="Times New Roman" w:hAnsi="Times New Roman" w:cs="Times New Roman"/>
        </w:rPr>
        <w:t>Based on stakeholders’</w:t>
      </w:r>
      <w:r w:rsidR="0092007E" w:rsidRPr="00F56901">
        <w:rPr>
          <w:rFonts w:ascii="Times New Roman" w:hAnsi="Times New Roman" w:cs="Times New Roman"/>
        </w:rPr>
        <w:t xml:space="preserve"> position documents and online profiles, we identified the </w:t>
      </w:r>
      <w:r w:rsidRPr="00C82FDB">
        <w:rPr>
          <w:rFonts w:ascii="Times New Roman" w:hAnsi="Times New Roman" w:cs="Times New Roman"/>
          <w:i/>
        </w:rPr>
        <w:t>type of interest</w:t>
      </w:r>
      <w:r w:rsidR="0092007E" w:rsidRPr="00F56901">
        <w:rPr>
          <w:rFonts w:ascii="Times New Roman" w:hAnsi="Times New Roman" w:cs="Times New Roman"/>
        </w:rPr>
        <w:t xml:space="preserve"> they represented. We distinguish the following categories: </w:t>
      </w:r>
    </w:p>
    <w:p w14:paraId="6E2E00DF" w14:textId="52A3EF2D" w:rsidR="0092007E" w:rsidRPr="00B11AD5" w:rsidRDefault="0092007E" w:rsidP="00133589">
      <w:pPr>
        <w:pStyle w:val="ListParagraph"/>
        <w:numPr>
          <w:ilvl w:val="0"/>
          <w:numId w:val="1"/>
        </w:numPr>
        <w:spacing w:line="360" w:lineRule="auto"/>
        <w:jc w:val="both"/>
        <w:rPr>
          <w:rFonts w:ascii="Times New Roman" w:hAnsi="Times New Roman" w:cs="Times New Roman"/>
          <w:highlight w:val="yellow"/>
        </w:rPr>
      </w:pPr>
      <w:r w:rsidRPr="00133589">
        <w:rPr>
          <w:rFonts w:ascii="Times New Roman" w:hAnsi="Times New Roman" w:cs="Times New Roman"/>
        </w:rPr>
        <w:t>Public authorities responsible for the coordination/oversight of Better Regulation at national level (21 actors). This category includes the government departments that were responsible for the development and enforcement of Better Regulation tools across public institutions and the</w:t>
      </w:r>
      <w:r w:rsidRPr="00C82FDB">
        <w:rPr>
          <w:rFonts w:ascii="Times New Roman" w:hAnsi="Times New Roman" w:cs="Times New Roman"/>
        </w:rPr>
        <w:t xml:space="preserve"> </w:t>
      </w:r>
      <w:r w:rsidRPr="00C82FDB">
        <w:rPr>
          <w:rFonts w:ascii="Times New Roman" w:hAnsi="Times New Roman" w:cs="Times New Roman"/>
        </w:rPr>
        <w:lastRenderedPageBreak/>
        <w:t>bodies charged with the external oversight and control of the enforcement of these tools</w:t>
      </w:r>
      <w:r w:rsidRPr="00DC405C">
        <w:rPr>
          <w:rFonts w:ascii="Times New Roman" w:hAnsi="Times New Roman" w:cs="Times New Roman"/>
        </w:rPr>
        <w:t>.</w:t>
      </w:r>
      <w:r w:rsidR="00133589" w:rsidRPr="00DC405C">
        <w:rPr>
          <w:rFonts w:ascii="Times New Roman" w:hAnsi="Times New Roman" w:cs="Times New Roman"/>
        </w:rPr>
        <w:t xml:space="preserve"> This was coded based on Annex 7 of the </w:t>
      </w:r>
      <w:r w:rsidR="00C57FE9" w:rsidRPr="00DC405C">
        <w:rPr>
          <w:rFonts w:ascii="Times New Roman" w:hAnsi="Times New Roman" w:cs="Times New Roman"/>
        </w:rPr>
        <w:t>Commission Report on ‘B</w:t>
      </w:r>
      <w:r w:rsidR="00133589" w:rsidRPr="00DC405C">
        <w:rPr>
          <w:rFonts w:ascii="Times New Roman" w:hAnsi="Times New Roman" w:cs="Times New Roman"/>
        </w:rPr>
        <w:t>est practice in Member States to implement EU legislation in the least burdensome way’ published in 2011 by the High-Level Group on Administrative Burdens. The information in the report was partially based on OECD data. In total, these actors represented 14 member states: Austria, Belgium, Bulgaria, the Czech Republic, Finland, Germany, Hungary, Italy, Latvia, Lithuania, Netherlands, Slovakia, Sweden and UK. The public institutions responsible for the coordination of Better Regulation in Flanders and Scotland were also included in this category due to their substantial policymaking powers.</w:t>
      </w:r>
      <w:r w:rsidR="00133589" w:rsidRPr="00B11AD5">
        <w:rPr>
          <w:rFonts w:ascii="Times New Roman" w:hAnsi="Times New Roman" w:cs="Times New Roman"/>
        </w:rPr>
        <w:t xml:space="preserve"> </w:t>
      </w:r>
      <w:r w:rsidRPr="00B11AD5">
        <w:rPr>
          <w:rFonts w:ascii="Times New Roman" w:hAnsi="Times New Roman" w:cs="Times New Roman"/>
        </w:rPr>
        <w:t xml:space="preserve">In line with expert assessments of the positions of parties in government towards deregulation, 12 actors were coded as </w:t>
      </w:r>
      <w:r w:rsidR="00943814" w:rsidRPr="00B11AD5">
        <w:rPr>
          <w:rFonts w:ascii="Times New Roman" w:hAnsi="Times New Roman" w:cs="Times New Roman"/>
        </w:rPr>
        <w:t>favorable</w:t>
      </w:r>
      <w:r w:rsidRPr="00B11AD5">
        <w:rPr>
          <w:rFonts w:ascii="Times New Roman" w:hAnsi="Times New Roman" w:cs="Times New Roman"/>
        </w:rPr>
        <w:t xml:space="preserve"> towards deregulation and 9 actors as having negative or mixed assessments.</w:t>
      </w:r>
      <w:r w:rsidR="00133589" w:rsidRPr="00B11AD5">
        <w:rPr>
          <w:rFonts w:ascii="Times New Roman" w:hAnsi="Times New Roman" w:cs="Times New Roman"/>
        </w:rPr>
        <w:t xml:space="preserve"> </w:t>
      </w:r>
      <w:r w:rsidR="00133589" w:rsidRPr="001A1670">
        <w:rPr>
          <w:rFonts w:ascii="Times New Roman" w:hAnsi="Times New Roman" w:cs="Times New Roman"/>
        </w:rPr>
        <w:t>All governments with the average position of government parties (weighted by their legislative seat shares) on deregulation above 6 (on the 0-10 scale, where 0 indicates strong opposition and 10 indicates strong support to the deregulation of markets) were coded as supporting deregulation. All such government included only centre-right parties. All governments with the average position below 6 included either centre-left or both centre-left and centre-right parties with the exceptions of Hungary and Latvia, whose centre-right governments were not very supportive of deregulation, possibly due to the dominance of non-economic cleavages in these countries.</w:t>
      </w:r>
      <w:r w:rsidR="001A1670">
        <w:rPr>
          <w:rFonts w:ascii="Times New Roman" w:hAnsi="Times New Roman" w:cs="Times New Roman"/>
        </w:rPr>
        <w:t xml:space="preserve"> Information about parties’ positions was coded based on Bakker et al. (2015).</w:t>
      </w:r>
    </w:p>
    <w:p w14:paraId="07D74276" w14:textId="77777777" w:rsidR="00133589" w:rsidRPr="00B11AD5" w:rsidRDefault="0092007E" w:rsidP="00133589">
      <w:pPr>
        <w:pStyle w:val="ListParagraph"/>
        <w:numPr>
          <w:ilvl w:val="0"/>
          <w:numId w:val="1"/>
        </w:numPr>
        <w:spacing w:line="360" w:lineRule="auto"/>
        <w:jc w:val="both"/>
        <w:rPr>
          <w:rFonts w:ascii="Times New Roman" w:hAnsi="Times New Roman" w:cs="Times New Roman"/>
        </w:rPr>
      </w:pPr>
      <w:r w:rsidRPr="00B11AD5">
        <w:rPr>
          <w:rFonts w:ascii="Times New Roman" w:hAnsi="Times New Roman" w:cs="Times New Roman"/>
        </w:rPr>
        <w:t>Public authorities not responsible for the coordination</w:t>
      </w:r>
      <w:r w:rsidR="00727FE2" w:rsidRPr="00B11AD5">
        <w:rPr>
          <w:rFonts w:ascii="Times New Roman" w:hAnsi="Times New Roman" w:cs="Times New Roman"/>
        </w:rPr>
        <w:t>/oversight of Better Regulation</w:t>
      </w:r>
      <w:r w:rsidR="002C4F8C" w:rsidRPr="00B11AD5">
        <w:rPr>
          <w:rFonts w:ascii="Times New Roman" w:hAnsi="Times New Roman" w:cs="Times New Roman"/>
        </w:rPr>
        <w:t xml:space="preserve"> (implementers)</w:t>
      </w:r>
      <w:r w:rsidRPr="00B11AD5">
        <w:rPr>
          <w:rFonts w:ascii="Times New Roman" w:hAnsi="Times New Roman" w:cs="Times New Roman"/>
        </w:rPr>
        <w:t xml:space="preserve"> (15)</w:t>
      </w:r>
      <w:r w:rsidR="00727FE2" w:rsidRPr="00B11AD5">
        <w:rPr>
          <w:rFonts w:ascii="Times New Roman" w:hAnsi="Times New Roman" w:cs="Times New Roman"/>
        </w:rPr>
        <w:t>.</w:t>
      </w:r>
    </w:p>
    <w:p w14:paraId="54290ECD" w14:textId="040EC2BD" w:rsidR="0092007E" w:rsidRPr="00B11AD5" w:rsidRDefault="0092007E" w:rsidP="00133589">
      <w:pPr>
        <w:pStyle w:val="ListParagraph"/>
        <w:numPr>
          <w:ilvl w:val="0"/>
          <w:numId w:val="1"/>
        </w:numPr>
        <w:spacing w:line="360" w:lineRule="auto"/>
        <w:jc w:val="both"/>
        <w:rPr>
          <w:rFonts w:ascii="Times New Roman" w:hAnsi="Times New Roman" w:cs="Times New Roman"/>
        </w:rPr>
      </w:pPr>
      <w:r w:rsidRPr="00B11AD5">
        <w:rPr>
          <w:rFonts w:ascii="Times New Roman" w:hAnsi="Times New Roman" w:cs="Times New Roman"/>
        </w:rPr>
        <w:t>Cross-sectoral business active at European, national or sub-national level (25).</w:t>
      </w:r>
      <w:r w:rsidR="00133589" w:rsidRPr="00B11AD5">
        <w:rPr>
          <w:rFonts w:ascii="Times New Roman" w:hAnsi="Times New Roman" w:cs="Times New Roman"/>
          <w:highlight w:val="yellow"/>
        </w:rPr>
        <w:t xml:space="preserve"> </w:t>
      </w:r>
    </w:p>
    <w:p w14:paraId="4629A11E" w14:textId="6511D4D7" w:rsidR="0092007E" w:rsidRPr="00B11AD5" w:rsidRDefault="0092007E" w:rsidP="00495265">
      <w:pPr>
        <w:pStyle w:val="ListParagraph"/>
        <w:numPr>
          <w:ilvl w:val="0"/>
          <w:numId w:val="1"/>
        </w:numPr>
        <w:spacing w:line="360" w:lineRule="auto"/>
        <w:jc w:val="both"/>
        <w:rPr>
          <w:rFonts w:ascii="Times New Roman" w:hAnsi="Times New Roman" w:cs="Times New Roman"/>
        </w:rPr>
      </w:pPr>
      <w:r w:rsidRPr="00B11AD5">
        <w:rPr>
          <w:rFonts w:ascii="Times New Roman" w:hAnsi="Times New Roman" w:cs="Times New Roman"/>
        </w:rPr>
        <w:t>Sectoral business</w:t>
      </w:r>
      <w:r w:rsidR="00795414" w:rsidRPr="00B11AD5">
        <w:rPr>
          <w:rFonts w:ascii="Times New Roman" w:hAnsi="Times New Roman" w:cs="Times New Roman"/>
        </w:rPr>
        <w:t>:</w:t>
      </w:r>
      <w:r w:rsidRPr="00B11AD5">
        <w:rPr>
          <w:rFonts w:ascii="Times New Roman" w:hAnsi="Times New Roman" w:cs="Times New Roman"/>
        </w:rPr>
        <w:t xml:space="preserve"> companies or associations representing business in a distinct economic sector (27).</w:t>
      </w:r>
      <w:r w:rsidR="00133589" w:rsidRPr="00B11AD5">
        <w:rPr>
          <w:rFonts w:ascii="Times New Roman" w:hAnsi="Times New Roman" w:cs="Times New Roman"/>
        </w:rPr>
        <w:t xml:space="preserve"> </w:t>
      </w:r>
      <w:r w:rsidR="00133589" w:rsidRPr="001A1670">
        <w:rPr>
          <w:rFonts w:ascii="Times New Roman" w:hAnsi="Times New Roman" w:cs="Times New Roman"/>
        </w:rPr>
        <w:t xml:space="preserve">Whether the sectoral business association represents large companies or small and medium enterprises (SMEs) may also matter, as the latter are both more likely to care more about regulatory burden and less likely to benefit from regulatory capture. However, in our empirical analysis we find very limited differences between sectoral associations </w:t>
      </w:r>
      <w:r w:rsidR="00133589" w:rsidRPr="001A1670">
        <w:rPr>
          <w:rFonts w:ascii="Times New Roman" w:hAnsi="Times New Roman" w:cs="Times New Roman"/>
        </w:rPr>
        <w:lastRenderedPageBreak/>
        <w:t>representing big and small business. Also, given the small number of SMEs in our sample, we leave this argument for future inquiry and research.</w:t>
      </w:r>
    </w:p>
    <w:p w14:paraId="4616E326" w14:textId="5A9C1BA7" w:rsidR="0092007E" w:rsidRPr="00D14915" w:rsidRDefault="0092007E" w:rsidP="00495265">
      <w:pPr>
        <w:pStyle w:val="ListParagraph"/>
        <w:numPr>
          <w:ilvl w:val="0"/>
          <w:numId w:val="1"/>
        </w:numPr>
        <w:spacing w:line="360" w:lineRule="auto"/>
        <w:jc w:val="both"/>
        <w:rPr>
          <w:rFonts w:ascii="Times New Roman" w:hAnsi="Times New Roman" w:cs="Times New Roman"/>
        </w:rPr>
      </w:pPr>
      <w:r w:rsidRPr="00D14915">
        <w:rPr>
          <w:rFonts w:ascii="Times New Roman" w:hAnsi="Times New Roman" w:cs="Times New Roman"/>
        </w:rPr>
        <w:t xml:space="preserve">Public interest </w:t>
      </w:r>
      <w:r w:rsidR="00943814" w:rsidRPr="00D14915">
        <w:rPr>
          <w:rFonts w:ascii="Times New Roman" w:hAnsi="Times New Roman" w:cs="Times New Roman"/>
        </w:rPr>
        <w:t>organizations</w:t>
      </w:r>
      <w:r w:rsidRPr="00D14915">
        <w:rPr>
          <w:rFonts w:ascii="Times New Roman" w:hAnsi="Times New Roman" w:cs="Times New Roman"/>
        </w:rPr>
        <w:t xml:space="preserve"> (8).</w:t>
      </w:r>
    </w:p>
    <w:p w14:paraId="798E701F" w14:textId="49974CEB" w:rsidR="0092007E" w:rsidRPr="00CD6BC5" w:rsidRDefault="0092007E" w:rsidP="00495265">
      <w:pPr>
        <w:pStyle w:val="ListParagraph"/>
        <w:numPr>
          <w:ilvl w:val="0"/>
          <w:numId w:val="1"/>
        </w:numPr>
        <w:spacing w:line="360" w:lineRule="auto"/>
        <w:jc w:val="both"/>
        <w:rPr>
          <w:rFonts w:ascii="Times New Roman" w:hAnsi="Times New Roman" w:cs="Times New Roman"/>
        </w:rPr>
      </w:pPr>
      <w:r w:rsidRPr="00D14915">
        <w:rPr>
          <w:rFonts w:ascii="Times New Roman" w:hAnsi="Times New Roman" w:cs="Times New Roman"/>
        </w:rPr>
        <w:t>Professional associations</w:t>
      </w:r>
      <w:r w:rsidR="00795414">
        <w:rPr>
          <w:rFonts w:ascii="Times New Roman" w:hAnsi="Times New Roman" w:cs="Times New Roman"/>
        </w:rPr>
        <w:t xml:space="preserve">: </w:t>
      </w:r>
      <w:r w:rsidRPr="00D14915">
        <w:rPr>
          <w:rFonts w:ascii="Times New Roman" w:hAnsi="Times New Roman" w:cs="Times New Roman"/>
        </w:rPr>
        <w:t>trade unions, farmers</w:t>
      </w:r>
      <w:r w:rsidR="00795414">
        <w:rPr>
          <w:rFonts w:ascii="Times New Roman" w:hAnsi="Times New Roman" w:cs="Times New Roman"/>
        </w:rPr>
        <w:t>’</w:t>
      </w:r>
      <w:r w:rsidRPr="00D14915">
        <w:rPr>
          <w:rFonts w:ascii="Times New Roman" w:hAnsi="Times New Roman" w:cs="Times New Roman"/>
        </w:rPr>
        <w:t xml:space="preserve"> associations and </w:t>
      </w:r>
      <w:r w:rsidR="00943814" w:rsidRPr="00D14915">
        <w:rPr>
          <w:rFonts w:ascii="Times New Roman" w:hAnsi="Times New Roman" w:cs="Times New Roman"/>
        </w:rPr>
        <w:t>organizations</w:t>
      </w:r>
      <w:r w:rsidR="00727FE2">
        <w:rPr>
          <w:rFonts w:ascii="Times New Roman" w:hAnsi="Times New Roman" w:cs="Times New Roman"/>
        </w:rPr>
        <w:t xml:space="preserve"> representing ‘free’</w:t>
      </w:r>
      <w:r w:rsidRPr="00D14915">
        <w:rPr>
          <w:rFonts w:ascii="Times New Roman" w:hAnsi="Times New Roman" w:cs="Times New Roman"/>
        </w:rPr>
        <w:t xml:space="preserve"> professions (14). </w:t>
      </w:r>
    </w:p>
    <w:p w14:paraId="1ED730F7" w14:textId="1C263CA9" w:rsidR="002E795C" w:rsidRPr="006E283F" w:rsidRDefault="0092007E" w:rsidP="00821610">
      <w:pPr>
        <w:spacing w:line="360" w:lineRule="auto"/>
        <w:ind w:firstLine="360"/>
        <w:jc w:val="both"/>
        <w:rPr>
          <w:rFonts w:ascii="Times New Roman" w:hAnsi="Times New Roman" w:cs="Times New Roman"/>
        </w:rPr>
      </w:pPr>
      <w:r w:rsidRPr="00F56901">
        <w:rPr>
          <w:rFonts w:ascii="Times New Roman" w:hAnsi="Times New Roman" w:cs="Times New Roman"/>
        </w:rPr>
        <w:t xml:space="preserve">We are aware that the universe of stakeholders participating in the examined consultation does not entirely reflect the universe of all EU stakeholders having a stake in this reform process or providing the Commission with formal or informal feedback in this process. Methodologically this raises the issue of selection bias and casts a shadow of doubt about the potential to </w:t>
      </w:r>
      <w:r w:rsidR="00943814" w:rsidRPr="00F56901">
        <w:rPr>
          <w:rFonts w:ascii="Times New Roman" w:hAnsi="Times New Roman" w:cs="Times New Roman"/>
        </w:rPr>
        <w:t>generalize</w:t>
      </w:r>
      <w:r w:rsidRPr="00F56901">
        <w:rPr>
          <w:rFonts w:ascii="Times New Roman" w:hAnsi="Times New Roman" w:cs="Times New Roman"/>
        </w:rPr>
        <w:t xml:space="preserve"> our findings to the broader community of EU stakeholders</w:t>
      </w:r>
      <w:r w:rsidR="00795414">
        <w:rPr>
          <w:rFonts w:ascii="Times New Roman" w:hAnsi="Times New Roman" w:cs="Times New Roman"/>
        </w:rPr>
        <w:t xml:space="preserve">. </w:t>
      </w:r>
      <w:r w:rsidRPr="00F56901">
        <w:rPr>
          <w:rFonts w:ascii="Times New Roman" w:hAnsi="Times New Roman" w:cs="Times New Roman"/>
        </w:rPr>
        <w:t xml:space="preserve">We address this with two arguments. First, the high level of </w:t>
      </w:r>
      <w:r w:rsidR="00943814" w:rsidRPr="00F56901">
        <w:rPr>
          <w:rFonts w:ascii="Times New Roman" w:hAnsi="Times New Roman" w:cs="Times New Roman"/>
        </w:rPr>
        <w:t>institutionalization</w:t>
      </w:r>
      <w:r w:rsidRPr="00F56901">
        <w:rPr>
          <w:rFonts w:ascii="Times New Roman" w:hAnsi="Times New Roman" w:cs="Times New Roman"/>
        </w:rPr>
        <w:t xml:space="preserve"> of interactions between stakeholders and policymakers in the EU setting</w:t>
      </w:r>
      <w:r w:rsidR="00F203C7">
        <w:rPr>
          <w:rFonts w:ascii="Times New Roman" w:hAnsi="Times New Roman" w:cs="Times New Roman"/>
        </w:rPr>
        <w:t xml:space="preserve">, </w:t>
      </w:r>
      <w:r w:rsidRPr="00F56901">
        <w:rPr>
          <w:rFonts w:ascii="Times New Roman" w:hAnsi="Times New Roman" w:cs="Times New Roman"/>
        </w:rPr>
        <w:t xml:space="preserve">justifies our analytical focus on examining policy demands expressed in a formal EU policymaking setting such as </w:t>
      </w:r>
      <w:r w:rsidR="00795414">
        <w:rPr>
          <w:rFonts w:ascii="Times New Roman" w:hAnsi="Times New Roman" w:cs="Times New Roman"/>
        </w:rPr>
        <w:t>public</w:t>
      </w:r>
      <w:r w:rsidRPr="00F56901">
        <w:rPr>
          <w:rFonts w:ascii="Times New Roman" w:hAnsi="Times New Roman" w:cs="Times New Roman"/>
        </w:rPr>
        <w:t xml:space="preserve"> consultation. Second, the constellation of private actors participating in the consultation corresponds relatively well with the aggregate structure of stakeholders usually lobbying and p</w:t>
      </w:r>
      <w:r w:rsidR="00D14915">
        <w:rPr>
          <w:rFonts w:ascii="Times New Roman" w:hAnsi="Times New Roman" w:cs="Times New Roman"/>
        </w:rPr>
        <w:t xml:space="preserve">articipating in EU policymaking and </w:t>
      </w:r>
      <w:r w:rsidRPr="00F56901">
        <w:rPr>
          <w:rFonts w:ascii="Times New Roman" w:hAnsi="Times New Roman" w:cs="Times New Roman"/>
        </w:rPr>
        <w:t>marked by a stronger presence of business interests relative to all others (see Coen</w:t>
      </w:r>
      <w:r w:rsidR="00D14915">
        <w:rPr>
          <w:rFonts w:ascii="Times New Roman" w:hAnsi="Times New Roman" w:cs="Times New Roman"/>
        </w:rPr>
        <w:t xml:space="preserve"> and </w:t>
      </w:r>
      <w:r w:rsidRPr="006E283F">
        <w:rPr>
          <w:rFonts w:ascii="Times New Roman" w:hAnsi="Times New Roman" w:cs="Times New Roman"/>
        </w:rPr>
        <w:t>Katsaitis</w:t>
      </w:r>
      <w:r w:rsidR="00D14915" w:rsidRPr="006E283F">
        <w:rPr>
          <w:rFonts w:ascii="Times New Roman" w:hAnsi="Times New Roman" w:cs="Times New Roman"/>
        </w:rPr>
        <w:t xml:space="preserve"> </w:t>
      </w:r>
      <w:r w:rsidRPr="006E283F">
        <w:rPr>
          <w:rFonts w:ascii="Times New Roman" w:hAnsi="Times New Roman" w:cs="Times New Roman"/>
        </w:rPr>
        <w:t>20</w:t>
      </w:r>
      <w:r w:rsidR="00D14915" w:rsidRPr="006E283F">
        <w:rPr>
          <w:rFonts w:ascii="Times New Roman" w:hAnsi="Times New Roman" w:cs="Times New Roman"/>
        </w:rPr>
        <w:t>13</w:t>
      </w:r>
      <w:r w:rsidRPr="006E283F">
        <w:rPr>
          <w:rFonts w:ascii="Times New Roman" w:hAnsi="Times New Roman" w:cs="Times New Roman"/>
        </w:rPr>
        <w:t>).</w:t>
      </w:r>
    </w:p>
    <w:p w14:paraId="76D76A39" w14:textId="77777777" w:rsidR="00D03ADD" w:rsidRPr="006E283F" w:rsidRDefault="00D03ADD" w:rsidP="00495265">
      <w:pPr>
        <w:spacing w:line="360" w:lineRule="auto"/>
        <w:jc w:val="both"/>
        <w:rPr>
          <w:rFonts w:ascii="Times New Roman" w:hAnsi="Times New Roman" w:cs="Times New Roman"/>
          <w:b/>
        </w:rPr>
      </w:pPr>
    </w:p>
    <w:p w14:paraId="69BAC65F" w14:textId="5D0CB66C" w:rsidR="0092007E" w:rsidRPr="006E283F" w:rsidRDefault="00D14915" w:rsidP="00495265">
      <w:pPr>
        <w:spacing w:line="360" w:lineRule="auto"/>
        <w:jc w:val="both"/>
        <w:rPr>
          <w:rFonts w:ascii="Times New Roman" w:hAnsi="Times New Roman" w:cs="Times New Roman"/>
          <w:b/>
        </w:rPr>
      </w:pPr>
      <w:r w:rsidRPr="006E283F">
        <w:rPr>
          <w:rFonts w:ascii="Times New Roman" w:hAnsi="Times New Roman" w:cs="Times New Roman"/>
          <w:b/>
        </w:rPr>
        <w:t>Analyses</w:t>
      </w:r>
    </w:p>
    <w:p w14:paraId="7515F529" w14:textId="51A92AE0" w:rsidR="0092007E" w:rsidRPr="006E283F" w:rsidRDefault="007103C7" w:rsidP="00133589">
      <w:pPr>
        <w:spacing w:line="360" w:lineRule="auto"/>
        <w:ind w:firstLine="720"/>
        <w:jc w:val="both"/>
        <w:rPr>
          <w:rFonts w:ascii="Times New Roman" w:hAnsi="Times New Roman" w:cs="Times New Roman"/>
        </w:rPr>
      </w:pPr>
      <w:r w:rsidRPr="006E283F">
        <w:rPr>
          <w:rFonts w:ascii="Times New Roman" w:hAnsi="Times New Roman" w:cs="Times New Roman"/>
        </w:rPr>
        <w:t>As our dependent variables are counts</w:t>
      </w:r>
      <w:r w:rsidR="00E55BF0" w:rsidRPr="006E283F">
        <w:rPr>
          <w:rFonts w:ascii="Times New Roman" w:hAnsi="Times New Roman" w:cs="Times New Roman"/>
        </w:rPr>
        <w:t xml:space="preserve"> of demands</w:t>
      </w:r>
      <w:r w:rsidRPr="006E283F">
        <w:rPr>
          <w:rFonts w:ascii="Times New Roman" w:hAnsi="Times New Roman" w:cs="Times New Roman"/>
        </w:rPr>
        <w:t xml:space="preserve">, we </w:t>
      </w:r>
      <w:r w:rsidR="0092007E" w:rsidRPr="006E283F">
        <w:rPr>
          <w:rFonts w:ascii="Times New Roman" w:hAnsi="Times New Roman" w:cs="Times New Roman"/>
        </w:rPr>
        <w:t xml:space="preserve">test our theoretical expectations </w:t>
      </w:r>
      <w:r w:rsidR="00AD6B46" w:rsidRPr="006E283F">
        <w:rPr>
          <w:rFonts w:ascii="Times New Roman" w:hAnsi="Times New Roman" w:cs="Times New Roman"/>
        </w:rPr>
        <w:t>with the help of</w:t>
      </w:r>
      <w:r w:rsidRPr="006E283F">
        <w:rPr>
          <w:rFonts w:ascii="Times New Roman" w:hAnsi="Times New Roman" w:cs="Times New Roman"/>
        </w:rPr>
        <w:t xml:space="preserve"> </w:t>
      </w:r>
      <w:r w:rsidR="00821610" w:rsidRPr="006E283F">
        <w:rPr>
          <w:rFonts w:ascii="Times New Roman" w:hAnsi="Times New Roman" w:cs="Times New Roman"/>
        </w:rPr>
        <w:t>four</w:t>
      </w:r>
      <w:r w:rsidR="00AD6B46" w:rsidRPr="006E283F">
        <w:rPr>
          <w:rFonts w:ascii="Times New Roman" w:hAnsi="Times New Roman" w:cs="Times New Roman"/>
        </w:rPr>
        <w:t xml:space="preserve"> </w:t>
      </w:r>
      <w:r w:rsidRPr="006E283F">
        <w:rPr>
          <w:rFonts w:ascii="Times New Roman" w:hAnsi="Times New Roman" w:cs="Times New Roman"/>
        </w:rPr>
        <w:t xml:space="preserve">Poisson </w:t>
      </w:r>
      <w:r w:rsidR="00AD6B46" w:rsidRPr="006E283F">
        <w:rPr>
          <w:rFonts w:ascii="Times New Roman" w:hAnsi="Times New Roman" w:cs="Times New Roman"/>
        </w:rPr>
        <w:t xml:space="preserve">regression </w:t>
      </w:r>
      <w:r w:rsidRPr="006E283F">
        <w:rPr>
          <w:rFonts w:ascii="Times New Roman" w:hAnsi="Times New Roman" w:cs="Times New Roman"/>
        </w:rPr>
        <w:t>models</w:t>
      </w:r>
      <w:r w:rsidR="00AD6B46" w:rsidRPr="006E283F">
        <w:rPr>
          <w:rFonts w:ascii="Times New Roman" w:hAnsi="Times New Roman" w:cs="Times New Roman"/>
        </w:rPr>
        <w:t>.</w:t>
      </w:r>
      <w:r w:rsidR="00133589">
        <w:rPr>
          <w:rFonts w:ascii="Times New Roman" w:hAnsi="Times New Roman" w:cs="Times New Roman"/>
        </w:rPr>
        <w:t xml:space="preserve"> </w:t>
      </w:r>
      <w:r w:rsidR="0092007E" w:rsidRPr="006E283F">
        <w:rPr>
          <w:rFonts w:ascii="Times New Roman" w:hAnsi="Times New Roman" w:cs="Times New Roman"/>
        </w:rPr>
        <w:t>Table</w:t>
      </w:r>
      <w:r w:rsidR="00D14915" w:rsidRPr="006E283F">
        <w:rPr>
          <w:rFonts w:ascii="Times New Roman" w:hAnsi="Times New Roman" w:cs="Times New Roman"/>
        </w:rPr>
        <w:t xml:space="preserve"> 2</w:t>
      </w:r>
      <w:r w:rsidR="0092007E" w:rsidRPr="006E283F">
        <w:rPr>
          <w:rFonts w:ascii="Times New Roman" w:hAnsi="Times New Roman" w:cs="Times New Roman"/>
        </w:rPr>
        <w:t xml:space="preserve"> shows the results of </w:t>
      </w:r>
      <w:r w:rsidR="00670811" w:rsidRPr="006E283F">
        <w:rPr>
          <w:rFonts w:ascii="Times New Roman" w:hAnsi="Times New Roman" w:cs="Times New Roman"/>
        </w:rPr>
        <w:t>the</w:t>
      </w:r>
      <w:r w:rsidR="0092007E" w:rsidRPr="006E283F">
        <w:rPr>
          <w:rFonts w:ascii="Times New Roman" w:hAnsi="Times New Roman" w:cs="Times New Roman"/>
        </w:rPr>
        <w:t xml:space="preserve"> regression models with the count of the demands of each type of regulatory reform as the dependent variables and the </w:t>
      </w:r>
      <w:r w:rsidR="004C05FA" w:rsidRPr="006E283F">
        <w:rPr>
          <w:rFonts w:ascii="Times New Roman" w:hAnsi="Times New Roman" w:cs="Times New Roman"/>
        </w:rPr>
        <w:t xml:space="preserve">stakeholders’ </w:t>
      </w:r>
      <w:r w:rsidR="0092007E" w:rsidRPr="006E283F">
        <w:rPr>
          <w:rFonts w:ascii="Times New Roman" w:hAnsi="Times New Roman" w:cs="Times New Roman"/>
        </w:rPr>
        <w:t>interest type as the explanatory variable.</w:t>
      </w:r>
      <w:r w:rsidR="00D14915" w:rsidRPr="006E283F">
        <w:rPr>
          <w:rFonts w:ascii="Times New Roman" w:hAnsi="Times New Roman" w:cs="Times New Roman"/>
        </w:rPr>
        <w:t xml:space="preserve"> </w:t>
      </w:r>
      <w:r w:rsidR="0092007E" w:rsidRPr="006E283F">
        <w:rPr>
          <w:rFonts w:ascii="Times New Roman" w:hAnsi="Times New Roman" w:cs="Times New Roman"/>
        </w:rPr>
        <w:t>On the predictor variable, the reference category is public authorities responsible for the coordination/oversight of Better Regulati</w:t>
      </w:r>
      <w:r w:rsidR="00D14915" w:rsidRPr="006E283F">
        <w:rPr>
          <w:rFonts w:ascii="Times New Roman" w:hAnsi="Times New Roman" w:cs="Times New Roman"/>
        </w:rPr>
        <w:t>on measures at national level (‘pro-deregulation’ in Model 1 and ‘not pro-deregulation’</w:t>
      </w:r>
      <w:r w:rsidR="0092007E" w:rsidRPr="006E283F">
        <w:rPr>
          <w:rFonts w:ascii="Times New Roman" w:hAnsi="Times New Roman" w:cs="Times New Roman"/>
        </w:rPr>
        <w:t xml:space="preserve"> in Model 2)</w:t>
      </w:r>
      <w:r w:rsidR="00821610" w:rsidRPr="006E283F">
        <w:rPr>
          <w:rFonts w:ascii="Times New Roman" w:hAnsi="Times New Roman" w:cs="Times New Roman"/>
        </w:rPr>
        <w:t>, cross-sectoral business organi</w:t>
      </w:r>
      <w:r w:rsidR="00DD759E" w:rsidRPr="006E283F">
        <w:rPr>
          <w:rFonts w:ascii="Times New Roman" w:hAnsi="Times New Roman" w:cs="Times New Roman"/>
        </w:rPr>
        <w:t>z</w:t>
      </w:r>
      <w:r w:rsidR="00821610" w:rsidRPr="006E283F">
        <w:rPr>
          <w:rFonts w:ascii="Times New Roman" w:hAnsi="Times New Roman" w:cs="Times New Roman"/>
        </w:rPr>
        <w:t>ations (Model 3)</w:t>
      </w:r>
      <w:r w:rsidR="0092007E" w:rsidRPr="006E283F">
        <w:rPr>
          <w:rFonts w:ascii="Times New Roman" w:hAnsi="Times New Roman" w:cs="Times New Roman"/>
        </w:rPr>
        <w:t xml:space="preserve"> and public interest </w:t>
      </w:r>
      <w:r w:rsidR="00943814" w:rsidRPr="006E283F">
        <w:rPr>
          <w:rFonts w:ascii="Times New Roman" w:hAnsi="Times New Roman" w:cs="Times New Roman"/>
        </w:rPr>
        <w:t>organizations</w:t>
      </w:r>
      <w:r w:rsidR="0092007E" w:rsidRPr="006E283F">
        <w:rPr>
          <w:rFonts w:ascii="Times New Roman" w:hAnsi="Times New Roman" w:cs="Times New Roman"/>
        </w:rPr>
        <w:t xml:space="preserve"> (Model </w:t>
      </w:r>
      <w:r w:rsidR="00821610" w:rsidRPr="006E283F">
        <w:rPr>
          <w:rFonts w:ascii="Times New Roman" w:hAnsi="Times New Roman" w:cs="Times New Roman"/>
        </w:rPr>
        <w:t>4</w:t>
      </w:r>
      <w:r w:rsidR="0092007E" w:rsidRPr="006E283F">
        <w:rPr>
          <w:rFonts w:ascii="Times New Roman" w:hAnsi="Times New Roman" w:cs="Times New Roman"/>
        </w:rPr>
        <w:t>).</w:t>
      </w:r>
      <w:r w:rsidR="00DD759E" w:rsidRPr="006E283F">
        <w:rPr>
          <w:rFonts w:ascii="Times New Roman" w:hAnsi="Times New Roman" w:cs="Times New Roman"/>
        </w:rPr>
        <w:t xml:space="preserve"> Each model tests one of the four hypotheses derived in the theoretical section.</w:t>
      </w:r>
    </w:p>
    <w:p w14:paraId="3B6FB255" w14:textId="77777777" w:rsidR="004C05FA" w:rsidRPr="006E283F" w:rsidRDefault="004C05FA" w:rsidP="00C37F9E">
      <w:pPr>
        <w:spacing w:line="360" w:lineRule="auto"/>
        <w:ind w:firstLine="720"/>
        <w:jc w:val="both"/>
        <w:rPr>
          <w:rFonts w:ascii="Times New Roman" w:hAnsi="Times New Roman" w:cs="Times New Roman"/>
        </w:rPr>
      </w:pPr>
    </w:p>
    <w:p w14:paraId="14E0D7A4" w14:textId="21DD665F" w:rsidR="0092007E" w:rsidRPr="006E283F" w:rsidRDefault="00D14915" w:rsidP="00495265">
      <w:pPr>
        <w:spacing w:line="360" w:lineRule="auto"/>
        <w:jc w:val="center"/>
        <w:rPr>
          <w:rFonts w:ascii="Times New Roman" w:hAnsi="Times New Roman" w:cs="Times New Roman"/>
          <w:b/>
        </w:rPr>
      </w:pPr>
      <w:r w:rsidRPr="006E283F">
        <w:rPr>
          <w:rFonts w:ascii="Times New Roman" w:hAnsi="Times New Roman" w:cs="Times New Roman"/>
          <w:b/>
        </w:rPr>
        <w:t>[Table 2]</w:t>
      </w:r>
    </w:p>
    <w:p w14:paraId="10BD6A00" w14:textId="77777777" w:rsidR="0092007E" w:rsidRPr="006E283F" w:rsidRDefault="0092007E" w:rsidP="00495265">
      <w:pPr>
        <w:spacing w:line="360" w:lineRule="auto"/>
        <w:jc w:val="both"/>
        <w:rPr>
          <w:rFonts w:ascii="Times New Roman" w:hAnsi="Times New Roman" w:cs="Times New Roman"/>
        </w:rPr>
      </w:pPr>
    </w:p>
    <w:p w14:paraId="6384B846" w14:textId="54106985" w:rsidR="0092007E" w:rsidRPr="006E283F" w:rsidRDefault="0092007E" w:rsidP="00495265">
      <w:pPr>
        <w:spacing w:line="360" w:lineRule="auto"/>
        <w:ind w:firstLine="720"/>
        <w:jc w:val="both"/>
        <w:rPr>
          <w:rFonts w:ascii="Times New Roman" w:hAnsi="Times New Roman" w:cs="Times New Roman"/>
        </w:rPr>
      </w:pPr>
      <w:r w:rsidRPr="006E283F">
        <w:rPr>
          <w:rFonts w:ascii="Times New Roman" w:hAnsi="Times New Roman" w:cs="Times New Roman"/>
        </w:rPr>
        <w:lastRenderedPageBreak/>
        <w:t>Starting with demands for deregulation (Model</w:t>
      </w:r>
      <w:r w:rsidR="00DD759E" w:rsidRPr="006E283F">
        <w:rPr>
          <w:rFonts w:ascii="Times New Roman" w:hAnsi="Times New Roman" w:cs="Times New Roman"/>
        </w:rPr>
        <w:t>s</w:t>
      </w:r>
      <w:r w:rsidRPr="006E283F">
        <w:rPr>
          <w:rFonts w:ascii="Times New Roman" w:hAnsi="Times New Roman" w:cs="Times New Roman"/>
        </w:rPr>
        <w:t xml:space="preserve"> 1</w:t>
      </w:r>
      <w:r w:rsidR="00DD759E" w:rsidRPr="006E283F">
        <w:rPr>
          <w:rFonts w:ascii="Times New Roman" w:hAnsi="Times New Roman" w:cs="Times New Roman"/>
        </w:rPr>
        <w:t xml:space="preserve"> and 3</w:t>
      </w:r>
      <w:r w:rsidRPr="006E283F">
        <w:rPr>
          <w:rFonts w:ascii="Times New Roman" w:hAnsi="Times New Roman" w:cs="Times New Roman"/>
        </w:rPr>
        <w:t>),</w:t>
      </w:r>
      <w:r w:rsidRPr="00821610">
        <w:rPr>
          <w:rFonts w:ascii="Times New Roman" w:hAnsi="Times New Roman" w:cs="Times New Roman"/>
        </w:rPr>
        <w:t xml:space="preserve"> the coefficients of the categories representing public authorities that are not responsible for Better Regulation coordination/oversight</w:t>
      </w:r>
      <w:r w:rsidR="004C05FA" w:rsidRPr="00821610">
        <w:rPr>
          <w:rFonts w:ascii="Times New Roman" w:hAnsi="Times New Roman" w:cs="Times New Roman"/>
        </w:rPr>
        <w:t xml:space="preserve"> (implementers)</w:t>
      </w:r>
      <w:r w:rsidRPr="00821610">
        <w:rPr>
          <w:rFonts w:ascii="Times New Roman" w:hAnsi="Times New Roman" w:cs="Times New Roman"/>
        </w:rPr>
        <w:t xml:space="preserve">, sectoral business groups, public interest </w:t>
      </w:r>
      <w:r w:rsidR="00943814" w:rsidRPr="00821610">
        <w:rPr>
          <w:rFonts w:ascii="Times New Roman" w:hAnsi="Times New Roman" w:cs="Times New Roman"/>
        </w:rPr>
        <w:t>organizations</w:t>
      </w:r>
      <w:r w:rsidRPr="00821610">
        <w:rPr>
          <w:rFonts w:ascii="Times New Roman" w:hAnsi="Times New Roman" w:cs="Times New Roman"/>
        </w:rPr>
        <w:t xml:space="preserve"> and professional associations are negative and statistically significant at the 0.001 level. </w:t>
      </w:r>
      <w:r w:rsidR="00DC0821" w:rsidRPr="00821610">
        <w:rPr>
          <w:rFonts w:ascii="Times New Roman" w:hAnsi="Times New Roman" w:cs="Times New Roman"/>
        </w:rPr>
        <w:t>These</w:t>
      </w:r>
      <w:r w:rsidRPr="00821610">
        <w:rPr>
          <w:rFonts w:ascii="Times New Roman" w:hAnsi="Times New Roman" w:cs="Times New Roman"/>
        </w:rPr>
        <w:t xml:space="preserve"> stakeholder categories made betwe</w:t>
      </w:r>
      <w:r w:rsidR="00D14915" w:rsidRPr="00821610">
        <w:rPr>
          <w:rFonts w:ascii="Times New Roman" w:hAnsi="Times New Roman" w:cs="Times New Roman"/>
        </w:rPr>
        <w:t xml:space="preserve">en </w:t>
      </w:r>
      <w:r w:rsidR="00D52502" w:rsidRPr="00821610">
        <w:rPr>
          <w:rFonts w:ascii="Times New Roman" w:hAnsi="Times New Roman" w:cs="Times New Roman"/>
        </w:rPr>
        <w:t>2</w:t>
      </w:r>
      <w:r w:rsidR="00D14915" w:rsidRPr="00821610">
        <w:rPr>
          <w:rFonts w:ascii="Times New Roman" w:hAnsi="Times New Roman" w:cs="Times New Roman"/>
        </w:rPr>
        <w:t xml:space="preserve"> and </w:t>
      </w:r>
      <w:r w:rsidR="00D52502" w:rsidRPr="00821610">
        <w:rPr>
          <w:rFonts w:ascii="Times New Roman" w:hAnsi="Times New Roman" w:cs="Times New Roman"/>
        </w:rPr>
        <w:t>2.5</w:t>
      </w:r>
      <w:r w:rsidR="00D14915" w:rsidRPr="00821610">
        <w:rPr>
          <w:rFonts w:ascii="Times New Roman" w:hAnsi="Times New Roman" w:cs="Times New Roman"/>
        </w:rPr>
        <w:t xml:space="preserve"> less ‘deregulatory’</w:t>
      </w:r>
      <w:r w:rsidRPr="00821610">
        <w:rPr>
          <w:rFonts w:ascii="Times New Roman" w:hAnsi="Times New Roman" w:cs="Times New Roman"/>
        </w:rPr>
        <w:t xml:space="preserve"> demands in comparison to pro-deregulation public institutions that oversee Better Regulation. This supports Hypothesis 1. The coefficient of the category for cross-sectoral business associations is also statistically significant, but its size is much smaller</w:t>
      </w:r>
      <w:r w:rsidR="00113D94" w:rsidRPr="00821610">
        <w:rPr>
          <w:rFonts w:ascii="Times New Roman" w:hAnsi="Times New Roman" w:cs="Times New Roman"/>
        </w:rPr>
        <w:t>.</w:t>
      </w:r>
      <w:r w:rsidRPr="00821610">
        <w:rPr>
          <w:rFonts w:ascii="Times New Roman" w:hAnsi="Times New Roman" w:cs="Times New Roman"/>
        </w:rPr>
        <w:t xml:space="preserve"> </w:t>
      </w:r>
      <w:r w:rsidR="00C530A2" w:rsidRPr="006E283F">
        <w:rPr>
          <w:rFonts w:ascii="Times New Roman" w:hAnsi="Times New Roman" w:cs="Times New Roman"/>
          <w:lang w:val="en-GB"/>
        </w:rPr>
        <w:t>Cross-sectoral business express</w:t>
      </w:r>
      <w:r w:rsidR="00C03D97" w:rsidRPr="006E283F">
        <w:rPr>
          <w:rFonts w:ascii="Times New Roman" w:hAnsi="Times New Roman" w:cs="Times New Roman"/>
          <w:lang w:val="en-GB"/>
        </w:rPr>
        <w:t>ed</w:t>
      </w:r>
      <w:r w:rsidR="00C530A2" w:rsidRPr="006E283F">
        <w:rPr>
          <w:rFonts w:ascii="Times New Roman" w:hAnsi="Times New Roman" w:cs="Times New Roman"/>
          <w:lang w:val="en-GB"/>
        </w:rPr>
        <w:t xml:space="preserve"> 1.3 ‘</w:t>
      </w:r>
      <w:r w:rsidR="00C03D97" w:rsidRPr="006E283F">
        <w:rPr>
          <w:rFonts w:ascii="Times New Roman" w:hAnsi="Times New Roman" w:cs="Times New Roman"/>
          <w:lang w:val="en-GB"/>
        </w:rPr>
        <w:t>deregulatory</w:t>
      </w:r>
      <w:r w:rsidR="00C530A2" w:rsidRPr="006E283F">
        <w:rPr>
          <w:rFonts w:ascii="Times New Roman" w:hAnsi="Times New Roman" w:cs="Times New Roman"/>
          <w:lang w:val="en-GB"/>
        </w:rPr>
        <w:t>’ demands less than pro-deregulation public authorities that oversee Better Regulation.</w:t>
      </w:r>
      <w:r w:rsidR="00C530A2" w:rsidRPr="006E283F">
        <w:rPr>
          <w:rFonts w:ascii="Times New Roman" w:hAnsi="Times New Roman" w:cs="Times New Roman"/>
        </w:rPr>
        <w:t xml:space="preserve"> </w:t>
      </w:r>
    </w:p>
    <w:p w14:paraId="245858D1" w14:textId="3F1022AB" w:rsidR="00D14915" w:rsidRPr="006E283F" w:rsidRDefault="0092007E" w:rsidP="00495265">
      <w:pPr>
        <w:spacing w:line="360" w:lineRule="auto"/>
        <w:ind w:firstLine="720"/>
        <w:jc w:val="both"/>
        <w:rPr>
          <w:rFonts w:ascii="Times New Roman" w:hAnsi="Times New Roman" w:cs="Times New Roman"/>
        </w:rPr>
      </w:pPr>
      <w:r w:rsidRPr="006E283F">
        <w:rPr>
          <w:rFonts w:ascii="Times New Roman" w:hAnsi="Times New Roman" w:cs="Times New Roman"/>
        </w:rPr>
        <w:t xml:space="preserve">The results of Model 2 reject Hypothesis 2. Public authorities that oversee Better Regulation and </w:t>
      </w:r>
      <w:r w:rsidR="00C530A2" w:rsidRPr="006E283F">
        <w:rPr>
          <w:rFonts w:ascii="Times New Roman" w:hAnsi="Times New Roman" w:cs="Times New Roman"/>
        </w:rPr>
        <w:t xml:space="preserve">that were part of governments that </w:t>
      </w:r>
      <w:r w:rsidRPr="006E283F">
        <w:rPr>
          <w:rFonts w:ascii="Times New Roman" w:hAnsi="Times New Roman" w:cs="Times New Roman"/>
        </w:rPr>
        <w:t>were evaluated by experts as being generally animated by non-deregulatory inclinations</w:t>
      </w:r>
      <w:r w:rsidR="00C530A2" w:rsidRPr="006E283F">
        <w:rPr>
          <w:rFonts w:ascii="Times New Roman" w:hAnsi="Times New Roman" w:cs="Times New Roman"/>
        </w:rPr>
        <w:t>,</w:t>
      </w:r>
      <w:r w:rsidRPr="006E283F">
        <w:rPr>
          <w:rFonts w:ascii="Times New Roman" w:hAnsi="Times New Roman" w:cs="Times New Roman"/>
        </w:rPr>
        <w:t xml:space="preserve"> are less likely to support measures to strengthen technocratic (evidence-based) policymaking relative to their counterparts that are pro-deregulation and cross-sectoral business</w:t>
      </w:r>
      <w:r w:rsidR="00BD47E6" w:rsidRPr="006E283F">
        <w:rPr>
          <w:rFonts w:ascii="Times New Roman" w:hAnsi="Times New Roman" w:cs="Times New Roman"/>
        </w:rPr>
        <w:t xml:space="preserve"> groups</w:t>
      </w:r>
      <w:r w:rsidRPr="006E283F">
        <w:rPr>
          <w:rFonts w:ascii="Times New Roman" w:hAnsi="Times New Roman" w:cs="Times New Roman"/>
        </w:rPr>
        <w:t xml:space="preserve">. </w:t>
      </w:r>
      <w:r w:rsidR="004D0715" w:rsidRPr="006E283F">
        <w:rPr>
          <w:rFonts w:ascii="Times New Roman" w:hAnsi="Times New Roman" w:cs="Times New Roman"/>
        </w:rPr>
        <w:t>In comparison to the latter two types of stakeholders, a</w:t>
      </w:r>
      <w:r w:rsidRPr="006E283F">
        <w:rPr>
          <w:rFonts w:ascii="Times New Roman" w:hAnsi="Times New Roman" w:cs="Times New Roman"/>
        </w:rPr>
        <w:t>ll other categories of stakeholders are also less supportive of this type of reform</w:t>
      </w:r>
      <w:r w:rsidR="004D0715" w:rsidRPr="006E283F">
        <w:rPr>
          <w:rFonts w:ascii="Times New Roman" w:hAnsi="Times New Roman" w:cs="Times New Roman"/>
        </w:rPr>
        <w:t>.</w:t>
      </w:r>
    </w:p>
    <w:p w14:paraId="4AE49441" w14:textId="4517DE3B" w:rsidR="00C03D97" w:rsidRPr="006E283F" w:rsidRDefault="00C03D97" w:rsidP="00C03D97">
      <w:pPr>
        <w:spacing w:line="360" w:lineRule="auto"/>
        <w:ind w:firstLine="720"/>
        <w:jc w:val="both"/>
        <w:rPr>
          <w:rFonts w:ascii="Times New Roman" w:hAnsi="Times New Roman" w:cs="Times New Roman"/>
        </w:rPr>
      </w:pPr>
      <w:r w:rsidRPr="006E283F">
        <w:rPr>
          <w:rFonts w:ascii="Times New Roman" w:hAnsi="Times New Roman" w:cs="Times New Roman"/>
        </w:rPr>
        <w:t>Model 3 shows that when cross-sectoral business is used as a reference category, the coefficients for the four categories of stakeholders that are less enthusiastic about deregulatory measures remain statistically significant in the same direction. This supports Hypothesis 3 postulating that cross-sectoral business associations are more supportive of deregulation than most other stakeholders.</w:t>
      </w:r>
    </w:p>
    <w:p w14:paraId="47E82C31" w14:textId="55736D5C" w:rsidR="00133589" w:rsidRPr="008543E0" w:rsidRDefault="0092007E" w:rsidP="008543E0">
      <w:pPr>
        <w:spacing w:line="360" w:lineRule="auto"/>
        <w:ind w:firstLine="720"/>
        <w:jc w:val="both"/>
        <w:rPr>
          <w:rFonts w:ascii="Times New Roman" w:hAnsi="Times New Roman" w:cs="Times New Roman"/>
        </w:rPr>
      </w:pPr>
      <w:r w:rsidRPr="006E283F">
        <w:rPr>
          <w:rFonts w:ascii="Times New Roman" w:hAnsi="Times New Roman" w:cs="Times New Roman"/>
        </w:rPr>
        <w:t xml:space="preserve">Finally, </w:t>
      </w:r>
      <w:r w:rsidR="00C530A2" w:rsidRPr="006E283F">
        <w:rPr>
          <w:rFonts w:ascii="Times New Roman" w:hAnsi="Times New Roman" w:cs="Times New Roman"/>
        </w:rPr>
        <w:t xml:space="preserve">Model 4 indicates </w:t>
      </w:r>
      <w:r w:rsidRPr="006E283F">
        <w:rPr>
          <w:rFonts w:ascii="Times New Roman" w:hAnsi="Times New Roman" w:cs="Times New Roman"/>
        </w:rPr>
        <w:t>only limit</w:t>
      </w:r>
      <w:r w:rsidRPr="00821610">
        <w:rPr>
          <w:rFonts w:ascii="Times New Roman" w:hAnsi="Times New Roman" w:cs="Times New Roman"/>
        </w:rPr>
        <w:t xml:space="preserve">ed support for Hypothesis 4 expecting a greater propensity of public interest </w:t>
      </w:r>
      <w:r w:rsidR="00943814" w:rsidRPr="00821610">
        <w:rPr>
          <w:rFonts w:ascii="Times New Roman" w:hAnsi="Times New Roman" w:cs="Times New Roman"/>
        </w:rPr>
        <w:t>organizations</w:t>
      </w:r>
      <w:r w:rsidRPr="00821610">
        <w:rPr>
          <w:rFonts w:ascii="Times New Roman" w:hAnsi="Times New Roman" w:cs="Times New Roman"/>
        </w:rPr>
        <w:t xml:space="preserve"> to support measures aimed at increasing the participatory character of policymaking. This </w:t>
      </w:r>
      <w:r w:rsidR="00D64AF9">
        <w:rPr>
          <w:rFonts w:ascii="Times New Roman" w:hAnsi="Times New Roman" w:cs="Times New Roman"/>
        </w:rPr>
        <w:t>i</w:t>
      </w:r>
      <w:r w:rsidRPr="00821610">
        <w:rPr>
          <w:rFonts w:ascii="Times New Roman" w:hAnsi="Times New Roman" w:cs="Times New Roman"/>
        </w:rPr>
        <w:t xml:space="preserve">s the case only when public interest </w:t>
      </w:r>
      <w:r w:rsidR="00943814" w:rsidRPr="00821610">
        <w:rPr>
          <w:rFonts w:ascii="Times New Roman" w:hAnsi="Times New Roman" w:cs="Times New Roman"/>
        </w:rPr>
        <w:t>organizations</w:t>
      </w:r>
      <w:r w:rsidRPr="00821610">
        <w:rPr>
          <w:rFonts w:ascii="Times New Roman" w:hAnsi="Times New Roman" w:cs="Times New Roman"/>
        </w:rPr>
        <w:t xml:space="preserve"> are compared to public institutions that do not oversee national better regulation agendas</w:t>
      </w:r>
      <w:r w:rsidR="00552D25" w:rsidRPr="00821610">
        <w:rPr>
          <w:rFonts w:ascii="Times New Roman" w:hAnsi="Times New Roman" w:cs="Times New Roman"/>
        </w:rPr>
        <w:t xml:space="preserve">: </w:t>
      </w:r>
      <w:r w:rsidR="002D33B2" w:rsidRPr="00821610">
        <w:rPr>
          <w:rFonts w:ascii="Times New Roman" w:hAnsi="Times New Roman" w:cs="Times New Roman"/>
        </w:rPr>
        <w:t xml:space="preserve">the latter </w:t>
      </w:r>
      <w:r w:rsidR="00C6287A" w:rsidRPr="00821610">
        <w:rPr>
          <w:rFonts w:ascii="Times New Roman" w:hAnsi="Times New Roman" w:cs="Times New Roman"/>
        </w:rPr>
        <w:t xml:space="preserve">on average </w:t>
      </w:r>
      <w:r w:rsidR="002D33B2" w:rsidRPr="00821610">
        <w:rPr>
          <w:rFonts w:ascii="Times New Roman" w:hAnsi="Times New Roman" w:cs="Times New Roman"/>
        </w:rPr>
        <w:t>made 2.2 ‘participator</w:t>
      </w:r>
      <w:r w:rsidR="00552D25" w:rsidRPr="00821610">
        <w:rPr>
          <w:rFonts w:ascii="Times New Roman" w:hAnsi="Times New Roman" w:cs="Times New Roman"/>
        </w:rPr>
        <w:t>y’ demands less than the former</w:t>
      </w:r>
      <w:r w:rsidRPr="00821610">
        <w:rPr>
          <w:rFonts w:ascii="Times New Roman" w:hAnsi="Times New Roman" w:cs="Times New Roman"/>
        </w:rPr>
        <w:t xml:space="preserve">. </w:t>
      </w:r>
      <w:r w:rsidR="005F6203" w:rsidRPr="00821610">
        <w:rPr>
          <w:rFonts w:ascii="Times New Roman" w:hAnsi="Times New Roman" w:cs="Times New Roman"/>
        </w:rPr>
        <w:t>Except for</w:t>
      </w:r>
      <w:r w:rsidRPr="00821610">
        <w:rPr>
          <w:rFonts w:ascii="Times New Roman" w:hAnsi="Times New Roman" w:cs="Times New Roman"/>
        </w:rPr>
        <w:t xml:space="preserve"> this latter category of interests, all other actors express</w:t>
      </w:r>
      <w:r w:rsidR="00D14915" w:rsidRPr="00821610">
        <w:rPr>
          <w:rFonts w:ascii="Times New Roman" w:hAnsi="Times New Roman" w:cs="Times New Roman"/>
        </w:rPr>
        <w:t>ed a roughly similar number of ‘participatory’</w:t>
      </w:r>
      <w:r w:rsidRPr="00821610">
        <w:rPr>
          <w:rFonts w:ascii="Times New Roman" w:hAnsi="Times New Roman" w:cs="Times New Roman"/>
        </w:rPr>
        <w:t xml:space="preserve"> demands</w:t>
      </w:r>
      <w:r w:rsidR="00AC185C" w:rsidRPr="00821610">
        <w:rPr>
          <w:rFonts w:ascii="Times New Roman" w:hAnsi="Times New Roman" w:cs="Times New Roman"/>
        </w:rPr>
        <w:t>, with business and public interest groups being somewhat more likely to push for this type of reform than public institutions and professional associations.</w:t>
      </w:r>
      <w:r w:rsidR="00EB2EE6" w:rsidRPr="00821610">
        <w:rPr>
          <w:rFonts w:ascii="Times New Roman" w:hAnsi="Times New Roman" w:cs="Times New Roman"/>
        </w:rPr>
        <w:t xml:space="preserve"> One </w:t>
      </w:r>
      <w:r w:rsidR="00603D39" w:rsidRPr="00821610">
        <w:rPr>
          <w:rFonts w:ascii="Times New Roman" w:hAnsi="Times New Roman" w:cs="Times New Roman"/>
        </w:rPr>
        <w:t xml:space="preserve">explanation for this is that most stakeholders were equally interested in extending the scope of EU stakeholder consultations to more policy stages and to a broader set of legislative and non-legislative acts. </w:t>
      </w:r>
      <w:r w:rsidR="00EB2EE6" w:rsidRPr="00821610">
        <w:rPr>
          <w:rFonts w:ascii="Times New Roman" w:hAnsi="Times New Roman" w:cs="Times New Roman"/>
        </w:rPr>
        <w:t>T</w:t>
      </w:r>
      <w:r w:rsidR="00603D39" w:rsidRPr="00821610">
        <w:rPr>
          <w:rFonts w:ascii="Times New Roman" w:hAnsi="Times New Roman" w:cs="Times New Roman"/>
        </w:rPr>
        <w:t xml:space="preserve">his was the most frequent demand in the dataset. More consultations </w:t>
      </w:r>
      <w:r w:rsidR="00EB2EE6" w:rsidRPr="00821610">
        <w:rPr>
          <w:rFonts w:ascii="Times New Roman" w:hAnsi="Times New Roman" w:cs="Times New Roman"/>
        </w:rPr>
        <w:lastRenderedPageBreak/>
        <w:t>offer</w:t>
      </w:r>
      <w:r w:rsidR="00603D39" w:rsidRPr="00821610">
        <w:rPr>
          <w:rFonts w:ascii="Times New Roman" w:hAnsi="Times New Roman" w:cs="Times New Roman"/>
        </w:rPr>
        <w:t xml:space="preserve"> more </w:t>
      </w:r>
      <w:r w:rsidR="00BF4473" w:rsidRPr="00821610">
        <w:rPr>
          <w:rFonts w:ascii="Times New Roman" w:hAnsi="Times New Roman" w:cs="Times New Roman"/>
        </w:rPr>
        <w:t xml:space="preserve">access to policymaking, </w:t>
      </w:r>
      <w:r w:rsidR="00603D39" w:rsidRPr="00821610">
        <w:rPr>
          <w:rFonts w:ascii="Times New Roman" w:hAnsi="Times New Roman" w:cs="Times New Roman"/>
        </w:rPr>
        <w:t xml:space="preserve">lobbying and influence venues, an aspect that is </w:t>
      </w:r>
      <w:r w:rsidR="00EB2EE6" w:rsidRPr="00821610">
        <w:rPr>
          <w:rFonts w:ascii="Times New Roman" w:hAnsi="Times New Roman" w:cs="Times New Roman"/>
        </w:rPr>
        <w:t>appreciated</w:t>
      </w:r>
      <w:r w:rsidR="00603D39" w:rsidRPr="00821610">
        <w:rPr>
          <w:rFonts w:ascii="Times New Roman" w:hAnsi="Times New Roman" w:cs="Times New Roman"/>
        </w:rPr>
        <w:t xml:space="preserve"> by all stakeholders.  </w:t>
      </w:r>
    </w:p>
    <w:p w14:paraId="0306AB26" w14:textId="5C977A00" w:rsidR="00133589" w:rsidRPr="007626C1" w:rsidRDefault="00133589" w:rsidP="00C57FE9">
      <w:pPr>
        <w:spacing w:line="360" w:lineRule="auto"/>
        <w:ind w:firstLine="720"/>
        <w:jc w:val="both"/>
        <w:rPr>
          <w:rFonts w:ascii="Times New Roman" w:hAnsi="Times New Roman" w:cs="Times New Roman"/>
        </w:rPr>
      </w:pPr>
      <w:r w:rsidRPr="007626C1">
        <w:rPr>
          <w:rFonts w:ascii="Times New Roman" w:hAnsi="Times New Roman" w:cs="Times New Roman"/>
        </w:rPr>
        <w:t xml:space="preserve">The results are robust and remain very similar when random </w:t>
      </w:r>
      <w:r w:rsidR="00D13887" w:rsidRPr="007626C1">
        <w:rPr>
          <w:rFonts w:ascii="Times New Roman" w:hAnsi="Times New Roman" w:cs="Times New Roman"/>
        </w:rPr>
        <w:t>effects for countries of origin</w:t>
      </w:r>
      <w:r w:rsidRPr="007626C1">
        <w:rPr>
          <w:rFonts w:ascii="Times New Roman" w:hAnsi="Times New Roman" w:cs="Times New Roman"/>
        </w:rPr>
        <w:t xml:space="preserve"> are included </w:t>
      </w:r>
      <w:r w:rsidR="0045682D" w:rsidRPr="007626C1">
        <w:rPr>
          <w:rFonts w:ascii="Times New Roman" w:hAnsi="Times New Roman" w:cs="Times New Roman"/>
        </w:rPr>
        <w:t>in the Poisson regression models. Furthermore,</w:t>
      </w:r>
      <w:r w:rsidRPr="007626C1">
        <w:rPr>
          <w:rFonts w:ascii="Times New Roman" w:hAnsi="Times New Roman" w:cs="Times New Roman"/>
        </w:rPr>
        <w:t xml:space="preserve"> a multi-level logistic regression analysis was conducted </w:t>
      </w:r>
      <w:r w:rsidR="00C57FE9" w:rsidRPr="007626C1">
        <w:rPr>
          <w:rFonts w:ascii="Times New Roman" w:hAnsi="Times New Roman" w:cs="Times New Roman"/>
        </w:rPr>
        <w:t xml:space="preserve">as a robustness check </w:t>
      </w:r>
      <w:r w:rsidRPr="007626C1">
        <w:rPr>
          <w:rFonts w:ascii="Times New Roman" w:hAnsi="Times New Roman" w:cs="Times New Roman"/>
        </w:rPr>
        <w:t>to account for the unobserved heterogeneity in both the propensity of stakeholders to express demands and the frequency with which specific demands were expressed</w:t>
      </w:r>
      <w:r w:rsidR="00C57FE9" w:rsidRPr="007626C1">
        <w:rPr>
          <w:rFonts w:ascii="Times New Roman" w:hAnsi="Times New Roman" w:cs="Times New Roman"/>
        </w:rPr>
        <w:t>.</w:t>
      </w:r>
      <w:r w:rsidR="0045682D" w:rsidRPr="007626C1">
        <w:rPr>
          <w:rFonts w:ascii="Times New Roman" w:hAnsi="Times New Roman" w:cs="Times New Roman"/>
        </w:rPr>
        <w:t xml:space="preserve"> </w:t>
      </w:r>
      <w:r w:rsidRPr="007626C1">
        <w:rPr>
          <w:rFonts w:ascii="Times New Roman" w:hAnsi="Times New Roman" w:cs="Times New Roman"/>
        </w:rPr>
        <w:t>The unit of analysis in this model was a stakeholder-demand dyad. Thus, the model include</w:t>
      </w:r>
      <w:r w:rsidR="0045682D" w:rsidRPr="007626C1">
        <w:rPr>
          <w:rFonts w:ascii="Times New Roman" w:hAnsi="Times New Roman" w:cs="Times New Roman"/>
        </w:rPr>
        <w:t>d</w:t>
      </w:r>
      <w:r w:rsidRPr="007626C1">
        <w:rPr>
          <w:rFonts w:ascii="Times New Roman" w:hAnsi="Times New Roman" w:cs="Times New Roman"/>
        </w:rPr>
        <w:t xml:space="preserve"> 2860 observations (110 </w:t>
      </w:r>
      <w:proofErr w:type="gramStart"/>
      <w:r w:rsidRPr="007626C1">
        <w:rPr>
          <w:rFonts w:ascii="Times New Roman" w:hAnsi="Times New Roman" w:cs="Times New Roman"/>
        </w:rPr>
        <w:t>stakeholders</w:t>
      </w:r>
      <w:proofErr w:type="gramEnd"/>
      <w:r w:rsidRPr="007626C1">
        <w:rPr>
          <w:rFonts w:ascii="Times New Roman" w:hAnsi="Times New Roman" w:cs="Times New Roman"/>
        </w:rPr>
        <w:t xml:space="preserve"> X 26 demands identified in Table 1). The dependent variable </w:t>
      </w:r>
      <w:r w:rsidR="0045682D" w:rsidRPr="007626C1">
        <w:rPr>
          <w:rFonts w:ascii="Times New Roman" w:hAnsi="Times New Roman" w:cs="Times New Roman"/>
        </w:rPr>
        <w:t>indicated</w:t>
      </w:r>
      <w:r w:rsidRPr="007626C1">
        <w:rPr>
          <w:rFonts w:ascii="Times New Roman" w:hAnsi="Times New Roman" w:cs="Times New Roman"/>
        </w:rPr>
        <w:t xml:space="preserve"> whether the stakeholder expressed a particular demand</w:t>
      </w:r>
      <w:r w:rsidR="0045682D" w:rsidRPr="007626C1">
        <w:rPr>
          <w:rFonts w:ascii="Times New Roman" w:hAnsi="Times New Roman" w:cs="Times New Roman"/>
        </w:rPr>
        <w:t>.</w:t>
      </w:r>
      <w:r w:rsidRPr="007626C1">
        <w:rPr>
          <w:rFonts w:ascii="Times New Roman" w:hAnsi="Times New Roman" w:cs="Times New Roman"/>
        </w:rPr>
        <w:t xml:space="preserve"> </w:t>
      </w:r>
      <w:r w:rsidR="0045682D" w:rsidRPr="007626C1">
        <w:rPr>
          <w:rFonts w:ascii="Times New Roman" w:hAnsi="Times New Roman" w:cs="Times New Roman"/>
        </w:rPr>
        <w:t>The</w:t>
      </w:r>
      <w:r w:rsidRPr="007626C1">
        <w:rPr>
          <w:rFonts w:ascii="Times New Roman" w:hAnsi="Times New Roman" w:cs="Times New Roman"/>
        </w:rPr>
        <w:t xml:space="preserve"> predictor variables included the interaction between the categorical variables for the type of demand and the type of stakeholder. The results are presented in Table 3 in the Online Appendix</w:t>
      </w:r>
      <w:r w:rsidR="0045682D" w:rsidRPr="007626C1">
        <w:rPr>
          <w:rFonts w:ascii="Times New Roman" w:hAnsi="Times New Roman" w:cs="Times New Roman"/>
        </w:rPr>
        <w:t xml:space="preserve"> and are in line with those presented in Table 2 in this study</w:t>
      </w:r>
      <w:r w:rsidR="00C57FE9" w:rsidRPr="007626C1">
        <w:rPr>
          <w:rFonts w:ascii="Times New Roman" w:hAnsi="Times New Roman" w:cs="Times New Roman"/>
        </w:rPr>
        <w:t>.</w:t>
      </w:r>
      <w:r w:rsidRPr="007626C1">
        <w:rPr>
          <w:rFonts w:ascii="Times New Roman" w:hAnsi="Times New Roman" w:cs="Times New Roman"/>
        </w:rPr>
        <w:t xml:space="preserve"> </w:t>
      </w:r>
    </w:p>
    <w:p w14:paraId="3DDD6BDB" w14:textId="79ED7A53" w:rsidR="0092007E" w:rsidRPr="006E283F" w:rsidRDefault="00866E95" w:rsidP="00177E5D">
      <w:pPr>
        <w:spacing w:line="360" w:lineRule="auto"/>
        <w:ind w:firstLine="720"/>
        <w:jc w:val="both"/>
        <w:rPr>
          <w:rFonts w:ascii="Times New Roman" w:hAnsi="Times New Roman" w:cs="Times New Roman"/>
        </w:rPr>
      </w:pPr>
      <w:r w:rsidRPr="00821610">
        <w:rPr>
          <w:rFonts w:ascii="Times New Roman" w:hAnsi="Times New Roman" w:cs="Times New Roman"/>
        </w:rPr>
        <w:t xml:space="preserve">Figure 1 </w:t>
      </w:r>
      <w:r w:rsidR="00192FF9" w:rsidRPr="00821610">
        <w:rPr>
          <w:rFonts w:ascii="Times New Roman" w:hAnsi="Times New Roman" w:cs="Times New Roman"/>
        </w:rPr>
        <w:t>details the number of demands for the three reform scenarios made by each interest type identified</w:t>
      </w:r>
      <w:r w:rsidR="00292746">
        <w:rPr>
          <w:rFonts w:ascii="Times New Roman" w:hAnsi="Times New Roman" w:cs="Times New Roman"/>
        </w:rPr>
        <w:t xml:space="preserve"> </w:t>
      </w:r>
      <w:r w:rsidR="00292746" w:rsidRPr="006E283F">
        <w:rPr>
          <w:rFonts w:ascii="Times New Roman" w:hAnsi="Times New Roman" w:cs="Times New Roman"/>
        </w:rPr>
        <w:t>and</w:t>
      </w:r>
      <w:r w:rsidR="00EB742E" w:rsidRPr="006E283F">
        <w:rPr>
          <w:rFonts w:ascii="Times New Roman" w:hAnsi="Times New Roman" w:cs="Times New Roman"/>
        </w:rPr>
        <w:t xml:space="preserve"> </w:t>
      </w:r>
      <w:r w:rsidR="00292746" w:rsidRPr="006E283F">
        <w:rPr>
          <w:rFonts w:ascii="Times New Roman" w:hAnsi="Times New Roman" w:cs="Times New Roman"/>
        </w:rPr>
        <w:t>highlights</w:t>
      </w:r>
      <w:r w:rsidR="00951430" w:rsidRPr="006E283F">
        <w:rPr>
          <w:rFonts w:ascii="Times New Roman" w:hAnsi="Times New Roman" w:cs="Times New Roman"/>
        </w:rPr>
        <w:t xml:space="preserve"> two importa</w:t>
      </w:r>
      <w:r w:rsidR="00292746" w:rsidRPr="006E283F">
        <w:rPr>
          <w:rFonts w:ascii="Times New Roman" w:hAnsi="Times New Roman" w:cs="Times New Roman"/>
        </w:rPr>
        <w:t>nt</w:t>
      </w:r>
      <w:r w:rsidR="00951430" w:rsidRPr="006E283F">
        <w:rPr>
          <w:rFonts w:ascii="Times New Roman" w:hAnsi="Times New Roman" w:cs="Times New Roman"/>
        </w:rPr>
        <w:t xml:space="preserve"> </w:t>
      </w:r>
      <w:r w:rsidR="000F7A0C" w:rsidRPr="006E283F">
        <w:rPr>
          <w:rFonts w:ascii="Times New Roman" w:hAnsi="Times New Roman" w:cs="Times New Roman"/>
        </w:rPr>
        <w:t>findings</w:t>
      </w:r>
      <w:r w:rsidR="00951430" w:rsidRPr="006E283F">
        <w:rPr>
          <w:rFonts w:ascii="Times New Roman" w:hAnsi="Times New Roman" w:cs="Times New Roman"/>
        </w:rPr>
        <w:t xml:space="preserve">: first, </w:t>
      </w:r>
      <w:r w:rsidR="00EB742E" w:rsidRPr="006E283F">
        <w:rPr>
          <w:rFonts w:ascii="Times New Roman" w:hAnsi="Times New Roman" w:cs="Times New Roman"/>
        </w:rPr>
        <w:t>there was little appetite across stakeholders (business and non-business) for deregulatory reforms</w:t>
      </w:r>
      <w:r w:rsidR="00951430" w:rsidRPr="006E283F">
        <w:rPr>
          <w:rFonts w:ascii="Times New Roman" w:hAnsi="Times New Roman" w:cs="Times New Roman"/>
        </w:rPr>
        <w:t xml:space="preserve">, in contrast to the concerns expressed by the Better Regulation Watchdog network </w:t>
      </w:r>
      <w:r w:rsidR="00292746" w:rsidRPr="006E283F">
        <w:rPr>
          <w:rFonts w:ascii="Times New Roman" w:hAnsi="Times New Roman" w:cs="Times New Roman"/>
        </w:rPr>
        <w:t>in the public debates</w:t>
      </w:r>
      <w:r w:rsidR="00951430" w:rsidRPr="006E283F">
        <w:rPr>
          <w:rFonts w:ascii="Times New Roman" w:hAnsi="Times New Roman" w:cs="Times New Roman"/>
        </w:rPr>
        <w:t xml:space="preserve"> </w:t>
      </w:r>
      <w:r w:rsidR="00292746" w:rsidRPr="006E283F">
        <w:rPr>
          <w:rFonts w:ascii="Times New Roman" w:hAnsi="Times New Roman" w:cs="Times New Roman"/>
        </w:rPr>
        <w:t>mention</w:t>
      </w:r>
      <w:r w:rsidR="002D1837" w:rsidRPr="006E283F">
        <w:rPr>
          <w:rFonts w:ascii="Times New Roman" w:hAnsi="Times New Roman" w:cs="Times New Roman"/>
        </w:rPr>
        <w:t>ed</w:t>
      </w:r>
      <w:r w:rsidR="00951430" w:rsidRPr="006E283F">
        <w:rPr>
          <w:rFonts w:ascii="Times New Roman" w:hAnsi="Times New Roman" w:cs="Times New Roman"/>
        </w:rPr>
        <w:t xml:space="preserve"> in the </w:t>
      </w:r>
      <w:r w:rsidR="00292746" w:rsidRPr="006E283F">
        <w:rPr>
          <w:rFonts w:ascii="Times New Roman" w:hAnsi="Times New Roman" w:cs="Times New Roman"/>
        </w:rPr>
        <w:t>introduction</w:t>
      </w:r>
      <w:r w:rsidR="002D1837" w:rsidRPr="006E283F">
        <w:rPr>
          <w:rFonts w:ascii="Times New Roman" w:hAnsi="Times New Roman" w:cs="Times New Roman"/>
        </w:rPr>
        <w:t xml:space="preserve">. </w:t>
      </w:r>
      <w:r w:rsidR="00951430" w:rsidRPr="006E283F">
        <w:rPr>
          <w:rFonts w:ascii="Times New Roman" w:hAnsi="Times New Roman" w:cs="Times New Roman"/>
        </w:rPr>
        <w:t xml:space="preserve">Second, the </w:t>
      </w:r>
      <w:r w:rsidR="006F5688" w:rsidRPr="006E283F">
        <w:rPr>
          <w:rFonts w:ascii="Times New Roman" w:hAnsi="Times New Roman" w:cs="Times New Roman"/>
        </w:rPr>
        <w:t xml:space="preserve">figure </w:t>
      </w:r>
      <w:r w:rsidR="00951430" w:rsidRPr="006E283F">
        <w:rPr>
          <w:rFonts w:ascii="Times New Roman" w:hAnsi="Times New Roman" w:cs="Times New Roman"/>
        </w:rPr>
        <w:t>point</w:t>
      </w:r>
      <w:r w:rsidR="006F5688" w:rsidRPr="006E283F">
        <w:rPr>
          <w:rFonts w:ascii="Times New Roman" w:hAnsi="Times New Roman" w:cs="Times New Roman"/>
        </w:rPr>
        <w:t>s</w:t>
      </w:r>
      <w:r w:rsidR="00951430" w:rsidRPr="006E283F">
        <w:rPr>
          <w:rFonts w:ascii="Times New Roman" w:hAnsi="Times New Roman" w:cs="Times New Roman"/>
        </w:rPr>
        <w:t xml:space="preserve"> to a</w:t>
      </w:r>
      <w:r w:rsidR="00C422D2" w:rsidRPr="006E283F">
        <w:rPr>
          <w:rFonts w:ascii="Times New Roman" w:hAnsi="Times New Roman" w:cs="Times New Roman"/>
        </w:rPr>
        <w:t xml:space="preserve"> relatively broad consensus amongst stakeholders </w:t>
      </w:r>
      <w:r w:rsidR="00D11EA6" w:rsidRPr="006E283F">
        <w:rPr>
          <w:rFonts w:ascii="Times New Roman" w:hAnsi="Times New Roman" w:cs="Times New Roman"/>
        </w:rPr>
        <w:t>that</w:t>
      </w:r>
      <w:r w:rsidR="00C422D2" w:rsidRPr="006E283F">
        <w:rPr>
          <w:rFonts w:ascii="Times New Roman" w:hAnsi="Times New Roman" w:cs="Times New Roman"/>
        </w:rPr>
        <w:t xml:space="preserve"> both evidence-based and participatory policymaking</w:t>
      </w:r>
      <w:r w:rsidR="00177E5D" w:rsidRPr="006E283F">
        <w:rPr>
          <w:rFonts w:ascii="Times New Roman" w:hAnsi="Times New Roman" w:cs="Times New Roman"/>
        </w:rPr>
        <w:t xml:space="preserve"> should be further developed as part of Better Regulation</w:t>
      </w:r>
      <w:r w:rsidR="00C422D2" w:rsidRPr="006E283F">
        <w:rPr>
          <w:rFonts w:ascii="Times New Roman" w:hAnsi="Times New Roman" w:cs="Times New Roman"/>
        </w:rPr>
        <w:t>.</w:t>
      </w:r>
      <w:r w:rsidR="00177E5D" w:rsidRPr="006E283F">
        <w:rPr>
          <w:rFonts w:ascii="Times New Roman" w:hAnsi="Times New Roman" w:cs="Times New Roman"/>
        </w:rPr>
        <w:t xml:space="preserve"> This indicates a </w:t>
      </w:r>
      <w:r w:rsidR="00951430" w:rsidRPr="006E283F">
        <w:rPr>
          <w:rFonts w:ascii="Times New Roman" w:hAnsi="Times New Roman" w:cs="Times New Roman"/>
        </w:rPr>
        <w:t xml:space="preserve">relevant and potentially problematic </w:t>
      </w:r>
      <w:r w:rsidR="00C422D2" w:rsidRPr="006E283F">
        <w:rPr>
          <w:rFonts w:ascii="Times New Roman" w:hAnsi="Times New Roman" w:cs="Times New Roman"/>
        </w:rPr>
        <w:t>tension</w:t>
      </w:r>
      <w:r w:rsidR="00951430" w:rsidRPr="006E283F">
        <w:rPr>
          <w:rFonts w:ascii="Times New Roman" w:hAnsi="Times New Roman" w:cs="Times New Roman"/>
        </w:rPr>
        <w:t xml:space="preserve"> in policy goals and objectives that policymakers face when </w:t>
      </w:r>
      <w:r w:rsidR="00BD7600" w:rsidRPr="006E283F">
        <w:rPr>
          <w:rFonts w:ascii="Times New Roman" w:hAnsi="Times New Roman" w:cs="Times New Roman"/>
        </w:rPr>
        <w:t xml:space="preserve">making institutional design choices in </w:t>
      </w:r>
      <w:r w:rsidR="00951430" w:rsidRPr="006E283F">
        <w:rPr>
          <w:rFonts w:ascii="Times New Roman" w:hAnsi="Times New Roman" w:cs="Times New Roman"/>
        </w:rPr>
        <w:t xml:space="preserve"> </w:t>
      </w:r>
      <w:r w:rsidR="00BD7600" w:rsidRPr="006E283F">
        <w:rPr>
          <w:rFonts w:ascii="Times New Roman" w:hAnsi="Times New Roman" w:cs="Times New Roman"/>
        </w:rPr>
        <w:t xml:space="preserve">relation to </w:t>
      </w:r>
      <w:r w:rsidR="00951430" w:rsidRPr="006E283F">
        <w:rPr>
          <w:rFonts w:ascii="Times New Roman" w:hAnsi="Times New Roman" w:cs="Times New Roman"/>
        </w:rPr>
        <w:t xml:space="preserve">regulatory forms of governance: how to design a policy formulation process that reconciles the imperatives of evidence-based policymaking and </w:t>
      </w:r>
      <w:r w:rsidR="00A71E4C" w:rsidRPr="006E283F">
        <w:rPr>
          <w:rFonts w:ascii="Times New Roman" w:hAnsi="Times New Roman" w:cs="Times New Roman"/>
        </w:rPr>
        <w:t xml:space="preserve">of efficiently </w:t>
      </w:r>
      <w:r w:rsidR="009244D1" w:rsidRPr="006E283F">
        <w:rPr>
          <w:rFonts w:ascii="Times New Roman" w:hAnsi="Times New Roman" w:cs="Times New Roman"/>
        </w:rPr>
        <w:t xml:space="preserve">processing highly complex </w:t>
      </w:r>
      <w:r w:rsidR="00951430" w:rsidRPr="006E283F">
        <w:rPr>
          <w:rFonts w:ascii="Times New Roman" w:hAnsi="Times New Roman" w:cs="Times New Roman"/>
        </w:rPr>
        <w:t xml:space="preserve">policy input with that of participatory governance that emphasizes the importance of wide and effective inclusion of relevant stakeholders and affected interests in the design of regulatory policies. </w:t>
      </w:r>
      <w:r w:rsidR="009244D1" w:rsidRPr="006E283F">
        <w:rPr>
          <w:rFonts w:ascii="Times New Roman" w:hAnsi="Times New Roman" w:cs="Times New Roman"/>
        </w:rPr>
        <w:t xml:space="preserve">This illustrates a key </w:t>
      </w:r>
      <w:r w:rsidR="009425E3" w:rsidRPr="006E283F">
        <w:rPr>
          <w:rFonts w:ascii="Times New Roman" w:hAnsi="Times New Roman" w:cs="Times New Roman"/>
        </w:rPr>
        <w:t xml:space="preserve">challenge </w:t>
      </w:r>
      <w:r w:rsidR="009244D1" w:rsidRPr="006E283F">
        <w:rPr>
          <w:rFonts w:ascii="Times New Roman" w:hAnsi="Times New Roman" w:cs="Times New Roman"/>
        </w:rPr>
        <w:t>faced by European policymakers</w:t>
      </w:r>
      <w:r w:rsidR="00A71E4C" w:rsidRPr="006E283F">
        <w:rPr>
          <w:rFonts w:ascii="Times New Roman" w:hAnsi="Times New Roman" w:cs="Times New Roman"/>
        </w:rPr>
        <w:t xml:space="preserve"> as part of Better Regulation</w:t>
      </w:r>
      <w:r w:rsidR="009244D1" w:rsidRPr="006E283F">
        <w:rPr>
          <w:rFonts w:ascii="Times New Roman" w:hAnsi="Times New Roman" w:cs="Times New Roman"/>
        </w:rPr>
        <w:t xml:space="preserve">: </w:t>
      </w:r>
      <w:r w:rsidR="004B537B" w:rsidRPr="006E283F">
        <w:rPr>
          <w:rFonts w:ascii="Times New Roman" w:hAnsi="Times New Roman" w:cs="Times New Roman"/>
        </w:rPr>
        <w:t>propos</w:t>
      </w:r>
      <w:r w:rsidR="009425E3" w:rsidRPr="006E283F">
        <w:rPr>
          <w:rFonts w:ascii="Times New Roman" w:hAnsi="Times New Roman" w:cs="Times New Roman"/>
        </w:rPr>
        <w:t>ing</w:t>
      </w:r>
      <w:r w:rsidR="004B537B" w:rsidRPr="006E283F">
        <w:rPr>
          <w:rFonts w:ascii="Times New Roman" w:hAnsi="Times New Roman" w:cs="Times New Roman"/>
        </w:rPr>
        <w:t xml:space="preserve"> innovative policy designs </w:t>
      </w:r>
      <w:r w:rsidR="009425E3" w:rsidRPr="006E283F">
        <w:rPr>
          <w:rFonts w:ascii="Times New Roman" w:hAnsi="Times New Roman" w:cs="Times New Roman"/>
        </w:rPr>
        <w:t>that would enable them</w:t>
      </w:r>
      <w:r w:rsidR="004B537B" w:rsidRPr="006E283F">
        <w:rPr>
          <w:rFonts w:ascii="Times New Roman" w:hAnsi="Times New Roman" w:cs="Times New Roman"/>
        </w:rPr>
        <w:t xml:space="preserve"> to accommodate and reconcile </w:t>
      </w:r>
      <w:r w:rsidR="009244D1" w:rsidRPr="006E283F">
        <w:rPr>
          <w:rFonts w:ascii="Times New Roman" w:hAnsi="Times New Roman" w:cs="Times New Roman"/>
        </w:rPr>
        <w:t xml:space="preserve">the informational constraints of complex policy environments with the procedural and substantive constraints of legitimate decision-making. </w:t>
      </w:r>
      <w:r w:rsidR="004B537B" w:rsidRPr="006E283F">
        <w:rPr>
          <w:rFonts w:ascii="Times New Roman" w:hAnsi="Times New Roman" w:cs="Times New Roman"/>
        </w:rPr>
        <w:t xml:space="preserve">   </w:t>
      </w:r>
    </w:p>
    <w:p w14:paraId="3779C5A6" w14:textId="77777777" w:rsidR="00E92A11" w:rsidRPr="00821610" w:rsidRDefault="00E92A11" w:rsidP="00495265">
      <w:pPr>
        <w:spacing w:line="360" w:lineRule="auto"/>
        <w:ind w:firstLine="720"/>
        <w:jc w:val="both"/>
        <w:rPr>
          <w:rFonts w:ascii="Times New Roman" w:hAnsi="Times New Roman" w:cs="Times New Roman"/>
        </w:rPr>
      </w:pPr>
    </w:p>
    <w:p w14:paraId="0CBBC93C" w14:textId="1B23C676" w:rsidR="008543E0" w:rsidRDefault="00866E95" w:rsidP="008543E0">
      <w:pPr>
        <w:spacing w:line="360" w:lineRule="auto"/>
        <w:ind w:firstLine="720"/>
        <w:jc w:val="center"/>
        <w:rPr>
          <w:rFonts w:ascii="Times New Roman" w:hAnsi="Times New Roman" w:cs="Times New Roman"/>
          <w:b/>
        </w:rPr>
      </w:pPr>
      <w:r w:rsidRPr="00821610">
        <w:rPr>
          <w:rFonts w:ascii="Times New Roman" w:hAnsi="Times New Roman" w:cs="Times New Roman"/>
          <w:b/>
        </w:rPr>
        <w:lastRenderedPageBreak/>
        <w:t>[Figure 1]</w:t>
      </w:r>
    </w:p>
    <w:p w14:paraId="00C57891" w14:textId="77777777" w:rsidR="007626C1" w:rsidRPr="00821610" w:rsidRDefault="007626C1" w:rsidP="008543E0">
      <w:pPr>
        <w:spacing w:line="360" w:lineRule="auto"/>
        <w:ind w:firstLine="720"/>
        <w:jc w:val="center"/>
        <w:rPr>
          <w:rFonts w:ascii="Times New Roman" w:hAnsi="Times New Roman" w:cs="Times New Roman"/>
          <w:b/>
        </w:rPr>
      </w:pPr>
    </w:p>
    <w:p w14:paraId="50DE8784" w14:textId="50672C33" w:rsidR="004E4DC8" w:rsidRPr="00821610" w:rsidRDefault="004E4DC8" w:rsidP="00495265">
      <w:pPr>
        <w:spacing w:line="360" w:lineRule="auto"/>
        <w:ind w:firstLine="720"/>
        <w:jc w:val="both"/>
        <w:rPr>
          <w:rFonts w:ascii="Times New Roman" w:hAnsi="Times New Roman" w:cs="Times New Roman"/>
        </w:rPr>
      </w:pPr>
      <w:r w:rsidRPr="00821610">
        <w:rPr>
          <w:rFonts w:ascii="Times New Roman" w:hAnsi="Times New Roman" w:cs="Times New Roman"/>
        </w:rPr>
        <w:t xml:space="preserve">With respect to the cluster of stakeholders that are likely to oppose any type of Better Regulation reform, we </w:t>
      </w:r>
      <w:r w:rsidR="00BF4473" w:rsidRPr="00821610">
        <w:rPr>
          <w:rFonts w:ascii="Times New Roman" w:hAnsi="Times New Roman" w:cs="Times New Roman"/>
        </w:rPr>
        <w:t>observe</w:t>
      </w:r>
      <w:r w:rsidRPr="00821610">
        <w:rPr>
          <w:rFonts w:ascii="Times New Roman" w:hAnsi="Times New Roman" w:cs="Times New Roman"/>
        </w:rPr>
        <w:t xml:space="preserve"> that indeed public authorities that implement these reforms at national level are significantly less likely to express demands across all three types of reform relative to the reference category used in each model. Similarly, the coefficient</w:t>
      </w:r>
      <w:r w:rsidR="003D115C" w:rsidRPr="00821610">
        <w:rPr>
          <w:rFonts w:ascii="Times New Roman" w:hAnsi="Times New Roman" w:cs="Times New Roman"/>
        </w:rPr>
        <w:t>s</w:t>
      </w:r>
      <w:r w:rsidRPr="00821610">
        <w:rPr>
          <w:rFonts w:ascii="Times New Roman" w:hAnsi="Times New Roman" w:cs="Times New Roman"/>
        </w:rPr>
        <w:t xml:space="preserve"> for professional organizations a</w:t>
      </w:r>
      <w:r w:rsidR="003D115C" w:rsidRPr="00821610">
        <w:rPr>
          <w:rFonts w:ascii="Times New Roman" w:hAnsi="Times New Roman" w:cs="Times New Roman"/>
        </w:rPr>
        <w:t>cross all models indicate</w:t>
      </w:r>
      <w:r w:rsidRPr="00821610">
        <w:rPr>
          <w:rFonts w:ascii="Times New Roman" w:hAnsi="Times New Roman" w:cs="Times New Roman"/>
        </w:rPr>
        <w:t xml:space="preserve"> that they are less likely to articulate demands but the coefficient is significant only for deregulatory demands. The picture described by sectoral business’ demands is less clear: in line with our expectation they express </w:t>
      </w:r>
      <w:r w:rsidR="00EB2EE6" w:rsidRPr="00821610">
        <w:rPr>
          <w:rFonts w:ascii="Times New Roman" w:hAnsi="Times New Roman" w:cs="Times New Roman"/>
        </w:rPr>
        <w:t xml:space="preserve">significantly </w:t>
      </w:r>
      <w:r w:rsidRPr="00821610">
        <w:rPr>
          <w:rFonts w:ascii="Times New Roman" w:hAnsi="Times New Roman" w:cs="Times New Roman"/>
        </w:rPr>
        <w:t>less demands for a deregulatory refo</w:t>
      </w:r>
      <w:r w:rsidR="003D115C" w:rsidRPr="00821610">
        <w:rPr>
          <w:rFonts w:ascii="Times New Roman" w:hAnsi="Times New Roman" w:cs="Times New Roman"/>
        </w:rPr>
        <w:t>rm</w:t>
      </w:r>
      <w:r w:rsidR="00E755A8" w:rsidRPr="00821610">
        <w:rPr>
          <w:rFonts w:ascii="Times New Roman" w:hAnsi="Times New Roman" w:cs="Times New Roman"/>
        </w:rPr>
        <w:t xml:space="preserve"> than pro-deregulation public authorities and cross-sectoral business</w:t>
      </w:r>
      <w:r w:rsidRPr="00821610">
        <w:rPr>
          <w:rFonts w:ascii="Times New Roman" w:hAnsi="Times New Roman" w:cs="Times New Roman"/>
        </w:rPr>
        <w:t xml:space="preserve"> but their coefficient in models 2 and 3 are positive although not significantly different from the reference </w:t>
      </w:r>
      <w:r w:rsidR="003D115C" w:rsidRPr="00821610">
        <w:rPr>
          <w:rFonts w:ascii="Times New Roman" w:hAnsi="Times New Roman" w:cs="Times New Roman"/>
        </w:rPr>
        <w:t>category</w:t>
      </w:r>
      <w:r w:rsidRPr="00821610">
        <w:rPr>
          <w:rFonts w:ascii="Times New Roman" w:hAnsi="Times New Roman" w:cs="Times New Roman"/>
        </w:rPr>
        <w:t xml:space="preserve"> (</w:t>
      </w:r>
      <w:r w:rsidR="003D115C" w:rsidRPr="00821610">
        <w:rPr>
          <w:rFonts w:ascii="Times New Roman" w:hAnsi="Times New Roman" w:cs="Times New Roman"/>
        </w:rPr>
        <w:t>i.e. public authorities supporting technocratic reform and public interest organizations).</w:t>
      </w:r>
      <w:r w:rsidRPr="00821610">
        <w:rPr>
          <w:rFonts w:ascii="Times New Roman" w:hAnsi="Times New Roman" w:cs="Times New Roman"/>
        </w:rPr>
        <w:t xml:space="preserve"> </w:t>
      </w:r>
    </w:p>
    <w:p w14:paraId="742C03AA" w14:textId="5796E580" w:rsidR="004C0C77" w:rsidRPr="00821610" w:rsidRDefault="00D14915" w:rsidP="00E30D06">
      <w:pPr>
        <w:spacing w:line="360" w:lineRule="auto"/>
        <w:jc w:val="both"/>
        <w:rPr>
          <w:rFonts w:ascii="Times New Roman" w:hAnsi="Times New Roman" w:cs="Times New Roman"/>
        </w:rPr>
      </w:pPr>
      <w:r w:rsidRPr="00821610">
        <w:rPr>
          <w:rFonts w:ascii="Times New Roman" w:hAnsi="Times New Roman" w:cs="Times New Roman"/>
        </w:rPr>
        <w:tab/>
      </w:r>
      <w:r w:rsidR="00DC0821" w:rsidRPr="00821610">
        <w:rPr>
          <w:rFonts w:ascii="Times New Roman" w:hAnsi="Times New Roman" w:cs="Times New Roman"/>
        </w:rPr>
        <w:t>Thus</w:t>
      </w:r>
      <w:r w:rsidR="0092007E" w:rsidRPr="00821610">
        <w:rPr>
          <w:rFonts w:ascii="Times New Roman" w:hAnsi="Times New Roman" w:cs="Times New Roman"/>
        </w:rPr>
        <w:t>, the findings provide only partial support for our theoretical expectations</w:t>
      </w:r>
      <w:r w:rsidR="00ED5AB2" w:rsidRPr="00821610">
        <w:rPr>
          <w:rFonts w:ascii="Times New Roman" w:hAnsi="Times New Roman" w:cs="Times New Roman"/>
        </w:rPr>
        <w:t xml:space="preserve">. </w:t>
      </w:r>
      <w:r w:rsidR="004C0C77" w:rsidRPr="00821610">
        <w:rPr>
          <w:rFonts w:ascii="Times New Roman" w:hAnsi="Times New Roman" w:cs="Times New Roman"/>
        </w:rPr>
        <w:t>As</w:t>
      </w:r>
      <w:r w:rsidR="00ED5AB2" w:rsidRPr="00821610">
        <w:rPr>
          <w:rFonts w:ascii="Times New Roman" w:hAnsi="Times New Roman" w:cs="Times New Roman"/>
        </w:rPr>
        <w:t xml:space="preserve"> we expected, </w:t>
      </w:r>
      <w:r w:rsidR="004C0C77" w:rsidRPr="00821610">
        <w:rPr>
          <w:rFonts w:ascii="Times New Roman" w:hAnsi="Times New Roman" w:cs="Times New Roman"/>
        </w:rPr>
        <w:t>cross-sectoral business associations and pro-deregulation public authorities were the main supporters of the deregulatory type of reform. Howeve</w:t>
      </w:r>
      <w:r w:rsidR="00920AEC" w:rsidRPr="00821610">
        <w:rPr>
          <w:rFonts w:ascii="Times New Roman" w:hAnsi="Times New Roman" w:cs="Times New Roman"/>
        </w:rPr>
        <w:t>r, our findings suggest that largely the</w:t>
      </w:r>
      <w:r w:rsidR="004C0C77" w:rsidRPr="00821610">
        <w:rPr>
          <w:rFonts w:ascii="Times New Roman" w:hAnsi="Times New Roman" w:cs="Times New Roman"/>
        </w:rPr>
        <w:t xml:space="preserve"> same </w:t>
      </w:r>
      <w:r w:rsidR="00E30785" w:rsidRPr="00821610">
        <w:rPr>
          <w:rFonts w:ascii="Times New Roman" w:hAnsi="Times New Roman" w:cs="Times New Roman"/>
        </w:rPr>
        <w:t xml:space="preserve">type </w:t>
      </w:r>
      <w:r w:rsidR="004C0C77" w:rsidRPr="00821610">
        <w:rPr>
          <w:rFonts w:ascii="Times New Roman" w:hAnsi="Times New Roman" w:cs="Times New Roman"/>
        </w:rPr>
        <w:t xml:space="preserve">of stakeholders also pushed for </w:t>
      </w:r>
      <w:r w:rsidR="00920AEC" w:rsidRPr="00821610">
        <w:rPr>
          <w:rFonts w:ascii="Times New Roman" w:hAnsi="Times New Roman" w:cs="Times New Roman"/>
        </w:rPr>
        <w:t xml:space="preserve">a </w:t>
      </w:r>
      <w:r w:rsidR="004C0C77" w:rsidRPr="00821610">
        <w:rPr>
          <w:rFonts w:ascii="Times New Roman" w:hAnsi="Times New Roman" w:cs="Times New Roman"/>
        </w:rPr>
        <w:t>‘technocratic’</w:t>
      </w:r>
      <w:r w:rsidR="00920AEC" w:rsidRPr="00821610">
        <w:rPr>
          <w:rFonts w:ascii="Times New Roman" w:hAnsi="Times New Roman" w:cs="Times New Roman"/>
        </w:rPr>
        <w:t xml:space="preserve"> reform</w:t>
      </w:r>
      <w:r w:rsidR="004C0C77" w:rsidRPr="00821610">
        <w:rPr>
          <w:rFonts w:ascii="Times New Roman" w:hAnsi="Times New Roman" w:cs="Times New Roman"/>
        </w:rPr>
        <w:t>.</w:t>
      </w:r>
      <w:r w:rsidR="00920AEC" w:rsidRPr="00821610">
        <w:rPr>
          <w:rFonts w:ascii="Times New Roman" w:hAnsi="Times New Roman" w:cs="Times New Roman"/>
        </w:rPr>
        <w:t xml:space="preserve"> The main supporters of such ‘technocratic deregulation’ included governments of Germany, Netherlands, Swe</w:t>
      </w:r>
      <w:r w:rsidR="0088744D" w:rsidRPr="00821610">
        <w:rPr>
          <w:rFonts w:ascii="Times New Roman" w:hAnsi="Times New Roman" w:cs="Times New Roman"/>
        </w:rPr>
        <w:t xml:space="preserve">den and the </w:t>
      </w:r>
      <w:r w:rsidR="00EB2EE6" w:rsidRPr="00821610">
        <w:rPr>
          <w:rFonts w:ascii="Times New Roman" w:hAnsi="Times New Roman" w:cs="Times New Roman"/>
        </w:rPr>
        <w:t>UK</w:t>
      </w:r>
      <w:r w:rsidR="0088744D" w:rsidRPr="00821610">
        <w:rPr>
          <w:rFonts w:ascii="Times New Roman" w:hAnsi="Times New Roman" w:cs="Times New Roman"/>
        </w:rPr>
        <w:t xml:space="preserve">, </w:t>
      </w:r>
      <w:r w:rsidR="0010753C" w:rsidRPr="00821610">
        <w:rPr>
          <w:rFonts w:ascii="Times New Roman" w:hAnsi="Times New Roman" w:cs="Times New Roman"/>
        </w:rPr>
        <w:t xml:space="preserve">the </w:t>
      </w:r>
      <w:r w:rsidR="002A1992" w:rsidRPr="00821610">
        <w:rPr>
          <w:rFonts w:ascii="Times New Roman" w:hAnsi="Times New Roman" w:cs="Times New Roman"/>
        </w:rPr>
        <w:t>independent advisory boards on Better Regulation in these countries, European</w:t>
      </w:r>
      <w:r w:rsidR="0088744D" w:rsidRPr="00821610">
        <w:rPr>
          <w:rFonts w:ascii="Times New Roman" w:hAnsi="Times New Roman" w:cs="Times New Roman"/>
        </w:rPr>
        <w:t xml:space="preserve"> </w:t>
      </w:r>
      <w:r w:rsidR="002A1992" w:rsidRPr="00821610">
        <w:rPr>
          <w:rFonts w:ascii="Times New Roman" w:hAnsi="Times New Roman" w:cs="Times New Roman"/>
        </w:rPr>
        <w:t>cross-sectoral business alliances</w:t>
      </w:r>
      <w:r w:rsidR="003244A2" w:rsidRPr="00821610">
        <w:rPr>
          <w:rFonts w:ascii="Times New Roman" w:hAnsi="Times New Roman" w:cs="Times New Roman"/>
        </w:rPr>
        <w:t xml:space="preserve"> (such as BusinessEurope and the European Small Business Alliance) and key business groups in France (</w:t>
      </w:r>
      <w:r w:rsidR="00BD5449" w:rsidRPr="00821610">
        <w:rPr>
          <w:rFonts w:ascii="Times New Roman" w:hAnsi="Times New Roman" w:cs="Times New Roman"/>
        </w:rPr>
        <w:t xml:space="preserve">the Permanent Assembly of the Chambers of Trades and </w:t>
      </w:r>
      <w:r w:rsidR="004B7F17" w:rsidRPr="00821610">
        <w:rPr>
          <w:rFonts w:ascii="Times New Roman" w:hAnsi="Times New Roman" w:cs="Times New Roman"/>
        </w:rPr>
        <w:t>C</w:t>
      </w:r>
      <w:r w:rsidR="00AF0290" w:rsidRPr="00821610">
        <w:rPr>
          <w:rFonts w:ascii="Times New Roman" w:hAnsi="Times New Roman" w:cs="Times New Roman"/>
        </w:rPr>
        <w:t>rafts - APCMA</w:t>
      </w:r>
      <w:r w:rsidR="004B7F17" w:rsidRPr="00821610">
        <w:rPr>
          <w:rFonts w:ascii="Times New Roman" w:hAnsi="Times New Roman" w:cs="Times New Roman"/>
        </w:rPr>
        <w:t xml:space="preserve">), </w:t>
      </w:r>
      <w:r w:rsidR="00BD5449" w:rsidRPr="00821610">
        <w:rPr>
          <w:rFonts w:ascii="Times New Roman" w:hAnsi="Times New Roman" w:cs="Times New Roman"/>
        </w:rPr>
        <w:t xml:space="preserve">Germany (the </w:t>
      </w:r>
      <w:r w:rsidR="00AF0290" w:rsidRPr="00821610">
        <w:rPr>
          <w:rFonts w:ascii="Times New Roman" w:hAnsi="Times New Roman" w:cs="Times New Roman"/>
        </w:rPr>
        <w:t xml:space="preserve">German Business Representation - </w:t>
      </w:r>
      <w:r w:rsidR="00BD5449" w:rsidRPr="00821610">
        <w:rPr>
          <w:rFonts w:ascii="Times New Roman" w:hAnsi="Times New Roman" w:cs="Times New Roman"/>
        </w:rPr>
        <w:t>BDA/BDI)</w:t>
      </w:r>
      <w:r w:rsidR="004B7F17" w:rsidRPr="00821610">
        <w:rPr>
          <w:rFonts w:ascii="Times New Roman" w:hAnsi="Times New Roman" w:cs="Times New Roman"/>
        </w:rPr>
        <w:t xml:space="preserve"> and</w:t>
      </w:r>
      <w:r w:rsidR="00BD5449" w:rsidRPr="00821610">
        <w:rPr>
          <w:rFonts w:ascii="Times New Roman" w:hAnsi="Times New Roman" w:cs="Times New Roman"/>
        </w:rPr>
        <w:t xml:space="preserve"> </w:t>
      </w:r>
      <w:r w:rsidR="007D4F1A" w:rsidRPr="00821610">
        <w:rPr>
          <w:rFonts w:ascii="Times New Roman" w:hAnsi="Times New Roman" w:cs="Times New Roman"/>
        </w:rPr>
        <w:t>the Bavarian Crafts</w:t>
      </w:r>
      <w:r w:rsidR="004B7F17" w:rsidRPr="00821610">
        <w:rPr>
          <w:rFonts w:ascii="Times New Roman" w:hAnsi="Times New Roman" w:cs="Times New Roman"/>
        </w:rPr>
        <w:t xml:space="preserve"> Association </w:t>
      </w:r>
      <w:r w:rsidR="00AF0290" w:rsidRPr="00821610">
        <w:rPr>
          <w:rFonts w:ascii="Times New Roman" w:hAnsi="Times New Roman" w:cs="Times New Roman"/>
        </w:rPr>
        <w:t>- BHT</w:t>
      </w:r>
      <w:r w:rsidR="004B7F17" w:rsidRPr="00821610">
        <w:rPr>
          <w:rFonts w:ascii="Times New Roman" w:hAnsi="Times New Roman" w:cs="Times New Roman"/>
        </w:rPr>
        <w:t xml:space="preserve">) and the United Kingdom (the Confederation of Business Industry (CBI) and the Federation of Small Business </w:t>
      </w:r>
      <w:r w:rsidR="00AF0290" w:rsidRPr="00821610">
        <w:rPr>
          <w:rFonts w:ascii="Times New Roman" w:hAnsi="Times New Roman" w:cs="Times New Roman"/>
        </w:rPr>
        <w:t>- FSB</w:t>
      </w:r>
      <w:r w:rsidR="004B7F17" w:rsidRPr="00821610">
        <w:rPr>
          <w:rFonts w:ascii="Times New Roman" w:hAnsi="Times New Roman" w:cs="Times New Roman"/>
        </w:rPr>
        <w:t xml:space="preserve">). </w:t>
      </w:r>
      <w:r w:rsidR="00AC185C" w:rsidRPr="00821610">
        <w:rPr>
          <w:rFonts w:ascii="Times New Roman" w:hAnsi="Times New Roman" w:cs="Times New Roman"/>
        </w:rPr>
        <w:t xml:space="preserve">In contrast, the support for ‘participatory’ reforms </w:t>
      </w:r>
      <w:proofErr w:type="gramStart"/>
      <w:r w:rsidR="00AC185C" w:rsidRPr="00821610">
        <w:rPr>
          <w:rFonts w:ascii="Times New Roman" w:hAnsi="Times New Roman" w:cs="Times New Roman"/>
        </w:rPr>
        <w:t>was</w:t>
      </w:r>
      <w:proofErr w:type="gramEnd"/>
      <w:r w:rsidR="00AC185C" w:rsidRPr="00821610">
        <w:rPr>
          <w:rFonts w:ascii="Times New Roman" w:hAnsi="Times New Roman" w:cs="Times New Roman"/>
        </w:rPr>
        <w:t xml:space="preserve"> substantially more </w:t>
      </w:r>
      <w:r w:rsidR="00AF0290" w:rsidRPr="00821610">
        <w:rPr>
          <w:rFonts w:ascii="Times New Roman" w:hAnsi="Times New Roman" w:cs="Times New Roman"/>
        </w:rPr>
        <w:t>‘</w:t>
      </w:r>
      <w:r w:rsidR="00AC185C" w:rsidRPr="00821610">
        <w:rPr>
          <w:rFonts w:ascii="Times New Roman" w:hAnsi="Times New Roman" w:cs="Times New Roman"/>
        </w:rPr>
        <w:t>diffuse</w:t>
      </w:r>
      <w:r w:rsidR="00AF0290" w:rsidRPr="00821610">
        <w:rPr>
          <w:rFonts w:ascii="Times New Roman" w:hAnsi="Times New Roman" w:cs="Times New Roman"/>
        </w:rPr>
        <w:t xml:space="preserve">’ and distributed evenly </w:t>
      </w:r>
      <w:r w:rsidR="00255072" w:rsidRPr="00821610">
        <w:rPr>
          <w:rFonts w:ascii="Times New Roman" w:hAnsi="Times New Roman" w:cs="Times New Roman"/>
        </w:rPr>
        <w:t>across all stakeholder types</w:t>
      </w:r>
      <w:r w:rsidR="00AC185C" w:rsidRPr="00821610">
        <w:rPr>
          <w:rFonts w:ascii="Times New Roman" w:hAnsi="Times New Roman" w:cs="Times New Roman"/>
        </w:rPr>
        <w:t>.</w:t>
      </w:r>
    </w:p>
    <w:p w14:paraId="700B2655" w14:textId="77777777" w:rsidR="00D13887" w:rsidRPr="00821610" w:rsidRDefault="00D13887" w:rsidP="00E30D06">
      <w:pPr>
        <w:spacing w:line="360" w:lineRule="auto"/>
        <w:jc w:val="both"/>
        <w:rPr>
          <w:rFonts w:ascii="Times New Roman" w:hAnsi="Times New Roman" w:cs="Times New Roman"/>
        </w:rPr>
      </w:pPr>
    </w:p>
    <w:p w14:paraId="09C431DA" w14:textId="25E29B29" w:rsidR="0092007E" w:rsidRPr="00821610" w:rsidRDefault="001432E6" w:rsidP="00495265">
      <w:pPr>
        <w:spacing w:line="360" w:lineRule="auto"/>
        <w:jc w:val="both"/>
        <w:rPr>
          <w:rFonts w:ascii="Times New Roman" w:hAnsi="Times New Roman" w:cs="Times New Roman"/>
          <w:b/>
        </w:rPr>
      </w:pPr>
      <w:r w:rsidRPr="00821610">
        <w:rPr>
          <w:rFonts w:ascii="Times New Roman" w:hAnsi="Times New Roman" w:cs="Times New Roman"/>
          <w:b/>
        </w:rPr>
        <w:t>Conclusions</w:t>
      </w:r>
    </w:p>
    <w:p w14:paraId="0A160760" w14:textId="405A50EE" w:rsidR="00D63D21" w:rsidRPr="00821610" w:rsidRDefault="0092007E" w:rsidP="00D63D21">
      <w:pPr>
        <w:spacing w:line="360" w:lineRule="auto"/>
        <w:ind w:firstLine="720"/>
        <w:jc w:val="both"/>
        <w:rPr>
          <w:rFonts w:ascii="Times New Roman" w:hAnsi="Times New Roman" w:cs="Times New Roman"/>
        </w:rPr>
      </w:pPr>
      <w:r w:rsidRPr="00821610">
        <w:rPr>
          <w:rFonts w:ascii="Times New Roman" w:hAnsi="Times New Roman" w:cs="Times New Roman"/>
        </w:rPr>
        <w:t xml:space="preserve">We examined </w:t>
      </w:r>
      <w:r w:rsidR="00870391" w:rsidRPr="00821610">
        <w:rPr>
          <w:rFonts w:ascii="Times New Roman" w:hAnsi="Times New Roman" w:cs="Times New Roman"/>
        </w:rPr>
        <w:t xml:space="preserve">the </w:t>
      </w:r>
      <w:r w:rsidRPr="00821610">
        <w:rPr>
          <w:rFonts w:ascii="Times New Roman" w:hAnsi="Times New Roman" w:cs="Times New Roman"/>
        </w:rPr>
        <w:t>debate over Better Regulation reform</w:t>
      </w:r>
      <w:r w:rsidR="001432E6" w:rsidRPr="00821610">
        <w:rPr>
          <w:rFonts w:ascii="Times New Roman" w:hAnsi="Times New Roman" w:cs="Times New Roman"/>
        </w:rPr>
        <w:t>s by investigating stakeholders’</w:t>
      </w:r>
      <w:r w:rsidRPr="00821610">
        <w:rPr>
          <w:rFonts w:ascii="Times New Roman" w:hAnsi="Times New Roman" w:cs="Times New Roman"/>
        </w:rPr>
        <w:t xml:space="preserve"> demands expressed in relation to these measures</w:t>
      </w:r>
      <w:r w:rsidR="00386B99" w:rsidRPr="00821610">
        <w:rPr>
          <w:rFonts w:ascii="Times New Roman" w:hAnsi="Times New Roman" w:cs="Times New Roman"/>
        </w:rPr>
        <w:t xml:space="preserve"> in the context of </w:t>
      </w:r>
      <w:r w:rsidR="003D115C" w:rsidRPr="00821610">
        <w:rPr>
          <w:rFonts w:ascii="Times New Roman" w:hAnsi="Times New Roman" w:cs="Times New Roman"/>
        </w:rPr>
        <w:t>EU</w:t>
      </w:r>
      <w:r w:rsidR="00386B99" w:rsidRPr="00821610">
        <w:rPr>
          <w:rFonts w:ascii="Times New Roman" w:hAnsi="Times New Roman" w:cs="Times New Roman"/>
        </w:rPr>
        <w:t xml:space="preserve"> policymaking</w:t>
      </w:r>
      <w:r w:rsidRPr="00821610">
        <w:rPr>
          <w:rFonts w:ascii="Times New Roman" w:hAnsi="Times New Roman" w:cs="Times New Roman"/>
        </w:rPr>
        <w:t xml:space="preserve">. </w:t>
      </w:r>
      <w:r w:rsidR="00386B99" w:rsidRPr="00821610">
        <w:rPr>
          <w:rFonts w:ascii="Times New Roman" w:hAnsi="Times New Roman" w:cs="Times New Roman"/>
        </w:rPr>
        <w:t xml:space="preserve">Building on classic theories of regulation, we argued that stakeholders have different </w:t>
      </w:r>
      <w:r w:rsidR="00EB2EE6" w:rsidRPr="00821610">
        <w:rPr>
          <w:rFonts w:ascii="Times New Roman" w:hAnsi="Times New Roman" w:cs="Times New Roman"/>
        </w:rPr>
        <w:t xml:space="preserve">preferences </w:t>
      </w:r>
      <w:r w:rsidR="00386B99" w:rsidRPr="00821610">
        <w:rPr>
          <w:rFonts w:ascii="Times New Roman" w:hAnsi="Times New Roman" w:cs="Times New Roman"/>
        </w:rPr>
        <w:t xml:space="preserve">about what </w:t>
      </w:r>
      <w:r w:rsidRPr="00821610">
        <w:rPr>
          <w:rFonts w:ascii="Times New Roman" w:hAnsi="Times New Roman" w:cs="Times New Roman"/>
        </w:rPr>
        <w:t xml:space="preserve">Better Regulation </w:t>
      </w:r>
      <w:r w:rsidR="00386B99" w:rsidRPr="00821610">
        <w:rPr>
          <w:rFonts w:ascii="Times New Roman" w:hAnsi="Times New Roman" w:cs="Times New Roman"/>
        </w:rPr>
        <w:t xml:space="preserve">reforms </w:t>
      </w:r>
      <w:r w:rsidRPr="00821610">
        <w:rPr>
          <w:rFonts w:ascii="Times New Roman" w:hAnsi="Times New Roman" w:cs="Times New Roman"/>
        </w:rPr>
        <w:t xml:space="preserve">should ultimately </w:t>
      </w:r>
      <w:r w:rsidRPr="00821610">
        <w:rPr>
          <w:rFonts w:ascii="Times New Roman" w:hAnsi="Times New Roman" w:cs="Times New Roman"/>
        </w:rPr>
        <w:lastRenderedPageBreak/>
        <w:t>aim t</w:t>
      </w:r>
      <w:r w:rsidR="007678EC" w:rsidRPr="00821610">
        <w:rPr>
          <w:rFonts w:ascii="Times New Roman" w:hAnsi="Times New Roman" w:cs="Times New Roman"/>
        </w:rPr>
        <w:t>o achieve</w:t>
      </w:r>
      <w:r w:rsidR="00386B99" w:rsidRPr="00821610">
        <w:rPr>
          <w:rFonts w:ascii="Times New Roman" w:hAnsi="Times New Roman" w:cs="Times New Roman"/>
        </w:rPr>
        <w:t xml:space="preserve"> and that these preferences are informed by what stakeholders identify as sources of regulatory inefficiencies and what they consider to be the optimal solutions to failures in regulatory decision-</w:t>
      </w:r>
      <w:r w:rsidR="00F110A5" w:rsidRPr="00821610">
        <w:rPr>
          <w:rFonts w:ascii="Times New Roman" w:hAnsi="Times New Roman" w:cs="Times New Roman"/>
        </w:rPr>
        <w:t xml:space="preserve">making. In line with public choice theories, some stakeholders were expected to support Better Regulation measure that resulted in deregulation. In line with public interest theories, some stakeholders </w:t>
      </w:r>
      <w:r w:rsidR="00D63D21" w:rsidRPr="00821610">
        <w:rPr>
          <w:rFonts w:ascii="Times New Roman" w:hAnsi="Times New Roman" w:cs="Times New Roman"/>
        </w:rPr>
        <w:t>were expected to demand the</w:t>
      </w:r>
      <w:r w:rsidR="00F110A5" w:rsidRPr="00821610">
        <w:rPr>
          <w:rFonts w:ascii="Times New Roman" w:hAnsi="Times New Roman" w:cs="Times New Roman"/>
        </w:rPr>
        <w:t xml:space="preserve"> strengthening </w:t>
      </w:r>
      <w:r w:rsidR="00D63D21" w:rsidRPr="00821610">
        <w:rPr>
          <w:rFonts w:ascii="Times New Roman" w:hAnsi="Times New Roman" w:cs="Times New Roman"/>
        </w:rPr>
        <w:t xml:space="preserve">of </w:t>
      </w:r>
      <w:r w:rsidR="00F110A5" w:rsidRPr="00821610">
        <w:rPr>
          <w:rFonts w:ascii="Times New Roman" w:hAnsi="Times New Roman" w:cs="Times New Roman"/>
        </w:rPr>
        <w:t>technocratic policymaking</w:t>
      </w:r>
      <w:r w:rsidR="00B20A18" w:rsidRPr="00821610">
        <w:rPr>
          <w:rFonts w:ascii="Times New Roman" w:hAnsi="Times New Roman" w:cs="Times New Roman"/>
        </w:rPr>
        <w:t xml:space="preserve">, while </w:t>
      </w:r>
      <w:r w:rsidR="00D63D21" w:rsidRPr="00821610">
        <w:rPr>
          <w:rFonts w:ascii="Times New Roman" w:hAnsi="Times New Roman" w:cs="Times New Roman"/>
        </w:rPr>
        <w:t xml:space="preserve">in line with neo-pluralist and deliberative accounts of regulation, we expected that some stakeholders would demand strengthening participatory policymaking. </w:t>
      </w:r>
      <w:r w:rsidR="00386B99" w:rsidRPr="00821610">
        <w:rPr>
          <w:rFonts w:ascii="Times New Roman" w:hAnsi="Times New Roman" w:cs="Times New Roman"/>
        </w:rPr>
        <w:t xml:space="preserve"> </w:t>
      </w:r>
    </w:p>
    <w:p w14:paraId="4AF51E53" w14:textId="27BDE507" w:rsidR="0092007E" w:rsidRPr="00821610" w:rsidRDefault="0092007E" w:rsidP="00D63D21">
      <w:pPr>
        <w:spacing w:line="360" w:lineRule="auto"/>
        <w:ind w:firstLine="720"/>
        <w:jc w:val="both"/>
        <w:rPr>
          <w:rFonts w:ascii="Times New Roman" w:hAnsi="Times New Roman" w:cs="Times New Roman"/>
        </w:rPr>
      </w:pPr>
      <w:r w:rsidRPr="00821610">
        <w:rPr>
          <w:rFonts w:ascii="Times New Roman" w:hAnsi="Times New Roman" w:cs="Times New Roman"/>
        </w:rPr>
        <w:t xml:space="preserve">We found </w:t>
      </w:r>
      <w:r w:rsidR="00D63D21" w:rsidRPr="00821610">
        <w:rPr>
          <w:rFonts w:ascii="Times New Roman" w:hAnsi="Times New Roman" w:cs="Times New Roman"/>
        </w:rPr>
        <w:t xml:space="preserve">moderate </w:t>
      </w:r>
      <w:r w:rsidRPr="00821610">
        <w:rPr>
          <w:rFonts w:ascii="Times New Roman" w:hAnsi="Times New Roman" w:cs="Times New Roman"/>
        </w:rPr>
        <w:t>support for our theoretical expectations</w:t>
      </w:r>
      <w:r w:rsidR="00C22DEA" w:rsidRPr="00821610">
        <w:rPr>
          <w:rFonts w:ascii="Times New Roman" w:hAnsi="Times New Roman" w:cs="Times New Roman"/>
        </w:rPr>
        <w:t xml:space="preserve">. Our empirical analysis unveils two relevant patterns of stakeholders’ preference alignments concerning the direction of Better Regulation reforms. The first </w:t>
      </w:r>
      <w:r w:rsidR="008350DE" w:rsidRPr="00821610">
        <w:rPr>
          <w:rFonts w:ascii="Times New Roman" w:hAnsi="Times New Roman" w:cs="Times New Roman"/>
        </w:rPr>
        <w:t xml:space="preserve">pattern indicates that </w:t>
      </w:r>
      <w:r w:rsidR="00C22DEA" w:rsidRPr="00821610">
        <w:rPr>
          <w:rFonts w:ascii="Times New Roman" w:hAnsi="Times New Roman" w:cs="Times New Roman"/>
        </w:rPr>
        <w:t>the same type of ac</w:t>
      </w:r>
      <w:r w:rsidR="008350DE" w:rsidRPr="00821610">
        <w:rPr>
          <w:rFonts w:ascii="Times New Roman" w:hAnsi="Times New Roman" w:cs="Times New Roman"/>
        </w:rPr>
        <w:t>tors</w:t>
      </w:r>
      <w:r w:rsidR="00C22DEA" w:rsidRPr="00821610">
        <w:rPr>
          <w:rFonts w:ascii="Times New Roman" w:hAnsi="Times New Roman" w:cs="Times New Roman"/>
        </w:rPr>
        <w:t xml:space="preserve"> (i.e. cross-</w:t>
      </w:r>
      <w:r w:rsidR="008350DE" w:rsidRPr="00821610">
        <w:rPr>
          <w:rFonts w:ascii="Times New Roman" w:hAnsi="Times New Roman" w:cs="Times New Roman"/>
        </w:rPr>
        <w:t>sectoral business</w:t>
      </w:r>
      <w:r w:rsidR="00C22DEA" w:rsidRPr="00821610">
        <w:rPr>
          <w:rFonts w:ascii="Times New Roman" w:hAnsi="Times New Roman" w:cs="Times New Roman"/>
        </w:rPr>
        <w:t xml:space="preserve"> </w:t>
      </w:r>
      <w:r w:rsidR="008350DE" w:rsidRPr="00821610">
        <w:rPr>
          <w:rFonts w:ascii="Times New Roman" w:hAnsi="Times New Roman" w:cs="Times New Roman"/>
        </w:rPr>
        <w:t xml:space="preserve">organizations </w:t>
      </w:r>
      <w:r w:rsidR="00C22DEA" w:rsidRPr="00821610">
        <w:rPr>
          <w:rFonts w:ascii="Times New Roman" w:hAnsi="Times New Roman" w:cs="Times New Roman"/>
        </w:rPr>
        <w:t xml:space="preserve">and some central public authorities) ask simultaneously for deregulation and technocratic policymaking. </w:t>
      </w:r>
      <w:r w:rsidR="008350DE" w:rsidRPr="00821610">
        <w:rPr>
          <w:rFonts w:ascii="Times New Roman" w:hAnsi="Times New Roman" w:cs="Times New Roman"/>
        </w:rPr>
        <w:t xml:space="preserve">The second pattern indicates that the support for strengthening participatory policymaking through Better Regulation reform is equally favored by stakeholders across interest type. </w:t>
      </w:r>
      <w:r w:rsidR="00171D5B" w:rsidRPr="00821610">
        <w:rPr>
          <w:rFonts w:ascii="Times New Roman" w:hAnsi="Times New Roman" w:cs="Times New Roman"/>
        </w:rPr>
        <w:t xml:space="preserve">This </w:t>
      </w:r>
      <w:r w:rsidR="005F2D60" w:rsidRPr="00821610">
        <w:rPr>
          <w:rFonts w:ascii="Times New Roman" w:hAnsi="Times New Roman" w:cs="Times New Roman"/>
        </w:rPr>
        <w:t xml:space="preserve">suggests a regulatory setting in which stakeholders operate in line with a public choice logic of regulation and </w:t>
      </w:r>
      <w:r w:rsidR="0046796A" w:rsidRPr="00821610">
        <w:rPr>
          <w:rFonts w:ascii="Times New Roman" w:hAnsi="Times New Roman" w:cs="Times New Roman"/>
        </w:rPr>
        <w:t>want</w:t>
      </w:r>
      <w:r w:rsidR="005F2D60" w:rsidRPr="00821610">
        <w:rPr>
          <w:rFonts w:ascii="Times New Roman" w:hAnsi="Times New Roman" w:cs="Times New Roman"/>
        </w:rPr>
        <w:t xml:space="preserve"> </w:t>
      </w:r>
      <w:r w:rsidR="00485A74" w:rsidRPr="00821610">
        <w:rPr>
          <w:rFonts w:ascii="Times New Roman" w:hAnsi="Times New Roman" w:cs="Times New Roman"/>
        </w:rPr>
        <w:t xml:space="preserve">an EU supranational authority that acts more like a free-market and less like a </w:t>
      </w:r>
      <w:r w:rsidR="0046796A" w:rsidRPr="00821610">
        <w:rPr>
          <w:rFonts w:ascii="Times New Roman" w:hAnsi="Times New Roman" w:cs="Times New Roman"/>
        </w:rPr>
        <w:t xml:space="preserve">traditional </w:t>
      </w:r>
      <w:r w:rsidR="00485A74" w:rsidRPr="00821610">
        <w:rPr>
          <w:rFonts w:ascii="Times New Roman" w:hAnsi="Times New Roman" w:cs="Times New Roman"/>
        </w:rPr>
        <w:t xml:space="preserve">‘command and control’ regulatory state. When regulation occurs, </w:t>
      </w:r>
      <w:r w:rsidR="0046796A" w:rsidRPr="00821610">
        <w:rPr>
          <w:rFonts w:ascii="Times New Roman" w:hAnsi="Times New Roman" w:cs="Times New Roman"/>
        </w:rPr>
        <w:t>it should be</w:t>
      </w:r>
      <w:r w:rsidR="00485A74" w:rsidRPr="00821610">
        <w:rPr>
          <w:rFonts w:ascii="Times New Roman" w:hAnsi="Times New Roman" w:cs="Times New Roman"/>
        </w:rPr>
        <w:t xml:space="preserve"> evidence-based and informed by broad consultations with a wide variety of stakeholders. </w:t>
      </w:r>
      <w:r w:rsidR="00C24C94" w:rsidRPr="00821610">
        <w:rPr>
          <w:rFonts w:ascii="Times New Roman" w:hAnsi="Times New Roman" w:cs="Times New Roman"/>
        </w:rPr>
        <w:t>This is consistent with the literature emphasizing the crucial importance of ‘transparency, public consultation and RIA</w:t>
      </w:r>
      <w:r w:rsidR="0046796A" w:rsidRPr="00821610">
        <w:rPr>
          <w:rFonts w:ascii="Times New Roman" w:hAnsi="Times New Roman" w:cs="Times New Roman"/>
        </w:rPr>
        <w:t xml:space="preserve"> </w:t>
      </w:r>
      <w:r w:rsidR="00C24C94" w:rsidRPr="00821610">
        <w:rPr>
          <w:rFonts w:ascii="Times New Roman" w:hAnsi="Times New Roman" w:cs="Times New Roman"/>
        </w:rPr>
        <w:t>[…] for the overall legitimacy and ultimate acceptance of regulator</w:t>
      </w:r>
      <w:r w:rsidR="00F30F0D">
        <w:rPr>
          <w:rFonts w:ascii="Times New Roman" w:hAnsi="Times New Roman" w:cs="Times New Roman"/>
        </w:rPr>
        <w:t>y law’ (Dudley and Wegrich 2016,</w:t>
      </w:r>
      <w:r w:rsidR="00C24C94" w:rsidRPr="00821610">
        <w:rPr>
          <w:rFonts w:ascii="Times New Roman" w:hAnsi="Times New Roman" w:cs="Times New Roman"/>
        </w:rPr>
        <w:t xml:space="preserve"> </w:t>
      </w:r>
      <w:r w:rsidR="00F30F0D">
        <w:rPr>
          <w:rFonts w:ascii="Times New Roman" w:hAnsi="Times New Roman" w:cs="Times New Roman"/>
        </w:rPr>
        <w:t xml:space="preserve">p. </w:t>
      </w:r>
      <w:r w:rsidR="00C24C94" w:rsidRPr="00821610">
        <w:rPr>
          <w:rFonts w:ascii="Times New Roman" w:hAnsi="Times New Roman" w:cs="Times New Roman"/>
        </w:rPr>
        <w:t xml:space="preserve">1138; see also </w:t>
      </w:r>
      <w:r w:rsidR="00F30F0D" w:rsidRPr="00821610">
        <w:rPr>
          <w:rFonts w:ascii="Times New Roman" w:hAnsi="Times New Roman" w:cs="Times New Roman"/>
        </w:rPr>
        <w:t xml:space="preserve">Meuwese 2007, </w:t>
      </w:r>
      <w:r w:rsidR="00B5519C" w:rsidRPr="00821610">
        <w:rPr>
          <w:rFonts w:ascii="Times New Roman" w:hAnsi="Times New Roman" w:cs="Times New Roman"/>
        </w:rPr>
        <w:t>Radaelli 2010, Mastenbroek et al. 201</w:t>
      </w:r>
      <w:r w:rsidR="009D6BBE">
        <w:rPr>
          <w:rFonts w:ascii="Times New Roman" w:hAnsi="Times New Roman" w:cs="Times New Roman"/>
        </w:rPr>
        <w:t>6</w:t>
      </w:r>
      <w:r w:rsidR="00B5519C" w:rsidRPr="00821610">
        <w:rPr>
          <w:rFonts w:ascii="Times New Roman" w:hAnsi="Times New Roman" w:cs="Times New Roman"/>
        </w:rPr>
        <w:t>).</w:t>
      </w:r>
      <w:r w:rsidR="00036C6F" w:rsidRPr="00821610">
        <w:rPr>
          <w:rFonts w:ascii="Times New Roman" w:hAnsi="Times New Roman" w:cs="Times New Roman"/>
        </w:rPr>
        <w:t xml:space="preserve"> </w:t>
      </w:r>
      <w:r w:rsidR="00C24C94" w:rsidRPr="00821610">
        <w:rPr>
          <w:rFonts w:ascii="Times New Roman" w:hAnsi="Times New Roman" w:cs="Times New Roman"/>
        </w:rPr>
        <w:t xml:space="preserve"> </w:t>
      </w:r>
      <w:r w:rsidR="007C1BEA" w:rsidRPr="00821610">
        <w:rPr>
          <w:rFonts w:ascii="Times New Roman" w:hAnsi="Times New Roman" w:cs="Times New Roman"/>
        </w:rPr>
        <w:t xml:space="preserve"> </w:t>
      </w:r>
    </w:p>
    <w:p w14:paraId="7054B93C" w14:textId="179B75CE" w:rsidR="000410F3" w:rsidRPr="00F56901" w:rsidRDefault="0046796A" w:rsidP="00A90EC9">
      <w:pPr>
        <w:spacing w:line="360" w:lineRule="auto"/>
        <w:ind w:firstLine="720"/>
        <w:jc w:val="both"/>
        <w:rPr>
          <w:rFonts w:ascii="Times New Roman" w:hAnsi="Times New Roman" w:cs="Times New Roman"/>
        </w:rPr>
      </w:pPr>
      <w:r w:rsidRPr="00821610">
        <w:rPr>
          <w:rFonts w:ascii="Times New Roman" w:hAnsi="Times New Roman" w:cs="Times New Roman"/>
        </w:rPr>
        <w:t xml:space="preserve">These patterns also </w:t>
      </w:r>
      <w:r w:rsidR="00CD7097" w:rsidRPr="00821610">
        <w:rPr>
          <w:rFonts w:ascii="Times New Roman" w:hAnsi="Times New Roman" w:cs="Times New Roman"/>
        </w:rPr>
        <w:t xml:space="preserve">indicate </w:t>
      </w:r>
      <w:r w:rsidR="0076279C" w:rsidRPr="00821610">
        <w:rPr>
          <w:rFonts w:ascii="Times New Roman" w:hAnsi="Times New Roman" w:cs="Times New Roman"/>
        </w:rPr>
        <w:t xml:space="preserve">the </w:t>
      </w:r>
      <w:r w:rsidRPr="00821610">
        <w:rPr>
          <w:rFonts w:ascii="Times New Roman" w:hAnsi="Times New Roman" w:cs="Times New Roman"/>
        </w:rPr>
        <w:t>inherent complexity of Better Regulation reforms. This complexi</w:t>
      </w:r>
      <w:r w:rsidR="007F4504" w:rsidRPr="00821610">
        <w:rPr>
          <w:rFonts w:ascii="Times New Roman" w:hAnsi="Times New Roman" w:cs="Times New Roman"/>
        </w:rPr>
        <w:t>ty has important implications for policymaking and academic research.</w:t>
      </w:r>
      <w:r w:rsidR="00396A95" w:rsidRPr="00821610">
        <w:rPr>
          <w:rFonts w:ascii="Times New Roman" w:hAnsi="Times New Roman" w:cs="Times New Roman"/>
        </w:rPr>
        <w:t xml:space="preserve"> In policymaking, this complexity facilitates compromise solutions and consensual decision-making: decision-makers may adopt measures that may please a wider variety of stakeholders for different reasons. This partially explains the rather broad appeal of the Better Regulation rhetoric. </w:t>
      </w:r>
      <w:r w:rsidR="004D02A5" w:rsidRPr="00821610">
        <w:rPr>
          <w:rFonts w:ascii="Times New Roman" w:hAnsi="Times New Roman" w:cs="Times New Roman"/>
        </w:rPr>
        <w:t>Second, this complexity ma</w:t>
      </w:r>
      <w:r w:rsidR="004D02A5">
        <w:rPr>
          <w:rFonts w:ascii="Times New Roman" w:hAnsi="Times New Roman" w:cs="Times New Roman"/>
        </w:rPr>
        <w:t xml:space="preserve">y generate weak patterns of stakeholders’ preferences and alignments, and unstable advocacy coalitions during times of designing or reformulating Better Regulation measures. </w:t>
      </w:r>
      <w:r w:rsidR="000410F3">
        <w:rPr>
          <w:rFonts w:ascii="Times New Roman" w:hAnsi="Times New Roman" w:cs="Times New Roman"/>
        </w:rPr>
        <w:t xml:space="preserve">In the context of weak or unclear policy signals about the most preferred policy option(s) of stakeholders, decision-makers may use the lack of structure and </w:t>
      </w:r>
      <w:r w:rsidR="000410F3">
        <w:rPr>
          <w:rFonts w:ascii="Times New Roman" w:hAnsi="Times New Roman" w:cs="Times New Roman"/>
        </w:rPr>
        <w:lastRenderedPageBreak/>
        <w:t xml:space="preserve">constraint to gain more leverage in pursuing their own interests and agenda, being thus able to shape to a significant extent the content of Better Regulation reforms. </w:t>
      </w:r>
      <w:r w:rsidR="000410F3" w:rsidRPr="00F56901">
        <w:rPr>
          <w:rFonts w:ascii="Times New Roman" w:hAnsi="Times New Roman" w:cs="Times New Roman"/>
        </w:rPr>
        <w:t xml:space="preserve">Third, this </w:t>
      </w:r>
      <w:r w:rsidR="000410F3">
        <w:rPr>
          <w:rFonts w:ascii="Times New Roman" w:hAnsi="Times New Roman" w:cs="Times New Roman"/>
        </w:rPr>
        <w:t xml:space="preserve">indicates that </w:t>
      </w:r>
      <w:r w:rsidR="00A90EC9">
        <w:rPr>
          <w:rFonts w:ascii="Times New Roman" w:hAnsi="Times New Roman" w:cs="Times New Roman"/>
        </w:rPr>
        <w:t xml:space="preserve">media and public debates </w:t>
      </w:r>
      <w:r w:rsidR="000410F3">
        <w:rPr>
          <w:rFonts w:ascii="Times New Roman" w:hAnsi="Times New Roman" w:cs="Times New Roman"/>
        </w:rPr>
        <w:t xml:space="preserve">reducing Better Regulation reforms to </w:t>
      </w:r>
      <w:r w:rsidR="00A90EC9">
        <w:rPr>
          <w:rFonts w:ascii="Times New Roman" w:hAnsi="Times New Roman" w:cs="Times New Roman"/>
        </w:rPr>
        <w:t xml:space="preserve">the issue of </w:t>
      </w:r>
      <w:r w:rsidR="000410F3">
        <w:rPr>
          <w:rFonts w:ascii="Times New Roman" w:hAnsi="Times New Roman" w:cs="Times New Roman"/>
        </w:rPr>
        <w:t xml:space="preserve">deregulation </w:t>
      </w:r>
      <w:r w:rsidR="00A90EC9">
        <w:rPr>
          <w:rFonts w:ascii="Times New Roman" w:hAnsi="Times New Roman" w:cs="Times New Roman"/>
        </w:rPr>
        <w:t>only</w:t>
      </w:r>
      <w:r w:rsidR="000410F3">
        <w:rPr>
          <w:rFonts w:ascii="Times New Roman" w:hAnsi="Times New Roman" w:cs="Times New Roman"/>
        </w:rPr>
        <w:t xml:space="preserve"> </w:t>
      </w:r>
      <w:r w:rsidR="00A90EC9">
        <w:rPr>
          <w:rFonts w:ascii="Times New Roman" w:hAnsi="Times New Roman" w:cs="Times New Roman"/>
        </w:rPr>
        <w:t>are</w:t>
      </w:r>
      <w:r w:rsidR="000410F3">
        <w:rPr>
          <w:rFonts w:ascii="Times New Roman" w:hAnsi="Times New Roman" w:cs="Times New Roman"/>
        </w:rPr>
        <w:t xml:space="preserve"> simplistic and</w:t>
      </w:r>
      <w:r w:rsidR="00A90EC9">
        <w:rPr>
          <w:rFonts w:ascii="Times New Roman" w:hAnsi="Times New Roman" w:cs="Times New Roman"/>
        </w:rPr>
        <w:t xml:space="preserve"> rather</w:t>
      </w:r>
      <w:r w:rsidR="000410F3">
        <w:rPr>
          <w:rFonts w:ascii="Times New Roman" w:hAnsi="Times New Roman" w:cs="Times New Roman"/>
        </w:rPr>
        <w:t xml:space="preserve"> inadequate. </w:t>
      </w:r>
      <w:r w:rsidR="000410F3" w:rsidRPr="00F56901">
        <w:rPr>
          <w:rFonts w:ascii="Times New Roman" w:hAnsi="Times New Roman" w:cs="Times New Roman"/>
        </w:rPr>
        <w:t>A</w:t>
      </w:r>
      <w:r w:rsidR="00A90EC9">
        <w:rPr>
          <w:rFonts w:ascii="Times New Roman" w:hAnsi="Times New Roman" w:cs="Times New Roman"/>
        </w:rPr>
        <w:t>lso</w:t>
      </w:r>
      <w:r w:rsidR="000410F3" w:rsidRPr="00F56901">
        <w:rPr>
          <w:rFonts w:ascii="Times New Roman" w:hAnsi="Times New Roman" w:cs="Times New Roman"/>
        </w:rPr>
        <w:t>, complexity makes it difficult to evaluate the level of success in the implementation of Better Regulation reforms</w:t>
      </w:r>
      <w:r w:rsidR="00A90EC9">
        <w:rPr>
          <w:rFonts w:ascii="Times New Roman" w:hAnsi="Times New Roman" w:cs="Times New Roman"/>
        </w:rPr>
        <w:t xml:space="preserve"> and</w:t>
      </w:r>
      <w:r w:rsidR="000410F3" w:rsidRPr="00F56901">
        <w:rPr>
          <w:rFonts w:ascii="Times New Roman" w:hAnsi="Times New Roman" w:cs="Times New Roman"/>
        </w:rPr>
        <w:t xml:space="preserve"> raises questions about the methodology used by policymakers to systematically </w:t>
      </w:r>
      <w:r w:rsidR="00A90EC9">
        <w:rPr>
          <w:rFonts w:ascii="Times New Roman" w:hAnsi="Times New Roman" w:cs="Times New Roman"/>
        </w:rPr>
        <w:t xml:space="preserve">and accurately </w:t>
      </w:r>
      <w:r w:rsidR="000410F3" w:rsidRPr="00F56901">
        <w:rPr>
          <w:rFonts w:ascii="Times New Roman" w:hAnsi="Times New Roman" w:cs="Times New Roman"/>
        </w:rPr>
        <w:t>process and integrate into policymaking processes stak</w:t>
      </w:r>
      <w:r w:rsidR="000410F3">
        <w:rPr>
          <w:rFonts w:ascii="Times New Roman" w:hAnsi="Times New Roman" w:cs="Times New Roman"/>
        </w:rPr>
        <w:t>eholders’</w:t>
      </w:r>
      <w:r w:rsidR="000410F3" w:rsidRPr="00F56901">
        <w:rPr>
          <w:rFonts w:ascii="Times New Roman" w:hAnsi="Times New Roman" w:cs="Times New Roman"/>
        </w:rPr>
        <w:t xml:space="preserve"> policy </w:t>
      </w:r>
      <w:r w:rsidR="00A90EC9">
        <w:rPr>
          <w:rFonts w:ascii="Times New Roman" w:hAnsi="Times New Roman" w:cs="Times New Roman"/>
        </w:rPr>
        <w:t>input and feedback</w:t>
      </w:r>
      <w:r w:rsidR="000410F3" w:rsidRPr="00F56901">
        <w:rPr>
          <w:rFonts w:ascii="Times New Roman" w:hAnsi="Times New Roman" w:cs="Times New Roman"/>
        </w:rPr>
        <w:t>.</w:t>
      </w:r>
    </w:p>
    <w:p w14:paraId="73B7707B" w14:textId="2164414F" w:rsidR="00FF1B3D" w:rsidRDefault="000410F3" w:rsidP="000410F3">
      <w:pPr>
        <w:spacing w:line="360" w:lineRule="auto"/>
        <w:jc w:val="both"/>
        <w:rPr>
          <w:rFonts w:ascii="Times New Roman" w:hAnsi="Times New Roman" w:cs="Times New Roman"/>
        </w:rPr>
      </w:pPr>
      <w:r>
        <w:rPr>
          <w:rFonts w:ascii="Times New Roman" w:hAnsi="Times New Roman" w:cs="Times New Roman"/>
        </w:rPr>
        <w:tab/>
      </w:r>
      <w:r w:rsidR="0092007E" w:rsidRPr="00F56901">
        <w:rPr>
          <w:rFonts w:ascii="Times New Roman" w:hAnsi="Times New Roman" w:cs="Times New Roman"/>
        </w:rPr>
        <w:t>The complex</w:t>
      </w:r>
      <w:r w:rsidR="00A90EC9">
        <w:rPr>
          <w:rFonts w:ascii="Times New Roman" w:hAnsi="Times New Roman" w:cs="Times New Roman"/>
        </w:rPr>
        <w:t xml:space="preserve">ity of </w:t>
      </w:r>
      <w:r w:rsidR="0092007E" w:rsidRPr="00F56901">
        <w:rPr>
          <w:rFonts w:ascii="Times New Roman" w:hAnsi="Times New Roman" w:cs="Times New Roman"/>
        </w:rPr>
        <w:t xml:space="preserve">Better Regulation reforms also </w:t>
      </w:r>
      <w:r w:rsidR="0076279C">
        <w:rPr>
          <w:rFonts w:ascii="Times New Roman" w:hAnsi="Times New Roman" w:cs="Times New Roman"/>
        </w:rPr>
        <w:t xml:space="preserve">indicates that academics should focus more on theory-building and develop a well-specified theoretical framework aimed specifically at Better Regulation conceptualized as a case of ‘meta-regulation’.  </w:t>
      </w:r>
      <w:r w:rsidR="0092007E" w:rsidRPr="00F56901">
        <w:rPr>
          <w:rFonts w:ascii="Times New Roman" w:hAnsi="Times New Roman" w:cs="Times New Roman"/>
        </w:rPr>
        <w:t xml:space="preserve">Equally, more systematic empirical research is required, ideally adopting a comparative research design. Our empirical analysis reveals that in the study of Better Regulation the analytical approach and level of analysis </w:t>
      </w:r>
      <w:r w:rsidR="00422AA3">
        <w:rPr>
          <w:rFonts w:ascii="Times New Roman" w:hAnsi="Times New Roman" w:cs="Times New Roman"/>
        </w:rPr>
        <w:t>are</w:t>
      </w:r>
      <w:r w:rsidR="0092007E" w:rsidRPr="00F56901">
        <w:rPr>
          <w:rFonts w:ascii="Times New Roman" w:hAnsi="Times New Roman" w:cs="Times New Roman"/>
        </w:rPr>
        <w:t xml:space="preserve"> of critical importance. </w:t>
      </w:r>
      <w:r w:rsidR="00DB36C5">
        <w:rPr>
          <w:rFonts w:ascii="Times New Roman" w:hAnsi="Times New Roman" w:cs="Times New Roman"/>
        </w:rPr>
        <w:t xml:space="preserve">The choice between a deductive, aggregate analysis and an inductive, disaggregate one might be of particular relevance in this respect: a question remains about which approach allows capturing best the fine-grained difference characterizing stakeholders’ demands for Better Regulation reforms. </w:t>
      </w:r>
      <w:r w:rsidR="0092007E" w:rsidRPr="00F56901">
        <w:rPr>
          <w:rFonts w:ascii="Times New Roman" w:hAnsi="Times New Roman" w:cs="Times New Roman"/>
        </w:rPr>
        <w:t xml:space="preserve">The choice of method is also relevant for policy research and raises the question of how policymakers themselves process and integrate into policymaking processes </w:t>
      </w:r>
      <w:r w:rsidR="001432E6">
        <w:rPr>
          <w:rFonts w:ascii="Times New Roman" w:hAnsi="Times New Roman" w:cs="Times New Roman"/>
        </w:rPr>
        <w:t>stakeholders’</w:t>
      </w:r>
      <w:r w:rsidR="0092007E" w:rsidRPr="00F56901">
        <w:rPr>
          <w:rFonts w:ascii="Times New Roman" w:hAnsi="Times New Roman" w:cs="Times New Roman"/>
        </w:rPr>
        <w:t xml:space="preserve"> </w:t>
      </w:r>
      <w:r w:rsidR="003F5D23">
        <w:rPr>
          <w:rFonts w:ascii="Times New Roman" w:hAnsi="Times New Roman" w:cs="Times New Roman"/>
        </w:rPr>
        <w:t>input</w:t>
      </w:r>
      <w:r w:rsidR="003F5D23" w:rsidRPr="00F56901">
        <w:rPr>
          <w:rFonts w:ascii="Times New Roman" w:hAnsi="Times New Roman" w:cs="Times New Roman"/>
        </w:rPr>
        <w:t xml:space="preserve"> </w:t>
      </w:r>
      <w:r w:rsidR="0092007E" w:rsidRPr="00F56901">
        <w:rPr>
          <w:rFonts w:ascii="Times New Roman" w:hAnsi="Times New Roman" w:cs="Times New Roman"/>
        </w:rPr>
        <w:t xml:space="preserve">on multi-dimensional policy issues. In some ways, the high political and policy salience of Better Regulation remains to a certain extent unmatched by the theoretical and methodological advancements made in the literature. This indicates </w:t>
      </w:r>
      <w:r w:rsidR="00DB36C5">
        <w:rPr>
          <w:rFonts w:ascii="Times New Roman" w:hAnsi="Times New Roman" w:cs="Times New Roman"/>
        </w:rPr>
        <w:t>however</w:t>
      </w:r>
      <w:r w:rsidR="00DB36C5" w:rsidRPr="00F56901">
        <w:rPr>
          <w:rFonts w:ascii="Times New Roman" w:hAnsi="Times New Roman" w:cs="Times New Roman"/>
        </w:rPr>
        <w:t xml:space="preserve"> </w:t>
      </w:r>
      <w:r w:rsidR="0092007E" w:rsidRPr="00F56901">
        <w:rPr>
          <w:rFonts w:ascii="Times New Roman" w:hAnsi="Times New Roman" w:cs="Times New Roman"/>
        </w:rPr>
        <w:t>that Better Regulation remains a generous topic for future research and debate</w:t>
      </w:r>
      <w:r w:rsidR="002F27BB">
        <w:rPr>
          <w:rFonts w:ascii="Times New Roman" w:hAnsi="Times New Roman" w:cs="Times New Roman"/>
        </w:rPr>
        <w:t>.</w:t>
      </w:r>
    </w:p>
    <w:p w14:paraId="0A19BD6D" w14:textId="77777777" w:rsidR="00E537E9" w:rsidRDefault="00E537E9" w:rsidP="000410F3">
      <w:pPr>
        <w:spacing w:line="360" w:lineRule="auto"/>
        <w:jc w:val="both"/>
        <w:rPr>
          <w:rFonts w:ascii="Times New Roman" w:hAnsi="Times New Roman" w:cs="Times New Roman"/>
        </w:rPr>
      </w:pPr>
    </w:p>
    <w:p w14:paraId="31922674" w14:textId="32A1F3FB" w:rsidR="00E537E9" w:rsidRDefault="00E537E9" w:rsidP="000410F3">
      <w:pPr>
        <w:spacing w:line="360" w:lineRule="auto"/>
        <w:jc w:val="both"/>
        <w:rPr>
          <w:rFonts w:ascii="Times New Roman" w:hAnsi="Times New Roman" w:cs="Times New Roman"/>
          <w:b/>
        </w:rPr>
      </w:pPr>
      <w:r w:rsidRPr="00E537E9">
        <w:rPr>
          <w:rFonts w:ascii="Times New Roman" w:hAnsi="Times New Roman" w:cs="Times New Roman"/>
          <w:b/>
        </w:rPr>
        <w:t>AKNOWLEDGEMENTS</w:t>
      </w:r>
    </w:p>
    <w:p w14:paraId="5AC191D5" w14:textId="4850FB76" w:rsidR="00E537E9" w:rsidRPr="00E537E9" w:rsidRDefault="00E537E9" w:rsidP="00E537E9">
      <w:pPr>
        <w:jc w:val="both"/>
        <w:rPr>
          <w:rFonts w:ascii="Times New Roman" w:hAnsi="Times New Roman" w:cs="Times New Roman"/>
        </w:rPr>
      </w:pPr>
      <w:r>
        <w:rPr>
          <w:rFonts w:ascii="Times New Roman" w:hAnsi="Times New Roman" w:cs="Times New Roman"/>
        </w:rPr>
        <w:t>We thank Fabrizio de Francesco,</w:t>
      </w:r>
      <w:r w:rsidR="00F50D90">
        <w:rPr>
          <w:rFonts w:ascii="Times New Roman" w:hAnsi="Times New Roman" w:cs="Times New Roman"/>
        </w:rPr>
        <w:t xml:space="preserve"> Thomas König, Brittney Bolin,</w:t>
      </w:r>
      <w:r>
        <w:rPr>
          <w:rFonts w:ascii="Times New Roman" w:hAnsi="Times New Roman" w:cs="Times New Roman"/>
        </w:rPr>
        <w:t xml:space="preserve"> Lucas Leemann, Martin Lodge, Christine Reh, and our anonymous referees for their excellent comments and feedback. A significant part of this research was conducted when the authors were Marie Curie fellows at University College London and </w:t>
      </w:r>
      <w:r w:rsidR="00F50D90">
        <w:rPr>
          <w:rFonts w:ascii="Times New Roman" w:hAnsi="Times New Roman" w:cs="Times New Roman"/>
        </w:rPr>
        <w:t>University of Exeter</w:t>
      </w:r>
      <w:r>
        <w:rPr>
          <w:rFonts w:ascii="Times New Roman" w:hAnsi="Times New Roman" w:cs="Times New Roman"/>
        </w:rPr>
        <w:t xml:space="preserve">.  </w:t>
      </w:r>
      <w:r>
        <w:rPr>
          <w:rFonts w:ascii="Times" w:hAnsi="Times" w:cs="Times"/>
          <w:lang w:val="en-GB"/>
        </w:rPr>
        <w:t xml:space="preserve">We gratefully acknowledge the financial support from the Marie Sklodowska-Curie Actions Programme through our individual Intra-European Fellowships (Grant no. 622661 EULobbying; Grant no. 330446 PARTYINSTABILITY). </w:t>
      </w:r>
    </w:p>
    <w:p w14:paraId="638F9365" w14:textId="77777777" w:rsidR="004F2E06" w:rsidRDefault="004F2E06" w:rsidP="00F56901">
      <w:pPr>
        <w:spacing w:line="360" w:lineRule="auto"/>
        <w:jc w:val="both"/>
        <w:rPr>
          <w:rFonts w:ascii="Times New Roman" w:hAnsi="Times New Roman" w:cs="Times New Roman"/>
        </w:rPr>
      </w:pPr>
    </w:p>
    <w:p w14:paraId="0CC74857" w14:textId="77777777" w:rsidR="00C57FE9" w:rsidRPr="00F56901" w:rsidRDefault="00C57FE9" w:rsidP="00F56901">
      <w:pPr>
        <w:spacing w:line="360" w:lineRule="auto"/>
        <w:jc w:val="both"/>
        <w:rPr>
          <w:rFonts w:ascii="Times New Roman" w:hAnsi="Times New Roman" w:cs="Times New Roman"/>
        </w:rPr>
      </w:pPr>
    </w:p>
    <w:p w14:paraId="32F389C2" w14:textId="15B66B0E" w:rsidR="00475CDC" w:rsidRPr="00CF3602" w:rsidRDefault="001432E6" w:rsidP="0076279C">
      <w:pPr>
        <w:spacing w:line="360" w:lineRule="auto"/>
        <w:jc w:val="both"/>
        <w:rPr>
          <w:rFonts w:ascii="Times New Roman" w:hAnsi="Times New Roman" w:cs="Times New Roman"/>
        </w:rPr>
      </w:pPr>
      <w:r w:rsidRPr="001432E6">
        <w:rPr>
          <w:rFonts w:ascii="Times New Roman" w:hAnsi="Times New Roman" w:cs="Times New Roman"/>
          <w:b/>
        </w:rPr>
        <w:lastRenderedPageBreak/>
        <w:t>References</w:t>
      </w:r>
    </w:p>
    <w:p w14:paraId="43F8972A" w14:textId="6EE598EB" w:rsidR="00475CDC" w:rsidRPr="002C1A92" w:rsidRDefault="00475CDC" w:rsidP="00CF3602">
      <w:pPr>
        <w:jc w:val="both"/>
        <w:rPr>
          <w:rFonts w:ascii="Times New Roman" w:hAnsi="Times New Roman" w:cs="Times New Roman"/>
        </w:rPr>
      </w:pPr>
      <w:r w:rsidRPr="002C1A92">
        <w:rPr>
          <w:rFonts w:ascii="Times New Roman" w:hAnsi="Times New Roman" w:cs="Times New Roman"/>
        </w:rPr>
        <w:t>Ayres</w:t>
      </w:r>
      <w:r w:rsidR="00133589">
        <w:rPr>
          <w:rFonts w:ascii="Times New Roman" w:hAnsi="Times New Roman" w:cs="Times New Roman"/>
        </w:rPr>
        <w:t>, I. and J.</w:t>
      </w:r>
      <w:r w:rsidRPr="002C1A92">
        <w:rPr>
          <w:rFonts w:ascii="Times New Roman" w:hAnsi="Times New Roman" w:cs="Times New Roman"/>
        </w:rPr>
        <w:t xml:space="preserve"> Braithwaite</w:t>
      </w:r>
      <w:r w:rsidR="00133589">
        <w:rPr>
          <w:rFonts w:ascii="Times New Roman" w:hAnsi="Times New Roman" w:cs="Times New Roman"/>
        </w:rPr>
        <w:t>.</w:t>
      </w:r>
      <w:r w:rsidRPr="002C1A92">
        <w:rPr>
          <w:rFonts w:ascii="Times New Roman" w:hAnsi="Times New Roman" w:cs="Times New Roman"/>
        </w:rPr>
        <w:t xml:space="preserve"> </w:t>
      </w:r>
      <w:r w:rsidR="00CF3602" w:rsidRPr="002C1A92">
        <w:rPr>
          <w:rFonts w:ascii="Times New Roman" w:hAnsi="Times New Roman" w:cs="Times New Roman"/>
        </w:rPr>
        <w:t xml:space="preserve">1992. </w:t>
      </w:r>
      <w:r w:rsidR="00CF3602" w:rsidRPr="002C1A92">
        <w:rPr>
          <w:rFonts w:ascii="Times New Roman" w:hAnsi="Times New Roman" w:cs="Times New Roman"/>
          <w:i/>
        </w:rPr>
        <w:t>Responsive regulation.</w:t>
      </w:r>
      <w:r w:rsidR="00CF3602" w:rsidRPr="002C1A92">
        <w:rPr>
          <w:rFonts w:ascii="Times New Roman" w:hAnsi="Times New Roman" w:cs="Times New Roman"/>
        </w:rPr>
        <w:t xml:space="preserve"> Oxford: Oxford University Press.</w:t>
      </w:r>
    </w:p>
    <w:p w14:paraId="5137A4EF" w14:textId="77777777" w:rsidR="00D01048" w:rsidRPr="002C1A92" w:rsidRDefault="00D01048" w:rsidP="00CF3602">
      <w:pPr>
        <w:jc w:val="both"/>
        <w:rPr>
          <w:rFonts w:ascii="Times New Roman" w:hAnsi="Times New Roman" w:cs="Times New Roman"/>
        </w:rPr>
      </w:pPr>
    </w:p>
    <w:p w14:paraId="5EBF3D50" w14:textId="24B34729" w:rsidR="00D01048" w:rsidRPr="002C1A92" w:rsidRDefault="00D01048" w:rsidP="00CF3602">
      <w:pPr>
        <w:jc w:val="both"/>
        <w:rPr>
          <w:rFonts w:ascii="Times New Roman" w:hAnsi="Times New Roman" w:cs="Times New Roman"/>
        </w:rPr>
      </w:pPr>
      <w:r w:rsidRPr="002C1A92">
        <w:rPr>
          <w:rFonts w:ascii="Times New Roman" w:hAnsi="Times New Roman" w:cs="Times New Roman"/>
        </w:rPr>
        <w:t>Balla, S. J. 2011. ‘Institutional design and the mana</w:t>
      </w:r>
      <w:r w:rsidR="00133589">
        <w:rPr>
          <w:rFonts w:ascii="Times New Roman" w:hAnsi="Times New Roman" w:cs="Times New Roman"/>
        </w:rPr>
        <w:t>gement of regulatory governance</w:t>
      </w:r>
      <w:r w:rsidRPr="002C1A92">
        <w:rPr>
          <w:rFonts w:ascii="Times New Roman" w:hAnsi="Times New Roman" w:cs="Times New Roman"/>
        </w:rPr>
        <w:t xml:space="preserve">’ </w:t>
      </w:r>
      <w:r w:rsidR="00133589">
        <w:rPr>
          <w:rFonts w:ascii="Times New Roman" w:hAnsi="Times New Roman" w:cs="Times New Roman"/>
        </w:rPr>
        <w:t>i</w:t>
      </w:r>
      <w:r w:rsidRPr="002C1A92">
        <w:rPr>
          <w:rFonts w:ascii="Times New Roman" w:hAnsi="Times New Roman" w:cs="Times New Roman"/>
        </w:rPr>
        <w:t>n D</w:t>
      </w:r>
      <w:r w:rsidR="00133589">
        <w:rPr>
          <w:rFonts w:ascii="Times New Roman" w:hAnsi="Times New Roman" w:cs="Times New Roman"/>
        </w:rPr>
        <w:t xml:space="preserve">. </w:t>
      </w:r>
      <w:r w:rsidRPr="002C1A92">
        <w:rPr>
          <w:rFonts w:ascii="Times New Roman" w:hAnsi="Times New Roman" w:cs="Times New Roman"/>
        </w:rPr>
        <w:t xml:space="preserve">Levi-Faur (ed.) </w:t>
      </w:r>
      <w:r w:rsidRPr="002C1A92">
        <w:rPr>
          <w:rFonts w:ascii="Times New Roman" w:hAnsi="Times New Roman" w:cs="Times New Roman"/>
          <w:i/>
        </w:rPr>
        <w:t xml:space="preserve">Handbook on the Politics of Regulation. </w:t>
      </w:r>
      <w:r w:rsidRPr="002C1A92">
        <w:rPr>
          <w:rFonts w:ascii="Times New Roman" w:hAnsi="Times New Roman" w:cs="Times New Roman"/>
        </w:rPr>
        <w:t>Cheltenham UK: Edward Elgar</w:t>
      </w:r>
      <w:r w:rsidR="00133589">
        <w:rPr>
          <w:rFonts w:ascii="Times New Roman" w:hAnsi="Times New Roman" w:cs="Times New Roman"/>
        </w:rPr>
        <w:t>, pp.</w:t>
      </w:r>
      <w:r w:rsidRPr="002C1A92">
        <w:rPr>
          <w:rFonts w:ascii="Times New Roman" w:hAnsi="Times New Roman" w:cs="Times New Roman"/>
        </w:rPr>
        <w:t xml:space="preserve"> </w:t>
      </w:r>
      <w:r w:rsidR="0076035A" w:rsidRPr="002C1A92">
        <w:rPr>
          <w:rFonts w:ascii="Times New Roman" w:hAnsi="Times New Roman" w:cs="Times New Roman"/>
        </w:rPr>
        <w:t xml:space="preserve">70-92. </w:t>
      </w:r>
    </w:p>
    <w:p w14:paraId="49A9EFA3" w14:textId="77777777" w:rsidR="00CF3602" w:rsidRPr="002C1A92" w:rsidRDefault="00CF3602" w:rsidP="00CF3602">
      <w:pPr>
        <w:jc w:val="both"/>
        <w:rPr>
          <w:rFonts w:ascii="Times New Roman" w:hAnsi="Times New Roman" w:cs="Times New Roman"/>
        </w:rPr>
      </w:pPr>
    </w:p>
    <w:p w14:paraId="4A45FEF0" w14:textId="57CA5494" w:rsidR="001432E6" w:rsidRPr="002C1A92" w:rsidRDefault="001432E6" w:rsidP="006610ED">
      <w:pPr>
        <w:widowControl w:val="0"/>
        <w:autoSpaceDE w:val="0"/>
        <w:autoSpaceDN w:val="0"/>
        <w:adjustRightInd w:val="0"/>
        <w:jc w:val="both"/>
        <w:rPr>
          <w:rFonts w:ascii="Times New Roman" w:hAnsi="Times New Roman" w:cs="Times New Roman"/>
        </w:rPr>
      </w:pPr>
      <w:r w:rsidRPr="002C1A92">
        <w:rPr>
          <w:rFonts w:ascii="Times New Roman" w:hAnsi="Times New Roman" w:cs="Times New Roman"/>
        </w:rPr>
        <w:t xml:space="preserve">Baldwin, R. 2007. </w:t>
      </w:r>
      <w:r w:rsidR="00A023EA" w:rsidRPr="002C1A92">
        <w:rPr>
          <w:rFonts w:ascii="Times New Roman" w:hAnsi="Times New Roman" w:cs="Times New Roman"/>
        </w:rPr>
        <w:t>‘</w:t>
      </w:r>
      <w:r w:rsidRPr="002C1A92">
        <w:rPr>
          <w:rFonts w:ascii="Times New Roman" w:hAnsi="Times New Roman" w:cs="Times New Roman"/>
        </w:rPr>
        <w:t>Better Regulation: Tension Abroad the Enterpr</w:t>
      </w:r>
      <w:r w:rsidR="00133589">
        <w:rPr>
          <w:rFonts w:ascii="Times New Roman" w:hAnsi="Times New Roman" w:cs="Times New Roman"/>
        </w:rPr>
        <w:t>ise’, i</w:t>
      </w:r>
      <w:r w:rsidR="00A023EA" w:rsidRPr="002C1A92">
        <w:rPr>
          <w:rFonts w:ascii="Times New Roman" w:hAnsi="Times New Roman" w:cs="Times New Roman"/>
        </w:rPr>
        <w:t xml:space="preserve">n </w:t>
      </w:r>
      <w:r w:rsidR="00133589" w:rsidRPr="002C1A92">
        <w:rPr>
          <w:rFonts w:ascii="Times New Roman" w:hAnsi="Times New Roman" w:cs="Times New Roman"/>
        </w:rPr>
        <w:t>S</w:t>
      </w:r>
      <w:r w:rsidR="00133589">
        <w:rPr>
          <w:rFonts w:ascii="Times New Roman" w:hAnsi="Times New Roman" w:cs="Times New Roman"/>
        </w:rPr>
        <w:t>. Weatherill (ed.)</w:t>
      </w:r>
      <w:r w:rsidR="00133589" w:rsidRPr="002C1A92">
        <w:rPr>
          <w:rFonts w:ascii="Times New Roman" w:hAnsi="Times New Roman" w:cs="Times New Roman"/>
        </w:rPr>
        <w:t xml:space="preserve"> </w:t>
      </w:r>
      <w:r w:rsidR="00A023EA" w:rsidRPr="002C1A92">
        <w:rPr>
          <w:rFonts w:ascii="Times New Roman" w:hAnsi="Times New Roman" w:cs="Times New Roman"/>
          <w:i/>
        </w:rPr>
        <w:t xml:space="preserve">Better </w:t>
      </w:r>
      <w:r w:rsidRPr="002C1A92">
        <w:rPr>
          <w:rFonts w:ascii="Times New Roman" w:hAnsi="Times New Roman" w:cs="Times New Roman"/>
          <w:i/>
        </w:rPr>
        <w:t>Regulation</w:t>
      </w:r>
      <w:r w:rsidR="00133589">
        <w:rPr>
          <w:rFonts w:ascii="Times New Roman" w:hAnsi="Times New Roman" w:cs="Times New Roman"/>
        </w:rPr>
        <w:t xml:space="preserve">, </w:t>
      </w:r>
      <w:r w:rsidRPr="002C1A92">
        <w:rPr>
          <w:rFonts w:ascii="Times New Roman" w:hAnsi="Times New Roman" w:cs="Times New Roman"/>
        </w:rPr>
        <w:t>Oxford</w:t>
      </w:r>
      <w:r w:rsidR="00133589">
        <w:rPr>
          <w:rFonts w:ascii="Times New Roman" w:hAnsi="Times New Roman" w:cs="Times New Roman"/>
        </w:rPr>
        <w:t>: Hart Publishing,</w:t>
      </w:r>
      <w:r w:rsidR="00A023EA" w:rsidRPr="002C1A92">
        <w:rPr>
          <w:rFonts w:ascii="Times New Roman" w:hAnsi="Times New Roman" w:cs="Times New Roman"/>
        </w:rPr>
        <w:t xml:space="preserve"> pp. 27-</w:t>
      </w:r>
      <w:r w:rsidRPr="002C1A92">
        <w:rPr>
          <w:rFonts w:ascii="Times New Roman" w:hAnsi="Times New Roman" w:cs="Times New Roman"/>
        </w:rPr>
        <w:t>47.</w:t>
      </w:r>
    </w:p>
    <w:p w14:paraId="550493FD" w14:textId="77777777" w:rsidR="00A023EA" w:rsidRPr="002C1A92" w:rsidRDefault="00A023EA" w:rsidP="006610ED">
      <w:pPr>
        <w:widowControl w:val="0"/>
        <w:autoSpaceDE w:val="0"/>
        <w:autoSpaceDN w:val="0"/>
        <w:adjustRightInd w:val="0"/>
        <w:jc w:val="both"/>
        <w:rPr>
          <w:rFonts w:ascii="Times New Roman" w:hAnsi="Times New Roman" w:cs="Times New Roman"/>
        </w:rPr>
      </w:pPr>
    </w:p>
    <w:p w14:paraId="3D833419" w14:textId="7032497A" w:rsidR="001432E6" w:rsidRDefault="001432E6" w:rsidP="006610ED">
      <w:pPr>
        <w:widowControl w:val="0"/>
        <w:autoSpaceDE w:val="0"/>
        <w:autoSpaceDN w:val="0"/>
        <w:adjustRightInd w:val="0"/>
        <w:jc w:val="both"/>
        <w:rPr>
          <w:rFonts w:ascii="Times New Roman" w:hAnsi="Times New Roman" w:cs="Times New Roman"/>
        </w:rPr>
      </w:pPr>
      <w:r w:rsidRPr="002C1A92">
        <w:rPr>
          <w:rFonts w:ascii="Times New Roman" w:hAnsi="Times New Roman" w:cs="Times New Roman"/>
        </w:rPr>
        <w:t>Baldwin, R</w:t>
      </w:r>
      <w:r w:rsidR="00D36978" w:rsidRPr="002C1A92">
        <w:rPr>
          <w:rFonts w:ascii="Times New Roman" w:hAnsi="Times New Roman" w:cs="Times New Roman"/>
        </w:rPr>
        <w:t xml:space="preserve">., M. Cave </w:t>
      </w:r>
      <w:r w:rsidRPr="002C1A92">
        <w:rPr>
          <w:rFonts w:ascii="Times New Roman" w:hAnsi="Times New Roman" w:cs="Times New Roman"/>
        </w:rPr>
        <w:t>and M</w:t>
      </w:r>
      <w:r w:rsidR="00D36978" w:rsidRPr="002C1A92">
        <w:rPr>
          <w:rFonts w:ascii="Times New Roman" w:hAnsi="Times New Roman" w:cs="Times New Roman"/>
        </w:rPr>
        <w:t>.</w:t>
      </w:r>
      <w:r w:rsidRPr="002C1A92">
        <w:rPr>
          <w:rFonts w:ascii="Times New Roman" w:hAnsi="Times New Roman" w:cs="Times New Roman"/>
        </w:rPr>
        <w:t xml:space="preserve"> Lodge. 2012. </w:t>
      </w:r>
      <w:r w:rsidRPr="002C1A92">
        <w:rPr>
          <w:rFonts w:ascii="Times New Roman" w:hAnsi="Times New Roman" w:cs="Times New Roman"/>
          <w:i/>
        </w:rPr>
        <w:t>Understan</w:t>
      </w:r>
      <w:r w:rsidR="00A023EA" w:rsidRPr="002C1A92">
        <w:rPr>
          <w:rFonts w:ascii="Times New Roman" w:hAnsi="Times New Roman" w:cs="Times New Roman"/>
          <w:i/>
        </w:rPr>
        <w:t>ding regulation: Theory, Strat</w:t>
      </w:r>
      <w:r w:rsidRPr="002C1A92">
        <w:rPr>
          <w:rFonts w:ascii="Times New Roman" w:hAnsi="Times New Roman" w:cs="Times New Roman"/>
          <w:i/>
        </w:rPr>
        <w:t>egy and Practice.</w:t>
      </w:r>
      <w:r w:rsidR="00A023EA" w:rsidRPr="002C1A92">
        <w:rPr>
          <w:rFonts w:ascii="Times New Roman" w:hAnsi="Times New Roman" w:cs="Times New Roman"/>
        </w:rPr>
        <w:t xml:space="preserve"> Oxford: </w:t>
      </w:r>
      <w:r w:rsidRPr="002C1A92">
        <w:rPr>
          <w:rFonts w:ascii="Times New Roman" w:hAnsi="Times New Roman" w:cs="Times New Roman"/>
        </w:rPr>
        <w:t xml:space="preserve"> Oxford University Press.</w:t>
      </w:r>
    </w:p>
    <w:p w14:paraId="5570C62F" w14:textId="77777777" w:rsidR="006A604E" w:rsidRDefault="006A604E" w:rsidP="006610ED">
      <w:pPr>
        <w:widowControl w:val="0"/>
        <w:autoSpaceDE w:val="0"/>
        <w:autoSpaceDN w:val="0"/>
        <w:adjustRightInd w:val="0"/>
        <w:jc w:val="both"/>
        <w:rPr>
          <w:rFonts w:ascii="Times New Roman" w:hAnsi="Times New Roman" w:cs="Times New Roman"/>
        </w:rPr>
      </w:pPr>
    </w:p>
    <w:p w14:paraId="2A60830D" w14:textId="4DCAEF0D" w:rsidR="006A604E" w:rsidRPr="006A604E" w:rsidRDefault="006A604E" w:rsidP="006A604E">
      <w:pPr>
        <w:jc w:val="both"/>
        <w:rPr>
          <w:rFonts w:ascii="Times New Roman" w:eastAsia="Times New Roman" w:hAnsi="Times New Roman" w:cs="Times New Roman"/>
          <w:lang w:val="en-GB" w:eastAsia="en-GB"/>
        </w:rPr>
      </w:pPr>
      <w:r w:rsidRPr="006A604E">
        <w:rPr>
          <w:rFonts w:ascii="Times New Roman" w:eastAsia="Times New Roman" w:hAnsi="Times New Roman" w:cs="Times New Roman"/>
          <w:color w:val="000000"/>
        </w:rPr>
        <w:t>Bakker, R., E. Edwards, L. Hooghe, S. Jolly, G. Mark</w:t>
      </w:r>
      <w:r w:rsidR="00946DC2">
        <w:rPr>
          <w:rFonts w:ascii="Times New Roman" w:eastAsia="Times New Roman" w:hAnsi="Times New Roman" w:cs="Times New Roman"/>
          <w:color w:val="000000"/>
        </w:rPr>
        <w:t>s, J. Polk, J. Rovny, M. Steenbe</w:t>
      </w:r>
      <w:r w:rsidRPr="006A604E">
        <w:rPr>
          <w:rFonts w:ascii="Times New Roman" w:eastAsia="Times New Roman" w:hAnsi="Times New Roman" w:cs="Times New Roman"/>
          <w:color w:val="000000"/>
        </w:rPr>
        <w:t xml:space="preserve">rgen, and M. Vachudova. 2015. </w:t>
      </w:r>
      <w:r>
        <w:rPr>
          <w:rFonts w:ascii="Times New Roman" w:eastAsia="Times New Roman" w:hAnsi="Times New Roman" w:cs="Times New Roman"/>
          <w:color w:val="000000"/>
        </w:rPr>
        <w:t>‘</w:t>
      </w:r>
      <w:r w:rsidRPr="006A604E">
        <w:rPr>
          <w:rFonts w:ascii="Times New Roman" w:eastAsia="Times New Roman" w:hAnsi="Times New Roman" w:cs="Times New Roman"/>
          <w:color w:val="000000"/>
        </w:rPr>
        <w:t>2014 Chapel Hill Expert Survey.</w:t>
      </w:r>
      <w:r>
        <w:rPr>
          <w:rFonts w:ascii="Times New Roman" w:eastAsia="Times New Roman" w:hAnsi="Times New Roman" w:cs="Times New Roman"/>
          <w:color w:val="000000"/>
        </w:rPr>
        <w:t>’</w:t>
      </w:r>
      <w:r w:rsidRPr="006A604E">
        <w:rPr>
          <w:rFonts w:ascii="Times New Roman" w:eastAsia="Times New Roman" w:hAnsi="Times New Roman" w:cs="Times New Roman"/>
          <w:color w:val="000000"/>
        </w:rPr>
        <w:t xml:space="preserve"> Version 2015.1. Available on</w:t>
      </w:r>
      <w:r w:rsidRPr="006A604E">
        <w:rPr>
          <w:rStyle w:val="apple-converted-space"/>
          <w:rFonts w:ascii="Times New Roman" w:eastAsia="Times New Roman" w:hAnsi="Times New Roman" w:cs="Times New Roman"/>
          <w:color w:val="000000"/>
        </w:rPr>
        <w:t> </w:t>
      </w:r>
      <w:hyperlink r:id="rId8" w:tgtFrame="_blank" w:history="1">
        <w:r w:rsidRPr="006A604E">
          <w:rPr>
            <w:rStyle w:val="Hyperlink"/>
            <w:rFonts w:ascii="Times New Roman" w:eastAsia="Times New Roman" w:hAnsi="Times New Roman" w:cs="Times New Roman"/>
          </w:rPr>
          <w:t>chesdata.eu</w:t>
        </w:r>
      </w:hyperlink>
      <w:r w:rsidRPr="006A604E">
        <w:rPr>
          <w:rFonts w:ascii="Times New Roman" w:eastAsia="Times New Roman" w:hAnsi="Times New Roman" w:cs="Times New Roman"/>
          <w:color w:val="000000"/>
        </w:rPr>
        <w:t>. Chapel Hill, NC: University of North Carolina, Chapel Hill.</w:t>
      </w:r>
      <w:r w:rsidR="00EE42A0">
        <w:rPr>
          <w:rFonts w:ascii="Times New Roman" w:eastAsia="Times New Roman" w:hAnsi="Times New Roman" w:cs="Times New Roman"/>
          <w:color w:val="000000"/>
        </w:rPr>
        <w:t xml:space="preserve"> (Last accessed April 12</w:t>
      </w:r>
      <w:r w:rsidR="00EE42A0" w:rsidRPr="00EE42A0">
        <w:rPr>
          <w:rFonts w:ascii="Times New Roman" w:eastAsia="Times New Roman" w:hAnsi="Times New Roman" w:cs="Times New Roman"/>
          <w:color w:val="000000"/>
          <w:vertAlign w:val="superscript"/>
        </w:rPr>
        <w:t>th</w:t>
      </w:r>
      <w:r w:rsidR="00EE42A0">
        <w:rPr>
          <w:rFonts w:ascii="Times New Roman" w:eastAsia="Times New Roman" w:hAnsi="Times New Roman" w:cs="Times New Roman"/>
          <w:color w:val="000000"/>
        </w:rPr>
        <w:t>, 2017).</w:t>
      </w:r>
    </w:p>
    <w:p w14:paraId="19AE1C80" w14:textId="77777777" w:rsidR="00A023EA" w:rsidRPr="002C1A92" w:rsidRDefault="00A023EA" w:rsidP="006610ED">
      <w:pPr>
        <w:widowControl w:val="0"/>
        <w:autoSpaceDE w:val="0"/>
        <w:autoSpaceDN w:val="0"/>
        <w:adjustRightInd w:val="0"/>
        <w:jc w:val="both"/>
        <w:rPr>
          <w:rFonts w:ascii="Times New Roman" w:hAnsi="Times New Roman" w:cs="Times New Roman"/>
        </w:rPr>
      </w:pPr>
    </w:p>
    <w:p w14:paraId="5235D8A1" w14:textId="70541429" w:rsidR="007262F7" w:rsidRPr="002C1A92" w:rsidRDefault="007262F7" w:rsidP="006610ED">
      <w:pPr>
        <w:widowControl w:val="0"/>
        <w:autoSpaceDE w:val="0"/>
        <w:autoSpaceDN w:val="0"/>
        <w:adjustRightInd w:val="0"/>
        <w:jc w:val="both"/>
        <w:rPr>
          <w:rFonts w:ascii="Times New Roman" w:hAnsi="Times New Roman" w:cs="Times New Roman"/>
        </w:rPr>
      </w:pPr>
      <w:r w:rsidRPr="002C1A92">
        <w:rPr>
          <w:rFonts w:ascii="Times New Roman" w:hAnsi="Times New Roman" w:cs="Times New Roman"/>
        </w:rPr>
        <w:t>Becker, G</w:t>
      </w:r>
      <w:r w:rsidR="00133589">
        <w:rPr>
          <w:rFonts w:ascii="Times New Roman" w:hAnsi="Times New Roman" w:cs="Times New Roman"/>
        </w:rPr>
        <w:t>.</w:t>
      </w:r>
      <w:r w:rsidRPr="002C1A92">
        <w:rPr>
          <w:rFonts w:ascii="Times New Roman" w:hAnsi="Times New Roman" w:cs="Times New Roman"/>
        </w:rPr>
        <w:t>S. 1983. ‘A theory of Competition among Pressure groups for Political Influence’</w:t>
      </w:r>
      <w:r w:rsidR="00133589">
        <w:rPr>
          <w:rFonts w:ascii="Times New Roman" w:hAnsi="Times New Roman" w:cs="Times New Roman"/>
        </w:rPr>
        <w:t>,</w:t>
      </w:r>
      <w:r w:rsidRPr="002C1A92">
        <w:rPr>
          <w:rFonts w:ascii="Times New Roman" w:hAnsi="Times New Roman" w:cs="Times New Roman"/>
        </w:rPr>
        <w:t xml:space="preserve"> </w:t>
      </w:r>
      <w:r w:rsidRPr="002C1A92">
        <w:rPr>
          <w:rFonts w:ascii="Times New Roman" w:hAnsi="Times New Roman" w:cs="Times New Roman"/>
          <w:i/>
        </w:rPr>
        <w:t>Quarterly Journal of Economics</w:t>
      </w:r>
      <w:r w:rsidRPr="002C1A92">
        <w:rPr>
          <w:rFonts w:ascii="Times New Roman" w:hAnsi="Times New Roman" w:cs="Times New Roman"/>
        </w:rPr>
        <w:t xml:space="preserve"> </w:t>
      </w:r>
      <w:r w:rsidR="00133589">
        <w:rPr>
          <w:rFonts w:ascii="Times New Roman" w:hAnsi="Times New Roman" w:cs="Times New Roman"/>
        </w:rPr>
        <w:t xml:space="preserve">98, 3, </w:t>
      </w:r>
      <w:r w:rsidRPr="002C1A92">
        <w:rPr>
          <w:rFonts w:ascii="Times New Roman" w:hAnsi="Times New Roman" w:cs="Times New Roman"/>
        </w:rPr>
        <w:t>371-400.</w:t>
      </w:r>
    </w:p>
    <w:p w14:paraId="5B4AAF47" w14:textId="77777777" w:rsidR="007262F7" w:rsidRPr="002C1A92" w:rsidRDefault="007262F7" w:rsidP="006610ED">
      <w:pPr>
        <w:widowControl w:val="0"/>
        <w:autoSpaceDE w:val="0"/>
        <w:autoSpaceDN w:val="0"/>
        <w:adjustRightInd w:val="0"/>
        <w:jc w:val="both"/>
        <w:rPr>
          <w:rFonts w:ascii="Times New Roman" w:hAnsi="Times New Roman" w:cs="Times New Roman"/>
        </w:rPr>
      </w:pPr>
    </w:p>
    <w:p w14:paraId="6D728310" w14:textId="51E49C31" w:rsidR="001432E6" w:rsidRPr="002C1A92" w:rsidRDefault="00A023EA" w:rsidP="006610ED">
      <w:pPr>
        <w:widowControl w:val="0"/>
        <w:autoSpaceDE w:val="0"/>
        <w:autoSpaceDN w:val="0"/>
        <w:adjustRightInd w:val="0"/>
        <w:jc w:val="both"/>
        <w:rPr>
          <w:rFonts w:ascii="Times New Roman" w:hAnsi="Times New Roman" w:cs="Times New Roman"/>
        </w:rPr>
      </w:pPr>
      <w:r w:rsidRPr="002C1A92">
        <w:rPr>
          <w:rFonts w:ascii="Times New Roman" w:hAnsi="Times New Roman" w:cs="Times New Roman"/>
        </w:rPr>
        <w:t>Black, J. 2007. ‘</w:t>
      </w:r>
      <w:r w:rsidR="001432E6" w:rsidRPr="002C1A92">
        <w:rPr>
          <w:rFonts w:ascii="Times New Roman" w:hAnsi="Times New Roman" w:cs="Times New Roman"/>
        </w:rPr>
        <w:t>Te</w:t>
      </w:r>
      <w:r w:rsidR="00133589">
        <w:rPr>
          <w:rFonts w:ascii="Times New Roman" w:hAnsi="Times New Roman" w:cs="Times New Roman"/>
        </w:rPr>
        <w:t>nsions in the regulatory state</w:t>
      </w:r>
      <w:r w:rsidRPr="002C1A92">
        <w:rPr>
          <w:rFonts w:ascii="Times New Roman" w:hAnsi="Times New Roman" w:cs="Times New Roman"/>
        </w:rPr>
        <w:t>’</w:t>
      </w:r>
      <w:r w:rsidR="00133589">
        <w:rPr>
          <w:rFonts w:ascii="Times New Roman" w:hAnsi="Times New Roman" w:cs="Times New Roman"/>
        </w:rPr>
        <w:t>,</w:t>
      </w:r>
      <w:r w:rsidR="001432E6" w:rsidRPr="002C1A92">
        <w:rPr>
          <w:rFonts w:ascii="Times New Roman" w:hAnsi="Times New Roman" w:cs="Times New Roman"/>
        </w:rPr>
        <w:t xml:space="preserve"> </w:t>
      </w:r>
      <w:r w:rsidR="001432E6" w:rsidRPr="002C1A92">
        <w:rPr>
          <w:rFonts w:ascii="Times New Roman" w:hAnsi="Times New Roman" w:cs="Times New Roman"/>
          <w:i/>
        </w:rPr>
        <w:t>Public Law</w:t>
      </w:r>
      <w:r w:rsidR="00133589">
        <w:rPr>
          <w:rFonts w:ascii="Times New Roman" w:hAnsi="Times New Roman" w:cs="Times New Roman"/>
        </w:rPr>
        <w:t>,</w:t>
      </w:r>
      <w:r w:rsidR="00D75C93" w:rsidRPr="002C1A92">
        <w:rPr>
          <w:rFonts w:ascii="Times New Roman" w:hAnsi="Times New Roman" w:cs="Times New Roman"/>
        </w:rPr>
        <w:t xml:space="preserve"> </w:t>
      </w:r>
      <w:r w:rsidR="001432E6" w:rsidRPr="002C1A92">
        <w:rPr>
          <w:rFonts w:ascii="Times New Roman" w:hAnsi="Times New Roman" w:cs="Times New Roman"/>
        </w:rPr>
        <w:t>(Spring)</w:t>
      </w:r>
      <w:r w:rsidR="00133589">
        <w:rPr>
          <w:rFonts w:ascii="Times New Roman" w:hAnsi="Times New Roman" w:cs="Times New Roman"/>
        </w:rPr>
        <w:t>,</w:t>
      </w:r>
      <w:r w:rsidRPr="002C1A92">
        <w:rPr>
          <w:rFonts w:ascii="Times New Roman" w:hAnsi="Times New Roman" w:cs="Times New Roman"/>
        </w:rPr>
        <w:t xml:space="preserve"> 58-</w:t>
      </w:r>
      <w:r w:rsidR="001432E6" w:rsidRPr="002C1A92">
        <w:rPr>
          <w:rFonts w:ascii="Times New Roman" w:hAnsi="Times New Roman" w:cs="Times New Roman"/>
        </w:rPr>
        <w:t>73.</w:t>
      </w:r>
    </w:p>
    <w:p w14:paraId="6FAF931F" w14:textId="77777777" w:rsidR="00A023EA" w:rsidRPr="002C1A92" w:rsidRDefault="00A023EA" w:rsidP="006610ED">
      <w:pPr>
        <w:widowControl w:val="0"/>
        <w:autoSpaceDE w:val="0"/>
        <w:autoSpaceDN w:val="0"/>
        <w:adjustRightInd w:val="0"/>
        <w:jc w:val="both"/>
        <w:rPr>
          <w:rFonts w:ascii="Times New Roman" w:hAnsi="Times New Roman" w:cs="Times New Roman"/>
        </w:rPr>
      </w:pPr>
    </w:p>
    <w:p w14:paraId="494619A2" w14:textId="5B9E19D2" w:rsidR="001432E6" w:rsidRDefault="001432E6" w:rsidP="006610ED">
      <w:pPr>
        <w:widowControl w:val="0"/>
        <w:autoSpaceDE w:val="0"/>
        <w:autoSpaceDN w:val="0"/>
        <w:adjustRightInd w:val="0"/>
        <w:jc w:val="both"/>
        <w:rPr>
          <w:rFonts w:ascii="Times New Roman" w:hAnsi="Times New Roman" w:cs="Times New Roman"/>
        </w:rPr>
      </w:pPr>
      <w:r w:rsidRPr="002C1A92">
        <w:rPr>
          <w:rFonts w:ascii="Times New Roman" w:hAnsi="Times New Roman" w:cs="Times New Roman"/>
        </w:rPr>
        <w:t>Bunea, A</w:t>
      </w:r>
      <w:r w:rsidR="00D36978" w:rsidRPr="002C1A92">
        <w:rPr>
          <w:rFonts w:ascii="Times New Roman" w:hAnsi="Times New Roman" w:cs="Times New Roman"/>
        </w:rPr>
        <w:t xml:space="preserve">., </w:t>
      </w:r>
      <w:r w:rsidR="00133589">
        <w:rPr>
          <w:rFonts w:ascii="Times New Roman" w:hAnsi="Times New Roman" w:cs="Times New Roman"/>
        </w:rPr>
        <w:t xml:space="preserve">and R. </w:t>
      </w:r>
      <w:r w:rsidR="00D36978" w:rsidRPr="002C1A92">
        <w:rPr>
          <w:rFonts w:ascii="Times New Roman" w:hAnsi="Times New Roman" w:cs="Times New Roman"/>
        </w:rPr>
        <w:t>Ibenskas</w:t>
      </w:r>
      <w:r w:rsidR="00133589">
        <w:rPr>
          <w:rFonts w:ascii="Times New Roman" w:hAnsi="Times New Roman" w:cs="Times New Roman"/>
        </w:rPr>
        <w:t xml:space="preserve">. </w:t>
      </w:r>
      <w:r w:rsidR="00A023EA" w:rsidRPr="002C1A92">
        <w:rPr>
          <w:rFonts w:ascii="Times New Roman" w:hAnsi="Times New Roman" w:cs="Times New Roman"/>
        </w:rPr>
        <w:t>2015. ‘</w:t>
      </w:r>
      <w:r w:rsidRPr="002C1A92">
        <w:rPr>
          <w:rFonts w:ascii="Times New Roman" w:hAnsi="Times New Roman" w:cs="Times New Roman"/>
        </w:rPr>
        <w:t>Quantitative text analysis and the study of EU</w:t>
      </w:r>
      <w:r w:rsidR="00133589">
        <w:rPr>
          <w:rFonts w:ascii="Times New Roman" w:hAnsi="Times New Roman" w:cs="Times New Roman"/>
        </w:rPr>
        <w:t xml:space="preserve"> lobbying and interest groups</w:t>
      </w:r>
      <w:r w:rsidR="00A023EA" w:rsidRPr="002C1A92">
        <w:rPr>
          <w:rFonts w:ascii="Times New Roman" w:hAnsi="Times New Roman" w:cs="Times New Roman"/>
        </w:rPr>
        <w:t>’</w:t>
      </w:r>
      <w:r w:rsidR="00133589">
        <w:rPr>
          <w:rFonts w:ascii="Times New Roman" w:hAnsi="Times New Roman" w:cs="Times New Roman"/>
        </w:rPr>
        <w:t>,</w:t>
      </w:r>
      <w:r w:rsidRPr="002C1A92">
        <w:rPr>
          <w:rFonts w:ascii="Times New Roman" w:hAnsi="Times New Roman" w:cs="Times New Roman"/>
        </w:rPr>
        <w:t xml:space="preserve"> </w:t>
      </w:r>
      <w:r w:rsidRPr="002C1A92">
        <w:rPr>
          <w:rFonts w:ascii="Times New Roman" w:hAnsi="Times New Roman" w:cs="Times New Roman"/>
          <w:i/>
        </w:rPr>
        <w:t>European Union</w:t>
      </w:r>
      <w:r w:rsidRPr="006610ED">
        <w:rPr>
          <w:rFonts w:ascii="Times New Roman" w:hAnsi="Times New Roman" w:cs="Times New Roman"/>
          <w:i/>
        </w:rPr>
        <w:t xml:space="preserve"> Politics</w:t>
      </w:r>
      <w:r w:rsidR="00133589">
        <w:rPr>
          <w:rFonts w:ascii="Times New Roman" w:hAnsi="Times New Roman" w:cs="Times New Roman"/>
        </w:rPr>
        <w:t xml:space="preserve"> 16, </w:t>
      </w:r>
      <w:proofErr w:type="gramStart"/>
      <w:r w:rsidR="00133589">
        <w:rPr>
          <w:rFonts w:ascii="Times New Roman" w:hAnsi="Times New Roman" w:cs="Times New Roman"/>
        </w:rPr>
        <w:t xml:space="preserve">3, </w:t>
      </w:r>
      <w:r w:rsidR="00A023EA" w:rsidRPr="006610ED">
        <w:rPr>
          <w:rFonts w:ascii="Times New Roman" w:hAnsi="Times New Roman" w:cs="Times New Roman"/>
        </w:rPr>
        <w:t xml:space="preserve"> 429</w:t>
      </w:r>
      <w:proofErr w:type="gramEnd"/>
      <w:r w:rsidR="00A023EA" w:rsidRPr="006610ED">
        <w:rPr>
          <w:rFonts w:ascii="Times New Roman" w:hAnsi="Times New Roman" w:cs="Times New Roman"/>
        </w:rPr>
        <w:t>-</w:t>
      </w:r>
      <w:r w:rsidRPr="006610ED">
        <w:rPr>
          <w:rFonts w:ascii="Times New Roman" w:hAnsi="Times New Roman" w:cs="Times New Roman"/>
        </w:rPr>
        <w:t>455.</w:t>
      </w:r>
    </w:p>
    <w:p w14:paraId="0C0D6907" w14:textId="77777777" w:rsidR="0088310D" w:rsidRDefault="0088310D" w:rsidP="006610ED">
      <w:pPr>
        <w:widowControl w:val="0"/>
        <w:autoSpaceDE w:val="0"/>
        <w:autoSpaceDN w:val="0"/>
        <w:adjustRightInd w:val="0"/>
        <w:jc w:val="both"/>
        <w:rPr>
          <w:rFonts w:ascii="Times New Roman" w:hAnsi="Times New Roman" w:cs="Times New Roman"/>
        </w:rPr>
      </w:pPr>
    </w:p>
    <w:p w14:paraId="680EB555" w14:textId="21A630DD" w:rsidR="00674BFE" w:rsidRDefault="0088310D" w:rsidP="00674BFE">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Bunea, A. </w:t>
      </w:r>
      <w:r w:rsidR="00674BFE">
        <w:rPr>
          <w:rFonts w:ascii="Times New Roman" w:hAnsi="Times New Roman" w:cs="Times New Roman"/>
        </w:rPr>
        <w:t>2017. ‘</w:t>
      </w:r>
      <w:r>
        <w:rPr>
          <w:rFonts w:ascii="Times New Roman" w:hAnsi="Times New Roman" w:cs="Times New Roman"/>
        </w:rPr>
        <w:t xml:space="preserve">Designing stakeholder consultations: </w:t>
      </w:r>
      <w:r w:rsidR="00674BFE">
        <w:rPr>
          <w:rFonts w:ascii="Times New Roman" w:hAnsi="Times New Roman" w:cs="Times New Roman"/>
        </w:rPr>
        <w:t>reinforcing or alleviating bias</w:t>
      </w:r>
    </w:p>
    <w:p w14:paraId="593FC663" w14:textId="68714769" w:rsidR="00674BFE" w:rsidRDefault="0088310D" w:rsidP="00674BFE">
      <w:pPr>
        <w:widowControl w:val="0"/>
        <w:autoSpaceDE w:val="0"/>
        <w:autoSpaceDN w:val="0"/>
        <w:adjustRightInd w:val="0"/>
        <w:jc w:val="both"/>
        <w:rPr>
          <w:rFonts w:ascii="Times New Roman" w:hAnsi="Times New Roman" w:cs="Times New Roman"/>
          <w:i/>
        </w:rPr>
      </w:pPr>
      <w:r>
        <w:rPr>
          <w:rFonts w:ascii="Times New Roman" w:hAnsi="Times New Roman" w:cs="Times New Roman"/>
        </w:rPr>
        <w:t>in the Europ</w:t>
      </w:r>
      <w:r w:rsidR="00674BFE">
        <w:rPr>
          <w:rFonts w:ascii="Times New Roman" w:hAnsi="Times New Roman" w:cs="Times New Roman"/>
        </w:rPr>
        <w:t>ean union system of governance?’,</w:t>
      </w:r>
      <w:r>
        <w:rPr>
          <w:rFonts w:ascii="Times New Roman" w:hAnsi="Times New Roman" w:cs="Times New Roman"/>
        </w:rPr>
        <w:t xml:space="preserve"> </w:t>
      </w:r>
      <w:r w:rsidR="00674BFE">
        <w:rPr>
          <w:rFonts w:ascii="Times New Roman" w:hAnsi="Times New Roman" w:cs="Times New Roman"/>
          <w:i/>
        </w:rPr>
        <w:t xml:space="preserve">European Journal of Political </w:t>
      </w:r>
    </w:p>
    <w:p w14:paraId="302DE4BF" w14:textId="01244B81" w:rsidR="0088310D" w:rsidRPr="00674BFE" w:rsidRDefault="0088310D" w:rsidP="00674BFE">
      <w:pPr>
        <w:widowControl w:val="0"/>
        <w:autoSpaceDE w:val="0"/>
        <w:autoSpaceDN w:val="0"/>
        <w:adjustRightInd w:val="0"/>
        <w:jc w:val="both"/>
        <w:rPr>
          <w:rFonts w:ascii="Times New Roman" w:hAnsi="Times New Roman" w:cs="Times New Roman"/>
          <w:i/>
        </w:rPr>
      </w:pPr>
      <w:r w:rsidRPr="00C578CF">
        <w:rPr>
          <w:rFonts w:ascii="Times New Roman" w:hAnsi="Times New Roman" w:cs="Times New Roman"/>
          <w:i/>
        </w:rPr>
        <w:t>Research</w:t>
      </w:r>
      <w:r>
        <w:rPr>
          <w:rFonts w:ascii="Times New Roman" w:hAnsi="Times New Roman" w:cs="Times New Roman"/>
        </w:rPr>
        <w:t xml:space="preserve"> 56</w:t>
      </w:r>
      <w:r w:rsidR="00674BFE">
        <w:rPr>
          <w:rFonts w:ascii="Times New Roman" w:hAnsi="Times New Roman" w:cs="Times New Roman"/>
        </w:rPr>
        <w:t>,</w:t>
      </w:r>
      <w:r>
        <w:rPr>
          <w:rFonts w:ascii="Times New Roman" w:hAnsi="Times New Roman" w:cs="Times New Roman"/>
        </w:rPr>
        <w:t xml:space="preserve"> </w:t>
      </w:r>
      <w:r w:rsidR="00674BFE">
        <w:rPr>
          <w:rFonts w:ascii="Times New Roman" w:hAnsi="Times New Roman" w:cs="Times New Roman"/>
        </w:rPr>
        <w:t xml:space="preserve">1, </w:t>
      </w:r>
      <w:r>
        <w:rPr>
          <w:rFonts w:ascii="Times New Roman" w:hAnsi="Times New Roman" w:cs="Times New Roman"/>
        </w:rPr>
        <w:t>46-69.</w:t>
      </w:r>
    </w:p>
    <w:p w14:paraId="5C21DA8A" w14:textId="77777777" w:rsidR="00A023EA" w:rsidRPr="006610ED" w:rsidRDefault="00A023EA" w:rsidP="006610ED">
      <w:pPr>
        <w:widowControl w:val="0"/>
        <w:autoSpaceDE w:val="0"/>
        <w:autoSpaceDN w:val="0"/>
        <w:adjustRightInd w:val="0"/>
        <w:jc w:val="both"/>
        <w:rPr>
          <w:rFonts w:ascii="Times New Roman" w:hAnsi="Times New Roman" w:cs="Times New Roman"/>
        </w:rPr>
      </w:pPr>
    </w:p>
    <w:p w14:paraId="3CCE0F36" w14:textId="72BA3643" w:rsidR="001432E6" w:rsidRDefault="001432E6" w:rsidP="006610ED">
      <w:pPr>
        <w:widowControl w:val="0"/>
        <w:autoSpaceDE w:val="0"/>
        <w:autoSpaceDN w:val="0"/>
        <w:adjustRightInd w:val="0"/>
        <w:jc w:val="both"/>
        <w:rPr>
          <w:rFonts w:ascii="Times New Roman" w:hAnsi="Times New Roman" w:cs="Times New Roman"/>
        </w:rPr>
      </w:pPr>
      <w:r w:rsidRPr="006610ED">
        <w:rPr>
          <w:rFonts w:ascii="Times New Roman" w:hAnsi="Times New Roman" w:cs="Times New Roman"/>
        </w:rPr>
        <w:t>Coen, D</w:t>
      </w:r>
      <w:r w:rsidR="00D36978">
        <w:rPr>
          <w:rFonts w:ascii="Times New Roman" w:hAnsi="Times New Roman" w:cs="Times New Roman"/>
        </w:rPr>
        <w:t>.,</w:t>
      </w:r>
      <w:r w:rsidR="00133589">
        <w:rPr>
          <w:rFonts w:ascii="Times New Roman" w:hAnsi="Times New Roman" w:cs="Times New Roman"/>
        </w:rPr>
        <w:t xml:space="preserve"> and A.</w:t>
      </w:r>
      <w:r w:rsidR="00D36978">
        <w:rPr>
          <w:rFonts w:ascii="Times New Roman" w:hAnsi="Times New Roman" w:cs="Times New Roman"/>
        </w:rPr>
        <w:t xml:space="preserve"> </w:t>
      </w:r>
      <w:r w:rsidR="00A023EA" w:rsidRPr="006610ED">
        <w:rPr>
          <w:rFonts w:ascii="Times New Roman" w:hAnsi="Times New Roman" w:cs="Times New Roman"/>
        </w:rPr>
        <w:t>Katsaitis. 2013. ‘</w:t>
      </w:r>
      <w:r w:rsidRPr="006610ED">
        <w:rPr>
          <w:rFonts w:ascii="Times New Roman" w:hAnsi="Times New Roman" w:cs="Times New Roman"/>
        </w:rPr>
        <w:t>Chameleon Pluralism in the EU: an empirical study of</w:t>
      </w:r>
      <w:r w:rsidR="00A023EA" w:rsidRPr="006610ED">
        <w:rPr>
          <w:rFonts w:ascii="Times New Roman" w:hAnsi="Times New Roman" w:cs="Times New Roman"/>
        </w:rPr>
        <w:t xml:space="preserve"> </w:t>
      </w:r>
      <w:r w:rsidRPr="006610ED">
        <w:rPr>
          <w:rFonts w:ascii="Times New Roman" w:hAnsi="Times New Roman" w:cs="Times New Roman"/>
        </w:rPr>
        <w:t xml:space="preserve">the </w:t>
      </w:r>
      <w:r w:rsidR="00A023EA" w:rsidRPr="006610ED">
        <w:rPr>
          <w:rFonts w:ascii="Times New Roman" w:hAnsi="Times New Roman" w:cs="Times New Roman"/>
        </w:rPr>
        <w:t>European</w:t>
      </w:r>
      <w:r w:rsidRPr="006610ED">
        <w:rPr>
          <w:rFonts w:ascii="Times New Roman" w:hAnsi="Times New Roman" w:cs="Times New Roman"/>
        </w:rPr>
        <w:t xml:space="preserve"> Commission interest groups dens</w:t>
      </w:r>
      <w:r w:rsidR="00A023EA" w:rsidRPr="006610ED">
        <w:rPr>
          <w:rFonts w:ascii="Times New Roman" w:hAnsi="Times New Roman" w:cs="Times New Roman"/>
        </w:rPr>
        <w:t xml:space="preserve">ity and </w:t>
      </w:r>
      <w:r w:rsidR="00133589">
        <w:rPr>
          <w:rFonts w:ascii="Times New Roman" w:hAnsi="Times New Roman" w:cs="Times New Roman"/>
        </w:rPr>
        <w:t>diversity across policy domains</w:t>
      </w:r>
      <w:r w:rsidR="00A023EA" w:rsidRPr="006610ED">
        <w:rPr>
          <w:rFonts w:ascii="Times New Roman" w:hAnsi="Times New Roman" w:cs="Times New Roman"/>
        </w:rPr>
        <w:t>’</w:t>
      </w:r>
      <w:r w:rsidR="00133589">
        <w:rPr>
          <w:rFonts w:ascii="Times New Roman" w:hAnsi="Times New Roman" w:cs="Times New Roman"/>
        </w:rPr>
        <w:t>,</w:t>
      </w:r>
      <w:r w:rsidRPr="006610ED">
        <w:rPr>
          <w:rFonts w:ascii="Times New Roman" w:hAnsi="Times New Roman" w:cs="Times New Roman"/>
        </w:rPr>
        <w:t xml:space="preserve"> </w:t>
      </w:r>
      <w:r w:rsidRPr="006610ED">
        <w:rPr>
          <w:rFonts w:ascii="Times New Roman" w:hAnsi="Times New Roman" w:cs="Times New Roman"/>
          <w:i/>
        </w:rPr>
        <w:t>Journal</w:t>
      </w:r>
      <w:r w:rsidR="00A023EA" w:rsidRPr="006610ED">
        <w:rPr>
          <w:rFonts w:ascii="Times New Roman" w:hAnsi="Times New Roman" w:cs="Times New Roman"/>
          <w:i/>
        </w:rPr>
        <w:t xml:space="preserve"> </w:t>
      </w:r>
      <w:r w:rsidRPr="006610ED">
        <w:rPr>
          <w:rFonts w:ascii="Times New Roman" w:hAnsi="Times New Roman" w:cs="Times New Roman"/>
          <w:i/>
        </w:rPr>
        <w:t>of European Public Policy</w:t>
      </w:r>
      <w:r w:rsidR="00133589">
        <w:rPr>
          <w:rFonts w:ascii="Times New Roman" w:hAnsi="Times New Roman" w:cs="Times New Roman"/>
        </w:rPr>
        <w:t xml:space="preserve"> 20, 8,</w:t>
      </w:r>
      <w:r w:rsidR="00A023EA" w:rsidRPr="006610ED">
        <w:rPr>
          <w:rFonts w:ascii="Times New Roman" w:hAnsi="Times New Roman" w:cs="Times New Roman"/>
        </w:rPr>
        <w:t xml:space="preserve"> 1104-</w:t>
      </w:r>
      <w:r w:rsidRPr="006610ED">
        <w:rPr>
          <w:rFonts w:ascii="Times New Roman" w:hAnsi="Times New Roman" w:cs="Times New Roman"/>
        </w:rPr>
        <w:t>1119.</w:t>
      </w:r>
    </w:p>
    <w:p w14:paraId="50FC5778" w14:textId="77777777" w:rsidR="000B697D" w:rsidRDefault="000B697D" w:rsidP="006610ED">
      <w:pPr>
        <w:widowControl w:val="0"/>
        <w:autoSpaceDE w:val="0"/>
        <w:autoSpaceDN w:val="0"/>
        <w:adjustRightInd w:val="0"/>
        <w:jc w:val="both"/>
        <w:rPr>
          <w:rFonts w:ascii="Times New Roman" w:hAnsi="Times New Roman" w:cs="Times New Roman"/>
        </w:rPr>
      </w:pPr>
    </w:p>
    <w:p w14:paraId="43956A81" w14:textId="6FD041A7" w:rsidR="000B697D" w:rsidRPr="002C1A92" w:rsidRDefault="000B697D" w:rsidP="000B697D">
      <w:pPr>
        <w:widowControl w:val="0"/>
        <w:autoSpaceDE w:val="0"/>
        <w:autoSpaceDN w:val="0"/>
        <w:adjustRightInd w:val="0"/>
        <w:jc w:val="both"/>
        <w:rPr>
          <w:rFonts w:ascii="Times New Roman" w:hAnsi="Times New Roman" w:cs="Times New Roman"/>
        </w:rPr>
      </w:pPr>
      <w:proofErr w:type="gramStart"/>
      <w:r w:rsidRPr="002C1A92">
        <w:rPr>
          <w:rFonts w:ascii="Times New Roman" w:hAnsi="Times New Roman" w:cs="Times New Roman"/>
        </w:rPr>
        <w:t>Christensen</w:t>
      </w:r>
      <w:r w:rsidR="00656336" w:rsidRPr="002C1A92">
        <w:rPr>
          <w:rFonts w:ascii="Times New Roman" w:hAnsi="Times New Roman" w:cs="Times New Roman"/>
        </w:rPr>
        <w:t>,</w:t>
      </w:r>
      <w:r w:rsidRPr="002C1A92">
        <w:rPr>
          <w:rFonts w:ascii="Times New Roman" w:hAnsi="Times New Roman" w:cs="Times New Roman"/>
        </w:rPr>
        <w:t xml:space="preserve">  J</w:t>
      </w:r>
      <w:r w:rsidR="00D63D21" w:rsidRPr="002C1A92">
        <w:rPr>
          <w:rFonts w:ascii="Times New Roman" w:hAnsi="Times New Roman" w:cs="Times New Roman"/>
        </w:rPr>
        <w:t>.</w:t>
      </w:r>
      <w:r w:rsidRPr="002C1A92">
        <w:rPr>
          <w:rFonts w:ascii="Times New Roman" w:hAnsi="Times New Roman" w:cs="Times New Roman"/>
        </w:rPr>
        <w:t>G.</w:t>
      </w:r>
      <w:proofErr w:type="gramEnd"/>
      <w:r w:rsidRPr="002C1A92">
        <w:rPr>
          <w:rFonts w:ascii="Times New Roman" w:hAnsi="Times New Roman" w:cs="Times New Roman"/>
        </w:rPr>
        <w:t xml:space="preserve"> 2011. ‘Competing theories of regulatory governance: reconsidering publi</w:t>
      </w:r>
      <w:r w:rsidR="00133589">
        <w:rPr>
          <w:rFonts w:ascii="Times New Roman" w:hAnsi="Times New Roman" w:cs="Times New Roman"/>
        </w:rPr>
        <w:t>c interest theory of regulation</w:t>
      </w:r>
      <w:r w:rsidRPr="002C1A92">
        <w:rPr>
          <w:rFonts w:ascii="Times New Roman" w:hAnsi="Times New Roman" w:cs="Times New Roman"/>
        </w:rPr>
        <w:t>’</w:t>
      </w:r>
      <w:r w:rsidR="00133589">
        <w:rPr>
          <w:rFonts w:ascii="Times New Roman" w:hAnsi="Times New Roman" w:cs="Times New Roman"/>
        </w:rPr>
        <w:t>, i</w:t>
      </w:r>
      <w:r w:rsidRPr="002C1A92">
        <w:rPr>
          <w:rFonts w:ascii="Times New Roman" w:hAnsi="Times New Roman" w:cs="Times New Roman"/>
        </w:rPr>
        <w:t>n D</w:t>
      </w:r>
      <w:r w:rsidR="00133589">
        <w:rPr>
          <w:rFonts w:ascii="Times New Roman" w:hAnsi="Times New Roman" w:cs="Times New Roman"/>
        </w:rPr>
        <w:t>.</w:t>
      </w:r>
      <w:r w:rsidRPr="002C1A92">
        <w:rPr>
          <w:rFonts w:ascii="Times New Roman" w:hAnsi="Times New Roman" w:cs="Times New Roman"/>
        </w:rPr>
        <w:t xml:space="preserve"> Levi-Faur (ed.) </w:t>
      </w:r>
      <w:r w:rsidRPr="002C1A92">
        <w:rPr>
          <w:rFonts w:ascii="Times New Roman" w:hAnsi="Times New Roman" w:cs="Times New Roman"/>
          <w:i/>
        </w:rPr>
        <w:t xml:space="preserve">Handbook on the Politics of Regulation. </w:t>
      </w:r>
      <w:r w:rsidR="00133589">
        <w:rPr>
          <w:rFonts w:ascii="Times New Roman" w:hAnsi="Times New Roman" w:cs="Times New Roman"/>
        </w:rPr>
        <w:t>Cheltenham UK: Edward Elgar, pp.</w:t>
      </w:r>
      <w:r w:rsidRPr="002C1A92">
        <w:rPr>
          <w:rFonts w:ascii="Times New Roman" w:hAnsi="Times New Roman" w:cs="Times New Roman"/>
        </w:rPr>
        <w:t xml:space="preserve"> 96-112.</w:t>
      </w:r>
    </w:p>
    <w:p w14:paraId="6FE6FF4F" w14:textId="2CC2ADE1" w:rsidR="000B697D" w:rsidRPr="002C1A92" w:rsidRDefault="000B697D" w:rsidP="006610ED">
      <w:pPr>
        <w:widowControl w:val="0"/>
        <w:autoSpaceDE w:val="0"/>
        <w:autoSpaceDN w:val="0"/>
        <w:adjustRightInd w:val="0"/>
        <w:jc w:val="both"/>
        <w:rPr>
          <w:rFonts w:ascii="Times New Roman" w:hAnsi="Times New Roman" w:cs="Times New Roman"/>
        </w:rPr>
      </w:pPr>
    </w:p>
    <w:p w14:paraId="6C041CE2" w14:textId="35FBE3B1" w:rsidR="006D0B9A" w:rsidRPr="002C1A92" w:rsidRDefault="006D0B9A" w:rsidP="006610ED">
      <w:pPr>
        <w:widowControl w:val="0"/>
        <w:autoSpaceDE w:val="0"/>
        <w:autoSpaceDN w:val="0"/>
        <w:adjustRightInd w:val="0"/>
        <w:jc w:val="both"/>
        <w:rPr>
          <w:rFonts w:ascii="Times New Roman" w:hAnsi="Times New Roman" w:cs="Times New Roman"/>
        </w:rPr>
      </w:pPr>
      <w:r w:rsidRPr="002C1A92">
        <w:rPr>
          <w:rFonts w:ascii="Times New Roman" w:hAnsi="Times New Roman" w:cs="Times New Roman"/>
        </w:rPr>
        <w:t>Croley, S</w:t>
      </w:r>
      <w:r w:rsidR="00742DCF" w:rsidRPr="002C1A92">
        <w:rPr>
          <w:rFonts w:ascii="Times New Roman" w:hAnsi="Times New Roman" w:cs="Times New Roman"/>
        </w:rPr>
        <w:t>.</w:t>
      </w:r>
      <w:r w:rsidRPr="002C1A92">
        <w:rPr>
          <w:rFonts w:ascii="Times New Roman" w:hAnsi="Times New Roman" w:cs="Times New Roman"/>
        </w:rPr>
        <w:t>P.</w:t>
      </w:r>
      <w:r w:rsidR="00742DCF" w:rsidRPr="002C1A92">
        <w:rPr>
          <w:rFonts w:ascii="Times New Roman" w:hAnsi="Times New Roman" w:cs="Times New Roman"/>
        </w:rPr>
        <w:t xml:space="preserve"> 2011. ‘Beyond capture: towards a new theory of regulation’</w:t>
      </w:r>
      <w:r w:rsidR="00133589">
        <w:rPr>
          <w:rFonts w:ascii="Times New Roman" w:hAnsi="Times New Roman" w:cs="Times New Roman"/>
        </w:rPr>
        <w:t>, i</w:t>
      </w:r>
      <w:r w:rsidR="00742DCF" w:rsidRPr="002C1A92">
        <w:rPr>
          <w:rFonts w:ascii="Times New Roman" w:hAnsi="Times New Roman" w:cs="Times New Roman"/>
        </w:rPr>
        <w:t>n D</w:t>
      </w:r>
      <w:r w:rsidR="00133589">
        <w:rPr>
          <w:rFonts w:ascii="Times New Roman" w:hAnsi="Times New Roman" w:cs="Times New Roman"/>
        </w:rPr>
        <w:t>.</w:t>
      </w:r>
      <w:r w:rsidR="00742DCF" w:rsidRPr="002C1A92">
        <w:rPr>
          <w:rFonts w:ascii="Times New Roman" w:hAnsi="Times New Roman" w:cs="Times New Roman"/>
        </w:rPr>
        <w:t xml:space="preserve"> Levi-Faur (ed.) </w:t>
      </w:r>
      <w:r w:rsidR="00742DCF" w:rsidRPr="002C1A92">
        <w:rPr>
          <w:rFonts w:ascii="Times New Roman" w:hAnsi="Times New Roman" w:cs="Times New Roman"/>
          <w:i/>
        </w:rPr>
        <w:t xml:space="preserve">Handbook on the Politics of Regulation. </w:t>
      </w:r>
      <w:r w:rsidR="00133589">
        <w:rPr>
          <w:rFonts w:ascii="Times New Roman" w:hAnsi="Times New Roman" w:cs="Times New Roman"/>
        </w:rPr>
        <w:t>Cheltenham UK: Edward Elgar, pp.</w:t>
      </w:r>
      <w:r w:rsidR="00D01048" w:rsidRPr="002C1A92">
        <w:rPr>
          <w:rFonts w:ascii="Times New Roman" w:hAnsi="Times New Roman" w:cs="Times New Roman"/>
        </w:rPr>
        <w:t xml:space="preserve"> </w:t>
      </w:r>
      <w:r w:rsidR="00742DCF" w:rsidRPr="002C1A92">
        <w:rPr>
          <w:rFonts w:ascii="Times New Roman" w:hAnsi="Times New Roman" w:cs="Times New Roman"/>
        </w:rPr>
        <w:t>50-69.</w:t>
      </w:r>
    </w:p>
    <w:p w14:paraId="7CAEE205" w14:textId="77777777" w:rsidR="00A023EA" w:rsidRPr="002C1A92" w:rsidRDefault="00A023EA" w:rsidP="006610ED">
      <w:pPr>
        <w:widowControl w:val="0"/>
        <w:autoSpaceDE w:val="0"/>
        <w:autoSpaceDN w:val="0"/>
        <w:adjustRightInd w:val="0"/>
        <w:jc w:val="both"/>
        <w:rPr>
          <w:rFonts w:ascii="Times New Roman" w:hAnsi="Times New Roman" w:cs="Times New Roman"/>
        </w:rPr>
      </w:pPr>
    </w:p>
    <w:p w14:paraId="1B7D6E4E" w14:textId="513F9EBC" w:rsidR="00A023EA" w:rsidRPr="002C1A92" w:rsidRDefault="001432E6" w:rsidP="006610ED">
      <w:pPr>
        <w:widowControl w:val="0"/>
        <w:autoSpaceDE w:val="0"/>
        <w:autoSpaceDN w:val="0"/>
        <w:adjustRightInd w:val="0"/>
        <w:jc w:val="both"/>
        <w:rPr>
          <w:rFonts w:ascii="Times New Roman" w:hAnsi="Times New Roman" w:cs="Times New Roman"/>
        </w:rPr>
      </w:pPr>
      <w:r w:rsidRPr="002C1A92">
        <w:rPr>
          <w:rFonts w:ascii="Times New Roman" w:hAnsi="Times New Roman" w:cs="Times New Roman"/>
        </w:rPr>
        <w:t>Croley, S</w:t>
      </w:r>
      <w:r w:rsidR="00D36978" w:rsidRPr="002C1A92">
        <w:rPr>
          <w:rFonts w:ascii="Times New Roman" w:hAnsi="Times New Roman" w:cs="Times New Roman"/>
        </w:rPr>
        <w:t>.</w:t>
      </w:r>
      <w:r w:rsidRPr="002C1A92">
        <w:rPr>
          <w:rFonts w:ascii="Times New Roman" w:hAnsi="Times New Roman" w:cs="Times New Roman"/>
        </w:rPr>
        <w:t xml:space="preserve">P. 2008. </w:t>
      </w:r>
      <w:r w:rsidRPr="002C1A92">
        <w:rPr>
          <w:rFonts w:ascii="Times New Roman" w:hAnsi="Times New Roman" w:cs="Times New Roman"/>
          <w:i/>
        </w:rPr>
        <w:t>Regulation and public interests: The possibility</w:t>
      </w:r>
      <w:r w:rsidR="00A023EA" w:rsidRPr="002C1A92">
        <w:rPr>
          <w:rFonts w:ascii="Times New Roman" w:hAnsi="Times New Roman" w:cs="Times New Roman"/>
          <w:i/>
        </w:rPr>
        <w:t xml:space="preserve"> of good regulatory govern</w:t>
      </w:r>
      <w:r w:rsidRPr="002C1A92">
        <w:rPr>
          <w:rFonts w:ascii="Times New Roman" w:hAnsi="Times New Roman" w:cs="Times New Roman"/>
          <w:i/>
        </w:rPr>
        <w:t>ment.</w:t>
      </w:r>
      <w:r w:rsidRPr="002C1A92">
        <w:rPr>
          <w:rFonts w:ascii="Times New Roman" w:hAnsi="Times New Roman" w:cs="Times New Roman"/>
        </w:rPr>
        <w:t xml:space="preserve"> Princeton: Princeton University Press.</w:t>
      </w:r>
    </w:p>
    <w:p w14:paraId="4E8768B7" w14:textId="77777777" w:rsidR="006D13B3" w:rsidRPr="002C1A92" w:rsidRDefault="006D13B3" w:rsidP="006610ED">
      <w:pPr>
        <w:widowControl w:val="0"/>
        <w:autoSpaceDE w:val="0"/>
        <w:autoSpaceDN w:val="0"/>
        <w:adjustRightInd w:val="0"/>
        <w:jc w:val="both"/>
        <w:rPr>
          <w:rFonts w:ascii="Times New Roman" w:hAnsi="Times New Roman" w:cs="Times New Roman"/>
        </w:rPr>
      </w:pPr>
    </w:p>
    <w:p w14:paraId="24D662BC" w14:textId="028923B2" w:rsidR="001432E6" w:rsidRPr="002C1A92" w:rsidRDefault="00A023EA" w:rsidP="006610ED">
      <w:pPr>
        <w:widowControl w:val="0"/>
        <w:autoSpaceDE w:val="0"/>
        <w:autoSpaceDN w:val="0"/>
        <w:adjustRightInd w:val="0"/>
        <w:jc w:val="both"/>
        <w:rPr>
          <w:rFonts w:ascii="Times New Roman" w:hAnsi="Times New Roman" w:cs="Times New Roman"/>
        </w:rPr>
      </w:pPr>
      <w:r w:rsidRPr="002C1A92">
        <w:rPr>
          <w:rFonts w:ascii="Times New Roman" w:hAnsi="Times New Roman" w:cs="Times New Roman"/>
        </w:rPr>
        <w:t>De Francesco, F. 2012. ‘Diff</w:t>
      </w:r>
      <w:r w:rsidR="001432E6" w:rsidRPr="002C1A92">
        <w:rPr>
          <w:rFonts w:ascii="Times New Roman" w:hAnsi="Times New Roman" w:cs="Times New Roman"/>
        </w:rPr>
        <w:t>usion of regulatory impact analysis among OECD and EU</w:t>
      </w:r>
      <w:r w:rsidR="00FF1B3D" w:rsidRPr="002C1A92">
        <w:rPr>
          <w:rFonts w:ascii="Times New Roman" w:hAnsi="Times New Roman" w:cs="Times New Roman"/>
        </w:rPr>
        <w:t xml:space="preserve"> </w:t>
      </w:r>
      <w:r w:rsidR="00133589">
        <w:rPr>
          <w:rFonts w:ascii="Times New Roman" w:hAnsi="Times New Roman" w:cs="Times New Roman"/>
        </w:rPr>
        <w:t>Member States</w:t>
      </w:r>
      <w:r w:rsidRPr="002C1A92">
        <w:rPr>
          <w:rFonts w:ascii="Times New Roman" w:hAnsi="Times New Roman" w:cs="Times New Roman"/>
        </w:rPr>
        <w:t>’</w:t>
      </w:r>
      <w:r w:rsidR="00133589">
        <w:rPr>
          <w:rFonts w:ascii="Times New Roman" w:hAnsi="Times New Roman" w:cs="Times New Roman"/>
        </w:rPr>
        <w:t>,</w:t>
      </w:r>
      <w:r w:rsidR="001432E6" w:rsidRPr="002C1A92">
        <w:rPr>
          <w:rFonts w:ascii="Times New Roman" w:hAnsi="Times New Roman" w:cs="Times New Roman"/>
        </w:rPr>
        <w:t xml:space="preserve"> </w:t>
      </w:r>
      <w:r w:rsidR="001432E6" w:rsidRPr="002C1A92">
        <w:rPr>
          <w:rFonts w:ascii="Times New Roman" w:hAnsi="Times New Roman" w:cs="Times New Roman"/>
          <w:i/>
        </w:rPr>
        <w:t xml:space="preserve">Comparative Political Studies </w:t>
      </w:r>
      <w:r w:rsidR="001432E6" w:rsidRPr="002C1A92">
        <w:rPr>
          <w:rFonts w:ascii="Times New Roman" w:hAnsi="Times New Roman" w:cs="Times New Roman"/>
        </w:rPr>
        <w:t>45</w:t>
      </w:r>
      <w:r w:rsidR="00133589">
        <w:rPr>
          <w:rFonts w:ascii="Times New Roman" w:hAnsi="Times New Roman" w:cs="Times New Roman"/>
        </w:rPr>
        <w:t>, 10,</w:t>
      </w:r>
      <w:r w:rsidRPr="002C1A92">
        <w:rPr>
          <w:rFonts w:ascii="Times New Roman" w:hAnsi="Times New Roman" w:cs="Times New Roman"/>
        </w:rPr>
        <w:t xml:space="preserve"> 1277-</w:t>
      </w:r>
      <w:r w:rsidR="001432E6" w:rsidRPr="002C1A92">
        <w:rPr>
          <w:rFonts w:ascii="Times New Roman" w:hAnsi="Times New Roman" w:cs="Times New Roman"/>
        </w:rPr>
        <w:t>1305.</w:t>
      </w:r>
    </w:p>
    <w:p w14:paraId="1496103B" w14:textId="77777777" w:rsidR="0022706B" w:rsidRPr="002C1A92" w:rsidRDefault="0022706B" w:rsidP="006610ED">
      <w:pPr>
        <w:widowControl w:val="0"/>
        <w:autoSpaceDE w:val="0"/>
        <w:autoSpaceDN w:val="0"/>
        <w:adjustRightInd w:val="0"/>
        <w:jc w:val="both"/>
        <w:rPr>
          <w:rFonts w:ascii="Times New Roman" w:hAnsi="Times New Roman" w:cs="Times New Roman"/>
        </w:rPr>
      </w:pPr>
    </w:p>
    <w:p w14:paraId="5BF9609A" w14:textId="140F12C7" w:rsidR="0022706B" w:rsidRDefault="0022706B" w:rsidP="006610ED">
      <w:pPr>
        <w:widowControl w:val="0"/>
        <w:autoSpaceDE w:val="0"/>
        <w:autoSpaceDN w:val="0"/>
        <w:adjustRightInd w:val="0"/>
        <w:jc w:val="both"/>
        <w:rPr>
          <w:rFonts w:ascii="Times New Roman" w:hAnsi="Times New Roman" w:cs="Times New Roman"/>
        </w:rPr>
      </w:pPr>
      <w:r w:rsidRPr="002C1A92">
        <w:rPr>
          <w:rFonts w:ascii="Times New Roman" w:hAnsi="Times New Roman" w:cs="Times New Roman"/>
        </w:rPr>
        <w:t xml:space="preserve">Dudley, S.E, </w:t>
      </w:r>
      <w:r w:rsidR="00133589">
        <w:rPr>
          <w:rFonts w:ascii="Times New Roman" w:hAnsi="Times New Roman" w:cs="Times New Roman"/>
        </w:rPr>
        <w:t>and K. Wegrich</w:t>
      </w:r>
      <w:r w:rsidR="00656336" w:rsidRPr="002C1A92">
        <w:rPr>
          <w:rFonts w:ascii="Times New Roman" w:hAnsi="Times New Roman" w:cs="Times New Roman"/>
        </w:rPr>
        <w:t>.</w:t>
      </w:r>
      <w:r w:rsidR="00133589">
        <w:rPr>
          <w:rFonts w:ascii="Times New Roman" w:hAnsi="Times New Roman" w:cs="Times New Roman"/>
        </w:rPr>
        <w:t xml:space="preserve"> </w:t>
      </w:r>
      <w:r w:rsidRPr="002C1A92">
        <w:rPr>
          <w:rFonts w:ascii="Times New Roman" w:hAnsi="Times New Roman" w:cs="Times New Roman"/>
        </w:rPr>
        <w:t>201</w:t>
      </w:r>
      <w:r w:rsidR="00C24C94" w:rsidRPr="002C1A92">
        <w:rPr>
          <w:rFonts w:ascii="Times New Roman" w:hAnsi="Times New Roman" w:cs="Times New Roman"/>
        </w:rPr>
        <w:t>6</w:t>
      </w:r>
      <w:r w:rsidR="00133589">
        <w:rPr>
          <w:rFonts w:ascii="Times New Roman" w:hAnsi="Times New Roman" w:cs="Times New Roman"/>
        </w:rPr>
        <w:t>.</w:t>
      </w:r>
      <w:r w:rsidRPr="002C1A92">
        <w:rPr>
          <w:rFonts w:ascii="Times New Roman" w:hAnsi="Times New Roman" w:cs="Times New Roman"/>
        </w:rPr>
        <w:t xml:space="preserve"> ‘The role of transparency in regulatory </w:t>
      </w:r>
      <w:r w:rsidRPr="002C1A92">
        <w:rPr>
          <w:rFonts w:ascii="Times New Roman" w:hAnsi="Times New Roman" w:cs="Times New Roman"/>
        </w:rPr>
        <w:lastRenderedPageBreak/>
        <w:t>governance compari</w:t>
      </w:r>
      <w:r w:rsidR="00133589">
        <w:rPr>
          <w:rFonts w:ascii="Times New Roman" w:hAnsi="Times New Roman" w:cs="Times New Roman"/>
        </w:rPr>
        <w:t>ng US and EU regulatory systems</w:t>
      </w:r>
      <w:r w:rsidRPr="002C1A92">
        <w:rPr>
          <w:rFonts w:ascii="Times New Roman" w:hAnsi="Times New Roman" w:cs="Times New Roman"/>
        </w:rPr>
        <w:t>’</w:t>
      </w:r>
      <w:r w:rsidR="00133589">
        <w:rPr>
          <w:rFonts w:ascii="Times New Roman" w:hAnsi="Times New Roman" w:cs="Times New Roman"/>
        </w:rPr>
        <w:t>,</w:t>
      </w:r>
      <w:r w:rsidRPr="002C1A92">
        <w:rPr>
          <w:rFonts w:ascii="Times New Roman" w:hAnsi="Times New Roman" w:cs="Times New Roman"/>
        </w:rPr>
        <w:t xml:space="preserve"> </w:t>
      </w:r>
      <w:r w:rsidRPr="002C1A92">
        <w:rPr>
          <w:rFonts w:ascii="Times New Roman" w:hAnsi="Times New Roman" w:cs="Times New Roman"/>
          <w:i/>
        </w:rPr>
        <w:t>Journal of Risk Research</w:t>
      </w:r>
      <w:r w:rsidRPr="002C1A92">
        <w:rPr>
          <w:rFonts w:ascii="Times New Roman" w:hAnsi="Times New Roman" w:cs="Times New Roman"/>
        </w:rPr>
        <w:t xml:space="preserve"> </w:t>
      </w:r>
      <w:r w:rsidR="00C24C94" w:rsidRPr="002C1A92">
        <w:rPr>
          <w:rFonts w:ascii="Times New Roman" w:hAnsi="Times New Roman" w:cs="Times New Roman"/>
        </w:rPr>
        <w:t>19</w:t>
      </w:r>
      <w:r w:rsidR="00133589">
        <w:rPr>
          <w:rFonts w:ascii="Times New Roman" w:hAnsi="Times New Roman" w:cs="Times New Roman"/>
        </w:rPr>
        <w:t>, 9,</w:t>
      </w:r>
      <w:r w:rsidR="00C24C94" w:rsidRPr="002C1A92">
        <w:rPr>
          <w:rFonts w:ascii="Times New Roman" w:hAnsi="Times New Roman" w:cs="Times New Roman"/>
        </w:rPr>
        <w:t xml:space="preserve"> 1129-1140.</w:t>
      </w:r>
    </w:p>
    <w:p w14:paraId="53401354" w14:textId="77777777" w:rsidR="00D67F38" w:rsidRDefault="00D67F38" w:rsidP="006610ED">
      <w:pPr>
        <w:widowControl w:val="0"/>
        <w:autoSpaceDE w:val="0"/>
        <w:autoSpaceDN w:val="0"/>
        <w:adjustRightInd w:val="0"/>
        <w:jc w:val="both"/>
        <w:rPr>
          <w:rFonts w:ascii="Times New Roman" w:hAnsi="Times New Roman" w:cs="Times New Roman"/>
        </w:rPr>
      </w:pPr>
    </w:p>
    <w:p w14:paraId="1FB30A85" w14:textId="51E4373D" w:rsidR="00D67F38" w:rsidRPr="006610ED" w:rsidRDefault="00D67F38" w:rsidP="006610ED">
      <w:pPr>
        <w:widowControl w:val="0"/>
        <w:autoSpaceDE w:val="0"/>
        <w:autoSpaceDN w:val="0"/>
        <w:adjustRightInd w:val="0"/>
        <w:jc w:val="both"/>
        <w:rPr>
          <w:rFonts w:ascii="Times New Roman" w:hAnsi="Times New Roman" w:cs="Times New Roman"/>
        </w:rPr>
      </w:pPr>
      <w:r>
        <w:rPr>
          <w:rFonts w:ascii="Times New Roman" w:hAnsi="Times New Roman" w:cs="Times New Roman"/>
        </w:rPr>
        <w:t>Euractiv 2015. ‘NGOs fear “better regulation” could hurt environment’, May 13</w:t>
      </w:r>
      <w:r w:rsidRPr="00D67F38">
        <w:rPr>
          <w:rFonts w:ascii="Times New Roman" w:hAnsi="Times New Roman" w:cs="Times New Roman"/>
          <w:vertAlign w:val="superscript"/>
        </w:rPr>
        <w:t>th</w:t>
      </w:r>
      <w:r>
        <w:rPr>
          <w:rFonts w:ascii="Times New Roman" w:hAnsi="Times New Roman" w:cs="Times New Roman"/>
        </w:rPr>
        <w:t xml:space="preserve">. Available at: </w:t>
      </w:r>
      <w:hyperlink r:id="rId9" w:history="1">
        <w:r w:rsidRPr="00A75B07">
          <w:rPr>
            <w:rStyle w:val="Hyperlink"/>
            <w:rFonts w:ascii="Times New Roman" w:hAnsi="Times New Roman" w:cs="Times New Roman"/>
          </w:rPr>
          <w:t>http://www.euractiv.com/section/science-policymaking/news/ngos-fear-better-regulation-could-hurt-environment/</w:t>
        </w:r>
      </w:hyperlink>
      <w:r>
        <w:rPr>
          <w:rFonts w:ascii="Times New Roman" w:hAnsi="Times New Roman" w:cs="Times New Roman"/>
        </w:rPr>
        <w:t>. Last accessed: April 13</w:t>
      </w:r>
      <w:r w:rsidRPr="00D67F38">
        <w:rPr>
          <w:rFonts w:ascii="Times New Roman" w:hAnsi="Times New Roman" w:cs="Times New Roman"/>
          <w:vertAlign w:val="superscript"/>
        </w:rPr>
        <w:t>th</w:t>
      </w:r>
      <w:r>
        <w:rPr>
          <w:rFonts w:ascii="Times New Roman" w:hAnsi="Times New Roman" w:cs="Times New Roman"/>
        </w:rPr>
        <w:t xml:space="preserve">, 2017). </w:t>
      </w:r>
    </w:p>
    <w:p w14:paraId="38DE5256" w14:textId="77777777" w:rsidR="000B697D" w:rsidRDefault="000B697D" w:rsidP="00422AA3">
      <w:pPr>
        <w:widowControl w:val="0"/>
        <w:autoSpaceDE w:val="0"/>
        <w:autoSpaceDN w:val="0"/>
        <w:adjustRightInd w:val="0"/>
        <w:jc w:val="both"/>
        <w:rPr>
          <w:rFonts w:ascii="Times New Roman" w:hAnsi="Times New Roman" w:cs="Times New Roman"/>
        </w:rPr>
      </w:pPr>
    </w:p>
    <w:p w14:paraId="44098E6D" w14:textId="6307C22A" w:rsidR="000B697D" w:rsidRDefault="000B697D" w:rsidP="00422AA3">
      <w:pPr>
        <w:widowControl w:val="0"/>
        <w:autoSpaceDE w:val="0"/>
        <w:autoSpaceDN w:val="0"/>
        <w:adjustRightInd w:val="0"/>
        <w:jc w:val="both"/>
        <w:rPr>
          <w:rFonts w:ascii="Times New Roman" w:hAnsi="Times New Roman" w:cs="Times New Roman"/>
        </w:rPr>
      </w:pPr>
      <w:r>
        <w:rPr>
          <w:rFonts w:ascii="Times New Roman" w:hAnsi="Times New Roman" w:cs="Times New Roman"/>
        </w:rPr>
        <w:t>Levi-Faur</w:t>
      </w:r>
      <w:r w:rsidR="00656336">
        <w:rPr>
          <w:rFonts w:ascii="Times New Roman" w:hAnsi="Times New Roman" w:cs="Times New Roman"/>
        </w:rPr>
        <w:t>,</w:t>
      </w:r>
      <w:r>
        <w:rPr>
          <w:rFonts w:ascii="Times New Roman" w:hAnsi="Times New Roman" w:cs="Times New Roman"/>
        </w:rPr>
        <w:t xml:space="preserve"> D. 2011. ‘Regulation and regulatory governance.’ </w:t>
      </w:r>
      <w:r w:rsidR="00541588" w:rsidRPr="006610ED">
        <w:rPr>
          <w:rFonts w:ascii="Times New Roman" w:hAnsi="Times New Roman" w:cs="Times New Roman"/>
        </w:rPr>
        <w:t xml:space="preserve">In </w:t>
      </w:r>
      <w:r w:rsidR="00133589">
        <w:rPr>
          <w:rFonts w:ascii="Times New Roman" w:hAnsi="Times New Roman" w:cs="Times New Roman"/>
        </w:rPr>
        <w:t xml:space="preserve">D. Levi-Faur (ed.) </w:t>
      </w:r>
      <w:r w:rsidR="00541588" w:rsidRPr="006610ED">
        <w:rPr>
          <w:rFonts w:ascii="Times New Roman" w:hAnsi="Times New Roman" w:cs="Times New Roman"/>
          <w:i/>
        </w:rPr>
        <w:t>Handbook of Regulatory Politics</w:t>
      </w:r>
      <w:r w:rsidR="00541588" w:rsidRPr="006610ED">
        <w:rPr>
          <w:rFonts w:ascii="Times New Roman" w:hAnsi="Times New Roman" w:cs="Times New Roman"/>
        </w:rPr>
        <w:t xml:space="preserve"> </w:t>
      </w:r>
      <w:r w:rsidR="00133589">
        <w:rPr>
          <w:rFonts w:ascii="Times New Roman" w:hAnsi="Times New Roman" w:cs="Times New Roman"/>
        </w:rPr>
        <w:t>Cheltenham: Edward Elgar.</w:t>
      </w:r>
      <w:r w:rsidR="00541588" w:rsidRPr="006610ED">
        <w:rPr>
          <w:rFonts w:ascii="Times New Roman" w:hAnsi="Times New Roman" w:cs="Times New Roman"/>
        </w:rPr>
        <w:t xml:space="preserve"> </w:t>
      </w:r>
      <w:r w:rsidR="00133589">
        <w:rPr>
          <w:rFonts w:ascii="Times New Roman" w:hAnsi="Times New Roman" w:cs="Times New Roman"/>
        </w:rPr>
        <w:t>pp.</w:t>
      </w:r>
      <w:r w:rsidR="00541588">
        <w:rPr>
          <w:rFonts w:ascii="Times New Roman" w:hAnsi="Times New Roman" w:cs="Times New Roman"/>
        </w:rPr>
        <w:t xml:space="preserve"> 3-24.</w:t>
      </w:r>
    </w:p>
    <w:p w14:paraId="333A3BF3" w14:textId="77777777" w:rsidR="00422AA3" w:rsidRPr="006610ED" w:rsidRDefault="00422AA3" w:rsidP="00422AA3">
      <w:pPr>
        <w:widowControl w:val="0"/>
        <w:autoSpaceDE w:val="0"/>
        <w:autoSpaceDN w:val="0"/>
        <w:adjustRightInd w:val="0"/>
        <w:jc w:val="both"/>
        <w:rPr>
          <w:rFonts w:ascii="Times New Roman" w:hAnsi="Times New Roman" w:cs="Times New Roman"/>
        </w:rPr>
      </w:pPr>
    </w:p>
    <w:p w14:paraId="3C18183E" w14:textId="05E482BF" w:rsidR="001432E6" w:rsidRDefault="001432E6" w:rsidP="006610ED">
      <w:pPr>
        <w:widowControl w:val="0"/>
        <w:autoSpaceDE w:val="0"/>
        <w:autoSpaceDN w:val="0"/>
        <w:adjustRightInd w:val="0"/>
        <w:jc w:val="both"/>
        <w:rPr>
          <w:rFonts w:ascii="Times New Roman" w:hAnsi="Times New Roman" w:cs="Times New Roman"/>
        </w:rPr>
      </w:pPr>
      <w:r w:rsidRPr="006610ED">
        <w:rPr>
          <w:rFonts w:ascii="Times New Roman" w:hAnsi="Times New Roman" w:cs="Times New Roman"/>
        </w:rPr>
        <w:t>Lodge, M</w:t>
      </w:r>
      <w:r w:rsidR="00133589">
        <w:rPr>
          <w:rFonts w:ascii="Times New Roman" w:hAnsi="Times New Roman" w:cs="Times New Roman"/>
        </w:rPr>
        <w:t>.</w:t>
      </w:r>
      <w:r w:rsidR="00D36978">
        <w:rPr>
          <w:rFonts w:ascii="Times New Roman" w:hAnsi="Times New Roman" w:cs="Times New Roman"/>
        </w:rPr>
        <w:t>,</w:t>
      </w:r>
      <w:r w:rsidR="00A023EA" w:rsidRPr="006610ED">
        <w:rPr>
          <w:rFonts w:ascii="Times New Roman" w:hAnsi="Times New Roman" w:cs="Times New Roman"/>
        </w:rPr>
        <w:t xml:space="preserve"> </w:t>
      </w:r>
      <w:r w:rsidR="00133589">
        <w:rPr>
          <w:rFonts w:ascii="Times New Roman" w:hAnsi="Times New Roman" w:cs="Times New Roman"/>
        </w:rPr>
        <w:t xml:space="preserve">and K. </w:t>
      </w:r>
      <w:r w:rsidR="00D36978">
        <w:rPr>
          <w:rFonts w:ascii="Times New Roman" w:hAnsi="Times New Roman" w:cs="Times New Roman"/>
        </w:rPr>
        <w:t>Wegrich</w:t>
      </w:r>
      <w:r w:rsidR="00133589">
        <w:rPr>
          <w:rFonts w:ascii="Times New Roman" w:hAnsi="Times New Roman" w:cs="Times New Roman"/>
        </w:rPr>
        <w:t>.</w:t>
      </w:r>
      <w:r w:rsidRPr="006610ED">
        <w:rPr>
          <w:rFonts w:ascii="Times New Roman" w:hAnsi="Times New Roman" w:cs="Times New Roman"/>
        </w:rPr>
        <w:t xml:space="preserve"> 2012. </w:t>
      </w:r>
      <w:r w:rsidRPr="006610ED">
        <w:rPr>
          <w:rFonts w:ascii="Times New Roman" w:hAnsi="Times New Roman" w:cs="Times New Roman"/>
          <w:i/>
        </w:rPr>
        <w:t>Managing regulation: regulatory analysis, politics and policy.</w:t>
      </w:r>
      <w:r w:rsidR="00A023EA" w:rsidRPr="006610ED">
        <w:rPr>
          <w:rFonts w:ascii="Times New Roman" w:hAnsi="Times New Roman" w:cs="Times New Roman"/>
          <w:i/>
        </w:rPr>
        <w:t xml:space="preserve"> </w:t>
      </w:r>
      <w:r w:rsidRPr="006610ED">
        <w:rPr>
          <w:rFonts w:ascii="Times New Roman" w:hAnsi="Times New Roman" w:cs="Times New Roman"/>
        </w:rPr>
        <w:t>Basingstoke: Palgrave Macmillan.</w:t>
      </w:r>
    </w:p>
    <w:p w14:paraId="4C53B106" w14:textId="77777777" w:rsidR="00610E50" w:rsidRDefault="00610E50" w:rsidP="006610ED">
      <w:pPr>
        <w:widowControl w:val="0"/>
        <w:autoSpaceDE w:val="0"/>
        <w:autoSpaceDN w:val="0"/>
        <w:adjustRightInd w:val="0"/>
        <w:jc w:val="both"/>
        <w:rPr>
          <w:rFonts w:ascii="Times New Roman" w:hAnsi="Times New Roman" w:cs="Times New Roman"/>
        </w:rPr>
      </w:pPr>
    </w:p>
    <w:p w14:paraId="41BB20F3" w14:textId="4A6F1532" w:rsidR="00610E50" w:rsidRPr="006610ED" w:rsidRDefault="00133589" w:rsidP="006610ED">
      <w:pPr>
        <w:widowControl w:val="0"/>
        <w:autoSpaceDE w:val="0"/>
        <w:autoSpaceDN w:val="0"/>
        <w:adjustRightInd w:val="0"/>
        <w:jc w:val="both"/>
        <w:rPr>
          <w:rFonts w:ascii="Times New Roman" w:hAnsi="Times New Roman" w:cs="Times New Roman"/>
        </w:rPr>
      </w:pPr>
      <w:r>
        <w:rPr>
          <w:rFonts w:ascii="Times New Roman" w:hAnsi="Times New Roman" w:cs="Times New Roman"/>
        </w:rPr>
        <w:t>Lodge, M and K.</w:t>
      </w:r>
      <w:r w:rsidR="00610E50">
        <w:rPr>
          <w:rFonts w:ascii="Times New Roman" w:hAnsi="Times New Roman" w:cs="Times New Roman"/>
        </w:rPr>
        <w:t xml:space="preserve"> Wegrich</w:t>
      </w:r>
      <w:r>
        <w:rPr>
          <w:rFonts w:ascii="Times New Roman" w:hAnsi="Times New Roman" w:cs="Times New Roman"/>
        </w:rPr>
        <w:t>.</w:t>
      </w:r>
      <w:r w:rsidR="00610E50">
        <w:rPr>
          <w:rFonts w:ascii="Times New Roman" w:hAnsi="Times New Roman" w:cs="Times New Roman"/>
        </w:rPr>
        <w:t xml:space="preserve"> 2009. ‘High-quality regulation: its popul</w:t>
      </w:r>
      <w:r>
        <w:rPr>
          <w:rFonts w:ascii="Times New Roman" w:hAnsi="Times New Roman" w:cs="Times New Roman"/>
        </w:rPr>
        <w:t>arity, its tools and its future</w:t>
      </w:r>
      <w:r w:rsidR="00610E50">
        <w:rPr>
          <w:rFonts w:ascii="Times New Roman" w:hAnsi="Times New Roman" w:cs="Times New Roman"/>
        </w:rPr>
        <w:t>’</w:t>
      </w:r>
      <w:r>
        <w:rPr>
          <w:rFonts w:ascii="Times New Roman" w:hAnsi="Times New Roman" w:cs="Times New Roman"/>
        </w:rPr>
        <w:t>,</w:t>
      </w:r>
      <w:r w:rsidR="00610E50">
        <w:rPr>
          <w:rFonts w:ascii="Times New Roman" w:hAnsi="Times New Roman" w:cs="Times New Roman"/>
        </w:rPr>
        <w:t xml:space="preserve"> </w:t>
      </w:r>
      <w:r w:rsidR="00610E50" w:rsidRPr="00610E50">
        <w:rPr>
          <w:rFonts w:ascii="Times New Roman" w:hAnsi="Times New Roman" w:cs="Times New Roman"/>
          <w:i/>
        </w:rPr>
        <w:t>Public Money and Management</w:t>
      </w:r>
      <w:r>
        <w:rPr>
          <w:rFonts w:ascii="Times New Roman" w:hAnsi="Times New Roman" w:cs="Times New Roman"/>
        </w:rPr>
        <w:t xml:space="preserve"> 29, 3, </w:t>
      </w:r>
      <w:r w:rsidR="00610E50">
        <w:rPr>
          <w:rFonts w:ascii="Times New Roman" w:hAnsi="Times New Roman" w:cs="Times New Roman"/>
        </w:rPr>
        <w:t>145-152.</w:t>
      </w:r>
    </w:p>
    <w:p w14:paraId="1E3A977A" w14:textId="77777777" w:rsidR="00A023EA" w:rsidRPr="006610ED" w:rsidRDefault="00A023EA" w:rsidP="006610ED">
      <w:pPr>
        <w:widowControl w:val="0"/>
        <w:autoSpaceDE w:val="0"/>
        <w:autoSpaceDN w:val="0"/>
        <w:adjustRightInd w:val="0"/>
        <w:jc w:val="both"/>
        <w:rPr>
          <w:rFonts w:ascii="Times New Roman" w:hAnsi="Times New Roman" w:cs="Times New Roman"/>
        </w:rPr>
      </w:pPr>
    </w:p>
    <w:p w14:paraId="199FAA4D" w14:textId="2F8B78A4" w:rsidR="001432E6" w:rsidRPr="006610ED" w:rsidRDefault="00A023EA" w:rsidP="006610ED">
      <w:pPr>
        <w:widowControl w:val="0"/>
        <w:autoSpaceDE w:val="0"/>
        <w:autoSpaceDN w:val="0"/>
        <w:adjustRightInd w:val="0"/>
        <w:jc w:val="both"/>
        <w:rPr>
          <w:rFonts w:ascii="Times New Roman" w:hAnsi="Times New Roman" w:cs="Times New Roman"/>
        </w:rPr>
      </w:pPr>
      <w:r w:rsidRPr="006610ED">
        <w:rPr>
          <w:rFonts w:ascii="Times New Roman" w:hAnsi="Times New Roman" w:cs="Times New Roman"/>
        </w:rPr>
        <w:t>Majone, G. 1994. ‘</w:t>
      </w:r>
      <w:r w:rsidR="001432E6" w:rsidRPr="006610ED">
        <w:rPr>
          <w:rFonts w:ascii="Times New Roman" w:hAnsi="Times New Roman" w:cs="Times New Roman"/>
        </w:rPr>
        <w:t xml:space="preserve">The rise of </w:t>
      </w:r>
      <w:r w:rsidR="00133589">
        <w:rPr>
          <w:rFonts w:ascii="Times New Roman" w:hAnsi="Times New Roman" w:cs="Times New Roman"/>
        </w:rPr>
        <w:t>the regulatory state in Europe</w:t>
      </w:r>
      <w:r w:rsidRPr="006610ED">
        <w:rPr>
          <w:rFonts w:ascii="Times New Roman" w:hAnsi="Times New Roman" w:cs="Times New Roman"/>
        </w:rPr>
        <w:t>’</w:t>
      </w:r>
      <w:r w:rsidR="00133589">
        <w:rPr>
          <w:rFonts w:ascii="Times New Roman" w:hAnsi="Times New Roman" w:cs="Times New Roman"/>
        </w:rPr>
        <w:t>,</w:t>
      </w:r>
      <w:r w:rsidR="001432E6" w:rsidRPr="006610ED">
        <w:rPr>
          <w:rFonts w:ascii="Times New Roman" w:hAnsi="Times New Roman" w:cs="Times New Roman"/>
        </w:rPr>
        <w:t xml:space="preserve"> </w:t>
      </w:r>
      <w:r w:rsidR="001432E6" w:rsidRPr="006610ED">
        <w:rPr>
          <w:rFonts w:ascii="Times New Roman" w:hAnsi="Times New Roman" w:cs="Times New Roman"/>
          <w:i/>
        </w:rPr>
        <w:t>West European Politics</w:t>
      </w:r>
      <w:r w:rsidR="00133589">
        <w:rPr>
          <w:rFonts w:ascii="Times New Roman" w:hAnsi="Times New Roman" w:cs="Times New Roman"/>
        </w:rPr>
        <w:t xml:space="preserve"> 17, 3,</w:t>
      </w:r>
      <w:r w:rsidRPr="006610ED">
        <w:rPr>
          <w:rFonts w:ascii="Times New Roman" w:hAnsi="Times New Roman" w:cs="Times New Roman"/>
        </w:rPr>
        <w:t xml:space="preserve"> 77-</w:t>
      </w:r>
      <w:r w:rsidR="001432E6" w:rsidRPr="006610ED">
        <w:rPr>
          <w:rFonts w:ascii="Times New Roman" w:hAnsi="Times New Roman" w:cs="Times New Roman"/>
        </w:rPr>
        <w:t>101.</w:t>
      </w:r>
    </w:p>
    <w:p w14:paraId="70273A57" w14:textId="77777777" w:rsidR="00A023EA" w:rsidRPr="006610ED" w:rsidRDefault="00A023EA" w:rsidP="006610ED">
      <w:pPr>
        <w:widowControl w:val="0"/>
        <w:autoSpaceDE w:val="0"/>
        <w:autoSpaceDN w:val="0"/>
        <w:adjustRightInd w:val="0"/>
        <w:jc w:val="both"/>
        <w:rPr>
          <w:rFonts w:ascii="Times New Roman" w:hAnsi="Times New Roman" w:cs="Times New Roman"/>
        </w:rPr>
      </w:pPr>
    </w:p>
    <w:p w14:paraId="60855433" w14:textId="60A06973" w:rsidR="001432E6" w:rsidRPr="006610ED" w:rsidRDefault="001432E6" w:rsidP="006610ED">
      <w:pPr>
        <w:widowControl w:val="0"/>
        <w:autoSpaceDE w:val="0"/>
        <w:autoSpaceDN w:val="0"/>
        <w:adjustRightInd w:val="0"/>
        <w:jc w:val="both"/>
        <w:rPr>
          <w:rFonts w:ascii="Times New Roman" w:hAnsi="Times New Roman" w:cs="Times New Roman"/>
        </w:rPr>
      </w:pPr>
      <w:r w:rsidRPr="006610ED">
        <w:rPr>
          <w:rFonts w:ascii="Times New Roman" w:hAnsi="Times New Roman" w:cs="Times New Roman"/>
        </w:rPr>
        <w:t xml:space="preserve">Majone, G. 1996. </w:t>
      </w:r>
      <w:r w:rsidR="00A023EA" w:rsidRPr="006610ED">
        <w:rPr>
          <w:rFonts w:ascii="Times New Roman" w:hAnsi="Times New Roman" w:cs="Times New Roman"/>
        </w:rPr>
        <w:t>‘</w:t>
      </w:r>
      <w:r w:rsidR="00133589">
        <w:rPr>
          <w:rFonts w:ascii="Times New Roman" w:hAnsi="Times New Roman" w:cs="Times New Roman"/>
        </w:rPr>
        <w:t>Theories of Regulation</w:t>
      </w:r>
      <w:r w:rsidR="00A023EA" w:rsidRPr="006610ED">
        <w:rPr>
          <w:rFonts w:ascii="Times New Roman" w:hAnsi="Times New Roman" w:cs="Times New Roman"/>
        </w:rPr>
        <w:t>’</w:t>
      </w:r>
      <w:r w:rsidR="00133589">
        <w:rPr>
          <w:rFonts w:ascii="Times New Roman" w:hAnsi="Times New Roman" w:cs="Times New Roman"/>
        </w:rPr>
        <w:t>, i</w:t>
      </w:r>
      <w:r w:rsidRPr="006610ED">
        <w:rPr>
          <w:rFonts w:ascii="Times New Roman" w:hAnsi="Times New Roman" w:cs="Times New Roman"/>
        </w:rPr>
        <w:t xml:space="preserve">n </w:t>
      </w:r>
      <w:r w:rsidR="00133589">
        <w:rPr>
          <w:rFonts w:ascii="Times New Roman" w:hAnsi="Times New Roman" w:cs="Times New Roman"/>
        </w:rPr>
        <w:t xml:space="preserve">G. Majone (ed.) </w:t>
      </w:r>
      <w:r w:rsidRPr="006610ED">
        <w:rPr>
          <w:rFonts w:ascii="Times New Roman" w:hAnsi="Times New Roman" w:cs="Times New Roman"/>
          <w:i/>
        </w:rPr>
        <w:t>Regul</w:t>
      </w:r>
      <w:r w:rsidR="00A023EA" w:rsidRPr="006610ED">
        <w:rPr>
          <w:rFonts w:ascii="Times New Roman" w:hAnsi="Times New Roman" w:cs="Times New Roman"/>
          <w:i/>
        </w:rPr>
        <w:t>ating Europe</w:t>
      </w:r>
      <w:r w:rsidR="00133589">
        <w:rPr>
          <w:rFonts w:ascii="Times New Roman" w:hAnsi="Times New Roman" w:cs="Times New Roman"/>
          <w:i/>
        </w:rPr>
        <w:t xml:space="preserve">, </w:t>
      </w:r>
      <w:r w:rsidRPr="006610ED">
        <w:rPr>
          <w:rFonts w:ascii="Times New Roman" w:hAnsi="Times New Roman" w:cs="Times New Roman"/>
        </w:rPr>
        <w:t>London</w:t>
      </w:r>
      <w:r w:rsidR="00133589">
        <w:rPr>
          <w:rFonts w:ascii="Times New Roman" w:hAnsi="Times New Roman" w:cs="Times New Roman"/>
        </w:rPr>
        <w:t>: Routledge,</w:t>
      </w:r>
      <w:r w:rsidR="00A023EA" w:rsidRPr="006610ED">
        <w:rPr>
          <w:rFonts w:ascii="Times New Roman" w:hAnsi="Times New Roman" w:cs="Times New Roman"/>
        </w:rPr>
        <w:t xml:space="preserve"> pp. 28-</w:t>
      </w:r>
      <w:r w:rsidRPr="006610ED">
        <w:rPr>
          <w:rFonts w:ascii="Times New Roman" w:hAnsi="Times New Roman" w:cs="Times New Roman"/>
        </w:rPr>
        <w:t>46.</w:t>
      </w:r>
    </w:p>
    <w:p w14:paraId="44BBE52E" w14:textId="77777777" w:rsidR="00A023EA" w:rsidRPr="006610ED" w:rsidRDefault="00A023EA" w:rsidP="006610ED">
      <w:pPr>
        <w:widowControl w:val="0"/>
        <w:autoSpaceDE w:val="0"/>
        <w:autoSpaceDN w:val="0"/>
        <w:adjustRightInd w:val="0"/>
        <w:jc w:val="both"/>
        <w:rPr>
          <w:rFonts w:ascii="Times New Roman" w:hAnsi="Times New Roman" w:cs="Times New Roman"/>
        </w:rPr>
      </w:pPr>
    </w:p>
    <w:p w14:paraId="7527BAF5" w14:textId="4101894A" w:rsidR="001432E6" w:rsidRPr="006610ED" w:rsidRDefault="001432E6" w:rsidP="006610ED">
      <w:pPr>
        <w:widowControl w:val="0"/>
        <w:autoSpaceDE w:val="0"/>
        <w:autoSpaceDN w:val="0"/>
        <w:adjustRightInd w:val="0"/>
        <w:jc w:val="both"/>
        <w:rPr>
          <w:rFonts w:ascii="Times New Roman" w:hAnsi="Times New Roman" w:cs="Times New Roman"/>
        </w:rPr>
      </w:pPr>
      <w:r w:rsidRPr="006610ED">
        <w:rPr>
          <w:rFonts w:ascii="Times New Roman" w:hAnsi="Times New Roman" w:cs="Times New Roman"/>
        </w:rPr>
        <w:t>Mastenbroek, E</w:t>
      </w:r>
      <w:r w:rsidR="00D36978">
        <w:rPr>
          <w:rFonts w:ascii="Times New Roman" w:hAnsi="Times New Roman" w:cs="Times New Roman"/>
        </w:rPr>
        <w:t>.</w:t>
      </w:r>
      <w:r w:rsidRPr="006610ED">
        <w:rPr>
          <w:rFonts w:ascii="Times New Roman" w:hAnsi="Times New Roman" w:cs="Times New Roman"/>
        </w:rPr>
        <w:t>, S</w:t>
      </w:r>
      <w:r w:rsidR="00D36978">
        <w:rPr>
          <w:rFonts w:ascii="Times New Roman" w:hAnsi="Times New Roman" w:cs="Times New Roman"/>
        </w:rPr>
        <w:t>.</w:t>
      </w:r>
      <w:r w:rsidRPr="006610ED">
        <w:rPr>
          <w:rFonts w:ascii="Times New Roman" w:hAnsi="Times New Roman" w:cs="Times New Roman"/>
        </w:rPr>
        <w:t xml:space="preserve"> van </w:t>
      </w:r>
      <w:r w:rsidR="00A023EA" w:rsidRPr="006610ED">
        <w:rPr>
          <w:rFonts w:ascii="Times New Roman" w:hAnsi="Times New Roman" w:cs="Times New Roman"/>
        </w:rPr>
        <w:t>Voorst and A</w:t>
      </w:r>
      <w:r w:rsidR="00D36978">
        <w:rPr>
          <w:rFonts w:ascii="Times New Roman" w:hAnsi="Times New Roman" w:cs="Times New Roman"/>
        </w:rPr>
        <w:t>.</w:t>
      </w:r>
      <w:r w:rsidR="00A023EA" w:rsidRPr="006610ED">
        <w:rPr>
          <w:rFonts w:ascii="Times New Roman" w:hAnsi="Times New Roman" w:cs="Times New Roman"/>
        </w:rPr>
        <w:t xml:space="preserve"> Meuwese. 201</w:t>
      </w:r>
      <w:r w:rsidR="00133589">
        <w:rPr>
          <w:rFonts w:ascii="Times New Roman" w:hAnsi="Times New Roman" w:cs="Times New Roman"/>
        </w:rPr>
        <w:t>6</w:t>
      </w:r>
      <w:r w:rsidR="00A023EA" w:rsidRPr="006610ED">
        <w:rPr>
          <w:rFonts w:ascii="Times New Roman" w:hAnsi="Times New Roman" w:cs="Times New Roman"/>
        </w:rPr>
        <w:t xml:space="preserve">. ‘Closing the regulatory </w:t>
      </w:r>
      <w:r w:rsidRPr="006610ED">
        <w:rPr>
          <w:rFonts w:ascii="Times New Roman" w:hAnsi="Times New Roman" w:cs="Times New Roman"/>
        </w:rPr>
        <w:t>cycle?</w:t>
      </w:r>
      <w:r w:rsidR="00A023EA" w:rsidRPr="006610ED">
        <w:rPr>
          <w:rFonts w:ascii="Times New Roman" w:hAnsi="Times New Roman" w:cs="Times New Roman"/>
        </w:rPr>
        <w:t xml:space="preserve"> </w:t>
      </w:r>
      <w:r w:rsidRPr="006610ED">
        <w:rPr>
          <w:rFonts w:ascii="Times New Roman" w:hAnsi="Times New Roman" w:cs="Times New Roman"/>
        </w:rPr>
        <w:t>A meta evaluation of ex-post legislative evaluatio</w:t>
      </w:r>
      <w:r w:rsidR="00A023EA" w:rsidRPr="006610ED">
        <w:rPr>
          <w:rFonts w:ascii="Times New Roman" w:hAnsi="Times New Roman" w:cs="Times New Roman"/>
        </w:rPr>
        <w:t>ns by the Eu</w:t>
      </w:r>
      <w:r w:rsidR="00133589">
        <w:rPr>
          <w:rFonts w:ascii="Times New Roman" w:hAnsi="Times New Roman" w:cs="Times New Roman"/>
        </w:rPr>
        <w:t>ropean Commission</w:t>
      </w:r>
      <w:r w:rsidR="00A023EA" w:rsidRPr="006610ED">
        <w:rPr>
          <w:rFonts w:ascii="Times New Roman" w:hAnsi="Times New Roman" w:cs="Times New Roman"/>
        </w:rPr>
        <w:t>’</w:t>
      </w:r>
      <w:r w:rsidR="00133589">
        <w:rPr>
          <w:rFonts w:ascii="Times New Roman" w:hAnsi="Times New Roman" w:cs="Times New Roman"/>
        </w:rPr>
        <w:t>,</w:t>
      </w:r>
      <w:r w:rsidR="00A023EA" w:rsidRPr="006610ED">
        <w:rPr>
          <w:rFonts w:ascii="Times New Roman" w:hAnsi="Times New Roman" w:cs="Times New Roman"/>
        </w:rPr>
        <w:t xml:space="preserve"> </w:t>
      </w:r>
      <w:r w:rsidRPr="006610ED">
        <w:rPr>
          <w:rFonts w:ascii="Times New Roman" w:hAnsi="Times New Roman" w:cs="Times New Roman"/>
          <w:i/>
        </w:rPr>
        <w:t>Journal of</w:t>
      </w:r>
      <w:r w:rsidR="00A023EA" w:rsidRPr="006610ED">
        <w:rPr>
          <w:rFonts w:ascii="Times New Roman" w:hAnsi="Times New Roman" w:cs="Times New Roman"/>
          <w:i/>
        </w:rPr>
        <w:t xml:space="preserve"> European Public Policy </w:t>
      </w:r>
      <w:r w:rsidR="00133589">
        <w:rPr>
          <w:rFonts w:ascii="Times New Roman" w:hAnsi="Times New Roman" w:cs="Times New Roman"/>
        </w:rPr>
        <w:t>23, 9, 1329-1348.</w:t>
      </w:r>
    </w:p>
    <w:p w14:paraId="3C19D45A" w14:textId="77777777" w:rsidR="00A023EA" w:rsidRPr="006610ED" w:rsidRDefault="00A023EA" w:rsidP="006610ED">
      <w:pPr>
        <w:widowControl w:val="0"/>
        <w:autoSpaceDE w:val="0"/>
        <w:autoSpaceDN w:val="0"/>
        <w:adjustRightInd w:val="0"/>
        <w:jc w:val="both"/>
        <w:rPr>
          <w:rFonts w:ascii="Times New Roman" w:hAnsi="Times New Roman" w:cs="Times New Roman"/>
        </w:rPr>
      </w:pPr>
    </w:p>
    <w:p w14:paraId="70591009" w14:textId="1A663CA1" w:rsidR="001432E6" w:rsidRPr="006610ED" w:rsidRDefault="001432E6" w:rsidP="006610ED">
      <w:pPr>
        <w:widowControl w:val="0"/>
        <w:autoSpaceDE w:val="0"/>
        <w:autoSpaceDN w:val="0"/>
        <w:adjustRightInd w:val="0"/>
        <w:jc w:val="both"/>
        <w:rPr>
          <w:rFonts w:ascii="Times New Roman" w:hAnsi="Times New Roman" w:cs="Times New Roman"/>
        </w:rPr>
      </w:pPr>
      <w:r w:rsidRPr="006610ED">
        <w:rPr>
          <w:rFonts w:ascii="Times New Roman" w:hAnsi="Times New Roman" w:cs="Times New Roman"/>
        </w:rPr>
        <w:t>McCubbins, M</w:t>
      </w:r>
      <w:r w:rsidR="00D36978">
        <w:rPr>
          <w:rFonts w:ascii="Times New Roman" w:hAnsi="Times New Roman" w:cs="Times New Roman"/>
        </w:rPr>
        <w:t>.</w:t>
      </w:r>
      <w:r w:rsidRPr="006610ED">
        <w:rPr>
          <w:rFonts w:ascii="Times New Roman" w:hAnsi="Times New Roman" w:cs="Times New Roman"/>
        </w:rPr>
        <w:t>D., R</w:t>
      </w:r>
      <w:r w:rsidR="00D36978">
        <w:rPr>
          <w:rFonts w:ascii="Times New Roman" w:hAnsi="Times New Roman" w:cs="Times New Roman"/>
        </w:rPr>
        <w:t>.</w:t>
      </w:r>
      <w:r w:rsidRPr="006610ED">
        <w:rPr>
          <w:rFonts w:ascii="Times New Roman" w:hAnsi="Times New Roman" w:cs="Times New Roman"/>
        </w:rPr>
        <w:t>G. Nol</w:t>
      </w:r>
      <w:r w:rsidR="00F3480E" w:rsidRPr="006610ED">
        <w:rPr>
          <w:rFonts w:ascii="Times New Roman" w:hAnsi="Times New Roman" w:cs="Times New Roman"/>
        </w:rPr>
        <w:t>l and B</w:t>
      </w:r>
      <w:r w:rsidR="00D36978">
        <w:rPr>
          <w:rFonts w:ascii="Times New Roman" w:hAnsi="Times New Roman" w:cs="Times New Roman"/>
        </w:rPr>
        <w:t>.</w:t>
      </w:r>
      <w:r w:rsidR="00F3480E" w:rsidRPr="006610ED">
        <w:rPr>
          <w:rFonts w:ascii="Times New Roman" w:hAnsi="Times New Roman" w:cs="Times New Roman"/>
        </w:rPr>
        <w:t>R. Weingast. 1987. ‘</w:t>
      </w:r>
      <w:r w:rsidRPr="006610ED">
        <w:rPr>
          <w:rFonts w:ascii="Times New Roman" w:hAnsi="Times New Roman" w:cs="Times New Roman"/>
        </w:rPr>
        <w:t>Administrative procedures</w:t>
      </w:r>
      <w:r w:rsidR="00F3480E" w:rsidRPr="006610ED">
        <w:rPr>
          <w:rFonts w:ascii="Times New Roman" w:hAnsi="Times New Roman" w:cs="Times New Roman"/>
        </w:rPr>
        <w:t xml:space="preserve"> </w:t>
      </w:r>
      <w:r w:rsidRPr="006610ED">
        <w:rPr>
          <w:rFonts w:ascii="Times New Roman" w:hAnsi="Times New Roman" w:cs="Times New Roman"/>
        </w:rPr>
        <w:t>as in</w:t>
      </w:r>
      <w:r w:rsidR="00133589">
        <w:rPr>
          <w:rFonts w:ascii="Times New Roman" w:hAnsi="Times New Roman" w:cs="Times New Roman"/>
        </w:rPr>
        <w:t>struments of political control</w:t>
      </w:r>
      <w:r w:rsidR="00F3480E" w:rsidRPr="006610ED">
        <w:rPr>
          <w:rFonts w:ascii="Times New Roman" w:hAnsi="Times New Roman" w:cs="Times New Roman"/>
        </w:rPr>
        <w:t>’</w:t>
      </w:r>
      <w:r w:rsidR="00133589">
        <w:rPr>
          <w:rFonts w:ascii="Times New Roman" w:hAnsi="Times New Roman" w:cs="Times New Roman"/>
        </w:rPr>
        <w:t>,</w:t>
      </w:r>
      <w:r w:rsidRPr="006610ED">
        <w:rPr>
          <w:rFonts w:ascii="Times New Roman" w:hAnsi="Times New Roman" w:cs="Times New Roman"/>
        </w:rPr>
        <w:t xml:space="preserve"> </w:t>
      </w:r>
      <w:r w:rsidRPr="006610ED">
        <w:rPr>
          <w:rFonts w:ascii="Times New Roman" w:hAnsi="Times New Roman" w:cs="Times New Roman"/>
          <w:i/>
        </w:rPr>
        <w:t>Journal of Law, Economics, &amp; Organization</w:t>
      </w:r>
      <w:r w:rsidRPr="006610ED">
        <w:rPr>
          <w:rFonts w:ascii="Times New Roman" w:hAnsi="Times New Roman" w:cs="Times New Roman"/>
        </w:rPr>
        <w:t xml:space="preserve"> 3</w:t>
      </w:r>
      <w:r w:rsidR="00133589">
        <w:rPr>
          <w:rFonts w:ascii="Times New Roman" w:hAnsi="Times New Roman" w:cs="Times New Roman"/>
        </w:rPr>
        <w:t>, 2,</w:t>
      </w:r>
      <w:r w:rsidR="00F3480E" w:rsidRPr="006610ED">
        <w:rPr>
          <w:rFonts w:ascii="Times New Roman" w:hAnsi="Times New Roman" w:cs="Times New Roman"/>
        </w:rPr>
        <w:t xml:space="preserve"> 243-</w:t>
      </w:r>
      <w:r w:rsidRPr="006610ED">
        <w:rPr>
          <w:rFonts w:ascii="Times New Roman" w:hAnsi="Times New Roman" w:cs="Times New Roman"/>
        </w:rPr>
        <w:t>277.</w:t>
      </w:r>
    </w:p>
    <w:p w14:paraId="011A498F" w14:textId="77777777" w:rsidR="00F3480E" w:rsidRPr="006610ED" w:rsidRDefault="00F3480E" w:rsidP="006610ED">
      <w:pPr>
        <w:widowControl w:val="0"/>
        <w:autoSpaceDE w:val="0"/>
        <w:autoSpaceDN w:val="0"/>
        <w:adjustRightInd w:val="0"/>
        <w:jc w:val="both"/>
        <w:rPr>
          <w:rFonts w:ascii="Times New Roman" w:hAnsi="Times New Roman" w:cs="Times New Roman"/>
        </w:rPr>
      </w:pPr>
    </w:p>
    <w:p w14:paraId="74AB16E9" w14:textId="0B82CAFC" w:rsidR="001432E6" w:rsidRPr="006610ED" w:rsidRDefault="001432E6" w:rsidP="006610ED">
      <w:pPr>
        <w:widowControl w:val="0"/>
        <w:autoSpaceDE w:val="0"/>
        <w:autoSpaceDN w:val="0"/>
        <w:adjustRightInd w:val="0"/>
        <w:jc w:val="both"/>
        <w:rPr>
          <w:rFonts w:ascii="Times New Roman" w:hAnsi="Times New Roman" w:cs="Times New Roman"/>
        </w:rPr>
      </w:pPr>
      <w:r w:rsidRPr="006610ED">
        <w:rPr>
          <w:rFonts w:ascii="Times New Roman" w:hAnsi="Times New Roman" w:cs="Times New Roman"/>
        </w:rPr>
        <w:t xml:space="preserve">Meuwese, A. 2007. </w:t>
      </w:r>
      <w:r w:rsidR="00F3480E" w:rsidRPr="006610ED">
        <w:rPr>
          <w:rFonts w:ascii="Times New Roman" w:hAnsi="Times New Roman" w:cs="Times New Roman"/>
        </w:rPr>
        <w:t>‘</w:t>
      </w:r>
      <w:r w:rsidRPr="006610ED">
        <w:rPr>
          <w:rFonts w:ascii="Times New Roman" w:hAnsi="Times New Roman" w:cs="Times New Roman"/>
        </w:rPr>
        <w:t>Inter-Institut</w:t>
      </w:r>
      <w:r w:rsidR="00133589">
        <w:rPr>
          <w:rFonts w:ascii="Times New Roman" w:hAnsi="Times New Roman" w:cs="Times New Roman"/>
        </w:rPr>
        <w:t>ionalising EU Impact Assessment</w:t>
      </w:r>
      <w:r w:rsidR="00F3480E" w:rsidRPr="006610ED">
        <w:rPr>
          <w:rFonts w:ascii="Times New Roman" w:hAnsi="Times New Roman" w:cs="Times New Roman"/>
        </w:rPr>
        <w:t>’</w:t>
      </w:r>
      <w:r w:rsidR="00133589">
        <w:rPr>
          <w:rFonts w:ascii="Times New Roman" w:hAnsi="Times New Roman" w:cs="Times New Roman"/>
        </w:rPr>
        <w:t>, i</w:t>
      </w:r>
      <w:r w:rsidRPr="006610ED">
        <w:rPr>
          <w:rFonts w:ascii="Times New Roman" w:hAnsi="Times New Roman" w:cs="Times New Roman"/>
        </w:rPr>
        <w:t xml:space="preserve">n </w:t>
      </w:r>
      <w:r w:rsidR="00133589" w:rsidRPr="006610ED">
        <w:rPr>
          <w:rFonts w:ascii="Times New Roman" w:hAnsi="Times New Roman" w:cs="Times New Roman"/>
        </w:rPr>
        <w:t>S</w:t>
      </w:r>
      <w:r w:rsidR="00133589">
        <w:rPr>
          <w:rFonts w:ascii="Times New Roman" w:hAnsi="Times New Roman" w:cs="Times New Roman"/>
        </w:rPr>
        <w:t xml:space="preserve">. </w:t>
      </w:r>
      <w:r w:rsidR="00133589" w:rsidRPr="006610ED">
        <w:rPr>
          <w:rFonts w:ascii="Times New Roman" w:hAnsi="Times New Roman" w:cs="Times New Roman"/>
        </w:rPr>
        <w:t>Wea</w:t>
      </w:r>
      <w:r w:rsidR="00133589">
        <w:rPr>
          <w:rFonts w:ascii="Times New Roman" w:hAnsi="Times New Roman" w:cs="Times New Roman"/>
        </w:rPr>
        <w:t>therill (ed.)</w:t>
      </w:r>
      <w:r w:rsidR="00133589" w:rsidRPr="006610ED">
        <w:rPr>
          <w:rFonts w:ascii="Times New Roman" w:hAnsi="Times New Roman" w:cs="Times New Roman"/>
        </w:rPr>
        <w:t xml:space="preserve"> </w:t>
      </w:r>
      <w:r w:rsidRPr="006610ED">
        <w:rPr>
          <w:rFonts w:ascii="Times New Roman" w:hAnsi="Times New Roman" w:cs="Times New Roman"/>
          <w:i/>
        </w:rPr>
        <w:t>Better Regulation</w:t>
      </w:r>
      <w:r w:rsidRPr="006610ED">
        <w:rPr>
          <w:rFonts w:ascii="Times New Roman" w:hAnsi="Times New Roman" w:cs="Times New Roman"/>
        </w:rPr>
        <w:t xml:space="preserve">, </w:t>
      </w:r>
      <w:r w:rsidR="008B166A" w:rsidRPr="006610ED">
        <w:rPr>
          <w:rFonts w:ascii="Times New Roman" w:hAnsi="Times New Roman" w:cs="Times New Roman"/>
        </w:rPr>
        <w:t xml:space="preserve">Oxford: </w:t>
      </w:r>
      <w:r w:rsidR="00F3480E" w:rsidRPr="006610ED">
        <w:rPr>
          <w:rFonts w:ascii="Times New Roman" w:hAnsi="Times New Roman" w:cs="Times New Roman"/>
        </w:rPr>
        <w:t>Hart Publishing</w:t>
      </w:r>
      <w:r w:rsidR="00133589">
        <w:rPr>
          <w:rFonts w:ascii="Times New Roman" w:hAnsi="Times New Roman" w:cs="Times New Roman"/>
        </w:rPr>
        <w:t>,</w:t>
      </w:r>
      <w:r w:rsidR="00F3480E" w:rsidRPr="006610ED">
        <w:rPr>
          <w:rFonts w:ascii="Times New Roman" w:hAnsi="Times New Roman" w:cs="Times New Roman"/>
        </w:rPr>
        <w:t xml:space="preserve"> pp. 27-</w:t>
      </w:r>
      <w:r w:rsidRPr="006610ED">
        <w:rPr>
          <w:rFonts w:ascii="Times New Roman" w:hAnsi="Times New Roman" w:cs="Times New Roman"/>
        </w:rPr>
        <w:t>47.</w:t>
      </w:r>
    </w:p>
    <w:p w14:paraId="3211214B" w14:textId="77777777" w:rsidR="00F3480E" w:rsidRPr="006610ED" w:rsidRDefault="00F3480E" w:rsidP="006610ED">
      <w:pPr>
        <w:widowControl w:val="0"/>
        <w:autoSpaceDE w:val="0"/>
        <w:autoSpaceDN w:val="0"/>
        <w:adjustRightInd w:val="0"/>
        <w:jc w:val="both"/>
        <w:rPr>
          <w:rFonts w:ascii="Times New Roman" w:hAnsi="Times New Roman" w:cs="Times New Roman"/>
        </w:rPr>
      </w:pPr>
    </w:p>
    <w:p w14:paraId="685467A6" w14:textId="33C856AE" w:rsidR="001432E6" w:rsidRPr="006610ED" w:rsidRDefault="00F3480E" w:rsidP="006610ED">
      <w:pPr>
        <w:widowControl w:val="0"/>
        <w:autoSpaceDE w:val="0"/>
        <w:autoSpaceDN w:val="0"/>
        <w:adjustRightInd w:val="0"/>
        <w:jc w:val="both"/>
        <w:rPr>
          <w:rFonts w:ascii="Times New Roman" w:hAnsi="Times New Roman" w:cs="Times New Roman"/>
          <w:i/>
        </w:rPr>
      </w:pPr>
      <w:r w:rsidRPr="006610ED">
        <w:rPr>
          <w:rFonts w:ascii="Times New Roman" w:hAnsi="Times New Roman" w:cs="Times New Roman"/>
        </w:rPr>
        <w:t>Peltzman, S. 1976. ‘</w:t>
      </w:r>
      <w:r w:rsidR="001432E6" w:rsidRPr="006610ED">
        <w:rPr>
          <w:rFonts w:ascii="Times New Roman" w:hAnsi="Times New Roman" w:cs="Times New Roman"/>
        </w:rPr>
        <w:t>Towards a More General Theory of Regulati</w:t>
      </w:r>
      <w:r w:rsidR="00133589">
        <w:rPr>
          <w:rFonts w:ascii="Times New Roman" w:hAnsi="Times New Roman" w:cs="Times New Roman"/>
        </w:rPr>
        <w:t>on</w:t>
      </w:r>
      <w:r w:rsidRPr="006610ED">
        <w:rPr>
          <w:rFonts w:ascii="Times New Roman" w:hAnsi="Times New Roman" w:cs="Times New Roman"/>
        </w:rPr>
        <w:t>’</w:t>
      </w:r>
      <w:r w:rsidR="00133589">
        <w:rPr>
          <w:rFonts w:ascii="Times New Roman" w:hAnsi="Times New Roman" w:cs="Times New Roman"/>
        </w:rPr>
        <w:t>,</w:t>
      </w:r>
      <w:r w:rsidR="001432E6" w:rsidRPr="006610ED">
        <w:rPr>
          <w:rFonts w:ascii="Times New Roman" w:hAnsi="Times New Roman" w:cs="Times New Roman"/>
        </w:rPr>
        <w:t xml:space="preserve"> </w:t>
      </w:r>
      <w:r w:rsidR="001432E6" w:rsidRPr="006610ED">
        <w:rPr>
          <w:rFonts w:ascii="Times New Roman" w:hAnsi="Times New Roman" w:cs="Times New Roman"/>
          <w:i/>
        </w:rPr>
        <w:t>Journal of Law and</w:t>
      </w:r>
      <w:r w:rsidR="006610ED">
        <w:rPr>
          <w:rFonts w:ascii="Times New Roman" w:hAnsi="Times New Roman" w:cs="Times New Roman"/>
          <w:i/>
        </w:rPr>
        <w:t xml:space="preserve"> </w:t>
      </w:r>
      <w:r w:rsidR="001432E6" w:rsidRPr="006610ED">
        <w:rPr>
          <w:rFonts w:ascii="Times New Roman" w:hAnsi="Times New Roman" w:cs="Times New Roman"/>
          <w:i/>
        </w:rPr>
        <w:t>Economics</w:t>
      </w:r>
      <w:r w:rsidR="00133589">
        <w:rPr>
          <w:rFonts w:ascii="Times New Roman" w:hAnsi="Times New Roman" w:cs="Times New Roman"/>
          <w:i/>
        </w:rPr>
        <w:t>,</w:t>
      </w:r>
      <w:r w:rsidR="00133589">
        <w:rPr>
          <w:rFonts w:ascii="Times New Roman" w:hAnsi="Times New Roman" w:cs="Times New Roman"/>
        </w:rPr>
        <w:t xml:space="preserve"> 19, 2,</w:t>
      </w:r>
      <w:r w:rsidRPr="006610ED">
        <w:rPr>
          <w:rFonts w:ascii="Times New Roman" w:hAnsi="Times New Roman" w:cs="Times New Roman"/>
        </w:rPr>
        <w:t xml:space="preserve"> 211-</w:t>
      </w:r>
      <w:r w:rsidR="001432E6" w:rsidRPr="006610ED">
        <w:rPr>
          <w:rFonts w:ascii="Times New Roman" w:hAnsi="Times New Roman" w:cs="Times New Roman"/>
        </w:rPr>
        <w:t>240.</w:t>
      </w:r>
    </w:p>
    <w:p w14:paraId="7C82EF62" w14:textId="77777777" w:rsidR="00F3480E" w:rsidRPr="006610ED" w:rsidRDefault="00F3480E" w:rsidP="006610ED">
      <w:pPr>
        <w:widowControl w:val="0"/>
        <w:autoSpaceDE w:val="0"/>
        <w:autoSpaceDN w:val="0"/>
        <w:adjustRightInd w:val="0"/>
        <w:jc w:val="both"/>
        <w:rPr>
          <w:rFonts w:ascii="Times New Roman" w:hAnsi="Times New Roman" w:cs="Times New Roman"/>
        </w:rPr>
      </w:pPr>
    </w:p>
    <w:p w14:paraId="2705D358" w14:textId="2A035F4C" w:rsidR="001432E6" w:rsidRPr="006610ED" w:rsidRDefault="00F3480E" w:rsidP="006610ED">
      <w:pPr>
        <w:widowControl w:val="0"/>
        <w:autoSpaceDE w:val="0"/>
        <w:autoSpaceDN w:val="0"/>
        <w:adjustRightInd w:val="0"/>
        <w:jc w:val="both"/>
        <w:rPr>
          <w:rFonts w:ascii="Times New Roman" w:hAnsi="Times New Roman" w:cs="Times New Roman"/>
        </w:rPr>
      </w:pPr>
      <w:r w:rsidRPr="006610ED">
        <w:rPr>
          <w:rFonts w:ascii="Times New Roman" w:hAnsi="Times New Roman" w:cs="Times New Roman"/>
        </w:rPr>
        <w:t>Radaelli, C. 2007. ‘</w:t>
      </w:r>
      <w:r w:rsidR="001432E6" w:rsidRPr="006610ED">
        <w:rPr>
          <w:rFonts w:ascii="Times New Roman" w:hAnsi="Times New Roman" w:cs="Times New Roman"/>
        </w:rPr>
        <w:t>Wither better regulation for the Lisb</w:t>
      </w:r>
      <w:r w:rsidRPr="006610ED">
        <w:rPr>
          <w:rFonts w:ascii="Times New Roman" w:hAnsi="Times New Roman" w:cs="Times New Roman"/>
        </w:rPr>
        <w:t xml:space="preserve">on agenda?’ </w:t>
      </w:r>
      <w:r w:rsidRPr="006610ED">
        <w:rPr>
          <w:rFonts w:ascii="Times New Roman" w:hAnsi="Times New Roman" w:cs="Times New Roman"/>
          <w:i/>
        </w:rPr>
        <w:t xml:space="preserve">Journal of European </w:t>
      </w:r>
      <w:r w:rsidR="001432E6" w:rsidRPr="006610ED">
        <w:rPr>
          <w:rFonts w:ascii="Times New Roman" w:hAnsi="Times New Roman" w:cs="Times New Roman"/>
          <w:i/>
        </w:rPr>
        <w:t>Public Policy</w:t>
      </w:r>
      <w:r w:rsidR="00133589">
        <w:rPr>
          <w:rFonts w:ascii="Times New Roman" w:hAnsi="Times New Roman" w:cs="Times New Roman"/>
        </w:rPr>
        <w:t xml:space="preserve"> 14, 2,</w:t>
      </w:r>
      <w:r w:rsidRPr="006610ED">
        <w:rPr>
          <w:rFonts w:ascii="Times New Roman" w:hAnsi="Times New Roman" w:cs="Times New Roman"/>
        </w:rPr>
        <w:t xml:space="preserve"> 190-</w:t>
      </w:r>
      <w:r w:rsidR="001432E6" w:rsidRPr="006610ED">
        <w:rPr>
          <w:rFonts w:ascii="Times New Roman" w:hAnsi="Times New Roman" w:cs="Times New Roman"/>
        </w:rPr>
        <w:t>207.</w:t>
      </w:r>
    </w:p>
    <w:p w14:paraId="21B4BC7A" w14:textId="77777777" w:rsidR="00F3480E" w:rsidRPr="006610ED" w:rsidRDefault="00F3480E" w:rsidP="00F3480E">
      <w:pPr>
        <w:widowControl w:val="0"/>
        <w:autoSpaceDE w:val="0"/>
        <w:autoSpaceDN w:val="0"/>
        <w:adjustRightInd w:val="0"/>
        <w:jc w:val="both"/>
        <w:rPr>
          <w:rFonts w:ascii="Times New Roman" w:hAnsi="Times New Roman" w:cs="Times New Roman"/>
        </w:rPr>
      </w:pPr>
    </w:p>
    <w:p w14:paraId="2CE3B74C" w14:textId="237F5BFF" w:rsidR="001432E6" w:rsidRPr="006610ED" w:rsidRDefault="001432E6" w:rsidP="00F3480E">
      <w:pPr>
        <w:widowControl w:val="0"/>
        <w:autoSpaceDE w:val="0"/>
        <w:autoSpaceDN w:val="0"/>
        <w:adjustRightInd w:val="0"/>
        <w:jc w:val="both"/>
        <w:rPr>
          <w:rFonts w:ascii="Times New Roman" w:hAnsi="Times New Roman" w:cs="Times New Roman"/>
        </w:rPr>
      </w:pPr>
      <w:r w:rsidRPr="006610ED">
        <w:rPr>
          <w:rFonts w:ascii="Times New Roman" w:hAnsi="Times New Roman" w:cs="Times New Roman"/>
        </w:rPr>
        <w:t>Radaelli, C</w:t>
      </w:r>
      <w:r w:rsidR="00133589">
        <w:rPr>
          <w:rFonts w:ascii="Times New Roman" w:hAnsi="Times New Roman" w:cs="Times New Roman"/>
        </w:rPr>
        <w:t>.</w:t>
      </w:r>
      <w:proofErr w:type="gramStart"/>
      <w:r w:rsidR="00D36978">
        <w:rPr>
          <w:rFonts w:ascii="Times New Roman" w:hAnsi="Times New Roman" w:cs="Times New Roman"/>
        </w:rPr>
        <w:t>,</w:t>
      </w:r>
      <w:r w:rsidR="00F3480E" w:rsidRPr="006610ED">
        <w:rPr>
          <w:rFonts w:ascii="Times New Roman" w:hAnsi="Times New Roman" w:cs="Times New Roman"/>
        </w:rPr>
        <w:t xml:space="preserve"> </w:t>
      </w:r>
      <w:r w:rsidR="00133589">
        <w:rPr>
          <w:rFonts w:ascii="Times New Roman" w:hAnsi="Times New Roman" w:cs="Times New Roman"/>
        </w:rPr>
        <w:t xml:space="preserve"> and</w:t>
      </w:r>
      <w:proofErr w:type="gramEnd"/>
      <w:r w:rsidR="00133589">
        <w:rPr>
          <w:rFonts w:ascii="Times New Roman" w:hAnsi="Times New Roman" w:cs="Times New Roman"/>
        </w:rPr>
        <w:t xml:space="preserve"> A.C.M </w:t>
      </w:r>
      <w:r w:rsidR="00F3480E" w:rsidRPr="006610ED">
        <w:rPr>
          <w:rFonts w:ascii="Times New Roman" w:hAnsi="Times New Roman" w:cs="Times New Roman"/>
        </w:rPr>
        <w:t>Meuwese</w:t>
      </w:r>
      <w:r w:rsidR="00133589">
        <w:rPr>
          <w:rFonts w:ascii="Times New Roman" w:hAnsi="Times New Roman" w:cs="Times New Roman"/>
        </w:rPr>
        <w:t>.</w:t>
      </w:r>
      <w:r w:rsidR="00F3480E" w:rsidRPr="006610ED">
        <w:rPr>
          <w:rFonts w:ascii="Times New Roman" w:hAnsi="Times New Roman" w:cs="Times New Roman"/>
        </w:rPr>
        <w:t xml:space="preserve"> 2010. ‘Hard Questions, Hard Solutions: </w:t>
      </w:r>
      <w:r w:rsidRPr="006610ED">
        <w:rPr>
          <w:rFonts w:ascii="Times New Roman" w:hAnsi="Times New Roman" w:cs="Times New Roman"/>
        </w:rPr>
        <w:t>Proceduralisation</w:t>
      </w:r>
      <w:r w:rsidR="00F3480E" w:rsidRPr="006610ED">
        <w:rPr>
          <w:rFonts w:ascii="Times New Roman" w:hAnsi="Times New Roman" w:cs="Times New Roman"/>
        </w:rPr>
        <w:t xml:space="preserve"> through Impact </w:t>
      </w:r>
      <w:r w:rsidR="00D36978" w:rsidRPr="006610ED">
        <w:rPr>
          <w:rFonts w:ascii="Times New Roman" w:hAnsi="Times New Roman" w:cs="Times New Roman"/>
        </w:rPr>
        <w:t>Assessment</w:t>
      </w:r>
      <w:r w:rsidR="00133589">
        <w:rPr>
          <w:rFonts w:ascii="Times New Roman" w:hAnsi="Times New Roman" w:cs="Times New Roman"/>
        </w:rPr>
        <w:t xml:space="preserve"> in the EU</w:t>
      </w:r>
      <w:r w:rsidR="00F3480E" w:rsidRPr="006610ED">
        <w:rPr>
          <w:rFonts w:ascii="Times New Roman" w:hAnsi="Times New Roman" w:cs="Times New Roman"/>
        </w:rPr>
        <w:t>’</w:t>
      </w:r>
      <w:r w:rsidR="00133589">
        <w:rPr>
          <w:rFonts w:ascii="Times New Roman" w:hAnsi="Times New Roman" w:cs="Times New Roman"/>
        </w:rPr>
        <w:t>,</w:t>
      </w:r>
      <w:r w:rsidRPr="006610ED">
        <w:rPr>
          <w:rFonts w:ascii="Times New Roman" w:hAnsi="Times New Roman" w:cs="Times New Roman"/>
        </w:rPr>
        <w:t xml:space="preserve"> </w:t>
      </w:r>
      <w:r w:rsidRPr="006610ED">
        <w:rPr>
          <w:rFonts w:ascii="Times New Roman" w:hAnsi="Times New Roman" w:cs="Times New Roman"/>
          <w:i/>
        </w:rPr>
        <w:t>W</w:t>
      </w:r>
      <w:r w:rsidR="00F3480E" w:rsidRPr="006610ED">
        <w:rPr>
          <w:rFonts w:ascii="Times New Roman" w:hAnsi="Times New Roman" w:cs="Times New Roman"/>
          <w:i/>
        </w:rPr>
        <w:t>est European Politics</w:t>
      </w:r>
      <w:r w:rsidR="00F3480E" w:rsidRPr="006610ED">
        <w:rPr>
          <w:rFonts w:ascii="Times New Roman" w:hAnsi="Times New Roman" w:cs="Times New Roman"/>
        </w:rPr>
        <w:t xml:space="preserve"> </w:t>
      </w:r>
      <w:r w:rsidR="00133589">
        <w:rPr>
          <w:rFonts w:ascii="Times New Roman" w:hAnsi="Times New Roman" w:cs="Times New Roman"/>
        </w:rPr>
        <w:t xml:space="preserve">33, 1, </w:t>
      </w:r>
      <w:r w:rsidR="00F3480E" w:rsidRPr="006610ED">
        <w:rPr>
          <w:rFonts w:ascii="Times New Roman" w:hAnsi="Times New Roman" w:cs="Times New Roman"/>
        </w:rPr>
        <w:t>136-</w:t>
      </w:r>
      <w:r w:rsidRPr="006610ED">
        <w:rPr>
          <w:rFonts w:ascii="Times New Roman" w:hAnsi="Times New Roman" w:cs="Times New Roman"/>
        </w:rPr>
        <w:t>153.</w:t>
      </w:r>
    </w:p>
    <w:p w14:paraId="5FA20548" w14:textId="77777777" w:rsidR="00F3480E" w:rsidRPr="006610ED" w:rsidRDefault="00F3480E" w:rsidP="00F3480E">
      <w:pPr>
        <w:widowControl w:val="0"/>
        <w:autoSpaceDE w:val="0"/>
        <w:autoSpaceDN w:val="0"/>
        <w:adjustRightInd w:val="0"/>
        <w:jc w:val="both"/>
        <w:rPr>
          <w:rFonts w:ascii="Times New Roman" w:hAnsi="Times New Roman" w:cs="Times New Roman"/>
        </w:rPr>
      </w:pPr>
    </w:p>
    <w:p w14:paraId="6FC09DE4" w14:textId="471AAF53" w:rsidR="001432E6" w:rsidRPr="006610ED" w:rsidRDefault="001432E6" w:rsidP="006610ED">
      <w:pPr>
        <w:widowControl w:val="0"/>
        <w:autoSpaceDE w:val="0"/>
        <w:autoSpaceDN w:val="0"/>
        <w:adjustRightInd w:val="0"/>
        <w:jc w:val="both"/>
        <w:rPr>
          <w:rFonts w:ascii="Times New Roman" w:hAnsi="Times New Roman" w:cs="Times New Roman"/>
        </w:rPr>
      </w:pPr>
      <w:r w:rsidRPr="006610ED">
        <w:rPr>
          <w:rFonts w:ascii="Times New Roman" w:hAnsi="Times New Roman" w:cs="Times New Roman"/>
        </w:rPr>
        <w:t>Radaelli, C</w:t>
      </w:r>
      <w:r w:rsidR="00083E4D">
        <w:rPr>
          <w:rFonts w:ascii="Times New Roman" w:hAnsi="Times New Roman" w:cs="Times New Roman"/>
        </w:rPr>
        <w:t>.,</w:t>
      </w:r>
      <w:r w:rsidR="00133589">
        <w:rPr>
          <w:rFonts w:ascii="Times New Roman" w:hAnsi="Times New Roman" w:cs="Times New Roman"/>
        </w:rPr>
        <w:t xml:space="preserve"> and F.</w:t>
      </w:r>
      <w:r w:rsidR="00083E4D">
        <w:rPr>
          <w:rFonts w:ascii="Times New Roman" w:hAnsi="Times New Roman" w:cs="Times New Roman"/>
        </w:rPr>
        <w:t xml:space="preserve"> De </w:t>
      </w:r>
      <w:r w:rsidRPr="006610ED">
        <w:rPr>
          <w:rFonts w:ascii="Times New Roman" w:hAnsi="Times New Roman" w:cs="Times New Roman"/>
        </w:rPr>
        <w:t>Francesco</w:t>
      </w:r>
      <w:r w:rsidR="00133589">
        <w:rPr>
          <w:rFonts w:ascii="Times New Roman" w:hAnsi="Times New Roman" w:cs="Times New Roman"/>
        </w:rPr>
        <w:t>.</w:t>
      </w:r>
      <w:r w:rsidRPr="006610ED">
        <w:rPr>
          <w:rFonts w:ascii="Times New Roman" w:hAnsi="Times New Roman" w:cs="Times New Roman"/>
        </w:rPr>
        <w:t xml:space="preserve"> 2007. </w:t>
      </w:r>
      <w:r w:rsidRPr="006610ED">
        <w:rPr>
          <w:rFonts w:ascii="Times New Roman" w:hAnsi="Times New Roman" w:cs="Times New Roman"/>
          <w:i/>
        </w:rPr>
        <w:t>Regulatory Qu</w:t>
      </w:r>
      <w:r w:rsidR="00F3480E" w:rsidRPr="006610ED">
        <w:rPr>
          <w:rFonts w:ascii="Times New Roman" w:hAnsi="Times New Roman" w:cs="Times New Roman"/>
          <w:i/>
        </w:rPr>
        <w:t>ality in Europe: Concepts, mea</w:t>
      </w:r>
      <w:r w:rsidRPr="006610ED">
        <w:rPr>
          <w:rFonts w:ascii="Times New Roman" w:hAnsi="Times New Roman" w:cs="Times New Roman"/>
          <w:i/>
        </w:rPr>
        <w:t>sures and policy processes.</w:t>
      </w:r>
      <w:r w:rsidRPr="006610ED">
        <w:rPr>
          <w:rFonts w:ascii="Times New Roman" w:hAnsi="Times New Roman" w:cs="Times New Roman"/>
        </w:rPr>
        <w:t xml:space="preserve"> Manchester: Manchester University Press.</w:t>
      </w:r>
    </w:p>
    <w:p w14:paraId="46EE787E" w14:textId="77777777" w:rsidR="00F3480E" w:rsidRPr="006610ED" w:rsidRDefault="00F3480E" w:rsidP="006610ED">
      <w:pPr>
        <w:widowControl w:val="0"/>
        <w:autoSpaceDE w:val="0"/>
        <w:autoSpaceDN w:val="0"/>
        <w:adjustRightInd w:val="0"/>
        <w:jc w:val="both"/>
        <w:rPr>
          <w:rFonts w:ascii="Times New Roman" w:hAnsi="Times New Roman" w:cs="Times New Roman"/>
        </w:rPr>
      </w:pPr>
    </w:p>
    <w:p w14:paraId="0CA37787" w14:textId="23630B53" w:rsidR="001432E6" w:rsidRPr="006610ED" w:rsidRDefault="00F3480E" w:rsidP="006610ED">
      <w:pPr>
        <w:widowControl w:val="0"/>
        <w:autoSpaceDE w:val="0"/>
        <w:autoSpaceDN w:val="0"/>
        <w:adjustRightInd w:val="0"/>
        <w:jc w:val="both"/>
        <w:rPr>
          <w:rFonts w:ascii="Times New Roman" w:hAnsi="Times New Roman" w:cs="Times New Roman"/>
        </w:rPr>
      </w:pPr>
      <w:r w:rsidRPr="006610ED">
        <w:rPr>
          <w:rFonts w:ascii="Times New Roman" w:hAnsi="Times New Roman" w:cs="Times New Roman"/>
        </w:rPr>
        <w:t>Radaelli, C</w:t>
      </w:r>
      <w:r w:rsidR="00083E4D">
        <w:rPr>
          <w:rFonts w:ascii="Times New Roman" w:hAnsi="Times New Roman" w:cs="Times New Roman"/>
        </w:rPr>
        <w:t>.</w:t>
      </w:r>
      <w:r w:rsidRPr="006610ED">
        <w:rPr>
          <w:rFonts w:ascii="Times New Roman" w:hAnsi="Times New Roman" w:cs="Times New Roman"/>
        </w:rPr>
        <w:t xml:space="preserve"> 2010. ‘</w:t>
      </w:r>
      <w:r w:rsidR="001432E6" w:rsidRPr="006610ED">
        <w:rPr>
          <w:rFonts w:ascii="Times New Roman" w:hAnsi="Times New Roman" w:cs="Times New Roman"/>
        </w:rPr>
        <w:t>Regulating Rul</w:t>
      </w:r>
      <w:r w:rsidR="00133589">
        <w:rPr>
          <w:rFonts w:ascii="Times New Roman" w:hAnsi="Times New Roman" w:cs="Times New Roman"/>
        </w:rPr>
        <w:t>e-Making via Impact Assessment</w:t>
      </w:r>
      <w:r w:rsidRPr="006610ED">
        <w:rPr>
          <w:rFonts w:ascii="Times New Roman" w:hAnsi="Times New Roman" w:cs="Times New Roman"/>
        </w:rPr>
        <w:t>’</w:t>
      </w:r>
      <w:r w:rsidR="00133589">
        <w:rPr>
          <w:rFonts w:ascii="Times New Roman" w:hAnsi="Times New Roman" w:cs="Times New Roman"/>
        </w:rPr>
        <w:t>,</w:t>
      </w:r>
      <w:r w:rsidR="001432E6" w:rsidRPr="006610ED">
        <w:rPr>
          <w:rFonts w:ascii="Times New Roman" w:hAnsi="Times New Roman" w:cs="Times New Roman"/>
        </w:rPr>
        <w:t xml:space="preserve"> </w:t>
      </w:r>
      <w:r w:rsidR="001432E6" w:rsidRPr="006610ED">
        <w:rPr>
          <w:rFonts w:ascii="Times New Roman" w:hAnsi="Times New Roman" w:cs="Times New Roman"/>
          <w:i/>
        </w:rPr>
        <w:t>Governance</w:t>
      </w:r>
      <w:r w:rsidR="00FF1B3D">
        <w:rPr>
          <w:rFonts w:ascii="Times New Roman" w:hAnsi="Times New Roman" w:cs="Times New Roman"/>
        </w:rPr>
        <w:t xml:space="preserve"> </w:t>
      </w:r>
      <w:r w:rsidR="00133589">
        <w:rPr>
          <w:rFonts w:ascii="Times New Roman" w:hAnsi="Times New Roman" w:cs="Times New Roman"/>
        </w:rPr>
        <w:t xml:space="preserve">23, 1, </w:t>
      </w:r>
      <w:r w:rsidRPr="006610ED">
        <w:rPr>
          <w:rFonts w:ascii="Times New Roman" w:hAnsi="Times New Roman" w:cs="Times New Roman"/>
        </w:rPr>
        <w:t>89-</w:t>
      </w:r>
      <w:r w:rsidR="001432E6" w:rsidRPr="006610ED">
        <w:rPr>
          <w:rFonts w:ascii="Times New Roman" w:hAnsi="Times New Roman" w:cs="Times New Roman"/>
        </w:rPr>
        <w:t>108.</w:t>
      </w:r>
    </w:p>
    <w:p w14:paraId="63C0BD4A" w14:textId="77777777" w:rsidR="00F3480E" w:rsidRPr="006610ED" w:rsidRDefault="00F3480E" w:rsidP="006610ED">
      <w:pPr>
        <w:widowControl w:val="0"/>
        <w:autoSpaceDE w:val="0"/>
        <w:autoSpaceDN w:val="0"/>
        <w:adjustRightInd w:val="0"/>
        <w:jc w:val="both"/>
        <w:rPr>
          <w:rFonts w:ascii="Times New Roman" w:hAnsi="Times New Roman" w:cs="Times New Roman"/>
        </w:rPr>
      </w:pPr>
    </w:p>
    <w:p w14:paraId="3D84C627" w14:textId="10F32F6D" w:rsidR="001432E6" w:rsidRPr="006610ED" w:rsidRDefault="001432E6" w:rsidP="006610ED">
      <w:pPr>
        <w:widowControl w:val="0"/>
        <w:autoSpaceDE w:val="0"/>
        <w:autoSpaceDN w:val="0"/>
        <w:adjustRightInd w:val="0"/>
        <w:jc w:val="both"/>
        <w:rPr>
          <w:rFonts w:ascii="Times New Roman" w:hAnsi="Times New Roman" w:cs="Times New Roman"/>
        </w:rPr>
      </w:pPr>
      <w:r w:rsidRPr="006610ED">
        <w:rPr>
          <w:rFonts w:ascii="Times New Roman" w:hAnsi="Times New Roman" w:cs="Times New Roman"/>
        </w:rPr>
        <w:t>Radaelli, C</w:t>
      </w:r>
      <w:r w:rsidR="00083E4D">
        <w:rPr>
          <w:rFonts w:ascii="Times New Roman" w:hAnsi="Times New Roman" w:cs="Times New Roman"/>
        </w:rPr>
        <w:t xml:space="preserve">., </w:t>
      </w:r>
      <w:r w:rsidR="00133589">
        <w:rPr>
          <w:rFonts w:ascii="Times New Roman" w:hAnsi="Times New Roman" w:cs="Times New Roman"/>
        </w:rPr>
        <w:t xml:space="preserve">and A.C.M </w:t>
      </w:r>
      <w:r w:rsidR="00F3480E" w:rsidRPr="006610ED">
        <w:rPr>
          <w:rFonts w:ascii="Times New Roman" w:hAnsi="Times New Roman" w:cs="Times New Roman"/>
        </w:rPr>
        <w:t>Meuwese</w:t>
      </w:r>
      <w:r w:rsidR="00133589">
        <w:rPr>
          <w:rFonts w:ascii="Times New Roman" w:hAnsi="Times New Roman" w:cs="Times New Roman"/>
        </w:rPr>
        <w:t>.</w:t>
      </w:r>
      <w:r w:rsidR="00F3480E" w:rsidRPr="006610ED">
        <w:rPr>
          <w:rFonts w:ascii="Times New Roman" w:hAnsi="Times New Roman" w:cs="Times New Roman"/>
        </w:rPr>
        <w:t xml:space="preserve"> 2009. ‘</w:t>
      </w:r>
      <w:r w:rsidRPr="006610ED">
        <w:rPr>
          <w:rFonts w:ascii="Times New Roman" w:hAnsi="Times New Roman" w:cs="Times New Roman"/>
        </w:rPr>
        <w:t xml:space="preserve">Better regulation in Europe: Between </w:t>
      </w:r>
      <w:r w:rsidRPr="006610ED">
        <w:rPr>
          <w:rFonts w:ascii="Times New Roman" w:hAnsi="Times New Roman" w:cs="Times New Roman"/>
        </w:rPr>
        <w:lastRenderedPageBreak/>
        <w:t>Public</w:t>
      </w:r>
      <w:r w:rsidR="00F3480E" w:rsidRPr="006610ED">
        <w:rPr>
          <w:rFonts w:ascii="Times New Roman" w:hAnsi="Times New Roman" w:cs="Times New Roman"/>
        </w:rPr>
        <w:t xml:space="preserve"> </w:t>
      </w:r>
      <w:r w:rsidRPr="006610ED">
        <w:rPr>
          <w:rFonts w:ascii="Times New Roman" w:hAnsi="Times New Roman" w:cs="Times New Roman"/>
        </w:rPr>
        <w:t>Ma</w:t>
      </w:r>
      <w:r w:rsidR="00133589">
        <w:rPr>
          <w:rFonts w:ascii="Times New Roman" w:hAnsi="Times New Roman" w:cs="Times New Roman"/>
        </w:rPr>
        <w:t>nagement and Regulatory Reform</w:t>
      </w:r>
      <w:r w:rsidR="00F3480E" w:rsidRPr="006610ED">
        <w:rPr>
          <w:rFonts w:ascii="Times New Roman" w:hAnsi="Times New Roman" w:cs="Times New Roman"/>
        </w:rPr>
        <w:t>’</w:t>
      </w:r>
      <w:r w:rsidR="00133589">
        <w:rPr>
          <w:rFonts w:ascii="Times New Roman" w:hAnsi="Times New Roman" w:cs="Times New Roman"/>
        </w:rPr>
        <w:t>,</w:t>
      </w:r>
      <w:r w:rsidRPr="006610ED">
        <w:rPr>
          <w:rFonts w:ascii="Times New Roman" w:hAnsi="Times New Roman" w:cs="Times New Roman"/>
        </w:rPr>
        <w:t xml:space="preserve"> </w:t>
      </w:r>
      <w:r w:rsidRPr="006610ED">
        <w:rPr>
          <w:rFonts w:ascii="Times New Roman" w:hAnsi="Times New Roman" w:cs="Times New Roman"/>
          <w:i/>
        </w:rPr>
        <w:t>Public Administration</w:t>
      </w:r>
      <w:r w:rsidR="00133589">
        <w:rPr>
          <w:rFonts w:ascii="Times New Roman" w:hAnsi="Times New Roman" w:cs="Times New Roman"/>
          <w:i/>
        </w:rPr>
        <w:t>,</w:t>
      </w:r>
      <w:r w:rsidR="00133589">
        <w:rPr>
          <w:rFonts w:ascii="Times New Roman" w:hAnsi="Times New Roman" w:cs="Times New Roman"/>
        </w:rPr>
        <w:t xml:space="preserve"> 87, 3, </w:t>
      </w:r>
      <w:r w:rsidR="00F3480E" w:rsidRPr="006610ED">
        <w:rPr>
          <w:rFonts w:ascii="Times New Roman" w:hAnsi="Times New Roman" w:cs="Times New Roman"/>
        </w:rPr>
        <w:t>639-</w:t>
      </w:r>
      <w:r w:rsidRPr="006610ED">
        <w:rPr>
          <w:rFonts w:ascii="Times New Roman" w:hAnsi="Times New Roman" w:cs="Times New Roman"/>
        </w:rPr>
        <w:t>654.</w:t>
      </w:r>
    </w:p>
    <w:p w14:paraId="3ADAB105" w14:textId="77777777" w:rsidR="00F3480E" w:rsidRPr="006610ED" w:rsidRDefault="00F3480E" w:rsidP="006610ED">
      <w:pPr>
        <w:widowControl w:val="0"/>
        <w:autoSpaceDE w:val="0"/>
        <w:autoSpaceDN w:val="0"/>
        <w:adjustRightInd w:val="0"/>
        <w:jc w:val="both"/>
        <w:rPr>
          <w:rFonts w:ascii="Times New Roman" w:hAnsi="Times New Roman" w:cs="Times New Roman"/>
        </w:rPr>
      </w:pPr>
    </w:p>
    <w:p w14:paraId="449F0F43" w14:textId="5C6F14A7" w:rsidR="001432E6" w:rsidRDefault="00F3480E" w:rsidP="006610ED">
      <w:pPr>
        <w:widowControl w:val="0"/>
        <w:autoSpaceDE w:val="0"/>
        <w:autoSpaceDN w:val="0"/>
        <w:adjustRightInd w:val="0"/>
        <w:jc w:val="both"/>
        <w:rPr>
          <w:rFonts w:ascii="Times New Roman" w:hAnsi="Times New Roman" w:cs="Times New Roman"/>
        </w:rPr>
      </w:pPr>
      <w:r w:rsidRPr="006610ED">
        <w:rPr>
          <w:rFonts w:ascii="Times New Roman" w:hAnsi="Times New Roman" w:cs="Times New Roman"/>
        </w:rPr>
        <w:t>Richardson, J.</w:t>
      </w:r>
      <w:r w:rsidR="001432E6" w:rsidRPr="006610ED">
        <w:rPr>
          <w:rFonts w:ascii="Times New Roman" w:hAnsi="Times New Roman" w:cs="Times New Roman"/>
        </w:rPr>
        <w:t xml:space="preserve"> </w:t>
      </w:r>
      <w:r w:rsidR="00133589">
        <w:rPr>
          <w:rFonts w:ascii="Times New Roman" w:hAnsi="Times New Roman" w:cs="Times New Roman"/>
        </w:rPr>
        <w:t xml:space="preserve">(ed.) </w:t>
      </w:r>
      <w:r w:rsidR="00AD5605">
        <w:rPr>
          <w:rFonts w:ascii="Times New Roman" w:hAnsi="Times New Roman" w:cs="Times New Roman"/>
        </w:rPr>
        <w:t>(</w:t>
      </w:r>
      <w:r w:rsidR="001432E6" w:rsidRPr="006610ED">
        <w:rPr>
          <w:rFonts w:ascii="Times New Roman" w:hAnsi="Times New Roman" w:cs="Times New Roman"/>
        </w:rPr>
        <w:t>2012</w:t>
      </w:r>
      <w:r w:rsidR="00AD5605">
        <w:rPr>
          <w:rFonts w:ascii="Times New Roman" w:hAnsi="Times New Roman" w:cs="Times New Roman"/>
        </w:rPr>
        <w:t>)</w:t>
      </w:r>
      <w:r w:rsidR="001432E6" w:rsidRPr="006610ED">
        <w:rPr>
          <w:rFonts w:ascii="Times New Roman" w:hAnsi="Times New Roman" w:cs="Times New Roman"/>
        </w:rPr>
        <w:t xml:space="preserve"> </w:t>
      </w:r>
      <w:r w:rsidR="001432E6" w:rsidRPr="006610ED">
        <w:rPr>
          <w:rFonts w:ascii="Times New Roman" w:hAnsi="Times New Roman" w:cs="Times New Roman"/>
          <w:i/>
        </w:rPr>
        <w:t xml:space="preserve">Constructing a Policy-Making </w:t>
      </w:r>
      <w:r w:rsidRPr="006610ED">
        <w:rPr>
          <w:rFonts w:ascii="Times New Roman" w:hAnsi="Times New Roman" w:cs="Times New Roman"/>
          <w:i/>
        </w:rPr>
        <w:t>state? Policy dynamics in the European Union</w:t>
      </w:r>
      <w:r w:rsidR="001432E6" w:rsidRPr="006610ED">
        <w:rPr>
          <w:rFonts w:ascii="Times New Roman" w:hAnsi="Times New Roman" w:cs="Times New Roman"/>
          <w:i/>
        </w:rPr>
        <w:t>.</w:t>
      </w:r>
      <w:r w:rsidRPr="006610ED">
        <w:rPr>
          <w:rFonts w:ascii="Times New Roman" w:hAnsi="Times New Roman" w:cs="Times New Roman"/>
        </w:rPr>
        <w:t xml:space="preserve"> </w:t>
      </w:r>
      <w:r w:rsidR="001432E6" w:rsidRPr="006610ED">
        <w:rPr>
          <w:rFonts w:ascii="Times New Roman" w:hAnsi="Times New Roman" w:cs="Times New Roman"/>
        </w:rPr>
        <w:t>Oxford: Oxford University Press.</w:t>
      </w:r>
    </w:p>
    <w:p w14:paraId="10D9E092" w14:textId="77777777" w:rsidR="00DD3861" w:rsidRDefault="00DD3861" w:rsidP="006610ED">
      <w:pPr>
        <w:widowControl w:val="0"/>
        <w:autoSpaceDE w:val="0"/>
        <w:autoSpaceDN w:val="0"/>
        <w:adjustRightInd w:val="0"/>
        <w:jc w:val="both"/>
        <w:rPr>
          <w:rFonts w:ascii="Times New Roman" w:hAnsi="Times New Roman" w:cs="Times New Roman"/>
        </w:rPr>
      </w:pPr>
    </w:p>
    <w:p w14:paraId="5CF045D7" w14:textId="5BE10C80" w:rsidR="00DD3861" w:rsidRDefault="00DD3861" w:rsidP="006610ED">
      <w:pPr>
        <w:widowControl w:val="0"/>
        <w:autoSpaceDE w:val="0"/>
        <w:autoSpaceDN w:val="0"/>
        <w:adjustRightInd w:val="0"/>
        <w:jc w:val="both"/>
        <w:rPr>
          <w:rFonts w:ascii="Times New Roman" w:hAnsi="Times New Roman" w:cs="Times New Roman"/>
        </w:rPr>
      </w:pPr>
      <w:r w:rsidRPr="002C1A92">
        <w:rPr>
          <w:rFonts w:ascii="Times New Roman" w:hAnsi="Times New Roman" w:cs="Times New Roman"/>
        </w:rPr>
        <w:t>Shapiro, S. 2011. ‘The evolution of cost-benefit analysis in US regulatory decisionmaking</w:t>
      </w:r>
      <w:r w:rsidR="002600C4" w:rsidRPr="002C1A92">
        <w:rPr>
          <w:rFonts w:ascii="Times New Roman" w:hAnsi="Times New Roman" w:cs="Times New Roman"/>
        </w:rPr>
        <w:t>’</w:t>
      </w:r>
      <w:r w:rsidR="00133589">
        <w:rPr>
          <w:rFonts w:ascii="Times New Roman" w:hAnsi="Times New Roman" w:cs="Times New Roman"/>
        </w:rPr>
        <w:t>, i</w:t>
      </w:r>
      <w:r w:rsidR="002600C4" w:rsidRPr="002C1A92">
        <w:rPr>
          <w:rFonts w:ascii="Times New Roman" w:hAnsi="Times New Roman" w:cs="Times New Roman"/>
        </w:rPr>
        <w:t xml:space="preserve">n </w:t>
      </w:r>
      <w:r w:rsidR="00133589">
        <w:rPr>
          <w:rFonts w:ascii="Times New Roman" w:hAnsi="Times New Roman" w:cs="Times New Roman"/>
        </w:rPr>
        <w:t xml:space="preserve">D. Levi-Faur (ed.) </w:t>
      </w:r>
      <w:r w:rsidR="002600C4" w:rsidRPr="002C1A92">
        <w:rPr>
          <w:rFonts w:ascii="Times New Roman" w:hAnsi="Times New Roman" w:cs="Times New Roman"/>
          <w:i/>
        </w:rPr>
        <w:t>Handbook of Regulatory Politics</w:t>
      </w:r>
      <w:r w:rsidR="00133589">
        <w:rPr>
          <w:rFonts w:ascii="Times New Roman" w:hAnsi="Times New Roman" w:cs="Times New Roman"/>
        </w:rPr>
        <w:t>, Cheltenham: Edward Elgar,</w:t>
      </w:r>
      <w:r w:rsidR="002600C4" w:rsidRPr="002C1A92">
        <w:rPr>
          <w:rFonts w:ascii="Times New Roman" w:hAnsi="Times New Roman" w:cs="Times New Roman"/>
        </w:rPr>
        <w:t xml:space="preserve"> pp. 385-396.</w:t>
      </w:r>
    </w:p>
    <w:p w14:paraId="7C65391F" w14:textId="77777777" w:rsidR="002B48ED" w:rsidRDefault="002B48ED" w:rsidP="006610ED">
      <w:pPr>
        <w:widowControl w:val="0"/>
        <w:autoSpaceDE w:val="0"/>
        <w:autoSpaceDN w:val="0"/>
        <w:adjustRightInd w:val="0"/>
        <w:jc w:val="both"/>
        <w:rPr>
          <w:rFonts w:ascii="Times New Roman" w:hAnsi="Times New Roman" w:cs="Times New Roman"/>
        </w:rPr>
      </w:pPr>
    </w:p>
    <w:p w14:paraId="524D4F86" w14:textId="4850E601" w:rsidR="002B48ED" w:rsidRPr="002C1A92" w:rsidRDefault="00133589" w:rsidP="006610ED">
      <w:pPr>
        <w:widowControl w:val="0"/>
        <w:autoSpaceDE w:val="0"/>
        <w:autoSpaceDN w:val="0"/>
        <w:adjustRightInd w:val="0"/>
        <w:jc w:val="both"/>
        <w:rPr>
          <w:rFonts w:ascii="Times New Roman" w:hAnsi="Times New Roman" w:cs="Times New Roman"/>
        </w:rPr>
      </w:pPr>
      <w:r>
        <w:rPr>
          <w:rFonts w:ascii="Times New Roman" w:hAnsi="Times New Roman" w:cs="Times New Roman"/>
        </w:rPr>
        <w:t>Smismans, S. (2014). ‘</w:t>
      </w:r>
      <w:r w:rsidR="002B48ED" w:rsidRPr="006E283F">
        <w:rPr>
          <w:rFonts w:ascii="Times New Roman" w:hAnsi="Times New Roman" w:cs="Times New Roman"/>
        </w:rPr>
        <w:t>Regulating interest groups participation in the EU: changing paradigms between t</w:t>
      </w:r>
      <w:r>
        <w:rPr>
          <w:rFonts w:ascii="Times New Roman" w:hAnsi="Times New Roman" w:cs="Times New Roman"/>
        </w:rPr>
        <w:t>ransparency and representation’</w:t>
      </w:r>
      <w:r w:rsidR="002B48ED" w:rsidRPr="006E283F">
        <w:rPr>
          <w:rFonts w:ascii="Times New Roman" w:hAnsi="Times New Roman" w:cs="Times New Roman"/>
        </w:rPr>
        <w:t xml:space="preserve"> </w:t>
      </w:r>
      <w:r w:rsidR="00281633" w:rsidRPr="006E283F">
        <w:rPr>
          <w:rFonts w:ascii="Times New Roman" w:hAnsi="Times New Roman" w:cs="Times New Roman"/>
          <w:i/>
        </w:rPr>
        <w:t>European Law R</w:t>
      </w:r>
      <w:r w:rsidR="002B48ED" w:rsidRPr="006E283F">
        <w:rPr>
          <w:rFonts w:ascii="Times New Roman" w:hAnsi="Times New Roman" w:cs="Times New Roman"/>
          <w:i/>
        </w:rPr>
        <w:t>eview</w:t>
      </w:r>
      <w:r>
        <w:rPr>
          <w:rFonts w:ascii="Times New Roman" w:hAnsi="Times New Roman" w:cs="Times New Roman"/>
        </w:rPr>
        <w:t xml:space="preserve"> 39, </w:t>
      </w:r>
      <w:proofErr w:type="gramStart"/>
      <w:r>
        <w:rPr>
          <w:rFonts w:ascii="Times New Roman" w:hAnsi="Times New Roman" w:cs="Times New Roman"/>
        </w:rPr>
        <w:t xml:space="preserve">4, </w:t>
      </w:r>
      <w:r w:rsidR="002B48ED" w:rsidRPr="006E283F">
        <w:rPr>
          <w:rFonts w:ascii="Times New Roman" w:hAnsi="Times New Roman" w:cs="Times New Roman"/>
        </w:rPr>
        <w:t xml:space="preserve"> 470</w:t>
      </w:r>
      <w:proofErr w:type="gramEnd"/>
      <w:r w:rsidR="002B48ED" w:rsidRPr="006E283F">
        <w:rPr>
          <w:rFonts w:ascii="Times New Roman" w:hAnsi="Times New Roman" w:cs="Times New Roman"/>
        </w:rPr>
        <w:t>-491.</w:t>
      </w:r>
    </w:p>
    <w:p w14:paraId="729AB6F0" w14:textId="77777777" w:rsidR="00F3480E" w:rsidRPr="002C1A92" w:rsidRDefault="00F3480E" w:rsidP="006610ED">
      <w:pPr>
        <w:widowControl w:val="0"/>
        <w:autoSpaceDE w:val="0"/>
        <w:autoSpaceDN w:val="0"/>
        <w:adjustRightInd w:val="0"/>
        <w:jc w:val="both"/>
        <w:rPr>
          <w:rFonts w:ascii="Times New Roman" w:hAnsi="Times New Roman" w:cs="Times New Roman"/>
        </w:rPr>
      </w:pPr>
    </w:p>
    <w:p w14:paraId="158F2B86" w14:textId="54668B11" w:rsidR="001432E6" w:rsidRPr="002C1A92" w:rsidRDefault="001432E6" w:rsidP="006610ED">
      <w:pPr>
        <w:widowControl w:val="0"/>
        <w:autoSpaceDE w:val="0"/>
        <w:autoSpaceDN w:val="0"/>
        <w:adjustRightInd w:val="0"/>
        <w:jc w:val="both"/>
        <w:rPr>
          <w:rFonts w:ascii="Times New Roman" w:hAnsi="Times New Roman" w:cs="Times New Roman"/>
        </w:rPr>
      </w:pPr>
      <w:r w:rsidRPr="002C1A92">
        <w:rPr>
          <w:rFonts w:ascii="Times New Roman" w:hAnsi="Times New Roman" w:cs="Times New Roman"/>
        </w:rPr>
        <w:t>Smith, K</w:t>
      </w:r>
      <w:r w:rsidR="00083E4D" w:rsidRPr="002C1A92">
        <w:rPr>
          <w:rFonts w:ascii="Times New Roman" w:hAnsi="Times New Roman" w:cs="Times New Roman"/>
        </w:rPr>
        <w:t>.</w:t>
      </w:r>
      <w:r w:rsidR="00F3480E" w:rsidRPr="002C1A92">
        <w:rPr>
          <w:rFonts w:ascii="Times New Roman" w:hAnsi="Times New Roman" w:cs="Times New Roman"/>
        </w:rPr>
        <w:t>E.,</w:t>
      </w:r>
      <w:r w:rsidR="00133589">
        <w:rPr>
          <w:rFonts w:ascii="Times New Roman" w:hAnsi="Times New Roman" w:cs="Times New Roman"/>
        </w:rPr>
        <w:t xml:space="preserve"> </w:t>
      </w:r>
      <w:r w:rsidR="00F3480E" w:rsidRPr="002C1A92">
        <w:rPr>
          <w:rFonts w:ascii="Times New Roman" w:hAnsi="Times New Roman" w:cs="Times New Roman"/>
        </w:rPr>
        <w:t>G</w:t>
      </w:r>
      <w:r w:rsidR="00083E4D" w:rsidRPr="002C1A92">
        <w:rPr>
          <w:rFonts w:ascii="Times New Roman" w:hAnsi="Times New Roman" w:cs="Times New Roman"/>
        </w:rPr>
        <w:t xml:space="preserve">. </w:t>
      </w:r>
      <w:r w:rsidR="00F3480E" w:rsidRPr="002C1A92">
        <w:rPr>
          <w:rFonts w:ascii="Times New Roman" w:hAnsi="Times New Roman" w:cs="Times New Roman"/>
        </w:rPr>
        <w:t>Fooks, C</w:t>
      </w:r>
      <w:r w:rsidR="00083E4D" w:rsidRPr="002C1A92">
        <w:rPr>
          <w:rFonts w:ascii="Times New Roman" w:hAnsi="Times New Roman" w:cs="Times New Roman"/>
        </w:rPr>
        <w:t>.</w:t>
      </w:r>
      <w:r w:rsidR="00F3480E" w:rsidRPr="002C1A92">
        <w:rPr>
          <w:rFonts w:ascii="Times New Roman" w:hAnsi="Times New Roman" w:cs="Times New Roman"/>
        </w:rPr>
        <w:t xml:space="preserve"> Jeff</w:t>
      </w:r>
      <w:r w:rsidR="00FF1B3D" w:rsidRPr="002C1A92">
        <w:rPr>
          <w:rFonts w:ascii="Times New Roman" w:hAnsi="Times New Roman" w:cs="Times New Roman"/>
        </w:rPr>
        <w:t xml:space="preserve">, </w:t>
      </w:r>
      <w:r w:rsidR="00083E4D" w:rsidRPr="002C1A92">
        <w:rPr>
          <w:rFonts w:ascii="Times New Roman" w:hAnsi="Times New Roman" w:cs="Times New Roman"/>
        </w:rPr>
        <w:t xml:space="preserve">and </w:t>
      </w:r>
      <w:r w:rsidR="00F3480E" w:rsidRPr="002C1A92">
        <w:rPr>
          <w:rFonts w:ascii="Times New Roman" w:hAnsi="Times New Roman" w:cs="Times New Roman"/>
        </w:rPr>
        <w:t>H</w:t>
      </w:r>
      <w:r w:rsidR="00083E4D" w:rsidRPr="002C1A92">
        <w:rPr>
          <w:rFonts w:ascii="Times New Roman" w:hAnsi="Times New Roman" w:cs="Times New Roman"/>
        </w:rPr>
        <w:t>.</w:t>
      </w:r>
      <w:r w:rsidR="00F3480E" w:rsidRPr="002C1A92">
        <w:rPr>
          <w:rFonts w:ascii="Times New Roman" w:hAnsi="Times New Roman" w:cs="Times New Roman"/>
        </w:rPr>
        <w:t xml:space="preserve"> Weishaar. 2015. ‘Corporate </w:t>
      </w:r>
      <w:r w:rsidRPr="002C1A92">
        <w:rPr>
          <w:rFonts w:ascii="Times New Roman" w:hAnsi="Times New Roman" w:cs="Times New Roman"/>
        </w:rPr>
        <w:t>Coalitions</w:t>
      </w:r>
      <w:r w:rsidR="00F3480E" w:rsidRPr="002C1A92">
        <w:rPr>
          <w:rFonts w:ascii="Times New Roman" w:hAnsi="Times New Roman" w:cs="Times New Roman"/>
        </w:rPr>
        <w:t xml:space="preserve"> </w:t>
      </w:r>
      <w:r w:rsidRPr="002C1A92">
        <w:rPr>
          <w:rFonts w:ascii="Times New Roman" w:hAnsi="Times New Roman" w:cs="Times New Roman"/>
        </w:rPr>
        <w:t>and Policy Making in the European Union: How and Why British American Tobacco Promoted</w:t>
      </w:r>
      <w:r w:rsidR="00F3480E" w:rsidRPr="002C1A92">
        <w:rPr>
          <w:rFonts w:ascii="Times New Roman" w:hAnsi="Times New Roman" w:cs="Times New Roman"/>
        </w:rPr>
        <w:t xml:space="preserve"> </w:t>
      </w:r>
      <w:r w:rsidRPr="002C1A92">
        <w:rPr>
          <w:rFonts w:ascii="Times New Roman" w:hAnsi="Times New Roman" w:cs="Times New Roman"/>
        </w:rPr>
        <w:t>Better Regulation</w:t>
      </w:r>
      <w:r w:rsidR="00F3480E" w:rsidRPr="002C1A92">
        <w:rPr>
          <w:rFonts w:ascii="Times New Roman" w:hAnsi="Times New Roman" w:cs="Times New Roman"/>
        </w:rPr>
        <w:t>’</w:t>
      </w:r>
      <w:r w:rsidR="00133589">
        <w:rPr>
          <w:rFonts w:ascii="Times New Roman" w:hAnsi="Times New Roman" w:cs="Times New Roman"/>
        </w:rPr>
        <w:t>,</w:t>
      </w:r>
      <w:r w:rsidRPr="002C1A92">
        <w:rPr>
          <w:rFonts w:ascii="Times New Roman" w:hAnsi="Times New Roman" w:cs="Times New Roman"/>
        </w:rPr>
        <w:t xml:space="preserve"> </w:t>
      </w:r>
      <w:r w:rsidRPr="002C1A92">
        <w:rPr>
          <w:rFonts w:ascii="Times New Roman" w:hAnsi="Times New Roman" w:cs="Times New Roman"/>
          <w:i/>
        </w:rPr>
        <w:t>Journal of Health Politics, Policy and Law</w:t>
      </w:r>
      <w:r w:rsidR="00133589">
        <w:rPr>
          <w:rFonts w:ascii="Times New Roman" w:hAnsi="Times New Roman" w:cs="Times New Roman"/>
        </w:rPr>
        <w:t xml:space="preserve"> 40, </w:t>
      </w:r>
      <w:proofErr w:type="gramStart"/>
      <w:r w:rsidR="00133589">
        <w:rPr>
          <w:rFonts w:ascii="Times New Roman" w:hAnsi="Times New Roman" w:cs="Times New Roman"/>
        </w:rPr>
        <w:t xml:space="preserve">2, </w:t>
      </w:r>
      <w:r w:rsidR="00F3480E" w:rsidRPr="002C1A92">
        <w:rPr>
          <w:rFonts w:ascii="Times New Roman" w:hAnsi="Times New Roman" w:cs="Times New Roman"/>
        </w:rPr>
        <w:t xml:space="preserve"> 325</w:t>
      </w:r>
      <w:proofErr w:type="gramEnd"/>
      <w:r w:rsidR="00F3480E" w:rsidRPr="002C1A92">
        <w:rPr>
          <w:rFonts w:ascii="Times New Roman" w:hAnsi="Times New Roman" w:cs="Times New Roman"/>
        </w:rPr>
        <w:t>-</w:t>
      </w:r>
      <w:r w:rsidRPr="002C1A92">
        <w:rPr>
          <w:rFonts w:ascii="Times New Roman" w:hAnsi="Times New Roman" w:cs="Times New Roman"/>
        </w:rPr>
        <w:t>372.</w:t>
      </w:r>
    </w:p>
    <w:p w14:paraId="3F9ACF4F" w14:textId="77777777" w:rsidR="00F3480E" w:rsidRPr="002C1A92" w:rsidRDefault="00F3480E" w:rsidP="006610ED">
      <w:pPr>
        <w:widowControl w:val="0"/>
        <w:autoSpaceDE w:val="0"/>
        <w:autoSpaceDN w:val="0"/>
        <w:adjustRightInd w:val="0"/>
        <w:jc w:val="both"/>
        <w:rPr>
          <w:rFonts w:ascii="Times New Roman" w:hAnsi="Times New Roman" w:cs="Times New Roman"/>
        </w:rPr>
      </w:pPr>
    </w:p>
    <w:p w14:paraId="7E7DBBB1" w14:textId="2096F9EC" w:rsidR="001432E6" w:rsidRPr="006610ED" w:rsidRDefault="00F3480E" w:rsidP="006610ED">
      <w:pPr>
        <w:widowControl w:val="0"/>
        <w:autoSpaceDE w:val="0"/>
        <w:autoSpaceDN w:val="0"/>
        <w:adjustRightInd w:val="0"/>
        <w:jc w:val="both"/>
        <w:rPr>
          <w:rFonts w:ascii="Times New Roman" w:hAnsi="Times New Roman" w:cs="Times New Roman"/>
        </w:rPr>
      </w:pPr>
      <w:r w:rsidRPr="002C1A92">
        <w:rPr>
          <w:rFonts w:ascii="Times New Roman" w:hAnsi="Times New Roman" w:cs="Times New Roman"/>
        </w:rPr>
        <w:t>Stigle</w:t>
      </w:r>
      <w:r w:rsidR="00CF3602" w:rsidRPr="002C1A92">
        <w:rPr>
          <w:rFonts w:ascii="Times New Roman" w:hAnsi="Times New Roman" w:cs="Times New Roman"/>
        </w:rPr>
        <w:t>r</w:t>
      </w:r>
      <w:r w:rsidRPr="002C1A92">
        <w:rPr>
          <w:rFonts w:ascii="Times New Roman" w:hAnsi="Times New Roman" w:cs="Times New Roman"/>
        </w:rPr>
        <w:t>, G</w:t>
      </w:r>
      <w:r w:rsidR="00083E4D" w:rsidRPr="002C1A92">
        <w:rPr>
          <w:rFonts w:ascii="Times New Roman" w:hAnsi="Times New Roman" w:cs="Times New Roman"/>
        </w:rPr>
        <w:t>.</w:t>
      </w:r>
      <w:r w:rsidRPr="002C1A92">
        <w:rPr>
          <w:rFonts w:ascii="Times New Roman" w:hAnsi="Times New Roman" w:cs="Times New Roman"/>
        </w:rPr>
        <w:t>J. 1971. ‘</w:t>
      </w:r>
      <w:r w:rsidR="001432E6" w:rsidRPr="002C1A92">
        <w:rPr>
          <w:rFonts w:ascii="Times New Roman" w:hAnsi="Times New Roman" w:cs="Times New Roman"/>
        </w:rPr>
        <w:t>The</w:t>
      </w:r>
      <w:r w:rsidR="00133589">
        <w:rPr>
          <w:rFonts w:ascii="Times New Roman" w:hAnsi="Times New Roman" w:cs="Times New Roman"/>
        </w:rPr>
        <w:t xml:space="preserve"> Theory of Economic Regulation</w:t>
      </w:r>
      <w:r w:rsidRPr="002C1A92">
        <w:rPr>
          <w:rFonts w:ascii="Times New Roman" w:hAnsi="Times New Roman" w:cs="Times New Roman"/>
        </w:rPr>
        <w:t>’</w:t>
      </w:r>
      <w:r w:rsidR="00133589">
        <w:rPr>
          <w:rFonts w:ascii="Times New Roman" w:hAnsi="Times New Roman" w:cs="Times New Roman"/>
        </w:rPr>
        <w:t>,</w:t>
      </w:r>
      <w:r w:rsidRPr="002C1A92">
        <w:rPr>
          <w:rFonts w:ascii="Times New Roman" w:hAnsi="Times New Roman" w:cs="Times New Roman"/>
        </w:rPr>
        <w:t xml:space="preserve"> The </w:t>
      </w:r>
      <w:r w:rsidRPr="002C1A92">
        <w:rPr>
          <w:rFonts w:ascii="Times New Roman" w:hAnsi="Times New Roman" w:cs="Times New Roman"/>
          <w:i/>
        </w:rPr>
        <w:t xml:space="preserve">Bell Journal of </w:t>
      </w:r>
      <w:r w:rsidR="001432E6" w:rsidRPr="002C1A92">
        <w:rPr>
          <w:rFonts w:ascii="Times New Roman" w:hAnsi="Times New Roman" w:cs="Times New Roman"/>
          <w:i/>
        </w:rPr>
        <w:t>Economics and</w:t>
      </w:r>
      <w:r w:rsidRPr="002C1A92">
        <w:rPr>
          <w:rFonts w:ascii="Times New Roman" w:hAnsi="Times New Roman" w:cs="Times New Roman"/>
          <w:i/>
        </w:rPr>
        <w:t xml:space="preserve"> Management Science</w:t>
      </w:r>
      <w:r w:rsidR="00133589">
        <w:rPr>
          <w:rFonts w:ascii="Times New Roman" w:hAnsi="Times New Roman" w:cs="Times New Roman"/>
          <w:i/>
        </w:rPr>
        <w:t>,</w:t>
      </w:r>
      <w:r w:rsidR="00133589">
        <w:rPr>
          <w:rFonts w:ascii="Times New Roman" w:hAnsi="Times New Roman" w:cs="Times New Roman"/>
        </w:rPr>
        <w:t xml:space="preserve"> 2, 1, </w:t>
      </w:r>
      <w:r w:rsidRPr="002C1A92">
        <w:rPr>
          <w:rFonts w:ascii="Times New Roman" w:hAnsi="Times New Roman" w:cs="Times New Roman"/>
        </w:rPr>
        <w:t>3-</w:t>
      </w:r>
      <w:r w:rsidR="001432E6" w:rsidRPr="002C1A92">
        <w:rPr>
          <w:rFonts w:ascii="Times New Roman" w:hAnsi="Times New Roman" w:cs="Times New Roman"/>
        </w:rPr>
        <w:t>21.</w:t>
      </w:r>
    </w:p>
    <w:p w14:paraId="6E153BF0" w14:textId="77777777" w:rsidR="00F3480E" w:rsidRPr="006610ED" w:rsidRDefault="00F3480E" w:rsidP="006610ED">
      <w:pPr>
        <w:widowControl w:val="0"/>
        <w:autoSpaceDE w:val="0"/>
        <w:autoSpaceDN w:val="0"/>
        <w:adjustRightInd w:val="0"/>
        <w:jc w:val="both"/>
        <w:rPr>
          <w:rFonts w:ascii="Times New Roman" w:hAnsi="Times New Roman" w:cs="Times New Roman"/>
        </w:rPr>
      </w:pPr>
    </w:p>
    <w:p w14:paraId="31FF7A37" w14:textId="5D51F10D" w:rsidR="00DF375D" w:rsidRPr="006610ED" w:rsidRDefault="001432E6" w:rsidP="006610ED">
      <w:pPr>
        <w:widowControl w:val="0"/>
        <w:autoSpaceDE w:val="0"/>
        <w:autoSpaceDN w:val="0"/>
        <w:adjustRightInd w:val="0"/>
        <w:jc w:val="both"/>
        <w:rPr>
          <w:rFonts w:ascii="Times New Roman" w:hAnsi="Times New Roman" w:cs="Times New Roman"/>
        </w:rPr>
      </w:pPr>
      <w:r w:rsidRPr="006610ED">
        <w:rPr>
          <w:rFonts w:ascii="Times New Roman" w:hAnsi="Times New Roman" w:cs="Times New Roman"/>
        </w:rPr>
        <w:t>Weatherill, S</w:t>
      </w:r>
      <w:r w:rsidR="00083E4D">
        <w:rPr>
          <w:rFonts w:ascii="Times New Roman" w:hAnsi="Times New Roman" w:cs="Times New Roman"/>
        </w:rPr>
        <w:t>.</w:t>
      </w:r>
      <w:r w:rsidRPr="006610ED">
        <w:rPr>
          <w:rFonts w:ascii="Times New Roman" w:hAnsi="Times New Roman" w:cs="Times New Roman"/>
        </w:rPr>
        <w:t xml:space="preserve"> 2007. </w:t>
      </w:r>
      <w:r w:rsidR="00F3480E" w:rsidRPr="006610ED">
        <w:rPr>
          <w:rFonts w:ascii="Times New Roman" w:hAnsi="Times New Roman" w:cs="Times New Roman"/>
        </w:rPr>
        <w:t>‘</w:t>
      </w:r>
      <w:r w:rsidRPr="006610ED">
        <w:rPr>
          <w:rFonts w:ascii="Times New Roman" w:hAnsi="Times New Roman" w:cs="Times New Roman"/>
        </w:rPr>
        <w:t>The</w:t>
      </w:r>
      <w:r w:rsidR="00133589">
        <w:rPr>
          <w:rFonts w:ascii="Times New Roman" w:hAnsi="Times New Roman" w:cs="Times New Roman"/>
        </w:rPr>
        <w:t xml:space="preserve"> Challenge of Better Regulation</w:t>
      </w:r>
      <w:r w:rsidR="00F3480E" w:rsidRPr="006610ED">
        <w:rPr>
          <w:rFonts w:ascii="Times New Roman" w:hAnsi="Times New Roman" w:cs="Times New Roman"/>
        </w:rPr>
        <w:t>’</w:t>
      </w:r>
      <w:r w:rsidR="00133589">
        <w:rPr>
          <w:rFonts w:ascii="Times New Roman" w:hAnsi="Times New Roman" w:cs="Times New Roman"/>
        </w:rPr>
        <w:t>, i</w:t>
      </w:r>
      <w:r w:rsidRPr="006610ED">
        <w:rPr>
          <w:rFonts w:ascii="Times New Roman" w:hAnsi="Times New Roman" w:cs="Times New Roman"/>
        </w:rPr>
        <w:t>n</w:t>
      </w:r>
      <w:r w:rsidR="00F3480E" w:rsidRPr="006610ED">
        <w:rPr>
          <w:rFonts w:ascii="Times New Roman" w:hAnsi="Times New Roman" w:cs="Times New Roman"/>
        </w:rPr>
        <w:t xml:space="preserve"> </w:t>
      </w:r>
      <w:r w:rsidR="00133589">
        <w:rPr>
          <w:rFonts w:ascii="Times New Roman" w:hAnsi="Times New Roman" w:cs="Times New Roman"/>
        </w:rPr>
        <w:t xml:space="preserve">S. Weatherhill (ed.) </w:t>
      </w:r>
      <w:r w:rsidR="00F3480E" w:rsidRPr="006610ED">
        <w:rPr>
          <w:rFonts w:ascii="Times New Roman" w:hAnsi="Times New Roman" w:cs="Times New Roman"/>
        </w:rPr>
        <w:t xml:space="preserve">Better Regulation, </w:t>
      </w:r>
      <w:r w:rsidRPr="006610ED">
        <w:rPr>
          <w:rFonts w:ascii="Times New Roman" w:hAnsi="Times New Roman" w:cs="Times New Roman"/>
        </w:rPr>
        <w:t>Oxford</w:t>
      </w:r>
      <w:r w:rsidR="00133589">
        <w:rPr>
          <w:rFonts w:ascii="Times New Roman" w:hAnsi="Times New Roman" w:cs="Times New Roman"/>
        </w:rPr>
        <w:t>: Hart Publishing,</w:t>
      </w:r>
      <w:r w:rsidR="00F3480E" w:rsidRPr="006610ED">
        <w:rPr>
          <w:rFonts w:ascii="Times New Roman" w:hAnsi="Times New Roman" w:cs="Times New Roman"/>
        </w:rPr>
        <w:t xml:space="preserve"> pp. 19-</w:t>
      </w:r>
      <w:r w:rsidRPr="006610ED">
        <w:rPr>
          <w:rFonts w:ascii="Times New Roman" w:hAnsi="Times New Roman" w:cs="Times New Roman"/>
        </w:rPr>
        <w:t>26.</w:t>
      </w:r>
    </w:p>
    <w:p w14:paraId="29A4D554" w14:textId="77777777" w:rsidR="00F3480E" w:rsidRPr="006610ED" w:rsidRDefault="00F3480E" w:rsidP="006610ED">
      <w:pPr>
        <w:widowControl w:val="0"/>
        <w:autoSpaceDE w:val="0"/>
        <w:autoSpaceDN w:val="0"/>
        <w:adjustRightInd w:val="0"/>
        <w:jc w:val="both"/>
        <w:rPr>
          <w:rFonts w:ascii="Times New Roman" w:hAnsi="Times New Roman" w:cs="Times New Roman"/>
        </w:rPr>
      </w:pPr>
    </w:p>
    <w:p w14:paraId="27DABF94" w14:textId="0D785E7F" w:rsidR="001432E6" w:rsidRPr="006610ED" w:rsidRDefault="00F3480E" w:rsidP="006610ED">
      <w:pPr>
        <w:widowControl w:val="0"/>
        <w:autoSpaceDE w:val="0"/>
        <w:autoSpaceDN w:val="0"/>
        <w:adjustRightInd w:val="0"/>
        <w:jc w:val="both"/>
        <w:rPr>
          <w:rFonts w:ascii="Times New Roman" w:hAnsi="Times New Roman" w:cs="Times New Roman"/>
        </w:rPr>
      </w:pPr>
      <w:r w:rsidRPr="006610ED">
        <w:rPr>
          <w:rFonts w:ascii="Times New Roman" w:hAnsi="Times New Roman" w:cs="Times New Roman"/>
        </w:rPr>
        <w:t>Wegrich, K</w:t>
      </w:r>
      <w:r w:rsidR="00083E4D">
        <w:rPr>
          <w:rFonts w:ascii="Times New Roman" w:hAnsi="Times New Roman" w:cs="Times New Roman"/>
        </w:rPr>
        <w:t>.</w:t>
      </w:r>
      <w:r w:rsidRPr="006610ED">
        <w:rPr>
          <w:rFonts w:ascii="Times New Roman" w:hAnsi="Times New Roman" w:cs="Times New Roman"/>
        </w:rPr>
        <w:t xml:space="preserve"> 2010. ‘Governing ‘Better regulation’</w:t>
      </w:r>
      <w:r w:rsidR="001432E6" w:rsidRPr="006610ED">
        <w:rPr>
          <w:rFonts w:ascii="Times New Roman" w:hAnsi="Times New Roman" w:cs="Times New Roman"/>
        </w:rPr>
        <w:t xml:space="preserve"> in Europe: The Logic, Limits of and Prospects</w:t>
      </w:r>
      <w:r w:rsidRPr="006610ED">
        <w:rPr>
          <w:rFonts w:ascii="Times New Roman" w:hAnsi="Times New Roman" w:cs="Times New Roman"/>
        </w:rPr>
        <w:t xml:space="preserve"> </w:t>
      </w:r>
      <w:r w:rsidR="001432E6" w:rsidRPr="006610ED">
        <w:rPr>
          <w:rFonts w:ascii="Times New Roman" w:hAnsi="Times New Roman" w:cs="Times New Roman"/>
        </w:rPr>
        <w:t>f</w:t>
      </w:r>
      <w:r w:rsidRPr="006610ED">
        <w:rPr>
          <w:rFonts w:ascii="Times New Roman" w:hAnsi="Times New Roman" w:cs="Times New Roman"/>
        </w:rPr>
        <w:t>or a Middle Aged Policy Reform.’ CESifo DICE Report</w:t>
      </w:r>
      <w:r w:rsidR="00133589">
        <w:rPr>
          <w:rFonts w:ascii="Times New Roman" w:hAnsi="Times New Roman" w:cs="Times New Roman"/>
        </w:rPr>
        <w:t xml:space="preserve">, 8, </w:t>
      </w:r>
      <w:r w:rsidRPr="006610ED">
        <w:rPr>
          <w:rFonts w:ascii="Times New Roman" w:hAnsi="Times New Roman" w:cs="Times New Roman"/>
        </w:rPr>
        <w:t>1)</w:t>
      </w:r>
      <w:r w:rsidR="00133589">
        <w:rPr>
          <w:rFonts w:ascii="Times New Roman" w:hAnsi="Times New Roman" w:cs="Times New Roman"/>
        </w:rPr>
        <w:t>,</w:t>
      </w:r>
      <w:r w:rsidRPr="006610ED">
        <w:rPr>
          <w:rFonts w:ascii="Times New Roman" w:hAnsi="Times New Roman" w:cs="Times New Roman"/>
        </w:rPr>
        <w:t xml:space="preserve"> 397-</w:t>
      </w:r>
      <w:r w:rsidR="001432E6" w:rsidRPr="006610ED">
        <w:rPr>
          <w:rFonts w:ascii="Times New Roman" w:hAnsi="Times New Roman" w:cs="Times New Roman"/>
        </w:rPr>
        <w:t>410.</w:t>
      </w:r>
    </w:p>
    <w:p w14:paraId="206171E0" w14:textId="77777777" w:rsidR="00F3480E" w:rsidRPr="006610ED" w:rsidRDefault="00F3480E" w:rsidP="006610ED">
      <w:pPr>
        <w:widowControl w:val="0"/>
        <w:autoSpaceDE w:val="0"/>
        <w:autoSpaceDN w:val="0"/>
        <w:adjustRightInd w:val="0"/>
        <w:jc w:val="both"/>
        <w:rPr>
          <w:rFonts w:ascii="Times New Roman" w:hAnsi="Times New Roman" w:cs="Times New Roman"/>
        </w:rPr>
      </w:pPr>
    </w:p>
    <w:p w14:paraId="6F5AEB26" w14:textId="0BA02B78" w:rsidR="001432E6" w:rsidRPr="006610ED" w:rsidRDefault="001432E6" w:rsidP="006610ED">
      <w:pPr>
        <w:widowControl w:val="0"/>
        <w:autoSpaceDE w:val="0"/>
        <w:autoSpaceDN w:val="0"/>
        <w:adjustRightInd w:val="0"/>
        <w:jc w:val="both"/>
        <w:rPr>
          <w:rFonts w:ascii="Times New Roman" w:hAnsi="Times New Roman" w:cs="Times New Roman"/>
        </w:rPr>
      </w:pPr>
      <w:r w:rsidRPr="006610ED">
        <w:rPr>
          <w:rFonts w:ascii="Times New Roman" w:hAnsi="Times New Roman" w:cs="Times New Roman"/>
        </w:rPr>
        <w:t>Wegrich, K</w:t>
      </w:r>
      <w:r w:rsidR="00083E4D">
        <w:rPr>
          <w:rFonts w:ascii="Times New Roman" w:hAnsi="Times New Roman" w:cs="Times New Roman"/>
        </w:rPr>
        <w:t>.</w:t>
      </w:r>
      <w:r w:rsidRPr="006610ED">
        <w:rPr>
          <w:rFonts w:ascii="Times New Roman" w:hAnsi="Times New Roman" w:cs="Times New Roman"/>
        </w:rPr>
        <w:t xml:space="preserve"> 2011. </w:t>
      </w:r>
      <w:r w:rsidR="00F3480E" w:rsidRPr="006610ED">
        <w:rPr>
          <w:rFonts w:ascii="Times New Roman" w:hAnsi="Times New Roman" w:cs="Times New Roman"/>
        </w:rPr>
        <w:t>‘</w:t>
      </w:r>
      <w:r w:rsidRPr="006610ED">
        <w:rPr>
          <w:rFonts w:ascii="Times New Roman" w:hAnsi="Times New Roman" w:cs="Times New Roman"/>
        </w:rPr>
        <w:t>Regulatory impact assessment: ambition, desi</w:t>
      </w:r>
      <w:r w:rsidR="00133589">
        <w:rPr>
          <w:rFonts w:ascii="Times New Roman" w:hAnsi="Times New Roman" w:cs="Times New Roman"/>
        </w:rPr>
        <w:t>gn and politics</w:t>
      </w:r>
      <w:r w:rsidR="00F3480E" w:rsidRPr="006610ED">
        <w:rPr>
          <w:rFonts w:ascii="Times New Roman" w:hAnsi="Times New Roman" w:cs="Times New Roman"/>
        </w:rPr>
        <w:t>’</w:t>
      </w:r>
      <w:r w:rsidR="00133589">
        <w:rPr>
          <w:rFonts w:ascii="Times New Roman" w:hAnsi="Times New Roman" w:cs="Times New Roman"/>
        </w:rPr>
        <w:t>, i</w:t>
      </w:r>
      <w:r w:rsidR="00F3480E" w:rsidRPr="006610ED">
        <w:rPr>
          <w:rFonts w:ascii="Times New Roman" w:hAnsi="Times New Roman" w:cs="Times New Roman"/>
        </w:rPr>
        <w:t xml:space="preserve">n </w:t>
      </w:r>
      <w:r w:rsidR="00133589">
        <w:rPr>
          <w:rFonts w:ascii="Times New Roman" w:hAnsi="Times New Roman" w:cs="Times New Roman"/>
        </w:rPr>
        <w:t>D. Levi-</w:t>
      </w:r>
      <w:r w:rsidR="00133589" w:rsidRPr="006610ED">
        <w:rPr>
          <w:rFonts w:ascii="Times New Roman" w:hAnsi="Times New Roman" w:cs="Times New Roman"/>
        </w:rPr>
        <w:t>Faur</w:t>
      </w:r>
      <w:r w:rsidR="00133589">
        <w:rPr>
          <w:rFonts w:ascii="Times New Roman" w:hAnsi="Times New Roman" w:cs="Times New Roman"/>
        </w:rPr>
        <w:t xml:space="preserve"> (ed.)</w:t>
      </w:r>
      <w:r w:rsidR="00133589" w:rsidRPr="006610ED">
        <w:rPr>
          <w:rFonts w:ascii="Times New Roman" w:hAnsi="Times New Roman" w:cs="Times New Roman"/>
        </w:rPr>
        <w:t xml:space="preserve"> </w:t>
      </w:r>
      <w:r w:rsidR="00F3480E" w:rsidRPr="006610ED">
        <w:rPr>
          <w:rFonts w:ascii="Times New Roman" w:hAnsi="Times New Roman" w:cs="Times New Roman"/>
          <w:i/>
        </w:rPr>
        <w:t>Handbook of Regulatory Politics</w:t>
      </w:r>
      <w:r w:rsidR="00133589">
        <w:rPr>
          <w:rFonts w:ascii="Times New Roman" w:hAnsi="Times New Roman" w:cs="Times New Roman"/>
          <w:i/>
        </w:rPr>
        <w:t>,</w:t>
      </w:r>
      <w:r w:rsidRPr="006610ED">
        <w:rPr>
          <w:rFonts w:ascii="Times New Roman" w:hAnsi="Times New Roman" w:cs="Times New Roman"/>
        </w:rPr>
        <w:t xml:space="preserve"> C</w:t>
      </w:r>
      <w:r w:rsidR="00F3480E" w:rsidRPr="006610ED">
        <w:rPr>
          <w:rFonts w:ascii="Times New Roman" w:hAnsi="Times New Roman" w:cs="Times New Roman"/>
        </w:rPr>
        <w:t>heltenham: Edward Elgar. pp. 397-</w:t>
      </w:r>
      <w:r w:rsidRPr="006610ED">
        <w:rPr>
          <w:rFonts w:ascii="Times New Roman" w:hAnsi="Times New Roman" w:cs="Times New Roman"/>
        </w:rPr>
        <w:t>410.</w:t>
      </w:r>
    </w:p>
    <w:p w14:paraId="7EDB509D" w14:textId="77777777" w:rsidR="00F3480E" w:rsidRDefault="00F3480E" w:rsidP="006610ED">
      <w:pPr>
        <w:widowControl w:val="0"/>
        <w:autoSpaceDE w:val="0"/>
        <w:autoSpaceDN w:val="0"/>
        <w:adjustRightInd w:val="0"/>
        <w:jc w:val="both"/>
        <w:rPr>
          <w:rFonts w:ascii="Times New Roman" w:hAnsi="Times New Roman" w:cs="Times New Roman"/>
        </w:rPr>
      </w:pPr>
    </w:p>
    <w:p w14:paraId="74A114B9" w14:textId="40EC552F" w:rsidR="00DF375D" w:rsidRDefault="00DF375D" w:rsidP="006610ED">
      <w:pPr>
        <w:widowControl w:val="0"/>
        <w:autoSpaceDE w:val="0"/>
        <w:autoSpaceDN w:val="0"/>
        <w:adjustRightInd w:val="0"/>
        <w:jc w:val="both"/>
        <w:rPr>
          <w:rFonts w:ascii="Times New Roman" w:hAnsi="Times New Roman" w:cs="Times New Roman"/>
        </w:rPr>
      </w:pPr>
      <w:r>
        <w:rPr>
          <w:rFonts w:ascii="Times New Roman" w:hAnsi="Times New Roman" w:cs="Times New Roman"/>
        </w:rPr>
        <w:t>Wegrich, K. 2015. ‘Which results? Better Regulation and Institutional Politics</w:t>
      </w:r>
      <w:r w:rsidR="00610E50">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 xml:space="preserve">European Journal of Risk Regulation </w:t>
      </w:r>
      <w:r w:rsidR="00133589">
        <w:rPr>
          <w:rFonts w:ascii="Times New Roman" w:hAnsi="Times New Roman" w:cs="Times New Roman"/>
        </w:rPr>
        <w:t>6, 3,</w:t>
      </w:r>
      <w:r>
        <w:rPr>
          <w:rFonts w:ascii="Times New Roman" w:hAnsi="Times New Roman" w:cs="Times New Roman"/>
        </w:rPr>
        <w:t xml:space="preserve"> 369-371.</w:t>
      </w:r>
    </w:p>
    <w:p w14:paraId="04032318" w14:textId="77777777" w:rsidR="00431E19" w:rsidRPr="00DF375D" w:rsidRDefault="00431E19" w:rsidP="006610ED">
      <w:pPr>
        <w:widowControl w:val="0"/>
        <w:autoSpaceDE w:val="0"/>
        <w:autoSpaceDN w:val="0"/>
        <w:adjustRightInd w:val="0"/>
        <w:jc w:val="both"/>
        <w:rPr>
          <w:rFonts w:ascii="Times New Roman" w:hAnsi="Times New Roman" w:cs="Times New Roman"/>
        </w:rPr>
      </w:pPr>
    </w:p>
    <w:p w14:paraId="16CF5B9E" w14:textId="1C3C8402" w:rsidR="001432E6" w:rsidRPr="006610ED" w:rsidRDefault="001432E6" w:rsidP="006610ED">
      <w:pPr>
        <w:widowControl w:val="0"/>
        <w:autoSpaceDE w:val="0"/>
        <w:autoSpaceDN w:val="0"/>
        <w:adjustRightInd w:val="0"/>
        <w:jc w:val="both"/>
        <w:rPr>
          <w:rFonts w:ascii="Times New Roman" w:hAnsi="Times New Roman" w:cs="Times New Roman"/>
        </w:rPr>
      </w:pPr>
      <w:r w:rsidRPr="006610ED">
        <w:rPr>
          <w:rFonts w:ascii="Times New Roman" w:hAnsi="Times New Roman" w:cs="Times New Roman"/>
        </w:rPr>
        <w:t>Wilson, J</w:t>
      </w:r>
      <w:r w:rsidR="00083E4D">
        <w:rPr>
          <w:rFonts w:ascii="Times New Roman" w:hAnsi="Times New Roman" w:cs="Times New Roman"/>
        </w:rPr>
        <w:t>.</w:t>
      </w:r>
      <w:r w:rsidRPr="006610ED">
        <w:rPr>
          <w:rFonts w:ascii="Times New Roman" w:hAnsi="Times New Roman" w:cs="Times New Roman"/>
        </w:rPr>
        <w:t xml:space="preserve">Q. 1980. </w:t>
      </w:r>
      <w:r w:rsidR="00F3480E" w:rsidRPr="006610ED">
        <w:rPr>
          <w:rFonts w:ascii="Times New Roman" w:hAnsi="Times New Roman" w:cs="Times New Roman"/>
        </w:rPr>
        <w:t>‘</w:t>
      </w:r>
      <w:r w:rsidRPr="006610ED">
        <w:rPr>
          <w:rFonts w:ascii="Times New Roman" w:hAnsi="Times New Roman" w:cs="Times New Roman"/>
        </w:rPr>
        <w:t>The politics of better regulation</w:t>
      </w:r>
      <w:r w:rsidR="00F3480E" w:rsidRPr="006610ED">
        <w:rPr>
          <w:rFonts w:ascii="Times New Roman" w:hAnsi="Times New Roman" w:cs="Times New Roman"/>
        </w:rPr>
        <w:t>’</w:t>
      </w:r>
      <w:r w:rsidR="00133589">
        <w:rPr>
          <w:rFonts w:ascii="Times New Roman" w:hAnsi="Times New Roman" w:cs="Times New Roman"/>
        </w:rPr>
        <w:t>, in</w:t>
      </w:r>
      <w:r w:rsidR="00133589" w:rsidRPr="006610ED">
        <w:rPr>
          <w:rFonts w:ascii="Times New Roman" w:hAnsi="Times New Roman" w:cs="Times New Roman"/>
        </w:rPr>
        <w:t xml:space="preserve"> </w:t>
      </w:r>
      <w:r w:rsidR="00133589">
        <w:rPr>
          <w:rFonts w:ascii="Times New Roman" w:hAnsi="Times New Roman" w:cs="Times New Roman"/>
        </w:rPr>
        <w:t>J.Q. Wilson</w:t>
      </w:r>
      <w:r w:rsidR="00133589" w:rsidRPr="006610ED">
        <w:rPr>
          <w:rFonts w:ascii="Times New Roman" w:hAnsi="Times New Roman" w:cs="Times New Roman"/>
        </w:rPr>
        <w:t xml:space="preserve"> </w:t>
      </w:r>
      <w:r w:rsidR="00133589">
        <w:rPr>
          <w:rFonts w:ascii="Times New Roman" w:hAnsi="Times New Roman" w:cs="Times New Roman"/>
        </w:rPr>
        <w:t xml:space="preserve">(ed.), </w:t>
      </w:r>
      <w:r w:rsidR="00F3480E" w:rsidRPr="006610ED">
        <w:rPr>
          <w:rFonts w:ascii="Times New Roman" w:hAnsi="Times New Roman" w:cs="Times New Roman"/>
          <w:i/>
        </w:rPr>
        <w:t>The Politics of Regulation.</w:t>
      </w:r>
      <w:r w:rsidRPr="006610ED">
        <w:rPr>
          <w:rFonts w:ascii="Times New Roman" w:hAnsi="Times New Roman" w:cs="Times New Roman"/>
        </w:rPr>
        <w:t xml:space="preserve"> New York: Basic Boo</w:t>
      </w:r>
      <w:r w:rsidR="00F3480E" w:rsidRPr="006610ED">
        <w:rPr>
          <w:rFonts w:ascii="Times New Roman" w:hAnsi="Times New Roman" w:cs="Times New Roman"/>
        </w:rPr>
        <w:t>ks</w:t>
      </w:r>
      <w:r w:rsidR="00FF1B3D">
        <w:rPr>
          <w:rFonts w:ascii="Times New Roman" w:hAnsi="Times New Roman" w:cs="Times New Roman"/>
        </w:rPr>
        <w:t>.</w:t>
      </w:r>
      <w:r w:rsidR="00F3480E" w:rsidRPr="006610ED">
        <w:rPr>
          <w:rFonts w:ascii="Times New Roman" w:hAnsi="Times New Roman" w:cs="Times New Roman"/>
        </w:rPr>
        <w:t xml:space="preserve"> pp. 357-</w:t>
      </w:r>
      <w:r w:rsidRPr="006610ED">
        <w:rPr>
          <w:rFonts w:ascii="Times New Roman" w:hAnsi="Times New Roman" w:cs="Times New Roman"/>
        </w:rPr>
        <w:t>394.</w:t>
      </w:r>
    </w:p>
    <w:p w14:paraId="12C0A4B1" w14:textId="77777777" w:rsidR="006610ED" w:rsidRDefault="006610ED" w:rsidP="00F3480E">
      <w:pPr>
        <w:widowControl w:val="0"/>
        <w:autoSpaceDE w:val="0"/>
        <w:autoSpaceDN w:val="0"/>
        <w:adjustRightInd w:val="0"/>
        <w:rPr>
          <w:rFonts w:ascii="Times New Roman" w:hAnsi="Times New Roman" w:cs="Times New Roman"/>
        </w:rPr>
      </w:pPr>
    </w:p>
    <w:p w14:paraId="33527127" w14:textId="77777777" w:rsidR="00CD6BC5" w:rsidRDefault="00CD6BC5" w:rsidP="00F3480E">
      <w:pPr>
        <w:widowControl w:val="0"/>
        <w:autoSpaceDE w:val="0"/>
        <w:autoSpaceDN w:val="0"/>
        <w:adjustRightInd w:val="0"/>
        <w:rPr>
          <w:rFonts w:ascii="Times New Roman" w:hAnsi="Times New Roman" w:cs="Times New Roman"/>
          <w:sz w:val="22"/>
          <w:szCs w:val="22"/>
        </w:rPr>
      </w:pPr>
    </w:p>
    <w:p w14:paraId="1F346BA9" w14:textId="77777777" w:rsidR="00B10788" w:rsidRDefault="00B10788" w:rsidP="00F3480E">
      <w:pPr>
        <w:widowControl w:val="0"/>
        <w:autoSpaceDE w:val="0"/>
        <w:autoSpaceDN w:val="0"/>
        <w:adjustRightInd w:val="0"/>
        <w:rPr>
          <w:rFonts w:ascii="Times New Roman" w:hAnsi="Times New Roman" w:cs="Times New Roman"/>
          <w:sz w:val="22"/>
          <w:szCs w:val="22"/>
        </w:rPr>
      </w:pPr>
    </w:p>
    <w:p w14:paraId="17EE2096" w14:textId="77777777" w:rsidR="00710F95" w:rsidRDefault="00710F95" w:rsidP="00F3480E">
      <w:pPr>
        <w:widowControl w:val="0"/>
        <w:autoSpaceDE w:val="0"/>
        <w:autoSpaceDN w:val="0"/>
        <w:adjustRightInd w:val="0"/>
        <w:rPr>
          <w:rFonts w:ascii="Times New Roman" w:hAnsi="Times New Roman" w:cs="Times New Roman"/>
          <w:sz w:val="22"/>
          <w:szCs w:val="22"/>
        </w:rPr>
      </w:pPr>
    </w:p>
    <w:p w14:paraId="72D461A6" w14:textId="77777777" w:rsidR="00F50D90" w:rsidRDefault="00F50D90" w:rsidP="00F3480E">
      <w:pPr>
        <w:widowControl w:val="0"/>
        <w:autoSpaceDE w:val="0"/>
        <w:autoSpaceDN w:val="0"/>
        <w:adjustRightInd w:val="0"/>
        <w:rPr>
          <w:rFonts w:ascii="Times New Roman" w:hAnsi="Times New Roman" w:cs="Times New Roman"/>
          <w:sz w:val="22"/>
          <w:szCs w:val="22"/>
        </w:rPr>
      </w:pPr>
    </w:p>
    <w:p w14:paraId="58B302D5" w14:textId="77777777" w:rsidR="00F50D90" w:rsidRDefault="00F50D90" w:rsidP="00F3480E">
      <w:pPr>
        <w:widowControl w:val="0"/>
        <w:autoSpaceDE w:val="0"/>
        <w:autoSpaceDN w:val="0"/>
        <w:adjustRightInd w:val="0"/>
        <w:rPr>
          <w:rFonts w:ascii="Times New Roman" w:hAnsi="Times New Roman" w:cs="Times New Roman"/>
          <w:sz w:val="22"/>
          <w:szCs w:val="22"/>
        </w:rPr>
      </w:pPr>
    </w:p>
    <w:p w14:paraId="2564CE92" w14:textId="77777777" w:rsidR="00710F95" w:rsidRDefault="00710F95" w:rsidP="00F3480E">
      <w:pPr>
        <w:widowControl w:val="0"/>
        <w:autoSpaceDE w:val="0"/>
        <w:autoSpaceDN w:val="0"/>
        <w:adjustRightInd w:val="0"/>
        <w:rPr>
          <w:rFonts w:ascii="Times New Roman" w:hAnsi="Times New Roman" w:cs="Times New Roman"/>
          <w:sz w:val="22"/>
          <w:szCs w:val="22"/>
        </w:rPr>
      </w:pPr>
    </w:p>
    <w:p w14:paraId="773E0954" w14:textId="77777777" w:rsidR="00B10788" w:rsidRDefault="00B10788" w:rsidP="00F3480E">
      <w:pPr>
        <w:widowControl w:val="0"/>
        <w:autoSpaceDE w:val="0"/>
        <w:autoSpaceDN w:val="0"/>
        <w:adjustRightInd w:val="0"/>
        <w:rPr>
          <w:rFonts w:ascii="Times New Roman" w:hAnsi="Times New Roman" w:cs="Times New Roman"/>
          <w:sz w:val="22"/>
          <w:szCs w:val="22"/>
        </w:rPr>
      </w:pPr>
    </w:p>
    <w:p w14:paraId="58A0FCBE" w14:textId="77777777" w:rsidR="00133589" w:rsidRDefault="00133589" w:rsidP="00F3480E">
      <w:pPr>
        <w:widowControl w:val="0"/>
        <w:autoSpaceDE w:val="0"/>
        <w:autoSpaceDN w:val="0"/>
        <w:adjustRightInd w:val="0"/>
        <w:rPr>
          <w:rFonts w:ascii="Times New Roman" w:hAnsi="Times New Roman" w:cs="Times New Roman"/>
          <w:sz w:val="22"/>
          <w:szCs w:val="22"/>
        </w:rPr>
      </w:pPr>
    </w:p>
    <w:p w14:paraId="330CF1D2" w14:textId="77777777" w:rsidR="00133589" w:rsidRDefault="00133589" w:rsidP="00F3480E">
      <w:pPr>
        <w:widowControl w:val="0"/>
        <w:autoSpaceDE w:val="0"/>
        <w:autoSpaceDN w:val="0"/>
        <w:adjustRightInd w:val="0"/>
        <w:rPr>
          <w:rFonts w:ascii="Times New Roman" w:hAnsi="Times New Roman" w:cs="Times New Roman"/>
          <w:sz w:val="22"/>
          <w:szCs w:val="22"/>
        </w:rPr>
      </w:pPr>
    </w:p>
    <w:p w14:paraId="12A5D53E" w14:textId="77777777" w:rsidR="00133589" w:rsidRDefault="00133589" w:rsidP="00F3480E">
      <w:pPr>
        <w:widowControl w:val="0"/>
        <w:autoSpaceDE w:val="0"/>
        <w:autoSpaceDN w:val="0"/>
        <w:adjustRightInd w:val="0"/>
        <w:rPr>
          <w:rFonts w:ascii="Times New Roman" w:hAnsi="Times New Roman" w:cs="Times New Roman"/>
          <w:sz w:val="22"/>
          <w:szCs w:val="22"/>
        </w:rPr>
      </w:pPr>
    </w:p>
    <w:p w14:paraId="5A86C32F" w14:textId="77777777" w:rsidR="00B57BE9" w:rsidRDefault="00B57BE9" w:rsidP="00F3480E">
      <w:pPr>
        <w:widowControl w:val="0"/>
        <w:autoSpaceDE w:val="0"/>
        <w:autoSpaceDN w:val="0"/>
        <w:adjustRightInd w:val="0"/>
        <w:rPr>
          <w:rFonts w:ascii="Times New Roman" w:hAnsi="Times New Roman" w:cs="Times New Roman"/>
          <w:sz w:val="22"/>
          <w:szCs w:val="22"/>
        </w:rPr>
      </w:pPr>
    </w:p>
    <w:p w14:paraId="3B2801C4" w14:textId="77777777" w:rsidR="00821B69" w:rsidRDefault="00821B69" w:rsidP="00F3480E">
      <w:pPr>
        <w:widowControl w:val="0"/>
        <w:autoSpaceDE w:val="0"/>
        <w:autoSpaceDN w:val="0"/>
        <w:adjustRightInd w:val="0"/>
        <w:rPr>
          <w:rFonts w:ascii="Times New Roman" w:hAnsi="Times New Roman" w:cs="Times New Roman"/>
          <w:sz w:val="22"/>
          <w:szCs w:val="22"/>
        </w:rPr>
      </w:pPr>
    </w:p>
    <w:p w14:paraId="08D8978B" w14:textId="77777777" w:rsidR="00821B69" w:rsidRDefault="00821B69" w:rsidP="00F3480E">
      <w:pPr>
        <w:widowControl w:val="0"/>
        <w:autoSpaceDE w:val="0"/>
        <w:autoSpaceDN w:val="0"/>
        <w:adjustRightInd w:val="0"/>
        <w:rPr>
          <w:rFonts w:ascii="Times New Roman" w:hAnsi="Times New Roman" w:cs="Times New Roman"/>
          <w:sz w:val="22"/>
          <w:szCs w:val="22"/>
        </w:rPr>
      </w:pPr>
    </w:p>
    <w:p w14:paraId="2E19C982" w14:textId="213980D7" w:rsidR="004E6FB7" w:rsidRPr="0016740E" w:rsidRDefault="004E6FB7" w:rsidP="00F3480E">
      <w:pPr>
        <w:widowControl w:val="0"/>
        <w:autoSpaceDE w:val="0"/>
        <w:autoSpaceDN w:val="0"/>
        <w:adjustRightInd w:val="0"/>
        <w:rPr>
          <w:rFonts w:ascii="Times New Roman" w:hAnsi="Times New Roman" w:cs="Times New Roman"/>
          <w:b/>
        </w:rPr>
      </w:pPr>
      <w:r w:rsidRPr="0016740E">
        <w:rPr>
          <w:rFonts w:ascii="Times New Roman" w:hAnsi="Times New Roman" w:cs="Times New Roman"/>
          <w:b/>
        </w:rPr>
        <w:lastRenderedPageBreak/>
        <w:t xml:space="preserve">Tables </w:t>
      </w:r>
      <w:r w:rsidR="00BB05BA" w:rsidRPr="0016740E">
        <w:rPr>
          <w:rFonts w:ascii="Times New Roman" w:hAnsi="Times New Roman" w:cs="Times New Roman"/>
          <w:b/>
        </w:rPr>
        <w:t>and figures</w:t>
      </w:r>
    </w:p>
    <w:p w14:paraId="70C8E11E" w14:textId="77777777" w:rsidR="004E6FB7" w:rsidRPr="0016740E" w:rsidRDefault="004E6FB7" w:rsidP="00F3480E">
      <w:pPr>
        <w:widowControl w:val="0"/>
        <w:autoSpaceDE w:val="0"/>
        <w:autoSpaceDN w:val="0"/>
        <w:adjustRightInd w:val="0"/>
        <w:rPr>
          <w:rFonts w:ascii="Times New Roman" w:hAnsi="Times New Roman" w:cs="Times New Roman"/>
          <w:b/>
        </w:rPr>
      </w:pPr>
    </w:p>
    <w:p w14:paraId="7BF43F63" w14:textId="3A9194D7" w:rsidR="004E6FB7" w:rsidRDefault="00133589" w:rsidP="00B10788">
      <w:pPr>
        <w:widowControl w:val="0"/>
        <w:autoSpaceDE w:val="0"/>
        <w:autoSpaceDN w:val="0"/>
        <w:adjustRightInd w:val="0"/>
        <w:jc w:val="both"/>
        <w:rPr>
          <w:rFonts w:ascii="Times New Roman" w:hAnsi="Times New Roman" w:cs="Times New Roman"/>
          <w:b/>
          <w:sz w:val="22"/>
          <w:szCs w:val="22"/>
        </w:rPr>
      </w:pPr>
      <w:r>
        <w:rPr>
          <w:rFonts w:ascii="Times New Roman" w:hAnsi="Times New Roman" w:cs="Times New Roman"/>
          <w:b/>
        </w:rPr>
        <w:t>Table 1.</w:t>
      </w:r>
      <w:r w:rsidR="004E6FB7" w:rsidRPr="002C1A92">
        <w:rPr>
          <w:rFonts w:ascii="Times New Roman" w:hAnsi="Times New Roman" w:cs="Times New Roman"/>
          <w:b/>
        </w:rPr>
        <w:t xml:space="preserve"> </w:t>
      </w:r>
      <w:r w:rsidR="00EE4C28" w:rsidRPr="002C1A92">
        <w:rPr>
          <w:rFonts w:ascii="Times New Roman" w:hAnsi="Times New Roman" w:cs="Times New Roman"/>
          <w:b/>
        </w:rPr>
        <w:t>Stakeholders</w:t>
      </w:r>
      <w:r w:rsidR="00B004F0" w:rsidRPr="002C1A92">
        <w:rPr>
          <w:rFonts w:ascii="Times New Roman" w:hAnsi="Times New Roman" w:cs="Times New Roman"/>
          <w:b/>
        </w:rPr>
        <w:t>’</w:t>
      </w:r>
      <w:r w:rsidR="00EE4C28" w:rsidRPr="002C1A92">
        <w:rPr>
          <w:rFonts w:ascii="Times New Roman" w:hAnsi="Times New Roman" w:cs="Times New Roman"/>
          <w:b/>
        </w:rPr>
        <w:t xml:space="preserve"> demands expressed</w:t>
      </w:r>
      <w:r w:rsidR="004E6FB7" w:rsidRPr="002C1A92">
        <w:rPr>
          <w:rFonts w:ascii="Times New Roman" w:hAnsi="Times New Roman" w:cs="Times New Roman"/>
          <w:b/>
        </w:rPr>
        <w:t xml:space="preserve"> in the 2012 EU open consultation on Smart</w:t>
      </w:r>
      <w:r w:rsidR="00CD6BC5" w:rsidRPr="002C1A92">
        <w:rPr>
          <w:rFonts w:ascii="Times New Roman" w:hAnsi="Times New Roman" w:cs="Times New Roman"/>
          <w:b/>
        </w:rPr>
        <w:t xml:space="preserve"> </w:t>
      </w:r>
      <w:r w:rsidR="004E6FB7" w:rsidRPr="002C1A92">
        <w:rPr>
          <w:rFonts w:ascii="Times New Roman" w:hAnsi="Times New Roman" w:cs="Times New Roman"/>
          <w:b/>
        </w:rPr>
        <w:t>Regulation.</w:t>
      </w:r>
    </w:p>
    <w:tbl>
      <w:tblPr>
        <w:tblStyle w:val="TableGrid"/>
        <w:tblW w:w="10257" w:type="dxa"/>
        <w:tblInd w:w="-8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
        <w:gridCol w:w="2844"/>
        <w:gridCol w:w="4122"/>
        <w:gridCol w:w="1583"/>
        <w:gridCol w:w="1219"/>
      </w:tblGrid>
      <w:tr w:rsidR="00FD379A" w14:paraId="48B78F2F" w14:textId="77777777" w:rsidTr="002E795C">
        <w:tc>
          <w:tcPr>
            <w:tcW w:w="493" w:type="dxa"/>
          </w:tcPr>
          <w:p w14:paraId="0A7E76DB" w14:textId="77777777" w:rsidR="00FD379A" w:rsidRDefault="00FD379A" w:rsidP="00FD379A">
            <w:pPr>
              <w:widowControl w:val="0"/>
              <w:autoSpaceDE w:val="0"/>
              <w:autoSpaceDN w:val="0"/>
              <w:adjustRightInd w:val="0"/>
              <w:jc w:val="center"/>
              <w:rPr>
                <w:rFonts w:ascii="Times New Roman" w:hAnsi="Times New Roman" w:cs="Times New Roman"/>
                <w:b/>
                <w:sz w:val="22"/>
                <w:szCs w:val="22"/>
              </w:rPr>
            </w:pPr>
          </w:p>
        </w:tc>
        <w:tc>
          <w:tcPr>
            <w:tcW w:w="2844" w:type="dxa"/>
          </w:tcPr>
          <w:p w14:paraId="724CAB41" w14:textId="23A4F602" w:rsidR="00FD379A" w:rsidRDefault="00FD379A" w:rsidP="00FD379A">
            <w:pPr>
              <w:widowControl w:val="0"/>
              <w:autoSpaceDE w:val="0"/>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Demand code</w:t>
            </w:r>
          </w:p>
        </w:tc>
        <w:tc>
          <w:tcPr>
            <w:tcW w:w="4240" w:type="dxa"/>
          </w:tcPr>
          <w:p w14:paraId="0252E284" w14:textId="19DF2CAD" w:rsidR="00FD379A" w:rsidRDefault="00FD379A" w:rsidP="00FD379A">
            <w:pPr>
              <w:widowControl w:val="0"/>
              <w:autoSpaceDE w:val="0"/>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Demand content</w:t>
            </w:r>
          </w:p>
        </w:tc>
        <w:tc>
          <w:tcPr>
            <w:tcW w:w="1602" w:type="dxa"/>
          </w:tcPr>
          <w:p w14:paraId="6E391481" w14:textId="7EFF04A8" w:rsidR="00FD379A" w:rsidRDefault="00FD379A" w:rsidP="00FD379A">
            <w:pPr>
              <w:widowControl w:val="0"/>
              <w:autoSpaceDE w:val="0"/>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Demand  type</w:t>
            </w:r>
          </w:p>
        </w:tc>
        <w:tc>
          <w:tcPr>
            <w:tcW w:w="1078" w:type="dxa"/>
          </w:tcPr>
          <w:p w14:paraId="40C885D8" w14:textId="7A5A22AD" w:rsidR="00FD379A" w:rsidRDefault="00AF0290" w:rsidP="00FD379A">
            <w:pPr>
              <w:widowControl w:val="0"/>
              <w:autoSpaceDE w:val="0"/>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Frequency</w:t>
            </w:r>
          </w:p>
        </w:tc>
      </w:tr>
      <w:tr w:rsidR="00FD379A" w14:paraId="736E5A84" w14:textId="77777777" w:rsidTr="002E795C">
        <w:tc>
          <w:tcPr>
            <w:tcW w:w="493" w:type="dxa"/>
          </w:tcPr>
          <w:p w14:paraId="63E2FDBA" w14:textId="432E472E" w:rsidR="00FD379A" w:rsidRPr="00D4066C" w:rsidRDefault="00FD379A" w:rsidP="00FD379A">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2844" w:type="dxa"/>
          </w:tcPr>
          <w:p w14:paraId="44FCE5B3" w14:textId="30A27804" w:rsidR="00FD379A" w:rsidRPr="00D4066C" w:rsidRDefault="00FD379A" w:rsidP="00FD379A">
            <w:pPr>
              <w:widowControl w:val="0"/>
              <w:autoSpaceDE w:val="0"/>
              <w:autoSpaceDN w:val="0"/>
              <w:adjustRightInd w:val="0"/>
              <w:jc w:val="center"/>
              <w:rPr>
                <w:rFonts w:ascii="Times New Roman" w:hAnsi="Times New Roman" w:cs="Times New Roman"/>
                <w:sz w:val="20"/>
                <w:szCs w:val="20"/>
              </w:rPr>
            </w:pPr>
            <w:r w:rsidRPr="00D4066C">
              <w:rPr>
                <w:rFonts w:ascii="Times New Roman" w:hAnsi="Times New Roman" w:cs="Times New Roman"/>
                <w:sz w:val="20"/>
                <w:szCs w:val="20"/>
              </w:rPr>
              <w:t>abr.hlgabr</w:t>
            </w:r>
          </w:p>
        </w:tc>
        <w:tc>
          <w:tcPr>
            <w:tcW w:w="4240" w:type="dxa"/>
          </w:tcPr>
          <w:p w14:paraId="3504E5E2" w14:textId="013C8AAE" w:rsidR="00FD379A" w:rsidRPr="005D0955" w:rsidRDefault="00FD379A" w:rsidP="00FD379A">
            <w:pPr>
              <w:widowControl w:val="0"/>
              <w:autoSpaceDE w:val="0"/>
              <w:autoSpaceDN w:val="0"/>
              <w:adjustRightInd w:val="0"/>
              <w:rPr>
                <w:rFonts w:ascii="Times New Roman" w:hAnsi="Times New Roman" w:cs="Times New Roman"/>
                <w:sz w:val="20"/>
                <w:szCs w:val="20"/>
              </w:rPr>
            </w:pPr>
            <w:r w:rsidRPr="005D0955">
              <w:rPr>
                <w:rFonts w:ascii="Times New Roman" w:hAnsi="Times New Roman" w:cs="Times New Roman"/>
                <w:color w:val="000000"/>
                <w:sz w:val="20"/>
                <w:szCs w:val="20"/>
                <w:lang w:val="en-GB"/>
              </w:rPr>
              <w:t>Increase the role of the HLG on Administrative Burden Reduction</w:t>
            </w:r>
          </w:p>
        </w:tc>
        <w:tc>
          <w:tcPr>
            <w:tcW w:w="1602" w:type="dxa"/>
          </w:tcPr>
          <w:p w14:paraId="5CB63649" w14:textId="5D4FAA01"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r w:rsidRPr="00FD379A">
              <w:rPr>
                <w:rFonts w:ascii="Times New Roman" w:hAnsi="Times New Roman" w:cs="Times New Roman"/>
                <w:sz w:val="20"/>
                <w:szCs w:val="20"/>
              </w:rPr>
              <w:t>eregulatory</w:t>
            </w:r>
          </w:p>
        </w:tc>
        <w:tc>
          <w:tcPr>
            <w:tcW w:w="1078" w:type="dxa"/>
          </w:tcPr>
          <w:p w14:paraId="17F3F17C" w14:textId="18F32204"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14</w:t>
            </w:r>
          </w:p>
        </w:tc>
      </w:tr>
      <w:tr w:rsidR="00FD379A" w:rsidRPr="00FD379A" w14:paraId="3053DEB9" w14:textId="77777777" w:rsidTr="002E795C">
        <w:trPr>
          <w:trHeight w:val="278"/>
        </w:trPr>
        <w:tc>
          <w:tcPr>
            <w:tcW w:w="493" w:type="dxa"/>
          </w:tcPr>
          <w:p w14:paraId="4E9AEB8D" w14:textId="616D85E0" w:rsidR="00FD379A" w:rsidRPr="00D4066C" w:rsidRDefault="00FD379A" w:rsidP="00FD379A">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2844" w:type="dxa"/>
          </w:tcPr>
          <w:p w14:paraId="6B936373" w14:textId="162CC554" w:rsidR="00FD379A" w:rsidRPr="00D4066C" w:rsidRDefault="00FD379A" w:rsidP="00FD379A">
            <w:pPr>
              <w:widowControl w:val="0"/>
              <w:autoSpaceDE w:val="0"/>
              <w:autoSpaceDN w:val="0"/>
              <w:adjustRightInd w:val="0"/>
              <w:jc w:val="center"/>
              <w:rPr>
                <w:rFonts w:ascii="Times New Roman" w:hAnsi="Times New Roman" w:cs="Times New Roman"/>
                <w:sz w:val="20"/>
                <w:szCs w:val="20"/>
              </w:rPr>
            </w:pPr>
            <w:r w:rsidRPr="00D4066C">
              <w:rPr>
                <w:rFonts w:ascii="Times New Roman" w:hAnsi="Times New Roman" w:cs="Times New Roman"/>
                <w:sz w:val="20"/>
                <w:szCs w:val="20"/>
              </w:rPr>
              <w:t>abr.new.prog.</w:t>
            </w:r>
          </w:p>
        </w:tc>
        <w:tc>
          <w:tcPr>
            <w:tcW w:w="4240" w:type="dxa"/>
          </w:tcPr>
          <w:p w14:paraId="105B2964" w14:textId="574E192A" w:rsidR="00FD379A" w:rsidRPr="005D0955" w:rsidRDefault="00FD379A" w:rsidP="00FD379A">
            <w:pPr>
              <w:widowControl w:val="0"/>
              <w:autoSpaceDE w:val="0"/>
              <w:autoSpaceDN w:val="0"/>
              <w:adjustRightInd w:val="0"/>
              <w:rPr>
                <w:rFonts w:ascii="Times New Roman" w:hAnsi="Times New Roman" w:cs="Times New Roman"/>
                <w:sz w:val="20"/>
                <w:szCs w:val="20"/>
              </w:rPr>
            </w:pPr>
            <w:r w:rsidRPr="005D0955">
              <w:rPr>
                <w:rFonts w:ascii="Times New Roman" w:hAnsi="Times New Roman" w:cs="Times New Roman"/>
                <w:color w:val="000000"/>
                <w:sz w:val="20"/>
                <w:szCs w:val="20"/>
                <w:lang w:val="en-GB"/>
              </w:rPr>
              <w:t>New programme on administrative burden reduction</w:t>
            </w:r>
          </w:p>
        </w:tc>
        <w:tc>
          <w:tcPr>
            <w:tcW w:w="1602" w:type="dxa"/>
          </w:tcPr>
          <w:p w14:paraId="1572C58E" w14:textId="76B554F8"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Deregulatory</w:t>
            </w:r>
          </w:p>
        </w:tc>
        <w:tc>
          <w:tcPr>
            <w:tcW w:w="1078" w:type="dxa"/>
          </w:tcPr>
          <w:p w14:paraId="144FA97D" w14:textId="5439BDA1"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20</w:t>
            </w:r>
          </w:p>
        </w:tc>
      </w:tr>
      <w:tr w:rsidR="007F7ACE" w14:paraId="59118BFC" w14:textId="77777777" w:rsidTr="002E795C">
        <w:tc>
          <w:tcPr>
            <w:tcW w:w="493" w:type="dxa"/>
          </w:tcPr>
          <w:p w14:paraId="27E188DA" w14:textId="5CC44362" w:rsidR="007F7ACE" w:rsidRPr="00861D9B"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2844" w:type="dxa"/>
          </w:tcPr>
          <w:p w14:paraId="124BCB05" w14:textId="77777777" w:rsidR="007F7ACE" w:rsidRPr="00861D9B" w:rsidRDefault="007F7ACE" w:rsidP="007F7ACE">
            <w:pPr>
              <w:widowControl w:val="0"/>
              <w:autoSpaceDE w:val="0"/>
              <w:autoSpaceDN w:val="0"/>
              <w:adjustRightInd w:val="0"/>
              <w:jc w:val="center"/>
              <w:rPr>
                <w:rFonts w:ascii="Times New Roman" w:hAnsi="Times New Roman" w:cs="Times New Roman"/>
                <w:sz w:val="20"/>
                <w:szCs w:val="20"/>
              </w:rPr>
            </w:pPr>
            <w:r w:rsidRPr="00861D9B">
              <w:rPr>
                <w:rFonts w:ascii="Times New Roman" w:hAnsi="Times New Roman" w:cs="Times New Roman"/>
                <w:sz w:val="20"/>
                <w:szCs w:val="20"/>
              </w:rPr>
              <w:t>eval.scope.regulburden</w:t>
            </w:r>
          </w:p>
        </w:tc>
        <w:tc>
          <w:tcPr>
            <w:tcW w:w="4240" w:type="dxa"/>
          </w:tcPr>
          <w:p w14:paraId="00B83EA9" w14:textId="77777777" w:rsidR="007F7ACE" w:rsidRPr="007F7ECE" w:rsidRDefault="007F7ACE" w:rsidP="007F7ACE">
            <w:pPr>
              <w:widowControl w:val="0"/>
              <w:autoSpaceDE w:val="0"/>
              <w:autoSpaceDN w:val="0"/>
              <w:adjustRightInd w:val="0"/>
              <w:rPr>
                <w:rFonts w:ascii="Times New Roman" w:hAnsi="Times New Roman" w:cs="Times New Roman"/>
                <w:b/>
                <w:sz w:val="20"/>
                <w:szCs w:val="20"/>
              </w:rPr>
            </w:pPr>
            <w:r w:rsidRPr="007F7ECE">
              <w:rPr>
                <w:rFonts w:ascii="Times New Roman" w:hAnsi="Times New Roman" w:cs="Times New Roman"/>
                <w:color w:val="000000"/>
                <w:sz w:val="20"/>
                <w:szCs w:val="20"/>
              </w:rPr>
              <w:t>Evaluations should focus on the areas that generate regulatory burden</w:t>
            </w:r>
          </w:p>
        </w:tc>
        <w:tc>
          <w:tcPr>
            <w:tcW w:w="1602" w:type="dxa"/>
          </w:tcPr>
          <w:p w14:paraId="37488394"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Deregulatory</w:t>
            </w:r>
          </w:p>
        </w:tc>
        <w:tc>
          <w:tcPr>
            <w:tcW w:w="1078" w:type="dxa"/>
          </w:tcPr>
          <w:p w14:paraId="73ECA8B8"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7</w:t>
            </w:r>
          </w:p>
        </w:tc>
      </w:tr>
      <w:tr w:rsidR="007F7ACE" w14:paraId="03CFD45A" w14:textId="77777777" w:rsidTr="002E795C">
        <w:tc>
          <w:tcPr>
            <w:tcW w:w="493" w:type="dxa"/>
          </w:tcPr>
          <w:p w14:paraId="10155429" w14:textId="446E506D" w:rsidR="007F7ACE"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2844" w:type="dxa"/>
          </w:tcPr>
          <w:p w14:paraId="1D4A5375" w14:textId="77777777" w:rsidR="007F7ACE" w:rsidRPr="00861D9B"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ia.meth.dereg</w:t>
            </w:r>
          </w:p>
        </w:tc>
        <w:tc>
          <w:tcPr>
            <w:tcW w:w="4240" w:type="dxa"/>
          </w:tcPr>
          <w:p w14:paraId="47706993" w14:textId="77777777" w:rsidR="007F7ACE" w:rsidRPr="007F7ECE" w:rsidRDefault="007F7ACE" w:rsidP="007F7ACE">
            <w:pPr>
              <w:widowControl w:val="0"/>
              <w:autoSpaceDE w:val="0"/>
              <w:autoSpaceDN w:val="0"/>
              <w:adjustRightInd w:val="0"/>
              <w:rPr>
                <w:rFonts w:ascii="Times New Roman" w:hAnsi="Times New Roman" w:cs="Times New Roman"/>
                <w:sz w:val="20"/>
                <w:szCs w:val="20"/>
              </w:rPr>
            </w:pPr>
            <w:r w:rsidRPr="007F7ECE">
              <w:rPr>
                <w:rFonts w:ascii="Times New Roman" w:hAnsi="Times New Roman" w:cs="Times New Roman"/>
                <w:color w:val="000000"/>
                <w:sz w:val="20"/>
                <w:szCs w:val="20"/>
              </w:rPr>
              <w:t>Impact assessments should consider administrative and regulatory burden more carefully</w:t>
            </w:r>
          </w:p>
        </w:tc>
        <w:tc>
          <w:tcPr>
            <w:tcW w:w="1602" w:type="dxa"/>
          </w:tcPr>
          <w:p w14:paraId="3E8EFD7A" w14:textId="3D3BD77A" w:rsidR="007F7ACE" w:rsidRPr="00FD379A" w:rsidRDefault="003115CA"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Deregulatory</w:t>
            </w:r>
          </w:p>
        </w:tc>
        <w:tc>
          <w:tcPr>
            <w:tcW w:w="1078" w:type="dxa"/>
          </w:tcPr>
          <w:p w14:paraId="0E9EF954"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59</w:t>
            </w:r>
          </w:p>
        </w:tc>
      </w:tr>
      <w:tr w:rsidR="007F7ACE" w14:paraId="6726DDB0" w14:textId="77777777" w:rsidTr="002E795C">
        <w:tc>
          <w:tcPr>
            <w:tcW w:w="493" w:type="dxa"/>
          </w:tcPr>
          <w:p w14:paraId="06AB0D88" w14:textId="27F95F5C" w:rsidR="007F7ACE" w:rsidRPr="00861D9B"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2844" w:type="dxa"/>
          </w:tcPr>
          <w:p w14:paraId="6B32DE10" w14:textId="77777777" w:rsidR="007F7ACE" w:rsidRPr="00861D9B" w:rsidRDefault="007F7ACE" w:rsidP="007F7ACE">
            <w:pPr>
              <w:widowControl w:val="0"/>
              <w:autoSpaceDE w:val="0"/>
              <w:autoSpaceDN w:val="0"/>
              <w:adjustRightInd w:val="0"/>
              <w:jc w:val="center"/>
              <w:rPr>
                <w:rFonts w:ascii="Times New Roman" w:hAnsi="Times New Roman" w:cs="Times New Roman"/>
                <w:sz w:val="20"/>
                <w:szCs w:val="20"/>
              </w:rPr>
            </w:pPr>
            <w:r w:rsidRPr="00861D9B">
              <w:rPr>
                <w:rFonts w:ascii="Times New Roman" w:hAnsi="Times New Roman" w:cs="Times New Roman"/>
                <w:sz w:val="20"/>
                <w:szCs w:val="20"/>
              </w:rPr>
              <w:t>leg.sme.exemptions</w:t>
            </w:r>
          </w:p>
        </w:tc>
        <w:tc>
          <w:tcPr>
            <w:tcW w:w="4240" w:type="dxa"/>
          </w:tcPr>
          <w:p w14:paraId="197E0CD7" w14:textId="77777777" w:rsidR="007F7ACE" w:rsidRPr="007F7ECE" w:rsidRDefault="007F7ACE" w:rsidP="007F7ACE">
            <w:pPr>
              <w:widowControl w:val="0"/>
              <w:autoSpaceDE w:val="0"/>
              <w:autoSpaceDN w:val="0"/>
              <w:adjustRightInd w:val="0"/>
              <w:rPr>
                <w:rFonts w:ascii="Times New Roman" w:hAnsi="Times New Roman" w:cs="Times New Roman"/>
                <w:sz w:val="20"/>
                <w:szCs w:val="20"/>
              </w:rPr>
            </w:pPr>
            <w:r w:rsidRPr="007F7ECE">
              <w:rPr>
                <w:rFonts w:ascii="Times New Roman" w:hAnsi="Times New Roman" w:cs="Times New Roman"/>
                <w:color w:val="000000"/>
                <w:sz w:val="20"/>
                <w:szCs w:val="20"/>
              </w:rPr>
              <w:t>Tailored approach for SMEs and micro-enterprises.</w:t>
            </w:r>
          </w:p>
        </w:tc>
        <w:tc>
          <w:tcPr>
            <w:tcW w:w="1602" w:type="dxa"/>
          </w:tcPr>
          <w:p w14:paraId="13BF65DB"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Deregulatory</w:t>
            </w:r>
          </w:p>
        </w:tc>
        <w:tc>
          <w:tcPr>
            <w:tcW w:w="1078" w:type="dxa"/>
          </w:tcPr>
          <w:p w14:paraId="30B33C8E"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4</w:t>
            </w:r>
          </w:p>
        </w:tc>
      </w:tr>
      <w:tr w:rsidR="00FD379A" w14:paraId="07D66AB2" w14:textId="77777777" w:rsidTr="002E795C">
        <w:tc>
          <w:tcPr>
            <w:tcW w:w="493" w:type="dxa"/>
          </w:tcPr>
          <w:p w14:paraId="6D636E23" w14:textId="4186A7D4" w:rsidR="00FD379A" w:rsidRPr="00D4066C" w:rsidRDefault="007F7ACE" w:rsidP="00FD379A">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w:t>
            </w:r>
          </w:p>
        </w:tc>
        <w:tc>
          <w:tcPr>
            <w:tcW w:w="2844" w:type="dxa"/>
          </w:tcPr>
          <w:p w14:paraId="1C9421E5" w14:textId="284B575E" w:rsidR="00FD379A" w:rsidRPr="00D4066C" w:rsidRDefault="00FD379A" w:rsidP="00FD379A">
            <w:pPr>
              <w:widowControl w:val="0"/>
              <w:autoSpaceDE w:val="0"/>
              <w:autoSpaceDN w:val="0"/>
              <w:adjustRightInd w:val="0"/>
              <w:jc w:val="center"/>
              <w:rPr>
                <w:rFonts w:ascii="Times New Roman" w:hAnsi="Times New Roman" w:cs="Times New Roman"/>
                <w:sz w:val="20"/>
                <w:szCs w:val="20"/>
              </w:rPr>
            </w:pPr>
            <w:r w:rsidRPr="00D4066C">
              <w:rPr>
                <w:rFonts w:ascii="Times New Roman" w:hAnsi="Times New Roman" w:cs="Times New Roman"/>
                <w:sz w:val="20"/>
                <w:szCs w:val="20"/>
              </w:rPr>
              <w:t>better.use.online.tools</w:t>
            </w:r>
          </w:p>
        </w:tc>
        <w:tc>
          <w:tcPr>
            <w:tcW w:w="4240" w:type="dxa"/>
          </w:tcPr>
          <w:p w14:paraId="79E51AFD" w14:textId="26C226D8" w:rsidR="00FD379A" w:rsidRPr="005D0955" w:rsidRDefault="00FD379A" w:rsidP="00FD379A">
            <w:pPr>
              <w:widowControl w:val="0"/>
              <w:autoSpaceDE w:val="0"/>
              <w:autoSpaceDN w:val="0"/>
              <w:adjustRightInd w:val="0"/>
              <w:rPr>
                <w:rFonts w:ascii="Times New Roman" w:hAnsi="Times New Roman" w:cs="Times New Roman"/>
                <w:sz w:val="20"/>
                <w:szCs w:val="20"/>
              </w:rPr>
            </w:pPr>
            <w:r w:rsidRPr="005D0955">
              <w:rPr>
                <w:rFonts w:ascii="Times New Roman" w:hAnsi="Times New Roman" w:cs="Times New Roman"/>
                <w:sz w:val="20"/>
                <w:szCs w:val="20"/>
              </w:rPr>
              <w:t>Improve the use of online tools for collecting information/outreaching stakeholders/monitor implementation.</w:t>
            </w:r>
          </w:p>
        </w:tc>
        <w:tc>
          <w:tcPr>
            <w:tcW w:w="1602" w:type="dxa"/>
          </w:tcPr>
          <w:p w14:paraId="0F62318C" w14:textId="2589A53B"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Technocratic</w:t>
            </w:r>
          </w:p>
        </w:tc>
        <w:tc>
          <w:tcPr>
            <w:tcW w:w="1078" w:type="dxa"/>
          </w:tcPr>
          <w:p w14:paraId="65496314" w14:textId="42AAE838"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28</w:t>
            </w:r>
          </w:p>
        </w:tc>
      </w:tr>
      <w:tr w:rsidR="00FD379A" w14:paraId="19BC3893" w14:textId="77777777" w:rsidTr="002E795C">
        <w:tc>
          <w:tcPr>
            <w:tcW w:w="493" w:type="dxa"/>
          </w:tcPr>
          <w:p w14:paraId="7CC87F26" w14:textId="10C991FD" w:rsidR="00FD379A" w:rsidRDefault="007F7ACE" w:rsidP="00FD379A">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p>
        </w:tc>
        <w:tc>
          <w:tcPr>
            <w:tcW w:w="2844" w:type="dxa"/>
          </w:tcPr>
          <w:p w14:paraId="4D61F990" w14:textId="130D3575" w:rsidR="00FD379A" w:rsidRPr="00D4066C" w:rsidRDefault="00FD379A" w:rsidP="00FD379A">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w:t>
            </w:r>
            <w:r w:rsidRPr="00D4066C">
              <w:rPr>
                <w:rFonts w:ascii="Times New Roman" w:hAnsi="Times New Roman" w:cs="Times New Roman"/>
                <w:sz w:val="20"/>
                <w:szCs w:val="20"/>
              </w:rPr>
              <w:t>ons.docs.improve.tech</w:t>
            </w:r>
          </w:p>
        </w:tc>
        <w:tc>
          <w:tcPr>
            <w:tcW w:w="4240" w:type="dxa"/>
          </w:tcPr>
          <w:p w14:paraId="42AFE061" w14:textId="0E5F7439" w:rsidR="00FD379A" w:rsidRPr="007F7ECE" w:rsidRDefault="00FD379A" w:rsidP="00FD379A">
            <w:pPr>
              <w:widowControl w:val="0"/>
              <w:autoSpaceDE w:val="0"/>
              <w:autoSpaceDN w:val="0"/>
              <w:adjustRightInd w:val="0"/>
              <w:rPr>
                <w:rFonts w:ascii="Times New Roman" w:hAnsi="Times New Roman" w:cs="Times New Roman"/>
                <w:b/>
                <w:sz w:val="20"/>
                <w:szCs w:val="20"/>
              </w:rPr>
            </w:pPr>
            <w:r w:rsidRPr="007F7ECE">
              <w:rPr>
                <w:rFonts w:ascii="Times New Roman" w:hAnsi="Times New Roman" w:cs="Times New Roman"/>
                <w:sz w:val="20"/>
                <w:szCs w:val="20"/>
              </w:rPr>
              <w:t>Consultation documents should be reconsidered so as to improve evidence-based policymaking.</w:t>
            </w:r>
          </w:p>
        </w:tc>
        <w:tc>
          <w:tcPr>
            <w:tcW w:w="1602" w:type="dxa"/>
          </w:tcPr>
          <w:p w14:paraId="26EAFF79" w14:textId="355C80CB" w:rsidR="00FD379A" w:rsidRPr="00FD379A" w:rsidRDefault="00FD379A" w:rsidP="00FD379A">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Pr="00FD379A">
              <w:rPr>
                <w:rFonts w:ascii="Times New Roman" w:hAnsi="Times New Roman" w:cs="Times New Roman"/>
                <w:sz w:val="20"/>
                <w:szCs w:val="20"/>
              </w:rPr>
              <w:t>Technocratic</w:t>
            </w:r>
          </w:p>
        </w:tc>
        <w:tc>
          <w:tcPr>
            <w:tcW w:w="1078" w:type="dxa"/>
          </w:tcPr>
          <w:p w14:paraId="703FC59F" w14:textId="735A1D83"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24</w:t>
            </w:r>
          </w:p>
        </w:tc>
      </w:tr>
      <w:tr w:rsidR="00FD379A" w14:paraId="0D606BDC" w14:textId="77777777" w:rsidTr="002E795C">
        <w:tc>
          <w:tcPr>
            <w:tcW w:w="493" w:type="dxa"/>
          </w:tcPr>
          <w:p w14:paraId="7DAA245B" w14:textId="60D6A956" w:rsidR="00FD379A" w:rsidRDefault="00FD379A" w:rsidP="00FD379A">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p>
        </w:tc>
        <w:tc>
          <w:tcPr>
            <w:tcW w:w="2844" w:type="dxa"/>
          </w:tcPr>
          <w:p w14:paraId="351C9A47" w14:textId="0E44BA42" w:rsidR="00FD379A" w:rsidRPr="00D4066C" w:rsidRDefault="00FD379A" w:rsidP="00FD379A">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w:t>
            </w:r>
            <w:r w:rsidRPr="00D4066C">
              <w:rPr>
                <w:rFonts w:ascii="Times New Roman" w:hAnsi="Times New Roman" w:cs="Times New Roman"/>
                <w:sz w:val="20"/>
                <w:szCs w:val="20"/>
              </w:rPr>
              <w:t>ons.format.moretarget</w:t>
            </w:r>
          </w:p>
        </w:tc>
        <w:tc>
          <w:tcPr>
            <w:tcW w:w="4240" w:type="dxa"/>
          </w:tcPr>
          <w:p w14:paraId="25577242" w14:textId="4D6B75B2" w:rsidR="00FD379A" w:rsidRPr="007F7ECE" w:rsidRDefault="00FD379A" w:rsidP="00FD379A">
            <w:pPr>
              <w:widowControl w:val="0"/>
              <w:autoSpaceDE w:val="0"/>
              <w:autoSpaceDN w:val="0"/>
              <w:adjustRightInd w:val="0"/>
              <w:rPr>
                <w:rFonts w:ascii="Times New Roman" w:hAnsi="Times New Roman" w:cs="Times New Roman"/>
                <w:sz w:val="20"/>
                <w:szCs w:val="20"/>
              </w:rPr>
            </w:pPr>
            <w:r w:rsidRPr="007F7ECE">
              <w:rPr>
                <w:rFonts w:ascii="Times New Roman" w:hAnsi="Times New Roman" w:cs="Times New Roman"/>
                <w:color w:val="000000"/>
                <w:sz w:val="20"/>
                <w:szCs w:val="20"/>
                <w:lang w:val="en-GB"/>
              </w:rPr>
              <w:t>Commission should use more targeted consultations</w:t>
            </w:r>
          </w:p>
        </w:tc>
        <w:tc>
          <w:tcPr>
            <w:tcW w:w="1602" w:type="dxa"/>
          </w:tcPr>
          <w:p w14:paraId="199F91E6" w14:textId="2C949B15"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Technocratic</w:t>
            </w:r>
          </w:p>
        </w:tc>
        <w:tc>
          <w:tcPr>
            <w:tcW w:w="1078" w:type="dxa"/>
          </w:tcPr>
          <w:p w14:paraId="26C70700" w14:textId="1106F309"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9</w:t>
            </w:r>
          </w:p>
        </w:tc>
      </w:tr>
      <w:tr w:rsidR="00FD379A" w14:paraId="590C4737" w14:textId="77777777" w:rsidTr="002E795C">
        <w:tc>
          <w:tcPr>
            <w:tcW w:w="493" w:type="dxa"/>
          </w:tcPr>
          <w:p w14:paraId="12679D03" w14:textId="300DA7C1" w:rsidR="00FD379A" w:rsidRPr="00540DA6" w:rsidRDefault="007F7ACE" w:rsidP="00C51354">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w:t>
            </w:r>
          </w:p>
        </w:tc>
        <w:tc>
          <w:tcPr>
            <w:tcW w:w="2844" w:type="dxa"/>
          </w:tcPr>
          <w:p w14:paraId="4862C099" w14:textId="14BC2F19" w:rsidR="00FD379A" w:rsidRPr="00540DA6" w:rsidRDefault="00FD379A" w:rsidP="00FD379A">
            <w:pPr>
              <w:widowControl w:val="0"/>
              <w:autoSpaceDE w:val="0"/>
              <w:autoSpaceDN w:val="0"/>
              <w:adjustRightInd w:val="0"/>
              <w:jc w:val="center"/>
              <w:rPr>
                <w:rFonts w:ascii="Times New Roman" w:hAnsi="Times New Roman" w:cs="Times New Roman"/>
                <w:sz w:val="20"/>
                <w:szCs w:val="20"/>
              </w:rPr>
            </w:pPr>
            <w:r w:rsidRPr="00540DA6">
              <w:rPr>
                <w:rFonts w:ascii="Times New Roman" w:hAnsi="Times New Roman" w:cs="Times New Roman"/>
                <w:sz w:val="20"/>
                <w:szCs w:val="20"/>
              </w:rPr>
              <w:t>eval.meth.needs.improve</w:t>
            </w:r>
          </w:p>
        </w:tc>
        <w:tc>
          <w:tcPr>
            <w:tcW w:w="4240" w:type="dxa"/>
          </w:tcPr>
          <w:p w14:paraId="0F837E6F" w14:textId="227BDB00" w:rsidR="00FD379A" w:rsidRPr="007F7ECE" w:rsidRDefault="00FD379A" w:rsidP="00FD379A">
            <w:pPr>
              <w:widowControl w:val="0"/>
              <w:autoSpaceDE w:val="0"/>
              <w:autoSpaceDN w:val="0"/>
              <w:adjustRightInd w:val="0"/>
              <w:rPr>
                <w:rFonts w:ascii="Times New Roman" w:hAnsi="Times New Roman" w:cs="Times New Roman"/>
                <w:sz w:val="20"/>
                <w:szCs w:val="20"/>
              </w:rPr>
            </w:pPr>
            <w:r w:rsidRPr="007F7ECE">
              <w:rPr>
                <w:rFonts w:ascii="Times New Roman" w:hAnsi="Times New Roman" w:cs="Times New Roman"/>
                <w:sz w:val="20"/>
                <w:szCs w:val="20"/>
              </w:rPr>
              <w:t>The methodology of evaluations needs improvements.</w:t>
            </w:r>
          </w:p>
        </w:tc>
        <w:tc>
          <w:tcPr>
            <w:tcW w:w="1602" w:type="dxa"/>
          </w:tcPr>
          <w:p w14:paraId="23C7186D" w14:textId="670254D4"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Technocratic</w:t>
            </w:r>
          </w:p>
        </w:tc>
        <w:tc>
          <w:tcPr>
            <w:tcW w:w="1078" w:type="dxa"/>
          </w:tcPr>
          <w:p w14:paraId="42961B6D" w14:textId="5F7D2E18"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67</w:t>
            </w:r>
          </w:p>
        </w:tc>
      </w:tr>
      <w:tr w:rsidR="00FD379A" w14:paraId="13B94844" w14:textId="77777777" w:rsidTr="002E795C">
        <w:trPr>
          <w:trHeight w:val="60"/>
        </w:trPr>
        <w:tc>
          <w:tcPr>
            <w:tcW w:w="493" w:type="dxa"/>
          </w:tcPr>
          <w:p w14:paraId="7B7F74ED" w14:textId="13B91CA9" w:rsidR="00FD379A" w:rsidRPr="00540DA6" w:rsidRDefault="00FD379A"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r w:rsidR="007F7ACE">
              <w:rPr>
                <w:rFonts w:ascii="Times New Roman" w:hAnsi="Times New Roman" w:cs="Times New Roman"/>
                <w:sz w:val="20"/>
                <w:szCs w:val="20"/>
              </w:rPr>
              <w:t>0</w:t>
            </w:r>
          </w:p>
        </w:tc>
        <w:tc>
          <w:tcPr>
            <w:tcW w:w="2844" w:type="dxa"/>
          </w:tcPr>
          <w:p w14:paraId="4714EF42" w14:textId="2BFF4825" w:rsidR="00FD379A" w:rsidRPr="00540DA6" w:rsidRDefault="00FD379A" w:rsidP="00FD379A">
            <w:pPr>
              <w:widowControl w:val="0"/>
              <w:autoSpaceDE w:val="0"/>
              <w:autoSpaceDN w:val="0"/>
              <w:adjustRightInd w:val="0"/>
              <w:jc w:val="center"/>
              <w:rPr>
                <w:rFonts w:ascii="Times New Roman" w:hAnsi="Times New Roman" w:cs="Times New Roman"/>
                <w:sz w:val="20"/>
                <w:szCs w:val="20"/>
              </w:rPr>
            </w:pPr>
            <w:r w:rsidRPr="00540DA6">
              <w:rPr>
                <w:rFonts w:ascii="Times New Roman" w:hAnsi="Times New Roman" w:cs="Times New Roman"/>
                <w:sz w:val="20"/>
                <w:szCs w:val="20"/>
              </w:rPr>
              <w:t>eval.plan.improve</w:t>
            </w:r>
          </w:p>
        </w:tc>
        <w:tc>
          <w:tcPr>
            <w:tcW w:w="4240" w:type="dxa"/>
          </w:tcPr>
          <w:p w14:paraId="092B8E7F" w14:textId="2827EE55" w:rsidR="00FD379A" w:rsidRPr="007F7ECE" w:rsidRDefault="00FD379A" w:rsidP="00FD379A">
            <w:pPr>
              <w:widowControl w:val="0"/>
              <w:autoSpaceDE w:val="0"/>
              <w:autoSpaceDN w:val="0"/>
              <w:adjustRightInd w:val="0"/>
              <w:rPr>
                <w:rFonts w:ascii="Times New Roman" w:hAnsi="Times New Roman" w:cs="Times New Roman"/>
                <w:sz w:val="20"/>
                <w:szCs w:val="20"/>
              </w:rPr>
            </w:pPr>
            <w:r w:rsidRPr="007F7ECE">
              <w:rPr>
                <w:rFonts w:ascii="Times New Roman" w:hAnsi="Times New Roman" w:cs="Times New Roman"/>
                <w:sz w:val="20"/>
                <w:szCs w:val="20"/>
              </w:rPr>
              <w:t>The planning of evaluations needs improvement.</w:t>
            </w:r>
          </w:p>
        </w:tc>
        <w:tc>
          <w:tcPr>
            <w:tcW w:w="1602" w:type="dxa"/>
          </w:tcPr>
          <w:p w14:paraId="449EF22A" w14:textId="21A211D8"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Technocratic</w:t>
            </w:r>
          </w:p>
        </w:tc>
        <w:tc>
          <w:tcPr>
            <w:tcW w:w="1078" w:type="dxa"/>
          </w:tcPr>
          <w:p w14:paraId="6706579B" w14:textId="605E29D4"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51</w:t>
            </w:r>
          </w:p>
        </w:tc>
      </w:tr>
      <w:tr w:rsidR="00FD379A" w14:paraId="611DC538" w14:textId="77777777" w:rsidTr="002E795C">
        <w:tc>
          <w:tcPr>
            <w:tcW w:w="493" w:type="dxa"/>
          </w:tcPr>
          <w:p w14:paraId="499C3404" w14:textId="2A3E0025" w:rsidR="00FD379A" w:rsidRPr="00861D9B" w:rsidRDefault="007F7ACE" w:rsidP="00C51354">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w:t>
            </w:r>
          </w:p>
        </w:tc>
        <w:tc>
          <w:tcPr>
            <w:tcW w:w="2844" w:type="dxa"/>
          </w:tcPr>
          <w:p w14:paraId="461621C2" w14:textId="63B59EDB" w:rsidR="00FD379A" w:rsidRPr="00861D9B" w:rsidRDefault="00FD379A" w:rsidP="00FD379A">
            <w:pPr>
              <w:widowControl w:val="0"/>
              <w:autoSpaceDE w:val="0"/>
              <w:autoSpaceDN w:val="0"/>
              <w:adjustRightInd w:val="0"/>
              <w:jc w:val="center"/>
              <w:rPr>
                <w:rFonts w:ascii="Times New Roman" w:hAnsi="Times New Roman" w:cs="Times New Roman"/>
                <w:sz w:val="20"/>
                <w:szCs w:val="20"/>
              </w:rPr>
            </w:pPr>
            <w:r w:rsidRPr="00861D9B">
              <w:rPr>
                <w:rFonts w:ascii="Times New Roman" w:hAnsi="Times New Roman" w:cs="Times New Roman"/>
                <w:sz w:val="20"/>
                <w:szCs w:val="20"/>
              </w:rPr>
              <w:t>eval.results.access</w:t>
            </w:r>
          </w:p>
        </w:tc>
        <w:tc>
          <w:tcPr>
            <w:tcW w:w="4240" w:type="dxa"/>
          </w:tcPr>
          <w:p w14:paraId="5A19ED23" w14:textId="1EEF0381" w:rsidR="00FD379A" w:rsidRPr="007F7ECE" w:rsidRDefault="00FD379A" w:rsidP="00FD379A">
            <w:pPr>
              <w:widowControl w:val="0"/>
              <w:autoSpaceDE w:val="0"/>
              <w:autoSpaceDN w:val="0"/>
              <w:adjustRightInd w:val="0"/>
              <w:rPr>
                <w:rFonts w:ascii="Times New Roman" w:hAnsi="Times New Roman" w:cs="Times New Roman"/>
                <w:sz w:val="20"/>
                <w:szCs w:val="20"/>
              </w:rPr>
            </w:pPr>
            <w:r w:rsidRPr="007F7ECE">
              <w:rPr>
                <w:rFonts w:ascii="Times New Roman" w:hAnsi="Times New Roman" w:cs="Times New Roman"/>
                <w:sz w:val="20"/>
                <w:szCs w:val="20"/>
              </w:rPr>
              <w:t>Access to evaluation results needs to be reformed.</w:t>
            </w:r>
          </w:p>
        </w:tc>
        <w:tc>
          <w:tcPr>
            <w:tcW w:w="1602" w:type="dxa"/>
          </w:tcPr>
          <w:p w14:paraId="0DCE3CB8" w14:textId="5266306C"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Technocratic</w:t>
            </w:r>
          </w:p>
        </w:tc>
        <w:tc>
          <w:tcPr>
            <w:tcW w:w="1078" w:type="dxa"/>
          </w:tcPr>
          <w:p w14:paraId="2FAB3381" w14:textId="7AB81DD3"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7</w:t>
            </w:r>
          </w:p>
        </w:tc>
      </w:tr>
      <w:tr w:rsidR="00FD379A" w14:paraId="02CDD742" w14:textId="77777777" w:rsidTr="002E795C">
        <w:tc>
          <w:tcPr>
            <w:tcW w:w="493" w:type="dxa"/>
          </w:tcPr>
          <w:p w14:paraId="69C33972" w14:textId="1C4FCE62" w:rsidR="00FD379A" w:rsidRPr="00861D9B" w:rsidRDefault="00C51354"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r w:rsidR="007F7ACE">
              <w:rPr>
                <w:rFonts w:ascii="Times New Roman" w:hAnsi="Times New Roman" w:cs="Times New Roman"/>
                <w:sz w:val="20"/>
                <w:szCs w:val="20"/>
              </w:rPr>
              <w:t>2</w:t>
            </w:r>
          </w:p>
        </w:tc>
        <w:tc>
          <w:tcPr>
            <w:tcW w:w="2844" w:type="dxa"/>
          </w:tcPr>
          <w:p w14:paraId="166FB7BC" w14:textId="469C0045" w:rsidR="00FD379A" w:rsidRPr="00861D9B" w:rsidRDefault="00FD379A" w:rsidP="00FD379A">
            <w:pPr>
              <w:widowControl w:val="0"/>
              <w:autoSpaceDE w:val="0"/>
              <w:autoSpaceDN w:val="0"/>
              <w:adjustRightInd w:val="0"/>
              <w:jc w:val="center"/>
              <w:rPr>
                <w:rFonts w:ascii="Times New Roman" w:hAnsi="Times New Roman" w:cs="Times New Roman"/>
                <w:sz w:val="20"/>
                <w:szCs w:val="20"/>
              </w:rPr>
            </w:pPr>
            <w:r w:rsidRPr="00861D9B">
              <w:rPr>
                <w:rFonts w:ascii="Times New Roman" w:hAnsi="Times New Roman" w:cs="Times New Roman"/>
                <w:sz w:val="20"/>
                <w:szCs w:val="20"/>
              </w:rPr>
              <w:t>ia.iab.power</w:t>
            </w:r>
          </w:p>
        </w:tc>
        <w:tc>
          <w:tcPr>
            <w:tcW w:w="4240" w:type="dxa"/>
          </w:tcPr>
          <w:p w14:paraId="56E8693C" w14:textId="11E73912" w:rsidR="00FD379A" w:rsidRPr="007F7ECE" w:rsidRDefault="00FD379A" w:rsidP="00FD379A">
            <w:pPr>
              <w:widowControl w:val="0"/>
              <w:autoSpaceDE w:val="0"/>
              <w:autoSpaceDN w:val="0"/>
              <w:adjustRightInd w:val="0"/>
              <w:rPr>
                <w:rFonts w:ascii="Times New Roman" w:hAnsi="Times New Roman" w:cs="Times New Roman"/>
                <w:b/>
                <w:sz w:val="20"/>
                <w:szCs w:val="20"/>
              </w:rPr>
            </w:pPr>
            <w:r w:rsidRPr="007F7ECE">
              <w:rPr>
                <w:rFonts w:ascii="Times New Roman" w:hAnsi="Times New Roman" w:cs="Times New Roman"/>
                <w:color w:val="000000"/>
                <w:sz w:val="20"/>
                <w:szCs w:val="20"/>
              </w:rPr>
              <w:t>The role and/or independence of the Impact Assessment Board should be increased</w:t>
            </w:r>
          </w:p>
        </w:tc>
        <w:tc>
          <w:tcPr>
            <w:tcW w:w="1602" w:type="dxa"/>
          </w:tcPr>
          <w:p w14:paraId="0A5EDA36" w14:textId="2C129398"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Technocratic</w:t>
            </w:r>
          </w:p>
        </w:tc>
        <w:tc>
          <w:tcPr>
            <w:tcW w:w="1078" w:type="dxa"/>
          </w:tcPr>
          <w:p w14:paraId="2D19F6A5" w14:textId="5FB50369"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25</w:t>
            </w:r>
          </w:p>
        </w:tc>
      </w:tr>
      <w:tr w:rsidR="00FD379A" w14:paraId="5B2D1CCF" w14:textId="77777777" w:rsidTr="002E795C">
        <w:tc>
          <w:tcPr>
            <w:tcW w:w="493" w:type="dxa"/>
          </w:tcPr>
          <w:p w14:paraId="1BA46291" w14:textId="5E0BB392" w:rsidR="00FD379A" w:rsidRPr="00861D9B" w:rsidRDefault="007F7ACE" w:rsidP="00C51354">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w:t>
            </w:r>
          </w:p>
        </w:tc>
        <w:tc>
          <w:tcPr>
            <w:tcW w:w="2844" w:type="dxa"/>
          </w:tcPr>
          <w:p w14:paraId="2DC7A365" w14:textId="017FB737" w:rsidR="00FD379A" w:rsidRPr="00861D9B" w:rsidRDefault="00FD379A" w:rsidP="00FD379A">
            <w:pPr>
              <w:widowControl w:val="0"/>
              <w:autoSpaceDE w:val="0"/>
              <w:autoSpaceDN w:val="0"/>
              <w:adjustRightInd w:val="0"/>
              <w:jc w:val="center"/>
              <w:rPr>
                <w:rFonts w:ascii="Times New Roman" w:hAnsi="Times New Roman" w:cs="Times New Roman"/>
                <w:sz w:val="20"/>
                <w:szCs w:val="20"/>
              </w:rPr>
            </w:pPr>
            <w:r w:rsidRPr="00861D9B">
              <w:rPr>
                <w:rFonts w:ascii="Times New Roman" w:hAnsi="Times New Roman" w:cs="Times New Roman"/>
                <w:sz w:val="20"/>
                <w:szCs w:val="20"/>
              </w:rPr>
              <w:t>ia.meth.improve</w:t>
            </w:r>
          </w:p>
        </w:tc>
        <w:tc>
          <w:tcPr>
            <w:tcW w:w="4240" w:type="dxa"/>
          </w:tcPr>
          <w:p w14:paraId="5ED417CF" w14:textId="6E8520A2" w:rsidR="00FD379A" w:rsidRPr="007F7ECE" w:rsidRDefault="00FD379A" w:rsidP="00FD379A">
            <w:pPr>
              <w:widowControl w:val="0"/>
              <w:autoSpaceDE w:val="0"/>
              <w:autoSpaceDN w:val="0"/>
              <w:adjustRightInd w:val="0"/>
              <w:rPr>
                <w:rFonts w:ascii="Times New Roman" w:hAnsi="Times New Roman" w:cs="Times New Roman"/>
                <w:sz w:val="20"/>
                <w:szCs w:val="20"/>
              </w:rPr>
            </w:pPr>
            <w:r w:rsidRPr="007F7ECE">
              <w:rPr>
                <w:rFonts w:ascii="Times New Roman" w:hAnsi="Times New Roman" w:cs="Times New Roman"/>
                <w:sz w:val="20"/>
                <w:szCs w:val="20"/>
              </w:rPr>
              <w:t>The methodology of impact assessments must be improved.</w:t>
            </w:r>
          </w:p>
        </w:tc>
        <w:tc>
          <w:tcPr>
            <w:tcW w:w="1602" w:type="dxa"/>
          </w:tcPr>
          <w:p w14:paraId="57C9C34C" w14:textId="20DEF35D"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Technocratic</w:t>
            </w:r>
          </w:p>
        </w:tc>
        <w:tc>
          <w:tcPr>
            <w:tcW w:w="1078" w:type="dxa"/>
          </w:tcPr>
          <w:p w14:paraId="09A240EF" w14:textId="346CFDDA"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79</w:t>
            </w:r>
          </w:p>
        </w:tc>
      </w:tr>
      <w:tr w:rsidR="00FD379A" w14:paraId="07D07C5C" w14:textId="77777777" w:rsidTr="002E795C">
        <w:tc>
          <w:tcPr>
            <w:tcW w:w="493" w:type="dxa"/>
          </w:tcPr>
          <w:p w14:paraId="45FC87AC" w14:textId="29F775C9" w:rsidR="00FD379A" w:rsidRPr="00861D9B" w:rsidRDefault="007F7ACE" w:rsidP="00C51354">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14</w:t>
            </w:r>
          </w:p>
        </w:tc>
        <w:tc>
          <w:tcPr>
            <w:tcW w:w="2844" w:type="dxa"/>
          </w:tcPr>
          <w:p w14:paraId="6CB713A7" w14:textId="0C662740" w:rsidR="00FD379A" w:rsidRPr="00861D9B" w:rsidRDefault="00FD379A" w:rsidP="00FD379A">
            <w:pPr>
              <w:widowControl w:val="0"/>
              <w:autoSpaceDE w:val="0"/>
              <w:autoSpaceDN w:val="0"/>
              <w:adjustRightInd w:val="0"/>
              <w:jc w:val="center"/>
              <w:rPr>
                <w:rFonts w:ascii="Times New Roman" w:hAnsi="Times New Roman" w:cs="Times New Roman"/>
                <w:sz w:val="20"/>
                <w:szCs w:val="20"/>
              </w:rPr>
            </w:pPr>
            <w:r w:rsidRPr="00861D9B">
              <w:rPr>
                <w:rFonts w:ascii="Times New Roman" w:hAnsi="Times New Roman" w:cs="Times New Roman"/>
                <w:sz w:val="20"/>
                <w:szCs w:val="20"/>
              </w:rPr>
              <w:t>ia.scope.increase</w:t>
            </w:r>
          </w:p>
        </w:tc>
        <w:tc>
          <w:tcPr>
            <w:tcW w:w="4240" w:type="dxa"/>
          </w:tcPr>
          <w:p w14:paraId="4679E16F" w14:textId="6BE5BCE3" w:rsidR="00FD379A" w:rsidRPr="007F7ECE" w:rsidRDefault="00FD379A" w:rsidP="00FD379A">
            <w:pPr>
              <w:widowControl w:val="0"/>
              <w:autoSpaceDE w:val="0"/>
              <w:autoSpaceDN w:val="0"/>
              <w:adjustRightInd w:val="0"/>
              <w:rPr>
                <w:rFonts w:ascii="Times New Roman" w:hAnsi="Times New Roman" w:cs="Times New Roman"/>
                <w:sz w:val="20"/>
                <w:szCs w:val="20"/>
              </w:rPr>
            </w:pPr>
            <w:r w:rsidRPr="007F7ECE">
              <w:rPr>
                <w:rFonts w:ascii="Times New Roman" w:hAnsi="Times New Roman" w:cs="Times New Roman"/>
                <w:color w:val="000000"/>
                <w:sz w:val="20"/>
                <w:szCs w:val="20"/>
              </w:rPr>
              <w:t>The Commission should carry out impact assessments for more initiatives</w:t>
            </w:r>
          </w:p>
        </w:tc>
        <w:tc>
          <w:tcPr>
            <w:tcW w:w="1602" w:type="dxa"/>
          </w:tcPr>
          <w:p w14:paraId="6C8643FF" w14:textId="3E50C124"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Technocratic</w:t>
            </w:r>
          </w:p>
        </w:tc>
        <w:tc>
          <w:tcPr>
            <w:tcW w:w="1078" w:type="dxa"/>
          </w:tcPr>
          <w:p w14:paraId="4CCA2B3A" w14:textId="3B0E4E6E"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25</w:t>
            </w:r>
          </w:p>
        </w:tc>
      </w:tr>
      <w:tr w:rsidR="00FD379A" w14:paraId="047E81F5" w14:textId="77777777" w:rsidTr="002E795C">
        <w:trPr>
          <w:trHeight w:val="278"/>
        </w:trPr>
        <w:tc>
          <w:tcPr>
            <w:tcW w:w="493" w:type="dxa"/>
          </w:tcPr>
          <w:p w14:paraId="4E9D5EB0" w14:textId="47F5B03D" w:rsidR="00FD379A" w:rsidRPr="00861D9B" w:rsidRDefault="007F7ACE" w:rsidP="00C51354">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w:t>
            </w:r>
          </w:p>
        </w:tc>
        <w:tc>
          <w:tcPr>
            <w:tcW w:w="2844" w:type="dxa"/>
          </w:tcPr>
          <w:p w14:paraId="643F9496" w14:textId="03EDA346" w:rsidR="00FD379A" w:rsidRPr="00861D9B" w:rsidRDefault="00FD379A" w:rsidP="00FD379A">
            <w:pPr>
              <w:widowControl w:val="0"/>
              <w:autoSpaceDE w:val="0"/>
              <w:autoSpaceDN w:val="0"/>
              <w:adjustRightInd w:val="0"/>
              <w:jc w:val="center"/>
              <w:rPr>
                <w:rFonts w:ascii="Times New Roman" w:hAnsi="Times New Roman" w:cs="Times New Roman"/>
                <w:sz w:val="20"/>
                <w:szCs w:val="20"/>
              </w:rPr>
            </w:pPr>
            <w:r w:rsidRPr="00861D9B">
              <w:rPr>
                <w:rFonts w:ascii="Times New Roman" w:hAnsi="Times New Roman" w:cs="Times New Roman"/>
                <w:sz w:val="20"/>
                <w:szCs w:val="20"/>
              </w:rPr>
              <w:t>ialeg.</w:t>
            </w:r>
            <w:r>
              <w:rPr>
                <w:rFonts w:ascii="Times New Roman" w:hAnsi="Times New Roman" w:cs="Times New Roman"/>
                <w:sz w:val="20"/>
                <w:szCs w:val="20"/>
              </w:rPr>
              <w:t>meth.impl</w:t>
            </w:r>
          </w:p>
        </w:tc>
        <w:tc>
          <w:tcPr>
            <w:tcW w:w="4240" w:type="dxa"/>
          </w:tcPr>
          <w:p w14:paraId="7634340B" w14:textId="0866D1E6" w:rsidR="00FD379A" w:rsidRPr="007F7ECE" w:rsidRDefault="00FD379A" w:rsidP="00FD379A">
            <w:pPr>
              <w:widowControl w:val="0"/>
              <w:autoSpaceDE w:val="0"/>
              <w:autoSpaceDN w:val="0"/>
              <w:adjustRightInd w:val="0"/>
              <w:rPr>
                <w:rFonts w:ascii="Times New Roman" w:hAnsi="Times New Roman" w:cs="Times New Roman"/>
                <w:sz w:val="20"/>
                <w:szCs w:val="20"/>
              </w:rPr>
            </w:pPr>
            <w:r w:rsidRPr="007F7ECE">
              <w:rPr>
                <w:rFonts w:ascii="Times New Roman" w:hAnsi="Times New Roman" w:cs="Times New Roman"/>
                <w:color w:val="000000"/>
                <w:sz w:val="20"/>
                <w:szCs w:val="20"/>
              </w:rPr>
              <w:t>Impact assessments and new legislation should consider issues related to implementation more carefully.</w:t>
            </w:r>
          </w:p>
        </w:tc>
        <w:tc>
          <w:tcPr>
            <w:tcW w:w="1602" w:type="dxa"/>
          </w:tcPr>
          <w:p w14:paraId="67A4CEC0" w14:textId="6FD17822"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Technocratic</w:t>
            </w:r>
          </w:p>
        </w:tc>
        <w:tc>
          <w:tcPr>
            <w:tcW w:w="1078" w:type="dxa"/>
          </w:tcPr>
          <w:p w14:paraId="4BBD7AB0" w14:textId="6FC9C310"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32</w:t>
            </w:r>
          </w:p>
        </w:tc>
      </w:tr>
      <w:tr w:rsidR="00FD379A" w14:paraId="0329703D" w14:textId="77777777" w:rsidTr="002E795C">
        <w:tc>
          <w:tcPr>
            <w:tcW w:w="493" w:type="dxa"/>
          </w:tcPr>
          <w:p w14:paraId="255D00B8" w14:textId="67E5EF8F" w:rsidR="00FD379A" w:rsidRDefault="007F7ACE" w:rsidP="00C51354">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16</w:t>
            </w:r>
          </w:p>
        </w:tc>
        <w:tc>
          <w:tcPr>
            <w:tcW w:w="2844" w:type="dxa"/>
          </w:tcPr>
          <w:p w14:paraId="0888DA0C" w14:textId="46FAFA31" w:rsidR="00FD379A" w:rsidRDefault="00FD379A" w:rsidP="00FD379A">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ialeg.roadmaps.quality</w:t>
            </w:r>
          </w:p>
        </w:tc>
        <w:tc>
          <w:tcPr>
            <w:tcW w:w="4240" w:type="dxa"/>
          </w:tcPr>
          <w:p w14:paraId="0521A673" w14:textId="49C77A35" w:rsidR="00FD379A" w:rsidRPr="007F7ECE" w:rsidRDefault="00FD379A" w:rsidP="00FD379A">
            <w:pPr>
              <w:widowControl w:val="0"/>
              <w:autoSpaceDE w:val="0"/>
              <w:autoSpaceDN w:val="0"/>
              <w:adjustRightInd w:val="0"/>
              <w:rPr>
                <w:rFonts w:ascii="Times New Roman" w:hAnsi="Times New Roman" w:cs="Times New Roman"/>
                <w:sz w:val="20"/>
                <w:szCs w:val="20"/>
              </w:rPr>
            </w:pPr>
            <w:r w:rsidRPr="007F7ECE">
              <w:rPr>
                <w:rFonts w:ascii="Times New Roman" w:hAnsi="Times New Roman" w:cs="Times New Roman"/>
                <w:color w:val="000000"/>
                <w:sz w:val="20"/>
                <w:szCs w:val="20"/>
              </w:rPr>
              <w:t>Improve the quality, accessibility and use of ‘Roadmaps’</w:t>
            </w:r>
          </w:p>
        </w:tc>
        <w:tc>
          <w:tcPr>
            <w:tcW w:w="1602" w:type="dxa"/>
          </w:tcPr>
          <w:p w14:paraId="08E7453B" w14:textId="71FB6643"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Technocratic</w:t>
            </w:r>
          </w:p>
        </w:tc>
        <w:tc>
          <w:tcPr>
            <w:tcW w:w="1078" w:type="dxa"/>
          </w:tcPr>
          <w:p w14:paraId="76FB4412" w14:textId="548F1B63"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25</w:t>
            </w:r>
          </w:p>
        </w:tc>
      </w:tr>
      <w:tr w:rsidR="00FD379A" w14:paraId="00184C42" w14:textId="77777777" w:rsidTr="002E795C">
        <w:tc>
          <w:tcPr>
            <w:tcW w:w="493" w:type="dxa"/>
          </w:tcPr>
          <w:p w14:paraId="762E5AE7" w14:textId="3640C53B" w:rsidR="00FD379A" w:rsidRPr="00861D9B" w:rsidRDefault="007F7ACE" w:rsidP="00C51354">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w:t>
            </w:r>
          </w:p>
        </w:tc>
        <w:tc>
          <w:tcPr>
            <w:tcW w:w="2844" w:type="dxa"/>
          </w:tcPr>
          <w:p w14:paraId="044C4097" w14:textId="7BF1614A" w:rsidR="00FD379A" w:rsidRPr="00861D9B" w:rsidRDefault="00FD379A" w:rsidP="00FD379A">
            <w:pPr>
              <w:widowControl w:val="0"/>
              <w:autoSpaceDE w:val="0"/>
              <w:autoSpaceDN w:val="0"/>
              <w:adjustRightInd w:val="0"/>
              <w:jc w:val="center"/>
              <w:rPr>
                <w:rFonts w:ascii="Times New Roman" w:hAnsi="Times New Roman" w:cs="Times New Roman"/>
                <w:sz w:val="20"/>
                <w:szCs w:val="20"/>
              </w:rPr>
            </w:pPr>
            <w:r w:rsidRPr="00861D9B">
              <w:rPr>
                <w:rFonts w:ascii="Times New Roman" w:hAnsi="Times New Roman" w:cs="Times New Roman"/>
                <w:sz w:val="20"/>
                <w:szCs w:val="20"/>
              </w:rPr>
              <w:t>impl.improve</w:t>
            </w:r>
          </w:p>
        </w:tc>
        <w:tc>
          <w:tcPr>
            <w:tcW w:w="4240" w:type="dxa"/>
          </w:tcPr>
          <w:p w14:paraId="7C569740" w14:textId="04A824BD" w:rsidR="00FD379A" w:rsidRPr="007F7ECE" w:rsidRDefault="00FD379A" w:rsidP="00FD379A">
            <w:pPr>
              <w:widowControl w:val="0"/>
              <w:autoSpaceDE w:val="0"/>
              <w:autoSpaceDN w:val="0"/>
              <w:adjustRightInd w:val="0"/>
              <w:rPr>
                <w:rFonts w:ascii="Times New Roman" w:hAnsi="Times New Roman" w:cs="Times New Roman"/>
                <w:sz w:val="20"/>
                <w:szCs w:val="20"/>
              </w:rPr>
            </w:pPr>
            <w:r w:rsidRPr="007F7ECE">
              <w:rPr>
                <w:rFonts w:ascii="Times New Roman" w:hAnsi="Times New Roman" w:cs="Times New Roman"/>
                <w:sz w:val="20"/>
                <w:szCs w:val="20"/>
              </w:rPr>
              <w:t>Improve guidance on implementation of EU legislation.</w:t>
            </w:r>
          </w:p>
        </w:tc>
        <w:tc>
          <w:tcPr>
            <w:tcW w:w="1602" w:type="dxa"/>
          </w:tcPr>
          <w:p w14:paraId="5B61072D" w14:textId="1A138D68"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Technocratic</w:t>
            </w:r>
          </w:p>
        </w:tc>
        <w:tc>
          <w:tcPr>
            <w:tcW w:w="1078" w:type="dxa"/>
          </w:tcPr>
          <w:p w14:paraId="20F56D82" w14:textId="447908BA" w:rsidR="00FD379A" w:rsidRPr="00FD379A" w:rsidRDefault="00FD379A" w:rsidP="00FD379A">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69</w:t>
            </w:r>
          </w:p>
        </w:tc>
      </w:tr>
      <w:tr w:rsidR="007F7ACE" w14:paraId="4AF812A9" w14:textId="77777777" w:rsidTr="002E795C">
        <w:tc>
          <w:tcPr>
            <w:tcW w:w="493" w:type="dxa"/>
          </w:tcPr>
          <w:p w14:paraId="0174F417" w14:textId="10E33996" w:rsidR="007F7ACE"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18</w:t>
            </w:r>
          </w:p>
        </w:tc>
        <w:tc>
          <w:tcPr>
            <w:tcW w:w="2844" w:type="dxa"/>
          </w:tcPr>
          <w:p w14:paraId="7EC4CD0D" w14:textId="77777777" w:rsidR="007F7ACE" w:rsidRPr="00D4066C"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w:t>
            </w:r>
            <w:r w:rsidRPr="00D4066C">
              <w:rPr>
                <w:rFonts w:ascii="Times New Roman" w:hAnsi="Times New Roman" w:cs="Times New Roman"/>
                <w:sz w:val="20"/>
                <w:szCs w:val="20"/>
              </w:rPr>
              <w:t>ons.broadness.not.allelementsia</w:t>
            </w:r>
          </w:p>
        </w:tc>
        <w:tc>
          <w:tcPr>
            <w:tcW w:w="4240" w:type="dxa"/>
          </w:tcPr>
          <w:p w14:paraId="5EFB5C7D" w14:textId="77777777" w:rsidR="007F7ACE" w:rsidRPr="005D0955" w:rsidRDefault="007F7ACE" w:rsidP="007F7ACE">
            <w:pPr>
              <w:widowControl w:val="0"/>
              <w:autoSpaceDE w:val="0"/>
              <w:autoSpaceDN w:val="0"/>
              <w:adjustRightInd w:val="0"/>
              <w:rPr>
                <w:rFonts w:ascii="Times New Roman" w:hAnsi="Times New Roman" w:cs="Times New Roman"/>
                <w:sz w:val="20"/>
                <w:szCs w:val="20"/>
              </w:rPr>
            </w:pPr>
            <w:r w:rsidRPr="005D0955">
              <w:rPr>
                <w:rFonts w:ascii="Times New Roman" w:hAnsi="Times New Roman" w:cs="Times New Roman"/>
                <w:color w:val="000000"/>
                <w:sz w:val="20"/>
                <w:szCs w:val="20"/>
                <w:lang w:val="en-GB"/>
              </w:rPr>
              <w:t>Consultations do not cover all elements of impact assessments</w:t>
            </w:r>
          </w:p>
        </w:tc>
        <w:tc>
          <w:tcPr>
            <w:tcW w:w="1602" w:type="dxa"/>
          </w:tcPr>
          <w:p w14:paraId="6C181B06"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Participatory</w:t>
            </w:r>
          </w:p>
        </w:tc>
        <w:tc>
          <w:tcPr>
            <w:tcW w:w="1078" w:type="dxa"/>
          </w:tcPr>
          <w:p w14:paraId="73D1996E"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22</w:t>
            </w:r>
          </w:p>
        </w:tc>
      </w:tr>
      <w:tr w:rsidR="007F7ACE" w14:paraId="54D61B57" w14:textId="77777777" w:rsidTr="002E795C">
        <w:tc>
          <w:tcPr>
            <w:tcW w:w="493" w:type="dxa"/>
          </w:tcPr>
          <w:p w14:paraId="29F0C76B" w14:textId="3AB98F0B" w:rsidR="007F7ACE"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19</w:t>
            </w:r>
          </w:p>
        </w:tc>
        <w:tc>
          <w:tcPr>
            <w:tcW w:w="2844" w:type="dxa"/>
          </w:tcPr>
          <w:p w14:paraId="151F2E8A" w14:textId="77777777" w:rsidR="007F7ACE" w:rsidRPr="00D4066C"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w:t>
            </w:r>
            <w:r w:rsidRPr="00D4066C">
              <w:rPr>
                <w:rFonts w:ascii="Times New Roman" w:hAnsi="Times New Roman" w:cs="Times New Roman"/>
                <w:sz w:val="20"/>
                <w:szCs w:val="20"/>
              </w:rPr>
              <w:t>ons.docs.improve.partic</w:t>
            </w:r>
          </w:p>
        </w:tc>
        <w:tc>
          <w:tcPr>
            <w:tcW w:w="4240" w:type="dxa"/>
          </w:tcPr>
          <w:p w14:paraId="68490F5D" w14:textId="77777777" w:rsidR="007F7ACE" w:rsidRPr="007F7ECE" w:rsidRDefault="007F7ACE" w:rsidP="007F7ACE">
            <w:pPr>
              <w:widowControl w:val="0"/>
              <w:autoSpaceDE w:val="0"/>
              <w:autoSpaceDN w:val="0"/>
              <w:adjustRightInd w:val="0"/>
              <w:rPr>
                <w:rFonts w:ascii="Times New Roman" w:hAnsi="Times New Roman" w:cs="Times New Roman"/>
                <w:sz w:val="20"/>
                <w:szCs w:val="20"/>
              </w:rPr>
            </w:pPr>
            <w:r w:rsidRPr="007F7ECE">
              <w:rPr>
                <w:rFonts w:ascii="Times New Roman" w:hAnsi="Times New Roman" w:cs="Times New Roman"/>
                <w:sz w:val="20"/>
                <w:szCs w:val="20"/>
              </w:rPr>
              <w:t>Consultation documents should be reconsidered so as to improve participation.</w:t>
            </w:r>
          </w:p>
        </w:tc>
        <w:tc>
          <w:tcPr>
            <w:tcW w:w="1602" w:type="dxa"/>
          </w:tcPr>
          <w:p w14:paraId="55DF5B92"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Participatory</w:t>
            </w:r>
          </w:p>
        </w:tc>
        <w:tc>
          <w:tcPr>
            <w:tcW w:w="1078" w:type="dxa"/>
          </w:tcPr>
          <w:p w14:paraId="74C8C262"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28</w:t>
            </w:r>
          </w:p>
        </w:tc>
      </w:tr>
      <w:tr w:rsidR="007F7ACE" w14:paraId="343222DD" w14:textId="77777777" w:rsidTr="002E795C">
        <w:trPr>
          <w:trHeight w:val="287"/>
        </w:trPr>
        <w:tc>
          <w:tcPr>
            <w:tcW w:w="493" w:type="dxa"/>
          </w:tcPr>
          <w:p w14:paraId="2AC04F75" w14:textId="5E2574BA" w:rsidR="007F7ACE"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w:t>
            </w:r>
          </w:p>
        </w:tc>
        <w:tc>
          <w:tcPr>
            <w:tcW w:w="2844" w:type="dxa"/>
          </w:tcPr>
          <w:p w14:paraId="2EB4F9D8" w14:textId="77777777" w:rsidR="007F7ACE" w:rsidRPr="00D4066C"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w:t>
            </w:r>
            <w:r w:rsidRPr="00D4066C">
              <w:rPr>
                <w:rFonts w:ascii="Times New Roman" w:hAnsi="Times New Roman" w:cs="Times New Roman"/>
                <w:sz w:val="20"/>
                <w:szCs w:val="20"/>
              </w:rPr>
              <w:t>ons.feedback.not.sufficient</w:t>
            </w:r>
          </w:p>
        </w:tc>
        <w:tc>
          <w:tcPr>
            <w:tcW w:w="4240" w:type="dxa"/>
          </w:tcPr>
          <w:p w14:paraId="6FE1B21A" w14:textId="77777777" w:rsidR="007F7ACE" w:rsidRPr="007F7ECE" w:rsidRDefault="007F7ACE" w:rsidP="007F7ACE">
            <w:pPr>
              <w:widowControl w:val="0"/>
              <w:autoSpaceDE w:val="0"/>
              <w:autoSpaceDN w:val="0"/>
              <w:adjustRightInd w:val="0"/>
              <w:rPr>
                <w:rFonts w:ascii="Times New Roman" w:hAnsi="Times New Roman" w:cs="Times New Roman"/>
                <w:b/>
                <w:sz w:val="20"/>
                <w:szCs w:val="20"/>
              </w:rPr>
            </w:pPr>
            <w:r w:rsidRPr="007F7ECE">
              <w:rPr>
                <w:rFonts w:ascii="Times New Roman" w:hAnsi="Times New Roman" w:cs="Times New Roman"/>
                <w:color w:val="000000"/>
                <w:sz w:val="20"/>
                <w:szCs w:val="20"/>
                <w:lang w:val="en-GB"/>
              </w:rPr>
              <w:t>Need to improve the quality and transparency of the feedback on the impact of consultations.</w:t>
            </w:r>
          </w:p>
        </w:tc>
        <w:tc>
          <w:tcPr>
            <w:tcW w:w="1602" w:type="dxa"/>
          </w:tcPr>
          <w:p w14:paraId="407A7918"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Participatory</w:t>
            </w:r>
          </w:p>
        </w:tc>
        <w:tc>
          <w:tcPr>
            <w:tcW w:w="1078" w:type="dxa"/>
          </w:tcPr>
          <w:p w14:paraId="35846C0E"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45</w:t>
            </w:r>
          </w:p>
        </w:tc>
      </w:tr>
      <w:tr w:rsidR="007F7ACE" w14:paraId="1B5C03E2" w14:textId="77777777" w:rsidTr="002E795C">
        <w:tc>
          <w:tcPr>
            <w:tcW w:w="493" w:type="dxa"/>
          </w:tcPr>
          <w:p w14:paraId="0A55BC12" w14:textId="26242BE2" w:rsidR="007F7ACE"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21</w:t>
            </w:r>
          </w:p>
        </w:tc>
        <w:tc>
          <w:tcPr>
            <w:tcW w:w="2844" w:type="dxa"/>
          </w:tcPr>
          <w:p w14:paraId="161CC2A7" w14:textId="77777777" w:rsidR="007F7ACE" w:rsidRPr="00D4066C"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w:t>
            </w:r>
            <w:r w:rsidRPr="00D4066C">
              <w:rPr>
                <w:rFonts w:ascii="Times New Roman" w:hAnsi="Times New Roman" w:cs="Times New Roman"/>
                <w:sz w:val="20"/>
                <w:szCs w:val="20"/>
              </w:rPr>
              <w:t>ons.scope.extend</w:t>
            </w:r>
          </w:p>
        </w:tc>
        <w:tc>
          <w:tcPr>
            <w:tcW w:w="4240" w:type="dxa"/>
          </w:tcPr>
          <w:p w14:paraId="6864386A" w14:textId="77777777" w:rsidR="007F7ACE" w:rsidRPr="007F7ECE" w:rsidRDefault="007F7ACE" w:rsidP="007F7ACE">
            <w:pPr>
              <w:widowControl w:val="0"/>
              <w:autoSpaceDE w:val="0"/>
              <w:autoSpaceDN w:val="0"/>
              <w:adjustRightInd w:val="0"/>
              <w:rPr>
                <w:rFonts w:ascii="Times New Roman" w:hAnsi="Times New Roman" w:cs="Times New Roman"/>
                <w:sz w:val="20"/>
                <w:szCs w:val="20"/>
              </w:rPr>
            </w:pPr>
            <w:r w:rsidRPr="007F7ECE">
              <w:rPr>
                <w:rFonts w:ascii="Times New Roman" w:hAnsi="Times New Roman" w:cs="Times New Roman"/>
                <w:sz w:val="20"/>
                <w:szCs w:val="20"/>
              </w:rPr>
              <w:t>Consultations should be extended to more types of acts /initiative/events and policy stages.</w:t>
            </w:r>
          </w:p>
        </w:tc>
        <w:tc>
          <w:tcPr>
            <w:tcW w:w="1602" w:type="dxa"/>
          </w:tcPr>
          <w:p w14:paraId="67D519BD"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Participatory</w:t>
            </w:r>
          </w:p>
        </w:tc>
        <w:tc>
          <w:tcPr>
            <w:tcW w:w="1078" w:type="dxa"/>
          </w:tcPr>
          <w:p w14:paraId="754962B1"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80</w:t>
            </w:r>
          </w:p>
        </w:tc>
      </w:tr>
      <w:tr w:rsidR="007F7ACE" w14:paraId="00AF8CC0" w14:textId="77777777" w:rsidTr="002E795C">
        <w:trPr>
          <w:trHeight w:val="278"/>
        </w:trPr>
        <w:tc>
          <w:tcPr>
            <w:tcW w:w="493" w:type="dxa"/>
          </w:tcPr>
          <w:p w14:paraId="340DB803" w14:textId="219599F9" w:rsidR="007F7ACE"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22</w:t>
            </w:r>
          </w:p>
        </w:tc>
        <w:tc>
          <w:tcPr>
            <w:tcW w:w="2844" w:type="dxa"/>
          </w:tcPr>
          <w:p w14:paraId="0D592CCD" w14:textId="77777777" w:rsidR="007F7ACE" w:rsidRPr="00D4066C"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w:t>
            </w:r>
            <w:r w:rsidRPr="00D4066C">
              <w:rPr>
                <w:rFonts w:ascii="Times New Roman" w:hAnsi="Times New Roman" w:cs="Times New Roman"/>
                <w:sz w:val="20"/>
                <w:szCs w:val="20"/>
              </w:rPr>
              <w:t>ons.input.weightmeth</w:t>
            </w:r>
          </w:p>
        </w:tc>
        <w:tc>
          <w:tcPr>
            <w:tcW w:w="4240" w:type="dxa"/>
          </w:tcPr>
          <w:p w14:paraId="3118628E" w14:textId="77777777" w:rsidR="007F7ACE" w:rsidRPr="007F7ECE" w:rsidRDefault="007F7ACE" w:rsidP="007F7ACE">
            <w:pPr>
              <w:widowControl w:val="0"/>
              <w:autoSpaceDE w:val="0"/>
              <w:autoSpaceDN w:val="0"/>
              <w:adjustRightInd w:val="0"/>
              <w:rPr>
                <w:rFonts w:ascii="Times New Roman" w:hAnsi="Times New Roman" w:cs="Times New Roman"/>
                <w:sz w:val="20"/>
                <w:szCs w:val="20"/>
              </w:rPr>
            </w:pPr>
            <w:r w:rsidRPr="007F7ECE">
              <w:rPr>
                <w:rFonts w:ascii="Times New Roman" w:hAnsi="Times New Roman" w:cs="Times New Roman"/>
                <w:sz w:val="20"/>
                <w:szCs w:val="20"/>
              </w:rPr>
              <w:t>Consultation responses should be weighted according to stakeholders’ representativeness.</w:t>
            </w:r>
          </w:p>
        </w:tc>
        <w:tc>
          <w:tcPr>
            <w:tcW w:w="1602" w:type="dxa"/>
          </w:tcPr>
          <w:p w14:paraId="0F89B044"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Participatory</w:t>
            </w:r>
          </w:p>
        </w:tc>
        <w:tc>
          <w:tcPr>
            <w:tcW w:w="1078" w:type="dxa"/>
          </w:tcPr>
          <w:p w14:paraId="303BC98A"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17</w:t>
            </w:r>
          </w:p>
        </w:tc>
      </w:tr>
      <w:tr w:rsidR="007F7ACE" w14:paraId="103CCB20" w14:textId="77777777" w:rsidTr="002E795C">
        <w:trPr>
          <w:trHeight w:val="278"/>
        </w:trPr>
        <w:tc>
          <w:tcPr>
            <w:tcW w:w="493" w:type="dxa"/>
          </w:tcPr>
          <w:p w14:paraId="69B75E84" w14:textId="611DD026" w:rsidR="007F7ACE" w:rsidRPr="00D4066C"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23</w:t>
            </w:r>
          </w:p>
        </w:tc>
        <w:tc>
          <w:tcPr>
            <w:tcW w:w="2844" w:type="dxa"/>
          </w:tcPr>
          <w:p w14:paraId="3AB1D3B5" w14:textId="77777777" w:rsidR="007F7ACE" w:rsidRPr="00D4066C" w:rsidRDefault="007F7ACE" w:rsidP="007F7ACE">
            <w:pPr>
              <w:widowControl w:val="0"/>
              <w:autoSpaceDE w:val="0"/>
              <w:autoSpaceDN w:val="0"/>
              <w:adjustRightInd w:val="0"/>
              <w:jc w:val="center"/>
              <w:rPr>
                <w:rFonts w:ascii="Times New Roman" w:hAnsi="Times New Roman" w:cs="Times New Roman"/>
                <w:sz w:val="20"/>
                <w:szCs w:val="20"/>
              </w:rPr>
            </w:pPr>
            <w:r w:rsidRPr="00D4066C">
              <w:rPr>
                <w:rFonts w:ascii="Times New Roman" w:hAnsi="Times New Roman" w:cs="Times New Roman"/>
                <w:sz w:val="20"/>
                <w:szCs w:val="20"/>
              </w:rPr>
              <w:t>cons.outreach.improve</w:t>
            </w:r>
          </w:p>
        </w:tc>
        <w:tc>
          <w:tcPr>
            <w:tcW w:w="4240" w:type="dxa"/>
          </w:tcPr>
          <w:p w14:paraId="53139F51" w14:textId="77777777" w:rsidR="007F7ACE" w:rsidRPr="007F7ECE" w:rsidRDefault="007F7ACE" w:rsidP="007F7ACE">
            <w:pPr>
              <w:widowControl w:val="0"/>
              <w:autoSpaceDE w:val="0"/>
              <w:autoSpaceDN w:val="0"/>
              <w:adjustRightInd w:val="0"/>
              <w:rPr>
                <w:rFonts w:ascii="Times New Roman" w:hAnsi="Times New Roman" w:cs="Times New Roman"/>
                <w:sz w:val="20"/>
                <w:szCs w:val="20"/>
              </w:rPr>
            </w:pPr>
            <w:r w:rsidRPr="007F7ECE">
              <w:rPr>
                <w:rFonts w:ascii="Times New Roman" w:hAnsi="Times New Roman" w:cs="Times New Roman"/>
                <w:sz w:val="20"/>
                <w:szCs w:val="20"/>
              </w:rPr>
              <w:t>The outreach of consultation needs to be improved.</w:t>
            </w:r>
          </w:p>
        </w:tc>
        <w:tc>
          <w:tcPr>
            <w:tcW w:w="1602" w:type="dxa"/>
          </w:tcPr>
          <w:p w14:paraId="32D3DB17"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Participatory</w:t>
            </w:r>
          </w:p>
        </w:tc>
        <w:tc>
          <w:tcPr>
            <w:tcW w:w="1078" w:type="dxa"/>
          </w:tcPr>
          <w:p w14:paraId="0488D415"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61</w:t>
            </w:r>
          </w:p>
        </w:tc>
      </w:tr>
      <w:tr w:rsidR="007F7ACE" w14:paraId="34FD6AD0" w14:textId="77777777" w:rsidTr="002E795C">
        <w:tc>
          <w:tcPr>
            <w:tcW w:w="493" w:type="dxa"/>
          </w:tcPr>
          <w:p w14:paraId="07494586" w14:textId="26C1177F" w:rsidR="007F7ACE"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24</w:t>
            </w:r>
          </w:p>
        </w:tc>
        <w:tc>
          <w:tcPr>
            <w:tcW w:w="2844" w:type="dxa"/>
          </w:tcPr>
          <w:p w14:paraId="20FCD051" w14:textId="77777777" w:rsidR="007F7ACE" w:rsidRPr="00D4066C"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w:t>
            </w:r>
            <w:r w:rsidRPr="00D4066C">
              <w:rPr>
                <w:rFonts w:ascii="Times New Roman" w:hAnsi="Times New Roman" w:cs="Times New Roman"/>
                <w:sz w:val="20"/>
                <w:szCs w:val="20"/>
              </w:rPr>
              <w:t>ons.outreach.social</w:t>
            </w:r>
          </w:p>
        </w:tc>
        <w:tc>
          <w:tcPr>
            <w:tcW w:w="4240" w:type="dxa"/>
          </w:tcPr>
          <w:p w14:paraId="1DD07477" w14:textId="77777777" w:rsidR="007F7ACE" w:rsidRPr="007F7ECE" w:rsidRDefault="007F7ACE" w:rsidP="007F7ACE">
            <w:pPr>
              <w:widowControl w:val="0"/>
              <w:autoSpaceDE w:val="0"/>
              <w:autoSpaceDN w:val="0"/>
              <w:adjustRightInd w:val="0"/>
              <w:rPr>
                <w:rFonts w:ascii="Times New Roman" w:hAnsi="Times New Roman" w:cs="Times New Roman"/>
                <w:sz w:val="20"/>
                <w:szCs w:val="20"/>
              </w:rPr>
            </w:pPr>
            <w:r w:rsidRPr="007F7ECE">
              <w:rPr>
                <w:rFonts w:ascii="Times New Roman" w:hAnsi="Times New Roman" w:cs="Times New Roman"/>
                <w:sz w:val="20"/>
                <w:szCs w:val="20"/>
              </w:rPr>
              <w:t>Improve consultation outreach to social partners and citizens.</w:t>
            </w:r>
          </w:p>
        </w:tc>
        <w:tc>
          <w:tcPr>
            <w:tcW w:w="1602" w:type="dxa"/>
          </w:tcPr>
          <w:p w14:paraId="6110C62E"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Participatory</w:t>
            </w:r>
          </w:p>
        </w:tc>
        <w:tc>
          <w:tcPr>
            <w:tcW w:w="1078" w:type="dxa"/>
          </w:tcPr>
          <w:p w14:paraId="5B8FC174"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8</w:t>
            </w:r>
          </w:p>
        </w:tc>
      </w:tr>
      <w:tr w:rsidR="007F7ACE" w14:paraId="5FE05D76" w14:textId="77777777" w:rsidTr="002E795C">
        <w:trPr>
          <w:trHeight w:val="278"/>
        </w:trPr>
        <w:tc>
          <w:tcPr>
            <w:tcW w:w="493" w:type="dxa"/>
          </w:tcPr>
          <w:p w14:paraId="78F78813" w14:textId="5050F337" w:rsidR="007F7ACE"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25</w:t>
            </w:r>
          </w:p>
        </w:tc>
        <w:tc>
          <w:tcPr>
            <w:tcW w:w="2844" w:type="dxa"/>
          </w:tcPr>
          <w:p w14:paraId="4B2C2AED" w14:textId="77777777" w:rsidR="007F7ACE" w:rsidRPr="00D4066C"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w:t>
            </w:r>
            <w:r w:rsidRPr="00D4066C">
              <w:rPr>
                <w:rFonts w:ascii="Times New Roman" w:hAnsi="Times New Roman" w:cs="Times New Roman"/>
                <w:sz w:val="20"/>
                <w:szCs w:val="20"/>
              </w:rPr>
              <w:t>ons.timing.not.good</w:t>
            </w:r>
          </w:p>
        </w:tc>
        <w:tc>
          <w:tcPr>
            <w:tcW w:w="4240" w:type="dxa"/>
          </w:tcPr>
          <w:p w14:paraId="7877A0D5" w14:textId="77777777" w:rsidR="007F7ACE" w:rsidRPr="007F7ECE" w:rsidRDefault="007F7ACE" w:rsidP="007F7ACE">
            <w:pPr>
              <w:widowControl w:val="0"/>
              <w:autoSpaceDE w:val="0"/>
              <w:autoSpaceDN w:val="0"/>
              <w:adjustRightInd w:val="0"/>
              <w:rPr>
                <w:rFonts w:ascii="Times New Roman" w:hAnsi="Times New Roman" w:cs="Times New Roman"/>
                <w:sz w:val="20"/>
                <w:szCs w:val="20"/>
              </w:rPr>
            </w:pPr>
            <w:r w:rsidRPr="007F7ECE">
              <w:rPr>
                <w:rFonts w:ascii="Times New Roman" w:hAnsi="Times New Roman" w:cs="Times New Roman"/>
                <w:sz w:val="20"/>
                <w:szCs w:val="20"/>
              </w:rPr>
              <w:t>Not enough time to respond to consultations.</w:t>
            </w:r>
          </w:p>
        </w:tc>
        <w:tc>
          <w:tcPr>
            <w:tcW w:w="1602" w:type="dxa"/>
          </w:tcPr>
          <w:p w14:paraId="20620A4F"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Participatory</w:t>
            </w:r>
          </w:p>
        </w:tc>
        <w:tc>
          <w:tcPr>
            <w:tcW w:w="1078" w:type="dxa"/>
          </w:tcPr>
          <w:p w14:paraId="6C324726"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53</w:t>
            </w:r>
          </w:p>
        </w:tc>
      </w:tr>
      <w:tr w:rsidR="007F7ACE" w14:paraId="2007623B" w14:textId="77777777" w:rsidTr="002E795C">
        <w:tc>
          <w:tcPr>
            <w:tcW w:w="493" w:type="dxa"/>
          </w:tcPr>
          <w:p w14:paraId="3D6E5DFF" w14:textId="33B6CA24" w:rsidR="007F7ACE" w:rsidRPr="00D4066C" w:rsidRDefault="007F7ACE" w:rsidP="007F7AC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26</w:t>
            </w:r>
          </w:p>
        </w:tc>
        <w:tc>
          <w:tcPr>
            <w:tcW w:w="2844" w:type="dxa"/>
          </w:tcPr>
          <w:p w14:paraId="4E18C937" w14:textId="77777777" w:rsidR="007F7ACE" w:rsidRPr="00D4066C" w:rsidRDefault="007F7ACE" w:rsidP="007F7ACE">
            <w:pPr>
              <w:widowControl w:val="0"/>
              <w:autoSpaceDE w:val="0"/>
              <w:autoSpaceDN w:val="0"/>
              <w:adjustRightInd w:val="0"/>
              <w:jc w:val="center"/>
              <w:rPr>
                <w:rFonts w:ascii="Times New Roman" w:hAnsi="Times New Roman" w:cs="Times New Roman"/>
                <w:sz w:val="20"/>
                <w:szCs w:val="20"/>
              </w:rPr>
            </w:pPr>
            <w:r w:rsidRPr="00D4066C">
              <w:rPr>
                <w:rFonts w:ascii="Times New Roman" w:hAnsi="Times New Roman" w:cs="Times New Roman"/>
                <w:sz w:val="20"/>
                <w:szCs w:val="20"/>
              </w:rPr>
              <w:t>stricter.applic.cons.principles</w:t>
            </w:r>
          </w:p>
        </w:tc>
        <w:tc>
          <w:tcPr>
            <w:tcW w:w="4240" w:type="dxa"/>
          </w:tcPr>
          <w:p w14:paraId="27EC2B0F" w14:textId="77777777" w:rsidR="007F7ACE" w:rsidRPr="007F7ECE" w:rsidRDefault="007F7ACE" w:rsidP="007F7ACE">
            <w:pPr>
              <w:widowControl w:val="0"/>
              <w:autoSpaceDE w:val="0"/>
              <w:autoSpaceDN w:val="0"/>
              <w:adjustRightInd w:val="0"/>
              <w:rPr>
                <w:rFonts w:ascii="Times New Roman" w:hAnsi="Times New Roman" w:cs="Times New Roman"/>
                <w:sz w:val="20"/>
                <w:szCs w:val="20"/>
              </w:rPr>
            </w:pPr>
            <w:r w:rsidRPr="007F7ECE">
              <w:rPr>
                <w:rFonts w:ascii="Times New Roman" w:hAnsi="Times New Roman" w:cs="Times New Roman"/>
                <w:sz w:val="20"/>
                <w:szCs w:val="20"/>
              </w:rPr>
              <w:t>Consultation principles should be more strictly applied.</w:t>
            </w:r>
          </w:p>
        </w:tc>
        <w:tc>
          <w:tcPr>
            <w:tcW w:w="1602" w:type="dxa"/>
          </w:tcPr>
          <w:p w14:paraId="2A3C9D64"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Participatory</w:t>
            </w:r>
          </w:p>
        </w:tc>
        <w:tc>
          <w:tcPr>
            <w:tcW w:w="1078" w:type="dxa"/>
          </w:tcPr>
          <w:p w14:paraId="726ECEFB" w14:textId="77777777" w:rsidR="007F7ACE" w:rsidRPr="00FD379A" w:rsidRDefault="007F7ACE" w:rsidP="007F7ACE">
            <w:pPr>
              <w:widowControl w:val="0"/>
              <w:autoSpaceDE w:val="0"/>
              <w:autoSpaceDN w:val="0"/>
              <w:adjustRightInd w:val="0"/>
              <w:jc w:val="center"/>
              <w:rPr>
                <w:rFonts w:ascii="Times New Roman" w:hAnsi="Times New Roman" w:cs="Times New Roman"/>
                <w:sz w:val="20"/>
                <w:szCs w:val="20"/>
              </w:rPr>
            </w:pPr>
            <w:r w:rsidRPr="00FD379A">
              <w:rPr>
                <w:rFonts w:ascii="Times New Roman" w:hAnsi="Times New Roman" w:cs="Times New Roman"/>
                <w:sz w:val="20"/>
                <w:szCs w:val="20"/>
              </w:rPr>
              <w:t>30</w:t>
            </w:r>
          </w:p>
        </w:tc>
      </w:tr>
    </w:tbl>
    <w:p w14:paraId="2B4B2E0D" w14:textId="4EEF2B8A" w:rsidR="004E6FB7" w:rsidRPr="00C57FE9" w:rsidRDefault="00133589" w:rsidP="00C57FE9">
      <w:pPr>
        <w:rPr>
          <w:rFonts w:ascii="Times New Roman" w:hAnsi="Times New Roman" w:cs="Times New Roman"/>
          <w:b/>
        </w:rPr>
      </w:pPr>
      <w:r w:rsidRPr="00C57FE9">
        <w:rPr>
          <w:rFonts w:ascii="Times New Roman" w:hAnsi="Times New Roman" w:cs="Times New Roman"/>
          <w:b/>
        </w:rPr>
        <w:lastRenderedPageBreak/>
        <w:t>Table 2.</w:t>
      </w:r>
      <w:r w:rsidR="004E6FB7" w:rsidRPr="00C57FE9">
        <w:rPr>
          <w:rFonts w:ascii="Times New Roman" w:hAnsi="Times New Roman" w:cs="Times New Roman"/>
          <w:b/>
        </w:rPr>
        <w:t xml:space="preserve"> </w:t>
      </w:r>
      <w:r w:rsidR="00215FCD" w:rsidRPr="00C57FE9">
        <w:rPr>
          <w:rFonts w:ascii="Times New Roman" w:hAnsi="Times New Roman" w:cs="Times New Roman"/>
          <w:b/>
        </w:rPr>
        <w:t>Poisson</w:t>
      </w:r>
      <w:r w:rsidR="004E6FB7" w:rsidRPr="00C57FE9">
        <w:rPr>
          <w:rFonts w:ascii="Times New Roman" w:hAnsi="Times New Roman" w:cs="Times New Roman"/>
          <w:b/>
        </w:rPr>
        <w:t xml:space="preserve"> regression models explaining </w:t>
      </w:r>
      <w:r w:rsidRPr="00C57FE9">
        <w:rPr>
          <w:rFonts w:ascii="Times New Roman" w:hAnsi="Times New Roman" w:cs="Times New Roman"/>
          <w:b/>
        </w:rPr>
        <w:t>stakeholders’</w:t>
      </w:r>
      <w:r w:rsidR="004E6FB7" w:rsidRPr="00C57FE9">
        <w:rPr>
          <w:rFonts w:ascii="Times New Roman" w:hAnsi="Times New Roman" w:cs="Times New Roman"/>
          <w:b/>
        </w:rPr>
        <w:t xml:space="preserve"> support for different types of Better Regulation reforms.</w:t>
      </w:r>
    </w:p>
    <w:tbl>
      <w:tblPr>
        <w:tblStyle w:val="TableGrid"/>
        <w:tblW w:w="0" w:type="auto"/>
        <w:tblInd w:w="-5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9"/>
        <w:gridCol w:w="1550"/>
        <w:gridCol w:w="1603"/>
        <w:gridCol w:w="1550"/>
        <w:gridCol w:w="1603"/>
      </w:tblGrid>
      <w:tr w:rsidR="00821610" w14:paraId="101CFA1E" w14:textId="77777777" w:rsidTr="00821610">
        <w:tc>
          <w:tcPr>
            <w:tcW w:w="2994" w:type="dxa"/>
          </w:tcPr>
          <w:p w14:paraId="38F491AE" w14:textId="77777777" w:rsidR="00821610" w:rsidRPr="00C57FE9" w:rsidRDefault="00821610" w:rsidP="00F3480E">
            <w:pPr>
              <w:widowControl w:val="0"/>
              <w:autoSpaceDE w:val="0"/>
              <w:autoSpaceDN w:val="0"/>
              <w:adjustRightInd w:val="0"/>
              <w:rPr>
                <w:rFonts w:ascii="Times New Roman" w:hAnsi="Times New Roman" w:cs="Times New Roman"/>
                <w:b/>
              </w:rPr>
            </w:pPr>
          </w:p>
        </w:tc>
        <w:tc>
          <w:tcPr>
            <w:tcW w:w="1468" w:type="dxa"/>
          </w:tcPr>
          <w:p w14:paraId="19859BA0" w14:textId="0D1CEE79" w:rsidR="00821610" w:rsidRPr="00C57FE9" w:rsidRDefault="00821610" w:rsidP="00326091">
            <w:pPr>
              <w:widowControl w:val="0"/>
              <w:autoSpaceDE w:val="0"/>
              <w:autoSpaceDN w:val="0"/>
              <w:adjustRightInd w:val="0"/>
              <w:jc w:val="center"/>
              <w:rPr>
                <w:rFonts w:ascii="Times New Roman" w:hAnsi="Times New Roman" w:cs="Times New Roman"/>
                <w:b/>
              </w:rPr>
            </w:pPr>
            <w:r w:rsidRPr="00C57FE9">
              <w:rPr>
                <w:rFonts w:ascii="Times New Roman" w:hAnsi="Times New Roman" w:cs="Times New Roman"/>
                <w:b/>
              </w:rPr>
              <w:t>Model 1</w:t>
            </w:r>
          </w:p>
        </w:tc>
        <w:tc>
          <w:tcPr>
            <w:tcW w:w="1488" w:type="dxa"/>
          </w:tcPr>
          <w:p w14:paraId="35B013AE" w14:textId="1DB47B8C" w:rsidR="00821610" w:rsidRPr="00C57FE9" w:rsidRDefault="00821610" w:rsidP="002C1A92">
            <w:pPr>
              <w:widowControl w:val="0"/>
              <w:autoSpaceDE w:val="0"/>
              <w:autoSpaceDN w:val="0"/>
              <w:adjustRightInd w:val="0"/>
              <w:jc w:val="center"/>
              <w:rPr>
                <w:rFonts w:ascii="Times New Roman" w:hAnsi="Times New Roman" w:cs="Times New Roman"/>
                <w:b/>
              </w:rPr>
            </w:pPr>
            <w:r w:rsidRPr="00C57FE9">
              <w:rPr>
                <w:rFonts w:ascii="Times New Roman" w:hAnsi="Times New Roman" w:cs="Times New Roman"/>
                <w:b/>
              </w:rPr>
              <w:t>Model 2</w:t>
            </w:r>
          </w:p>
        </w:tc>
        <w:tc>
          <w:tcPr>
            <w:tcW w:w="1515" w:type="dxa"/>
          </w:tcPr>
          <w:p w14:paraId="1E7C2468" w14:textId="2FF46C06" w:rsidR="00821610" w:rsidRPr="00C57FE9" w:rsidRDefault="00821610" w:rsidP="002C1A92">
            <w:pPr>
              <w:widowControl w:val="0"/>
              <w:autoSpaceDE w:val="0"/>
              <w:autoSpaceDN w:val="0"/>
              <w:adjustRightInd w:val="0"/>
              <w:jc w:val="center"/>
              <w:rPr>
                <w:rFonts w:ascii="Times New Roman" w:hAnsi="Times New Roman" w:cs="Times New Roman"/>
                <w:b/>
              </w:rPr>
            </w:pPr>
            <w:r w:rsidRPr="00C57FE9">
              <w:rPr>
                <w:rFonts w:ascii="Times New Roman" w:hAnsi="Times New Roman" w:cs="Times New Roman"/>
                <w:b/>
              </w:rPr>
              <w:t>Model 3</w:t>
            </w:r>
          </w:p>
        </w:tc>
        <w:tc>
          <w:tcPr>
            <w:tcW w:w="1570" w:type="dxa"/>
          </w:tcPr>
          <w:p w14:paraId="3EEFC9C9" w14:textId="015E6CAF" w:rsidR="00821610" w:rsidRPr="00C57FE9" w:rsidRDefault="00821610" w:rsidP="002C1A92">
            <w:pPr>
              <w:widowControl w:val="0"/>
              <w:autoSpaceDE w:val="0"/>
              <w:autoSpaceDN w:val="0"/>
              <w:adjustRightInd w:val="0"/>
              <w:jc w:val="center"/>
              <w:rPr>
                <w:rFonts w:ascii="Times New Roman" w:hAnsi="Times New Roman" w:cs="Times New Roman"/>
                <w:b/>
              </w:rPr>
            </w:pPr>
            <w:r w:rsidRPr="00C57FE9">
              <w:rPr>
                <w:rFonts w:ascii="Times New Roman" w:hAnsi="Times New Roman" w:cs="Times New Roman"/>
                <w:b/>
              </w:rPr>
              <w:t>Model 4</w:t>
            </w:r>
          </w:p>
        </w:tc>
      </w:tr>
      <w:tr w:rsidR="00821610" w14:paraId="562F785A" w14:textId="77777777" w:rsidTr="00821610">
        <w:trPr>
          <w:trHeight w:val="576"/>
        </w:trPr>
        <w:tc>
          <w:tcPr>
            <w:tcW w:w="2994" w:type="dxa"/>
          </w:tcPr>
          <w:p w14:paraId="42B3F90F" w14:textId="77777777" w:rsidR="00821610" w:rsidRPr="00C57FE9" w:rsidRDefault="00821610" w:rsidP="00F3480E">
            <w:pPr>
              <w:widowControl w:val="0"/>
              <w:autoSpaceDE w:val="0"/>
              <w:autoSpaceDN w:val="0"/>
              <w:adjustRightInd w:val="0"/>
              <w:rPr>
                <w:rFonts w:ascii="Times New Roman" w:hAnsi="Times New Roman" w:cs="Times New Roman"/>
                <w:b/>
              </w:rPr>
            </w:pPr>
          </w:p>
        </w:tc>
        <w:tc>
          <w:tcPr>
            <w:tcW w:w="1468" w:type="dxa"/>
          </w:tcPr>
          <w:p w14:paraId="0D669C14" w14:textId="25F9197D" w:rsidR="00821610" w:rsidRPr="00C57FE9" w:rsidRDefault="00821610" w:rsidP="00326091">
            <w:pPr>
              <w:widowControl w:val="0"/>
              <w:autoSpaceDE w:val="0"/>
              <w:autoSpaceDN w:val="0"/>
              <w:adjustRightInd w:val="0"/>
              <w:jc w:val="center"/>
              <w:rPr>
                <w:rFonts w:ascii="Times New Roman" w:hAnsi="Times New Roman" w:cs="Times New Roman"/>
                <w:b/>
              </w:rPr>
            </w:pPr>
            <w:r w:rsidRPr="00C57FE9">
              <w:rPr>
                <w:rFonts w:ascii="Times New Roman" w:hAnsi="Times New Roman" w:cs="Times New Roman"/>
                <w:b/>
              </w:rPr>
              <w:t>Deregulation</w:t>
            </w:r>
          </w:p>
        </w:tc>
        <w:tc>
          <w:tcPr>
            <w:tcW w:w="1488" w:type="dxa"/>
          </w:tcPr>
          <w:p w14:paraId="347E66C2" w14:textId="481A0ADB" w:rsidR="00821610" w:rsidRPr="00C57FE9" w:rsidRDefault="00821610" w:rsidP="00326091">
            <w:pPr>
              <w:widowControl w:val="0"/>
              <w:autoSpaceDE w:val="0"/>
              <w:autoSpaceDN w:val="0"/>
              <w:adjustRightInd w:val="0"/>
              <w:jc w:val="center"/>
              <w:rPr>
                <w:rFonts w:ascii="Times New Roman" w:hAnsi="Times New Roman" w:cs="Times New Roman"/>
                <w:b/>
              </w:rPr>
            </w:pPr>
            <w:r w:rsidRPr="00C57FE9">
              <w:rPr>
                <w:rFonts w:ascii="Times New Roman" w:hAnsi="Times New Roman" w:cs="Times New Roman"/>
                <w:b/>
              </w:rPr>
              <w:t>Technocratic policymaking</w:t>
            </w:r>
          </w:p>
        </w:tc>
        <w:tc>
          <w:tcPr>
            <w:tcW w:w="1515" w:type="dxa"/>
          </w:tcPr>
          <w:p w14:paraId="1C44C75D" w14:textId="7D3B768C" w:rsidR="00821610" w:rsidRPr="00C57FE9" w:rsidRDefault="00821610" w:rsidP="00821610">
            <w:pPr>
              <w:widowControl w:val="0"/>
              <w:autoSpaceDE w:val="0"/>
              <w:autoSpaceDN w:val="0"/>
              <w:adjustRightInd w:val="0"/>
              <w:rPr>
                <w:rFonts w:ascii="Times New Roman" w:hAnsi="Times New Roman" w:cs="Times New Roman"/>
                <w:b/>
              </w:rPr>
            </w:pPr>
            <w:r w:rsidRPr="00C57FE9">
              <w:rPr>
                <w:rFonts w:ascii="Times New Roman" w:hAnsi="Times New Roman" w:cs="Times New Roman"/>
                <w:b/>
              </w:rPr>
              <w:t>Deregulation</w:t>
            </w:r>
          </w:p>
        </w:tc>
        <w:tc>
          <w:tcPr>
            <w:tcW w:w="1570" w:type="dxa"/>
          </w:tcPr>
          <w:p w14:paraId="703902DB" w14:textId="1B8D716B" w:rsidR="00821610" w:rsidRPr="00C57FE9" w:rsidRDefault="00821610" w:rsidP="00326091">
            <w:pPr>
              <w:widowControl w:val="0"/>
              <w:autoSpaceDE w:val="0"/>
              <w:autoSpaceDN w:val="0"/>
              <w:adjustRightInd w:val="0"/>
              <w:jc w:val="center"/>
              <w:rPr>
                <w:rFonts w:ascii="Times New Roman" w:hAnsi="Times New Roman" w:cs="Times New Roman"/>
                <w:b/>
              </w:rPr>
            </w:pPr>
            <w:r w:rsidRPr="00C57FE9">
              <w:rPr>
                <w:rFonts w:ascii="Times New Roman" w:hAnsi="Times New Roman" w:cs="Times New Roman"/>
                <w:b/>
              </w:rPr>
              <w:t>Participatory policymaking</w:t>
            </w:r>
          </w:p>
        </w:tc>
      </w:tr>
      <w:tr w:rsidR="00821610" w14:paraId="30A4AF8C" w14:textId="77777777" w:rsidTr="00821610">
        <w:trPr>
          <w:trHeight w:val="305"/>
        </w:trPr>
        <w:tc>
          <w:tcPr>
            <w:tcW w:w="2994" w:type="dxa"/>
          </w:tcPr>
          <w:p w14:paraId="76290B01" w14:textId="24AD65F8" w:rsidR="00821610" w:rsidRPr="00C57FE9" w:rsidRDefault="00821610" w:rsidP="00F3480E">
            <w:pPr>
              <w:widowControl w:val="0"/>
              <w:autoSpaceDE w:val="0"/>
              <w:autoSpaceDN w:val="0"/>
              <w:adjustRightInd w:val="0"/>
              <w:rPr>
                <w:rFonts w:ascii="Times New Roman" w:hAnsi="Times New Roman" w:cs="Times New Roman"/>
              </w:rPr>
            </w:pPr>
            <w:r w:rsidRPr="00C57FE9">
              <w:rPr>
                <w:rFonts w:ascii="Times New Roman" w:hAnsi="Times New Roman" w:cs="Times New Roman"/>
              </w:rPr>
              <w:t>Intercept</w:t>
            </w:r>
          </w:p>
        </w:tc>
        <w:tc>
          <w:tcPr>
            <w:tcW w:w="1468" w:type="dxa"/>
          </w:tcPr>
          <w:p w14:paraId="789496D5" w14:textId="67D93ED7"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0.98***</w:t>
            </w:r>
          </w:p>
          <w:p w14:paraId="1F981E4D" w14:textId="03CABB97"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(0.18)</w:t>
            </w:r>
          </w:p>
        </w:tc>
        <w:tc>
          <w:tcPr>
            <w:tcW w:w="1488" w:type="dxa"/>
          </w:tcPr>
          <w:p w14:paraId="47F60FC1" w14:textId="0C25C809"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1.13***</w:t>
            </w:r>
          </w:p>
          <w:p w14:paraId="29CF2A0B" w14:textId="0463538B"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(0.19)</w:t>
            </w:r>
          </w:p>
        </w:tc>
        <w:tc>
          <w:tcPr>
            <w:tcW w:w="1515" w:type="dxa"/>
          </w:tcPr>
          <w:p w14:paraId="729BF5F9" w14:textId="15C80173" w:rsidR="00821610" w:rsidRPr="00C57FE9" w:rsidRDefault="00C470E3"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0.3</w:t>
            </w:r>
            <w:r w:rsidR="006B4B02" w:rsidRPr="00C57FE9">
              <w:rPr>
                <w:rFonts w:ascii="Times New Roman" w:hAnsi="Times New Roman" w:cs="Times New Roman"/>
              </w:rPr>
              <w:t>4</w:t>
            </w:r>
            <w:r w:rsidRPr="00C57FE9">
              <w:rPr>
                <w:rFonts w:ascii="Times New Roman" w:hAnsi="Times New Roman" w:cs="Times New Roman"/>
              </w:rPr>
              <w:t>*</w:t>
            </w:r>
          </w:p>
          <w:p w14:paraId="5C9A62A6" w14:textId="5B96C0B2" w:rsidR="00C470E3" w:rsidRPr="00C57FE9" w:rsidRDefault="00C470E3"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(0.17)</w:t>
            </w:r>
          </w:p>
        </w:tc>
        <w:tc>
          <w:tcPr>
            <w:tcW w:w="1570" w:type="dxa"/>
          </w:tcPr>
          <w:p w14:paraId="7188BC62" w14:textId="15A1006F"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1.25***</w:t>
            </w:r>
          </w:p>
          <w:p w14:paraId="0B8CB912" w14:textId="082522A2"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(0.19)</w:t>
            </w:r>
          </w:p>
        </w:tc>
      </w:tr>
      <w:tr w:rsidR="00821610" w14:paraId="25C20413" w14:textId="77777777" w:rsidTr="00821610">
        <w:tc>
          <w:tcPr>
            <w:tcW w:w="2994" w:type="dxa"/>
          </w:tcPr>
          <w:p w14:paraId="38EF56B1" w14:textId="643836AF" w:rsidR="00821610" w:rsidRPr="00C57FE9" w:rsidRDefault="00821610" w:rsidP="00F3480E">
            <w:pPr>
              <w:widowControl w:val="0"/>
              <w:autoSpaceDE w:val="0"/>
              <w:autoSpaceDN w:val="0"/>
              <w:adjustRightInd w:val="0"/>
              <w:rPr>
                <w:rFonts w:ascii="Times New Roman" w:hAnsi="Times New Roman" w:cs="Times New Roman"/>
              </w:rPr>
            </w:pPr>
            <w:r w:rsidRPr="00C57FE9">
              <w:rPr>
                <w:rFonts w:ascii="Times New Roman" w:hAnsi="Times New Roman" w:cs="Times New Roman"/>
              </w:rPr>
              <w:t>Public authority – coord. (pro-deregulation)</w:t>
            </w:r>
          </w:p>
        </w:tc>
        <w:tc>
          <w:tcPr>
            <w:tcW w:w="1468" w:type="dxa"/>
          </w:tcPr>
          <w:p w14:paraId="50DD8D0E" w14:textId="77777777" w:rsidR="00821610" w:rsidRPr="00C57FE9" w:rsidRDefault="00821610" w:rsidP="00BF5006">
            <w:pPr>
              <w:widowControl w:val="0"/>
              <w:autoSpaceDE w:val="0"/>
              <w:autoSpaceDN w:val="0"/>
              <w:adjustRightInd w:val="0"/>
              <w:jc w:val="center"/>
              <w:rPr>
                <w:rFonts w:ascii="Times New Roman" w:hAnsi="Times New Roman" w:cs="Times New Roman"/>
                <w:b/>
              </w:rPr>
            </w:pPr>
          </w:p>
        </w:tc>
        <w:tc>
          <w:tcPr>
            <w:tcW w:w="1488" w:type="dxa"/>
          </w:tcPr>
          <w:p w14:paraId="093BFFE1" w14:textId="2A863EC2"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0.74***</w:t>
            </w:r>
          </w:p>
          <w:p w14:paraId="5E793A3C" w14:textId="2D658C4E"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(0.22)</w:t>
            </w:r>
          </w:p>
        </w:tc>
        <w:tc>
          <w:tcPr>
            <w:tcW w:w="1515" w:type="dxa"/>
          </w:tcPr>
          <w:p w14:paraId="0C9E1370" w14:textId="2AAEA637" w:rsidR="00821610" w:rsidRPr="00C57FE9" w:rsidRDefault="009A6D9A"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0.64**</w:t>
            </w:r>
          </w:p>
          <w:p w14:paraId="6179340A" w14:textId="1F3280F8" w:rsidR="009A6D9A" w:rsidRPr="00C57FE9" w:rsidRDefault="009A6D9A"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(0.24)</w:t>
            </w:r>
          </w:p>
        </w:tc>
        <w:tc>
          <w:tcPr>
            <w:tcW w:w="1570" w:type="dxa"/>
          </w:tcPr>
          <w:p w14:paraId="2BC463A1" w14:textId="29C764F7"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-0.27</w:t>
            </w:r>
          </w:p>
          <w:p w14:paraId="6BBBFC11" w14:textId="29B0EEED"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(0.26)</w:t>
            </w:r>
          </w:p>
        </w:tc>
      </w:tr>
      <w:tr w:rsidR="00821610" w14:paraId="6AA0EF28" w14:textId="77777777" w:rsidTr="00821610">
        <w:tc>
          <w:tcPr>
            <w:tcW w:w="2994" w:type="dxa"/>
          </w:tcPr>
          <w:p w14:paraId="1F2315F6" w14:textId="275C68F0" w:rsidR="00821610" w:rsidRPr="00C57FE9" w:rsidRDefault="00821610" w:rsidP="00F3480E">
            <w:pPr>
              <w:widowControl w:val="0"/>
              <w:autoSpaceDE w:val="0"/>
              <w:autoSpaceDN w:val="0"/>
              <w:adjustRightInd w:val="0"/>
              <w:rPr>
                <w:rFonts w:ascii="Times New Roman" w:hAnsi="Times New Roman" w:cs="Times New Roman"/>
              </w:rPr>
            </w:pPr>
            <w:r w:rsidRPr="00C57FE9">
              <w:rPr>
                <w:rFonts w:ascii="Times New Roman" w:hAnsi="Times New Roman" w:cs="Times New Roman"/>
              </w:rPr>
              <w:t>Public authority – coord. (not pro-deregulation)</w:t>
            </w:r>
          </w:p>
        </w:tc>
        <w:tc>
          <w:tcPr>
            <w:tcW w:w="1468" w:type="dxa"/>
          </w:tcPr>
          <w:p w14:paraId="183C4A11" w14:textId="77777777"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-1.39**</w:t>
            </w:r>
          </w:p>
          <w:p w14:paraId="200E35AB" w14:textId="5B69E80B" w:rsidR="00821610" w:rsidRPr="00C57FE9" w:rsidRDefault="00821610" w:rsidP="00BF5006">
            <w:pPr>
              <w:widowControl w:val="0"/>
              <w:autoSpaceDE w:val="0"/>
              <w:autoSpaceDN w:val="0"/>
              <w:adjustRightInd w:val="0"/>
              <w:jc w:val="center"/>
              <w:rPr>
                <w:rFonts w:ascii="Times New Roman" w:hAnsi="Times New Roman" w:cs="Times New Roman"/>
                <w:b/>
              </w:rPr>
            </w:pPr>
            <w:r w:rsidRPr="00C57FE9">
              <w:rPr>
                <w:rFonts w:ascii="Times New Roman" w:hAnsi="Times New Roman" w:cs="Times New Roman"/>
              </w:rPr>
              <w:t>(0.44)</w:t>
            </w:r>
          </w:p>
        </w:tc>
        <w:tc>
          <w:tcPr>
            <w:tcW w:w="1488" w:type="dxa"/>
          </w:tcPr>
          <w:p w14:paraId="5C2D968B" w14:textId="73CA7C1F" w:rsidR="00821610" w:rsidRPr="00C57FE9" w:rsidRDefault="00821610" w:rsidP="00BF5006">
            <w:pPr>
              <w:widowControl w:val="0"/>
              <w:autoSpaceDE w:val="0"/>
              <w:autoSpaceDN w:val="0"/>
              <w:adjustRightInd w:val="0"/>
              <w:jc w:val="center"/>
              <w:rPr>
                <w:rFonts w:ascii="Times New Roman" w:hAnsi="Times New Roman" w:cs="Times New Roman"/>
                <w:b/>
              </w:rPr>
            </w:pPr>
          </w:p>
        </w:tc>
        <w:tc>
          <w:tcPr>
            <w:tcW w:w="1515" w:type="dxa"/>
          </w:tcPr>
          <w:p w14:paraId="092B62FA" w14:textId="41F1F84E" w:rsidR="00821610" w:rsidRPr="00C57FE9" w:rsidRDefault="009A6D9A"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-0.74</w:t>
            </w:r>
            <w:r w:rsidR="00C72144" w:rsidRPr="00C57FE9">
              <w:rPr>
                <w:rFonts w:ascii="Times New Roman" w:hAnsi="Times New Roman" w:cs="Times New Roman"/>
              </w:rPr>
              <w:t>†</w:t>
            </w:r>
          </w:p>
          <w:p w14:paraId="6496E8E6" w14:textId="325460FF" w:rsidR="009A6D9A" w:rsidRPr="00C57FE9" w:rsidRDefault="009A6D9A"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(0.44)</w:t>
            </w:r>
          </w:p>
        </w:tc>
        <w:tc>
          <w:tcPr>
            <w:tcW w:w="1570" w:type="dxa"/>
          </w:tcPr>
          <w:p w14:paraId="2C7A0B52" w14:textId="01CE5B73"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-0.41</w:t>
            </w:r>
          </w:p>
          <w:p w14:paraId="5BF53FE4" w14:textId="683999DE" w:rsidR="00821610" w:rsidRPr="00C57FE9" w:rsidRDefault="00821610" w:rsidP="00BF5006">
            <w:pPr>
              <w:widowControl w:val="0"/>
              <w:autoSpaceDE w:val="0"/>
              <w:autoSpaceDN w:val="0"/>
              <w:adjustRightInd w:val="0"/>
              <w:jc w:val="center"/>
              <w:rPr>
                <w:rFonts w:ascii="Times New Roman" w:hAnsi="Times New Roman" w:cs="Times New Roman"/>
                <w:b/>
              </w:rPr>
            </w:pPr>
            <w:r w:rsidRPr="00C57FE9">
              <w:rPr>
                <w:rFonts w:ascii="Times New Roman" w:hAnsi="Times New Roman" w:cs="Times New Roman"/>
              </w:rPr>
              <w:t>(0.29)</w:t>
            </w:r>
          </w:p>
        </w:tc>
      </w:tr>
      <w:tr w:rsidR="00821610" w14:paraId="67A024F5" w14:textId="77777777" w:rsidTr="00821610">
        <w:tc>
          <w:tcPr>
            <w:tcW w:w="2994" w:type="dxa"/>
          </w:tcPr>
          <w:p w14:paraId="3B03CFDC" w14:textId="6080BFE0" w:rsidR="00821610" w:rsidRPr="00C57FE9" w:rsidRDefault="00821610" w:rsidP="007E54E7">
            <w:pPr>
              <w:widowControl w:val="0"/>
              <w:autoSpaceDE w:val="0"/>
              <w:autoSpaceDN w:val="0"/>
              <w:adjustRightInd w:val="0"/>
              <w:rPr>
                <w:rFonts w:ascii="Times New Roman" w:hAnsi="Times New Roman" w:cs="Times New Roman"/>
              </w:rPr>
            </w:pPr>
            <w:r w:rsidRPr="00C57FE9">
              <w:rPr>
                <w:rFonts w:ascii="Times New Roman" w:hAnsi="Times New Roman" w:cs="Times New Roman"/>
              </w:rPr>
              <w:t>Public authority – implementing</w:t>
            </w:r>
          </w:p>
        </w:tc>
        <w:tc>
          <w:tcPr>
            <w:tcW w:w="1468" w:type="dxa"/>
          </w:tcPr>
          <w:p w14:paraId="23925392" w14:textId="5B5469AE"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-3.00***</w:t>
            </w:r>
          </w:p>
          <w:p w14:paraId="1C4A0E34" w14:textId="5824D640"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(0.73)</w:t>
            </w:r>
          </w:p>
        </w:tc>
        <w:tc>
          <w:tcPr>
            <w:tcW w:w="1488" w:type="dxa"/>
          </w:tcPr>
          <w:p w14:paraId="3FBD8BF9" w14:textId="77C9D3CA"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-0.66*</w:t>
            </w:r>
          </w:p>
          <w:p w14:paraId="600FAE37" w14:textId="618B3D1B" w:rsidR="00821610" w:rsidRPr="00C57FE9" w:rsidRDefault="00821610" w:rsidP="00BF5006">
            <w:pPr>
              <w:widowControl w:val="0"/>
              <w:autoSpaceDE w:val="0"/>
              <w:autoSpaceDN w:val="0"/>
              <w:adjustRightInd w:val="0"/>
              <w:jc w:val="center"/>
              <w:rPr>
                <w:rFonts w:ascii="Times New Roman" w:hAnsi="Times New Roman" w:cs="Times New Roman"/>
                <w:b/>
              </w:rPr>
            </w:pPr>
            <w:r w:rsidRPr="00C57FE9">
              <w:rPr>
                <w:rFonts w:ascii="Times New Roman" w:hAnsi="Times New Roman" w:cs="Times New Roman"/>
              </w:rPr>
              <w:t>(0.28)</w:t>
            </w:r>
          </w:p>
        </w:tc>
        <w:tc>
          <w:tcPr>
            <w:tcW w:w="1515" w:type="dxa"/>
          </w:tcPr>
          <w:p w14:paraId="76A37587" w14:textId="77777777" w:rsidR="00821610" w:rsidRPr="00C57FE9" w:rsidRDefault="009A6D9A"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-2.35**</w:t>
            </w:r>
          </w:p>
          <w:p w14:paraId="7D335F12" w14:textId="01C5641B" w:rsidR="009A6D9A" w:rsidRPr="00C57FE9" w:rsidRDefault="009A6D9A"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(0.72)</w:t>
            </w:r>
          </w:p>
        </w:tc>
        <w:tc>
          <w:tcPr>
            <w:tcW w:w="1570" w:type="dxa"/>
          </w:tcPr>
          <w:p w14:paraId="35B42AE6" w14:textId="0C719A26"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-1.02***</w:t>
            </w:r>
          </w:p>
          <w:p w14:paraId="549B5F34" w14:textId="44575149" w:rsidR="00821610" w:rsidRPr="00C57FE9" w:rsidRDefault="00821610" w:rsidP="00BF5006">
            <w:pPr>
              <w:widowControl w:val="0"/>
              <w:autoSpaceDE w:val="0"/>
              <w:autoSpaceDN w:val="0"/>
              <w:adjustRightInd w:val="0"/>
              <w:jc w:val="center"/>
              <w:rPr>
                <w:rFonts w:ascii="Times New Roman" w:hAnsi="Times New Roman" w:cs="Times New Roman"/>
                <w:b/>
              </w:rPr>
            </w:pPr>
            <w:r w:rsidRPr="00C57FE9">
              <w:rPr>
                <w:rFonts w:ascii="Times New Roman" w:hAnsi="Times New Roman" w:cs="Times New Roman"/>
              </w:rPr>
              <w:t>(0.30)</w:t>
            </w:r>
          </w:p>
        </w:tc>
      </w:tr>
      <w:tr w:rsidR="00821610" w14:paraId="6F206596" w14:textId="77777777" w:rsidTr="00821610">
        <w:tc>
          <w:tcPr>
            <w:tcW w:w="2994" w:type="dxa"/>
          </w:tcPr>
          <w:p w14:paraId="05B6A765" w14:textId="77E0AFCE" w:rsidR="00821610" w:rsidRPr="00C57FE9" w:rsidRDefault="00821610" w:rsidP="00F3480E">
            <w:pPr>
              <w:widowControl w:val="0"/>
              <w:autoSpaceDE w:val="0"/>
              <w:autoSpaceDN w:val="0"/>
              <w:adjustRightInd w:val="0"/>
              <w:rPr>
                <w:rFonts w:ascii="Times New Roman" w:hAnsi="Times New Roman" w:cs="Times New Roman"/>
              </w:rPr>
            </w:pPr>
            <w:r w:rsidRPr="00C57FE9">
              <w:rPr>
                <w:rFonts w:ascii="Times New Roman" w:hAnsi="Times New Roman" w:cs="Times New Roman"/>
              </w:rPr>
              <w:t>Cross-sectoral business</w:t>
            </w:r>
          </w:p>
        </w:tc>
        <w:tc>
          <w:tcPr>
            <w:tcW w:w="1468" w:type="dxa"/>
          </w:tcPr>
          <w:p w14:paraId="5FB3AE25" w14:textId="77777777"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-0.64**</w:t>
            </w:r>
          </w:p>
          <w:p w14:paraId="4B407FBE" w14:textId="4B0896E9"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(0.24)</w:t>
            </w:r>
          </w:p>
        </w:tc>
        <w:tc>
          <w:tcPr>
            <w:tcW w:w="1488" w:type="dxa"/>
          </w:tcPr>
          <w:p w14:paraId="08F7DE51" w14:textId="5F0402EF"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0.56**</w:t>
            </w:r>
          </w:p>
          <w:p w14:paraId="047182C1" w14:textId="5E41F11B"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(0.21)</w:t>
            </w:r>
          </w:p>
        </w:tc>
        <w:tc>
          <w:tcPr>
            <w:tcW w:w="1515" w:type="dxa"/>
          </w:tcPr>
          <w:p w14:paraId="5DE7412F" w14:textId="77777777" w:rsidR="00821610" w:rsidRPr="00C57FE9" w:rsidRDefault="00821610" w:rsidP="00BF5006">
            <w:pPr>
              <w:widowControl w:val="0"/>
              <w:autoSpaceDE w:val="0"/>
              <w:autoSpaceDN w:val="0"/>
              <w:adjustRightInd w:val="0"/>
              <w:jc w:val="center"/>
              <w:rPr>
                <w:rFonts w:ascii="Times New Roman" w:hAnsi="Times New Roman" w:cs="Times New Roman"/>
              </w:rPr>
            </w:pPr>
          </w:p>
        </w:tc>
        <w:tc>
          <w:tcPr>
            <w:tcW w:w="1570" w:type="dxa"/>
          </w:tcPr>
          <w:p w14:paraId="22CB860E" w14:textId="36D32961"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0.09</w:t>
            </w:r>
          </w:p>
          <w:p w14:paraId="11B1DAB7" w14:textId="344D40E4"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(0.21)</w:t>
            </w:r>
          </w:p>
        </w:tc>
      </w:tr>
      <w:tr w:rsidR="00821610" w14:paraId="7CA63A4E" w14:textId="77777777" w:rsidTr="00821610">
        <w:trPr>
          <w:trHeight w:val="269"/>
        </w:trPr>
        <w:tc>
          <w:tcPr>
            <w:tcW w:w="2994" w:type="dxa"/>
          </w:tcPr>
          <w:p w14:paraId="48E613CB" w14:textId="74E29A7A" w:rsidR="00821610" w:rsidRPr="00C57FE9" w:rsidRDefault="00821610" w:rsidP="00F3480E">
            <w:pPr>
              <w:widowControl w:val="0"/>
              <w:autoSpaceDE w:val="0"/>
              <w:autoSpaceDN w:val="0"/>
              <w:adjustRightInd w:val="0"/>
              <w:rPr>
                <w:rFonts w:ascii="Times New Roman" w:hAnsi="Times New Roman" w:cs="Times New Roman"/>
              </w:rPr>
            </w:pPr>
            <w:r w:rsidRPr="00C57FE9">
              <w:rPr>
                <w:rFonts w:ascii="Times New Roman" w:hAnsi="Times New Roman" w:cs="Times New Roman"/>
              </w:rPr>
              <w:t>Sectoral business</w:t>
            </w:r>
          </w:p>
        </w:tc>
        <w:tc>
          <w:tcPr>
            <w:tcW w:w="1468" w:type="dxa"/>
          </w:tcPr>
          <w:p w14:paraId="55C713C3" w14:textId="77777777"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-1.33***</w:t>
            </w:r>
          </w:p>
          <w:p w14:paraId="3D922697" w14:textId="3B950A2A"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(0.29)</w:t>
            </w:r>
          </w:p>
        </w:tc>
        <w:tc>
          <w:tcPr>
            <w:tcW w:w="1488" w:type="dxa"/>
          </w:tcPr>
          <w:p w14:paraId="3D148276" w14:textId="43FA308F"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0.26</w:t>
            </w:r>
          </w:p>
          <w:p w14:paraId="2ADF5283" w14:textId="56DDC21B"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(0.21)</w:t>
            </w:r>
          </w:p>
        </w:tc>
        <w:tc>
          <w:tcPr>
            <w:tcW w:w="1515" w:type="dxa"/>
          </w:tcPr>
          <w:p w14:paraId="1B62E6D9" w14:textId="77777777" w:rsidR="00821610" w:rsidRPr="00C57FE9" w:rsidRDefault="00C470E3"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-0.69*</w:t>
            </w:r>
          </w:p>
          <w:p w14:paraId="5A40DAA2" w14:textId="51B49A91" w:rsidR="00C470E3" w:rsidRPr="00C57FE9" w:rsidRDefault="00C470E3"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(0.28)</w:t>
            </w:r>
          </w:p>
        </w:tc>
        <w:tc>
          <w:tcPr>
            <w:tcW w:w="1570" w:type="dxa"/>
          </w:tcPr>
          <w:p w14:paraId="146C6C77" w14:textId="0BBC84D7"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0.15</w:t>
            </w:r>
          </w:p>
          <w:p w14:paraId="546D3565" w14:textId="256BEF84"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(0.21)</w:t>
            </w:r>
          </w:p>
        </w:tc>
      </w:tr>
      <w:tr w:rsidR="00821610" w14:paraId="0D079EE2" w14:textId="77777777" w:rsidTr="00821610">
        <w:tc>
          <w:tcPr>
            <w:tcW w:w="2994" w:type="dxa"/>
          </w:tcPr>
          <w:p w14:paraId="1017C1A4" w14:textId="56078791" w:rsidR="00821610" w:rsidRPr="00C57FE9" w:rsidRDefault="00821610" w:rsidP="008977BB">
            <w:pPr>
              <w:widowControl w:val="0"/>
              <w:autoSpaceDE w:val="0"/>
              <w:autoSpaceDN w:val="0"/>
              <w:adjustRightInd w:val="0"/>
              <w:rPr>
                <w:rFonts w:ascii="Times New Roman" w:hAnsi="Times New Roman" w:cs="Times New Roman"/>
              </w:rPr>
            </w:pPr>
            <w:r w:rsidRPr="00C57FE9">
              <w:rPr>
                <w:rFonts w:ascii="Times New Roman" w:hAnsi="Times New Roman" w:cs="Times New Roman"/>
              </w:rPr>
              <w:t>Public interest organi</w:t>
            </w:r>
            <w:r w:rsidR="008977BB" w:rsidRPr="00C57FE9">
              <w:rPr>
                <w:rFonts w:ascii="Times New Roman" w:hAnsi="Times New Roman" w:cs="Times New Roman"/>
              </w:rPr>
              <w:t>z</w:t>
            </w:r>
            <w:r w:rsidRPr="00C57FE9">
              <w:rPr>
                <w:rFonts w:ascii="Times New Roman" w:hAnsi="Times New Roman" w:cs="Times New Roman"/>
              </w:rPr>
              <w:t>ation</w:t>
            </w:r>
          </w:p>
        </w:tc>
        <w:tc>
          <w:tcPr>
            <w:tcW w:w="1468" w:type="dxa"/>
          </w:tcPr>
          <w:p w14:paraId="00DF92F0" w14:textId="1538096F"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-1.96**</w:t>
            </w:r>
          </w:p>
          <w:p w14:paraId="7A6C7B6E" w14:textId="0CF60915"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(0.60)</w:t>
            </w:r>
          </w:p>
        </w:tc>
        <w:tc>
          <w:tcPr>
            <w:tcW w:w="1488" w:type="dxa"/>
          </w:tcPr>
          <w:p w14:paraId="04D0C1E1" w14:textId="6FEF0A3C"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0.04</w:t>
            </w:r>
          </w:p>
          <w:p w14:paraId="2EC81669" w14:textId="42472E07" w:rsidR="00821610" w:rsidRPr="00C57FE9" w:rsidRDefault="00821610" w:rsidP="00BF5006">
            <w:pPr>
              <w:widowControl w:val="0"/>
              <w:autoSpaceDE w:val="0"/>
              <w:autoSpaceDN w:val="0"/>
              <w:adjustRightInd w:val="0"/>
              <w:jc w:val="center"/>
              <w:rPr>
                <w:rFonts w:ascii="Times New Roman" w:hAnsi="Times New Roman" w:cs="Times New Roman"/>
                <w:b/>
              </w:rPr>
            </w:pPr>
            <w:r w:rsidRPr="00C57FE9">
              <w:rPr>
                <w:rFonts w:ascii="Times New Roman" w:hAnsi="Times New Roman" w:cs="Times New Roman"/>
              </w:rPr>
              <w:t>(0.27)</w:t>
            </w:r>
          </w:p>
        </w:tc>
        <w:tc>
          <w:tcPr>
            <w:tcW w:w="1515" w:type="dxa"/>
          </w:tcPr>
          <w:p w14:paraId="63AFC12D" w14:textId="644FCA67" w:rsidR="00821610" w:rsidRPr="00C57FE9" w:rsidRDefault="00C470E3"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-1.32*</w:t>
            </w:r>
          </w:p>
          <w:p w14:paraId="62D8CD14" w14:textId="5F82C101" w:rsidR="00C470E3" w:rsidRPr="00C57FE9" w:rsidRDefault="00C470E3" w:rsidP="00BF5006">
            <w:pPr>
              <w:widowControl w:val="0"/>
              <w:autoSpaceDE w:val="0"/>
              <w:autoSpaceDN w:val="0"/>
              <w:adjustRightInd w:val="0"/>
              <w:jc w:val="center"/>
              <w:rPr>
                <w:rFonts w:ascii="Times New Roman" w:hAnsi="Times New Roman" w:cs="Times New Roman"/>
                <w:b/>
              </w:rPr>
            </w:pPr>
            <w:r w:rsidRPr="00C57FE9">
              <w:rPr>
                <w:rFonts w:ascii="Times New Roman" w:hAnsi="Times New Roman" w:cs="Times New Roman"/>
              </w:rPr>
              <w:t>(0.60)</w:t>
            </w:r>
          </w:p>
        </w:tc>
        <w:tc>
          <w:tcPr>
            <w:tcW w:w="1570" w:type="dxa"/>
          </w:tcPr>
          <w:p w14:paraId="4D107FE7" w14:textId="05107157" w:rsidR="00821610" w:rsidRPr="00C57FE9" w:rsidRDefault="00821610" w:rsidP="00BF5006">
            <w:pPr>
              <w:widowControl w:val="0"/>
              <w:autoSpaceDE w:val="0"/>
              <w:autoSpaceDN w:val="0"/>
              <w:adjustRightInd w:val="0"/>
              <w:jc w:val="center"/>
              <w:rPr>
                <w:rFonts w:ascii="Times New Roman" w:hAnsi="Times New Roman" w:cs="Times New Roman"/>
                <w:b/>
              </w:rPr>
            </w:pPr>
          </w:p>
        </w:tc>
      </w:tr>
      <w:tr w:rsidR="00821610" w14:paraId="02E11277" w14:textId="77777777" w:rsidTr="00821610">
        <w:tc>
          <w:tcPr>
            <w:tcW w:w="2994" w:type="dxa"/>
          </w:tcPr>
          <w:p w14:paraId="7866EF08" w14:textId="6892B6FC" w:rsidR="00821610" w:rsidRPr="00C57FE9" w:rsidRDefault="00821610" w:rsidP="00F3480E">
            <w:pPr>
              <w:widowControl w:val="0"/>
              <w:autoSpaceDE w:val="0"/>
              <w:autoSpaceDN w:val="0"/>
              <w:adjustRightInd w:val="0"/>
              <w:rPr>
                <w:rFonts w:ascii="Times New Roman" w:hAnsi="Times New Roman" w:cs="Times New Roman"/>
              </w:rPr>
            </w:pPr>
            <w:r w:rsidRPr="00C57FE9">
              <w:rPr>
                <w:rFonts w:ascii="Times New Roman" w:hAnsi="Times New Roman" w:cs="Times New Roman"/>
              </w:rPr>
              <w:t>Professional association</w:t>
            </w:r>
          </w:p>
        </w:tc>
        <w:tc>
          <w:tcPr>
            <w:tcW w:w="1468" w:type="dxa"/>
          </w:tcPr>
          <w:p w14:paraId="13AE57ED" w14:textId="77777777"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-1.67***</w:t>
            </w:r>
          </w:p>
          <w:p w14:paraId="1FED092F" w14:textId="7A018AF8"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(0.42)</w:t>
            </w:r>
          </w:p>
        </w:tc>
        <w:tc>
          <w:tcPr>
            <w:tcW w:w="1488" w:type="dxa"/>
          </w:tcPr>
          <w:p w14:paraId="283D54FD" w14:textId="0941EC94"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-0.09</w:t>
            </w:r>
          </w:p>
          <w:p w14:paraId="63860C8A" w14:textId="0FE86BBD"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(0.25)</w:t>
            </w:r>
          </w:p>
        </w:tc>
        <w:tc>
          <w:tcPr>
            <w:tcW w:w="1515" w:type="dxa"/>
          </w:tcPr>
          <w:p w14:paraId="189A8265" w14:textId="77777777" w:rsidR="00821610" w:rsidRPr="00C57FE9" w:rsidRDefault="00C470E3"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-1.03*</w:t>
            </w:r>
          </w:p>
          <w:p w14:paraId="68E843FD" w14:textId="7BD2DE86" w:rsidR="00C470E3" w:rsidRPr="00C57FE9" w:rsidRDefault="00C470E3"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(0.41)</w:t>
            </w:r>
          </w:p>
        </w:tc>
        <w:tc>
          <w:tcPr>
            <w:tcW w:w="1570" w:type="dxa"/>
          </w:tcPr>
          <w:p w14:paraId="6279DA7F" w14:textId="32405421"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-0.25</w:t>
            </w:r>
          </w:p>
          <w:p w14:paraId="289BFA61" w14:textId="1EC28FE2"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(0.25)</w:t>
            </w:r>
          </w:p>
        </w:tc>
      </w:tr>
      <w:tr w:rsidR="00821610" w14:paraId="2851062E" w14:textId="77777777" w:rsidTr="00821610">
        <w:tc>
          <w:tcPr>
            <w:tcW w:w="2994" w:type="dxa"/>
          </w:tcPr>
          <w:p w14:paraId="0F8E0DB0" w14:textId="7A892EBC" w:rsidR="00821610" w:rsidRPr="00C57FE9" w:rsidRDefault="00821610" w:rsidP="00F3480E">
            <w:pPr>
              <w:widowControl w:val="0"/>
              <w:autoSpaceDE w:val="0"/>
              <w:autoSpaceDN w:val="0"/>
              <w:adjustRightInd w:val="0"/>
              <w:rPr>
                <w:rFonts w:ascii="Times New Roman" w:hAnsi="Times New Roman" w:cs="Times New Roman"/>
              </w:rPr>
            </w:pPr>
            <w:r w:rsidRPr="00C57FE9">
              <w:rPr>
                <w:rFonts w:ascii="Times New Roman" w:hAnsi="Times New Roman" w:cs="Times New Roman"/>
              </w:rPr>
              <w:t>Log likelihood</w:t>
            </w:r>
          </w:p>
        </w:tc>
        <w:tc>
          <w:tcPr>
            <w:tcW w:w="1468" w:type="dxa"/>
          </w:tcPr>
          <w:p w14:paraId="57AFE418" w14:textId="73ACCBF5"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-113.26</w:t>
            </w:r>
          </w:p>
        </w:tc>
        <w:tc>
          <w:tcPr>
            <w:tcW w:w="1488" w:type="dxa"/>
          </w:tcPr>
          <w:p w14:paraId="11CE3E52" w14:textId="276B4D9A"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-229.11</w:t>
            </w:r>
          </w:p>
        </w:tc>
        <w:tc>
          <w:tcPr>
            <w:tcW w:w="1515" w:type="dxa"/>
          </w:tcPr>
          <w:p w14:paraId="5AE1639A" w14:textId="408C8F51" w:rsidR="00821610" w:rsidRPr="00C57FE9" w:rsidRDefault="00E86FA7"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-113.26</w:t>
            </w:r>
          </w:p>
        </w:tc>
        <w:tc>
          <w:tcPr>
            <w:tcW w:w="1570" w:type="dxa"/>
          </w:tcPr>
          <w:p w14:paraId="30397BD9" w14:textId="31851E1F"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-220.12</w:t>
            </w:r>
          </w:p>
        </w:tc>
      </w:tr>
      <w:tr w:rsidR="00821610" w14:paraId="6565CAAB" w14:textId="77777777" w:rsidTr="00C57FE9">
        <w:trPr>
          <w:trHeight w:val="297"/>
        </w:trPr>
        <w:tc>
          <w:tcPr>
            <w:tcW w:w="2994" w:type="dxa"/>
          </w:tcPr>
          <w:p w14:paraId="4766DE17" w14:textId="38D84636" w:rsidR="00821610" w:rsidRPr="00C57FE9" w:rsidRDefault="00821610" w:rsidP="00F3480E">
            <w:pPr>
              <w:widowControl w:val="0"/>
              <w:autoSpaceDE w:val="0"/>
              <w:autoSpaceDN w:val="0"/>
              <w:adjustRightInd w:val="0"/>
              <w:rPr>
                <w:rFonts w:ascii="Times New Roman" w:hAnsi="Times New Roman" w:cs="Times New Roman"/>
              </w:rPr>
            </w:pPr>
            <w:r w:rsidRPr="00C57FE9">
              <w:rPr>
                <w:rFonts w:ascii="Times New Roman" w:hAnsi="Times New Roman" w:cs="Times New Roman"/>
              </w:rPr>
              <w:t>N</w:t>
            </w:r>
          </w:p>
        </w:tc>
        <w:tc>
          <w:tcPr>
            <w:tcW w:w="1468" w:type="dxa"/>
          </w:tcPr>
          <w:p w14:paraId="5062E7DB" w14:textId="0FF02A95"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110</w:t>
            </w:r>
          </w:p>
        </w:tc>
        <w:tc>
          <w:tcPr>
            <w:tcW w:w="1488" w:type="dxa"/>
          </w:tcPr>
          <w:p w14:paraId="7D658BAE" w14:textId="6A5360A1"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110</w:t>
            </w:r>
          </w:p>
        </w:tc>
        <w:tc>
          <w:tcPr>
            <w:tcW w:w="1515" w:type="dxa"/>
          </w:tcPr>
          <w:p w14:paraId="6B56DA79" w14:textId="0D0F39BA"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110</w:t>
            </w:r>
          </w:p>
        </w:tc>
        <w:tc>
          <w:tcPr>
            <w:tcW w:w="1570" w:type="dxa"/>
          </w:tcPr>
          <w:p w14:paraId="3BAC8B39" w14:textId="13B6EAB5" w:rsidR="00821610" w:rsidRPr="00C57FE9" w:rsidRDefault="00821610" w:rsidP="00BF5006">
            <w:pPr>
              <w:widowControl w:val="0"/>
              <w:autoSpaceDE w:val="0"/>
              <w:autoSpaceDN w:val="0"/>
              <w:adjustRightInd w:val="0"/>
              <w:jc w:val="center"/>
              <w:rPr>
                <w:rFonts w:ascii="Times New Roman" w:hAnsi="Times New Roman" w:cs="Times New Roman"/>
              </w:rPr>
            </w:pPr>
            <w:r w:rsidRPr="00C57FE9">
              <w:rPr>
                <w:rFonts w:ascii="Times New Roman" w:hAnsi="Times New Roman" w:cs="Times New Roman"/>
              </w:rPr>
              <w:t>110</w:t>
            </w:r>
          </w:p>
        </w:tc>
      </w:tr>
    </w:tbl>
    <w:p w14:paraId="79DE24A5" w14:textId="486619A2" w:rsidR="006610ED" w:rsidRPr="00C57FE9" w:rsidRDefault="002E795C" w:rsidP="00F3480E">
      <w:pPr>
        <w:widowControl w:val="0"/>
        <w:autoSpaceDE w:val="0"/>
        <w:autoSpaceDN w:val="0"/>
        <w:adjustRightInd w:val="0"/>
        <w:rPr>
          <w:rFonts w:ascii="Times New Roman" w:hAnsi="Times New Roman" w:cs="Times New Roman"/>
          <w:sz w:val="22"/>
          <w:szCs w:val="22"/>
        </w:rPr>
      </w:pPr>
      <w:r w:rsidRPr="00F50D90">
        <w:rPr>
          <w:rFonts w:ascii="Times New Roman" w:hAnsi="Times New Roman" w:cs="Times New Roman"/>
          <w:sz w:val="22"/>
          <w:szCs w:val="22"/>
        </w:rPr>
        <w:t xml:space="preserve">Note: </w:t>
      </w:r>
      <w:r w:rsidR="00C470E3" w:rsidRPr="00F50D90">
        <w:rPr>
          <w:rFonts w:ascii="Times New Roman" w:hAnsi="Times New Roman" w:cs="Times New Roman"/>
          <w:sz w:val="22"/>
          <w:szCs w:val="22"/>
        </w:rPr>
        <w:t xml:space="preserve">Standard errors in parentheses. </w:t>
      </w:r>
      <w:r w:rsidRPr="00F50D90">
        <w:rPr>
          <w:rFonts w:ascii="Times New Roman" w:hAnsi="Times New Roman" w:cs="Times New Roman"/>
          <w:sz w:val="22"/>
          <w:szCs w:val="22"/>
        </w:rPr>
        <w:t xml:space="preserve">Significance levels: </w:t>
      </w:r>
      <w:r w:rsidR="00326091" w:rsidRPr="00F50D90">
        <w:rPr>
          <w:rFonts w:ascii="Times New Roman" w:hAnsi="Times New Roman" w:cs="Times New Roman"/>
          <w:sz w:val="22"/>
          <w:szCs w:val="22"/>
        </w:rPr>
        <w:t>***</w:t>
      </w:r>
      <w:r w:rsidR="00326091" w:rsidRPr="00F50D90">
        <w:rPr>
          <w:rFonts w:ascii="Times New Roman" w:hAnsi="Times New Roman" w:cs="Times New Roman"/>
          <w:i/>
          <w:sz w:val="22"/>
          <w:szCs w:val="22"/>
        </w:rPr>
        <w:t>p</w:t>
      </w:r>
      <w:r w:rsidR="00326091" w:rsidRPr="00F50D90">
        <w:rPr>
          <w:rFonts w:ascii="Times New Roman" w:hAnsi="Times New Roman" w:cs="Times New Roman"/>
          <w:sz w:val="22"/>
          <w:szCs w:val="22"/>
        </w:rPr>
        <w:t xml:space="preserve"> &lt; 01, **</w:t>
      </w:r>
      <w:r w:rsidR="00326091" w:rsidRPr="00F50D90">
        <w:rPr>
          <w:rFonts w:ascii="Times New Roman" w:hAnsi="Times New Roman" w:cs="Times New Roman"/>
          <w:i/>
          <w:sz w:val="22"/>
          <w:szCs w:val="22"/>
        </w:rPr>
        <w:t>p</w:t>
      </w:r>
      <w:r w:rsidR="00326091" w:rsidRPr="00F50D90">
        <w:rPr>
          <w:rFonts w:ascii="Times New Roman" w:hAnsi="Times New Roman" w:cs="Times New Roman"/>
          <w:sz w:val="22"/>
          <w:szCs w:val="22"/>
        </w:rPr>
        <w:t>&lt; 0.01, *</w:t>
      </w:r>
      <w:r w:rsidR="00326091" w:rsidRPr="00F50D90">
        <w:rPr>
          <w:rFonts w:ascii="Times New Roman" w:hAnsi="Times New Roman" w:cs="Times New Roman"/>
          <w:i/>
          <w:sz w:val="22"/>
          <w:szCs w:val="22"/>
        </w:rPr>
        <w:t>p</w:t>
      </w:r>
      <w:r w:rsidR="00326091" w:rsidRPr="00F50D90">
        <w:rPr>
          <w:rFonts w:ascii="Times New Roman" w:hAnsi="Times New Roman" w:cs="Times New Roman"/>
          <w:sz w:val="22"/>
          <w:szCs w:val="22"/>
        </w:rPr>
        <w:t>&lt; 0.05</w:t>
      </w:r>
      <w:r w:rsidR="00C72144" w:rsidRPr="00F50D90">
        <w:rPr>
          <w:rFonts w:ascii="Times New Roman" w:hAnsi="Times New Roman" w:cs="Times New Roman"/>
          <w:sz w:val="22"/>
          <w:szCs w:val="22"/>
        </w:rPr>
        <w:t xml:space="preserve">, </w:t>
      </w:r>
      <w:r w:rsidR="00C72144" w:rsidRPr="00F50D90">
        <w:rPr>
          <w:rFonts w:ascii="time" w:hAnsi="time" w:cs="Times New Roman"/>
          <w:sz w:val="22"/>
          <w:szCs w:val="22"/>
        </w:rPr>
        <w:t>†</w:t>
      </w:r>
      <w:r w:rsidR="00C72144" w:rsidRPr="00F50D90">
        <w:rPr>
          <w:rFonts w:ascii="Times New Roman" w:hAnsi="Times New Roman" w:cs="Times New Roman"/>
          <w:sz w:val="22"/>
          <w:szCs w:val="22"/>
        </w:rPr>
        <w:t xml:space="preserve"> </w:t>
      </w:r>
      <w:r w:rsidR="00C72144" w:rsidRPr="00F50D90">
        <w:rPr>
          <w:rFonts w:ascii="Times New Roman" w:hAnsi="Times New Roman" w:cs="Times New Roman"/>
          <w:i/>
          <w:sz w:val="22"/>
          <w:szCs w:val="22"/>
        </w:rPr>
        <w:t xml:space="preserve">p </w:t>
      </w:r>
      <w:r w:rsidR="00C72144" w:rsidRPr="00F50D90">
        <w:rPr>
          <w:rFonts w:ascii="Times New Roman" w:hAnsi="Times New Roman" w:cs="Times New Roman"/>
          <w:sz w:val="22"/>
          <w:szCs w:val="22"/>
        </w:rPr>
        <w:t>&lt;0.1.</w:t>
      </w:r>
    </w:p>
    <w:p w14:paraId="5A30DA0E" w14:textId="77777777" w:rsidR="006610ED" w:rsidRDefault="006610ED" w:rsidP="00F3480E">
      <w:pPr>
        <w:widowControl w:val="0"/>
        <w:autoSpaceDE w:val="0"/>
        <w:autoSpaceDN w:val="0"/>
        <w:adjustRightInd w:val="0"/>
        <w:rPr>
          <w:rFonts w:ascii="Times New Roman" w:hAnsi="Times New Roman" w:cs="Times New Roman"/>
          <w:b/>
          <w:sz w:val="22"/>
          <w:szCs w:val="22"/>
        </w:rPr>
      </w:pPr>
    </w:p>
    <w:p w14:paraId="1F2A3EB4" w14:textId="641F31F1" w:rsidR="006610ED" w:rsidRPr="00C57FE9" w:rsidRDefault="00133589" w:rsidP="00192FF9">
      <w:pPr>
        <w:widowControl w:val="0"/>
        <w:autoSpaceDE w:val="0"/>
        <w:autoSpaceDN w:val="0"/>
        <w:adjustRightInd w:val="0"/>
        <w:jc w:val="both"/>
        <w:rPr>
          <w:rFonts w:ascii="Times New Roman" w:hAnsi="Times New Roman" w:cs="Times New Roman"/>
          <w:b/>
        </w:rPr>
      </w:pPr>
      <w:r w:rsidRPr="00C57FE9">
        <w:rPr>
          <w:rFonts w:ascii="Times New Roman" w:hAnsi="Times New Roman" w:cs="Times New Roman"/>
          <w:b/>
        </w:rPr>
        <w:t>Figure 1.</w:t>
      </w:r>
      <w:r w:rsidR="00866E95" w:rsidRPr="00C57FE9">
        <w:rPr>
          <w:rFonts w:ascii="Times New Roman" w:hAnsi="Times New Roman" w:cs="Times New Roman"/>
          <w:b/>
        </w:rPr>
        <w:t xml:space="preserve"> Number of demands for deregulatory, technocratic (evidence-based) and participatory Better Regulation reform expressed by each stakeholder interest type. </w:t>
      </w:r>
    </w:p>
    <w:p w14:paraId="45A5B8CD" w14:textId="3A47FF8D" w:rsidR="006610ED" w:rsidRDefault="00866E95" w:rsidP="00F3480E">
      <w:pPr>
        <w:widowControl w:val="0"/>
        <w:autoSpaceDE w:val="0"/>
        <w:autoSpaceDN w:val="0"/>
        <w:adjustRightInd w:val="0"/>
        <w:rPr>
          <w:rFonts w:ascii="Times New Roman" w:hAnsi="Times New Roman" w:cs="Times New Roman"/>
          <w:b/>
          <w:sz w:val="22"/>
          <w:szCs w:val="22"/>
        </w:rPr>
      </w:pPr>
      <w:r>
        <w:rPr>
          <w:rFonts w:ascii="Times New Roman" w:hAnsi="Times New Roman" w:cs="Times New Roman"/>
          <w:b/>
          <w:noProof/>
          <w:sz w:val="22"/>
          <w:szCs w:val="22"/>
          <w:lang w:val="en-GB" w:eastAsia="en-GB"/>
        </w:rPr>
        <w:drawing>
          <wp:inline distT="0" distB="0" distL="0" distR="0" wp14:anchorId="76D6BCDC" wp14:editId="51B838C8">
            <wp:extent cx="5532971" cy="37611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mandfreq.png"/>
                    <pic:cNvPicPr/>
                  </pic:nvPicPr>
                  <pic:blipFill>
                    <a:blip r:embed="rId10">
                      <a:extLst>
                        <a:ext uri="{28A0092B-C50C-407E-A947-70E740481C1C}">
                          <a14:useLocalDpi xmlns:a14="http://schemas.microsoft.com/office/drawing/2010/main" val="0"/>
                        </a:ext>
                      </a:extLst>
                    </a:blip>
                    <a:stretch>
                      <a:fillRect/>
                    </a:stretch>
                  </pic:blipFill>
                  <pic:spPr>
                    <a:xfrm>
                      <a:off x="0" y="0"/>
                      <a:ext cx="5538159" cy="3764632"/>
                    </a:xfrm>
                    <a:prstGeom prst="rect">
                      <a:avLst/>
                    </a:prstGeom>
                  </pic:spPr>
                </pic:pic>
              </a:graphicData>
            </a:graphic>
          </wp:inline>
        </w:drawing>
      </w:r>
    </w:p>
    <w:p w14:paraId="01AF6DD6" w14:textId="6C44FBB2" w:rsidR="006610ED" w:rsidRDefault="00447D6A" w:rsidP="00447D6A">
      <w:pPr>
        <w:widowControl w:val="0"/>
        <w:autoSpaceDE w:val="0"/>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lastRenderedPageBreak/>
        <w:t>APPENDIX</w:t>
      </w:r>
      <w:bookmarkStart w:id="0" w:name="_GoBack"/>
      <w:bookmarkEnd w:id="0"/>
    </w:p>
    <w:p w14:paraId="30133780" w14:textId="77777777" w:rsidR="00447D6A" w:rsidRDefault="00447D6A" w:rsidP="00F3480E">
      <w:pPr>
        <w:widowControl w:val="0"/>
        <w:autoSpaceDE w:val="0"/>
        <w:autoSpaceDN w:val="0"/>
        <w:adjustRightInd w:val="0"/>
        <w:rPr>
          <w:rFonts w:ascii="Times New Roman" w:hAnsi="Times New Roman" w:cs="Times New Roman"/>
          <w:b/>
          <w:sz w:val="22"/>
          <w:szCs w:val="22"/>
        </w:rPr>
      </w:pPr>
    </w:p>
    <w:p w14:paraId="6B4757FC" w14:textId="77777777" w:rsidR="002C6C46" w:rsidRDefault="002C6C46" w:rsidP="002C6C46">
      <w:pPr>
        <w:rPr>
          <w:rFonts w:ascii="Times New Roman" w:hAnsi="Times New Roman" w:cs="Times New Roman"/>
          <w:b/>
        </w:rPr>
      </w:pPr>
      <w:r w:rsidRPr="00747CAA">
        <w:rPr>
          <w:rFonts w:ascii="Times New Roman" w:hAnsi="Times New Roman" w:cs="Times New Roman"/>
          <w:b/>
        </w:rPr>
        <w:t xml:space="preserve">Online Appendix 1: Analysis of stakeholders’ positions in support of </w:t>
      </w:r>
      <w:r>
        <w:rPr>
          <w:rFonts w:ascii="Times New Roman" w:hAnsi="Times New Roman" w:cs="Times New Roman"/>
          <w:b/>
        </w:rPr>
        <w:t xml:space="preserve">Better Regulation </w:t>
      </w:r>
      <w:r w:rsidRPr="00747CAA">
        <w:rPr>
          <w:rFonts w:ascii="Times New Roman" w:hAnsi="Times New Roman" w:cs="Times New Roman"/>
          <w:b/>
        </w:rPr>
        <w:t xml:space="preserve">status quo </w:t>
      </w:r>
    </w:p>
    <w:p w14:paraId="28AB1B65" w14:textId="77777777" w:rsidR="002C6C46" w:rsidRPr="00816AB4" w:rsidRDefault="002C6C46" w:rsidP="002C6C46">
      <w:pPr>
        <w:rPr>
          <w:rFonts w:ascii="Times New Roman" w:hAnsi="Times New Roman" w:cs="Times New Roman"/>
          <w:b/>
        </w:rPr>
      </w:pPr>
    </w:p>
    <w:p w14:paraId="4746B3EE" w14:textId="77777777" w:rsidR="002C6C46" w:rsidRDefault="002C6C46" w:rsidP="002C6C46">
      <w:pPr>
        <w:spacing w:line="360" w:lineRule="auto"/>
        <w:ind w:firstLine="720"/>
        <w:jc w:val="both"/>
        <w:rPr>
          <w:rFonts w:ascii="Times New Roman" w:hAnsi="Times New Roman" w:cs="Times New Roman"/>
        </w:rPr>
      </w:pPr>
      <w:r w:rsidRPr="003475FB">
        <w:rPr>
          <w:rFonts w:ascii="Times New Roman" w:hAnsi="Times New Roman" w:cs="Times New Roman"/>
        </w:rPr>
        <w:t xml:space="preserve">The </w:t>
      </w:r>
      <w:r>
        <w:rPr>
          <w:rFonts w:ascii="Times New Roman" w:hAnsi="Times New Roman" w:cs="Times New Roman"/>
        </w:rPr>
        <w:t>regression models</w:t>
      </w:r>
      <w:r w:rsidRPr="003475FB">
        <w:rPr>
          <w:rFonts w:ascii="Times New Roman" w:hAnsi="Times New Roman" w:cs="Times New Roman"/>
        </w:rPr>
        <w:t xml:space="preserve"> reported in </w:t>
      </w:r>
      <w:r>
        <w:rPr>
          <w:rFonts w:ascii="Times New Roman" w:hAnsi="Times New Roman" w:cs="Times New Roman"/>
        </w:rPr>
        <w:t xml:space="preserve">Table 2 in </w:t>
      </w:r>
      <w:r w:rsidRPr="003475FB">
        <w:rPr>
          <w:rFonts w:ascii="Times New Roman" w:hAnsi="Times New Roman" w:cs="Times New Roman"/>
        </w:rPr>
        <w:t xml:space="preserve">the </w:t>
      </w:r>
      <w:r>
        <w:rPr>
          <w:rFonts w:ascii="Times New Roman" w:hAnsi="Times New Roman" w:cs="Times New Roman"/>
        </w:rPr>
        <w:t>article</w:t>
      </w:r>
      <w:r w:rsidRPr="003475FB">
        <w:rPr>
          <w:rFonts w:ascii="Times New Roman" w:hAnsi="Times New Roman" w:cs="Times New Roman"/>
        </w:rPr>
        <w:t xml:space="preserve"> </w:t>
      </w:r>
      <w:r>
        <w:rPr>
          <w:rFonts w:ascii="Times New Roman" w:hAnsi="Times New Roman" w:cs="Times New Roman"/>
        </w:rPr>
        <w:t>focus only on</w:t>
      </w:r>
      <w:r w:rsidRPr="003475FB">
        <w:rPr>
          <w:rFonts w:ascii="Times New Roman" w:hAnsi="Times New Roman" w:cs="Times New Roman"/>
        </w:rPr>
        <w:t xml:space="preserve"> the demands for specific types of regulatory reform. However,</w:t>
      </w:r>
      <w:r>
        <w:rPr>
          <w:rFonts w:ascii="Times New Roman" w:hAnsi="Times New Roman" w:cs="Times New Roman"/>
        </w:rPr>
        <w:t xml:space="preserve"> in their position documents,</w:t>
      </w:r>
      <w:r w:rsidRPr="003475FB">
        <w:rPr>
          <w:rFonts w:ascii="Times New Roman" w:hAnsi="Times New Roman" w:cs="Times New Roman"/>
        </w:rPr>
        <w:t xml:space="preserve"> stakeholders als</w:t>
      </w:r>
      <w:r>
        <w:rPr>
          <w:rFonts w:ascii="Times New Roman" w:hAnsi="Times New Roman" w:cs="Times New Roman"/>
        </w:rPr>
        <w:t>o expressed support for various regulatory (reform) measures implemented by the Commission prior to the open consultation in 2012. Substantively, these are demands expressed in support of the status quo. Table 1 in this Appendix lists these stakeholders’ positions supporting the status quo of regulatory policymaking.</w:t>
      </w:r>
    </w:p>
    <w:p w14:paraId="7E7191D1" w14:textId="77777777" w:rsidR="002C6C46" w:rsidRPr="003475FB" w:rsidRDefault="002C6C46" w:rsidP="002C6C46">
      <w:pPr>
        <w:spacing w:line="360" w:lineRule="auto"/>
        <w:ind w:firstLine="720"/>
        <w:jc w:val="both"/>
        <w:rPr>
          <w:rFonts w:ascii="Times New Roman" w:hAnsi="Times New Roman" w:cs="Times New Roman"/>
        </w:rPr>
      </w:pPr>
      <w:r>
        <w:rPr>
          <w:rFonts w:ascii="Times New Roman" w:hAnsi="Times New Roman" w:cs="Times New Roman"/>
        </w:rPr>
        <w:t>Our rationale for excluding these demands from our main analysis is that the status quo of regulatory policymaking in the EU in 2012 reflected previous deregulatory, technocratic and participatory reforms without any of these reforms being dominant. Thus, support (or opposition) to the status quo of the Better Regulation policy does not tell us which specific type of reform a particular stakeholder prefers. For example, the economic, social and environmental criteria that have been used in impact assessments since the 2000s were compatible with both deregulatory and technocratic (and possibly participatory) types of reform. Thus, stakeholders supporting either of these two types of reform would have been equally likely to express support to the statement that goals of impact assessments should not be changed. Similarly, support to the statement that the general principles of consultations are good can be compatible with either technocratic or participatory type of reform.</w:t>
      </w:r>
      <w:r w:rsidRPr="00262D2C">
        <w:rPr>
          <w:rFonts w:ascii="Times New Roman" w:hAnsi="Times New Roman" w:cs="Times New Roman"/>
        </w:rPr>
        <w:t xml:space="preserve"> </w:t>
      </w:r>
      <w:r>
        <w:rPr>
          <w:rFonts w:ascii="Times New Roman" w:hAnsi="Times New Roman" w:cs="Times New Roman"/>
        </w:rPr>
        <w:t xml:space="preserve">We therefore expect no significant differences in terms of support to status quo positions among the stakeholders who supported a reform of any type in 2012. </w:t>
      </w:r>
    </w:p>
    <w:p w14:paraId="65F3EF64" w14:textId="77777777" w:rsidR="002C6C46" w:rsidRDefault="002C6C46" w:rsidP="002C6C46">
      <w:pPr>
        <w:spacing w:line="360" w:lineRule="auto"/>
        <w:ind w:firstLine="720"/>
        <w:jc w:val="both"/>
        <w:rPr>
          <w:rFonts w:ascii="Times New Roman" w:hAnsi="Times New Roman" w:cs="Times New Roman"/>
        </w:rPr>
      </w:pPr>
      <w:r>
        <w:rPr>
          <w:rFonts w:ascii="Times New Roman" w:hAnsi="Times New Roman" w:cs="Times New Roman"/>
        </w:rPr>
        <w:t>We hypothesize two types of behaviour among those stakeholders that are against any type of reform. On the one hand, given that the status quo of Better Regulation reflects some previous reforms, stakeholders may prefer to oppose it</w:t>
      </w:r>
      <w:r w:rsidRPr="00FC4FC2">
        <w:rPr>
          <w:rFonts w:ascii="Times New Roman" w:hAnsi="Times New Roman" w:cs="Times New Roman"/>
        </w:rPr>
        <w:t xml:space="preserve"> </w:t>
      </w:r>
      <w:r>
        <w:rPr>
          <w:rFonts w:ascii="Times New Roman" w:hAnsi="Times New Roman" w:cs="Times New Roman"/>
        </w:rPr>
        <w:t>explicitly in line with their sincere policy preferences. On the other hand, they might also support it for strategic reasons, in order to increase the probability of their second least-preferred outcome (the preservation of status quo) as opposed to their least preferred option (further regulatory reform).</w:t>
      </w:r>
    </w:p>
    <w:p w14:paraId="5A33C1E4" w14:textId="77777777" w:rsidR="002C6C46" w:rsidRDefault="002C6C46" w:rsidP="002C6C46">
      <w:pPr>
        <w:spacing w:line="360" w:lineRule="auto"/>
        <w:ind w:firstLine="720"/>
        <w:jc w:val="both"/>
        <w:rPr>
          <w:rFonts w:ascii="Times New Roman" w:hAnsi="Times New Roman" w:cs="Times New Roman"/>
        </w:rPr>
      </w:pPr>
      <w:r>
        <w:rPr>
          <w:rFonts w:ascii="Times New Roman" w:hAnsi="Times New Roman" w:cs="Times New Roman"/>
        </w:rPr>
        <w:lastRenderedPageBreak/>
        <w:t>Table 2 presents the results of the negative binomial regression analysis that tests these expectations (Model 5). The dependent variable in this analysis is the count of status quo positions expressed by each stakeholder. Interest type is the independent variable, with cross-sectoral business groups as the reference category.</w:t>
      </w:r>
    </w:p>
    <w:p w14:paraId="0EA23D9E" w14:textId="77777777" w:rsidR="002C6C46" w:rsidRDefault="002C6C46" w:rsidP="002C6C46">
      <w:pPr>
        <w:spacing w:line="360" w:lineRule="auto"/>
        <w:ind w:firstLine="720"/>
        <w:jc w:val="both"/>
        <w:rPr>
          <w:rFonts w:ascii="Times New Roman" w:hAnsi="Times New Roman" w:cs="Times New Roman"/>
        </w:rPr>
      </w:pPr>
      <w:r>
        <w:rPr>
          <w:rFonts w:ascii="Times New Roman" w:hAnsi="Times New Roman" w:cs="Times New Roman"/>
        </w:rPr>
        <w:t xml:space="preserve">The results largely support our expectations. The stakeholders that we found were supportive of at least one type of reform (i.e. both cross-sectoral and sectoral business groups, public institutions responsible for the coordination and oversight of Better Regulation, and public interest groups) expressed a similar number of positions in support of the status quo of the regulatory policymaking. This is in line with our hypothesis that these stakeholders approved of the regulatory reforms they preferred and that were implemented prior to 2012. </w:t>
      </w:r>
    </w:p>
    <w:p w14:paraId="01229E8F" w14:textId="77777777" w:rsidR="002C6C46" w:rsidRDefault="002C6C46" w:rsidP="002C6C46">
      <w:pPr>
        <w:spacing w:line="360" w:lineRule="auto"/>
        <w:ind w:firstLine="720"/>
        <w:jc w:val="both"/>
        <w:rPr>
          <w:rFonts w:ascii="Times New Roman" w:hAnsi="Times New Roman" w:cs="Times New Roman"/>
        </w:rPr>
      </w:pPr>
      <w:r>
        <w:rPr>
          <w:rFonts w:ascii="Times New Roman" w:hAnsi="Times New Roman" w:cs="Times New Roman"/>
        </w:rPr>
        <w:t>The regression model in Table 2 also indicates important differences among those stakeholders that were found not to support any type of reform in the main analyses presented in the article. Specifically, while professional associations were significantly less likely to express support for status quo than all other groups, public institutions that are responsible for the implementation of Better Regulation measures at national level were rather supportive of the status quo. The stakeholders in the latter group might be unwilling to challenge directly regulatory reform; in contrast, professional associations, some of which have opposed Better Regulation openly (e.g. the European Trade Union Congress), had so such qualms about expressing their opposition also in the consultation.</w:t>
      </w:r>
    </w:p>
    <w:p w14:paraId="2829845B" w14:textId="77777777" w:rsidR="002C6C46" w:rsidRDefault="002C6C46" w:rsidP="002C6C46">
      <w:pPr>
        <w:rPr>
          <w:rFonts w:ascii="Times New Roman" w:hAnsi="Times New Roman" w:cs="Times New Roman"/>
        </w:rPr>
      </w:pPr>
      <w:r>
        <w:rPr>
          <w:rFonts w:ascii="Times New Roman" w:hAnsi="Times New Roman" w:cs="Times New Roman"/>
        </w:rPr>
        <w:br w:type="page"/>
      </w:r>
    </w:p>
    <w:p w14:paraId="5BC75792" w14:textId="77777777" w:rsidR="002C6C46" w:rsidRDefault="002C6C46" w:rsidP="002C6C46">
      <w:pPr>
        <w:spacing w:line="480" w:lineRule="auto"/>
        <w:rPr>
          <w:rFonts w:ascii="Times New Roman" w:hAnsi="Times New Roman" w:cs="Times New Roman"/>
        </w:rPr>
      </w:pPr>
    </w:p>
    <w:p w14:paraId="09777072" w14:textId="77777777" w:rsidR="002C6C46" w:rsidRPr="00755C13" w:rsidRDefault="002C6C46" w:rsidP="002C6C46">
      <w:pPr>
        <w:widowControl w:val="0"/>
        <w:autoSpaceDE w:val="0"/>
        <w:autoSpaceDN w:val="0"/>
        <w:adjustRightInd w:val="0"/>
        <w:jc w:val="both"/>
        <w:rPr>
          <w:rFonts w:ascii="Times New Roman" w:hAnsi="Times New Roman" w:cs="Times New Roman"/>
          <w:b/>
        </w:rPr>
      </w:pPr>
      <w:r>
        <w:rPr>
          <w:rFonts w:ascii="Times New Roman" w:hAnsi="Times New Roman" w:cs="Times New Roman"/>
          <w:b/>
        </w:rPr>
        <w:t>Table 1.</w:t>
      </w:r>
      <w:r w:rsidRPr="0016740E">
        <w:rPr>
          <w:rFonts w:ascii="Times New Roman" w:hAnsi="Times New Roman" w:cs="Times New Roman"/>
          <w:b/>
        </w:rPr>
        <w:t xml:space="preserve"> </w:t>
      </w:r>
      <w:r>
        <w:rPr>
          <w:rFonts w:ascii="Times New Roman" w:hAnsi="Times New Roman" w:cs="Times New Roman"/>
          <w:b/>
        </w:rPr>
        <w:t>Stakeholders positions in support of the status quo of Better Regulation expressed</w:t>
      </w:r>
      <w:r w:rsidRPr="0016740E">
        <w:rPr>
          <w:rFonts w:ascii="Times New Roman" w:hAnsi="Times New Roman" w:cs="Times New Roman"/>
          <w:b/>
        </w:rPr>
        <w:t xml:space="preserve"> in the 2012 EU open consultation on Smart</w:t>
      </w:r>
      <w:r>
        <w:rPr>
          <w:rFonts w:ascii="Times New Roman" w:hAnsi="Times New Roman" w:cs="Times New Roman"/>
          <w:b/>
        </w:rPr>
        <w:t xml:space="preserve"> </w:t>
      </w:r>
      <w:r w:rsidRPr="0016740E">
        <w:rPr>
          <w:rFonts w:ascii="Times New Roman" w:hAnsi="Times New Roman" w:cs="Times New Roman"/>
          <w:b/>
        </w:rPr>
        <w:t>Regulation.</w:t>
      </w:r>
    </w:p>
    <w:tbl>
      <w:tblPr>
        <w:tblStyle w:val="TableGrid"/>
        <w:tblW w:w="9648" w:type="dxa"/>
        <w:tblInd w:w="-2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3354"/>
        <w:gridCol w:w="4649"/>
        <w:gridCol w:w="1219"/>
      </w:tblGrid>
      <w:tr w:rsidR="002C6C46" w14:paraId="0220ECF5" w14:textId="77777777" w:rsidTr="00755D35">
        <w:tc>
          <w:tcPr>
            <w:tcW w:w="426" w:type="dxa"/>
          </w:tcPr>
          <w:p w14:paraId="46216C87" w14:textId="77777777" w:rsidR="002C6C46" w:rsidRDefault="002C6C46" w:rsidP="00755D35">
            <w:pPr>
              <w:widowControl w:val="0"/>
              <w:autoSpaceDE w:val="0"/>
              <w:autoSpaceDN w:val="0"/>
              <w:adjustRightInd w:val="0"/>
              <w:jc w:val="center"/>
              <w:rPr>
                <w:rFonts w:ascii="Times New Roman" w:hAnsi="Times New Roman" w:cs="Times New Roman"/>
                <w:b/>
                <w:sz w:val="22"/>
                <w:szCs w:val="22"/>
              </w:rPr>
            </w:pPr>
          </w:p>
        </w:tc>
        <w:tc>
          <w:tcPr>
            <w:tcW w:w="3354" w:type="dxa"/>
          </w:tcPr>
          <w:p w14:paraId="0B4D49D8" w14:textId="77777777" w:rsidR="002C6C46" w:rsidRDefault="002C6C46" w:rsidP="00755D35">
            <w:pPr>
              <w:widowControl w:val="0"/>
              <w:autoSpaceDE w:val="0"/>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Demand code</w:t>
            </w:r>
          </w:p>
        </w:tc>
        <w:tc>
          <w:tcPr>
            <w:tcW w:w="4649" w:type="dxa"/>
          </w:tcPr>
          <w:p w14:paraId="2F168BEE" w14:textId="77777777" w:rsidR="002C6C46" w:rsidRDefault="002C6C46" w:rsidP="00755D35">
            <w:pPr>
              <w:widowControl w:val="0"/>
              <w:autoSpaceDE w:val="0"/>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Demand content</w:t>
            </w:r>
          </w:p>
        </w:tc>
        <w:tc>
          <w:tcPr>
            <w:tcW w:w="1219" w:type="dxa"/>
          </w:tcPr>
          <w:p w14:paraId="0F03069A" w14:textId="77777777" w:rsidR="002C6C46" w:rsidRDefault="002C6C46" w:rsidP="00755D35">
            <w:pPr>
              <w:widowControl w:val="0"/>
              <w:autoSpaceDE w:val="0"/>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Frequency</w:t>
            </w:r>
          </w:p>
        </w:tc>
      </w:tr>
      <w:tr w:rsidR="002C6C46" w14:paraId="0ECFEE00" w14:textId="77777777" w:rsidTr="00755D35">
        <w:trPr>
          <w:trHeight w:val="485"/>
        </w:trPr>
        <w:tc>
          <w:tcPr>
            <w:tcW w:w="426" w:type="dxa"/>
          </w:tcPr>
          <w:p w14:paraId="442F3085" w14:textId="77777777" w:rsidR="002C6C46" w:rsidRPr="00D4066C"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3354" w:type="dxa"/>
          </w:tcPr>
          <w:p w14:paraId="61653D07" w14:textId="77777777" w:rsidR="002C6C46" w:rsidRPr="00D4066C" w:rsidRDefault="002C6C46" w:rsidP="00755D35">
            <w:pPr>
              <w:widowControl w:val="0"/>
              <w:autoSpaceDE w:val="0"/>
              <w:autoSpaceDN w:val="0"/>
              <w:adjustRightInd w:val="0"/>
              <w:rPr>
                <w:rFonts w:ascii="Times New Roman" w:hAnsi="Times New Roman" w:cs="Times New Roman"/>
                <w:sz w:val="20"/>
                <w:szCs w:val="20"/>
              </w:rPr>
            </w:pPr>
            <w:r w:rsidRPr="00C14028">
              <w:rPr>
                <w:rFonts w:ascii="Times New Roman" w:hAnsi="Times New Roman" w:cs="Times New Roman"/>
                <w:sz w:val="20"/>
                <w:szCs w:val="20"/>
              </w:rPr>
              <w:t>cons.broadness.allelementsia</w:t>
            </w:r>
          </w:p>
        </w:tc>
        <w:tc>
          <w:tcPr>
            <w:tcW w:w="4649" w:type="dxa"/>
          </w:tcPr>
          <w:p w14:paraId="03E316CE" w14:textId="77777777" w:rsidR="002C6C46" w:rsidRPr="005D0955" w:rsidRDefault="002C6C46" w:rsidP="00755D3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Consultation documents cover all elements of impact assessments</w:t>
            </w:r>
          </w:p>
        </w:tc>
        <w:tc>
          <w:tcPr>
            <w:tcW w:w="1219" w:type="dxa"/>
          </w:tcPr>
          <w:p w14:paraId="39EE8779" w14:textId="77777777" w:rsidR="002C6C46" w:rsidRPr="00FD379A"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w:t>
            </w:r>
          </w:p>
        </w:tc>
      </w:tr>
      <w:tr w:rsidR="002C6C46" w:rsidRPr="00FD379A" w14:paraId="275F8DD5" w14:textId="77777777" w:rsidTr="00755D35">
        <w:trPr>
          <w:trHeight w:val="278"/>
        </w:trPr>
        <w:tc>
          <w:tcPr>
            <w:tcW w:w="426" w:type="dxa"/>
          </w:tcPr>
          <w:p w14:paraId="59EA1C96" w14:textId="77777777" w:rsidR="002C6C46" w:rsidRPr="00D4066C"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3354" w:type="dxa"/>
          </w:tcPr>
          <w:p w14:paraId="0557953D" w14:textId="77777777" w:rsidR="002C6C46" w:rsidRPr="00D4066C" w:rsidRDefault="002C6C46" w:rsidP="00755D35">
            <w:pPr>
              <w:widowControl w:val="0"/>
              <w:autoSpaceDE w:val="0"/>
              <w:autoSpaceDN w:val="0"/>
              <w:adjustRightInd w:val="0"/>
              <w:rPr>
                <w:rFonts w:ascii="Times New Roman" w:hAnsi="Times New Roman" w:cs="Times New Roman"/>
                <w:sz w:val="20"/>
                <w:szCs w:val="20"/>
              </w:rPr>
            </w:pPr>
            <w:r w:rsidRPr="00C14028">
              <w:rPr>
                <w:rFonts w:ascii="Times New Roman" w:hAnsi="Times New Roman" w:cs="Times New Roman"/>
                <w:sz w:val="20"/>
                <w:szCs w:val="20"/>
              </w:rPr>
              <w:t>cons.docs.completeclear</w:t>
            </w:r>
          </w:p>
        </w:tc>
        <w:tc>
          <w:tcPr>
            <w:tcW w:w="4649" w:type="dxa"/>
          </w:tcPr>
          <w:p w14:paraId="0C050A79" w14:textId="77777777" w:rsidR="002C6C46" w:rsidRPr="005D0955" w:rsidRDefault="002C6C46" w:rsidP="00755D35">
            <w:pPr>
              <w:widowControl w:val="0"/>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lang w:val="en-GB"/>
              </w:rPr>
              <w:t>Consultation documents are complete and clear</w:t>
            </w:r>
          </w:p>
        </w:tc>
        <w:tc>
          <w:tcPr>
            <w:tcW w:w="1219" w:type="dxa"/>
          </w:tcPr>
          <w:p w14:paraId="386F781C" w14:textId="77777777" w:rsidR="002C6C46" w:rsidRPr="00FD379A"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w:t>
            </w:r>
          </w:p>
        </w:tc>
      </w:tr>
      <w:tr w:rsidR="002C6C46" w14:paraId="1425A37B" w14:textId="77777777" w:rsidTr="00755D35">
        <w:trPr>
          <w:trHeight w:val="459"/>
        </w:trPr>
        <w:tc>
          <w:tcPr>
            <w:tcW w:w="426" w:type="dxa"/>
          </w:tcPr>
          <w:p w14:paraId="17D0FF0B" w14:textId="77777777" w:rsidR="002C6C46" w:rsidRPr="00861D9B"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3354" w:type="dxa"/>
          </w:tcPr>
          <w:p w14:paraId="47D51A98" w14:textId="77777777" w:rsidR="002C6C46" w:rsidRPr="00861D9B" w:rsidRDefault="002C6C46" w:rsidP="00755D35">
            <w:pPr>
              <w:widowControl w:val="0"/>
              <w:autoSpaceDE w:val="0"/>
              <w:autoSpaceDN w:val="0"/>
              <w:adjustRightInd w:val="0"/>
              <w:rPr>
                <w:rFonts w:ascii="Times New Roman" w:hAnsi="Times New Roman" w:cs="Times New Roman"/>
                <w:sz w:val="20"/>
                <w:szCs w:val="20"/>
              </w:rPr>
            </w:pPr>
            <w:r w:rsidRPr="00C14028">
              <w:rPr>
                <w:rFonts w:ascii="Times New Roman" w:hAnsi="Times New Roman" w:cs="Times New Roman"/>
                <w:sz w:val="20"/>
                <w:szCs w:val="20"/>
              </w:rPr>
              <w:t>cons.feedback.sufficient</w:t>
            </w:r>
          </w:p>
        </w:tc>
        <w:tc>
          <w:tcPr>
            <w:tcW w:w="4649" w:type="dxa"/>
          </w:tcPr>
          <w:p w14:paraId="556A0BA4" w14:textId="77777777" w:rsidR="002C6C46" w:rsidRPr="0012649E" w:rsidRDefault="002C6C46" w:rsidP="00755D35">
            <w:pPr>
              <w:pStyle w:val="p1"/>
              <w:rPr>
                <w:sz w:val="20"/>
                <w:szCs w:val="20"/>
              </w:rPr>
            </w:pPr>
            <w:r w:rsidRPr="0012649E">
              <w:rPr>
                <w:rStyle w:val="s1"/>
                <w:sz w:val="20"/>
                <w:szCs w:val="20"/>
              </w:rPr>
              <w:t>The quality and transparency of the feedback on the impact of consultations is sufficient</w:t>
            </w:r>
          </w:p>
        </w:tc>
        <w:tc>
          <w:tcPr>
            <w:tcW w:w="1219" w:type="dxa"/>
          </w:tcPr>
          <w:p w14:paraId="604D64EC" w14:textId="77777777" w:rsidR="002C6C46" w:rsidRPr="00FD379A"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w:t>
            </w:r>
          </w:p>
        </w:tc>
      </w:tr>
      <w:tr w:rsidR="002C6C46" w14:paraId="0267F78D" w14:textId="77777777" w:rsidTr="00755D35">
        <w:tc>
          <w:tcPr>
            <w:tcW w:w="426" w:type="dxa"/>
          </w:tcPr>
          <w:p w14:paraId="02FD4ED3" w14:textId="77777777" w:rsidR="002C6C46"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3354" w:type="dxa"/>
          </w:tcPr>
          <w:p w14:paraId="4AC59D6A" w14:textId="77777777" w:rsidR="002C6C46" w:rsidRPr="00861D9B" w:rsidRDefault="002C6C46" w:rsidP="00755D35">
            <w:pPr>
              <w:widowControl w:val="0"/>
              <w:autoSpaceDE w:val="0"/>
              <w:autoSpaceDN w:val="0"/>
              <w:adjustRightInd w:val="0"/>
              <w:rPr>
                <w:rFonts w:ascii="Times New Roman" w:hAnsi="Times New Roman" w:cs="Times New Roman"/>
                <w:sz w:val="20"/>
                <w:szCs w:val="20"/>
              </w:rPr>
            </w:pPr>
            <w:r w:rsidRPr="00C14028">
              <w:rPr>
                <w:rFonts w:ascii="Times New Roman" w:hAnsi="Times New Roman" w:cs="Times New Roman"/>
                <w:sz w:val="20"/>
                <w:szCs w:val="20"/>
              </w:rPr>
              <w:t>cons.outreach.good</w:t>
            </w:r>
          </w:p>
        </w:tc>
        <w:tc>
          <w:tcPr>
            <w:tcW w:w="4649" w:type="dxa"/>
          </w:tcPr>
          <w:p w14:paraId="1A34BE29" w14:textId="77777777" w:rsidR="002C6C46" w:rsidRPr="007F7ECE" w:rsidRDefault="002C6C46" w:rsidP="00755D35">
            <w:pPr>
              <w:widowControl w:val="0"/>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rPr>
              <w:t>The outreach of consultations is sufficient</w:t>
            </w:r>
          </w:p>
        </w:tc>
        <w:tc>
          <w:tcPr>
            <w:tcW w:w="1219" w:type="dxa"/>
          </w:tcPr>
          <w:p w14:paraId="746FDC6B" w14:textId="77777777" w:rsidR="002C6C46" w:rsidRPr="00FD379A"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12</w:t>
            </w:r>
          </w:p>
        </w:tc>
      </w:tr>
      <w:tr w:rsidR="002C6C46" w14:paraId="691D67F0" w14:textId="77777777" w:rsidTr="00755D35">
        <w:tc>
          <w:tcPr>
            <w:tcW w:w="426" w:type="dxa"/>
          </w:tcPr>
          <w:p w14:paraId="6990874E" w14:textId="77777777" w:rsidR="002C6C46" w:rsidRPr="00861D9B"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3354" w:type="dxa"/>
          </w:tcPr>
          <w:p w14:paraId="68A3A62F" w14:textId="77777777" w:rsidR="002C6C46" w:rsidRPr="00861D9B" w:rsidRDefault="002C6C46" w:rsidP="00755D35">
            <w:pPr>
              <w:widowControl w:val="0"/>
              <w:autoSpaceDE w:val="0"/>
              <w:autoSpaceDN w:val="0"/>
              <w:adjustRightInd w:val="0"/>
              <w:rPr>
                <w:rFonts w:ascii="Times New Roman" w:hAnsi="Times New Roman" w:cs="Times New Roman"/>
                <w:sz w:val="20"/>
                <w:szCs w:val="20"/>
              </w:rPr>
            </w:pPr>
            <w:r w:rsidRPr="00C14028">
              <w:rPr>
                <w:rFonts w:ascii="Times New Roman" w:hAnsi="Times New Roman" w:cs="Times New Roman"/>
                <w:sz w:val="20"/>
                <w:szCs w:val="20"/>
              </w:rPr>
              <w:t>cons.scope.good</w:t>
            </w:r>
          </w:p>
        </w:tc>
        <w:tc>
          <w:tcPr>
            <w:tcW w:w="4649" w:type="dxa"/>
          </w:tcPr>
          <w:p w14:paraId="692B4AAA" w14:textId="77777777" w:rsidR="002C6C46" w:rsidRPr="007F7ECE" w:rsidRDefault="002C6C46" w:rsidP="00755D3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Support to the existing practices in terms of the </w:t>
            </w:r>
            <w:r>
              <w:rPr>
                <w:rFonts w:ascii="Times New Roman" w:hAnsi="Times New Roman" w:cs="Times New Roman"/>
                <w:color w:val="000000"/>
                <w:sz w:val="20"/>
                <w:szCs w:val="20"/>
              </w:rPr>
              <w:t>scope of the use of consultations</w:t>
            </w:r>
          </w:p>
        </w:tc>
        <w:tc>
          <w:tcPr>
            <w:tcW w:w="1219" w:type="dxa"/>
          </w:tcPr>
          <w:p w14:paraId="3CDC43AF" w14:textId="77777777" w:rsidR="002C6C46" w:rsidRPr="00FD379A"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w:t>
            </w:r>
          </w:p>
        </w:tc>
      </w:tr>
      <w:tr w:rsidR="002C6C46" w14:paraId="309AB13A" w14:textId="77777777" w:rsidTr="00755D35">
        <w:tc>
          <w:tcPr>
            <w:tcW w:w="426" w:type="dxa"/>
          </w:tcPr>
          <w:p w14:paraId="28295A73" w14:textId="77777777" w:rsidR="002C6C46" w:rsidRPr="00D4066C"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w:t>
            </w:r>
          </w:p>
        </w:tc>
        <w:tc>
          <w:tcPr>
            <w:tcW w:w="3354" w:type="dxa"/>
          </w:tcPr>
          <w:p w14:paraId="557FB5B5" w14:textId="77777777" w:rsidR="002C6C46" w:rsidRPr="00D4066C" w:rsidRDefault="002C6C46" w:rsidP="00755D35">
            <w:pPr>
              <w:widowControl w:val="0"/>
              <w:autoSpaceDE w:val="0"/>
              <w:autoSpaceDN w:val="0"/>
              <w:adjustRightInd w:val="0"/>
              <w:rPr>
                <w:rFonts w:ascii="Times New Roman" w:hAnsi="Times New Roman" w:cs="Times New Roman"/>
                <w:sz w:val="20"/>
                <w:szCs w:val="20"/>
              </w:rPr>
            </w:pPr>
            <w:r w:rsidRPr="00C14028">
              <w:rPr>
                <w:rFonts w:ascii="Times New Roman" w:hAnsi="Times New Roman" w:cs="Times New Roman"/>
                <w:sz w:val="20"/>
                <w:szCs w:val="20"/>
              </w:rPr>
              <w:t>cons.timing.good</w:t>
            </w:r>
          </w:p>
        </w:tc>
        <w:tc>
          <w:tcPr>
            <w:tcW w:w="4649" w:type="dxa"/>
          </w:tcPr>
          <w:p w14:paraId="1F6AC8FB" w14:textId="77777777" w:rsidR="002C6C46" w:rsidRPr="005D0955" w:rsidRDefault="002C6C46" w:rsidP="00755D3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Support to the existing practices in terms of the timing of consultations is </w:t>
            </w:r>
          </w:p>
        </w:tc>
        <w:tc>
          <w:tcPr>
            <w:tcW w:w="1219" w:type="dxa"/>
          </w:tcPr>
          <w:p w14:paraId="5EAD120F" w14:textId="77777777" w:rsidR="002C6C46" w:rsidRPr="00FD379A"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14</w:t>
            </w:r>
          </w:p>
        </w:tc>
      </w:tr>
      <w:tr w:rsidR="002C6C46" w14:paraId="4D08151C" w14:textId="77777777" w:rsidTr="00755D35">
        <w:tc>
          <w:tcPr>
            <w:tcW w:w="426" w:type="dxa"/>
          </w:tcPr>
          <w:p w14:paraId="398DC780" w14:textId="77777777" w:rsidR="002C6C46"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p>
        </w:tc>
        <w:tc>
          <w:tcPr>
            <w:tcW w:w="3354" w:type="dxa"/>
          </w:tcPr>
          <w:p w14:paraId="0F2B53A4" w14:textId="77777777" w:rsidR="002C6C46" w:rsidRPr="00D4066C" w:rsidRDefault="002C6C46" w:rsidP="00755D35">
            <w:pPr>
              <w:widowControl w:val="0"/>
              <w:autoSpaceDE w:val="0"/>
              <w:autoSpaceDN w:val="0"/>
              <w:adjustRightInd w:val="0"/>
              <w:rPr>
                <w:rFonts w:ascii="Times New Roman" w:hAnsi="Times New Roman" w:cs="Times New Roman"/>
                <w:sz w:val="20"/>
                <w:szCs w:val="20"/>
              </w:rPr>
            </w:pPr>
            <w:r w:rsidRPr="00C14028">
              <w:rPr>
                <w:rFonts w:ascii="Times New Roman" w:hAnsi="Times New Roman" w:cs="Times New Roman"/>
                <w:sz w:val="20"/>
                <w:szCs w:val="20"/>
              </w:rPr>
              <w:t>eval.meth.good</w:t>
            </w:r>
          </w:p>
        </w:tc>
        <w:tc>
          <w:tcPr>
            <w:tcW w:w="4649" w:type="dxa"/>
          </w:tcPr>
          <w:p w14:paraId="0C3481C3" w14:textId="77777777" w:rsidR="002C6C46" w:rsidRPr="007F7ECE" w:rsidRDefault="002C6C46" w:rsidP="00755D35">
            <w:pPr>
              <w:widowControl w:val="0"/>
              <w:autoSpaceDE w:val="0"/>
              <w:autoSpaceDN w:val="0"/>
              <w:adjustRightInd w:val="0"/>
              <w:rPr>
                <w:rFonts w:ascii="Times New Roman" w:hAnsi="Times New Roman" w:cs="Times New Roman"/>
                <w:b/>
                <w:sz w:val="20"/>
                <w:szCs w:val="20"/>
              </w:rPr>
            </w:pPr>
            <w:r>
              <w:rPr>
                <w:rFonts w:ascii="Times New Roman" w:hAnsi="Times New Roman" w:cs="Times New Roman"/>
                <w:sz w:val="20"/>
                <w:szCs w:val="20"/>
              </w:rPr>
              <w:t>Support to the existing methodology of ex-post evaluations</w:t>
            </w:r>
          </w:p>
        </w:tc>
        <w:tc>
          <w:tcPr>
            <w:tcW w:w="1219" w:type="dxa"/>
          </w:tcPr>
          <w:p w14:paraId="5562DEBE" w14:textId="77777777" w:rsidR="002C6C46" w:rsidRPr="00FD379A"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w:t>
            </w:r>
          </w:p>
        </w:tc>
      </w:tr>
      <w:tr w:rsidR="002C6C46" w14:paraId="6A4E2D54" w14:textId="77777777" w:rsidTr="00755D35">
        <w:tc>
          <w:tcPr>
            <w:tcW w:w="426" w:type="dxa"/>
          </w:tcPr>
          <w:p w14:paraId="4A1EB733" w14:textId="77777777" w:rsidR="002C6C46"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p>
        </w:tc>
        <w:tc>
          <w:tcPr>
            <w:tcW w:w="3354" w:type="dxa"/>
          </w:tcPr>
          <w:p w14:paraId="17670C2D" w14:textId="77777777" w:rsidR="002C6C46" w:rsidRPr="00D4066C" w:rsidRDefault="002C6C46" w:rsidP="00755D35">
            <w:pPr>
              <w:widowControl w:val="0"/>
              <w:autoSpaceDE w:val="0"/>
              <w:autoSpaceDN w:val="0"/>
              <w:adjustRightInd w:val="0"/>
              <w:rPr>
                <w:rFonts w:ascii="Times New Roman" w:hAnsi="Times New Roman" w:cs="Times New Roman"/>
                <w:sz w:val="20"/>
                <w:szCs w:val="20"/>
              </w:rPr>
            </w:pPr>
            <w:r w:rsidRPr="00C14028">
              <w:rPr>
                <w:rFonts w:ascii="Times New Roman" w:hAnsi="Times New Roman" w:cs="Times New Roman"/>
                <w:sz w:val="20"/>
                <w:szCs w:val="20"/>
              </w:rPr>
              <w:t>impl.info.commnotneedincrease</w:t>
            </w:r>
          </w:p>
        </w:tc>
        <w:tc>
          <w:tcPr>
            <w:tcW w:w="4649" w:type="dxa"/>
          </w:tcPr>
          <w:p w14:paraId="674ADC5B" w14:textId="77777777" w:rsidR="002C6C46" w:rsidRPr="007F7ECE" w:rsidRDefault="002C6C46" w:rsidP="00755D35">
            <w:pPr>
              <w:widowControl w:val="0"/>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lang w:val="en-GB"/>
              </w:rPr>
              <w:t>Information from the Commission on the implementation of legislation is sufficient</w:t>
            </w:r>
          </w:p>
        </w:tc>
        <w:tc>
          <w:tcPr>
            <w:tcW w:w="1219" w:type="dxa"/>
          </w:tcPr>
          <w:p w14:paraId="3DF4903C" w14:textId="77777777" w:rsidR="002C6C46" w:rsidRPr="00FD379A"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12</w:t>
            </w:r>
          </w:p>
        </w:tc>
      </w:tr>
      <w:tr w:rsidR="002C6C46" w14:paraId="7EF837CB" w14:textId="77777777" w:rsidTr="00755D35">
        <w:tc>
          <w:tcPr>
            <w:tcW w:w="426" w:type="dxa"/>
          </w:tcPr>
          <w:p w14:paraId="542DE00F" w14:textId="77777777" w:rsidR="002C6C46" w:rsidRPr="00540DA6"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w:t>
            </w:r>
          </w:p>
        </w:tc>
        <w:tc>
          <w:tcPr>
            <w:tcW w:w="3354" w:type="dxa"/>
          </w:tcPr>
          <w:p w14:paraId="7EF9728B" w14:textId="77777777" w:rsidR="002C6C46" w:rsidRPr="00540DA6" w:rsidRDefault="002C6C46" w:rsidP="00755D35">
            <w:pPr>
              <w:widowControl w:val="0"/>
              <w:autoSpaceDE w:val="0"/>
              <w:autoSpaceDN w:val="0"/>
              <w:adjustRightInd w:val="0"/>
              <w:rPr>
                <w:rFonts w:ascii="Times New Roman" w:hAnsi="Times New Roman" w:cs="Times New Roman"/>
                <w:sz w:val="20"/>
                <w:szCs w:val="20"/>
              </w:rPr>
            </w:pPr>
            <w:r w:rsidRPr="00C14028">
              <w:rPr>
                <w:rFonts w:ascii="Times New Roman" w:hAnsi="Times New Roman" w:cs="Times New Roman"/>
                <w:sz w:val="20"/>
                <w:szCs w:val="20"/>
              </w:rPr>
              <w:t>impl.info.ms.notneedincrease</w:t>
            </w:r>
          </w:p>
        </w:tc>
        <w:tc>
          <w:tcPr>
            <w:tcW w:w="4649" w:type="dxa"/>
          </w:tcPr>
          <w:p w14:paraId="42AC2932" w14:textId="77777777" w:rsidR="002C6C46" w:rsidRPr="007F7ECE" w:rsidRDefault="002C6C46" w:rsidP="00755D35">
            <w:pPr>
              <w:widowControl w:val="0"/>
              <w:autoSpaceDE w:val="0"/>
              <w:autoSpaceDN w:val="0"/>
              <w:adjustRightInd w:val="0"/>
              <w:rPr>
                <w:rFonts w:ascii="Times New Roman" w:hAnsi="Times New Roman" w:cs="Times New Roman"/>
                <w:sz w:val="20"/>
                <w:szCs w:val="20"/>
              </w:rPr>
            </w:pPr>
            <w:r>
              <w:rPr>
                <w:rFonts w:ascii="Times New Roman" w:hAnsi="Times New Roman" w:cs="Times New Roman"/>
                <w:color w:val="000000"/>
                <w:sz w:val="20"/>
                <w:szCs w:val="20"/>
                <w:lang w:val="en-GB"/>
              </w:rPr>
              <w:t>Information from the Member States on the implementation of legislation is sufficient</w:t>
            </w:r>
          </w:p>
        </w:tc>
        <w:tc>
          <w:tcPr>
            <w:tcW w:w="1219" w:type="dxa"/>
          </w:tcPr>
          <w:p w14:paraId="61B52FD0" w14:textId="77777777" w:rsidR="002C6C46" w:rsidRPr="00FD379A"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w:t>
            </w:r>
          </w:p>
        </w:tc>
      </w:tr>
      <w:tr w:rsidR="002C6C46" w14:paraId="5AA4026F" w14:textId="77777777" w:rsidTr="00755D35">
        <w:trPr>
          <w:trHeight w:val="396"/>
        </w:trPr>
        <w:tc>
          <w:tcPr>
            <w:tcW w:w="426" w:type="dxa"/>
          </w:tcPr>
          <w:p w14:paraId="138162E8" w14:textId="77777777" w:rsidR="002C6C46" w:rsidRPr="00540DA6"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w:t>
            </w:r>
          </w:p>
        </w:tc>
        <w:tc>
          <w:tcPr>
            <w:tcW w:w="3354" w:type="dxa"/>
          </w:tcPr>
          <w:p w14:paraId="65BC1101" w14:textId="77777777" w:rsidR="002C6C46" w:rsidRPr="00540DA6" w:rsidRDefault="002C6C46" w:rsidP="00755D35">
            <w:pPr>
              <w:widowControl w:val="0"/>
              <w:autoSpaceDE w:val="0"/>
              <w:autoSpaceDN w:val="0"/>
              <w:adjustRightInd w:val="0"/>
              <w:rPr>
                <w:rFonts w:ascii="Times New Roman" w:hAnsi="Times New Roman" w:cs="Times New Roman"/>
                <w:sz w:val="20"/>
                <w:szCs w:val="20"/>
              </w:rPr>
            </w:pPr>
            <w:r w:rsidRPr="00C14028">
              <w:rPr>
                <w:rFonts w:ascii="Times New Roman" w:hAnsi="Times New Roman" w:cs="Times New Roman"/>
                <w:sz w:val="20"/>
                <w:szCs w:val="20"/>
              </w:rPr>
              <w:t>ia.aims.right</w:t>
            </w:r>
          </w:p>
        </w:tc>
        <w:tc>
          <w:tcPr>
            <w:tcW w:w="4649" w:type="dxa"/>
          </w:tcPr>
          <w:p w14:paraId="7AE55270" w14:textId="77777777" w:rsidR="002C6C46" w:rsidRPr="007F7ECE" w:rsidRDefault="002C6C46" w:rsidP="00755D3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Support to the existing goals of impact assessments</w:t>
            </w:r>
          </w:p>
        </w:tc>
        <w:tc>
          <w:tcPr>
            <w:tcW w:w="1219" w:type="dxa"/>
          </w:tcPr>
          <w:p w14:paraId="4A98954A" w14:textId="77777777" w:rsidR="002C6C46" w:rsidRPr="00FD379A"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46</w:t>
            </w:r>
          </w:p>
        </w:tc>
      </w:tr>
      <w:tr w:rsidR="002C6C46" w14:paraId="1784E870" w14:textId="77777777" w:rsidTr="00755D35">
        <w:trPr>
          <w:trHeight w:val="261"/>
        </w:trPr>
        <w:tc>
          <w:tcPr>
            <w:tcW w:w="426" w:type="dxa"/>
          </w:tcPr>
          <w:p w14:paraId="60FE5242" w14:textId="77777777" w:rsidR="002C6C46" w:rsidRPr="00861D9B"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w:t>
            </w:r>
          </w:p>
        </w:tc>
        <w:tc>
          <w:tcPr>
            <w:tcW w:w="3354" w:type="dxa"/>
          </w:tcPr>
          <w:p w14:paraId="17A6AA6F" w14:textId="77777777" w:rsidR="002C6C46" w:rsidRPr="00861D9B" w:rsidRDefault="002C6C46" w:rsidP="00755D35">
            <w:pPr>
              <w:widowControl w:val="0"/>
              <w:autoSpaceDE w:val="0"/>
              <w:autoSpaceDN w:val="0"/>
              <w:adjustRightInd w:val="0"/>
              <w:rPr>
                <w:rFonts w:ascii="Times New Roman" w:hAnsi="Times New Roman" w:cs="Times New Roman"/>
                <w:sz w:val="20"/>
                <w:szCs w:val="20"/>
              </w:rPr>
            </w:pPr>
            <w:r w:rsidRPr="00C14028">
              <w:rPr>
                <w:rFonts w:ascii="Times New Roman" w:hAnsi="Times New Roman" w:cs="Times New Roman"/>
                <w:sz w:val="20"/>
                <w:szCs w:val="20"/>
              </w:rPr>
              <w:t>cons.format.mixopentarget</w:t>
            </w:r>
          </w:p>
        </w:tc>
        <w:tc>
          <w:tcPr>
            <w:tcW w:w="4649" w:type="dxa"/>
          </w:tcPr>
          <w:p w14:paraId="6FE532D9" w14:textId="77777777" w:rsidR="002C6C46" w:rsidRPr="007F7ECE" w:rsidRDefault="002C6C46" w:rsidP="00755D3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The mix of targeted and open consultations used by the Commission is appropriate</w:t>
            </w:r>
          </w:p>
        </w:tc>
        <w:tc>
          <w:tcPr>
            <w:tcW w:w="1219" w:type="dxa"/>
          </w:tcPr>
          <w:p w14:paraId="46DC9675" w14:textId="77777777" w:rsidR="002C6C46" w:rsidRPr="00FD379A"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18</w:t>
            </w:r>
          </w:p>
        </w:tc>
      </w:tr>
      <w:tr w:rsidR="002C6C46" w14:paraId="1714805F" w14:textId="77777777" w:rsidTr="00755D35">
        <w:tc>
          <w:tcPr>
            <w:tcW w:w="426" w:type="dxa"/>
          </w:tcPr>
          <w:p w14:paraId="60D5D3AC" w14:textId="77777777" w:rsidR="002C6C46" w:rsidRPr="00861D9B"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12</w:t>
            </w:r>
          </w:p>
        </w:tc>
        <w:tc>
          <w:tcPr>
            <w:tcW w:w="3354" w:type="dxa"/>
          </w:tcPr>
          <w:p w14:paraId="0626562A" w14:textId="77777777" w:rsidR="002C6C46" w:rsidRPr="00861D9B" w:rsidRDefault="002C6C46" w:rsidP="00755D35">
            <w:pPr>
              <w:widowControl w:val="0"/>
              <w:autoSpaceDE w:val="0"/>
              <w:autoSpaceDN w:val="0"/>
              <w:adjustRightInd w:val="0"/>
              <w:rPr>
                <w:rFonts w:ascii="Times New Roman" w:hAnsi="Times New Roman" w:cs="Times New Roman"/>
                <w:sz w:val="20"/>
                <w:szCs w:val="20"/>
              </w:rPr>
            </w:pPr>
            <w:r w:rsidRPr="00C14028">
              <w:rPr>
                <w:rFonts w:ascii="Times New Roman" w:hAnsi="Times New Roman" w:cs="Times New Roman"/>
                <w:sz w:val="20"/>
                <w:szCs w:val="20"/>
              </w:rPr>
              <w:t>ialeg.roadmaps.good</w:t>
            </w:r>
          </w:p>
        </w:tc>
        <w:tc>
          <w:tcPr>
            <w:tcW w:w="4649" w:type="dxa"/>
          </w:tcPr>
          <w:p w14:paraId="07C43339" w14:textId="77777777" w:rsidR="002C6C46" w:rsidRPr="007F7ECE" w:rsidRDefault="002C6C46" w:rsidP="00755D35">
            <w:pPr>
              <w:widowControl w:val="0"/>
              <w:autoSpaceDE w:val="0"/>
              <w:autoSpaceDN w:val="0"/>
              <w:adjustRightInd w:val="0"/>
              <w:rPr>
                <w:rFonts w:ascii="Times New Roman" w:hAnsi="Times New Roman" w:cs="Times New Roman"/>
                <w:b/>
                <w:sz w:val="20"/>
                <w:szCs w:val="20"/>
              </w:rPr>
            </w:pPr>
            <w:r>
              <w:rPr>
                <w:rFonts w:ascii="Times New Roman" w:hAnsi="Times New Roman" w:cs="Times New Roman"/>
                <w:color w:val="000000"/>
                <w:sz w:val="20"/>
                <w:szCs w:val="20"/>
              </w:rPr>
              <w:t>Roadmaps on legislative process improve the participation of stakeholders in the policymaking process</w:t>
            </w:r>
          </w:p>
        </w:tc>
        <w:tc>
          <w:tcPr>
            <w:tcW w:w="1219" w:type="dxa"/>
          </w:tcPr>
          <w:p w14:paraId="0CEDBA66" w14:textId="77777777" w:rsidR="002C6C46" w:rsidRPr="00FD379A"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43</w:t>
            </w:r>
          </w:p>
        </w:tc>
      </w:tr>
      <w:tr w:rsidR="002C6C46" w14:paraId="49006398" w14:textId="77777777" w:rsidTr="00755D35">
        <w:tc>
          <w:tcPr>
            <w:tcW w:w="426" w:type="dxa"/>
          </w:tcPr>
          <w:p w14:paraId="088D8186" w14:textId="77777777" w:rsidR="002C6C46" w:rsidRPr="00861D9B"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w:t>
            </w:r>
          </w:p>
        </w:tc>
        <w:tc>
          <w:tcPr>
            <w:tcW w:w="3354" w:type="dxa"/>
          </w:tcPr>
          <w:p w14:paraId="37AEB052" w14:textId="77777777" w:rsidR="002C6C46" w:rsidRPr="00861D9B" w:rsidRDefault="002C6C46" w:rsidP="00755D35">
            <w:pPr>
              <w:widowControl w:val="0"/>
              <w:autoSpaceDE w:val="0"/>
              <w:autoSpaceDN w:val="0"/>
              <w:adjustRightInd w:val="0"/>
              <w:rPr>
                <w:rFonts w:ascii="Times New Roman" w:hAnsi="Times New Roman" w:cs="Times New Roman"/>
                <w:sz w:val="20"/>
                <w:szCs w:val="20"/>
              </w:rPr>
            </w:pPr>
            <w:r w:rsidRPr="00C14028">
              <w:rPr>
                <w:rFonts w:ascii="Times New Roman" w:hAnsi="Times New Roman" w:cs="Times New Roman"/>
                <w:sz w:val="20"/>
                <w:szCs w:val="20"/>
              </w:rPr>
              <w:t>cons.principles.good</w:t>
            </w:r>
          </w:p>
        </w:tc>
        <w:tc>
          <w:tcPr>
            <w:tcW w:w="4649" w:type="dxa"/>
          </w:tcPr>
          <w:p w14:paraId="43AF0DEF" w14:textId="77777777" w:rsidR="002C6C46" w:rsidRPr="007F7ECE" w:rsidRDefault="002C6C46" w:rsidP="00755D3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Support to the principles and minimum standards of consultations </w:t>
            </w:r>
          </w:p>
        </w:tc>
        <w:tc>
          <w:tcPr>
            <w:tcW w:w="1219" w:type="dxa"/>
          </w:tcPr>
          <w:p w14:paraId="2DB662FE" w14:textId="77777777" w:rsidR="002C6C46" w:rsidRPr="00FD379A"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26</w:t>
            </w:r>
          </w:p>
        </w:tc>
      </w:tr>
      <w:tr w:rsidR="002C6C46" w14:paraId="3F342275" w14:textId="77777777" w:rsidTr="00755D35">
        <w:tc>
          <w:tcPr>
            <w:tcW w:w="426" w:type="dxa"/>
          </w:tcPr>
          <w:p w14:paraId="2EF99656" w14:textId="77777777" w:rsidR="002C6C46" w:rsidRPr="00861D9B"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14</w:t>
            </w:r>
          </w:p>
        </w:tc>
        <w:tc>
          <w:tcPr>
            <w:tcW w:w="3354" w:type="dxa"/>
          </w:tcPr>
          <w:p w14:paraId="38092C19" w14:textId="77777777" w:rsidR="002C6C46" w:rsidRPr="00861D9B" w:rsidRDefault="002C6C46" w:rsidP="00755D35">
            <w:pPr>
              <w:widowControl w:val="0"/>
              <w:autoSpaceDE w:val="0"/>
              <w:autoSpaceDN w:val="0"/>
              <w:adjustRightInd w:val="0"/>
              <w:rPr>
                <w:rFonts w:ascii="Times New Roman" w:hAnsi="Times New Roman" w:cs="Times New Roman"/>
                <w:sz w:val="20"/>
                <w:szCs w:val="20"/>
              </w:rPr>
            </w:pPr>
            <w:r w:rsidRPr="00C14028">
              <w:rPr>
                <w:rFonts w:ascii="Times New Roman" w:hAnsi="Times New Roman" w:cs="Times New Roman"/>
                <w:sz w:val="20"/>
                <w:szCs w:val="20"/>
              </w:rPr>
              <w:t>current.practices.effective.participation</w:t>
            </w:r>
          </w:p>
        </w:tc>
        <w:tc>
          <w:tcPr>
            <w:tcW w:w="4649" w:type="dxa"/>
          </w:tcPr>
          <w:p w14:paraId="52ED802A" w14:textId="77777777" w:rsidR="002C6C46" w:rsidRPr="007F7ECE" w:rsidRDefault="002C6C46" w:rsidP="00755D3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Current practices of consultation assure effective participation</w:t>
            </w:r>
          </w:p>
        </w:tc>
        <w:tc>
          <w:tcPr>
            <w:tcW w:w="1219" w:type="dxa"/>
          </w:tcPr>
          <w:p w14:paraId="7C5AB73A" w14:textId="77777777" w:rsidR="002C6C46" w:rsidRPr="00FD379A"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w:t>
            </w:r>
          </w:p>
        </w:tc>
      </w:tr>
    </w:tbl>
    <w:p w14:paraId="4E1ABC0B" w14:textId="77777777" w:rsidR="002C6C46" w:rsidRDefault="002C6C46" w:rsidP="002C6C46">
      <w:pPr>
        <w:widowControl w:val="0"/>
        <w:autoSpaceDE w:val="0"/>
        <w:autoSpaceDN w:val="0"/>
        <w:adjustRightInd w:val="0"/>
        <w:jc w:val="both"/>
        <w:rPr>
          <w:rFonts w:ascii="Times New Roman" w:hAnsi="Times New Roman" w:cs="Times New Roman"/>
          <w:b/>
        </w:rPr>
      </w:pPr>
    </w:p>
    <w:p w14:paraId="72ACCE28" w14:textId="77777777" w:rsidR="002C6C46" w:rsidRDefault="002C6C46" w:rsidP="002C6C46">
      <w:pPr>
        <w:rPr>
          <w:rFonts w:ascii="Times New Roman" w:hAnsi="Times New Roman" w:cs="Times New Roman"/>
          <w:b/>
        </w:rPr>
      </w:pPr>
    </w:p>
    <w:p w14:paraId="6A6DBE67" w14:textId="77777777" w:rsidR="002C6C46" w:rsidRPr="00755C13" w:rsidRDefault="002C6C46" w:rsidP="002C6C46">
      <w:pPr>
        <w:widowControl w:val="0"/>
        <w:autoSpaceDE w:val="0"/>
        <w:autoSpaceDN w:val="0"/>
        <w:adjustRightInd w:val="0"/>
        <w:jc w:val="both"/>
        <w:rPr>
          <w:rFonts w:ascii="Times New Roman" w:hAnsi="Times New Roman" w:cs="Times New Roman"/>
        </w:rPr>
      </w:pPr>
      <w:r>
        <w:rPr>
          <w:rFonts w:ascii="Times New Roman" w:hAnsi="Times New Roman" w:cs="Times New Roman"/>
          <w:b/>
        </w:rPr>
        <w:t>Table 2.</w:t>
      </w:r>
      <w:r w:rsidRPr="0016740E">
        <w:rPr>
          <w:rFonts w:ascii="Times New Roman" w:hAnsi="Times New Roman" w:cs="Times New Roman"/>
          <w:b/>
        </w:rPr>
        <w:t xml:space="preserve"> </w:t>
      </w:r>
      <w:r>
        <w:rPr>
          <w:rFonts w:ascii="Times New Roman" w:hAnsi="Times New Roman" w:cs="Times New Roman"/>
          <w:b/>
        </w:rPr>
        <w:t xml:space="preserve">Negative binomial </w:t>
      </w:r>
      <w:r w:rsidRPr="0016740E">
        <w:rPr>
          <w:rFonts w:ascii="Times New Roman" w:hAnsi="Times New Roman" w:cs="Times New Roman"/>
          <w:b/>
        </w:rPr>
        <w:t xml:space="preserve">regression models explaining the support for </w:t>
      </w:r>
      <w:r>
        <w:rPr>
          <w:rFonts w:ascii="Times New Roman" w:hAnsi="Times New Roman" w:cs="Times New Roman"/>
          <w:b/>
        </w:rPr>
        <w:t>the status quo of Better Regulation in the European Union.</w:t>
      </w:r>
    </w:p>
    <w:tbl>
      <w:tblPr>
        <w:tblStyle w:val="TableGrid"/>
        <w:tblW w:w="0" w:type="auto"/>
        <w:tblInd w:w="-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800"/>
      </w:tblGrid>
      <w:tr w:rsidR="002C6C46" w14:paraId="76EA50BC" w14:textId="77777777" w:rsidTr="00755D35">
        <w:tc>
          <w:tcPr>
            <w:tcW w:w="4320" w:type="dxa"/>
          </w:tcPr>
          <w:p w14:paraId="0F2E6896" w14:textId="77777777" w:rsidR="002C6C46" w:rsidRDefault="002C6C46" w:rsidP="00755D35">
            <w:pPr>
              <w:widowControl w:val="0"/>
              <w:autoSpaceDE w:val="0"/>
              <w:autoSpaceDN w:val="0"/>
              <w:adjustRightInd w:val="0"/>
              <w:rPr>
                <w:rFonts w:ascii="Times New Roman" w:hAnsi="Times New Roman" w:cs="Times New Roman"/>
                <w:b/>
                <w:sz w:val="22"/>
                <w:szCs w:val="22"/>
              </w:rPr>
            </w:pPr>
          </w:p>
        </w:tc>
        <w:tc>
          <w:tcPr>
            <w:tcW w:w="1800" w:type="dxa"/>
          </w:tcPr>
          <w:p w14:paraId="026EFCF1" w14:textId="77777777" w:rsidR="002C6C46" w:rsidRDefault="002C6C46" w:rsidP="00755D35">
            <w:pPr>
              <w:widowControl w:val="0"/>
              <w:autoSpaceDE w:val="0"/>
              <w:autoSpaceDN w:val="0"/>
              <w:adjustRightInd w:val="0"/>
              <w:jc w:val="center"/>
              <w:rPr>
                <w:rFonts w:ascii="Times New Roman" w:hAnsi="Times New Roman" w:cs="Times New Roman"/>
                <w:b/>
                <w:sz w:val="22"/>
                <w:szCs w:val="22"/>
              </w:rPr>
            </w:pPr>
            <w:r w:rsidRPr="005506D4">
              <w:rPr>
                <w:rFonts w:ascii="Times New Roman" w:hAnsi="Times New Roman" w:cs="Times New Roman"/>
                <w:b/>
                <w:sz w:val="22"/>
                <w:szCs w:val="22"/>
              </w:rPr>
              <w:t>Model 5</w:t>
            </w:r>
          </w:p>
        </w:tc>
      </w:tr>
      <w:tr w:rsidR="002C6C46" w14:paraId="3B258039" w14:textId="77777777" w:rsidTr="00755D35">
        <w:trPr>
          <w:trHeight w:val="305"/>
        </w:trPr>
        <w:tc>
          <w:tcPr>
            <w:tcW w:w="4320" w:type="dxa"/>
          </w:tcPr>
          <w:p w14:paraId="16283C6E" w14:textId="77777777" w:rsidR="002C6C46" w:rsidRPr="00326091" w:rsidRDefault="002C6C46" w:rsidP="00755D35">
            <w:pPr>
              <w:widowControl w:val="0"/>
              <w:autoSpaceDE w:val="0"/>
              <w:autoSpaceDN w:val="0"/>
              <w:adjustRightInd w:val="0"/>
              <w:rPr>
                <w:rFonts w:ascii="Times New Roman" w:hAnsi="Times New Roman" w:cs="Times New Roman"/>
                <w:sz w:val="22"/>
                <w:szCs w:val="22"/>
              </w:rPr>
            </w:pPr>
            <w:r w:rsidRPr="00326091">
              <w:rPr>
                <w:rFonts w:ascii="Times New Roman" w:hAnsi="Times New Roman" w:cs="Times New Roman"/>
                <w:sz w:val="22"/>
                <w:szCs w:val="22"/>
              </w:rPr>
              <w:t>Intercept</w:t>
            </w:r>
          </w:p>
        </w:tc>
        <w:tc>
          <w:tcPr>
            <w:tcW w:w="1800" w:type="dxa"/>
          </w:tcPr>
          <w:p w14:paraId="20A30362" w14:textId="77777777" w:rsidR="002C6C46" w:rsidRPr="00E02FC9"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0.81</w:t>
            </w:r>
            <w:r w:rsidRPr="00E02FC9">
              <w:rPr>
                <w:rFonts w:ascii="Times New Roman" w:hAnsi="Times New Roman" w:cs="Times New Roman"/>
                <w:sz w:val="20"/>
                <w:szCs w:val="20"/>
              </w:rPr>
              <w:t>***</w:t>
            </w:r>
          </w:p>
          <w:p w14:paraId="28C57BA7" w14:textId="77777777" w:rsidR="002C6C46" w:rsidRPr="00E02FC9" w:rsidRDefault="002C6C46" w:rsidP="00755D35">
            <w:pPr>
              <w:widowControl w:val="0"/>
              <w:autoSpaceDE w:val="0"/>
              <w:autoSpaceDN w:val="0"/>
              <w:adjustRightInd w:val="0"/>
              <w:jc w:val="center"/>
              <w:rPr>
                <w:rFonts w:ascii="Times New Roman" w:hAnsi="Times New Roman" w:cs="Times New Roman"/>
                <w:sz w:val="20"/>
                <w:szCs w:val="20"/>
              </w:rPr>
            </w:pPr>
            <w:r w:rsidRPr="00E02FC9">
              <w:rPr>
                <w:rFonts w:ascii="Times New Roman" w:hAnsi="Times New Roman" w:cs="Times New Roman"/>
                <w:sz w:val="20"/>
                <w:szCs w:val="20"/>
              </w:rPr>
              <w:t>(0.</w:t>
            </w:r>
            <w:r>
              <w:rPr>
                <w:rFonts w:ascii="Times New Roman" w:hAnsi="Times New Roman" w:cs="Times New Roman"/>
                <w:sz w:val="20"/>
                <w:szCs w:val="20"/>
              </w:rPr>
              <w:t>27</w:t>
            </w:r>
            <w:r w:rsidRPr="00E02FC9">
              <w:rPr>
                <w:rFonts w:ascii="Times New Roman" w:hAnsi="Times New Roman" w:cs="Times New Roman"/>
                <w:sz w:val="20"/>
                <w:szCs w:val="20"/>
              </w:rPr>
              <w:t>)</w:t>
            </w:r>
          </w:p>
        </w:tc>
      </w:tr>
      <w:tr w:rsidR="002C6C46" w14:paraId="155CAFC7" w14:textId="77777777" w:rsidTr="00755D35">
        <w:tc>
          <w:tcPr>
            <w:tcW w:w="4320" w:type="dxa"/>
          </w:tcPr>
          <w:p w14:paraId="28B4DA48" w14:textId="77777777" w:rsidR="002C6C46" w:rsidRPr="00326091" w:rsidRDefault="002C6C46" w:rsidP="00755D35">
            <w:pPr>
              <w:widowControl w:val="0"/>
              <w:autoSpaceDE w:val="0"/>
              <w:autoSpaceDN w:val="0"/>
              <w:adjustRightInd w:val="0"/>
              <w:rPr>
                <w:rFonts w:ascii="Times New Roman" w:hAnsi="Times New Roman" w:cs="Times New Roman"/>
                <w:sz w:val="22"/>
                <w:szCs w:val="22"/>
              </w:rPr>
            </w:pPr>
            <w:r w:rsidRPr="00326091">
              <w:rPr>
                <w:rFonts w:ascii="Times New Roman" w:hAnsi="Times New Roman" w:cs="Times New Roman"/>
                <w:sz w:val="22"/>
                <w:szCs w:val="22"/>
              </w:rPr>
              <w:t>Cross-sectoral business</w:t>
            </w:r>
            <w:r>
              <w:rPr>
                <w:rFonts w:ascii="Times New Roman" w:hAnsi="Times New Roman" w:cs="Times New Roman"/>
                <w:sz w:val="22"/>
                <w:szCs w:val="22"/>
              </w:rPr>
              <w:t xml:space="preserve"> (ref. category)</w:t>
            </w:r>
          </w:p>
        </w:tc>
        <w:tc>
          <w:tcPr>
            <w:tcW w:w="1800" w:type="dxa"/>
          </w:tcPr>
          <w:p w14:paraId="3D26D240" w14:textId="77777777" w:rsidR="002C6C46" w:rsidRDefault="002C6C46" w:rsidP="00755D35">
            <w:pPr>
              <w:widowControl w:val="0"/>
              <w:autoSpaceDE w:val="0"/>
              <w:autoSpaceDN w:val="0"/>
              <w:adjustRightInd w:val="0"/>
              <w:jc w:val="center"/>
              <w:rPr>
                <w:rFonts w:ascii="Times New Roman" w:hAnsi="Times New Roman" w:cs="Times New Roman"/>
                <w:b/>
                <w:sz w:val="22"/>
                <w:szCs w:val="22"/>
              </w:rPr>
            </w:pPr>
          </w:p>
        </w:tc>
      </w:tr>
      <w:tr w:rsidR="002C6C46" w14:paraId="0DD044C3" w14:textId="77777777" w:rsidTr="00755D35">
        <w:tc>
          <w:tcPr>
            <w:tcW w:w="4320" w:type="dxa"/>
          </w:tcPr>
          <w:p w14:paraId="1FD0268F" w14:textId="77777777" w:rsidR="002C6C46" w:rsidRPr="00326091" w:rsidRDefault="002C6C46" w:rsidP="00755D35">
            <w:pPr>
              <w:widowControl w:val="0"/>
              <w:autoSpaceDE w:val="0"/>
              <w:autoSpaceDN w:val="0"/>
              <w:adjustRightInd w:val="0"/>
              <w:rPr>
                <w:rFonts w:ascii="Times New Roman" w:hAnsi="Times New Roman" w:cs="Times New Roman"/>
                <w:sz w:val="22"/>
                <w:szCs w:val="22"/>
              </w:rPr>
            </w:pPr>
            <w:r w:rsidRPr="00326091">
              <w:rPr>
                <w:rFonts w:ascii="Times New Roman" w:hAnsi="Times New Roman" w:cs="Times New Roman"/>
                <w:sz w:val="22"/>
                <w:szCs w:val="22"/>
              </w:rPr>
              <w:t>Public authority – coord.</w:t>
            </w:r>
            <w:r>
              <w:rPr>
                <w:rFonts w:ascii="Times New Roman" w:hAnsi="Times New Roman" w:cs="Times New Roman"/>
                <w:sz w:val="22"/>
                <w:szCs w:val="22"/>
              </w:rPr>
              <w:t xml:space="preserve"> (pro-</w:t>
            </w:r>
            <w:r w:rsidRPr="00326091">
              <w:rPr>
                <w:rFonts w:ascii="Times New Roman" w:hAnsi="Times New Roman" w:cs="Times New Roman"/>
                <w:sz w:val="22"/>
                <w:szCs w:val="22"/>
              </w:rPr>
              <w:t>deregulation</w:t>
            </w:r>
            <w:r>
              <w:rPr>
                <w:rFonts w:ascii="Times New Roman" w:hAnsi="Times New Roman" w:cs="Times New Roman"/>
                <w:sz w:val="22"/>
                <w:szCs w:val="22"/>
              </w:rPr>
              <w:t>)</w:t>
            </w:r>
          </w:p>
        </w:tc>
        <w:tc>
          <w:tcPr>
            <w:tcW w:w="1800" w:type="dxa"/>
          </w:tcPr>
          <w:p w14:paraId="0F63F772" w14:textId="77777777" w:rsidR="002C6C46" w:rsidRPr="00E02FC9"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0.24</w:t>
            </w:r>
          </w:p>
          <w:p w14:paraId="09188C6F" w14:textId="77777777" w:rsidR="002C6C46" w:rsidRDefault="002C6C46" w:rsidP="00755D35">
            <w:pPr>
              <w:widowControl w:val="0"/>
              <w:autoSpaceDE w:val="0"/>
              <w:autoSpaceDN w:val="0"/>
              <w:adjustRightInd w:val="0"/>
              <w:jc w:val="center"/>
              <w:rPr>
                <w:rFonts w:ascii="Times New Roman" w:hAnsi="Times New Roman" w:cs="Times New Roman"/>
                <w:b/>
                <w:sz w:val="22"/>
                <w:szCs w:val="22"/>
              </w:rPr>
            </w:pPr>
            <w:r w:rsidRPr="00E02FC9">
              <w:rPr>
                <w:rFonts w:ascii="Times New Roman" w:hAnsi="Times New Roman" w:cs="Times New Roman"/>
                <w:sz w:val="20"/>
                <w:szCs w:val="20"/>
              </w:rPr>
              <w:t>(0.4</w:t>
            </w:r>
            <w:r>
              <w:rPr>
                <w:rFonts w:ascii="Times New Roman" w:hAnsi="Times New Roman" w:cs="Times New Roman"/>
                <w:sz w:val="20"/>
                <w:szCs w:val="20"/>
              </w:rPr>
              <w:t>6</w:t>
            </w:r>
            <w:r w:rsidRPr="00E02FC9">
              <w:rPr>
                <w:rFonts w:ascii="Times New Roman" w:hAnsi="Times New Roman" w:cs="Times New Roman"/>
                <w:sz w:val="20"/>
                <w:szCs w:val="20"/>
              </w:rPr>
              <w:t>)</w:t>
            </w:r>
          </w:p>
        </w:tc>
      </w:tr>
      <w:tr w:rsidR="002C6C46" w14:paraId="106B4A6C" w14:textId="77777777" w:rsidTr="00755D35">
        <w:tc>
          <w:tcPr>
            <w:tcW w:w="4320" w:type="dxa"/>
          </w:tcPr>
          <w:p w14:paraId="09EA966E" w14:textId="77777777" w:rsidR="002C6C46" w:rsidRPr="00326091" w:rsidRDefault="002C6C46" w:rsidP="00755D35">
            <w:pPr>
              <w:widowControl w:val="0"/>
              <w:autoSpaceDE w:val="0"/>
              <w:autoSpaceDN w:val="0"/>
              <w:adjustRightInd w:val="0"/>
              <w:rPr>
                <w:rFonts w:ascii="Times New Roman" w:hAnsi="Times New Roman" w:cs="Times New Roman"/>
                <w:sz w:val="22"/>
                <w:szCs w:val="22"/>
              </w:rPr>
            </w:pPr>
            <w:r w:rsidRPr="00326091">
              <w:rPr>
                <w:rFonts w:ascii="Times New Roman" w:hAnsi="Times New Roman" w:cs="Times New Roman"/>
                <w:sz w:val="22"/>
                <w:szCs w:val="22"/>
              </w:rPr>
              <w:t>Public authority – coord. (not pro-deregulation)</w:t>
            </w:r>
          </w:p>
        </w:tc>
        <w:tc>
          <w:tcPr>
            <w:tcW w:w="1800" w:type="dxa"/>
          </w:tcPr>
          <w:p w14:paraId="0799A62C" w14:textId="77777777" w:rsidR="002C6C46" w:rsidRPr="00E02FC9"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-0.52</w:t>
            </w:r>
          </w:p>
          <w:p w14:paraId="2C889FE8" w14:textId="77777777" w:rsidR="002C6C46" w:rsidRPr="00E02FC9"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(0.55</w:t>
            </w:r>
            <w:r w:rsidRPr="00E02FC9">
              <w:rPr>
                <w:rFonts w:ascii="Times New Roman" w:hAnsi="Times New Roman" w:cs="Times New Roman"/>
                <w:sz w:val="20"/>
                <w:szCs w:val="20"/>
              </w:rPr>
              <w:t>)</w:t>
            </w:r>
          </w:p>
        </w:tc>
      </w:tr>
      <w:tr w:rsidR="002C6C46" w14:paraId="7F18E8F0" w14:textId="77777777" w:rsidTr="00755D35">
        <w:trPr>
          <w:trHeight w:val="486"/>
        </w:trPr>
        <w:tc>
          <w:tcPr>
            <w:tcW w:w="4320" w:type="dxa"/>
          </w:tcPr>
          <w:p w14:paraId="7F12BB1E" w14:textId="77777777" w:rsidR="002C6C46" w:rsidRPr="00326091" w:rsidRDefault="002C6C46" w:rsidP="00755D35">
            <w:pPr>
              <w:widowControl w:val="0"/>
              <w:autoSpaceDE w:val="0"/>
              <w:autoSpaceDN w:val="0"/>
              <w:adjustRightInd w:val="0"/>
              <w:rPr>
                <w:rFonts w:ascii="Times New Roman" w:hAnsi="Times New Roman" w:cs="Times New Roman"/>
                <w:sz w:val="22"/>
                <w:szCs w:val="22"/>
              </w:rPr>
            </w:pPr>
            <w:r w:rsidRPr="00326091">
              <w:rPr>
                <w:rFonts w:ascii="Times New Roman" w:hAnsi="Times New Roman" w:cs="Times New Roman"/>
                <w:sz w:val="22"/>
                <w:szCs w:val="22"/>
              </w:rPr>
              <w:t>Public authority –</w:t>
            </w:r>
            <w:r>
              <w:rPr>
                <w:rFonts w:ascii="Times New Roman" w:hAnsi="Times New Roman" w:cs="Times New Roman"/>
                <w:sz w:val="22"/>
                <w:szCs w:val="22"/>
              </w:rPr>
              <w:t xml:space="preserve"> implementing</w:t>
            </w:r>
          </w:p>
        </w:tc>
        <w:tc>
          <w:tcPr>
            <w:tcW w:w="1800" w:type="dxa"/>
          </w:tcPr>
          <w:p w14:paraId="0CA15C59" w14:textId="77777777" w:rsidR="002C6C46" w:rsidRPr="00E02FC9"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0.18</w:t>
            </w:r>
          </w:p>
          <w:p w14:paraId="25606BEB" w14:textId="77777777" w:rsidR="002C6C46" w:rsidRPr="00E02FC9"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(0.43</w:t>
            </w:r>
            <w:r w:rsidRPr="00E02FC9">
              <w:rPr>
                <w:rFonts w:ascii="Times New Roman" w:hAnsi="Times New Roman" w:cs="Times New Roman"/>
                <w:sz w:val="20"/>
                <w:szCs w:val="20"/>
              </w:rPr>
              <w:t>)</w:t>
            </w:r>
          </w:p>
        </w:tc>
      </w:tr>
      <w:tr w:rsidR="002C6C46" w14:paraId="096DD3C2" w14:textId="77777777" w:rsidTr="00755D35">
        <w:trPr>
          <w:trHeight w:val="269"/>
        </w:trPr>
        <w:tc>
          <w:tcPr>
            <w:tcW w:w="4320" w:type="dxa"/>
          </w:tcPr>
          <w:p w14:paraId="79AD45D5" w14:textId="77777777" w:rsidR="002C6C46" w:rsidRPr="00326091" w:rsidRDefault="002C6C46" w:rsidP="00755D35">
            <w:pPr>
              <w:widowControl w:val="0"/>
              <w:autoSpaceDE w:val="0"/>
              <w:autoSpaceDN w:val="0"/>
              <w:adjustRightInd w:val="0"/>
              <w:rPr>
                <w:rFonts w:ascii="Times New Roman" w:hAnsi="Times New Roman" w:cs="Times New Roman"/>
                <w:sz w:val="22"/>
                <w:szCs w:val="22"/>
              </w:rPr>
            </w:pPr>
            <w:r w:rsidRPr="00326091">
              <w:rPr>
                <w:rFonts w:ascii="Times New Roman" w:hAnsi="Times New Roman" w:cs="Times New Roman"/>
                <w:sz w:val="22"/>
                <w:szCs w:val="22"/>
              </w:rPr>
              <w:t>Sectoral business</w:t>
            </w:r>
          </w:p>
        </w:tc>
        <w:tc>
          <w:tcPr>
            <w:tcW w:w="1800" w:type="dxa"/>
          </w:tcPr>
          <w:p w14:paraId="075CE5F5" w14:textId="77777777" w:rsidR="002C6C46" w:rsidRPr="00BF5006"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0.24</w:t>
            </w:r>
          </w:p>
          <w:p w14:paraId="11EE98EF" w14:textId="77777777" w:rsidR="002C6C46" w:rsidRPr="00BF5006"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(0.36</w:t>
            </w:r>
            <w:r w:rsidRPr="00BF5006">
              <w:rPr>
                <w:rFonts w:ascii="Times New Roman" w:hAnsi="Times New Roman" w:cs="Times New Roman"/>
                <w:sz w:val="20"/>
                <w:szCs w:val="20"/>
              </w:rPr>
              <w:t>)</w:t>
            </w:r>
          </w:p>
        </w:tc>
      </w:tr>
      <w:tr w:rsidR="002C6C46" w14:paraId="7C75570E" w14:textId="77777777" w:rsidTr="00755D35">
        <w:trPr>
          <w:trHeight w:val="72"/>
        </w:trPr>
        <w:tc>
          <w:tcPr>
            <w:tcW w:w="4320" w:type="dxa"/>
          </w:tcPr>
          <w:p w14:paraId="55615F2A" w14:textId="77777777" w:rsidR="002C6C46" w:rsidRPr="00326091" w:rsidRDefault="002C6C46" w:rsidP="00755D35">
            <w:pPr>
              <w:widowControl w:val="0"/>
              <w:autoSpaceDE w:val="0"/>
              <w:autoSpaceDN w:val="0"/>
              <w:adjustRightInd w:val="0"/>
              <w:rPr>
                <w:rFonts w:ascii="Times New Roman" w:hAnsi="Times New Roman" w:cs="Times New Roman"/>
                <w:sz w:val="22"/>
                <w:szCs w:val="22"/>
              </w:rPr>
            </w:pPr>
            <w:r w:rsidRPr="00326091">
              <w:rPr>
                <w:rFonts w:ascii="Times New Roman" w:hAnsi="Times New Roman" w:cs="Times New Roman"/>
                <w:sz w:val="22"/>
                <w:szCs w:val="22"/>
              </w:rPr>
              <w:t>Public interest organization</w:t>
            </w:r>
          </w:p>
        </w:tc>
        <w:tc>
          <w:tcPr>
            <w:tcW w:w="1800" w:type="dxa"/>
          </w:tcPr>
          <w:p w14:paraId="138CB61D" w14:textId="77777777" w:rsidR="002C6C46" w:rsidRPr="00E02FC9"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0.41</w:t>
            </w:r>
          </w:p>
          <w:p w14:paraId="18332093" w14:textId="77777777" w:rsidR="002C6C46" w:rsidRPr="00E02FC9"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(0.52</w:t>
            </w:r>
            <w:r w:rsidRPr="00E02FC9">
              <w:rPr>
                <w:rFonts w:ascii="Times New Roman" w:hAnsi="Times New Roman" w:cs="Times New Roman"/>
                <w:sz w:val="20"/>
                <w:szCs w:val="20"/>
              </w:rPr>
              <w:t>)</w:t>
            </w:r>
          </w:p>
        </w:tc>
      </w:tr>
      <w:tr w:rsidR="002C6C46" w14:paraId="748F899C" w14:textId="77777777" w:rsidTr="00755D35">
        <w:tc>
          <w:tcPr>
            <w:tcW w:w="4320" w:type="dxa"/>
          </w:tcPr>
          <w:p w14:paraId="3C99A202" w14:textId="77777777" w:rsidR="002C6C46" w:rsidRPr="00326091" w:rsidRDefault="002C6C46" w:rsidP="00755D35">
            <w:pPr>
              <w:widowControl w:val="0"/>
              <w:autoSpaceDE w:val="0"/>
              <w:autoSpaceDN w:val="0"/>
              <w:adjustRightInd w:val="0"/>
              <w:rPr>
                <w:rFonts w:ascii="Times New Roman" w:hAnsi="Times New Roman" w:cs="Times New Roman"/>
                <w:sz w:val="22"/>
                <w:szCs w:val="22"/>
              </w:rPr>
            </w:pPr>
            <w:r w:rsidRPr="00326091">
              <w:rPr>
                <w:rFonts w:ascii="Times New Roman" w:hAnsi="Times New Roman" w:cs="Times New Roman"/>
                <w:sz w:val="22"/>
                <w:szCs w:val="22"/>
              </w:rPr>
              <w:t>Professional association</w:t>
            </w:r>
          </w:p>
        </w:tc>
        <w:tc>
          <w:tcPr>
            <w:tcW w:w="1800" w:type="dxa"/>
          </w:tcPr>
          <w:p w14:paraId="6CE8EC2F" w14:textId="77777777" w:rsidR="002C6C46" w:rsidRPr="00E02FC9"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w:t>
            </w:r>
            <w:r w:rsidRPr="00E02FC9">
              <w:rPr>
                <w:rFonts w:ascii="Times New Roman" w:hAnsi="Times New Roman" w:cs="Times New Roman"/>
                <w:sz w:val="20"/>
                <w:szCs w:val="20"/>
              </w:rPr>
              <w:t>7***</w:t>
            </w:r>
          </w:p>
          <w:p w14:paraId="3EB9AF86" w14:textId="77777777" w:rsidR="002C6C46" w:rsidRPr="00E02FC9" w:rsidRDefault="002C6C46" w:rsidP="00755D3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(0.54</w:t>
            </w:r>
            <w:r w:rsidRPr="00E02FC9">
              <w:rPr>
                <w:rFonts w:ascii="Times New Roman" w:hAnsi="Times New Roman" w:cs="Times New Roman"/>
                <w:sz w:val="20"/>
                <w:szCs w:val="20"/>
              </w:rPr>
              <w:t>)</w:t>
            </w:r>
          </w:p>
        </w:tc>
      </w:tr>
      <w:tr w:rsidR="002C6C46" w14:paraId="1B0140D7" w14:textId="77777777" w:rsidTr="00755D35">
        <w:tc>
          <w:tcPr>
            <w:tcW w:w="4320" w:type="dxa"/>
          </w:tcPr>
          <w:p w14:paraId="419F0F05" w14:textId="77777777" w:rsidR="002C6C46" w:rsidRPr="00326091" w:rsidRDefault="002C6C46" w:rsidP="00755D35">
            <w:pPr>
              <w:widowControl w:val="0"/>
              <w:autoSpaceDE w:val="0"/>
              <w:autoSpaceDN w:val="0"/>
              <w:adjustRightInd w:val="0"/>
              <w:rPr>
                <w:rFonts w:ascii="Times New Roman" w:hAnsi="Times New Roman" w:cs="Times New Roman"/>
                <w:sz w:val="22"/>
                <w:szCs w:val="22"/>
              </w:rPr>
            </w:pPr>
            <w:r w:rsidRPr="00326091">
              <w:rPr>
                <w:rFonts w:ascii="Times New Roman" w:hAnsi="Times New Roman" w:cs="Times New Roman"/>
                <w:sz w:val="22"/>
                <w:szCs w:val="22"/>
              </w:rPr>
              <w:t>Log likelihood</w:t>
            </w:r>
          </w:p>
        </w:tc>
        <w:tc>
          <w:tcPr>
            <w:tcW w:w="1800" w:type="dxa"/>
          </w:tcPr>
          <w:p w14:paraId="0E101BA5" w14:textId="77777777" w:rsidR="002C6C46" w:rsidRPr="00E02FC9" w:rsidRDefault="002C6C46" w:rsidP="00755D35">
            <w:pPr>
              <w:widowControl w:val="0"/>
              <w:autoSpaceDE w:val="0"/>
              <w:autoSpaceDN w:val="0"/>
              <w:adjustRightInd w:val="0"/>
              <w:jc w:val="center"/>
              <w:rPr>
                <w:rFonts w:ascii="Times New Roman" w:hAnsi="Times New Roman" w:cs="Times New Roman"/>
                <w:sz w:val="20"/>
                <w:szCs w:val="20"/>
              </w:rPr>
            </w:pPr>
            <w:r w:rsidRPr="00E02FC9">
              <w:rPr>
                <w:rFonts w:ascii="Times New Roman" w:hAnsi="Times New Roman" w:cs="Times New Roman"/>
                <w:sz w:val="20"/>
                <w:szCs w:val="20"/>
              </w:rPr>
              <w:t>-</w:t>
            </w:r>
            <w:r>
              <w:rPr>
                <w:rFonts w:ascii="Times New Roman" w:hAnsi="Times New Roman" w:cs="Times New Roman"/>
                <w:sz w:val="20"/>
                <w:szCs w:val="20"/>
              </w:rPr>
              <w:t>215.15</w:t>
            </w:r>
          </w:p>
        </w:tc>
      </w:tr>
      <w:tr w:rsidR="002C6C46" w14:paraId="672E7DA7" w14:textId="77777777" w:rsidTr="00755D35">
        <w:tc>
          <w:tcPr>
            <w:tcW w:w="4320" w:type="dxa"/>
          </w:tcPr>
          <w:p w14:paraId="1A213EEA" w14:textId="77777777" w:rsidR="002C6C46" w:rsidRPr="00326091" w:rsidRDefault="002C6C46" w:rsidP="00755D35">
            <w:pPr>
              <w:widowControl w:val="0"/>
              <w:autoSpaceDE w:val="0"/>
              <w:autoSpaceDN w:val="0"/>
              <w:adjustRightInd w:val="0"/>
              <w:rPr>
                <w:rFonts w:ascii="Times New Roman" w:hAnsi="Times New Roman" w:cs="Times New Roman"/>
                <w:sz w:val="22"/>
                <w:szCs w:val="22"/>
              </w:rPr>
            </w:pPr>
            <w:r w:rsidRPr="00326091">
              <w:rPr>
                <w:rFonts w:ascii="Times New Roman" w:hAnsi="Times New Roman" w:cs="Times New Roman"/>
                <w:sz w:val="22"/>
                <w:szCs w:val="22"/>
              </w:rPr>
              <w:t>N</w:t>
            </w:r>
          </w:p>
        </w:tc>
        <w:tc>
          <w:tcPr>
            <w:tcW w:w="1800" w:type="dxa"/>
          </w:tcPr>
          <w:p w14:paraId="08776370" w14:textId="77777777" w:rsidR="002C6C46" w:rsidRPr="00E02FC9" w:rsidRDefault="002C6C46" w:rsidP="00755D35">
            <w:pPr>
              <w:widowControl w:val="0"/>
              <w:autoSpaceDE w:val="0"/>
              <w:autoSpaceDN w:val="0"/>
              <w:adjustRightInd w:val="0"/>
              <w:jc w:val="center"/>
              <w:rPr>
                <w:rFonts w:ascii="Times New Roman" w:hAnsi="Times New Roman" w:cs="Times New Roman"/>
                <w:sz w:val="20"/>
                <w:szCs w:val="20"/>
              </w:rPr>
            </w:pPr>
            <w:r w:rsidRPr="00E02FC9">
              <w:rPr>
                <w:rFonts w:ascii="Times New Roman" w:hAnsi="Times New Roman" w:cs="Times New Roman"/>
                <w:sz w:val="20"/>
                <w:szCs w:val="20"/>
              </w:rPr>
              <w:t>110</w:t>
            </w:r>
          </w:p>
        </w:tc>
      </w:tr>
    </w:tbl>
    <w:p w14:paraId="7D9751D2" w14:textId="77777777" w:rsidR="002C6C46" w:rsidRPr="009B1CD4" w:rsidRDefault="002C6C46" w:rsidP="002C6C46">
      <w:pPr>
        <w:widowControl w:val="0"/>
        <w:autoSpaceDE w:val="0"/>
        <w:autoSpaceDN w:val="0"/>
        <w:adjustRightInd w:val="0"/>
        <w:jc w:val="both"/>
        <w:rPr>
          <w:rFonts w:ascii="Times New Roman" w:hAnsi="Times New Roman" w:cs="Times New Roman"/>
        </w:rPr>
      </w:pPr>
      <w:r w:rsidRPr="009B1CD4">
        <w:rPr>
          <w:rFonts w:ascii="Times New Roman" w:hAnsi="Times New Roman" w:cs="Times New Roman"/>
        </w:rPr>
        <w:t>Note: Standard errors in parentheses. Significance levels: ***</w:t>
      </w:r>
      <w:r w:rsidRPr="009B1CD4">
        <w:rPr>
          <w:rFonts w:ascii="Times New Roman" w:hAnsi="Times New Roman" w:cs="Times New Roman"/>
          <w:i/>
        </w:rPr>
        <w:t>p</w:t>
      </w:r>
      <w:r w:rsidRPr="009B1CD4">
        <w:rPr>
          <w:rFonts w:ascii="Times New Roman" w:hAnsi="Times New Roman" w:cs="Times New Roman"/>
        </w:rPr>
        <w:t xml:space="preserve"> &lt; 01, **</w:t>
      </w:r>
      <w:r w:rsidRPr="009B1CD4">
        <w:rPr>
          <w:rFonts w:ascii="Times New Roman" w:hAnsi="Times New Roman" w:cs="Times New Roman"/>
          <w:i/>
        </w:rPr>
        <w:t>p</w:t>
      </w:r>
      <w:r w:rsidRPr="009B1CD4">
        <w:rPr>
          <w:rFonts w:ascii="Times New Roman" w:hAnsi="Times New Roman" w:cs="Times New Roman"/>
        </w:rPr>
        <w:t>&lt; 0.01, *</w:t>
      </w:r>
      <w:r w:rsidRPr="009B1CD4">
        <w:rPr>
          <w:rFonts w:ascii="Times New Roman" w:hAnsi="Times New Roman" w:cs="Times New Roman"/>
          <w:i/>
        </w:rPr>
        <w:t>p</w:t>
      </w:r>
      <w:r w:rsidRPr="009B1CD4">
        <w:rPr>
          <w:rFonts w:ascii="Times New Roman" w:hAnsi="Times New Roman" w:cs="Times New Roman"/>
        </w:rPr>
        <w:t xml:space="preserve">&lt; 0.05. </w:t>
      </w:r>
    </w:p>
    <w:p w14:paraId="312AE38B" w14:textId="77777777" w:rsidR="002C6C46" w:rsidRDefault="002C6C46" w:rsidP="002C6C46">
      <w:pPr>
        <w:spacing w:line="480" w:lineRule="auto"/>
        <w:rPr>
          <w:rFonts w:ascii="Times New Roman" w:hAnsi="Times New Roman" w:cs="Times New Roman"/>
        </w:rPr>
      </w:pPr>
    </w:p>
    <w:p w14:paraId="556827E2" w14:textId="77777777" w:rsidR="002C6C46" w:rsidRDefault="002C6C46" w:rsidP="002C6C46">
      <w:pPr>
        <w:jc w:val="both"/>
        <w:rPr>
          <w:rFonts w:ascii="Times New Roman" w:hAnsi="Times New Roman" w:cs="Times New Roman"/>
          <w:b/>
        </w:rPr>
      </w:pPr>
      <w:r>
        <w:rPr>
          <w:rFonts w:ascii="Times New Roman" w:hAnsi="Times New Roman" w:cs="Times New Roman"/>
          <w:b/>
        </w:rPr>
        <w:lastRenderedPageBreak/>
        <w:t>Online Appendix 2</w:t>
      </w:r>
      <w:r w:rsidRPr="00747CAA">
        <w:rPr>
          <w:rFonts w:ascii="Times New Roman" w:hAnsi="Times New Roman" w:cs="Times New Roman"/>
          <w:b/>
        </w:rPr>
        <w:t xml:space="preserve">: </w:t>
      </w:r>
      <w:r>
        <w:rPr>
          <w:rFonts w:ascii="Times New Roman" w:hAnsi="Times New Roman" w:cs="Times New Roman"/>
          <w:b/>
        </w:rPr>
        <w:t>Multi-level logistic regression analysis</w:t>
      </w:r>
      <w:r w:rsidRPr="00747CAA">
        <w:rPr>
          <w:rFonts w:ascii="Times New Roman" w:hAnsi="Times New Roman" w:cs="Times New Roman"/>
          <w:b/>
        </w:rPr>
        <w:t xml:space="preserve"> </w:t>
      </w:r>
      <w:r>
        <w:rPr>
          <w:rFonts w:ascii="Times New Roman" w:hAnsi="Times New Roman" w:cs="Times New Roman"/>
          <w:b/>
        </w:rPr>
        <w:t>explaining stakeholders’ propensity to articulate a preference on the direction of the EU Better Regulation reforms.</w:t>
      </w:r>
    </w:p>
    <w:p w14:paraId="17CEE185" w14:textId="77777777" w:rsidR="002C6C46" w:rsidRDefault="002C6C46" w:rsidP="002C6C46">
      <w:pPr>
        <w:jc w:val="both"/>
        <w:rPr>
          <w:rFonts w:ascii="Times New Roman" w:hAnsi="Times New Roman" w:cs="Times New Roman"/>
          <w:b/>
        </w:rPr>
      </w:pPr>
    </w:p>
    <w:p w14:paraId="76AE6BAD" w14:textId="77777777" w:rsidR="002C6C46" w:rsidRDefault="002C6C46" w:rsidP="002C6C46">
      <w:pPr>
        <w:spacing w:line="360" w:lineRule="auto"/>
        <w:ind w:firstLine="720"/>
        <w:jc w:val="both"/>
        <w:rPr>
          <w:rFonts w:ascii="Times New Roman" w:hAnsi="Times New Roman" w:cs="Times New Roman"/>
        </w:rPr>
      </w:pPr>
      <w:r>
        <w:rPr>
          <w:rFonts w:ascii="Times New Roman" w:hAnsi="Times New Roman" w:cs="Times New Roman"/>
        </w:rPr>
        <w:t xml:space="preserve">In support of our decision to use </w:t>
      </w:r>
      <w:r w:rsidRPr="00633E5D">
        <w:rPr>
          <w:rFonts w:ascii="Times New Roman" w:hAnsi="Times New Roman" w:cs="Times New Roman"/>
        </w:rPr>
        <w:t xml:space="preserve">count dependent variables in our analyses, we conducted a robustness check in the form of a multi-level regression analysis in which the unit of analysis is a stakeholder-demand dyad. Thus, the model includes 2860 observations (110 </w:t>
      </w:r>
      <w:proofErr w:type="gramStart"/>
      <w:r w:rsidRPr="00633E5D">
        <w:rPr>
          <w:rFonts w:ascii="Times New Roman" w:hAnsi="Times New Roman" w:cs="Times New Roman"/>
        </w:rPr>
        <w:t>stakeholders</w:t>
      </w:r>
      <w:proofErr w:type="gramEnd"/>
      <w:r w:rsidRPr="00633E5D">
        <w:rPr>
          <w:rFonts w:ascii="Times New Roman" w:hAnsi="Times New Roman" w:cs="Times New Roman"/>
        </w:rPr>
        <w:t xml:space="preserve"> X 26 demands identified in Table 1 in the </w:t>
      </w:r>
      <w:r>
        <w:rPr>
          <w:rFonts w:ascii="Times New Roman" w:hAnsi="Times New Roman" w:cs="Times New Roman"/>
        </w:rPr>
        <w:t>article</w:t>
      </w:r>
      <w:r w:rsidRPr="00633E5D">
        <w:rPr>
          <w:rFonts w:ascii="Times New Roman" w:hAnsi="Times New Roman" w:cs="Times New Roman"/>
        </w:rPr>
        <w:t xml:space="preserve">). The dependent variable codes whether the stakeholder expressed a particular demand. The predictor </w:t>
      </w:r>
      <w:r>
        <w:rPr>
          <w:rFonts w:ascii="Times New Roman" w:hAnsi="Times New Roman" w:cs="Times New Roman"/>
        </w:rPr>
        <w:t>variables in this model are (1) a</w:t>
      </w:r>
      <w:r w:rsidRPr="00633E5D">
        <w:rPr>
          <w:rFonts w:ascii="Times New Roman" w:hAnsi="Times New Roman" w:cs="Times New Roman"/>
        </w:rPr>
        <w:t xml:space="preserve"> c</w:t>
      </w:r>
      <w:r>
        <w:rPr>
          <w:rFonts w:ascii="Times New Roman" w:hAnsi="Times New Roman" w:cs="Times New Roman"/>
        </w:rPr>
        <w:t>ategorical variable for the type of demand (deregulatory, technocratic or participatory) and (2) another categorical variable for the constituency of interests represented by stakeholder (with identical categories to those in the Poisson regression models in Table 2 in the article). The model also includes the interaction effects between these two categorical variables. This empirical strategy allows us to model the differences between different types of stakeholders with regards to expressing the three types of demands. Furthermore, r</w:t>
      </w:r>
      <w:r w:rsidRPr="00633E5D">
        <w:rPr>
          <w:rFonts w:ascii="Times New Roman" w:hAnsi="Times New Roman" w:cs="Times New Roman"/>
        </w:rPr>
        <w:t>andom intercept terms for stakeholders and demands in this analysis account for unobserved heterogeneity in both the propensity of stakeholders to express demands and</w:t>
      </w:r>
      <w:r>
        <w:rPr>
          <w:rFonts w:ascii="Times New Roman" w:hAnsi="Times New Roman" w:cs="Times New Roman"/>
        </w:rPr>
        <w:t xml:space="preserve"> the</w:t>
      </w:r>
      <w:r w:rsidRPr="00633E5D">
        <w:rPr>
          <w:rFonts w:ascii="Times New Roman" w:hAnsi="Times New Roman" w:cs="Times New Roman"/>
        </w:rPr>
        <w:t xml:space="preserve"> frequency with which specific demands were expressed. </w:t>
      </w:r>
      <w:r>
        <w:rPr>
          <w:rFonts w:ascii="Times New Roman" w:hAnsi="Times New Roman" w:cs="Times New Roman"/>
        </w:rPr>
        <w:t>As such, the analysis</w:t>
      </w:r>
      <w:r w:rsidRPr="00633E5D">
        <w:rPr>
          <w:rFonts w:ascii="Times New Roman" w:hAnsi="Times New Roman" w:cs="Times New Roman"/>
        </w:rPr>
        <w:t xml:space="preserve"> address</w:t>
      </w:r>
      <w:r>
        <w:rPr>
          <w:rFonts w:ascii="Times New Roman" w:hAnsi="Times New Roman" w:cs="Times New Roman"/>
        </w:rPr>
        <w:t>es</w:t>
      </w:r>
      <w:r w:rsidRPr="00633E5D">
        <w:rPr>
          <w:rFonts w:ascii="Times New Roman" w:hAnsi="Times New Roman" w:cs="Times New Roman"/>
        </w:rPr>
        <w:t xml:space="preserve"> the reviewer’s concern that some stakeholders might be more likely</w:t>
      </w:r>
      <w:r>
        <w:rPr>
          <w:rFonts w:ascii="Times New Roman" w:hAnsi="Times New Roman" w:cs="Times New Roman"/>
        </w:rPr>
        <w:t xml:space="preserve"> to express demands than others. </w:t>
      </w:r>
      <w:r w:rsidRPr="008A4FDF">
        <w:rPr>
          <w:rFonts w:ascii="Times New Roman" w:hAnsi="Times New Roman" w:cs="Times New Roman"/>
        </w:rPr>
        <w:t>Additionally, the model accounts for the possibility that some demands are more likely to be expressed.</w:t>
      </w:r>
      <w:r>
        <w:rPr>
          <w:rFonts w:ascii="Times New Roman" w:hAnsi="Times New Roman" w:cs="Times New Roman"/>
        </w:rPr>
        <w:t xml:space="preserve"> </w:t>
      </w:r>
    </w:p>
    <w:p w14:paraId="087CFE9C" w14:textId="2B074E91" w:rsidR="002C6C46" w:rsidRDefault="002C6C46" w:rsidP="002C6C46">
      <w:pPr>
        <w:spacing w:line="360" w:lineRule="auto"/>
        <w:ind w:firstLine="720"/>
        <w:jc w:val="both"/>
        <w:rPr>
          <w:rFonts w:ascii="Times New Roman" w:hAnsi="Times New Roman" w:cs="Times New Roman"/>
        </w:rPr>
      </w:pPr>
      <w:r w:rsidRPr="00633E5D">
        <w:rPr>
          <w:rFonts w:ascii="Times New Roman" w:hAnsi="Times New Roman" w:cs="Times New Roman"/>
        </w:rPr>
        <w:t>The results of this robustness check are presented in Table 3</w:t>
      </w:r>
      <w:r>
        <w:rPr>
          <w:rFonts w:ascii="Times New Roman" w:hAnsi="Times New Roman" w:cs="Times New Roman"/>
        </w:rPr>
        <w:t xml:space="preserve"> below</w:t>
      </w:r>
      <w:r w:rsidRPr="00633E5D">
        <w:rPr>
          <w:rFonts w:ascii="Times New Roman" w:hAnsi="Times New Roman" w:cs="Times New Roman"/>
        </w:rPr>
        <w:t xml:space="preserve">. </w:t>
      </w:r>
      <w:r>
        <w:rPr>
          <w:rFonts w:ascii="Times New Roman" w:hAnsi="Times New Roman" w:cs="Times New Roman"/>
        </w:rPr>
        <w:t>As the interpretation of multiple interaction terms can be quite cumbersome, in Figures 1 - 4 we report the odds ratios for the change in stakeholder type for the three types of demands. Specifically, Figure 1 shows odds ratios for the propensity of different types of stakeholders to express deregulatory demands. Pro-deregulation public authorities are held as a reference category in this figure, thus providing evidence on Hypothesis 1. Figure 2 shows odds ratios for the propensity of different types of stakeholders to express technocratic demands. Public authorities (not pro-deregulation) are held as a reference category in this figure, thus providing evidence regarding Hypothesis 2.</w:t>
      </w:r>
      <w:r w:rsidRPr="00A71533">
        <w:rPr>
          <w:rFonts w:ascii="Times New Roman" w:hAnsi="Times New Roman" w:cs="Times New Roman"/>
        </w:rPr>
        <w:t xml:space="preserve"> </w:t>
      </w:r>
      <w:r>
        <w:rPr>
          <w:rFonts w:ascii="Times New Roman" w:hAnsi="Times New Roman" w:cs="Times New Roman"/>
        </w:rPr>
        <w:t xml:space="preserve">Figure 3 shows odds ratios for the propensity of different types of stakeholders to express deregulatory demands, but the reference category in this figure is cross-sectoral business groups.  The figure thus provides evidence on Hypothesis 3. Finally, Figure 4 shows odds ratios for the propensity of different types of stakeholders to </w:t>
      </w:r>
      <w:r>
        <w:rPr>
          <w:rFonts w:ascii="Times New Roman" w:hAnsi="Times New Roman" w:cs="Times New Roman"/>
        </w:rPr>
        <w:lastRenderedPageBreak/>
        <w:t>express participatory demands.</w:t>
      </w:r>
      <w:r w:rsidRPr="00A71533">
        <w:rPr>
          <w:rFonts w:ascii="Times New Roman" w:hAnsi="Times New Roman" w:cs="Times New Roman"/>
        </w:rPr>
        <w:t xml:space="preserve"> </w:t>
      </w:r>
      <w:r>
        <w:rPr>
          <w:rFonts w:ascii="Times New Roman" w:hAnsi="Times New Roman" w:cs="Times New Roman"/>
        </w:rPr>
        <w:t>Public interest organizations are held as a reference category in this figure, thus providing evidence on Hypothesis 4.</w:t>
      </w:r>
    </w:p>
    <w:p w14:paraId="3E40502F" w14:textId="77777777" w:rsidR="002C6C46" w:rsidRPr="00633E5D" w:rsidRDefault="002C6C46" w:rsidP="002C6C46">
      <w:pPr>
        <w:spacing w:line="360" w:lineRule="auto"/>
        <w:ind w:firstLine="720"/>
        <w:jc w:val="both"/>
        <w:rPr>
          <w:rFonts w:ascii="Times New Roman" w:hAnsi="Times New Roman" w:cs="Times New Roman"/>
          <w:b/>
        </w:rPr>
      </w:pPr>
      <w:r>
        <w:rPr>
          <w:rFonts w:ascii="Times New Roman" w:hAnsi="Times New Roman" w:cs="Times New Roman"/>
        </w:rPr>
        <w:t>Although we observe substantial variability among both stakeholders in expressing demands and in the frequency of particular demands being expressed (as indicated by the substantial variance in random intercept terms for both variables), the statistical significance of the stakeholder type variable is very similar to that in the Poisson regression models reported in Table 2 in the article. Specifically, all categories with statistically significant regression coefficients in those models remain statistically significant in the multi-level model, and none of the categories that was not statistically significant in Poisson regression models becomes such in the multi-level logistic regression model.</w:t>
      </w:r>
    </w:p>
    <w:p w14:paraId="4450E6AD" w14:textId="77777777" w:rsidR="002C6C46" w:rsidRPr="00633E5D" w:rsidRDefault="002C6C46" w:rsidP="002C6C46">
      <w:pPr>
        <w:spacing w:line="360" w:lineRule="auto"/>
        <w:jc w:val="both"/>
        <w:rPr>
          <w:rFonts w:ascii="Times New Roman" w:hAnsi="Times New Roman" w:cs="Times New Roman"/>
          <w:b/>
        </w:rPr>
      </w:pPr>
    </w:p>
    <w:p w14:paraId="6EAE5F40" w14:textId="77777777" w:rsidR="002C6C46" w:rsidRDefault="002C6C46" w:rsidP="002C6C46">
      <w:pPr>
        <w:jc w:val="both"/>
        <w:rPr>
          <w:rFonts w:ascii="Times New Roman" w:hAnsi="Times New Roman" w:cs="Times New Roman"/>
          <w:b/>
        </w:rPr>
      </w:pPr>
    </w:p>
    <w:p w14:paraId="32890360" w14:textId="77777777" w:rsidR="002C6C46" w:rsidRDefault="002C6C46" w:rsidP="002C6C46">
      <w:pPr>
        <w:jc w:val="both"/>
        <w:rPr>
          <w:rFonts w:ascii="Times New Roman" w:hAnsi="Times New Roman" w:cs="Times New Roman"/>
          <w:b/>
        </w:rPr>
      </w:pPr>
    </w:p>
    <w:p w14:paraId="4D534DB8" w14:textId="77777777" w:rsidR="002C6C46" w:rsidRDefault="002C6C46" w:rsidP="002C6C46">
      <w:pPr>
        <w:rPr>
          <w:rFonts w:ascii="Times New Roman" w:hAnsi="Times New Roman" w:cs="Times New Roman"/>
          <w:b/>
        </w:rPr>
      </w:pPr>
      <w:r>
        <w:rPr>
          <w:rFonts w:ascii="Times New Roman" w:hAnsi="Times New Roman" w:cs="Times New Roman"/>
          <w:b/>
        </w:rPr>
        <w:br w:type="page"/>
      </w:r>
    </w:p>
    <w:p w14:paraId="0FD96F80" w14:textId="77777777" w:rsidR="002C6C46" w:rsidRDefault="002C6C46" w:rsidP="002C6C46">
      <w:pPr>
        <w:jc w:val="both"/>
        <w:rPr>
          <w:rFonts w:ascii="Times New Roman" w:hAnsi="Times New Roman" w:cs="Times New Roman"/>
          <w:b/>
        </w:rPr>
      </w:pPr>
      <w:r w:rsidRPr="00C04A27">
        <w:rPr>
          <w:rFonts w:ascii="Times New Roman" w:hAnsi="Times New Roman" w:cs="Times New Roman"/>
          <w:b/>
        </w:rPr>
        <w:lastRenderedPageBreak/>
        <w:t>Table 3</w:t>
      </w:r>
      <w:r>
        <w:rPr>
          <w:rFonts w:ascii="Times New Roman" w:hAnsi="Times New Roman" w:cs="Times New Roman"/>
          <w:b/>
        </w:rPr>
        <w:t xml:space="preserve">: Multi-level regression analysis explaining stakeholders’ propensity to express a demand about the direction of the EU Better Regulation reforms. </w:t>
      </w:r>
    </w:p>
    <w:p w14:paraId="23974B4E" w14:textId="77777777" w:rsidR="002C6C46" w:rsidRPr="00214645" w:rsidRDefault="002C6C46" w:rsidP="002C6C46">
      <w:pPr>
        <w:jc w:val="both"/>
        <w:rPr>
          <w:rFonts w:ascii="Times New Roman" w:hAnsi="Times New Roman" w:cs="Times New Roman"/>
          <w:b/>
        </w:rPr>
      </w:pPr>
    </w:p>
    <w:tbl>
      <w:tblPr>
        <w:tblStyle w:val="TableGrid"/>
        <w:tblW w:w="0" w:type="auto"/>
        <w:tblLook w:val="04A0" w:firstRow="1" w:lastRow="0" w:firstColumn="1" w:lastColumn="0" w:noHBand="0" w:noVBand="1"/>
      </w:tblPr>
      <w:tblGrid>
        <w:gridCol w:w="5964"/>
        <w:gridCol w:w="2546"/>
      </w:tblGrid>
      <w:tr w:rsidR="002C6C46" w:rsidRPr="00214645" w14:paraId="6267F0FB" w14:textId="77777777" w:rsidTr="00755D35">
        <w:tc>
          <w:tcPr>
            <w:tcW w:w="6498" w:type="dxa"/>
            <w:tcBorders>
              <w:left w:val="nil"/>
              <w:bottom w:val="nil"/>
              <w:right w:val="nil"/>
            </w:tcBorders>
          </w:tcPr>
          <w:p w14:paraId="7E30C5F3" w14:textId="77777777" w:rsidR="002C6C46" w:rsidRPr="004D26F0" w:rsidRDefault="002C6C46" w:rsidP="00755D35">
            <w:pPr>
              <w:jc w:val="both"/>
              <w:rPr>
                <w:rFonts w:ascii="Times New Roman" w:hAnsi="Times New Roman" w:cs="Times New Roman"/>
                <w:b/>
                <w:sz w:val="22"/>
                <w:szCs w:val="22"/>
              </w:rPr>
            </w:pPr>
          </w:p>
        </w:tc>
        <w:tc>
          <w:tcPr>
            <w:tcW w:w="2738" w:type="dxa"/>
            <w:tcBorders>
              <w:left w:val="nil"/>
              <w:bottom w:val="nil"/>
              <w:right w:val="nil"/>
            </w:tcBorders>
          </w:tcPr>
          <w:p w14:paraId="3026FA95" w14:textId="77777777" w:rsidR="002C6C46" w:rsidRPr="004D26F0" w:rsidRDefault="002C6C46" w:rsidP="00755D35">
            <w:pPr>
              <w:jc w:val="center"/>
              <w:rPr>
                <w:rFonts w:ascii="Times New Roman" w:hAnsi="Times New Roman" w:cs="Times New Roman"/>
                <w:b/>
                <w:sz w:val="22"/>
                <w:szCs w:val="22"/>
              </w:rPr>
            </w:pPr>
            <w:r w:rsidRPr="004D26F0">
              <w:rPr>
                <w:rFonts w:ascii="Times New Roman" w:hAnsi="Times New Roman" w:cs="Times New Roman"/>
                <w:b/>
                <w:sz w:val="22"/>
                <w:szCs w:val="22"/>
              </w:rPr>
              <w:t>Model 1</w:t>
            </w:r>
          </w:p>
        </w:tc>
      </w:tr>
      <w:tr w:rsidR="002C6C46" w:rsidRPr="00214645" w14:paraId="07F852E5" w14:textId="77777777" w:rsidTr="00755D35">
        <w:trPr>
          <w:trHeight w:val="269"/>
        </w:trPr>
        <w:tc>
          <w:tcPr>
            <w:tcW w:w="6498" w:type="dxa"/>
            <w:tcBorders>
              <w:top w:val="nil"/>
              <w:left w:val="nil"/>
              <w:bottom w:val="nil"/>
              <w:right w:val="nil"/>
            </w:tcBorders>
          </w:tcPr>
          <w:p w14:paraId="4894B8A1"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Intercept</w:t>
            </w:r>
          </w:p>
        </w:tc>
        <w:tc>
          <w:tcPr>
            <w:tcW w:w="2738" w:type="dxa"/>
            <w:tcBorders>
              <w:top w:val="nil"/>
              <w:left w:val="nil"/>
              <w:bottom w:val="nil"/>
              <w:right w:val="nil"/>
            </w:tcBorders>
          </w:tcPr>
          <w:p w14:paraId="0C7BE477"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0.32 (0.72)</w:t>
            </w:r>
          </w:p>
        </w:tc>
      </w:tr>
      <w:tr w:rsidR="002C6C46" w:rsidRPr="00FE1E79" w14:paraId="3A49C850" w14:textId="77777777" w:rsidTr="00755D35">
        <w:tc>
          <w:tcPr>
            <w:tcW w:w="9236" w:type="dxa"/>
            <w:gridSpan w:val="2"/>
            <w:tcBorders>
              <w:top w:val="nil"/>
              <w:left w:val="nil"/>
              <w:bottom w:val="nil"/>
              <w:right w:val="nil"/>
            </w:tcBorders>
          </w:tcPr>
          <w:p w14:paraId="5C90CE5E" w14:textId="77777777" w:rsidR="002C6C46" w:rsidRPr="004D26F0" w:rsidRDefault="002C6C46" w:rsidP="00755D35">
            <w:pPr>
              <w:rPr>
                <w:rFonts w:ascii="Times New Roman" w:hAnsi="Times New Roman" w:cs="Times New Roman"/>
                <w:i/>
                <w:sz w:val="22"/>
                <w:szCs w:val="22"/>
              </w:rPr>
            </w:pPr>
            <w:r w:rsidRPr="004D26F0">
              <w:rPr>
                <w:rFonts w:ascii="Times New Roman" w:hAnsi="Times New Roman" w:cs="Times New Roman"/>
                <w:b/>
                <w:i/>
                <w:sz w:val="22"/>
                <w:szCs w:val="22"/>
              </w:rPr>
              <w:t>Demand type (ref. categ. - Deregulation demands)</w:t>
            </w:r>
          </w:p>
        </w:tc>
      </w:tr>
      <w:tr w:rsidR="002C6C46" w:rsidRPr="00214645" w14:paraId="0E1077D5" w14:textId="77777777" w:rsidTr="00755D35">
        <w:tc>
          <w:tcPr>
            <w:tcW w:w="6498" w:type="dxa"/>
            <w:tcBorders>
              <w:top w:val="nil"/>
              <w:left w:val="nil"/>
              <w:bottom w:val="nil"/>
              <w:right w:val="nil"/>
            </w:tcBorders>
          </w:tcPr>
          <w:p w14:paraId="3B966893"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Technocratic demands</w:t>
            </w:r>
          </w:p>
        </w:tc>
        <w:tc>
          <w:tcPr>
            <w:tcW w:w="2738" w:type="dxa"/>
            <w:tcBorders>
              <w:top w:val="nil"/>
              <w:left w:val="nil"/>
              <w:bottom w:val="nil"/>
              <w:right w:val="nil"/>
            </w:tcBorders>
          </w:tcPr>
          <w:p w14:paraId="14369C22"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-0.05 (0.80)</w:t>
            </w:r>
          </w:p>
        </w:tc>
      </w:tr>
      <w:tr w:rsidR="002C6C46" w:rsidRPr="00214645" w14:paraId="2DD932BE" w14:textId="77777777" w:rsidTr="00755D35">
        <w:tc>
          <w:tcPr>
            <w:tcW w:w="6498" w:type="dxa"/>
            <w:tcBorders>
              <w:top w:val="nil"/>
              <w:left w:val="nil"/>
              <w:bottom w:val="nil"/>
              <w:right w:val="nil"/>
            </w:tcBorders>
          </w:tcPr>
          <w:p w14:paraId="28D1D1B0"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Participatory demands</w:t>
            </w:r>
          </w:p>
        </w:tc>
        <w:tc>
          <w:tcPr>
            <w:tcW w:w="2738" w:type="dxa"/>
            <w:tcBorders>
              <w:top w:val="nil"/>
              <w:left w:val="nil"/>
              <w:bottom w:val="nil"/>
              <w:right w:val="nil"/>
            </w:tcBorders>
          </w:tcPr>
          <w:p w14:paraId="14662654"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-1.48† (0.85</w:t>
            </w:r>
            <w:r>
              <w:rPr>
                <w:rFonts w:ascii="Times New Roman" w:hAnsi="Times New Roman" w:cs="Times New Roman"/>
                <w:sz w:val="22"/>
                <w:szCs w:val="22"/>
              </w:rPr>
              <w:t>)</w:t>
            </w:r>
          </w:p>
        </w:tc>
      </w:tr>
      <w:tr w:rsidR="002C6C46" w:rsidRPr="00FE1E79" w14:paraId="40B29445" w14:textId="77777777" w:rsidTr="00755D35">
        <w:tc>
          <w:tcPr>
            <w:tcW w:w="9236" w:type="dxa"/>
            <w:gridSpan w:val="2"/>
            <w:tcBorders>
              <w:top w:val="nil"/>
              <w:left w:val="nil"/>
              <w:bottom w:val="nil"/>
              <w:right w:val="nil"/>
            </w:tcBorders>
          </w:tcPr>
          <w:p w14:paraId="007C6EC8" w14:textId="77777777" w:rsidR="002C6C46" w:rsidRPr="004D26F0" w:rsidRDefault="002C6C46" w:rsidP="00755D35">
            <w:pPr>
              <w:rPr>
                <w:rFonts w:ascii="Times New Roman" w:hAnsi="Times New Roman" w:cs="Times New Roman"/>
                <w:b/>
                <w:i/>
                <w:sz w:val="22"/>
                <w:szCs w:val="22"/>
              </w:rPr>
            </w:pPr>
            <w:r w:rsidRPr="004D26F0">
              <w:rPr>
                <w:rFonts w:ascii="Times New Roman" w:hAnsi="Times New Roman" w:cs="Times New Roman"/>
                <w:b/>
                <w:i/>
                <w:sz w:val="22"/>
                <w:szCs w:val="22"/>
              </w:rPr>
              <w:t xml:space="preserve">Interest type (ref. categ. - Public authority </w:t>
            </w:r>
            <w:r>
              <w:rPr>
                <w:rFonts w:ascii="Times New Roman" w:hAnsi="Times New Roman" w:cs="Times New Roman"/>
                <w:b/>
                <w:i/>
                <w:sz w:val="22"/>
                <w:szCs w:val="22"/>
              </w:rPr>
              <w:t>pro-deregulation</w:t>
            </w:r>
            <w:r w:rsidRPr="004D26F0">
              <w:rPr>
                <w:rFonts w:ascii="Times New Roman" w:hAnsi="Times New Roman" w:cs="Times New Roman"/>
                <w:b/>
                <w:i/>
                <w:sz w:val="22"/>
                <w:szCs w:val="22"/>
              </w:rPr>
              <w:t>)</w:t>
            </w:r>
          </w:p>
        </w:tc>
      </w:tr>
      <w:tr w:rsidR="002C6C46" w:rsidRPr="00214645" w14:paraId="01ECCCF8" w14:textId="77777777" w:rsidTr="00755D35">
        <w:trPr>
          <w:trHeight w:val="278"/>
        </w:trPr>
        <w:tc>
          <w:tcPr>
            <w:tcW w:w="6498" w:type="dxa"/>
            <w:tcBorders>
              <w:top w:val="nil"/>
              <w:left w:val="nil"/>
              <w:bottom w:val="nil"/>
              <w:right w:val="nil"/>
            </w:tcBorders>
          </w:tcPr>
          <w:p w14:paraId="1DEEFBF4" w14:textId="77777777" w:rsidR="002C6C46" w:rsidRPr="004D26F0" w:rsidRDefault="002C6C46" w:rsidP="00755D35">
            <w:pPr>
              <w:jc w:val="both"/>
              <w:rPr>
                <w:rFonts w:ascii="Times New Roman" w:hAnsi="Times New Roman" w:cs="Times New Roman"/>
                <w:b/>
                <w:sz w:val="22"/>
                <w:szCs w:val="22"/>
              </w:rPr>
            </w:pPr>
            <w:r w:rsidRPr="004D26F0">
              <w:rPr>
                <w:rFonts w:ascii="Times New Roman" w:hAnsi="Times New Roman" w:cs="Times New Roman"/>
                <w:sz w:val="22"/>
                <w:szCs w:val="22"/>
              </w:rPr>
              <w:t>Public authority - coord. (not pro-deregulation)</w:t>
            </w:r>
          </w:p>
        </w:tc>
        <w:tc>
          <w:tcPr>
            <w:tcW w:w="2738" w:type="dxa"/>
            <w:tcBorders>
              <w:top w:val="nil"/>
              <w:left w:val="nil"/>
              <w:bottom w:val="nil"/>
              <w:right w:val="nil"/>
            </w:tcBorders>
          </w:tcPr>
          <w:p w14:paraId="74447942"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-3.24*** (0.76)</w:t>
            </w:r>
          </w:p>
        </w:tc>
      </w:tr>
      <w:tr w:rsidR="002C6C46" w:rsidRPr="00214645" w14:paraId="78CC6F86" w14:textId="77777777" w:rsidTr="00755D35">
        <w:tc>
          <w:tcPr>
            <w:tcW w:w="6498" w:type="dxa"/>
            <w:tcBorders>
              <w:top w:val="nil"/>
              <w:left w:val="nil"/>
              <w:bottom w:val="nil"/>
              <w:right w:val="nil"/>
            </w:tcBorders>
          </w:tcPr>
          <w:p w14:paraId="74800076"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Public authority - implementing</w:t>
            </w:r>
          </w:p>
        </w:tc>
        <w:tc>
          <w:tcPr>
            <w:tcW w:w="2738" w:type="dxa"/>
            <w:tcBorders>
              <w:top w:val="nil"/>
              <w:left w:val="nil"/>
              <w:bottom w:val="nil"/>
              <w:right w:val="nil"/>
            </w:tcBorders>
          </w:tcPr>
          <w:p w14:paraId="6D9E9BD0"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-5.55*** (0.93)</w:t>
            </w:r>
          </w:p>
        </w:tc>
      </w:tr>
      <w:tr w:rsidR="002C6C46" w:rsidRPr="00214645" w14:paraId="51330CC6" w14:textId="77777777" w:rsidTr="00755D35">
        <w:tc>
          <w:tcPr>
            <w:tcW w:w="6498" w:type="dxa"/>
            <w:tcBorders>
              <w:top w:val="nil"/>
              <w:left w:val="nil"/>
              <w:bottom w:val="nil"/>
              <w:right w:val="nil"/>
            </w:tcBorders>
          </w:tcPr>
          <w:p w14:paraId="55DF5659" w14:textId="77777777" w:rsidR="002C6C46" w:rsidRPr="004D26F0" w:rsidRDefault="002C6C46" w:rsidP="00755D35">
            <w:pPr>
              <w:jc w:val="both"/>
              <w:rPr>
                <w:rFonts w:ascii="Times New Roman" w:hAnsi="Times New Roman" w:cs="Times New Roman"/>
                <w:b/>
                <w:sz w:val="22"/>
                <w:szCs w:val="22"/>
              </w:rPr>
            </w:pPr>
            <w:r w:rsidRPr="004D26F0">
              <w:rPr>
                <w:rFonts w:ascii="Times New Roman" w:hAnsi="Times New Roman" w:cs="Times New Roman"/>
                <w:sz w:val="22"/>
                <w:szCs w:val="22"/>
              </w:rPr>
              <w:t>Sectoral business</w:t>
            </w:r>
          </w:p>
        </w:tc>
        <w:tc>
          <w:tcPr>
            <w:tcW w:w="2738" w:type="dxa"/>
            <w:tcBorders>
              <w:top w:val="nil"/>
              <w:left w:val="nil"/>
              <w:bottom w:val="nil"/>
              <w:right w:val="nil"/>
            </w:tcBorders>
          </w:tcPr>
          <w:p w14:paraId="7400791C"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-3.13*** (0.57)</w:t>
            </w:r>
          </w:p>
        </w:tc>
      </w:tr>
      <w:tr w:rsidR="002C6C46" w:rsidRPr="00214645" w14:paraId="443CC87E" w14:textId="77777777" w:rsidTr="00755D35">
        <w:tc>
          <w:tcPr>
            <w:tcW w:w="6498" w:type="dxa"/>
            <w:tcBorders>
              <w:top w:val="nil"/>
              <w:left w:val="nil"/>
              <w:bottom w:val="nil"/>
              <w:right w:val="nil"/>
            </w:tcBorders>
          </w:tcPr>
          <w:p w14:paraId="2E7DED75" w14:textId="77777777" w:rsidR="002C6C46" w:rsidRPr="004D26F0" w:rsidRDefault="002C6C46" w:rsidP="00755D35">
            <w:pPr>
              <w:jc w:val="both"/>
              <w:rPr>
                <w:rFonts w:ascii="Times New Roman" w:hAnsi="Times New Roman" w:cs="Times New Roman"/>
                <w:b/>
                <w:sz w:val="22"/>
                <w:szCs w:val="22"/>
              </w:rPr>
            </w:pPr>
            <w:r w:rsidRPr="004D26F0">
              <w:rPr>
                <w:rFonts w:ascii="Times New Roman" w:hAnsi="Times New Roman" w:cs="Times New Roman"/>
                <w:sz w:val="22"/>
                <w:szCs w:val="22"/>
              </w:rPr>
              <w:t>Cross-sectoral business</w:t>
            </w:r>
          </w:p>
        </w:tc>
        <w:tc>
          <w:tcPr>
            <w:tcW w:w="2738" w:type="dxa"/>
            <w:tcBorders>
              <w:top w:val="nil"/>
              <w:left w:val="nil"/>
              <w:bottom w:val="nil"/>
              <w:right w:val="nil"/>
            </w:tcBorders>
          </w:tcPr>
          <w:p w14:paraId="300B8011"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-1.74*** (0.52)</w:t>
            </w:r>
          </w:p>
        </w:tc>
      </w:tr>
      <w:tr w:rsidR="002C6C46" w:rsidRPr="00214645" w14:paraId="70E969DC" w14:textId="77777777" w:rsidTr="00755D35">
        <w:tc>
          <w:tcPr>
            <w:tcW w:w="6498" w:type="dxa"/>
            <w:tcBorders>
              <w:top w:val="nil"/>
              <w:left w:val="nil"/>
              <w:bottom w:val="nil"/>
              <w:right w:val="nil"/>
            </w:tcBorders>
          </w:tcPr>
          <w:p w14:paraId="6AE46C14" w14:textId="77777777" w:rsidR="002C6C46" w:rsidRPr="004D26F0" w:rsidRDefault="002C6C46" w:rsidP="00755D35">
            <w:pPr>
              <w:jc w:val="both"/>
              <w:rPr>
                <w:rFonts w:ascii="Times New Roman" w:hAnsi="Times New Roman" w:cs="Times New Roman"/>
                <w:b/>
                <w:sz w:val="22"/>
                <w:szCs w:val="22"/>
              </w:rPr>
            </w:pPr>
            <w:r w:rsidRPr="004D26F0">
              <w:rPr>
                <w:rFonts w:ascii="Times New Roman" w:hAnsi="Times New Roman" w:cs="Times New Roman"/>
                <w:sz w:val="22"/>
                <w:szCs w:val="22"/>
              </w:rPr>
              <w:t>Public interest organization</w:t>
            </w:r>
          </w:p>
        </w:tc>
        <w:tc>
          <w:tcPr>
            <w:tcW w:w="2738" w:type="dxa"/>
            <w:tcBorders>
              <w:top w:val="nil"/>
              <w:left w:val="nil"/>
              <w:bottom w:val="nil"/>
              <w:right w:val="nil"/>
            </w:tcBorders>
          </w:tcPr>
          <w:p w14:paraId="58132118"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-4.26*** (0.90)</w:t>
            </w:r>
          </w:p>
        </w:tc>
      </w:tr>
      <w:tr w:rsidR="002C6C46" w:rsidRPr="00214645" w14:paraId="161F11BA" w14:textId="77777777" w:rsidTr="00755D35">
        <w:trPr>
          <w:trHeight w:val="305"/>
        </w:trPr>
        <w:tc>
          <w:tcPr>
            <w:tcW w:w="6498" w:type="dxa"/>
            <w:tcBorders>
              <w:top w:val="nil"/>
              <w:left w:val="nil"/>
              <w:bottom w:val="nil"/>
              <w:right w:val="nil"/>
            </w:tcBorders>
          </w:tcPr>
          <w:p w14:paraId="458F1C73" w14:textId="77777777" w:rsidR="002C6C46" w:rsidRPr="004D26F0" w:rsidRDefault="002C6C46" w:rsidP="00755D35">
            <w:pPr>
              <w:jc w:val="both"/>
              <w:rPr>
                <w:rFonts w:ascii="Times New Roman" w:hAnsi="Times New Roman" w:cs="Times New Roman"/>
                <w:b/>
                <w:sz w:val="22"/>
                <w:szCs w:val="22"/>
              </w:rPr>
            </w:pPr>
            <w:r w:rsidRPr="004D26F0">
              <w:rPr>
                <w:rFonts w:ascii="Times New Roman" w:hAnsi="Times New Roman" w:cs="Times New Roman"/>
                <w:sz w:val="22"/>
                <w:szCs w:val="22"/>
              </w:rPr>
              <w:t>Professional association</w:t>
            </w:r>
          </w:p>
        </w:tc>
        <w:tc>
          <w:tcPr>
            <w:tcW w:w="2738" w:type="dxa"/>
            <w:tcBorders>
              <w:top w:val="nil"/>
              <w:left w:val="nil"/>
              <w:bottom w:val="nil"/>
              <w:right w:val="nil"/>
            </w:tcBorders>
          </w:tcPr>
          <w:p w14:paraId="1E43479D"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-3.76*** (0.70)</w:t>
            </w:r>
          </w:p>
        </w:tc>
      </w:tr>
      <w:tr w:rsidR="002C6C46" w:rsidRPr="00FE1E79" w14:paraId="7DD403E7" w14:textId="77777777" w:rsidTr="00755D35">
        <w:tc>
          <w:tcPr>
            <w:tcW w:w="9236" w:type="dxa"/>
            <w:gridSpan w:val="2"/>
            <w:tcBorders>
              <w:top w:val="nil"/>
              <w:left w:val="nil"/>
              <w:bottom w:val="nil"/>
              <w:right w:val="nil"/>
            </w:tcBorders>
          </w:tcPr>
          <w:p w14:paraId="40F7CF2F" w14:textId="77777777" w:rsidR="002C6C46" w:rsidRPr="004D26F0" w:rsidRDefault="002C6C46" w:rsidP="00755D35">
            <w:pPr>
              <w:rPr>
                <w:rFonts w:ascii="Times New Roman" w:hAnsi="Times New Roman" w:cs="Times New Roman"/>
                <w:b/>
                <w:i/>
                <w:sz w:val="22"/>
                <w:szCs w:val="22"/>
              </w:rPr>
            </w:pPr>
            <w:r w:rsidRPr="004D26F0">
              <w:rPr>
                <w:rFonts w:ascii="Times New Roman" w:hAnsi="Times New Roman" w:cs="Times New Roman"/>
                <w:b/>
                <w:i/>
                <w:sz w:val="22"/>
                <w:szCs w:val="22"/>
              </w:rPr>
              <w:t xml:space="preserve">Interaction </w:t>
            </w:r>
            <w:r>
              <w:rPr>
                <w:rFonts w:ascii="Times New Roman" w:hAnsi="Times New Roman" w:cs="Times New Roman"/>
                <w:b/>
                <w:i/>
                <w:sz w:val="22"/>
                <w:szCs w:val="22"/>
              </w:rPr>
              <w:t>effects</w:t>
            </w:r>
          </w:p>
        </w:tc>
      </w:tr>
      <w:tr w:rsidR="002C6C46" w:rsidRPr="00214645" w14:paraId="3B49BCE7" w14:textId="77777777" w:rsidTr="00755D35">
        <w:trPr>
          <w:trHeight w:val="233"/>
        </w:trPr>
        <w:tc>
          <w:tcPr>
            <w:tcW w:w="6498" w:type="dxa"/>
            <w:tcBorders>
              <w:top w:val="nil"/>
              <w:left w:val="nil"/>
              <w:bottom w:val="nil"/>
              <w:right w:val="nil"/>
            </w:tcBorders>
          </w:tcPr>
          <w:p w14:paraId="49A6C036"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Technocratic * Public authority - coord. (not pro-deregulation)</w:t>
            </w:r>
          </w:p>
        </w:tc>
        <w:tc>
          <w:tcPr>
            <w:tcW w:w="2738" w:type="dxa"/>
            <w:tcBorders>
              <w:top w:val="nil"/>
              <w:left w:val="nil"/>
              <w:bottom w:val="nil"/>
              <w:right w:val="nil"/>
            </w:tcBorders>
          </w:tcPr>
          <w:p w14:paraId="1D28A4DF"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1.45* (0.72)</w:t>
            </w:r>
          </w:p>
        </w:tc>
      </w:tr>
      <w:tr w:rsidR="002C6C46" w:rsidRPr="00214645" w14:paraId="5585EC3A" w14:textId="77777777" w:rsidTr="00755D35">
        <w:tc>
          <w:tcPr>
            <w:tcW w:w="6498" w:type="dxa"/>
            <w:tcBorders>
              <w:top w:val="nil"/>
              <w:left w:val="nil"/>
              <w:bottom w:val="nil"/>
              <w:right w:val="nil"/>
            </w:tcBorders>
          </w:tcPr>
          <w:p w14:paraId="16E0C51C"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Participatory * Public authority - coord. (not pro-deregulation)</w:t>
            </w:r>
          </w:p>
        </w:tc>
        <w:tc>
          <w:tcPr>
            <w:tcW w:w="2738" w:type="dxa"/>
            <w:tcBorders>
              <w:top w:val="nil"/>
              <w:left w:val="nil"/>
              <w:bottom w:val="nil"/>
              <w:right w:val="nil"/>
            </w:tcBorders>
          </w:tcPr>
          <w:p w14:paraId="47F678D2"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2.92*** (0.75)</w:t>
            </w:r>
          </w:p>
        </w:tc>
      </w:tr>
      <w:tr w:rsidR="002C6C46" w:rsidRPr="00214645" w14:paraId="02405BED" w14:textId="77777777" w:rsidTr="00755D35">
        <w:tc>
          <w:tcPr>
            <w:tcW w:w="6498" w:type="dxa"/>
            <w:tcBorders>
              <w:top w:val="nil"/>
              <w:left w:val="nil"/>
              <w:bottom w:val="nil"/>
              <w:right w:val="nil"/>
            </w:tcBorders>
          </w:tcPr>
          <w:p w14:paraId="0DC4420B"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Technocratic * Public authority - implementing</w:t>
            </w:r>
          </w:p>
        </w:tc>
        <w:tc>
          <w:tcPr>
            <w:tcW w:w="2738" w:type="dxa"/>
            <w:tcBorders>
              <w:top w:val="nil"/>
              <w:left w:val="nil"/>
              <w:bottom w:val="nil"/>
              <w:right w:val="nil"/>
            </w:tcBorders>
          </w:tcPr>
          <w:p w14:paraId="3D2652B9"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2.59** (0.91)</w:t>
            </w:r>
          </w:p>
        </w:tc>
      </w:tr>
      <w:tr w:rsidR="002C6C46" w:rsidRPr="00214645" w14:paraId="398BD0DF" w14:textId="77777777" w:rsidTr="00755D35">
        <w:tc>
          <w:tcPr>
            <w:tcW w:w="6498" w:type="dxa"/>
            <w:tcBorders>
              <w:top w:val="nil"/>
              <w:left w:val="nil"/>
              <w:bottom w:val="nil"/>
              <w:right w:val="nil"/>
            </w:tcBorders>
          </w:tcPr>
          <w:p w14:paraId="7A1348F8"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Participatory * Public authority - implementing</w:t>
            </w:r>
          </w:p>
        </w:tc>
        <w:tc>
          <w:tcPr>
            <w:tcW w:w="2738" w:type="dxa"/>
            <w:tcBorders>
              <w:top w:val="nil"/>
              <w:left w:val="nil"/>
              <w:bottom w:val="nil"/>
              <w:right w:val="nil"/>
            </w:tcBorders>
          </w:tcPr>
          <w:p w14:paraId="50E342F0"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4.18*** (0.93)</w:t>
            </w:r>
          </w:p>
        </w:tc>
      </w:tr>
      <w:tr w:rsidR="002C6C46" w:rsidRPr="00214645" w14:paraId="588B1A8D" w14:textId="77777777" w:rsidTr="00755D35">
        <w:tc>
          <w:tcPr>
            <w:tcW w:w="6498" w:type="dxa"/>
            <w:tcBorders>
              <w:top w:val="nil"/>
              <w:left w:val="nil"/>
              <w:bottom w:val="nil"/>
              <w:right w:val="nil"/>
            </w:tcBorders>
          </w:tcPr>
          <w:p w14:paraId="43D8D321"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Technocratic * Cross-sectoral business</w:t>
            </w:r>
          </w:p>
        </w:tc>
        <w:tc>
          <w:tcPr>
            <w:tcW w:w="2738" w:type="dxa"/>
            <w:tcBorders>
              <w:top w:val="nil"/>
              <w:left w:val="nil"/>
              <w:bottom w:val="nil"/>
              <w:right w:val="nil"/>
            </w:tcBorders>
          </w:tcPr>
          <w:p w14:paraId="702863D7"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1.20* (0.48)</w:t>
            </w:r>
          </w:p>
        </w:tc>
      </w:tr>
      <w:tr w:rsidR="002C6C46" w:rsidRPr="00214645" w14:paraId="4AF1EBE8" w14:textId="77777777" w:rsidTr="00755D35">
        <w:trPr>
          <w:trHeight w:val="62"/>
        </w:trPr>
        <w:tc>
          <w:tcPr>
            <w:tcW w:w="6498" w:type="dxa"/>
            <w:tcBorders>
              <w:top w:val="nil"/>
              <w:left w:val="nil"/>
              <w:bottom w:val="nil"/>
              <w:right w:val="nil"/>
            </w:tcBorders>
          </w:tcPr>
          <w:p w14:paraId="6B867F58"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Participatory * Cross-sectoral business</w:t>
            </w:r>
          </w:p>
        </w:tc>
        <w:tc>
          <w:tcPr>
            <w:tcW w:w="2738" w:type="dxa"/>
            <w:tcBorders>
              <w:top w:val="nil"/>
              <w:left w:val="nil"/>
              <w:bottom w:val="nil"/>
              <w:right w:val="nil"/>
            </w:tcBorders>
          </w:tcPr>
          <w:p w14:paraId="21D030EE"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2.48*** (0.51)</w:t>
            </w:r>
          </w:p>
        </w:tc>
      </w:tr>
      <w:tr w:rsidR="002C6C46" w:rsidRPr="00214645" w14:paraId="59D71265" w14:textId="77777777" w:rsidTr="00755D35">
        <w:tc>
          <w:tcPr>
            <w:tcW w:w="6498" w:type="dxa"/>
            <w:tcBorders>
              <w:top w:val="nil"/>
              <w:left w:val="nil"/>
              <w:bottom w:val="nil"/>
              <w:right w:val="nil"/>
            </w:tcBorders>
          </w:tcPr>
          <w:p w14:paraId="3DF40E21"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Technocratic * Sectoral business</w:t>
            </w:r>
          </w:p>
        </w:tc>
        <w:tc>
          <w:tcPr>
            <w:tcW w:w="2738" w:type="dxa"/>
            <w:tcBorders>
              <w:top w:val="nil"/>
              <w:left w:val="nil"/>
              <w:bottom w:val="nil"/>
              <w:right w:val="nil"/>
            </w:tcBorders>
          </w:tcPr>
          <w:p w14:paraId="56CEE293"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1.87*** (0.53)</w:t>
            </w:r>
          </w:p>
        </w:tc>
      </w:tr>
      <w:tr w:rsidR="002C6C46" w:rsidRPr="00214645" w14:paraId="02DF6278" w14:textId="77777777" w:rsidTr="00755D35">
        <w:trPr>
          <w:trHeight w:val="278"/>
        </w:trPr>
        <w:tc>
          <w:tcPr>
            <w:tcW w:w="6498" w:type="dxa"/>
            <w:tcBorders>
              <w:top w:val="nil"/>
              <w:left w:val="nil"/>
              <w:bottom w:val="nil"/>
              <w:right w:val="nil"/>
            </w:tcBorders>
          </w:tcPr>
          <w:p w14:paraId="2AE9833C"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Participatory * Sectoral business</w:t>
            </w:r>
          </w:p>
        </w:tc>
        <w:tc>
          <w:tcPr>
            <w:tcW w:w="2738" w:type="dxa"/>
            <w:tcBorders>
              <w:top w:val="nil"/>
              <w:left w:val="nil"/>
              <w:bottom w:val="nil"/>
              <w:right w:val="nil"/>
            </w:tcBorders>
          </w:tcPr>
          <w:p w14:paraId="5B5C66C4"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4.02*** (0.55)</w:t>
            </w:r>
          </w:p>
        </w:tc>
      </w:tr>
      <w:tr w:rsidR="002C6C46" w:rsidRPr="00214645" w14:paraId="1D35F808" w14:textId="77777777" w:rsidTr="00755D35">
        <w:tc>
          <w:tcPr>
            <w:tcW w:w="6498" w:type="dxa"/>
            <w:tcBorders>
              <w:top w:val="nil"/>
              <w:left w:val="nil"/>
              <w:bottom w:val="nil"/>
              <w:right w:val="nil"/>
            </w:tcBorders>
          </w:tcPr>
          <w:p w14:paraId="4ED15356"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Technocratic * Public interest organization</w:t>
            </w:r>
          </w:p>
        </w:tc>
        <w:tc>
          <w:tcPr>
            <w:tcW w:w="2738" w:type="dxa"/>
            <w:tcBorders>
              <w:top w:val="nil"/>
              <w:left w:val="nil"/>
              <w:bottom w:val="nil"/>
              <w:right w:val="nil"/>
            </w:tcBorders>
          </w:tcPr>
          <w:p w14:paraId="4F76D77F"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2.46** (0.86)</w:t>
            </w:r>
          </w:p>
        </w:tc>
      </w:tr>
      <w:tr w:rsidR="002C6C46" w:rsidRPr="00214645" w14:paraId="763FCF19" w14:textId="77777777" w:rsidTr="00755D35">
        <w:tc>
          <w:tcPr>
            <w:tcW w:w="6498" w:type="dxa"/>
            <w:tcBorders>
              <w:top w:val="nil"/>
              <w:left w:val="nil"/>
              <w:bottom w:val="nil"/>
              <w:right w:val="nil"/>
            </w:tcBorders>
          </w:tcPr>
          <w:p w14:paraId="3A791D07"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Participatory * Public interest organization</w:t>
            </w:r>
          </w:p>
        </w:tc>
        <w:tc>
          <w:tcPr>
            <w:tcW w:w="2738" w:type="dxa"/>
            <w:tcBorders>
              <w:top w:val="nil"/>
              <w:left w:val="nil"/>
              <w:bottom w:val="nil"/>
              <w:right w:val="nil"/>
            </w:tcBorders>
          </w:tcPr>
          <w:p w14:paraId="535B7261"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4.73*** (0.88)</w:t>
            </w:r>
          </w:p>
        </w:tc>
      </w:tr>
      <w:tr w:rsidR="002C6C46" w:rsidRPr="00214645" w14:paraId="4E2F3256" w14:textId="77777777" w:rsidTr="00755D35">
        <w:tc>
          <w:tcPr>
            <w:tcW w:w="6498" w:type="dxa"/>
            <w:tcBorders>
              <w:top w:val="nil"/>
              <w:left w:val="nil"/>
              <w:bottom w:val="nil"/>
              <w:right w:val="nil"/>
            </w:tcBorders>
          </w:tcPr>
          <w:p w14:paraId="08F8E673"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 xml:space="preserve">Technocratic * Professional association </w:t>
            </w:r>
          </w:p>
        </w:tc>
        <w:tc>
          <w:tcPr>
            <w:tcW w:w="2738" w:type="dxa"/>
            <w:tcBorders>
              <w:top w:val="nil"/>
              <w:left w:val="nil"/>
              <w:bottom w:val="nil"/>
              <w:right w:val="nil"/>
            </w:tcBorders>
          </w:tcPr>
          <w:p w14:paraId="4FAD80B3"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1.75** (0.67)</w:t>
            </w:r>
          </w:p>
        </w:tc>
      </w:tr>
      <w:tr w:rsidR="002C6C46" w:rsidRPr="00214645" w14:paraId="0BE36ABE" w14:textId="77777777" w:rsidTr="00755D35">
        <w:trPr>
          <w:trHeight w:val="242"/>
        </w:trPr>
        <w:tc>
          <w:tcPr>
            <w:tcW w:w="6498" w:type="dxa"/>
            <w:tcBorders>
              <w:top w:val="nil"/>
              <w:left w:val="nil"/>
              <w:bottom w:val="single" w:sz="4" w:space="0" w:color="auto"/>
              <w:right w:val="nil"/>
            </w:tcBorders>
          </w:tcPr>
          <w:p w14:paraId="03AAE8E2"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 xml:space="preserve">Participatory * Professional association </w:t>
            </w:r>
          </w:p>
        </w:tc>
        <w:tc>
          <w:tcPr>
            <w:tcW w:w="2738" w:type="dxa"/>
            <w:tcBorders>
              <w:top w:val="nil"/>
              <w:left w:val="nil"/>
              <w:bottom w:val="single" w:sz="4" w:space="0" w:color="auto"/>
              <w:right w:val="nil"/>
            </w:tcBorders>
          </w:tcPr>
          <w:p w14:paraId="4EB4DF32"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3.68*** (0.69)</w:t>
            </w:r>
          </w:p>
        </w:tc>
      </w:tr>
      <w:tr w:rsidR="002C6C46" w:rsidRPr="00214645" w14:paraId="73239533" w14:textId="77777777" w:rsidTr="00755D35">
        <w:trPr>
          <w:trHeight w:val="278"/>
        </w:trPr>
        <w:tc>
          <w:tcPr>
            <w:tcW w:w="6498" w:type="dxa"/>
            <w:tcBorders>
              <w:top w:val="single" w:sz="4" w:space="0" w:color="auto"/>
              <w:left w:val="nil"/>
              <w:bottom w:val="nil"/>
              <w:right w:val="nil"/>
            </w:tcBorders>
          </w:tcPr>
          <w:p w14:paraId="2E82ABE1"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Interest group-level variance</w:t>
            </w:r>
          </w:p>
        </w:tc>
        <w:tc>
          <w:tcPr>
            <w:tcW w:w="2738" w:type="dxa"/>
            <w:tcBorders>
              <w:top w:val="single" w:sz="4" w:space="0" w:color="auto"/>
              <w:left w:val="nil"/>
              <w:bottom w:val="nil"/>
              <w:right w:val="nil"/>
            </w:tcBorders>
          </w:tcPr>
          <w:p w14:paraId="66089AB2"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0.83</w:t>
            </w:r>
          </w:p>
        </w:tc>
      </w:tr>
      <w:tr w:rsidR="002C6C46" w:rsidRPr="00214645" w14:paraId="19853BA7" w14:textId="77777777" w:rsidTr="00755D35">
        <w:tc>
          <w:tcPr>
            <w:tcW w:w="6498" w:type="dxa"/>
            <w:tcBorders>
              <w:top w:val="nil"/>
              <w:left w:val="nil"/>
              <w:bottom w:val="nil"/>
              <w:right w:val="nil"/>
            </w:tcBorders>
          </w:tcPr>
          <w:p w14:paraId="371FAD01"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Demand-level variance</w:t>
            </w:r>
          </w:p>
        </w:tc>
        <w:tc>
          <w:tcPr>
            <w:tcW w:w="2738" w:type="dxa"/>
            <w:tcBorders>
              <w:top w:val="nil"/>
              <w:left w:val="nil"/>
              <w:bottom w:val="nil"/>
              <w:right w:val="nil"/>
            </w:tcBorders>
          </w:tcPr>
          <w:p w14:paraId="553CD35B"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1.79</w:t>
            </w:r>
          </w:p>
        </w:tc>
      </w:tr>
      <w:tr w:rsidR="002C6C46" w:rsidRPr="00214645" w14:paraId="4DE3EF5E" w14:textId="77777777" w:rsidTr="00755D35">
        <w:tc>
          <w:tcPr>
            <w:tcW w:w="6498" w:type="dxa"/>
            <w:tcBorders>
              <w:top w:val="nil"/>
              <w:left w:val="nil"/>
              <w:bottom w:val="nil"/>
              <w:right w:val="nil"/>
            </w:tcBorders>
          </w:tcPr>
          <w:p w14:paraId="274E373B"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 xml:space="preserve">Loglikelihood </w:t>
            </w:r>
          </w:p>
        </w:tc>
        <w:tc>
          <w:tcPr>
            <w:tcW w:w="2738" w:type="dxa"/>
            <w:tcBorders>
              <w:top w:val="nil"/>
              <w:left w:val="nil"/>
              <w:bottom w:val="nil"/>
              <w:right w:val="nil"/>
            </w:tcBorders>
          </w:tcPr>
          <w:p w14:paraId="7EA9A9CC"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-1317</w:t>
            </w:r>
          </w:p>
        </w:tc>
      </w:tr>
      <w:tr w:rsidR="002C6C46" w:rsidRPr="00214645" w14:paraId="1C74C490" w14:textId="77777777" w:rsidTr="00755D35">
        <w:trPr>
          <w:trHeight w:val="251"/>
        </w:trPr>
        <w:tc>
          <w:tcPr>
            <w:tcW w:w="6498" w:type="dxa"/>
            <w:tcBorders>
              <w:top w:val="nil"/>
              <w:left w:val="nil"/>
              <w:bottom w:val="nil"/>
              <w:right w:val="nil"/>
            </w:tcBorders>
          </w:tcPr>
          <w:p w14:paraId="3C62D785"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No. of obs.</w:t>
            </w:r>
          </w:p>
        </w:tc>
        <w:tc>
          <w:tcPr>
            <w:tcW w:w="2738" w:type="dxa"/>
            <w:tcBorders>
              <w:top w:val="nil"/>
              <w:left w:val="nil"/>
              <w:bottom w:val="nil"/>
              <w:right w:val="nil"/>
            </w:tcBorders>
          </w:tcPr>
          <w:p w14:paraId="36F2D226"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2860</w:t>
            </w:r>
          </w:p>
        </w:tc>
      </w:tr>
      <w:tr w:rsidR="002C6C46" w:rsidRPr="00214645" w14:paraId="0E65E198" w14:textId="77777777" w:rsidTr="00755D35">
        <w:trPr>
          <w:trHeight w:val="260"/>
        </w:trPr>
        <w:tc>
          <w:tcPr>
            <w:tcW w:w="6498" w:type="dxa"/>
            <w:tcBorders>
              <w:top w:val="nil"/>
              <w:left w:val="nil"/>
              <w:bottom w:val="nil"/>
              <w:right w:val="nil"/>
            </w:tcBorders>
          </w:tcPr>
          <w:p w14:paraId="46A58A19"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No. of interest groups</w:t>
            </w:r>
          </w:p>
        </w:tc>
        <w:tc>
          <w:tcPr>
            <w:tcW w:w="2738" w:type="dxa"/>
            <w:tcBorders>
              <w:top w:val="nil"/>
              <w:left w:val="nil"/>
              <w:bottom w:val="nil"/>
              <w:right w:val="nil"/>
            </w:tcBorders>
          </w:tcPr>
          <w:p w14:paraId="57AFCD5A"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110</w:t>
            </w:r>
          </w:p>
        </w:tc>
      </w:tr>
      <w:tr w:rsidR="002C6C46" w:rsidRPr="00214645" w14:paraId="3D0FD24B" w14:textId="77777777" w:rsidTr="00755D35">
        <w:trPr>
          <w:trHeight w:val="260"/>
        </w:trPr>
        <w:tc>
          <w:tcPr>
            <w:tcW w:w="6498" w:type="dxa"/>
            <w:tcBorders>
              <w:top w:val="nil"/>
              <w:left w:val="nil"/>
              <w:right w:val="nil"/>
            </w:tcBorders>
          </w:tcPr>
          <w:p w14:paraId="758C4D45" w14:textId="77777777" w:rsidR="002C6C46" w:rsidRPr="004D26F0" w:rsidRDefault="002C6C46" w:rsidP="00755D35">
            <w:pPr>
              <w:jc w:val="both"/>
              <w:rPr>
                <w:rFonts w:ascii="Times New Roman" w:hAnsi="Times New Roman" w:cs="Times New Roman"/>
                <w:sz w:val="22"/>
                <w:szCs w:val="22"/>
              </w:rPr>
            </w:pPr>
            <w:r w:rsidRPr="004D26F0">
              <w:rPr>
                <w:rFonts w:ascii="Times New Roman" w:hAnsi="Times New Roman" w:cs="Times New Roman"/>
                <w:sz w:val="22"/>
                <w:szCs w:val="22"/>
              </w:rPr>
              <w:t>No. of demands</w:t>
            </w:r>
          </w:p>
        </w:tc>
        <w:tc>
          <w:tcPr>
            <w:tcW w:w="2738" w:type="dxa"/>
            <w:tcBorders>
              <w:top w:val="nil"/>
              <w:left w:val="nil"/>
              <w:right w:val="nil"/>
            </w:tcBorders>
          </w:tcPr>
          <w:p w14:paraId="227D5418" w14:textId="77777777" w:rsidR="002C6C46" w:rsidRPr="004D26F0" w:rsidRDefault="002C6C46" w:rsidP="00755D35">
            <w:pPr>
              <w:jc w:val="center"/>
              <w:rPr>
                <w:rFonts w:ascii="Times New Roman" w:hAnsi="Times New Roman" w:cs="Times New Roman"/>
                <w:sz w:val="22"/>
                <w:szCs w:val="22"/>
              </w:rPr>
            </w:pPr>
            <w:r w:rsidRPr="004D26F0">
              <w:rPr>
                <w:rFonts w:ascii="Times New Roman" w:hAnsi="Times New Roman" w:cs="Times New Roman"/>
                <w:sz w:val="22"/>
                <w:szCs w:val="22"/>
              </w:rPr>
              <w:t>26</w:t>
            </w:r>
          </w:p>
        </w:tc>
      </w:tr>
    </w:tbl>
    <w:p w14:paraId="23035C38" w14:textId="77777777" w:rsidR="002C6C46" w:rsidRPr="004D26F0" w:rsidRDefault="002C6C46" w:rsidP="002C6C46">
      <w:pPr>
        <w:widowControl w:val="0"/>
        <w:autoSpaceDE w:val="0"/>
        <w:autoSpaceDN w:val="0"/>
        <w:adjustRightInd w:val="0"/>
        <w:rPr>
          <w:rFonts w:ascii="Times New Roman" w:hAnsi="Times New Roman" w:cs="Times New Roman"/>
        </w:rPr>
      </w:pPr>
      <w:r w:rsidRPr="004D26F0">
        <w:rPr>
          <w:rFonts w:ascii="Times New Roman" w:hAnsi="Times New Roman" w:cs="Times New Roman"/>
        </w:rPr>
        <w:t>NOTE: Standard errors in parentheses. Significance levels: ***</w:t>
      </w:r>
      <w:r w:rsidRPr="004D26F0">
        <w:rPr>
          <w:rFonts w:ascii="Times New Roman" w:hAnsi="Times New Roman" w:cs="Times New Roman"/>
          <w:i/>
        </w:rPr>
        <w:t>p</w:t>
      </w:r>
      <w:r w:rsidRPr="004D26F0">
        <w:rPr>
          <w:rFonts w:ascii="Times New Roman" w:hAnsi="Times New Roman" w:cs="Times New Roman"/>
        </w:rPr>
        <w:t xml:space="preserve"> &lt; 01, **</w:t>
      </w:r>
      <w:r w:rsidRPr="004D26F0">
        <w:rPr>
          <w:rFonts w:ascii="Times New Roman" w:hAnsi="Times New Roman" w:cs="Times New Roman"/>
          <w:i/>
        </w:rPr>
        <w:t>p</w:t>
      </w:r>
      <w:r w:rsidRPr="004D26F0">
        <w:rPr>
          <w:rFonts w:ascii="Times New Roman" w:hAnsi="Times New Roman" w:cs="Times New Roman"/>
        </w:rPr>
        <w:t>&lt; 0.01, *</w:t>
      </w:r>
      <w:r w:rsidRPr="004D26F0">
        <w:rPr>
          <w:rFonts w:ascii="Times New Roman" w:hAnsi="Times New Roman" w:cs="Times New Roman"/>
          <w:i/>
        </w:rPr>
        <w:t>p</w:t>
      </w:r>
      <w:r w:rsidRPr="004D26F0">
        <w:rPr>
          <w:rFonts w:ascii="Times New Roman" w:hAnsi="Times New Roman" w:cs="Times New Roman"/>
        </w:rPr>
        <w:t xml:space="preserve">&lt; 0.05, † </w:t>
      </w:r>
      <w:r w:rsidRPr="004D26F0">
        <w:rPr>
          <w:rFonts w:ascii="Times New Roman" w:hAnsi="Times New Roman" w:cs="Times New Roman"/>
          <w:i/>
        </w:rPr>
        <w:t xml:space="preserve">p </w:t>
      </w:r>
      <w:r w:rsidRPr="004D26F0">
        <w:rPr>
          <w:rFonts w:ascii="Times New Roman" w:hAnsi="Times New Roman" w:cs="Times New Roman"/>
        </w:rPr>
        <w:t>&lt;0.1.</w:t>
      </w:r>
    </w:p>
    <w:p w14:paraId="52F58312" w14:textId="77777777" w:rsidR="002C6C46" w:rsidRDefault="002C6C46" w:rsidP="002C6C46">
      <w:pPr>
        <w:jc w:val="both"/>
        <w:rPr>
          <w:rFonts w:ascii="Times New Roman" w:hAnsi="Times New Roman" w:cs="Times New Roman"/>
          <w:b/>
        </w:rPr>
      </w:pPr>
    </w:p>
    <w:p w14:paraId="2FB22241" w14:textId="77777777" w:rsidR="002C6C46" w:rsidRDefault="002C6C46" w:rsidP="002C6C46">
      <w:pPr>
        <w:jc w:val="both"/>
        <w:rPr>
          <w:rFonts w:ascii="Times New Roman" w:hAnsi="Times New Roman" w:cs="Times New Roman"/>
          <w:b/>
        </w:rPr>
      </w:pPr>
    </w:p>
    <w:p w14:paraId="5FD8F3D9" w14:textId="77777777" w:rsidR="002C6C46" w:rsidRDefault="002C6C46" w:rsidP="002C6C46">
      <w:pPr>
        <w:jc w:val="both"/>
        <w:rPr>
          <w:rFonts w:ascii="Times New Roman" w:hAnsi="Times New Roman" w:cs="Times New Roman"/>
          <w:b/>
        </w:rPr>
      </w:pPr>
    </w:p>
    <w:p w14:paraId="210FBCAD" w14:textId="77777777" w:rsidR="002C6C46" w:rsidRDefault="002C6C46" w:rsidP="002C6C46">
      <w:pPr>
        <w:jc w:val="both"/>
        <w:rPr>
          <w:rFonts w:ascii="Times New Roman" w:hAnsi="Times New Roman" w:cs="Times New Roman"/>
          <w:b/>
        </w:rPr>
      </w:pPr>
    </w:p>
    <w:p w14:paraId="73C60173" w14:textId="77777777" w:rsidR="002C6C46" w:rsidRDefault="002C6C46" w:rsidP="002C6C46">
      <w:pPr>
        <w:jc w:val="both"/>
        <w:rPr>
          <w:rFonts w:ascii="Times New Roman" w:hAnsi="Times New Roman" w:cs="Times New Roman"/>
          <w:b/>
        </w:rPr>
      </w:pPr>
    </w:p>
    <w:p w14:paraId="0E32995C" w14:textId="77777777" w:rsidR="002C6C46" w:rsidRDefault="002C6C46" w:rsidP="002C6C46">
      <w:pPr>
        <w:jc w:val="both"/>
        <w:rPr>
          <w:rFonts w:ascii="Times New Roman" w:hAnsi="Times New Roman" w:cs="Times New Roman"/>
          <w:b/>
        </w:rPr>
      </w:pPr>
    </w:p>
    <w:p w14:paraId="46320635" w14:textId="77777777" w:rsidR="002C6C46" w:rsidRDefault="002C6C46" w:rsidP="002C6C46">
      <w:pPr>
        <w:jc w:val="both"/>
        <w:rPr>
          <w:rFonts w:ascii="Times New Roman" w:hAnsi="Times New Roman" w:cs="Times New Roman"/>
          <w:b/>
        </w:rPr>
      </w:pPr>
    </w:p>
    <w:p w14:paraId="08250A68" w14:textId="77777777" w:rsidR="002C6C46" w:rsidRDefault="002C6C46" w:rsidP="002C6C46">
      <w:pPr>
        <w:jc w:val="both"/>
        <w:rPr>
          <w:rFonts w:ascii="Times New Roman" w:hAnsi="Times New Roman" w:cs="Times New Roman"/>
          <w:b/>
        </w:rPr>
      </w:pPr>
    </w:p>
    <w:p w14:paraId="100CE185" w14:textId="77777777" w:rsidR="002C6C46" w:rsidRDefault="002C6C46" w:rsidP="002C6C46">
      <w:pPr>
        <w:jc w:val="both"/>
        <w:rPr>
          <w:rFonts w:ascii="Times New Roman" w:hAnsi="Times New Roman" w:cs="Times New Roman"/>
          <w:b/>
        </w:rPr>
      </w:pPr>
    </w:p>
    <w:p w14:paraId="59346576" w14:textId="77777777" w:rsidR="002C6C46" w:rsidRDefault="002C6C46" w:rsidP="002C6C46">
      <w:pPr>
        <w:jc w:val="both"/>
        <w:rPr>
          <w:rFonts w:ascii="Times New Roman" w:hAnsi="Times New Roman" w:cs="Times New Roman"/>
          <w:b/>
        </w:rPr>
      </w:pPr>
    </w:p>
    <w:p w14:paraId="4A2537E8" w14:textId="77777777" w:rsidR="002C6C46" w:rsidRDefault="002C6C46" w:rsidP="002C6C46">
      <w:pPr>
        <w:jc w:val="both"/>
        <w:rPr>
          <w:rFonts w:ascii="Times New Roman" w:hAnsi="Times New Roman" w:cs="Times New Roman"/>
          <w:b/>
        </w:rPr>
      </w:pPr>
    </w:p>
    <w:p w14:paraId="10DEA988" w14:textId="77777777" w:rsidR="002C6C46" w:rsidRDefault="002C6C46" w:rsidP="002C6C46">
      <w:pPr>
        <w:jc w:val="both"/>
        <w:rPr>
          <w:rFonts w:ascii="Times New Roman" w:hAnsi="Times New Roman" w:cs="Times New Roman"/>
          <w:b/>
        </w:rPr>
      </w:pPr>
    </w:p>
    <w:p w14:paraId="491A8F9C" w14:textId="77777777" w:rsidR="002C6C46" w:rsidRDefault="002C6C46" w:rsidP="002C6C46">
      <w:pPr>
        <w:jc w:val="both"/>
        <w:rPr>
          <w:rFonts w:ascii="Times New Roman" w:hAnsi="Times New Roman" w:cs="Times New Roman"/>
          <w:b/>
        </w:rPr>
      </w:pPr>
    </w:p>
    <w:p w14:paraId="1B043F45" w14:textId="77777777" w:rsidR="002C6C46" w:rsidRDefault="002C6C46" w:rsidP="002C6C46">
      <w:pPr>
        <w:jc w:val="both"/>
        <w:rPr>
          <w:rFonts w:ascii="Times New Roman" w:hAnsi="Times New Roman" w:cs="Times New Roman"/>
          <w:b/>
        </w:rPr>
      </w:pPr>
    </w:p>
    <w:p w14:paraId="0CFC0D9D" w14:textId="77777777" w:rsidR="002C6C46" w:rsidRDefault="002C6C46" w:rsidP="002C6C46">
      <w:pPr>
        <w:jc w:val="both"/>
        <w:rPr>
          <w:rFonts w:ascii="Times New Roman" w:hAnsi="Times New Roman" w:cs="Times New Roman"/>
          <w:b/>
        </w:rPr>
      </w:pPr>
    </w:p>
    <w:p w14:paraId="3CA307D1" w14:textId="77777777" w:rsidR="002C6C46" w:rsidRDefault="002C6C46" w:rsidP="002C6C46">
      <w:pPr>
        <w:jc w:val="both"/>
        <w:rPr>
          <w:rFonts w:ascii="Times New Roman" w:hAnsi="Times New Roman" w:cs="Times New Roman"/>
          <w:b/>
        </w:rPr>
      </w:pPr>
    </w:p>
    <w:p w14:paraId="556FB737" w14:textId="77777777" w:rsidR="002C6C46" w:rsidRDefault="002C6C46" w:rsidP="002C6C46">
      <w:pPr>
        <w:jc w:val="both"/>
        <w:rPr>
          <w:rFonts w:ascii="Times New Roman" w:hAnsi="Times New Roman" w:cs="Times New Roman"/>
          <w:b/>
        </w:rPr>
      </w:pPr>
    </w:p>
    <w:p w14:paraId="39D48E1A" w14:textId="77777777" w:rsidR="002C6C46" w:rsidRDefault="002C6C46" w:rsidP="002C6C46">
      <w:pPr>
        <w:jc w:val="both"/>
        <w:rPr>
          <w:rFonts w:ascii="Times New Roman" w:hAnsi="Times New Roman" w:cs="Times New Roman"/>
          <w:b/>
        </w:rPr>
      </w:pPr>
    </w:p>
    <w:p w14:paraId="2A5C3C1C" w14:textId="77777777" w:rsidR="002C6C46" w:rsidRDefault="002C6C46" w:rsidP="002C6C46">
      <w:pPr>
        <w:jc w:val="both"/>
        <w:rPr>
          <w:rFonts w:ascii="Times New Roman" w:hAnsi="Times New Roman" w:cs="Times New Roman"/>
          <w:b/>
        </w:rPr>
      </w:pPr>
      <w:r>
        <w:rPr>
          <w:rFonts w:ascii="Times New Roman" w:hAnsi="Times New Roman" w:cs="Times New Roman"/>
          <w:b/>
        </w:rPr>
        <w:t>Figure 1. Odds ratios for expressing deregulatory demands with pro-deregulation public authorities as a reference category.</w:t>
      </w:r>
    </w:p>
    <w:p w14:paraId="2F7ACEA5" w14:textId="77777777" w:rsidR="002C6C46" w:rsidRDefault="002C6C46" w:rsidP="002C6C46">
      <w:pPr>
        <w:jc w:val="both"/>
        <w:rPr>
          <w:rFonts w:ascii="Times New Roman" w:hAnsi="Times New Roman" w:cs="Times New Roman"/>
          <w:b/>
        </w:rPr>
      </w:pPr>
    </w:p>
    <w:p w14:paraId="15566CEE" w14:textId="77777777" w:rsidR="002C6C46" w:rsidRDefault="002C6C46" w:rsidP="002C6C46">
      <w:pPr>
        <w:jc w:val="both"/>
        <w:rPr>
          <w:rFonts w:ascii="Times New Roman" w:hAnsi="Times New Roman" w:cs="Times New Roman"/>
          <w:b/>
        </w:rPr>
      </w:pPr>
      <w:r>
        <w:rPr>
          <w:rFonts w:ascii="Times New Roman" w:hAnsi="Times New Roman" w:cs="Times New Roman"/>
          <w:b/>
          <w:noProof/>
          <w:lang w:val="en-GB" w:eastAsia="en-GB"/>
        </w:rPr>
        <w:drawing>
          <wp:inline distT="0" distB="0" distL="0" distR="0" wp14:anchorId="173F89F5" wp14:editId="7B9C286F">
            <wp:extent cx="3947723" cy="32299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ults1.png"/>
                    <pic:cNvPicPr/>
                  </pic:nvPicPr>
                  <pic:blipFill>
                    <a:blip r:embed="rId11">
                      <a:extLst>
                        <a:ext uri="{28A0092B-C50C-407E-A947-70E740481C1C}">
                          <a14:useLocalDpi xmlns:a14="http://schemas.microsoft.com/office/drawing/2010/main" val="0"/>
                        </a:ext>
                      </a:extLst>
                    </a:blip>
                    <a:stretch>
                      <a:fillRect/>
                    </a:stretch>
                  </pic:blipFill>
                  <pic:spPr>
                    <a:xfrm>
                      <a:off x="0" y="0"/>
                      <a:ext cx="3957676" cy="3238100"/>
                    </a:xfrm>
                    <a:prstGeom prst="rect">
                      <a:avLst/>
                    </a:prstGeom>
                  </pic:spPr>
                </pic:pic>
              </a:graphicData>
            </a:graphic>
          </wp:inline>
        </w:drawing>
      </w:r>
    </w:p>
    <w:p w14:paraId="2F9DA9E6" w14:textId="77777777" w:rsidR="002C6C46" w:rsidRDefault="002C6C46" w:rsidP="002C6C46">
      <w:pPr>
        <w:jc w:val="both"/>
        <w:rPr>
          <w:rFonts w:ascii="Times New Roman" w:hAnsi="Times New Roman" w:cs="Times New Roman"/>
          <w:b/>
        </w:rPr>
      </w:pPr>
    </w:p>
    <w:p w14:paraId="4E8BA250" w14:textId="77777777" w:rsidR="002C6C46" w:rsidRDefault="002C6C46" w:rsidP="002C6C46">
      <w:pPr>
        <w:jc w:val="both"/>
        <w:rPr>
          <w:rFonts w:ascii="Times New Roman" w:hAnsi="Times New Roman" w:cs="Times New Roman"/>
          <w:b/>
        </w:rPr>
      </w:pPr>
      <w:r>
        <w:rPr>
          <w:rFonts w:ascii="Times New Roman" w:hAnsi="Times New Roman" w:cs="Times New Roman"/>
          <w:b/>
        </w:rPr>
        <w:t>Figure 2. Odds ratios for expressing technocratic demands with public authorities (not pro-deregulation) as a reference category.</w:t>
      </w:r>
    </w:p>
    <w:p w14:paraId="5DDEB505" w14:textId="77777777" w:rsidR="002C6C46" w:rsidRDefault="002C6C46" w:rsidP="002C6C46">
      <w:pPr>
        <w:jc w:val="both"/>
        <w:rPr>
          <w:rFonts w:ascii="Times New Roman" w:hAnsi="Times New Roman" w:cs="Times New Roman"/>
          <w:b/>
        </w:rPr>
      </w:pPr>
    </w:p>
    <w:p w14:paraId="43D3787A" w14:textId="77777777" w:rsidR="002C6C46" w:rsidRDefault="002C6C46" w:rsidP="002C6C46">
      <w:pPr>
        <w:jc w:val="both"/>
        <w:rPr>
          <w:rFonts w:ascii="Times New Roman" w:hAnsi="Times New Roman" w:cs="Times New Roman"/>
          <w:b/>
        </w:rPr>
      </w:pPr>
      <w:r>
        <w:rPr>
          <w:rFonts w:ascii="Times New Roman" w:hAnsi="Times New Roman" w:cs="Times New Roman"/>
          <w:b/>
          <w:noProof/>
          <w:lang w:val="en-GB" w:eastAsia="en-GB"/>
        </w:rPr>
        <w:drawing>
          <wp:inline distT="0" distB="0" distL="0" distR="0" wp14:anchorId="30C81F83" wp14:editId="086DC1BB">
            <wp:extent cx="3970585" cy="3248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ults2.png"/>
                    <pic:cNvPicPr/>
                  </pic:nvPicPr>
                  <pic:blipFill>
                    <a:blip r:embed="rId12">
                      <a:extLst>
                        <a:ext uri="{28A0092B-C50C-407E-A947-70E740481C1C}">
                          <a14:useLocalDpi xmlns:a14="http://schemas.microsoft.com/office/drawing/2010/main" val="0"/>
                        </a:ext>
                      </a:extLst>
                    </a:blip>
                    <a:stretch>
                      <a:fillRect/>
                    </a:stretch>
                  </pic:blipFill>
                  <pic:spPr>
                    <a:xfrm>
                      <a:off x="0" y="0"/>
                      <a:ext cx="3985139" cy="3260568"/>
                    </a:xfrm>
                    <a:prstGeom prst="rect">
                      <a:avLst/>
                    </a:prstGeom>
                  </pic:spPr>
                </pic:pic>
              </a:graphicData>
            </a:graphic>
          </wp:inline>
        </w:drawing>
      </w:r>
    </w:p>
    <w:p w14:paraId="22C1BD3C" w14:textId="77777777" w:rsidR="002C6C46" w:rsidRDefault="002C6C46" w:rsidP="002C6C46">
      <w:pPr>
        <w:jc w:val="both"/>
        <w:rPr>
          <w:rFonts w:ascii="Times New Roman" w:hAnsi="Times New Roman" w:cs="Times New Roman"/>
          <w:b/>
        </w:rPr>
      </w:pPr>
    </w:p>
    <w:p w14:paraId="7D856343" w14:textId="77777777" w:rsidR="002C6C46" w:rsidRDefault="002C6C46" w:rsidP="002C6C46">
      <w:pPr>
        <w:rPr>
          <w:rFonts w:ascii="Times New Roman" w:hAnsi="Times New Roman" w:cs="Times New Roman"/>
          <w:b/>
        </w:rPr>
      </w:pPr>
      <w:r>
        <w:rPr>
          <w:rFonts w:ascii="Times New Roman" w:hAnsi="Times New Roman" w:cs="Times New Roman"/>
          <w:b/>
        </w:rPr>
        <w:br w:type="page"/>
      </w:r>
    </w:p>
    <w:p w14:paraId="013DF196" w14:textId="77777777" w:rsidR="002C6C46" w:rsidRDefault="002C6C46" w:rsidP="002C6C46">
      <w:pPr>
        <w:jc w:val="both"/>
        <w:rPr>
          <w:rFonts w:ascii="Times New Roman" w:hAnsi="Times New Roman" w:cs="Times New Roman"/>
          <w:b/>
        </w:rPr>
      </w:pPr>
      <w:r>
        <w:rPr>
          <w:rFonts w:ascii="Times New Roman" w:hAnsi="Times New Roman" w:cs="Times New Roman"/>
          <w:b/>
        </w:rPr>
        <w:lastRenderedPageBreak/>
        <w:t>Figure 3. Odds ratios for expressing deregulatory demands with cross-sectoral business as a reference category.</w:t>
      </w:r>
    </w:p>
    <w:p w14:paraId="4069BEDD" w14:textId="77777777" w:rsidR="002C6C46" w:rsidRDefault="002C6C46" w:rsidP="002C6C46">
      <w:pPr>
        <w:jc w:val="both"/>
        <w:rPr>
          <w:rFonts w:ascii="Times New Roman" w:hAnsi="Times New Roman" w:cs="Times New Roman"/>
          <w:b/>
        </w:rPr>
      </w:pPr>
    </w:p>
    <w:p w14:paraId="33CC070B" w14:textId="77777777" w:rsidR="002C6C46" w:rsidRDefault="002C6C46" w:rsidP="002C6C46">
      <w:pPr>
        <w:jc w:val="both"/>
        <w:rPr>
          <w:rFonts w:ascii="Times New Roman" w:hAnsi="Times New Roman" w:cs="Times New Roman"/>
          <w:b/>
        </w:rPr>
      </w:pPr>
      <w:r>
        <w:rPr>
          <w:rFonts w:ascii="Times New Roman" w:hAnsi="Times New Roman" w:cs="Times New Roman"/>
          <w:b/>
          <w:noProof/>
          <w:lang w:val="en-GB" w:eastAsia="en-GB"/>
        </w:rPr>
        <w:drawing>
          <wp:inline distT="0" distB="0" distL="0" distR="0" wp14:anchorId="75ADCDF1" wp14:editId="27C27A6F">
            <wp:extent cx="3937635" cy="3221701"/>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ults3.png"/>
                    <pic:cNvPicPr/>
                  </pic:nvPicPr>
                  <pic:blipFill>
                    <a:blip r:embed="rId13">
                      <a:extLst>
                        <a:ext uri="{28A0092B-C50C-407E-A947-70E740481C1C}">
                          <a14:useLocalDpi xmlns:a14="http://schemas.microsoft.com/office/drawing/2010/main" val="0"/>
                        </a:ext>
                      </a:extLst>
                    </a:blip>
                    <a:stretch>
                      <a:fillRect/>
                    </a:stretch>
                  </pic:blipFill>
                  <pic:spPr>
                    <a:xfrm>
                      <a:off x="0" y="0"/>
                      <a:ext cx="3960433" cy="3240354"/>
                    </a:xfrm>
                    <a:prstGeom prst="rect">
                      <a:avLst/>
                    </a:prstGeom>
                  </pic:spPr>
                </pic:pic>
              </a:graphicData>
            </a:graphic>
          </wp:inline>
        </w:drawing>
      </w:r>
    </w:p>
    <w:p w14:paraId="3536FF5F" w14:textId="77777777" w:rsidR="002C6C46" w:rsidRDefault="002C6C46" w:rsidP="002C6C46">
      <w:pPr>
        <w:jc w:val="both"/>
        <w:rPr>
          <w:rFonts w:ascii="Times New Roman" w:hAnsi="Times New Roman" w:cs="Times New Roman"/>
          <w:b/>
        </w:rPr>
      </w:pPr>
    </w:p>
    <w:p w14:paraId="19EFB934" w14:textId="77777777" w:rsidR="002C6C46" w:rsidRDefault="002C6C46" w:rsidP="002C6C46">
      <w:pPr>
        <w:jc w:val="both"/>
        <w:rPr>
          <w:rFonts w:ascii="Times New Roman" w:hAnsi="Times New Roman" w:cs="Times New Roman"/>
          <w:b/>
        </w:rPr>
      </w:pPr>
      <w:r>
        <w:rPr>
          <w:rFonts w:ascii="Times New Roman" w:hAnsi="Times New Roman" w:cs="Times New Roman"/>
          <w:b/>
        </w:rPr>
        <w:t>Figure 4. Odds ratios for expressing participatory demands with public interest organisations as a reference category.</w:t>
      </w:r>
    </w:p>
    <w:p w14:paraId="1CA0C3A1" w14:textId="77777777" w:rsidR="002C6C46" w:rsidRDefault="002C6C46" w:rsidP="002C6C46">
      <w:pPr>
        <w:jc w:val="both"/>
        <w:rPr>
          <w:rFonts w:ascii="Times New Roman" w:hAnsi="Times New Roman" w:cs="Times New Roman"/>
          <w:b/>
        </w:rPr>
      </w:pPr>
    </w:p>
    <w:p w14:paraId="5E7DB2C1" w14:textId="77777777" w:rsidR="002C6C46" w:rsidRPr="00C04A27" w:rsidRDefault="002C6C46" w:rsidP="002C6C46">
      <w:pPr>
        <w:jc w:val="both"/>
        <w:rPr>
          <w:rFonts w:ascii="Times New Roman" w:hAnsi="Times New Roman" w:cs="Times New Roman"/>
          <w:b/>
        </w:rPr>
      </w:pPr>
      <w:r>
        <w:rPr>
          <w:rFonts w:ascii="Times New Roman" w:hAnsi="Times New Roman" w:cs="Times New Roman"/>
          <w:b/>
          <w:noProof/>
          <w:lang w:val="en-GB" w:eastAsia="en-GB"/>
        </w:rPr>
        <w:drawing>
          <wp:inline distT="0" distB="0" distL="0" distR="0" wp14:anchorId="6ADFACBE" wp14:editId="21F2EC9C">
            <wp:extent cx="3968045" cy="3246582"/>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ults4.png"/>
                    <pic:cNvPicPr/>
                  </pic:nvPicPr>
                  <pic:blipFill>
                    <a:blip r:embed="rId14">
                      <a:extLst>
                        <a:ext uri="{28A0092B-C50C-407E-A947-70E740481C1C}">
                          <a14:useLocalDpi xmlns:a14="http://schemas.microsoft.com/office/drawing/2010/main" val="0"/>
                        </a:ext>
                      </a:extLst>
                    </a:blip>
                    <a:stretch>
                      <a:fillRect/>
                    </a:stretch>
                  </pic:blipFill>
                  <pic:spPr>
                    <a:xfrm>
                      <a:off x="0" y="0"/>
                      <a:ext cx="3980889" cy="3257091"/>
                    </a:xfrm>
                    <a:prstGeom prst="rect">
                      <a:avLst/>
                    </a:prstGeom>
                  </pic:spPr>
                </pic:pic>
              </a:graphicData>
            </a:graphic>
          </wp:inline>
        </w:drawing>
      </w:r>
    </w:p>
    <w:p w14:paraId="3CA347E4" w14:textId="77777777" w:rsidR="004E6FB7" w:rsidRDefault="004E6FB7" w:rsidP="00F3480E">
      <w:pPr>
        <w:widowControl w:val="0"/>
        <w:autoSpaceDE w:val="0"/>
        <w:autoSpaceDN w:val="0"/>
        <w:adjustRightInd w:val="0"/>
        <w:rPr>
          <w:rFonts w:ascii="Times New Roman" w:hAnsi="Times New Roman" w:cs="Times New Roman"/>
          <w:b/>
          <w:sz w:val="22"/>
          <w:szCs w:val="22"/>
        </w:rPr>
      </w:pPr>
    </w:p>
    <w:p w14:paraId="724F2693" w14:textId="791C01A0" w:rsidR="004E6FB7" w:rsidRDefault="004E6FB7" w:rsidP="00F3480E">
      <w:pPr>
        <w:widowControl w:val="0"/>
        <w:autoSpaceDE w:val="0"/>
        <w:autoSpaceDN w:val="0"/>
        <w:adjustRightInd w:val="0"/>
        <w:rPr>
          <w:rFonts w:ascii="Times New Roman" w:hAnsi="Times New Roman" w:cs="Times New Roman"/>
          <w:b/>
          <w:sz w:val="22"/>
          <w:szCs w:val="22"/>
        </w:rPr>
      </w:pPr>
    </w:p>
    <w:p w14:paraId="1C207B58" w14:textId="77777777" w:rsidR="006610ED" w:rsidRDefault="006610ED" w:rsidP="00F3480E">
      <w:pPr>
        <w:widowControl w:val="0"/>
        <w:autoSpaceDE w:val="0"/>
        <w:autoSpaceDN w:val="0"/>
        <w:adjustRightInd w:val="0"/>
        <w:rPr>
          <w:rFonts w:ascii="Times New Roman" w:hAnsi="Times New Roman" w:cs="Times New Roman"/>
          <w:b/>
          <w:sz w:val="22"/>
          <w:szCs w:val="22"/>
        </w:rPr>
      </w:pPr>
    </w:p>
    <w:p w14:paraId="252894B2" w14:textId="77777777" w:rsidR="006610ED" w:rsidRDefault="006610ED" w:rsidP="00F3480E">
      <w:pPr>
        <w:widowControl w:val="0"/>
        <w:autoSpaceDE w:val="0"/>
        <w:autoSpaceDN w:val="0"/>
        <w:adjustRightInd w:val="0"/>
        <w:rPr>
          <w:rFonts w:ascii="Times New Roman" w:hAnsi="Times New Roman" w:cs="Times New Roman"/>
          <w:b/>
          <w:sz w:val="22"/>
          <w:szCs w:val="22"/>
        </w:rPr>
      </w:pPr>
    </w:p>
    <w:p w14:paraId="20DD2D35" w14:textId="77777777" w:rsidR="006610ED" w:rsidRDefault="006610ED" w:rsidP="00F3480E">
      <w:pPr>
        <w:widowControl w:val="0"/>
        <w:autoSpaceDE w:val="0"/>
        <w:autoSpaceDN w:val="0"/>
        <w:adjustRightInd w:val="0"/>
        <w:rPr>
          <w:rFonts w:ascii="Times New Roman" w:hAnsi="Times New Roman" w:cs="Times New Roman"/>
          <w:b/>
          <w:sz w:val="22"/>
          <w:szCs w:val="22"/>
        </w:rPr>
      </w:pPr>
    </w:p>
    <w:p w14:paraId="601C1B1A" w14:textId="77777777" w:rsidR="006610ED" w:rsidRDefault="006610ED" w:rsidP="00F3480E">
      <w:pPr>
        <w:widowControl w:val="0"/>
        <w:autoSpaceDE w:val="0"/>
        <w:autoSpaceDN w:val="0"/>
        <w:adjustRightInd w:val="0"/>
        <w:rPr>
          <w:rFonts w:ascii="Times New Roman" w:hAnsi="Times New Roman" w:cs="Times New Roman"/>
          <w:b/>
          <w:sz w:val="22"/>
          <w:szCs w:val="22"/>
        </w:rPr>
      </w:pPr>
    </w:p>
    <w:p w14:paraId="31488DE9" w14:textId="77777777" w:rsidR="006610ED" w:rsidRDefault="006610ED" w:rsidP="00F3480E">
      <w:pPr>
        <w:widowControl w:val="0"/>
        <w:autoSpaceDE w:val="0"/>
        <w:autoSpaceDN w:val="0"/>
        <w:adjustRightInd w:val="0"/>
        <w:rPr>
          <w:rFonts w:ascii="Times New Roman" w:hAnsi="Times New Roman" w:cs="Times New Roman"/>
          <w:b/>
          <w:sz w:val="22"/>
          <w:szCs w:val="22"/>
        </w:rPr>
      </w:pPr>
    </w:p>
    <w:p w14:paraId="4778F8D6" w14:textId="77777777" w:rsidR="006610ED" w:rsidRDefault="006610ED" w:rsidP="00F3480E">
      <w:pPr>
        <w:widowControl w:val="0"/>
        <w:autoSpaceDE w:val="0"/>
        <w:autoSpaceDN w:val="0"/>
        <w:adjustRightInd w:val="0"/>
        <w:rPr>
          <w:rFonts w:ascii="Times New Roman" w:hAnsi="Times New Roman" w:cs="Times New Roman"/>
          <w:b/>
          <w:sz w:val="22"/>
          <w:szCs w:val="22"/>
        </w:rPr>
      </w:pPr>
    </w:p>
    <w:p w14:paraId="06EF17BE" w14:textId="77777777" w:rsidR="006610ED" w:rsidRDefault="006610ED" w:rsidP="00F3480E">
      <w:pPr>
        <w:widowControl w:val="0"/>
        <w:autoSpaceDE w:val="0"/>
        <w:autoSpaceDN w:val="0"/>
        <w:adjustRightInd w:val="0"/>
        <w:rPr>
          <w:rFonts w:ascii="Times New Roman" w:hAnsi="Times New Roman" w:cs="Times New Roman"/>
          <w:b/>
          <w:sz w:val="22"/>
          <w:szCs w:val="22"/>
        </w:rPr>
      </w:pPr>
    </w:p>
    <w:p w14:paraId="1D6E7A04" w14:textId="77777777" w:rsidR="006610ED" w:rsidRDefault="006610ED" w:rsidP="00F3480E">
      <w:pPr>
        <w:widowControl w:val="0"/>
        <w:autoSpaceDE w:val="0"/>
        <w:autoSpaceDN w:val="0"/>
        <w:adjustRightInd w:val="0"/>
        <w:rPr>
          <w:rFonts w:ascii="Times New Roman" w:hAnsi="Times New Roman" w:cs="Times New Roman"/>
          <w:b/>
          <w:sz w:val="22"/>
          <w:szCs w:val="22"/>
        </w:rPr>
      </w:pPr>
    </w:p>
    <w:p w14:paraId="324BA274" w14:textId="77777777" w:rsidR="006610ED" w:rsidRDefault="006610ED" w:rsidP="00F3480E">
      <w:pPr>
        <w:widowControl w:val="0"/>
        <w:autoSpaceDE w:val="0"/>
        <w:autoSpaceDN w:val="0"/>
        <w:adjustRightInd w:val="0"/>
        <w:rPr>
          <w:rFonts w:ascii="Times New Roman" w:hAnsi="Times New Roman" w:cs="Times New Roman"/>
          <w:b/>
          <w:sz w:val="22"/>
          <w:szCs w:val="22"/>
        </w:rPr>
      </w:pPr>
    </w:p>
    <w:p w14:paraId="1AA3FC0F" w14:textId="77777777" w:rsidR="006610ED" w:rsidRDefault="006610ED" w:rsidP="00F3480E">
      <w:pPr>
        <w:widowControl w:val="0"/>
        <w:autoSpaceDE w:val="0"/>
        <w:autoSpaceDN w:val="0"/>
        <w:adjustRightInd w:val="0"/>
        <w:rPr>
          <w:rFonts w:ascii="Times New Roman" w:hAnsi="Times New Roman" w:cs="Times New Roman"/>
          <w:b/>
          <w:sz w:val="22"/>
          <w:szCs w:val="22"/>
        </w:rPr>
      </w:pPr>
    </w:p>
    <w:p w14:paraId="20097C9B" w14:textId="77777777" w:rsidR="006610ED" w:rsidRDefault="006610ED" w:rsidP="00F3480E">
      <w:pPr>
        <w:widowControl w:val="0"/>
        <w:autoSpaceDE w:val="0"/>
        <w:autoSpaceDN w:val="0"/>
        <w:adjustRightInd w:val="0"/>
        <w:rPr>
          <w:rFonts w:ascii="Times New Roman" w:hAnsi="Times New Roman" w:cs="Times New Roman"/>
          <w:b/>
          <w:sz w:val="22"/>
          <w:szCs w:val="22"/>
        </w:rPr>
      </w:pPr>
    </w:p>
    <w:p w14:paraId="26FDFFC8" w14:textId="77777777" w:rsidR="006610ED" w:rsidRDefault="006610ED" w:rsidP="00F3480E">
      <w:pPr>
        <w:widowControl w:val="0"/>
        <w:autoSpaceDE w:val="0"/>
        <w:autoSpaceDN w:val="0"/>
        <w:adjustRightInd w:val="0"/>
        <w:rPr>
          <w:rFonts w:ascii="Times New Roman" w:hAnsi="Times New Roman" w:cs="Times New Roman"/>
          <w:b/>
          <w:sz w:val="22"/>
          <w:szCs w:val="22"/>
        </w:rPr>
      </w:pPr>
    </w:p>
    <w:p w14:paraId="23FB54DA" w14:textId="4F1F9C45" w:rsidR="0016740E" w:rsidRPr="0016740E" w:rsidRDefault="0016740E" w:rsidP="007663EB">
      <w:pPr>
        <w:widowControl w:val="0"/>
        <w:autoSpaceDE w:val="0"/>
        <w:autoSpaceDN w:val="0"/>
        <w:adjustRightInd w:val="0"/>
        <w:rPr>
          <w:rFonts w:ascii="Times New Roman" w:hAnsi="Times New Roman" w:cs="Times New Roman"/>
        </w:rPr>
      </w:pPr>
    </w:p>
    <w:p w14:paraId="0D021564" w14:textId="77777777" w:rsidR="0016740E" w:rsidRDefault="0016740E" w:rsidP="00F3480E">
      <w:pPr>
        <w:widowControl w:val="0"/>
        <w:autoSpaceDE w:val="0"/>
        <w:autoSpaceDN w:val="0"/>
        <w:adjustRightInd w:val="0"/>
        <w:rPr>
          <w:rFonts w:ascii="Times New Roman" w:hAnsi="Times New Roman" w:cs="Times New Roman"/>
          <w:b/>
          <w:sz w:val="22"/>
          <w:szCs w:val="22"/>
        </w:rPr>
      </w:pPr>
    </w:p>
    <w:p w14:paraId="67E49CA8" w14:textId="77777777" w:rsidR="0016740E" w:rsidRDefault="0016740E" w:rsidP="00F3480E">
      <w:pPr>
        <w:widowControl w:val="0"/>
        <w:autoSpaceDE w:val="0"/>
        <w:autoSpaceDN w:val="0"/>
        <w:adjustRightInd w:val="0"/>
        <w:rPr>
          <w:rFonts w:ascii="Times New Roman" w:hAnsi="Times New Roman" w:cs="Times New Roman"/>
          <w:b/>
          <w:sz w:val="22"/>
          <w:szCs w:val="22"/>
        </w:rPr>
      </w:pPr>
    </w:p>
    <w:p w14:paraId="485ABC03" w14:textId="77777777" w:rsidR="0016740E" w:rsidRDefault="0016740E" w:rsidP="00F3480E">
      <w:pPr>
        <w:widowControl w:val="0"/>
        <w:autoSpaceDE w:val="0"/>
        <w:autoSpaceDN w:val="0"/>
        <w:adjustRightInd w:val="0"/>
        <w:rPr>
          <w:rFonts w:ascii="Times New Roman" w:hAnsi="Times New Roman" w:cs="Times New Roman"/>
          <w:b/>
          <w:sz w:val="22"/>
          <w:szCs w:val="22"/>
        </w:rPr>
      </w:pPr>
    </w:p>
    <w:p w14:paraId="5BEB96E8" w14:textId="77777777" w:rsidR="0016740E" w:rsidRDefault="0016740E" w:rsidP="00F3480E">
      <w:pPr>
        <w:widowControl w:val="0"/>
        <w:autoSpaceDE w:val="0"/>
        <w:autoSpaceDN w:val="0"/>
        <w:adjustRightInd w:val="0"/>
        <w:rPr>
          <w:rFonts w:ascii="Times New Roman" w:hAnsi="Times New Roman" w:cs="Times New Roman"/>
          <w:b/>
          <w:sz w:val="22"/>
          <w:szCs w:val="22"/>
        </w:rPr>
      </w:pPr>
    </w:p>
    <w:p w14:paraId="7809179F" w14:textId="77777777" w:rsidR="0016740E" w:rsidRDefault="0016740E" w:rsidP="00F3480E">
      <w:pPr>
        <w:widowControl w:val="0"/>
        <w:autoSpaceDE w:val="0"/>
        <w:autoSpaceDN w:val="0"/>
        <w:adjustRightInd w:val="0"/>
        <w:rPr>
          <w:rFonts w:ascii="Times New Roman" w:hAnsi="Times New Roman" w:cs="Times New Roman"/>
          <w:b/>
          <w:sz w:val="22"/>
          <w:szCs w:val="22"/>
        </w:rPr>
      </w:pPr>
    </w:p>
    <w:p w14:paraId="7BF2F985" w14:textId="77777777" w:rsidR="0016740E" w:rsidRDefault="0016740E" w:rsidP="00F3480E">
      <w:pPr>
        <w:widowControl w:val="0"/>
        <w:autoSpaceDE w:val="0"/>
        <w:autoSpaceDN w:val="0"/>
        <w:adjustRightInd w:val="0"/>
        <w:rPr>
          <w:rFonts w:ascii="Times New Roman" w:hAnsi="Times New Roman" w:cs="Times New Roman"/>
          <w:b/>
          <w:sz w:val="22"/>
          <w:szCs w:val="22"/>
        </w:rPr>
      </w:pPr>
    </w:p>
    <w:p w14:paraId="335B6AB7" w14:textId="77777777" w:rsidR="0016740E" w:rsidRDefault="0016740E" w:rsidP="00F3480E">
      <w:pPr>
        <w:widowControl w:val="0"/>
        <w:autoSpaceDE w:val="0"/>
        <w:autoSpaceDN w:val="0"/>
        <w:adjustRightInd w:val="0"/>
        <w:rPr>
          <w:rFonts w:ascii="Times New Roman" w:hAnsi="Times New Roman" w:cs="Times New Roman"/>
          <w:b/>
          <w:sz w:val="22"/>
          <w:szCs w:val="22"/>
        </w:rPr>
      </w:pPr>
    </w:p>
    <w:p w14:paraId="5519AAA6" w14:textId="16129BE7" w:rsidR="0016740E" w:rsidRDefault="0016740E" w:rsidP="00F3480E">
      <w:pPr>
        <w:widowControl w:val="0"/>
        <w:autoSpaceDE w:val="0"/>
        <w:autoSpaceDN w:val="0"/>
        <w:adjustRightInd w:val="0"/>
        <w:rPr>
          <w:rFonts w:ascii="Times New Roman" w:hAnsi="Times New Roman" w:cs="Times New Roman"/>
          <w:b/>
          <w:sz w:val="22"/>
          <w:szCs w:val="22"/>
        </w:rPr>
      </w:pPr>
    </w:p>
    <w:p w14:paraId="54B476AC" w14:textId="77777777" w:rsidR="0016740E" w:rsidRPr="004E6FB7" w:rsidRDefault="0016740E" w:rsidP="00F3480E">
      <w:pPr>
        <w:widowControl w:val="0"/>
        <w:autoSpaceDE w:val="0"/>
        <w:autoSpaceDN w:val="0"/>
        <w:adjustRightInd w:val="0"/>
        <w:rPr>
          <w:rFonts w:ascii="Times New Roman" w:hAnsi="Times New Roman" w:cs="Times New Roman"/>
          <w:b/>
          <w:sz w:val="22"/>
          <w:szCs w:val="22"/>
        </w:rPr>
      </w:pPr>
    </w:p>
    <w:sectPr w:rsidR="0016740E" w:rsidRPr="004E6FB7" w:rsidSect="009A1C3F">
      <w:footerReference w:type="even" r:id="rId15"/>
      <w:footerReference w:type="default" r:id="rId16"/>
      <w:pgSz w:w="11894" w:h="16834"/>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46D90" w14:textId="77777777" w:rsidR="00165734" w:rsidRDefault="00165734" w:rsidP="00F56901">
      <w:r>
        <w:separator/>
      </w:r>
    </w:p>
  </w:endnote>
  <w:endnote w:type="continuationSeparator" w:id="0">
    <w:p w14:paraId="198C6396" w14:textId="77777777" w:rsidR="00165734" w:rsidRDefault="00165734" w:rsidP="00F5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ime">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C1DF9" w14:textId="77777777" w:rsidR="007A7816" w:rsidRDefault="007A7816" w:rsidP="00D149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271923" w14:textId="77777777" w:rsidR="007A7816" w:rsidRDefault="007A781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9E533" w14:textId="77777777" w:rsidR="007A7816" w:rsidRDefault="007A7816" w:rsidP="00D149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7D6A">
      <w:rPr>
        <w:rStyle w:val="PageNumber"/>
        <w:noProof/>
      </w:rPr>
      <w:t>36</w:t>
    </w:r>
    <w:r>
      <w:rPr>
        <w:rStyle w:val="PageNumber"/>
      </w:rPr>
      <w:fldChar w:fldCharType="end"/>
    </w:r>
  </w:p>
  <w:p w14:paraId="39321E1C" w14:textId="77777777" w:rsidR="007A7816" w:rsidRDefault="007A781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26663" w14:textId="77777777" w:rsidR="00165734" w:rsidRDefault="00165734" w:rsidP="00F56901">
      <w:r>
        <w:separator/>
      </w:r>
    </w:p>
  </w:footnote>
  <w:footnote w:type="continuationSeparator" w:id="0">
    <w:p w14:paraId="413625AA" w14:textId="77777777" w:rsidR="00165734" w:rsidRDefault="00165734" w:rsidP="00F5690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F5D9F"/>
    <w:multiLevelType w:val="hybridMultilevel"/>
    <w:tmpl w:val="E640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07E"/>
    <w:rsid w:val="000006F3"/>
    <w:rsid w:val="000027AA"/>
    <w:rsid w:val="00005DEC"/>
    <w:rsid w:val="00014D73"/>
    <w:rsid w:val="00025920"/>
    <w:rsid w:val="00033E7C"/>
    <w:rsid w:val="00036C6F"/>
    <w:rsid w:val="00037686"/>
    <w:rsid w:val="000410F3"/>
    <w:rsid w:val="00063593"/>
    <w:rsid w:val="0006537B"/>
    <w:rsid w:val="0006615D"/>
    <w:rsid w:val="000675D8"/>
    <w:rsid w:val="0007134B"/>
    <w:rsid w:val="00073322"/>
    <w:rsid w:val="0007358E"/>
    <w:rsid w:val="00074845"/>
    <w:rsid w:val="00083E4D"/>
    <w:rsid w:val="00086B99"/>
    <w:rsid w:val="00093D4F"/>
    <w:rsid w:val="00095EEE"/>
    <w:rsid w:val="000B5A5E"/>
    <w:rsid w:val="000B6935"/>
    <w:rsid w:val="000B697D"/>
    <w:rsid w:val="000B6F26"/>
    <w:rsid w:val="000C17FC"/>
    <w:rsid w:val="000C3110"/>
    <w:rsid w:val="000C5963"/>
    <w:rsid w:val="000C690A"/>
    <w:rsid w:val="000E4D49"/>
    <w:rsid w:val="000F7A0C"/>
    <w:rsid w:val="001035FA"/>
    <w:rsid w:val="00103914"/>
    <w:rsid w:val="0010753C"/>
    <w:rsid w:val="001118AD"/>
    <w:rsid w:val="00113D94"/>
    <w:rsid w:val="0011702A"/>
    <w:rsid w:val="00133589"/>
    <w:rsid w:val="001432E6"/>
    <w:rsid w:val="001537FB"/>
    <w:rsid w:val="00165734"/>
    <w:rsid w:val="0016740E"/>
    <w:rsid w:val="00171D5B"/>
    <w:rsid w:val="00177E5D"/>
    <w:rsid w:val="00180BF7"/>
    <w:rsid w:val="00183505"/>
    <w:rsid w:val="00185E0B"/>
    <w:rsid w:val="00185EBD"/>
    <w:rsid w:val="00192FF9"/>
    <w:rsid w:val="00196466"/>
    <w:rsid w:val="001A1670"/>
    <w:rsid w:val="001A24AF"/>
    <w:rsid w:val="001A6BA1"/>
    <w:rsid w:val="001B5D48"/>
    <w:rsid w:val="001C05A4"/>
    <w:rsid w:val="001D03B1"/>
    <w:rsid w:val="001D3B73"/>
    <w:rsid w:val="001D6D49"/>
    <w:rsid w:val="001E51B0"/>
    <w:rsid w:val="001F3ECB"/>
    <w:rsid w:val="0020166C"/>
    <w:rsid w:val="00205380"/>
    <w:rsid w:val="002112DF"/>
    <w:rsid w:val="00215319"/>
    <w:rsid w:val="00215FCD"/>
    <w:rsid w:val="0022706B"/>
    <w:rsid w:val="002359DD"/>
    <w:rsid w:val="0024312D"/>
    <w:rsid w:val="00246C96"/>
    <w:rsid w:val="00255072"/>
    <w:rsid w:val="002600C4"/>
    <w:rsid w:val="002606E0"/>
    <w:rsid w:val="00261BF9"/>
    <w:rsid w:val="002632E7"/>
    <w:rsid w:val="00271C20"/>
    <w:rsid w:val="00273CA4"/>
    <w:rsid w:val="00277D13"/>
    <w:rsid w:val="00281633"/>
    <w:rsid w:val="00281FE9"/>
    <w:rsid w:val="0028783A"/>
    <w:rsid w:val="00291B46"/>
    <w:rsid w:val="00292746"/>
    <w:rsid w:val="00294106"/>
    <w:rsid w:val="002A1992"/>
    <w:rsid w:val="002A731B"/>
    <w:rsid w:val="002A77B1"/>
    <w:rsid w:val="002B48ED"/>
    <w:rsid w:val="002C1A92"/>
    <w:rsid w:val="002C4F8C"/>
    <w:rsid w:val="002C6C46"/>
    <w:rsid w:val="002D1837"/>
    <w:rsid w:val="002D33B2"/>
    <w:rsid w:val="002E56F8"/>
    <w:rsid w:val="002E5D07"/>
    <w:rsid w:val="002E795C"/>
    <w:rsid w:val="002F0297"/>
    <w:rsid w:val="002F27BB"/>
    <w:rsid w:val="00300195"/>
    <w:rsid w:val="00304AE3"/>
    <w:rsid w:val="003115CA"/>
    <w:rsid w:val="00313AA4"/>
    <w:rsid w:val="003244A2"/>
    <w:rsid w:val="00326091"/>
    <w:rsid w:val="003438AD"/>
    <w:rsid w:val="003560C9"/>
    <w:rsid w:val="003560E4"/>
    <w:rsid w:val="00360828"/>
    <w:rsid w:val="00364DB8"/>
    <w:rsid w:val="003658BE"/>
    <w:rsid w:val="003659C5"/>
    <w:rsid w:val="00385A55"/>
    <w:rsid w:val="00386B99"/>
    <w:rsid w:val="00392AFD"/>
    <w:rsid w:val="00396A95"/>
    <w:rsid w:val="003A22FA"/>
    <w:rsid w:val="003A479B"/>
    <w:rsid w:val="003A7715"/>
    <w:rsid w:val="003B09EC"/>
    <w:rsid w:val="003C00C4"/>
    <w:rsid w:val="003C4CE5"/>
    <w:rsid w:val="003C5E0E"/>
    <w:rsid w:val="003D0361"/>
    <w:rsid w:val="003D10A9"/>
    <w:rsid w:val="003D115C"/>
    <w:rsid w:val="003D56B7"/>
    <w:rsid w:val="003E1C78"/>
    <w:rsid w:val="003E4798"/>
    <w:rsid w:val="003F0583"/>
    <w:rsid w:val="003F164B"/>
    <w:rsid w:val="003F2105"/>
    <w:rsid w:val="003F38DD"/>
    <w:rsid w:val="003F5D23"/>
    <w:rsid w:val="003F75E2"/>
    <w:rsid w:val="004037D6"/>
    <w:rsid w:val="00411722"/>
    <w:rsid w:val="00421B03"/>
    <w:rsid w:val="004225AC"/>
    <w:rsid w:val="00422AA3"/>
    <w:rsid w:val="00431E19"/>
    <w:rsid w:val="004338EB"/>
    <w:rsid w:val="004355A1"/>
    <w:rsid w:val="0044173E"/>
    <w:rsid w:val="00447D6A"/>
    <w:rsid w:val="0045682D"/>
    <w:rsid w:val="0046796A"/>
    <w:rsid w:val="00471B5E"/>
    <w:rsid w:val="00475CDC"/>
    <w:rsid w:val="00476AF8"/>
    <w:rsid w:val="00485A74"/>
    <w:rsid w:val="004862F3"/>
    <w:rsid w:val="0049049B"/>
    <w:rsid w:val="00495265"/>
    <w:rsid w:val="00497570"/>
    <w:rsid w:val="00497BFB"/>
    <w:rsid w:val="004B4441"/>
    <w:rsid w:val="004B537B"/>
    <w:rsid w:val="004B7F17"/>
    <w:rsid w:val="004C05FA"/>
    <w:rsid w:val="004C0C77"/>
    <w:rsid w:val="004D02A5"/>
    <w:rsid w:val="004D0715"/>
    <w:rsid w:val="004D69A5"/>
    <w:rsid w:val="004E407B"/>
    <w:rsid w:val="004E4DC8"/>
    <w:rsid w:val="004E4F43"/>
    <w:rsid w:val="004E6FB7"/>
    <w:rsid w:val="004F0F4E"/>
    <w:rsid w:val="004F1B43"/>
    <w:rsid w:val="004F2E06"/>
    <w:rsid w:val="00505CEB"/>
    <w:rsid w:val="005068E6"/>
    <w:rsid w:val="00525070"/>
    <w:rsid w:val="0052637A"/>
    <w:rsid w:val="005310AB"/>
    <w:rsid w:val="005318DC"/>
    <w:rsid w:val="00540315"/>
    <w:rsid w:val="00540DA6"/>
    <w:rsid w:val="00541588"/>
    <w:rsid w:val="005429F6"/>
    <w:rsid w:val="00544492"/>
    <w:rsid w:val="005459C0"/>
    <w:rsid w:val="00546EB2"/>
    <w:rsid w:val="00552D25"/>
    <w:rsid w:val="00553AAD"/>
    <w:rsid w:val="00560B8E"/>
    <w:rsid w:val="00561FFC"/>
    <w:rsid w:val="0058156D"/>
    <w:rsid w:val="005837C1"/>
    <w:rsid w:val="005856AD"/>
    <w:rsid w:val="005916A0"/>
    <w:rsid w:val="00591BE2"/>
    <w:rsid w:val="005B11BA"/>
    <w:rsid w:val="005B4C51"/>
    <w:rsid w:val="005C1EC1"/>
    <w:rsid w:val="005C3390"/>
    <w:rsid w:val="005C5A5F"/>
    <w:rsid w:val="005C5EA5"/>
    <w:rsid w:val="005D0955"/>
    <w:rsid w:val="005D1DA1"/>
    <w:rsid w:val="005D1DBF"/>
    <w:rsid w:val="005D500A"/>
    <w:rsid w:val="005E4192"/>
    <w:rsid w:val="005E7B12"/>
    <w:rsid w:val="005F2D60"/>
    <w:rsid w:val="005F6203"/>
    <w:rsid w:val="00603D39"/>
    <w:rsid w:val="00610E50"/>
    <w:rsid w:val="006141DF"/>
    <w:rsid w:val="00615EAA"/>
    <w:rsid w:val="00622A74"/>
    <w:rsid w:val="006239F1"/>
    <w:rsid w:val="00625669"/>
    <w:rsid w:val="00636A56"/>
    <w:rsid w:val="006419BF"/>
    <w:rsid w:val="00650237"/>
    <w:rsid w:val="0065035C"/>
    <w:rsid w:val="00650CF2"/>
    <w:rsid w:val="00651628"/>
    <w:rsid w:val="006554BD"/>
    <w:rsid w:val="00656336"/>
    <w:rsid w:val="00656CDA"/>
    <w:rsid w:val="006610ED"/>
    <w:rsid w:val="00662286"/>
    <w:rsid w:val="00670811"/>
    <w:rsid w:val="006726A6"/>
    <w:rsid w:val="00672DF9"/>
    <w:rsid w:val="00674BFE"/>
    <w:rsid w:val="006A4550"/>
    <w:rsid w:val="006A604E"/>
    <w:rsid w:val="006B28DC"/>
    <w:rsid w:val="006B4B02"/>
    <w:rsid w:val="006C4155"/>
    <w:rsid w:val="006C5D13"/>
    <w:rsid w:val="006D067F"/>
    <w:rsid w:val="006D0B9A"/>
    <w:rsid w:val="006D0C9C"/>
    <w:rsid w:val="006D13B3"/>
    <w:rsid w:val="006E20A3"/>
    <w:rsid w:val="006E283F"/>
    <w:rsid w:val="006E5F44"/>
    <w:rsid w:val="006F143F"/>
    <w:rsid w:val="006F2932"/>
    <w:rsid w:val="006F5688"/>
    <w:rsid w:val="006F7AA2"/>
    <w:rsid w:val="00700CB2"/>
    <w:rsid w:val="007012A4"/>
    <w:rsid w:val="007103C7"/>
    <w:rsid w:val="00710F95"/>
    <w:rsid w:val="0071275B"/>
    <w:rsid w:val="0071443D"/>
    <w:rsid w:val="00715689"/>
    <w:rsid w:val="0071665A"/>
    <w:rsid w:val="007174BD"/>
    <w:rsid w:val="00721E64"/>
    <w:rsid w:val="007262F7"/>
    <w:rsid w:val="00727FE2"/>
    <w:rsid w:val="00731C4D"/>
    <w:rsid w:val="00732082"/>
    <w:rsid w:val="00733AA9"/>
    <w:rsid w:val="00734906"/>
    <w:rsid w:val="00740B73"/>
    <w:rsid w:val="00742DCF"/>
    <w:rsid w:val="0076035A"/>
    <w:rsid w:val="00760E07"/>
    <w:rsid w:val="0076214F"/>
    <w:rsid w:val="007626C1"/>
    <w:rsid w:val="0076279C"/>
    <w:rsid w:val="007663EB"/>
    <w:rsid w:val="007678EC"/>
    <w:rsid w:val="00767C49"/>
    <w:rsid w:val="00770FE7"/>
    <w:rsid w:val="00774F79"/>
    <w:rsid w:val="00776694"/>
    <w:rsid w:val="00782323"/>
    <w:rsid w:val="00785D68"/>
    <w:rsid w:val="00790E5B"/>
    <w:rsid w:val="007952ED"/>
    <w:rsid w:val="00795414"/>
    <w:rsid w:val="007A18A2"/>
    <w:rsid w:val="007A37E8"/>
    <w:rsid w:val="007A4A1B"/>
    <w:rsid w:val="007A7816"/>
    <w:rsid w:val="007B1CC6"/>
    <w:rsid w:val="007B682D"/>
    <w:rsid w:val="007C1BEA"/>
    <w:rsid w:val="007D4F1A"/>
    <w:rsid w:val="007E0FE0"/>
    <w:rsid w:val="007E54E7"/>
    <w:rsid w:val="007E7922"/>
    <w:rsid w:val="007F04D8"/>
    <w:rsid w:val="007F4504"/>
    <w:rsid w:val="007F7ACE"/>
    <w:rsid w:val="007F7ECE"/>
    <w:rsid w:val="00821610"/>
    <w:rsid w:val="00821B69"/>
    <w:rsid w:val="00822589"/>
    <w:rsid w:val="00827BCB"/>
    <w:rsid w:val="00834C47"/>
    <w:rsid w:val="008350DE"/>
    <w:rsid w:val="00837B5B"/>
    <w:rsid w:val="008415F1"/>
    <w:rsid w:val="008467D9"/>
    <w:rsid w:val="008543E0"/>
    <w:rsid w:val="00861D9B"/>
    <w:rsid w:val="00866E95"/>
    <w:rsid w:val="00870391"/>
    <w:rsid w:val="00871D44"/>
    <w:rsid w:val="008816E2"/>
    <w:rsid w:val="008828E8"/>
    <w:rsid w:val="0088310D"/>
    <w:rsid w:val="008863E6"/>
    <w:rsid w:val="0088744D"/>
    <w:rsid w:val="00893E8F"/>
    <w:rsid w:val="0089418E"/>
    <w:rsid w:val="0089500A"/>
    <w:rsid w:val="008977BB"/>
    <w:rsid w:val="008B166A"/>
    <w:rsid w:val="008B4576"/>
    <w:rsid w:val="008B4FAA"/>
    <w:rsid w:val="008B5F37"/>
    <w:rsid w:val="008D1C57"/>
    <w:rsid w:val="008D1EC7"/>
    <w:rsid w:val="008D4DAC"/>
    <w:rsid w:val="008E16C8"/>
    <w:rsid w:val="008E7D95"/>
    <w:rsid w:val="008F38F5"/>
    <w:rsid w:val="008F71A6"/>
    <w:rsid w:val="00903A2D"/>
    <w:rsid w:val="00907D17"/>
    <w:rsid w:val="00913166"/>
    <w:rsid w:val="0092007E"/>
    <w:rsid w:val="00920AEC"/>
    <w:rsid w:val="009215DB"/>
    <w:rsid w:val="009244D1"/>
    <w:rsid w:val="009300B7"/>
    <w:rsid w:val="00930628"/>
    <w:rsid w:val="00932C34"/>
    <w:rsid w:val="00936898"/>
    <w:rsid w:val="009425E3"/>
    <w:rsid w:val="00943814"/>
    <w:rsid w:val="00945549"/>
    <w:rsid w:val="00946DC2"/>
    <w:rsid w:val="00951430"/>
    <w:rsid w:val="00956E29"/>
    <w:rsid w:val="009647E2"/>
    <w:rsid w:val="00972080"/>
    <w:rsid w:val="00973BA3"/>
    <w:rsid w:val="0097435B"/>
    <w:rsid w:val="00975FAD"/>
    <w:rsid w:val="00976E24"/>
    <w:rsid w:val="009A1C3F"/>
    <w:rsid w:val="009A6D9A"/>
    <w:rsid w:val="009A7116"/>
    <w:rsid w:val="009C283B"/>
    <w:rsid w:val="009C29AC"/>
    <w:rsid w:val="009C4CE3"/>
    <w:rsid w:val="009D0204"/>
    <w:rsid w:val="009D03C8"/>
    <w:rsid w:val="009D25F5"/>
    <w:rsid w:val="009D6BBE"/>
    <w:rsid w:val="009D7C02"/>
    <w:rsid w:val="009E7FC5"/>
    <w:rsid w:val="00A00EBA"/>
    <w:rsid w:val="00A023EA"/>
    <w:rsid w:val="00A064CA"/>
    <w:rsid w:val="00A07CEC"/>
    <w:rsid w:val="00A10A03"/>
    <w:rsid w:val="00A14E8D"/>
    <w:rsid w:val="00A17E0E"/>
    <w:rsid w:val="00A209C9"/>
    <w:rsid w:val="00A22C13"/>
    <w:rsid w:val="00A37FE9"/>
    <w:rsid w:val="00A44AE2"/>
    <w:rsid w:val="00A4638E"/>
    <w:rsid w:val="00A473B0"/>
    <w:rsid w:val="00A51E4A"/>
    <w:rsid w:val="00A60777"/>
    <w:rsid w:val="00A65021"/>
    <w:rsid w:val="00A71E4C"/>
    <w:rsid w:val="00A820EA"/>
    <w:rsid w:val="00A842EA"/>
    <w:rsid w:val="00A90EC9"/>
    <w:rsid w:val="00AA2D24"/>
    <w:rsid w:val="00AA733B"/>
    <w:rsid w:val="00AC185C"/>
    <w:rsid w:val="00AD5605"/>
    <w:rsid w:val="00AD6B46"/>
    <w:rsid w:val="00AE4219"/>
    <w:rsid w:val="00AF0290"/>
    <w:rsid w:val="00AF0ECC"/>
    <w:rsid w:val="00B004F0"/>
    <w:rsid w:val="00B05C05"/>
    <w:rsid w:val="00B10788"/>
    <w:rsid w:val="00B108B6"/>
    <w:rsid w:val="00B11AD5"/>
    <w:rsid w:val="00B13AF3"/>
    <w:rsid w:val="00B13EB4"/>
    <w:rsid w:val="00B20A18"/>
    <w:rsid w:val="00B21129"/>
    <w:rsid w:val="00B2433C"/>
    <w:rsid w:val="00B2690D"/>
    <w:rsid w:val="00B33DE6"/>
    <w:rsid w:val="00B5519C"/>
    <w:rsid w:val="00B57BE9"/>
    <w:rsid w:val="00B60E87"/>
    <w:rsid w:val="00B620FB"/>
    <w:rsid w:val="00B65741"/>
    <w:rsid w:val="00B72481"/>
    <w:rsid w:val="00B74E7F"/>
    <w:rsid w:val="00B76FD3"/>
    <w:rsid w:val="00B80DF0"/>
    <w:rsid w:val="00B81583"/>
    <w:rsid w:val="00B82C44"/>
    <w:rsid w:val="00B87E73"/>
    <w:rsid w:val="00B91C93"/>
    <w:rsid w:val="00B9236A"/>
    <w:rsid w:val="00BA2520"/>
    <w:rsid w:val="00BB05BA"/>
    <w:rsid w:val="00BD0122"/>
    <w:rsid w:val="00BD0545"/>
    <w:rsid w:val="00BD2CF2"/>
    <w:rsid w:val="00BD47E6"/>
    <w:rsid w:val="00BD5449"/>
    <w:rsid w:val="00BD597C"/>
    <w:rsid w:val="00BD7600"/>
    <w:rsid w:val="00BE03D4"/>
    <w:rsid w:val="00BE06A4"/>
    <w:rsid w:val="00BE7831"/>
    <w:rsid w:val="00BE78F8"/>
    <w:rsid w:val="00BF4473"/>
    <w:rsid w:val="00BF5006"/>
    <w:rsid w:val="00BF7307"/>
    <w:rsid w:val="00C03D97"/>
    <w:rsid w:val="00C21AB1"/>
    <w:rsid w:val="00C22DEA"/>
    <w:rsid w:val="00C24C94"/>
    <w:rsid w:val="00C32FEF"/>
    <w:rsid w:val="00C37408"/>
    <w:rsid w:val="00C37F9E"/>
    <w:rsid w:val="00C40292"/>
    <w:rsid w:val="00C422D2"/>
    <w:rsid w:val="00C470E3"/>
    <w:rsid w:val="00C50430"/>
    <w:rsid w:val="00C51354"/>
    <w:rsid w:val="00C52A90"/>
    <w:rsid w:val="00C530A2"/>
    <w:rsid w:val="00C57FE9"/>
    <w:rsid w:val="00C6287A"/>
    <w:rsid w:val="00C64D42"/>
    <w:rsid w:val="00C72144"/>
    <w:rsid w:val="00C82FDB"/>
    <w:rsid w:val="00C90DF6"/>
    <w:rsid w:val="00C91E7C"/>
    <w:rsid w:val="00C94A69"/>
    <w:rsid w:val="00CA6E22"/>
    <w:rsid w:val="00CC56F3"/>
    <w:rsid w:val="00CC7489"/>
    <w:rsid w:val="00CD0444"/>
    <w:rsid w:val="00CD22D0"/>
    <w:rsid w:val="00CD4551"/>
    <w:rsid w:val="00CD6BC5"/>
    <w:rsid w:val="00CD7097"/>
    <w:rsid w:val="00CE0791"/>
    <w:rsid w:val="00CE49CA"/>
    <w:rsid w:val="00CE4E05"/>
    <w:rsid w:val="00CE799A"/>
    <w:rsid w:val="00CF1A30"/>
    <w:rsid w:val="00CF3602"/>
    <w:rsid w:val="00CF76A5"/>
    <w:rsid w:val="00D01048"/>
    <w:rsid w:val="00D03ADD"/>
    <w:rsid w:val="00D059DE"/>
    <w:rsid w:val="00D11EA6"/>
    <w:rsid w:val="00D13887"/>
    <w:rsid w:val="00D14915"/>
    <w:rsid w:val="00D15042"/>
    <w:rsid w:val="00D22E78"/>
    <w:rsid w:val="00D247FE"/>
    <w:rsid w:val="00D2629C"/>
    <w:rsid w:val="00D36978"/>
    <w:rsid w:val="00D4066C"/>
    <w:rsid w:val="00D46645"/>
    <w:rsid w:val="00D52502"/>
    <w:rsid w:val="00D54261"/>
    <w:rsid w:val="00D62633"/>
    <w:rsid w:val="00D63D21"/>
    <w:rsid w:val="00D645E0"/>
    <w:rsid w:val="00D64AF9"/>
    <w:rsid w:val="00D67F38"/>
    <w:rsid w:val="00D74578"/>
    <w:rsid w:val="00D75C93"/>
    <w:rsid w:val="00D90129"/>
    <w:rsid w:val="00D954C4"/>
    <w:rsid w:val="00D955E5"/>
    <w:rsid w:val="00DA4E45"/>
    <w:rsid w:val="00DA5081"/>
    <w:rsid w:val="00DB36C5"/>
    <w:rsid w:val="00DC0821"/>
    <w:rsid w:val="00DC2D91"/>
    <w:rsid w:val="00DC405C"/>
    <w:rsid w:val="00DC4B91"/>
    <w:rsid w:val="00DC6A96"/>
    <w:rsid w:val="00DD0B5A"/>
    <w:rsid w:val="00DD28BE"/>
    <w:rsid w:val="00DD348E"/>
    <w:rsid w:val="00DD3776"/>
    <w:rsid w:val="00DD3861"/>
    <w:rsid w:val="00DD759E"/>
    <w:rsid w:val="00DE640E"/>
    <w:rsid w:val="00DF375D"/>
    <w:rsid w:val="00DF4E85"/>
    <w:rsid w:val="00E02FC9"/>
    <w:rsid w:val="00E1130C"/>
    <w:rsid w:val="00E23122"/>
    <w:rsid w:val="00E30785"/>
    <w:rsid w:val="00E30D06"/>
    <w:rsid w:val="00E33BB7"/>
    <w:rsid w:val="00E3471C"/>
    <w:rsid w:val="00E537E9"/>
    <w:rsid w:val="00E55BF0"/>
    <w:rsid w:val="00E63351"/>
    <w:rsid w:val="00E65D34"/>
    <w:rsid w:val="00E66AC9"/>
    <w:rsid w:val="00E67A8A"/>
    <w:rsid w:val="00E737B8"/>
    <w:rsid w:val="00E755A8"/>
    <w:rsid w:val="00E80FED"/>
    <w:rsid w:val="00E84FB7"/>
    <w:rsid w:val="00E85913"/>
    <w:rsid w:val="00E860BD"/>
    <w:rsid w:val="00E86FA7"/>
    <w:rsid w:val="00E87D12"/>
    <w:rsid w:val="00E9094C"/>
    <w:rsid w:val="00E90B37"/>
    <w:rsid w:val="00E92A11"/>
    <w:rsid w:val="00EA0FAA"/>
    <w:rsid w:val="00EA2274"/>
    <w:rsid w:val="00EA6109"/>
    <w:rsid w:val="00EA750A"/>
    <w:rsid w:val="00EB0651"/>
    <w:rsid w:val="00EB2EE6"/>
    <w:rsid w:val="00EB742E"/>
    <w:rsid w:val="00EC21DA"/>
    <w:rsid w:val="00ED3510"/>
    <w:rsid w:val="00ED5AB2"/>
    <w:rsid w:val="00EE42A0"/>
    <w:rsid w:val="00EE4C28"/>
    <w:rsid w:val="00EF5CA9"/>
    <w:rsid w:val="00EF782E"/>
    <w:rsid w:val="00F0370F"/>
    <w:rsid w:val="00F110A5"/>
    <w:rsid w:val="00F137DB"/>
    <w:rsid w:val="00F13EAE"/>
    <w:rsid w:val="00F203C7"/>
    <w:rsid w:val="00F206FE"/>
    <w:rsid w:val="00F2203A"/>
    <w:rsid w:val="00F23B22"/>
    <w:rsid w:val="00F2614B"/>
    <w:rsid w:val="00F26901"/>
    <w:rsid w:val="00F30F0D"/>
    <w:rsid w:val="00F3480E"/>
    <w:rsid w:val="00F372E8"/>
    <w:rsid w:val="00F40C1E"/>
    <w:rsid w:val="00F4172C"/>
    <w:rsid w:val="00F50D90"/>
    <w:rsid w:val="00F52B67"/>
    <w:rsid w:val="00F56901"/>
    <w:rsid w:val="00F57894"/>
    <w:rsid w:val="00F82E8B"/>
    <w:rsid w:val="00F90981"/>
    <w:rsid w:val="00F91488"/>
    <w:rsid w:val="00F91D43"/>
    <w:rsid w:val="00FB5861"/>
    <w:rsid w:val="00FC0629"/>
    <w:rsid w:val="00FC5A51"/>
    <w:rsid w:val="00FD379A"/>
    <w:rsid w:val="00FD604F"/>
    <w:rsid w:val="00FE0C93"/>
    <w:rsid w:val="00FE7B98"/>
    <w:rsid w:val="00FF1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446E3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56901"/>
  </w:style>
  <w:style w:type="character" w:customStyle="1" w:styleId="FootnoteTextChar">
    <w:name w:val="Footnote Text Char"/>
    <w:basedOn w:val="DefaultParagraphFont"/>
    <w:link w:val="FootnoteText"/>
    <w:uiPriority w:val="99"/>
    <w:rsid w:val="00F56901"/>
  </w:style>
  <w:style w:type="character" w:styleId="FootnoteReference">
    <w:name w:val="footnote reference"/>
    <w:basedOn w:val="DefaultParagraphFont"/>
    <w:uiPriority w:val="99"/>
    <w:unhideWhenUsed/>
    <w:rsid w:val="00F56901"/>
    <w:rPr>
      <w:vertAlign w:val="superscript"/>
    </w:rPr>
  </w:style>
  <w:style w:type="character" w:styleId="Hyperlink">
    <w:name w:val="Hyperlink"/>
    <w:basedOn w:val="DefaultParagraphFont"/>
    <w:uiPriority w:val="99"/>
    <w:unhideWhenUsed/>
    <w:rsid w:val="00F56901"/>
    <w:rPr>
      <w:color w:val="0000FF" w:themeColor="hyperlink"/>
      <w:u w:val="single"/>
    </w:rPr>
  </w:style>
  <w:style w:type="paragraph" w:styleId="ListParagraph">
    <w:name w:val="List Paragraph"/>
    <w:basedOn w:val="Normal"/>
    <w:uiPriority w:val="34"/>
    <w:qFormat/>
    <w:rsid w:val="00C82FDB"/>
    <w:pPr>
      <w:ind w:left="720"/>
      <w:contextualSpacing/>
    </w:pPr>
  </w:style>
  <w:style w:type="paragraph" w:styleId="Footer">
    <w:name w:val="footer"/>
    <w:basedOn w:val="Normal"/>
    <w:link w:val="FooterChar"/>
    <w:uiPriority w:val="99"/>
    <w:unhideWhenUsed/>
    <w:rsid w:val="00D14915"/>
    <w:pPr>
      <w:tabs>
        <w:tab w:val="center" w:pos="4320"/>
        <w:tab w:val="right" w:pos="8640"/>
      </w:tabs>
    </w:pPr>
  </w:style>
  <w:style w:type="character" w:customStyle="1" w:styleId="FooterChar">
    <w:name w:val="Footer Char"/>
    <w:basedOn w:val="DefaultParagraphFont"/>
    <w:link w:val="Footer"/>
    <w:uiPriority w:val="99"/>
    <w:rsid w:val="00D14915"/>
  </w:style>
  <w:style w:type="character" w:styleId="PageNumber">
    <w:name w:val="page number"/>
    <w:basedOn w:val="DefaultParagraphFont"/>
    <w:uiPriority w:val="99"/>
    <w:semiHidden/>
    <w:unhideWhenUsed/>
    <w:rsid w:val="00D14915"/>
  </w:style>
  <w:style w:type="paragraph" w:styleId="BalloonText">
    <w:name w:val="Balloon Text"/>
    <w:basedOn w:val="Normal"/>
    <w:link w:val="BalloonTextChar"/>
    <w:uiPriority w:val="99"/>
    <w:semiHidden/>
    <w:unhideWhenUsed/>
    <w:rsid w:val="004E6F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6FB7"/>
    <w:rPr>
      <w:rFonts w:ascii="Lucida Grande" w:hAnsi="Lucida Grande" w:cs="Lucida Grande"/>
      <w:sz w:val="18"/>
      <w:szCs w:val="18"/>
    </w:rPr>
  </w:style>
  <w:style w:type="table" w:styleId="TableGrid">
    <w:name w:val="Table Grid"/>
    <w:basedOn w:val="TableNormal"/>
    <w:uiPriority w:val="59"/>
    <w:rsid w:val="00326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D6B46"/>
    <w:rPr>
      <w:sz w:val="18"/>
      <w:szCs w:val="18"/>
    </w:rPr>
  </w:style>
  <w:style w:type="paragraph" w:styleId="CommentText">
    <w:name w:val="annotation text"/>
    <w:basedOn w:val="Normal"/>
    <w:link w:val="CommentTextChar"/>
    <w:uiPriority w:val="99"/>
    <w:semiHidden/>
    <w:unhideWhenUsed/>
    <w:rsid w:val="00AD6B46"/>
  </w:style>
  <w:style w:type="character" w:customStyle="1" w:styleId="CommentTextChar">
    <w:name w:val="Comment Text Char"/>
    <w:basedOn w:val="DefaultParagraphFont"/>
    <w:link w:val="CommentText"/>
    <w:uiPriority w:val="99"/>
    <w:semiHidden/>
    <w:rsid w:val="00AD6B46"/>
  </w:style>
  <w:style w:type="paragraph" w:styleId="CommentSubject">
    <w:name w:val="annotation subject"/>
    <w:basedOn w:val="CommentText"/>
    <w:next w:val="CommentText"/>
    <w:link w:val="CommentSubjectChar"/>
    <w:uiPriority w:val="99"/>
    <w:semiHidden/>
    <w:unhideWhenUsed/>
    <w:rsid w:val="00AD6B46"/>
    <w:rPr>
      <w:b/>
      <w:bCs/>
      <w:sz w:val="20"/>
      <w:szCs w:val="20"/>
    </w:rPr>
  </w:style>
  <w:style w:type="character" w:customStyle="1" w:styleId="CommentSubjectChar">
    <w:name w:val="Comment Subject Char"/>
    <w:basedOn w:val="CommentTextChar"/>
    <w:link w:val="CommentSubject"/>
    <w:uiPriority w:val="99"/>
    <w:semiHidden/>
    <w:rsid w:val="00AD6B46"/>
    <w:rPr>
      <w:b/>
      <w:bCs/>
      <w:sz w:val="20"/>
      <w:szCs w:val="20"/>
    </w:rPr>
  </w:style>
  <w:style w:type="paragraph" w:styleId="Revision">
    <w:name w:val="Revision"/>
    <w:hidden/>
    <w:uiPriority w:val="99"/>
    <w:semiHidden/>
    <w:rsid w:val="007E7922"/>
  </w:style>
  <w:style w:type="character" w:styleId="FollowedHyperlink">
    <w:name w:val="FollowedHyperlink"/>
    <w:basedOn w:val="DefaultParagraphFont"/>
    <w:uiPriority w:val="99"/>
    <w:semiHidden/>
    <w:unhideWhenUsed/>
    <w:rsid w:val="00C90DF6"/>
    <w:rPr>
      <w:color w:val="800080" w:themeColor="followedHyperlink"/>
      <w:u w:val="single"/>
    </w:rPr>
  </w:style>
  <w:style w:type="character" w:customStyle="1" w:styleId="apple-converted-space">
    <w:name w:val="apple-converted-space"/>
    <w:basedOn w:val="DefaultParagraphFont"/>
    <w:rsid w:val="006A604E"/>
  </w:style>
  <w:style w:type="paragraph" w:customStyle="1" w:styleId="p1">
    <w:name w:val="p1"/>
    <w:basedOn w:val="Normal"/>
    <w:rsid w:val="002C6C46"/>
    <w:rPr>
      <w:rFonts w:ascii="Times New Roman" w:eastAsiaTheme="minorHAnsi" w:hAnsi="Times New Roman" w:cs="Times New Roman"/>
      <w:sz w:val="15"/>
      <w:szCs w:val="15"/>
      <w:lang w:val="en-GB" w:eastAsia="en-GB"/>
    </w:rPr>
  </w:style>
  <w:style w:type="character" w:customStyle="1" w:styleId="s1">
    <w:name w:val="s1"/>
    <w:basedOn w:val="DefaultParagraphFont"/>
    <w:rsid w:val="002C6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639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outlook.soton.ac.uk/owa/redir.aspx?C=biDIywOcTp1KHoC4RqVToVvhQ0mEh4qvwlDCoofQ-ruMKtrNTYLUCA..&amp;URL=http%3a%2f%2fchesdata.eu" TargetMode="External"/><Relationship Id="rId9" Type="http://schemas.openxmlformats.org/officeDocument/2006/relationships/hyperlink" Target="http://www.euractiv.com/section/science-policymaking/news/ngos-fear-better-regulation-could-hurt-environment/"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264D2E-9F4A-6240-A0C6-9334FE737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11676</Words>
  <Characters>66556</Characters>
  <Application>Microsoft Macintosh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78076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Bunea</dc:creator>
  <cp:keywords/>
  <dc:description/>
  <cp:lastModifiedBy>Microsoft Office User</cp:lastModifiedBy>
  <cp:revision>4</cp:revision>
  <cp:lastPrinted>2017-04-12T13:27:00Z</cp:lastPrinted>
  <dcterms:created xsi:type="dcterms:W3CDTF">2017-04-26T08:50:00Z</dcterms:created>
  <dcterms:modified xsi:type="dcterms:W3CDTF">2017-04-26T09:28:00Z</dcterms:modified>
</cp:coreProperties>
</file>