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C9308" w14:textId="77777777" w:rsidR="00FA26C6" w:rsidRPr="00DA6813" w:rsidRDefault="00FA26C6" w:rsidP="003B6ED3">
      <w:pPr>
        <w:spacing w:line="360" w:lineRule="auto"/>
        <w:rPr>
          <w:b/>
        </w:rPr>
      </w:pPr>
      <w:bookmarkStart w:id="0" w:name="_GoBack"/>
      <w:bookmarkEnd w:id="0"/>
      <w:r>
        <w:rPr>
          <w:b/>
        </w:rPr>
        <w:t>MAVIDOS Trial analyses: A response to Kovacs</w:t>
      </w:r>
    </w:p>
    <w:p w14:paraId="59715433" w14:textId="77777777" w:rsidR="00FA26C6" w:rsidRDefault="00FA26C6" w:rsidP="003A04C5">
      <w:pPr>
        <w:spacing w:line="360" w:lineRule="auto"/>
        <w:outlineLvl w:val="0"/>
      </w:pPr>
      <w:r>
        <w:t>Nicholas C Harvey</w:t>
      </w:r>
      <w:r w:rsidRPr="00845CE9">
        <w:rPr>
          <w:vertAlign w:val="superscript"/>
        </w:rPr>
        <w:t>1,2</w:t>
      </w:r>
      <w:r>
        <w:t>, Rebecca Moon</w:t>
      </w:r>
      <w:r w:rsidRPr="00845CE9">
        <w:rPr>
          <w:vertAlign w:val="superscript"/>
        </w:rPr>
        <w:t>1,3</w:t>
      </w:r>
      <w:r>
        <w:t>, Hazel M Inskip</w:t>
      </w:r>
      <w:r w:rsidRPr="00845CE9">
        <w:rPr>
          <w:vertAlign w:val="superscript"/>
        </w:rPr>
        <w:t>1</w:t>
      </w:r>
      <w:r>
        <w:t>, Keith M Godfrey</w:t>
      </w:r>
      <w:r w:rsidRPr="00845CE9">
        <w:rPr>
          <w:vertAlign w:val="superscript"/>
        </w:rPr>
        <w:t>1,2</w:t>
      </w:r>
      <w:r>
        <w:t>, Cyrus Cooper</w:t>
      </w:r>
      <w:r w:rsidRPr="00845CE9">
        <w:rPr>
          <w:vertAlign w:val="superscript"/>
        </w:rPr>
        <w:t>1,2,4</w:t>
      </w:r>
      <w:r>
        <w:t xml:space="preserve"> for the MAVIDOS Trial Group</w:t>
      </w:r>
    </w:p>
    <w:p w14:paraId="6BB80E81" w14:textId="77777777" w:rsidR="00FA26C6" w:rsidRDefault="00FA26C6" w:rsidP="003B6ED3">
      <w:pPr>
        <w:spacing w:line="360" w:lineRule="auto"/>
      </w:pPr>
    </w:p>
    <w:p w14:paraId="0F114CDF" w14:textId="77777777" w:rsidR="00FA26C6" w:rsidRPr="00634E17" w:rsidRDefault="00FA26C6" w:rsidP="006A7541">
      <w:pPr>
        <w:spacing w:after="120" w:line="360" w:lineRule="auto"/>
        <w:jc w:val="both"/>
      </w:pPr>
      <w:r w:rsidRPr="00634E17">
        <w:rPr>
          <w:vertAlign w:val="superscript"/>
        </w:rPr>
        <w:t>1</w:t>
      </w:r>
      <w:r w:rsidRPr="00634E17">
        <w:t>MRC Lifecourse Epidemiology Unit, University o</w:t>
      </w:r>
      <w:r>
        <w:t>f Southampton, Southampton, UK</w:t>
      </w:r>
    </w:p>
    <w:p w14:paraId="25BED0F8" w14:textId="77777777" w:rsidR="00FA26C6" w:rsidRDefault="00FA26C6" w:rsidP="006A7541">
      <w:pPr>
        <w:spacing w:after="120" w:line="360" w:lineRule="auto"/>
        <w:jc w:val="both"/>
      </w:pPr>
      <w:r w:rsidRPr="006A7541">
        <w:rPr>
          <w:vertAlign w:val="superscript"/>
        </w:rPr>
        <w:t>2</w:t>
      </w:r>
      <w:r w:rsidRPr="00634E17">
        <w:t>NIHR Southampton Nutrition Biomedical Research Centre, University of Southampton and University Hospital Southampton NHS Fou</w:t>
      </w:r>
      <w:r>
        <w:t>ndation Trust, Southampton, UK</w:t>
      </w:r>
    </w:p>
    <w:p w14:paraId="24637849" w14:textId="77777777" w:rsidR="00FA26C6" w:rsidRPr="00634E17" w:rsidRDefault="00FA26C6" w:rsidP="006A7541">
      <w:pPr>
        <w:spacing w:after="120" w:line="360" w:lineRule="auto"/>
        <w:jc w:val="both"/>
      </w:pPr>
      <w:r w:rsidRPr="00A13A99">
        <w:rPr>
          <w:vertAlign w:val="superscript"/>
        </w:rPr>
        <w:t>3</w:t>
      </w:r>
      <w:proofErr w:type="spellStart"/>
      <w:r w:rsidRPr="00A13A99">
        <w:rPr>
          <w:lang w:val="en"/>
        </w:rPr>
        <w:t>Paediatric</w:t>
      </w:r>
      <w:proofErr w:type="spellEnd"/>
      <w:r w:rsidRPr="00A13A99">
        <w:rPr>
          <w:lang w:val="en"/>
        </w:rPr>
        <w:t xml:space="preserve"> Endocrinology, University Hospital Southampton NHS Foundation Trust, Southampton, UK</w:t>
      </w:r>
    </w:p>
    <w:p w14:paraId="170A5938" w14:textId="77777777" w:rsidR="00FA26C6" w:rsidRPr="00634E17" w:rsidRDefault="00FA26C6" w:rsidP="006A7541">
      <w:pPr>
        <w:spacing w:after="120" w:line="360" w:lineRule="auto"/>
        <w:jc w:val="both"/>
      </w:pPr>
      <w:r>
        <w:rPr>
          <w:vertAlign w:val="superscript"/>
        </w:rPr>
        <w:t>4</w:t>
      </w:r>
      <w:r w:rsidRPr="00634E17">
        <w:t>NIHR Musculoskeletal Biomedical Research Unit, Un</w:t>
      </w:r>
      <w:r>
        <w:t>iversity of Oxford, Oxford, UK</w:t>
      </w:r>
    </w:p>
    <w:p w14:paraId="030D84E0" w14:textId="77777777" w:rsidR="00FA26C6" w:rsidRDefault="00FA26C6" w:rsidP="003B6ED3">
      <w:pPr>
        <w:spacing w:line="360" w:lineRule="auto"/>
      </w:pPr>
    </w:p>
    <w:p w14:paraId="38AF3C73" w14:textId="77777777" w:rsidR="00FA26C6" w:rsidRPr="00E2610E" w:rsidRDefault="00FA26C6" w:rsidP="00E2610E">
      <w:pPr>
        <w:spacing w:line="360" w:lineRule="auto"/>
        <w:jc w:val="both"/>
        <w:rPr>
          <w:b/>
          <w:lang w:val="en-NZ"/>
        </w:rPr>
      </w:pPr>
      <w:r w:rsidRPr="00E2610E">
        <w:rPr>
          <w:b/>
          <w:lang w:val="en-NZ"/>
        </w:rPr>
        <w:t>Corresponding Author:</w:t>
      </w:r>
    </w:p>
    <w:p w14:paraId="35AECEAA" w14:textId="77777777" w:rsidR="00FA26C6" w:rsidRPr="00E2610E" w:rsidRDefault="00FA26C6" w:rsidP="00E2610E">
      <w:pPr>
        <w:spacing w:line="360" w:lineRule="auto"/>
        <w:jc w:val="both"/>
        <w:rPr>
          <w:lang w:val="en-NZ"/>
        </w:rPr>
      </w:pPr>
      <w:r w:rsidRPr="00E2610E">
        <w:rPr>
          <w:lang w:val="en-NZ"/>
        </w:rPr>
        <w:t>Professor Cyrus Cooper,</w:t>
      </w:r>
      <w:r>
        <w:rPr>
          <w:lang w:val="en-NZ"/>
        </w:rPr>
        <w:t xml:space="preserve"> </w:t>
      </w:r>
      <w:r w:rsidRPr="00E2610E">
        <w:rPr>
          <w:lang w:val="en-NZ"/>
        </w:rPr>
        <w:t>MRC Lifecourse Epidemiology Unit,</w:t>
      </w:r>
      <w:r>
        <w:rPr>
          <w:lang w:val="en-NZ"/>
        </w:rPr>
        <w:t xml:space="preserve"> </w:t>
      </w:r>
      <w:r w:rsidRPr="00E2610E">
        <w:rPr>
          <w:lang w:val="en-NZ"/>
        </w:rPr>
        <w:t>University of Southampton,</w:t>
      </w:r>
    </w:p>
    <w:p w14:paraId="0E3B13CC" w14:textId="77777777" w:rsidR="00FA26C6" w:rsidRPr="00E2610E" w:rsidRDefault="00FA26C6" w:rsidP="00E2610E">
      <w:pPr>
        <w:spacing w:line="360" w:lineRule="auto"/>
        <w:jc w:val="both"/>
        <w:rPr>
          <w:lang w:val="en-NZ"/>
        </w:rPr>
      </w:pPr>
      <w:proofErr w:type="gramStart"/>
      <w:r w:rsidRPr="00E2610E">
        <w:rPr>
          <w:lang w:val="en-NZ"/>
        </w:rPr>
        <w:t>Southampton General Hospital,</w:t>
      </w:r>
      <w:r>
        <w:rPr>
          <w:lang w:val="en-NZ"/>
        </w:rPr>
        <w:t xml:space="preserve"> </w:t>
      </w:r>
      <w:r w:rsidRPr="00E2610E">
        <w:rPr>
          <w:lang w:val="en-NZ"/>
        </w:rPr>
        <w:t>Southampton.</w:t>
      </w:r>
      <w:proofErr w:type="gramEnd"/>
      <w:r>
        <w:rPr>
          <w:lang w:val="en-NZ"/>
        </w:rPr>
        <w:t xml:space="preserve"> </w:t>
      </w:r>
      <w:r w:rsidRPr="00E2610E">
        <w:rPr>
          <w:lang w:val="en-NZ"/>
        </w:rPr>
        <w:t>SO16 6YD</w:t>
      </w:r>
    </w:p>
    <w:p w14:paraId="0B7329E4" w14:textId="77777777" w:rsidR="00FA26C6" w:rsidRDefault="00FA26C6" w:rsidP="00E2610E">
      <w:pPr>
        <w:spacing w:line="360" w:lineRule="auto"/>
        <w:jc w:val="both"/>
        <w:rPr>
          <w:lang w:val="en-NZ"/>
        </w:rPr>
      </w:pPr>
      <w:r w:rsidRPr="00E2610E">
        <w:rPr>
          <w:lang w:val="en-NZ"/>
        </w:rPr>
        <w:t>Tel: 023 8077 7624</w:t>
      </w:r>
      <w:r>
        <w:rPr>
          <w:lang w:val="en-NZ"/>
        </w:rPr>
        <w:t xml:space="preserve">; </w:t>
      </w:r>
      <w:r w:rsidRPr="00E2610E">
        <w:rPr>
          <w:lang w:val="en-NZ"/>
        </w:rPr>
        <w:t>Fax: 023 8070 4021</w:t>
      </w:r>
      <w:r>
        <w:rPr>
          <w:lang w:val="en-NZ"/>
        </w:rPr>
        <w:t xml:space="preserve">; </w:t>
      </w:r>
      <w:r w:rsidRPr="00E2610E">
        <w:rPr>
          <w:lang w:val="en-NZ"/>
        </w:rPr>
        <w:t xml:space="preserve">Email: </w:t>
      </w:r>
      <w:hyperlink r:id="rId7" w:history="1">
        <w:r w:rsidRPr="00972931">
          <w:rPr>
            <w:rStyle w:val="Hyperlink"/>
            <w:lang w:val="en-NZ"/>
          </w:rPr>
          <w:t>cc@mrc.soton.ac.uk</w:t>
        </w:r>
      </w:hyperlink>
    </w:p>
    <w:p w14:paraId="5C1ACCD2" w14:textId="77777777" w:rsidR="00FA26C6" w:rsidRPr="00E2610E" w:rsidRDefault="00FA26C6" w:rsidP="00E2610E">
      <w:pPr>
        <w:spacing w:line="360" w:lineRule="auto"/>
        <w:jc w:val="both"/>
      </w:pPr>
    </w:p>
    <w:p w14:paraId="0B306896" w14:textId="77777777" w:rsidR="00FA26C6" w:rsidRDefault="00FA26C6" w:rsidP="00CF3EC9">
      <w:pPr>
        <w:spacing w:line="360" w:lineRule="auto"/>
        <w:jc w:val="both"/>
      </w:pPr>
      <w:r>
        <w:t>In his letter regarding the MAVIDOS</w:t>
      </w:r>
      <w:r w:rsidRPr="007011B1">
        <w:rPr>
          <w:noProof/>
          <w:vertAlign w:val="superscript"/>
        </w:rPr>
        <w:t>1</w:t>
      </w:r>
      <w:r>
        <w:t xml:space="preserve"> randomised-trial of antenatal vitamin D supplementation, C. Kovacs asks several questions about our analyses. The first, whether the secondary season*treatment interaction test was truly pre-hoc seems entirely unnecessary, given that the analysis plan was published in 2012</w:t>
      </w:r>
      <w:r w:rsidRPr="007011B1">
        <w:rPr>
          <w:noProof/>
          <w:vertAlign w:val="superscript"/>
        </w:rPr>
        <w:t>2</w:t>
      </w:r>
      <w:r>
        <w:t xml:space="preserve"> (and included in the TLDE submission), several years before the trial was </w:t>
      </w:r>
      <w:proofErr w:type="spellStart"/>
      <w:r>
        <w:t>unblinded</w:t>
      </w:r>
      <w:proofErr w:type="spellEnd"/>
      <w:r>
        <w:t xml:space="preserve">. It is not unusual for the detailed analysis plan not to be documented in </w:t>
      </w:r>
      <w:proofErr w:type="spellStart"/>
      <w:r>
        <w:t>EUDRaCT</w:t>
      </w:r>
      <w:proofErr w:type="spellEnd"/>
      <w:r>
        <w:t xml:space="preserve"> or International Trials Registry, given the very preliminary stage at which these registrations are made; furthermore, as clearly stated in the MAVIDOS TLDE paper</w:t>
      </w:r>
      <w:r w:rsidRPr="007011B1">
        <w:rPr>
          <w:noProof/>
          <w:vertAlign w:val="superscript"/>
        </w:rPr>
        <w:t>1</w:t>
      </w:r>
      <w:r>
        <w:t xml:space="preserve">, no interim analyses were performed other than for the TSC/DMC approved safety outcomes of serum calcium concentration at the end of 2 year’s recruitment. We thus utterly refute Kovacs’ implicit assertion that the season*treatment interaction test was predicated on an undeclared interim analysis. </w:t>
      </w:r>
    </w:p>
    <w:p w14:paraId="5B29033B" w14:textId="77777777" w:rsidR="00FA26C6" w:rsidRDefault="00FA26C6" w:rsidP="00525FAD">
      <w:pPr>
        <w:spacing w:line="360" w:lineRule="auto"/>
        <w:jc w:val="both"/>
      </w:pPr>
      <w:r>
        <w:t>Kovacs then, as per his recent TLDE editorial</w:t>
      </w:r>
      <w:r w:rsidRPr="007011B1">
        <w:rPr>
          <w:noProof/>
          <w:vertAlign w:val="superscript"/>
        </w:rPr>
        <w:t>3</w:t>
      </w:r>
      <w:r>
        <w:t xml:space="preserve">, selectively quotes the season*treatment interaction on neonatal bone mineral density (BMD).  This is inappropriate, since BMD was not the </w:t>
      </w:r>
      <w:r w:rsidRPr="00525FAD">
        <w:rPr>
          <w:i/>
        </w:rPr>
        <w:t>a priori</w:t>
      </w:r>
      <w:r>
        <w:t xml:space="preserve"> primary bone measure, and because bone mineral content (BMC, our primary DXA outcome) is the internationally approved measure in neonates</w:t>
      </w:r>
      <w:r w:rsidRPr="007011B1">
        <w:rPr>
          <w:noProof/>
          <w:vertAlign w:val="superscript"/>
        </w:rPr>
        <w:t>4</w:t>
      </w:r>
      <w:r>
        <w:t>. The treatment*season interaction on BMC was significant (p=0.04): amongst winter births, BMC was 5.5g (0.5SD) greater in treatment than placebo group babies (p=0.004). The opposing 2.0g (0.2SD) difference in the autumn subgroup was considerably smaller, and statistically non-significant (p=0.21)</w:t>
      </w:r>
      <w:r w:rsidRPr="00677D4E">
        <w:rPr>
          <w:noProof/>
          <w:vertAlign w:val="superscript"/>
        </w:rPr>
        <w:t>1</w:t>
      </w:r>
      <w:r>
        <w:t xml:space="preserve">. </w:t>
      </w:r>
    </w:p>
    <w:p w14:paraId="4F6DC5E0" w14:textId="77777777" w:rsidR="00FA26C6" w:rsidRDefault="00FA26C6" w:rsidP="00525FAD">
      <w:pPr>
        <w:spacing w:line="360" w:lineRule="auto"/>
        <w:jc w:val="both"/>
      </w:pPr>
      <w:r>
        <w:lastRenderedPageBreak/>
        <w:t xml:space="preserve">Kovacs further comments on the widespread reporting of this secondary outcome. It is notable that the primary outcome, but no secondary outcome, is documented in the TLDE abstract, and both were clearly stated in the press release. Whilst we completely support the accurate reporting of scientific information, the notion that a positive primary outcome represents truth, and that an intriguing, biologically plausible, secondary outcome is automatically false seems misguided, as would be the idea that the MAVIDOS findings might somehow definitively inform public health policy. We are of course fully cognisant of the statistical and biological considerations described by Kovacs; indeed our findings were presented with explicit and appropriate caution. Rather than simply debate the issue </w:t>
      </w:r>
      <w:r w:rsidRPr="00C62ACE">
        <w:rPr>
          <w:i/>
        </w:rPr>
        <w:t>ad nauseam</w:t>
      </w:r>
      <w:r>
        <w:t>, we have successfully obtained funding to follow the MAVIDOS children at 6-8 years, in order to demonstrate, or not, persistence of the effect, and are currently undertaking a second trial of vitamin D in pregnancy (SPRING) to provide an opportunity for replication</w:t>
      </w:r>
      <w:r w:rsidRPr="002E7441">
        <w:rPr>
          <w:noProof/>
          <w:vertAlign w:val="superscript"/>
        </w:rPr>
        <w:t>5</w:t>
      </w:r>
      <w:r>
        <w:t>. We look forward to the ensuing correspondence.</w:t>
      </w:r>
    </w:p>
    <w:p w14:paraId="414CFB3D" w14:textId="77777777" w:rsidR="00FA26C6" w:rsidRDefault="00FA26C6" w:rsidP="001B0501">
      <w:pPr>
        <w:tabs>
          <w:tab w:val="left" w:pos="5200"/>
        </w:tabs>
        <w:spacing w:line="360" w:lineRule="auto"/>
        <w:jc w:val="both"/>
        <w:rPr>
          <w:b/>
        </w:rPr>
      </w:pPr>
    </w:p>
    <w:p w14:paraId="414F3D55" w14:textId="77777777" w:rsidR="00FA26C6" w:rsidRPr="001B0501" w:rsidRDefault="00FA26C6" w:rsidP="001B0501">
      <w:pPr>
        <w:tabs>
          <w:tab w:val="left" w:pos="5200"/>
        </w:tabs>
        <w:spacing w:line="360" w:lineRule="auto"/>
        <w:jc w:val="both"/>
        <w:rPr>
          <w:b/>
        </w:rPr>
      </w:pPr>
      <w:r w:rsidRPr="001B0501">
        <w:rPr>
          <w:b/>
        </w:rPr>
        <w:t>Author contributions</w:t>
      </w:r>
    </w:p>
    <w:p w14:paraId="17F0CE7B" w14:textId="77777777" w:rsidR="00FA26C6" w:rsidRPr="001B0501" w:rsidRDefault="00FA26C6" w:rsidP="001B0501">
      <w:pPr>
        <w:tabs>
          <w:tab w:val="left" w:pos="5200"/>
        </w:tabs>
        <w:spacing w:line="360" w:lineRule="auto"/>
        <w:jc w:val="both"/>
      </w:pPr>
      <w:r w:rsidRPr="001B0501">
        <w:t xml:space="preserve">NCH, RM, HMI, </w:t>
      </w:r>
      <w:r>
        <w:t>KMG</w:t>
      </w:r>
      <w:r w:rsidRPr="001B0501">
        <w:t xml:space="preserve"> and CC all contributed to the preparation of the initial draft,</w:t>
      </w:r>
      <w:r>
        <w:t xml:space="preserve"> and to</w:t>
      </w:r>
      <w:r w:rsidRPr="001B0501">
        <w:t xml:space="preserve"> further development and approval of the final manuscript.</w:t>
      </w:r>
    </w:p>
    <w:p w14:paraId="0C2E0E0B" w14:textId="77777777" w:rsidR="00FA26C6" w:rsidRPr="001B0501" w:rsidRDefault="00FA26C6" w:rsidP="001B0501">
      <w:pPr>
        <w:tabs>
          <w:tab w:val="left" w:pos="5200"/>
        </w:tabs>
        <w:spacing w:line="360" w:lineRule="auto"/>
        <w:jc w:val="both"/>
        <w:rPr>
          <w:b/>
        </w:rPr>
      </w:pPr>
      <w:r w:rsidRPr="001B0501">
        <w:rPr>
          <w:b/>
        </w:rPr>
        <w:t>Funding</w:t>
      </w:r>
    </w:p>
    <w:p w14:paraId="5DDD68CD" w14:textId="77777777" w:rsidR="00FA26C6" w:rsidRPr="001B0501" w:rsidRDefault="00FA26C6" w:rsidP="001B0501">
      <w:pPr>
        <w:tabs>
          <w:tab w:val="left" w:pos="5200"/>
        </w:tabs>
        <w:spacing w:line="360" w:lineRule="auto"/>
        <w:jc w:val="both"/>
      </w:pPr>
      <w:r w:rsidRPr="001B0501">
        <w:t>Not applicable.</w:t>
      </w:r>
    </w:p>
    <w:p w14:paraId="120A7224" w14:textId="77777777" w:rsidR="00FA26C6" w:rsidRPr="001B0501" w:rsidRDefault="00FA26C6" w:rsidP="001B0501">
      <w:pPr>
        <w:tabs>
          <w:tab w:val="left" w:pos="5200"/>
        </w:tabs>
        <w:spacing w:line="360" w:lineRule="auto"/>
        <w:jc w:val="both"/>
        <w:rPr>
          <w:b/>
        </w:rPr>
      </w:pPr>
      <w:r w:rsidRPr="001B0501">
        <w:rPr>
          <w:b/>
        </w:rPr>
        <w:t>Disclosures</w:t>
      </w:r>
    </w:p>
    <w:p w14:paraId="35C9979C" w14:textId="77777777" w:rsidR="00FA26C6" w:rsidRDefault="00FA26C6" w:rsidP="001B0501">
      <w:pPr>
        <w:tabs>
          <w:tab w:val="left" w:pos="5200"/>
        </w:tabs>
        <w:spacing w:line="360" w:lineRule="auto"/>
        <w:jc w:val="both"/>
        <w:rPr>
          <w:rFonts w:cs="Times New Roman"/>
        </w:rPr>
      </w:pPr>
      <w:r w:rsidRPr="001B0501">
        <w:rPr>
          <w:rFonts w:cs="Times New Roman"/>
        </w:rPr>
        <w:t xml:space="preserve">C. Cooper reports personal fees from ABBH, Amgen, Eli Lilly, GSK, Medtronic, Merck, Novartis, Pfizer, Roche, </w:t>
      </w:r>
      <w:proofErr w:type="spellStart"/>
      <w:r w:rsidRPr="001B0501">
        <w:rPr>
          <w:rFonts w:cs="Times New Roman"/>
        </w:rPr>
        <w:t>Servier</w:t>
      </w:r>
      <w:proofErr w:type="spellEnd"/>
      <w:r w:rsidRPr="001B0501">
        <w:rPr>
          <w:rFonts w:cs="Times New Roman"/>
        </w:rPr>
        <w:t xml:space="preserve"> and Takeda, outside the submitted work.  N. Harvey reports personal fees, consultancy, lecture fees and honoraria from </w:t>
      </w:r>
      <w:r w:rsidRPr="001B0501">
        <w:rPr>
          <w:rFonts w:cs="Times New Roman"/>
          <w:lang w:val="en-US"/>
        </w:rPr>
        <w:t xml:space="preserve">Alliance for Better Bone Health, AMGEN, MSD, Eli Lilly, </w:t>
      </w:r>
      <w:proofErr w:type="spellStart"/>
      <w:r w:rsidRPr="001B0501">
        <w:rPr>
          <w:rFonts w:cs="Times New Roman"/>
          <w:lang w:val="en-US"/>
        </w:rPr>
        <w:t>Servier</w:t>
      </w:r>
      <w:proofErr w:type="spellEnd"/>
      <w:r w:rsidRPr="001B0501">
        <w:rPr>
          <w:rFonts w:cs="Times New Roman"/>
          <w:lang w:val="en-US"/>
        </w:rPr>
        <w:t xml:space="preserve">, Shire, UCB, Radius, </w:t>
      </w:r>
      <w:proofErr w:type="spellStart"/>
      <w:r w:rsidRPr="001B0501">
        <w:rPr>
          <w:rFonts w:cs="Times New Roman"/>
          <w:lang w:val="en-US"/>
        </w:rPr>
        <w:t>Consilient</w:t>
      </w:r>
      <w:proofErr w:type="spellEnd"/>
      <w:r w:rsidRPr="001B0501">
        <w:rPr>
          <w:rFonts w:cs="Times New Roman"/>
          <w:lang w:val="en-US"/>
        </w:rPr>
        <w:t xml:space="preserve"> Healthcare and </w:t>
      </w:r>
      <w:proofErr w:type="spellStart"/>
      <w:r w:rsidRPr="001B0501">
        <w:rPr>
          <w:rFonts w:cs="Times New Roman"/>
          <w:lang w:val="en-US"/>
        </w:rPr>
        <w:t>Internis</w:t>
      </w:r>
      <w:proofErr w:type="spellEnd"/>
      <w:r w:rsidRPr="001B0501">
        <w:rPr>
          <w:rFonts w:cs="Times New Roman"/>
          <w:lang w:val="en-US"/>
        </w:rPr>
        <w:t xml:space="preserve"> Pharma,</w:t>
      </w:r>
      <w:r w:rsidRPr="001B0501">
        <w:rPr>
          <w:rFonts w:cs="Times New Roman"/>
        </w:rPr>
        <w:t xml:space="preserve"> outside the submitted work.  R. Moon has nothing to disclose.  K. Godfrey reports reimbursement for speaking at Nestle Nutrition Institute conferences, grants from Abbott Nutrition &amp; </w:t>
      </w:r>
      <w:proofErr w:type="spellStart"/>
      <w:r w:rsidRPr="001B0501">
        <w:rPr>
          <w:rFonts w:cs="Times New Roman"/>
        </w:rPr>
        <w:t>Nestec</w:t>
      </w:r>
      <w:proofErr w:type="spellEnd"/>
      <w:r w:rsidRPr="001B0501">
        <w:rPr>
          <w:rFonts w:cs="Times New Roman"/>
        </w:rPr>
        <w:t xml:space="preserve">, outside the submitted work; in addition, K. Godfrey has a patent Phenotype Prediction pending, a patent Predictive Use of </w:t>
      </w:r>
      <w:proofErr w:type="spellStart"/>
      <w:r w:rsidRPr="001B0501">
        <w:rPr>
          <w:rFonts w:cs="Times New Roman"/>
        </w:rPr>
        <w:t>CpG</w:t>
      </w:r>
      <w:proofErr w:type="spellEnd"/>
      <w:r w:rsidRPr="001B0501">
        <w:rPr>
          <w:rFonts w:cs="Times New Roman"/>
        </w:rPr>
        <w:t xml:space="preserve"> Methylation pending, and a patent Maternal Nutrition Composition pending, not directly related to this work. H. Inskip </w:t>
      </w:r>
      <w:r>
        <w:rPr>
          <w:rFonts w:cs="Times New Roman"/>
        </w:rPr>
        <w:t xml:space="preserve">reports that, whilst </w:t>
      </w:r>
      <w:r w:rsidRPr="001B0501">
        <w:rPr>
          <w:rFonts w:cs="Times New Roman"/>
        </w:rPr>
        <w:t xml:space="preserve">not directly receiving funding from other bodies, members of her team have received funding from the following companies from other work: Danone, </w:t>
      </w:r>
      <w:proofErr w:type="spellStart"/>
      <w:r w:rsidRPr="001B0501">
        <w:rPr>
          <w:rFonts w:cs="Times New Roman"/>
        </w:rPr>
        <w:t>Nestec</w:t>
      </w:r>
      <w:proofErr w:type="spellEnd"/>
      <w:r w:rsidRPr="001B0501">
        <w:rPr>
          <w:rFonts w:cs="Times New Roman"/>
        </w:rPr>
        <w:t xml:space="preserve">, </w:t>
      </w:r>
      <w:proofErr w:type="gramStart"/>
      <w:r w:rsidRPr="001B0501">
        <w:rPr>
          <w:rFonts w:cs="Times New Roman"/>
        </w:rPr>
        <w:t>Abbott</w:t>
      </w:r>
      <w:proofErr w:type="gramEnd"/>
      <w:r w:rsidRPr="001B0501">
        <w:rPr>
          <w:rFonts w:cs="Times New Roman"/>
        </w:rPr>
        <w:t xml:space="preserve"> Nutrition.</w:t>
      </w:r>
    </w:p>
    <w:p w14:paraId="11CA0EEC" w14:textId="77777777" w:rsidR="00FA26C6" w:rsidRPr="001B0501" w:rsidRDefault="00FA26C6" w:rsidP="001B0501">
      <w:pPr>
        <w:tabs>
          <w:tab w:val="left" w:pos="5200"/>
        </w:tabs>
        <w:spacing w:line="360" w:lineRule="auto"/>
        <w:jc w:val="both"/>
        <w:rPr>
          <w:rFonts w:cs="Times New Roman"/>
        </w:rPr>
      </w:pPr>
    </w:p>
    <w:p w14:paraId="0FAB1FA5" w14:textId="77777777" w:rsidR="00FA26C6" w:rsidRDefault="00FA26C6" w:rsidP="001B0501">
      <w:pPr>
        <w:tabs>
          <w:tab w:val="left" w:pos="5200"/>
        </w:tabs>
        <w:spacing w:line="360" w:lineRule="auto"/>
        <w:jc w:val="both"/>
        <w:rPr>
          <w:rFonts w:cs="Times New Roman"/>
          <w:b/>
        </w:rPr>
      </w:pPr>
    </w:p>
    <w:p w14:paraId="32E9C15A" w14:textId="77777777" w:rsidR="00FA26C6" w:rsidRDefault="00FA26C6" w:rsidP="001B0501">
      <w:pPr>
        <w:tabs>
          <w:tab w:val="left" w:pos="5200"/>
        </w:tabs>
        <w:spacing w:line="360" w:lineRule="auto"/>
        <w:jc w:val="both"/>
        <w:rPr>
          <w:rFonts w:cs="Times New Roman"/>
          <w:b/>
        </w:rPr>
      </w:pPr>
    </w:p>
    <w:p w14:paraId="4CAB6D51" w14:textId="77777777" w:rsidR="00FA26C6" w:rsidRPr="001B0501" w:rsidRDefault="00FA26C6" w:rsidP="001B0501">
      <w:pPr>
        <w:tabs>
          <w:tab w:val="left" w:pos="5200"/>
        </w:tabs>
        <w:spacing w:line="360" w:lineRule="auto"/>
        <w:jc w:val="both"/>
        <w:rPr>
          <w:rFonts w:cs="Times New Roman"/>
          <w:b/>
        </w:rPr>
      </w:pPr>
      <w:r w:rsidRPr="001B0501">
        <w:rPr>
          <w:rFonts w:cs="Times New Roman"/>
          <w:b/>
        </w:rPr>
        <w:t>References</w:t>
      </w:r>
    </w:p>
    <w:p w14:paraId="678D8B2C" w14:textId="276DE987" w:rsidR="00FA26C6" w:rsidRPr="002E7441" w:rsidRDefault="00FA26C6" w:rsidP="002E7441">
      <w:pPr>
        <w:pStyle w:val="EndNoteBibliography"/>
        <w:spacing w:after="240"/>
        <w:rPr>
          <w:noProof/>
        </w:rPr>
      </w:pPr>
      <w:bookmarkStart w:id="1" w:name="_ENREF_1"/>
      <w:r w:rsidRPr="002E7441">
        <w:rPr>
          <w:noProof/>
        </w:rPr>
        <w:t>1.</w:t>
      </w:r>
      <w:r w:rsidRPr="002E7441">
        <w:rPr>
          <w:noProof/>
        </w:rPr>
        <w:tab/>
        <w:t xml:space="preserve">Cooper C, Harvey NC, Bishop NJ, et al. Maternal gestational vitamin D supplementation and offspring bone health (MAVIDOS): a multicentre, double-blind, randomised placebo-controlled trial. </w:t>
      </w:r>
      <w:r w:rsidR="00017B82">
        <w:rPr>
          <w:i/>
          <w:noProof/>
        </w:rPr>
        <w:t>The Lancet Diabetes &amp; E</w:t>
      </w:r>
      <w:r w:rsidRPr="002E7441">
        <w:rPr>
          <w:i/>
          <w:noProof/>
        </w:rPr>
        <w:t>ndocrinology</w:t>
      </w:r>
      <w:r w:rsidRPr="002E7441">
        <w:rPr>
          <w:noProof/>
        </w:rPr>
        <w:t xml:space="preserve"> 2016; </w:t>
      </w:r>
      <w:r w:rsidRPr="002E7441">
        <w:rPr>
          <w:b/>
          <w:noProof/>
        </w:rPr>
        <w:t>4</w:t>
      </w:r>
      <w:r w:rsidRPr="002E7441">
        <w:rPr>
          <w:noProof/>
        </w:rPr>
        <w:t>(5): 393-402.</w:t>
      </w:r>
      <w:bookmarkEnd w:id="1"/>
    </w:p>
    <w:p w14:paraId="3C211384" w14:textId="77777777" w:rsidR="00FA26C6" w:rsidRPr="002E7441" w:rsidRDefault="00FA26C6" w:rsidP="002E7441">
      <w:pPr>
        <w:pStyle w:val="EndNoteBibliography"/>
        <w:spacing w:after="240"/>
        <w:rPr>
          <w:noProof/>
        </w:rPr>
      </w:pPr>
      <w:bookmarkStart w:id="2" w:name="_ENREF_2"/>
      <w:r w:rsidRPr="002E7441">
        <w:rPr>
          <w:noProof/>
        </w:rPr>
        <w:t>2.</w:t>
      </w:r>
      <w:r w:rsidRPr="002E7441">
        <w:rPr>
          <w:noProof/>
        </w:rPr>
        <w:tab/>
        <w:t xml:space="preserve">Harvey NC, Javaid K, Bishop N, et al. MAVIDOS Maternal Vitamin D Osteoporosis Study: study protocol for a randomized controlled trial. </w:t>
      </w:r>
      <w:r w:rsidRPr="002E7441">
        <w:rPr>
          <w:i/>
          <w:noProof/>
        </w:rPr>
        <w:t>Trials</w:t>
      </w:r>
      <w:r w:rsidRPr="002E7441">
        <w:rPr>
          <w:noProof/>
        </w:rPr>
        <w:t xml:space="preserve"> 2012; </w:t>
      </w:r>
      <w:r w:rsidRPr="002E7441">
        <w:rPr>
          <w:b/>
          <w:noProof/>
        </w:rPr>
        <w:t>13</w:t>
      </w:r>
      <w:r w:rsidRPr="002E7441">
        <w:rPr>
          <w:noProof/>
        </w:rPr>
        <w:t>(1): 13.</w:t>
      </w:r>
      <w:bookmarkEnd w:id="2"/>
    </w:p>
    <w:p w14:paraId="5BF68472" w14:textId="6BA7DB2B" w:rsidR="00FA26C6" w:rsidRPr="002E7441" w:rsidRDefault="00FA26C6" w:rsidP="002E7441">
      <w:pPr>
        <w:pStyle w:val="EndNoteBibliography"/>
        <w:spacing w:after="240"/>
        <w:rPr>
          <w:noProof/>
        </w:rPr>
      </w:pPr>
      <w:bookmarkStart w:id="3" w:name="_ENREF_3"/>
      <w:r w:rsidRPr="002E7441">
        <w:rPr>
          <w:noProof/>
        </w:rPr>
        <w:t>3.</w:t>
      </w:r>
      <w:r w:rsidRPr="002E7441">
        <w:rPr>
          <w:noProof/>
        </w:rPr>
        <w:tab/>
        <w:t xml:space="preserve">Kovacs CS. Does fetal exposure to vitamin D programme childhood bone mass? </w:t>
      </w:r>
      <w:r w:rsidR="00017B82">
        <w:rPr>
          <w:i/>
          <w:noProof/>
        </w:rPr>
        <w:t>The Lancet Diabetes &amp; E</w:t>
      </w:r>
      <w:r w:rsidRPr="002E7441">
        <w:rPr>
          <w:i/>
          <w:noProof/>
        </w:rPr>
        <w:t>ndocrinology</w:t>
      </w:r>
      <w:r w:rsidRPr="002E7441">
        <w:rPr>
          <w:noProof/>
        </w:rPr>
        <w:t xml:space="preserve"> 2017.</w:t>
      </w:r>
      <w:bookmarkEnd w:id="3"/>
    </w:p>
    <w:p w14:paraId="1B43ECEC" w14:textId="77777777" w:rsidR="00FA26C6" w:rsidRPr="002E7441" w:rsidRDefault="00FA26C6" w:rsidP="002E7441">
      <w:pPr>
        <w:pStyle w:val="EndNoteBibliography"/>
        <w:spacing w:after="240"/>
        <w:rPr>
          <w:noProof/>
        </w:rPr>
      </w:pPr>
      <w:bookmarkStart w:id="4" w:name="_ENREF_4"/>
      <w:r w:rsidRPr="002E7441">
        <w:rPr>
          <w:noProof/>
        </w:rPr>
        <w:t>4.</w:t>
      </w:r>
      <w:r w:rsidRPr="002E7441">
        <w:rPr>
          <w:noProof/>
        </w:rPr>
        <w:tab/>
        <w:t xml:space="preserve">Crabtree NJ, Arabi A, Bachrach LK, et al. Dual-energy X-ray absorptiometry interpretation and reporting in children and adolescents: the revised 2013 ISCD Pediatric Official Positions. </w:t>
      </w:r>
      <w:r w:rsidRPr="002E7441">
        <w:rPr>
          <w:i/>
          <w:noProof/>
        </w:rPr>
        <w:t>J Clin Densitom</w:t>
      </w:r>
      <w:r w:rsidRPr="002E7441">
        <w:rPr>
          <w:noProof/>
        </w:rPr>
        <w:t xml:space="preserve"> 2014; </w:t>
      </w:r>
      <w:r w:rsidRPr="002E7441">
        <w:rPr>
          <w:b/>
          <w:noProof/>
        </w:rPr>
        <w:t>17</w:t>
      </w:r>
      <w:r w:rsidRPr="002E7441">
        <w:rPr>
          <w:noProof/>
        </w:rPr>
        <w:t>(2): 225-42.</w:t>
      </w:r>
      <w:bookmarkEnd w:id="4"/>
    </w:p>
    <w:p w14:paraId="17E4D59B" w14:textId="77777777" w:rsidR="00FA26C6" w:rsidRPr="002E7441" w:rsidRDefault="00FA26C6" w:rsidP="002E7441">
      <w:pPr>
        <w:pStyle w:val="EndNoteBibliography"/>
        <w:rPr>
          <w:noProof/>
        </w:rPr>
      </w:pPr>
      <w:bookmarkStart w:id="5" w:name="_ENREF_5"/>
      <w:r w:rsidRPr="002E7441">
        <w:rPr>
          <w:noProof/>
        </w:rPr>
        <w:t>5.</w:t>
      </w:r>
      <w:r w:rsidRPr="002E7441">
        <w:rPr>
          <w:noProof/>
        </w:rPr>
        <w:tab/>
        <w:t xml:space="preserve">Baird J, Barker M, Harvey NC, et al. Southampton PRegnancy Intervention for the Next Generation (SPRING): protocol for a randomised controlled trial. </w:t>
      </w:r>
      <w:r w:rsidRPr="002E7441">
        <w:rPr>
          <w:i/>
          <w:noProof/>
        </w:rPr>
        <w:t>Trials</w:t>
      </w:r>
      <w:r w:rsidRPr="002E7441">
        <w:rPr>
          <w:noProof/>
        </w:rPr>
        <w:t xml:space="preserve"> 2016; </w:t>
      </w:r>
      <w:r w:rsidRPr="002E7441">
        <w:rPr>
          <w:b/>
          <w:noProof/>
        </w:rPr>
        <w:t>17</w:t>
      </w:r>
      <w:r w:rsidRPr="002E7441">
        <w:rPr>
          <w:noProof/>
        </w:rPr>
        <w:t>(1): 493.</w:t>
      </w:r>
      <w:bookmarkEnd w:id="5"/>
    </w:p>
    <w:p w14:paraId="40E353CE" w14:textId="77777777" w:rsidR="00FA26C6" w:rsidRDefault="00FA26C6" w:rsidP="003931DB">
      <w:pPr>
        <w:spacing w:line="360" w:lineRule="auto"/>
      </w:pPr>
    </w:p>
    <w:p w14:paraId="6C12DE06" w14:textId="77777777" w:rsidR="002A3050" w:rsidRDefault="002A3050"/>
    <w:sectPr w:rsidR="002A3050" w:rsidSect="005C076B">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873C6" w14:textId="77777777" w:rsidR="00000000" w:rsidRDefault="00A84EB0">
      <w:r>
        <w:separator/>
      </w:r>
    </w:p>
  </w:endnote>
  <w:endnote w:type="continuationSeparator" w:id="0">
    <w:p w14:paraId="01DD54E9" w14:textId="77777777" w:rsidR="00000000" w:rsidRDefault="00A8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560781"/>
      <w:docPartObj>
        <w:docPartGallery w:val="Page Numbers (Bottom of Page)"/>
        <w:docPartUnique/>
      </w:docPartObj>
    </w:sdtPr>
    <w:sdtEndPr>
      <w:rPr>
        <w:noProof/>
      </w:rPr>
    </w:sdtEndPr>
    <w:sdtContent>
      <w:p w14:paraId="79E1CE02" w14:textId="77777777" w:rsidR="007309A5" w:rsidRDefault="00017B82">
        <w:pPr>
          <w:pStyle w:val="Footer"/>
          <w:jc w:val="center"/>
        </w:pPr>
        <w:r>
          <w:fldChar w:fldCharType="begin"/>
        </w:r>
        <w:r>
          <w:instrText xml:space="preserve"> PAGE   \* MERGEFORMAT </w:instrText>
        </w:r>
        <w:r>
          <w:fldChar w:fldCharType="separate"/>
        </w:r>
        <w:r w:rsidR="00A84EB0">
          <w:rPr>
            <w:noProof/>
          </w:rPr>
          <w:t>1</w:t>
        </w:r>
        <w:r>
          <w:rPr>
            <w:noProof/>
          </w:rPr>
          <w:fldChar w:fldCharType="end"/>
        </w:r>
      </w:p>
    </w:sdtContent>
  </w:sdt>
  <w:p w14:paraId="66A924E0" w14:textId="77777777" w:rsidR="007309A5" w:rsidRDefault="00A84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026BA" w14:textId="77777777" w:rsidR="00000000" w:rsidRDefault="00A84EB0">
      <w:r>
        <w:separator/>
      </w:r>
    </w:p>
  </w:footnote>
  <w:footnote w:type="continuationSeparator" w:id="0">
    <w:p w14:paraId="316EB1CB" w14:textId="77777777" w:rsidR="00000000" w:rsidRDefault="00A84E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A26C6"/>
    <w:rsid w:val="00000DDF"/>
    <w:rsid w:val="0000218E"/>
    <w:rsid w:val="00004617"/>
    <w:rsid w:val="00006569"/>
    <w:rsid w:val="0000659A"/>
    <w:rsid w:val="0001218A"/>
    <w:rsid w:val="00017B82"/>
    <w:rsid w:val="00021BDF"/>
    <w:rsid w:val="00025496"/>
    <w:rsid w:val="00032F5D"/>
    <w:rsid w:val="00041BB7"/>
    <w:rsid w:val="00041DB8"/>
    <w:rsid w:val="00043AB5"/>
    <w:rsid w:val="00046DA6"/>
    <w:rsid w:val="00054CE5"/>
    <w:rsid w:val="0005605F"/>
    <w:rsid w:val="00067DDF"/>
    <w:rsid w:val="000752EC"/>
    <w:rsid w:val="000770F4"/>
    <w:rsid w:val="000772C6"/>
    <w:rsid w:val="000801F5"/>
    <w:rsid w:val="00080A78"/>
    <w:rsid w:val="00082757"/>
    <w:rsid w:val="00082DC9"/>
    <w:rsid w:val="0008583C"/>
    <w:rsid w:val="00087784"/>
    <w:rsid w:val="000910C1"/>
    <w:rsid w:val="00093BF1"/>
    <w:rsid w:val="00097BFE"/>
    <w:rsid w:val="000A3B72"/>
    <w:rsid w:val="000A3BC1"/>
    <w:rsid w:val="000A5E0B"/>
    <w:rsid w:val="000A6225"/>
    <w:rsid w:val="000A76FC"/>
    <w:rsid w:val="000B490B"/>
    <w:rsid w:val="000C6919"/>
    <w:rsid w:val="000D30F7"/>
    <w:rsid w:val="000E12D7"/>
    <w:rsid w:val="000E22F2"/>
    <w:rsid w:val="000E405E"/>
    <w:rsid w:val="000E4931"/>
    <w:rsid w:val="000E5E23"/>
    <w:rsid w:val="000E6815"/>
    <w:rsid w:val="000F56D4"/>
    <w:rsid w:val="000F7F5D"/>
    <w:rsid w:val="00101B67"/>
    <w:rsid w:val="001058CE"/>
    <w:rsid w:val="0010602A"/>
    <w:rsid w:val="00115325"/>
    <w:rsid w:val="00115B8D"/>
    <w:rsid w:val="00116019"/>
    <w:rsid w:val="00116323"/>
    <w:rsid w:val="00121E2B"/>
    <w:rsid w:val="00121EC3"/>
    <w:rsid w:val="0012521B"/>
    <w:rsid w:val="00125703"/>
    <w:rsid w:val="00125FAD"/>
    <w:rsid w:val="0013318E"/>
    <w:rsid w:val="00133905"/>
    <w:rsid w:val="0013500D"/>
    <w:rsid w:val="0013702A"/>
    <w:rsid w:val="00140006"/>
    <w:rsid w:val="00141387"/>
    <w:rsid w:val="0014248A"/>
    <w:rsid w:val="00146FE2"/>
    <w:rsid w:val="00153144"/>
    <w:rsid w:val="001548B3"/>
    <w:rsid w:val="00155CE3"/>
    <w:rsid w:val="0015630E"/>
    <w:rsid w:val="00160B91"/>
    <w:rsid w:val="001642FC"/>
    <w:rsid w:val="001675CE"/>
    <w:rsid w:val="001729CD"/>
    <w:rsid w:val="0017352C"/>
    <w:rsid w:val="00175D68"/>
    <w:rsid w:val="001874D3"/>
    <w:rsid w:val="00187EA8"/>
    <w:rsid w:val="001A102D"/>
    <w:rsid w:val="001A1A18"/>
    <w:rsid w:val="001A23DD"/>
    <w:rsid w:val="001A3880"/>
    <w:rsid w:val="001A4757"/>
    <w:rsid w:val="001A61F1"/>
    <w:rsid w:val="001B20C1"/>
    <w:rsid w:val="001B5F28"/>
    <w:rsid w:val="001B6F62"/>
    <w:rsid w:val="001B79D6"/>
    <w:rsid w:val="001C04B0"/>
    <w:rsid w:val="001C413A"/>
    <w:rsid w:val="001C48A2"/>
    <w:rsid w:val="001D1B78"/>
    <w:rsid w:val="001D5C68"/>
    <w:rsid w:val="001D79FB"/>
    <w:rsid w:val="001E129E"/>
    <w:rsid w:val="001E2786"/>
    <w:rsid w:val="001E345B"/>
    <w:rsid w:val="001F0B05"/>
    <w:rsid w:val="001F7B76"/>
    <w:rsid w:val="0020041E"/>
    <w:rsid w:val="00203F71"/>
    <w:rsid w:val="0021038E"/>
    <w:rsid w:val="00213621"/>
    <w:rsid w:val="00214F22"/>
    <w:rsid w:val="00220151"/>
    <w:rsid w:val="002253A6"/>
    <w:rsid w:val="002261F9"/>
    <w:rsid w:val="002334A5"/>
    <w:rsid w:val="00237D48"/>
    <w:rsid w:val="00244626"/>
    <w:rsid w:val="00245ABA"/>
    <w:rsid w:val="00246B68"/>
    <w:rsid w:val="0025052E"/>
    <w:rsid w:val="00252D9A"/>
    <w:rsid w:val="00256A47"/>
    <w:rsid w:val="00257F2A"/>
    <w:rsid w:val="0027373B"/>
    <w:rsid w:val="00273CC5"/>
    <w:rsid w:val="00274F8C"/>
    <w:rsid w:val="00275802"/>
    <w:rsid w:val="002763B2"/>
    <w:rsid w:val="0028025A"/>
    <w:rsid w:val="002808A0"/>
    <w:rsid w:val="00282850"/>
    <w:rsid w:val="00282B78"/>
    <w:rsid w:val="00282E56"/>
    <w:rsid w:val="00287BC6"/>
    <w:rsid w:val="00290426"/>
    <w:rsid w:val="002907F5"/>
    <w:rsid w:val="00290F67"/>
    <w:rsid w:val="0029259C"/>
    <w:rsid w:val="00295D0A"/>
    <w:rsid w:val="00295F1E"/>
    <w:rsid w:val="00296586"/>
    <w:rsid w:val="002A3050"/>
    <w:rsid w:val="002A7C32"/>
    <w:rsid w:val="002A7FB0"/>
    <w:rsid w:val="002B2193"/>
    <w:rsid w:val="002B28FC"/>
    <w:rsid w:val="002B4652"/>
    <w:rsid w:val="002B7EEC"/>
    <w:rsid w:val="002C28A0"/>
    <w:rsid w:val="002D01E4"/>
    <w:rsid w:val="002D2131"/>
    <w:rsid w:val="002E0517"/>
    <w:rsid w:val="002E2EA2"/>
    <w:rsid w:val="002F0803"/>
    <w:rsid w:val="002F3BB1"/>
    <w:rsid w:val="002F46E5"/>
    <w:rsid w:val="0030120C"/>
    <w:rsid w:val="003038F0"/>
    <w:rsid w:val="00304896"/>
    <w:rsid w:val="003105BD"/>
    <w:rsid w:val="00311AEF"/>
    <w:rsid w:val="00314476"/>
    <w:rsid w:val="0031582A"/>
    <w:rsid w:val="003205F4"/>
    <w:rsid w:val="00320A53"/>
    <w:rsid w:val="00320C91"/>
    <w:rsid w:val="00323B04"/>
    <w:rsid w:val="00325F03"/>
    <w:rsid w:val="003307D4"/>
    <w:rsid w:val="00333FF9"/>
    <w:rsid w:val="00335A3C"/>
    <w:rsid w:val="00343302"/>
    <w:rsid w:val="00345E54"/>
    <w:rsid w:val="003511E9"/>
    <w:rsid w:val="00351DF1"/>
    <w:rsid w:val="00353903"/>
    <w:rsid w:val="00355EF5"/>
    <w:rsid w:val="0035613E"/>
    <w:rsid w:val="00357699"/>
    <w:rsid w:val="00357B91"/>
    <w:rsid w:val="00360EC8"/>
    <w:rsid w:val="00361F7B"/>
    <w:rsid w:val="00363FA7"/>
    <w:rsid w:val="00366654"/>
    <w:rsid w:val="00366AAF"/>
    <w:rsid w:val="00373610"/>
    <w:rsid w:val="00384773"/>
    <w:rsid w:val="003851CC"/>
    <w:rsid w:val="00385E0C"/>
    <w:rsid w:val="003910D0"/>
    <w:rsid w:val="00393F35"/>
    <w:rsid w:val="003A0B41"/>
    <w:rsid w:val="003A63AC"/>
    <w:rsid w:val="003B14BB"/>
    <w:rsid w:val="003C296B"/>
    <w:rsid w:val="003C7871"/>
    <w:rsid w:val="003D334F"/>
    <w:rsid w:val="003D4C03"/>
    <w:rsid w:val="003D5CF4"/>
    <w:rsid w:val="003E4599"/>
    <w:rsid w:val="003E7132"/>
    <w:rsid w:val="003E7A75"/>
    <w:rsid w:val="003F0451"/>
    <w:rsid w:val="003F1444"/>
    <w:rsid w:val="003F6831"/>
    <w:rsid w:val="003F782B"/>
    <w:rsid w:val="004046BB"/>
    <w:rsid w:val="00406A29"/>
    <w:rsid w:val="00407B2A"/>
    <w:rsid w:val="00417FBC"/>
    <w:rsid w:val="00420572"/>
    <w:rsid w:val="00420ECC"/>
    <w:rsid w:val="0042471E"/>
    <w:rsid w:val="004258A1"/>
    <w:rsid w:val="004308F7"/>
    <w:rsid w:val="00430932"/>
    <w:rsid w:val="004310CA"/>
    <w:rsid w:val="00445DFF"/>
    <w:rsid w:val="0045421F"/>
    <w:rsid w:val="004604CE"/>
    <w:rsid w:val="004606F1"/>
    <w:rsid w:val="00462EAF"/>
    <w:rsid w:val="00467380"/>
    <w:rsid w:val="0047218F"/>
    <w:rsid w:val="004771A6"/>
    <w:rsid w:val="00486801"/>
    <w:rsid w:val="004869F1"/>
    <w:rsid w:val="00490B76"/>
    <w:rsid w:val="004932EE"/>
    <w:rsid w:val="0049602D"/>
    <w:rsid w:val="004A0E1C"/>
    <w:rsid w:val="004A5AFF"/>
    <w:rsid w:val="004A70F6"/>
    <w:rsid w:val="004B198C"/>
    <w:rsid w:val="004B695F"/>
    <w:rsid w:val="004C0D75"/>
    <w:rsid w:val="004C1F1A"/>
    <w:rsid w:val="004C6CBE"/>
    <w:rsid w:val="004D1DE3"/>
    <w:rsid w:val="004D3EC9"/>
    <w:rsid w:val="004D44A1"/>
    <w:rsid w:val="004D6653"/>
    <w:rsid w:val="004E0B4E"/>
    <w:rsid w:val="004E1BD1"/>
    <w:rsid w:val="004E3D48"/>
    <w:rsid w:val="004F0098"/>
    <w:rsid w:val="004F1EC7"/>
    <w:rsid w:val="00504B9B"/>
    <w:rsid w:val="00510FA4"/>
    <w:rsid w:val="00511C40"/>
    <w:rsid w:val="005206D4"/>
    <w:rsid w:val="00520DEE"/>
    <w:rsid w:val="00522819"/>
    <w:rsid w:val="00532F56"/>
    <w:rsid w:val="0053355F"/>
    <w:rsid w:val="005342F5"/>
    <w:rsid w:val="00535552"/>
    <w:rsid w:val="0053795F"/>
    <w:rsid w:val="005408F0"/>
    <w:rsid w:val="00543DC4"/>
    <w:rsid w:val="00544442"/>
    <w:rsid w:val="00544CD7"/>
    <w:rsid w:val="00547830"/>
    <w:rsid w:val="00551067"/>
    <w:rsid w:val="00554278"/>
    <w:rsid w:val="00572390"/>
    <w:rsid w:val="00572C1B"/>
    <w:rsid w:val="005736BB"/>
    <w:rsid w:val="00575092"/>
    <w:rsid w:val="005752C2"/>
    <w:rsid w:val="005876D8"/>
    <w:rsid w:val="00590980"/>
    <w:rsid w:val="00590BFE"/>
    <w:rsid w:val="005957AB"/>
    <w:rsid w:val="005A3B0C"/>
    <w:rsid w:val="005A4F63"/>
    <w:rsid w:val="005A7B7A"/>
    <w:rsid w:val="005B0167"/>
    <w:rsid w:val="005B0592"/>
    <w:rsid w:val="005B676F"/>
    <w:rsid w:val="005C0037"/>
    <w:rsid w:val="005C10A1"/>
    <w:rsid w:val="005C220D"/>
    <w:rsid w:val="005C3F79"/>
    <w:rsid w:val="005C7B52"/>
    <w:rsid w:val="005D2854"/>
    <w:rsid w:val="005E1EDC"/>
    <w:rsid w:val="005E3F75"/>
    <w:rsid w:val="005E762B"/>
    <w:rsid w:val="005F46E0"/>
    <w:rsid w:val="005F6EEE"/>
    <w:rsid w:val="00601E19"/>
    <w:rsid w:val="006070A3"/>
    <w:rsid w:val="006078BF"/>
    <w:rsid w:val="00610F90"/>
    <w:rsid w:val="0061213E"/>
    <w:rsid w:val="00623AD0"/>
    <w:rsid w:val="0063124E"/>
    <w:rsid w:val="0063208F"/>
    <w:rsid w:val="00636372"/>
    <w:rsid w:val="0064311D"/>
    <w:rsid w:val="00644F4F"/>
    <w:rsid w:val="00645D2D"/>
    <w:rsid w:val="00651A33"/>
    <w:rsid w:val="00652180"/>
    <w:rsid w:val="006533E7"/>
    <w:rsid w:val="00656F14"/>
    <w:rsid w:val="00674513"/>
    <w:rsid w:val="00674AA6"/>
    <w:rsid w:val="00677436"/>
    <w:rsid w:val="00683045"/>
    <w:rsid w:val="006957D8"/>
    <w:rsid w:val="00696440"/>
    <w:rsid w:val="00696B4E"/>
    <w:rsid w:val="006A2516"/>
    <w:rsid w:val="006A56EB"/>
    <w:rsid w:val="006A5CAE"/>
    <w:rsid w:val="006B3B2B"/>
    <w:rsid w:val="006C1550"/>
    <w:rsid w:val="006C2C7F"/>
    <w:rsid w:val="006C65E6"/>
    <w:rsid w:val="006D6B43"/>
    <w:rsid w:val="006D79F8"/>
    <w:rsid w:val="006E5E83"/>
    <w:rsid w:val="006F1983"/>
    <w:rsid w:val="006F5438"/>
    <w:rsid w:val="00703E9F"/>
    <w:rsid w:val="007134B0"/>
    <w:rsid w:val="0071501B"/>
    <w:rsid w:val="0071549D"/>
    <w:rsid w:val="00732252"/>
    <w:rsid w:val="00736CEA"/>
    <w:rsid w:val="0074659F"/>
    <w:rsid w:val="00746C20"/>
    <w:rsid w:val="00754E48"/>
    <w:rsid w:val="007611F5"/>
    <w:rsid w:val="00765556"/>
    <w:rsid w:val="00766036"/>
    <w:rsid w:val="00766262"/>
    <w:rsid w:val="007662DB"/>
    <w:rsid w:val="0077177C"/>
    <w:rsid w:val="00771B29"/>
    <w:rsid w:val="0077214F"/>
    <w:rsid w:val="00772272"/>
    <w:rsid w:val="00775582"/>
    <w:rsid w:val="00787FF1"/>
    <w:rsid w:val="007932E1"/>
    <w:rsid w:val="00796F50"/>
    <w:rsid w:val="00797CB4"/>
    <w:rsid w:val="007B11FD"/>
    <w:rsid w:val="007B4F8A"/>
    <w:rsid w:val="007C10BC"/>
    <w:rsid w:val="007C15E3"/>
    <w:rsid w:val="007C2D59"/>
    <w:rsid w:val="007C3774"/>
    <w:rsid w:val="007C5014"/>
    <w:rsid w:val="007C5DC0"/>
    <w:rsid w:val="007D0D22"/>
    <w:rsid w:val="007D2C64"/>
    <w:rsid w:val="007E3468"/>
    <w:rsid w:val="007F1843"/>
    <w:rsid w:val="007F2158"/>
    <w:rsid w:val="007F2BC3"/>
    <w:rsid w:val="007F4FC5"/>
    <w:rsid w:val="00800445"/>
    <w:rsid w:val="00801B14"/>
    <w:rsid w:val="0080431E"/>
    <w:rsid w:val="008113DC"/>
    <w:rsid w:val="00813E0E"/>
    <w:rsid w:val="008153B1"/>
    <w:rsid w:val="00825D7A"/>
    <w:rsid w:val="00830EC5"/>
    <w:rsid w:val="00831387"/>
    <w:rsid w:val="00833E67"/>
    <w:rsid w:val="00834ECD"/>
    <w:rsid w:val="00834FC1"/>
    <w:rsid w:val="00840602"/>
    <w:rsid w:val="00840FF8"/>
    <w:rsid w:val="0084635E"/>
    <w:rsid w:val="00846DD5"/>
    <w:rsid w:val="008478E4"/>
    <w:rsid w:val="00855286"/>
    <w:rsid w:val="008569C3"/>
    <w:rsid w:val="008574DB"/>
    <w:rsid w:val="00857660"/>
    <w:rsid w:val="00882540"/>
    <w:rsid w:val="00882F48"/>
    <w:rsid w:val="00895746"/>
    <w:rsid w:val="00896C36"/>
    <w:rsid w:val="008A26B5"/>
    <w:rsid w:val="008A378A"/>
    <w:rsid w:val="008A7338"/>
    <w:rsid w:val="008A7842"/>
    <w:rsid w:val="008B0BED"/>
    <w:rsid w:val="008B1775"/>
    <w:rsid w:val="008B4D0D"/>
    <w:rsid w:val="008B5265"/>
    <w:rsid w:val="008B532C"/>
    <w:rsid w:val="008C29B3"/>
    <w:rsid w:val="008C2D51"/>
    <w:rsid w:val="008C2EF4"/>
    <w:rsid w:val="008C420F"/>
    <w:rsid w:val="008C4A8D"/>
    <w:rsid w:val="008C5473"/>
    <w:rsid w:val="008C6589"/>
    <w:rsid w:val="008C73E9"/>
    <w:rsid w:val="008C7F8D"/>
    <w:rsid w:val="008F1B01"/>
    <w:rsid w:val="008F3B85"/>
    <w:rsid w:val="008F72AB"/>
    <w:rsid w:val="0090305F"/>
    <w:rsid w:val="0090417B"/>
    <w:rsid w:val="00905DB7"/>
    <w:rsid w:val="00923F00"/>
    <w:rsid w:val="009243B8"/>
    <w:rsid w:val="009248E0"/>
    <w:rsid w:val="00924EBC"/>
    <w:rsid w:val="009277D4"/>
    <w:rsid w:val="009306E4"/>
    <w:rsid w:val="00937E07"/>
    <w:rsid w:val="00946F40"/>
    <w:rsid w:val="009506A9"/>
    <w:rsid w:val="00955E33"/>
    <w:rsid w:val="00961B42"/>
    <w:rsid w:val="0097277D"/>
    <w:rsid w:val="00973D64"/>
    <w:rsid w:val="00977321"/>
    <w:rsid w:val="00977675"/>
    <w:rsid w:val="009847AF"/>
    <w:rsid w:val="00990F30"/>
    <w:rsid w:val="00991E9B"/>
    <w:rsid w:val="009934EC"/>
    <w:rsid w:val="0099601A"/>
    <w:rsid w:val="009A4A7E"/>
    <w:rsid w:val="009B4714"/>
    <w:rsid w:val="009B487A"/>
    <w:rsid w:val="009C44AB"/>
    <w:rsid w:val="009D1BA4"/>
    <w:rsid w:val="009D3022"/>
    <w:rsid w:val="009E0DE5"/>
    <w:rsid w:val="009E1062"/>
    <w:rsid w:val="009E2A41"/>
    <w:rsid w:val="009E2DC5"/>
    <w:rsid w:val="009E355D"/>
    <w:rsid w:val="009E6FDA"/>
    <w:rsid w:val="009F467E"/>
    <w:rsid w:val="00A1041C"/>
    <w:rsid w:val="00A239E2"/>
    <w:rsid w:val="00A264EC"/>
    <w:rsid w:val="00A26F49"/>
    <w:rsid w:val="00A30AE4"/>
    <w:rsid w:val="00A31A12"/>
    <w:rsid w:val="00A35E45"/>
    <w:rsid w:val="00A448E3"/>
    <w:rsid w:val="00A47579"/>
    <w:rsid w:val="00A47635"/>
    <w:rsid w:val="00A532B2"/>
    <w:rsid w:val="00A53DCD"/>
    <w:rsid w:val="00A548DF"/>
    <w:rsid w:val="00A5551E"/>
    <w:rsid w:val="00A60023"/>
    <w:rsid w:val="00A60603"/>
    <w:rsid w:val="00A60E0B"/>
    <w:rsid w:val="00A61FFA"/>
    <w:rsid w:val="00A653B2"/>
    <w:rsid w:val="00A75351"/>
    <w:rsid w:val="00A77F01"/>
    <w:rsid w:val="00A83653"/>
    <w:rsid w:val="00A84B7C"/>
    <w:rsid w:val="00A84EB0"/>
    <w:rsid w:val="00A85711"/>
    <w:rsid w:val="00A86EFB"/>
    <w:rsid w:val="00A92AB0"/>
    <w:rsid w:val="00AA370A"/>
    <w:rsid w:val="00AB1911"/>
    <w:rsid w:val="00AB4BE3"/>
    <w:rsid w:val="00AB7484"/>
    <w:rsid w:val="00AC0517"/>
    <w:rsid w:val="00AC0523"/>
    <w:rsid w:val="00AC1EFF"/>
    <w:rsid w:val="00AC211F"/>
    <w:rsid w:val="00AC2F70"/>
    <w:rsid w:val="00AC328A"/>
    <w:rsid w:val="00AC58C0"/>
    <w:rsid w:val="00AE4517"/>
    <w:rsid w:val="00AF15DD"/>
    <w:rsid w:val="00AF1BD2"/>
    <w:rsid w:val="00AF63B2"/>
    <w:rsid w:val="00B020F8"/>
    <w:rsid w:val="00B021E1"/>
    <w:rsid w:val="00B0781E"/>
    <w:rsid w:val="00B15DA0"/>
    <w:rsid w:val="00B24C57"/>
    <w:rsid w:val="00B25718"/>
    <w:rsid w:val="00B2656B"/>
    <w:rsid w:val="00B27D4D"/>
    <w:rsid w:val="00B31C94"/>
    <w:rsid w:val="00B31F91"/>
    <w:rsid w:val="00B34707"/>
    <w:rsid w:val="00B40A70"/>
    <w:rsid w:val="00B4200A"/>
    <w:rsid w:val="00B42E73"/>
    <w:rsid w:val="00B46DA0"/>
    <w:rsid w:val="00B555C7"/>
    <w:rsid w:val="00B619A1"/>
    <w:rsid w:val="00B627BE"/>
    <w:rsid w:val="00B63B07"/>
    <w:rsid w:val="00B63B90"/>
    <w:rsid w:val="00B713F9"/>
    <w:rsid w:val="00B71DA6"/>
    <w:rsid w:val="00B779F3"/>
    <w:rsid w:val="00B77E71"/>
    <w:rsid w:val="00B77F2A"/>
    <w:rsid w:val="00B83E63"/>
    <w:rsid w:val="00B86CBA"/>
    <w:rsid w:val="00B871FD"/>
    <w:rsid w:val="00B87EF3"/>
    <w:rsid w:val="00B9199A"/>
    <w:rsid w:val="00B94FC1"/>
    <w:rsid w:val="00B952A0"/>
    <w:rsid w:val="00B97E9F"/>
    <w:rsid w:val="00BA0283"/>
    <w:rsid w:val="00BA4C4A"/>
    <w:rsid w:val="00BA5297"/>
    <w:rsid w:val="00BA5531"/>
    <w:rsid w:val="00BA6DF9"/>
    <w:rsid w:val="00BB0287"/>
    <w:rsid w:val="00BB7D2F"/>
    <w:rsid w:val="00BC07E0"/>
    <w:rsid w:val="00BC1DEA"/>
    <w:rsid w:val="00BC2742"/>
    <w:rsid w:val="00BC5155"/>
    <w:rsid w:val="00BD6A17"/>
    <w:rsid w:val="00BD6FD2"/>
    <w:rsid w:val="00BE13A5"/>
    <w:rsid w:val="00BE5B50"/>
    <w:rsid w:val="00BF0837"/>
    <w:rsid w:val="00BF0D9A"/>
    <w:rsid w:val="00BF26BE"/>
    <w:rsid w:val="00BF2A43"/>
    <w:rsid w:val="00BF49E9"/>
    <w:rsid w:val="00BF4A06"/>
    <w:rsid w:val="00BF6DA2"/>
    <w:rsid w:val="00BF7829"/>
    <w:rsid w:val="00C04FBC"/>
    <w:rsid w:val="00C060FF"/>
    <w:rsid w:val="00C11378"/>
    <w:rsid w:val="00C128D4"/>
    <w:rsid w:val="00C14E6C"/>
    <w:rsid w:val="00C151AB"/>
    <w:rsid w:val="00C155E8"/>
    <w:rsid w:val="00C17549"/>
    <w:rsid w:val="00C318E4"/>
    <w:rsid w:val="00C32C3C"/>
    <w:rsid w:val="00C3368E"/>
    <w:rsid w:val="00C402BA"/>
    <w:rsid w:val="00C4196E"/>
    <w:rsid w:val="00C4537C"/>
    <w:rsid w:val="00C476BE"/>
    <w:rsid w:val="00C504F5"/>
    <w:rsid w:val="00C50B9A"/>
    <w:rsid w:val="00C52DD2"/>
    <w:rsid w:val="00C54EB3"/>
    <w:rsid w:val="00C60A0E"/>
    <w:rsid w:val="00C618C0"/>
    <w:rsid w:val="00C70A9D"/>
    <w:rsid w:val="00C70CAB"/>
    <w:rsid w:val="00C73516"/>
    <w:rsid w:val="00C75654"/>
    <w:rsid w:val="00C80A1A"/>
    <w:rsid w:val="00C82444"/>
    <w:rsid w:val="00C82904"/>
    <w:rsid w:val="00C96506"/>
    <w:rsid w:val="00CA091B"/>
    <w:rsid w:val="00CA0F8A"/>
    <w:rsid w:val="00CA2F7A"/>
    <w:rsid w:val="00CA3951"/>
    <w:rsid w:val="00CA548C"/>
    <w:rsid w:val="00CA5BB4"/>
    <w:rsid w:val="00CB4E3C"/>
    <w:rsid w:val="00CB6F6F"/>
    <w:rsid w:val="00CB76C8"/>
    <w:rsid w:val="00CD771E"/>
    <w:rsid w:val="00CE5076"/>
    <w:rsid w:val="00CE59B7"/>
    <w:rsid w:val="00CE6992"/>
    <w:rsid w:val="00CF06C1"/>
    <w:rsid w:val="00CF44E8"/>
    <w:rsid w:val="00D0373C"/>
    <w:rsid w:val="00D052AD"/>
    <w:rsid w:val="00D109AA"/>
    <w:rsid w:val="00D10A00"/>
    <w:rsid w:val="00D1605E"/>
    <w:rsid w:val="00D16436"/>
    <w:rsid w:val="00D17687"/>
    <w:rsid w:val="00D25855"/>
    <w:rsid w:val="00D25CED"/>
    <w:rsid w:val="00D26416"/>
    <w:rsid w:val="00D37259"/>
    <w:rsid w:val="00D41DE4"/>
    <w:rsid w:val="00D44CED"/>
    <w:rsid w:val="00D519A5"/>
    <w:rsid w:val="00D634A4"/>
    <w:rsid w:val="00D70BB8"/>
    <w:rsid w:val="00D73DC5"/>
    <w:rsid w:val="00D8410D"/>
    <w:rsid w:val="00D843C5"/>
    <w:rsid w:val="00D91479"/>
    <w:rsid w:val="00D9333B"/>
    <w:rsid w:val="00D93D6F"/>
    <w:rsid w:val="00D95332"/>
    <w:rsid w:val="00D960C3"/>
    <w:rsid w:val="00D963FE"/>
    <w:rsid w:val="00D975D8"/>
    <w:rsid w:val="00D97FC5"/>
    <w:rsid w:val="00DA5868"/>
    <w:rsid w:val="00DB3419"/>
    <w:rsid w:val="00DB6353"/>
    <w:rsid w:val="00DC0FE2"/>
    <w:rsid w:val="00DC1C0C"/>
    <w:rsid w:val="00DC1D9F"/>
    <w:rsid w:val="00DC6073"/>
    <w:rsid w:val="00DC7606"/>
    <w:rsid w:val="00DD309C"/>
    <w:rsid w:val="00DD3CBB"/>
    <w:rsid w:val="00DD416C"/>
    <w:rsid w:val="00DD4B08"/>
    <w:rsid w:val="00DD56A8"/>
    <w:rsid w:val="00DE0208"/>
    <w:rsid w:val="00DF74A4"/>
    <w:rsid w:val="00E009DA"/>
    <w:rsid w:val="00E03B33"/>
    <w:rsid w:val="00E03FFD"/>
    <w:rsid w:val="00E04E32"/>
    <w:rsid w:val="00E062EB"/>
    <w:rsid w:val="00E067A9"/>
    <w:rsid w:val="00E07B16"/>
    <w:rsid w:val="00E16B68"/>
    <w:rsid w:val="00E21D21"/>
    <w:rsid w:val="00E23B9F"/>
    <w:rsid w:val="00E27B59"/>
    <w:rsid w:val="00E321A2"/>
    <w:rsid w:val="00E4094C"/>
    <w:rsid w:val="00E43F64"/>
    <w:rsid w:val="00E47B67"/>
    <w:rsid w:val="00E56579"/>
    <w:rsid w:val="00E56F9C"/>
    <w:rsid w:val="00E573BC"/>
    <w:rsid w:val="00E57670"/>
    <w:rsid w:val="00E60F28"/>
    <w:rsid w:val="00E614C2"/>
    <w:rsid w:val="00E61A70"/>
    <w:rsid w:val="00E65FA6"/>
    <w:rsid w:val="00E75D7B"/>
    <w:rsid w:val="00E825F1"/>
    <w:rsid w:val="00E94825"/>
    <w:rsid w:val="00EA3186"/>
    <w:rsid w:val="00EA34E7"/>
    <w:rsid w:val="00EA753B"/>
    <w:rsid w:val="00EB0353"/>
    <w:rsid w:val="00EB1B1F"/>
    <w:rsid w:val="00EB1BE4"/>
    <w:rsid w:val="00EB595E"/>
    <w:rsid w:val="00EC728A"/>
    <w:rsid w:val="00ED15FE"/>
    <w:rsid w:val="00ED42B3"/>
    <w:rsid w:val="00EE53E6"/>
    <w:rsid w:val="00EE7130"/>
    <w:rsid w:val="00EE7E94"/>
    <w:rsid w:val="00EF4CE9"/>
    <w:rsid w:val="00EF5C55"/>
    <w:rsid w:val="00EF728B"/>
    <w:rsid w:val="00EF7715"/>
    <w:rsid w:val="00F04B6A"/>
    <w:rsid w:val="00F05759"/>
    <w:rsid w:val="00F05762"/>
    <w:rsid w:val="00F07329"/>
    <w:rsid w:val="00F10BDE"/>
    <w:rsid w:val="00F128B0"/>
    <w:rsid w:val="00F130D7"/>
    <w:rsid w:val="00F14BDE"/>
    <w:rsid w:val="00F15A4E"/>
    <w:rsid w:val="00F16A8F"/>
    <w:rsid w:val="00F20F48"/>
    <w:rsid w:val="00F27213"/>
    <w:rsid w:val="00F276A0"/>
    <w:rsid w:val="00F31529"/>
    <w:rsid w:val="00F34C65"/>
    <w:rsid w:val="00F3724F"/>
    <w:rsid w:val="00F37C02"/>
    <w:rsid w:val="00F4184B"/>
    <w:rsid w:val="00F434D7"/>
    <w:rsid w:val="00F43965"/>
    <w:rsid w:val="00F4772C"/>
    <w:rsid w:val="00F536D6"/>
    <w:rsid w:val="00F571E2"/>
    <w:rsid w:val="00F66879"/>
    <w:rsid w:val="00F66ECB"/>
    <w:rsid w:val="00F67673"/>
    <w:rsid w:val="00F678BD"/>
    <w:rsid w:val="00F76DAD"/>
    <w:rsid w:val="00F81908"/>
    <w:rsid w:val="00F867E1"/>
    <w:rsid w:val="00F90186"/>
    <w:rsid w:val="00F913DA"/>
    <w:rsid w:val="00F94FF8"/>
    <w:rsid w:val="00FA0FA8"/>
    <w:rsid w:val="00FA11DB"/>
    <w:rsid w:val="00FA22EC"/>
    <w:rsid w:val="00FA26C6"/>
    <w:rsid w:val="00FA502C"/>
    <w:rsid w:val="00FA5CF5"/>
    <w:rsid w:val="00FA625B"/>
    <w:rsid w:val="00FB41F1"/>
    <w:rsid w:val="00FB5519"/>
    <w:rsid w:val="00FB6CC1"/>
    <w:rsid w:val="00FC08BC"/>
    <w:rsid w:val="00FC3A74"/>
    <w:rsid w:val="00FC7A9A"/>
    <w:rsid w:val="00FD3F21"/>
    <w:rsid w:val="00FD4AF0"/>
    <w:rsid w:val="00FD55CB"/>
    <w:rsid w:val="00FD5867"/>
    <w:rsid w:val="00FD78F3"/>
    <w:rsid w:val="00FE26DD"/>
    <w:rsid w:val="00FE55C1"/>
    <w:rsid w:val="00FF5787"/>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DBC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C6"/>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C6"/>
    <w:rPr>
      <w:rFonts w:ascii="Segoe UI" w:hAnsi="Segoe UI" w:cs="Segoe UI"/>
      <w:sz w:val="18"/>
      <w:szCs w:val="18"/>
      <w:lang w:val="en-GB"/>
    </w:rPr>
  </w:style>
  <w:style w:type="character" w:styleId="Hyperlink">
    <w:name w:val="Hyperlink"/>
    <w:basedOn w:val="DefaultParagraphFont"/>
    <w:uiPriority w:val="99"/>
    <w:unhideWhenUsed/>
    <w:rsid w:val="00FA26C6"/>
    <w:rPr>
      <w:color w:val="0563C1" w:themeColor="hyperlink"/>
      <w:u w:val="single"/>
    </w:rPr>
  </w:style>
  <w:style w:type="paragraph" w:styleId="Header">
    <w:name w:val="header"/>
    <w:basedOn w:val="Normal"/>
    <w:link w:val="HeaderChar"/>
    <w:uiPriority w:val="99"/>
    <w:unhideWhenUsed/>
    <w:rsid w:val="00FA26C6"/>
    <w:pPr>
      <w:tabs>
        <w:tab w:val="center" w:pos="4513"/>
        <w:tab w:val="right" w:pos="9026"/>
      </w:tabs>
    </w:pPr>
  </w:style>
  <w:style w:type="character" w:customStyle="1" w:styleId="HeaderChar">
    <w:name w:val="Header Char"/>
    <w:basedOn w:val="DefaultParagraphFont"/>
    <w:link w:val="Header"/>
    <w:uiPriority w:val="99"/>
    <w:rsid w:val="00FA26C6"/>
    <w:rPr>
      <w:sz w:val="22"/>
      <w:szCs w:val="22"/>
      <w:lang w:val="en-GB"/>
    </w:rPr>
  </w:style>
  <w:style w:type="paragraph" w:styleId="Footer">
    <w:name w:val="footer"/>
    <w:basedOn w:val="Normal"/>
    <w:link w:val="FooterChar"/>
    <w:uiPriority w:val="99"/>
    <w:unhideWhenUsed/>
    <w:rsid w:val="00FA26C6"/>
    <w:pPr>
      <w:tabs>
        <w:tab w:val="center" w:pos="4513"/>
        <w:tab w:val="right" w:pos="9026"/>
      </w:tabs>
    </w:pPr>
  </w:style>
  <w:style w:type="character" w:customStyle="1" w:styleId="FooterChar">
    <w:name w:val="Footer Char"/>
    <w:basedOn w:val="DefaultParagraphFont"/>
    <w:link w:val="Footer"/>
    <w:uiPriority w:val="99"/>
    <w:rsid w:val="00FA26C6"/>
    <w:rPr>
      <w:sz w:val="22"/>
      <w:szCs w:val="22"/>
      <w:lang w:val="en-GB"/>
    </w:rPr>
  </w:style>
  <w:style w:type="paragraph" w:customStyle="1" w:styleId="EndNoteBibliographyTitle">
    <w:name w:val="EndNote Bibliography Title"/>
    <w:basedOn w:val="Normal"/>
    <w:rsid w:val="00FA26C6"/>
    <w:pPr>
      <w:jc w:val="center"/>
    </w:pPr>
    <w:rPr>
      <w:rFonts w:ascii="Calibri" w:hAnsi="Calibri"/>
      <w:lang w:val="en-US"/>
    </w:rPr>
  </w:style>
  <w:style w:type="paragraph" w:customStyle="1" w:styleId="EndNoteBibliography">
    <w:name w:val="EndNote Bibliography"/>
    <w:basedOn w:val="Normal"/>
    <w:rsid w:val="00FA26C6"/>
    <w:pPr>
      <w:spacing w:line="360" w:lineRule="auto"/>
    </w:pPr>
    <w:rPr>
      <w:rFonts w:ascii="Calibri" w:hAnsi="Calibri"/>
      <w:lang w:val="en-US"/>
    </w:rPr>
  </w:style>
  <w:style w:type="character" w:styleId="CommentReference">
    <w:name w:val="annotation reference"/>
    <w:basedOn w:val="DefaultParagraphFont"/>
    <w:uiPriority w:val="99"/>
    <w:semiHidden/>
    <w:unhideWhenUsed/>
    <w:rsid w:val="00FA26C6"/>
    <w:rPr>
      <w:sz w:val="16"/>
      <w:szCs w:val="16"/>
    </w:rPr>
  </w:style>
  <w:style w:type="paragraph" w:styleId="CommentText">
    <w:name w:val="annotation text"/>
    <w:basedOn w:val="Normal"/>
    <w:link w:val="CommentTextChar"/>
    <w:uiPriority w:val="99"/>
    <w:semiHidden/>
    <w:unhideWhenUsed/>
    <w:rsid w:val="00FA26C6"/>
    <w:rPr>
      <w:sz w:val="20"/>
      <w:szCs w:val="20"/>
    </w:rPr>
  </w:style>
  <w:style w:type="character" w:customStyle="1" w:styleId="CommentTextChar">
    <w:name w:val="Comment Text Char"/>
    <w:basedOn w:val="DefaultParagraphFont"/>
    <w:link w:val="CommentText"/>
    <w:uiPriority w:val="99"/>
    <w:semiHidden/>
    <w:rsid w:val="00FA26C6"/>
    <w:rPr>
      <w:sz w:val="20"/>
      <w:szCs w:val="20"/>
      <w:lang w:val="en-GB"/>
    </w:rPr>
  </w:style>
  <w:style w:type="paragraph" w:styleId="CommentSubject">
    <w:name w:val="annotation subject"/>
    <w:basedOn w:val="CommentText"/>
    <w:next w:val="CommentText"/>
    <w:link w:val="CommentSubjectChar"/>
    <w:uiPriority w:val="99"/>
    <w:semiHidden/>
    <w:unhideWhenUsed/>
    <w:rsid w:val="00FA26C6"/>
    <w:rPr>
      <w:b/>
      <w:bCs/>
    </w:rPr>
  </w:style>
  <w:style w:type="character" w:customStyle="1" w:styleId="CommentSubjectChar">
    <w:name w:val="Comment Subject Char"/>
    <w:basedOn w:val="CommentTextChar"/>
    <w:link w:val="CommentSubject"/>
    <w:uiPriority w:val="99"/>
    <w:semiHidden/>
    <w:rsid w:val="00FA26C6"/>
    <w:rPr>
      <w:b/>
      <w:bCs/>
      <w:sz w:val="20"/>
      <w:szCs w:val="20"/>
      <w:lang w:val="en-GB"/>
    </w:rPr>
  </w:style>
  <w:style w:type="paragraph" w:styleId="Revision">
    <w:name w:val="Revision"/>
    <w:hidden/>
    <w:uiPriority w:val="99"/>
    <w:semiHidden/>
    <w:rsid w:val="00FA26C6"/>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C6"/>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C6"/>
    <w:rPr>
      <w:rFonts w:ascii="Segoe UI" w:hAnsi="Segoe UI" w:cs="Segoe UI"/>
      <w:sz w:val="18"/>
      <w:szCs w:val="18"/>
      <w:lang w:val="en-GB"/>
    </w:rPr>
  </w:style>
  <w:style w:type="character" w:styleId="Hyperlink">
    <w:name w:val="Hyperlink"/>
    <w:basedOn w:val="DefaultParagraphFont"/>
    <w:uiPriority w:val="99"/>
    <w:unhideWhenUsed/>
    <w:rsid w:val="00FA26C6"/>
    <w:rPr>
      <w:color w:val="0563C1" w:themeColor="hyperlink"/>
      <w:u w:val="single"/>
    </w:rPr>
  </w:style>
  <w:style w:type="paragraph" w:styleId="Header">
    <w:name w:val="header"/>
    <w:basedOn w:val="Normal"/>
    <w:link w:val="HeaderChar"/>
    <w:uiPriority w:val="99"/>
    <w:unhideWhenUsed/>
    <w:rsid w:val="00FA26C6"/>
    <w:pPr>
      <w:tabs>
        <w:tab w:val="center" w:pos="4513"/>
        <w:tab w:val="right" w:pos="9026"/>
      </w:tabs>
    </w:pPr>
  </w:style>
  <w:style w:type="character" w:customStyle="1" w:styleId="HeaderChar">
    <w:name w:val="Header Char"/>
    <w:basedOn w:val="DefaultParagraphFont"/>
    <w:link w:val="Header"/>
    <w:uiPriority w:val="99"/>
    <w:rsid w:val="00FA26C6"/>
    <w:rPr>
      <w:sz w:val="22"/>
      <w:szCs w:val="22"/>
      <w:lang w:val="en-GB"/>
    </w:rPr>
  </w:style>
  <w:style w:type="paragraph" w:styleId="Footer">
    <w:name w:val="footer"/>
    <w:basedOn w:val="Normal"/>
    <w:link w:val="FooterChar"/>
    <w:uiPriority w:val="99"/>
    <w:unhideWhenUsed/>
    <w:rsid w:val="00FA26C6"/>
    <w:pPr>
      <w:tabs>
        <w:tab w:val="center" w:pos="4513"/>
        <w:tab w:val="right" w:pos="9026"/>
      </w:tabs>
    </w:pPr>
  </w:style>
  <w:style w:type="character" w:customStyle="1" w:styleId="FooterChar">
    <w:name w:val="Footer Char"/>
    <w:basedOn w:val="DefaultParagraphFont"/>
    <w:link w:val="Footer"/>
    <w:uiPriority w:val="99"/>
    <w:rsid w:val="00FA26C6"/>
    <w:rPr>
      <w:sz w:val="22"/>
      <w:szCs w:val="22"/>
      <w:lang w:val="en-GB"/>
    </w:rPr>
  </w:style>
  <w:style w:type="paragraph" w:customStyle="1" w:styleId="EndNoteBibliographyTitle">
    <w:name w:val="EndNote Bibliography Title"/>
    <w:basedOn w:val="Normal"/>
    <w:rsid w:val="00FA26C6"/>
    <w:pPr>
      <w:jc w:val="center"/>
    </w:pPr>
    <w:rPr>
      <w:rFonts w:ascii="Calibri" w:hAnsi="Calibri"/>
      <w:lang w:val="en-US"/>
    </w:rPr>
  </w:style>
  <w:style w:type="paragraph" w:customStyle="1" w:styleId="EndNoteBibliography">
    <w:name w:val="EndNote Bibliography"/>
    <w:basedOn w:val="Normal"/>
    <w:rsid w:val="00FA26C6"/>
    <w:pPr>
      <w:spacing w:line="360" w:lineRule="auto"/>
    </w:pPr>
    <w:rPr>
      <w:rFonts w:ascii="Calibri" w:hAnsi="Calibri"/>
      <w:lang w:val="en-US"/>
    </w:rPr>
  </w:style>
  <w:style w:type="character" w:styleId="CommentReference">
    <w:name w:val="annotation reference"/>
    <w:basedOn w:val="DefaultParagraphFont"/>
    <w:uiPriority w:val="99"/>
    <w:semiHidden/>
    <w:unhideWhenUsed/>
    <w:rsid w:val="00FA26C6"/>
    <w:rPr>
      <w:sz w:val="16"/>
      <w:szCs w:val="16"/>
    </w:rPr>
  </w:style>
  <w:style w:type="paragraph" w:styleId="CommentText">
    <w:name w:val="annotation text"/>
    <w:basedOn w:val="Normal"/>
    <w:link w:val="CommentTextChar"/>
    <w:uiPriority w:val="99"/>
    <w:semiHidden/>
    <w:unhideWhenUsed/>
    <w:rsid w:val="00FA26C6"/>
    <w:rPr>
      <w:sz w:val="20"/>
      <w:szCs w:val="20"/>
    </w:rPr>
  </w:style>
  <w:style w:type="character" w:customStyle="1" w:styleId="CommentTextChar">
    <w:name w:val="Comment Text Char"/>
    <w:basedOn w:val="DefaultParagraphFont"/>
    <w:link w:val="CommentText"/>
    <w:uiPriority w:val="99"/>
    <w:semiHidden/>
    <w:rsid w:val="00FA26C6"/>
    <w:rPr>
      <w:sz w:val="20"/>
      <w:szCs w:val="20"/>
      <w:lang w:val="en-GB"/>
    </w:rPr>
  </w:style>
  <w:style w:type="paragraph" w:styleId="CommentSubject">
    <w:name w:val="annotation subject"/>
    <w:basedOn w:val="CommentText"/>
    <w:next w:val="CommentText"/>
    <w:link w:val="CommentSubjectChar"/>
    <w:uiPriority w:val="99"/>
    <w:semiHidden/>
    <w:unhideWhenUsed/>
    <w:rsid w:val="00FA26C6"/>
    <w:rPr>
      <w:b/>
      <w:bCs/>
    </w:rPr>
  </w:style>
  <w:style w:type="character" w:customStyle="1" w:styleId="CommentSubjectChar">
    <w:name w:val="Comment Subject Char"/>
    <w:basedOn w:val="CommentTextChar"/>
    <w:link w:val="CommentSubject"/>
    <w:uiPriority w:val="99"/>
    <w:semiHidden/>
    <w:rsid w:val="00FA26C6"/>
    <w:rPr>
      <w:b/>
      <w:bCs/>
      <w:sz w:val="20"/>
      <w:szCs w:val="20"/>
      <w:lang w:val="en-GB"/>
    </w:rPr>
  </w:style>
  <w:style w:type="paragraph" w:styleId="Revision">
    <w:name w:val="Revision"/>
    <w:hidden/>
    <w:uiPriority w:val="99"/>
    <w:semiHidden/>
    <w:rsid w:val="00FA26C6"/>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c@mrc.soton.ac.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Harvey</dc:creator>
  <cp:lastModifiedBy>Karen Drake</cp:lastModifiedBy>
  <cp:revision>2</cp:revision>
  <dcterms:created xsi:type="dcterms:W3CDTF">2017-05-03T12:41:00Z</dcterms:created>
  <dcterms:modified xsi:type="dcterms:W3CDTF">2017-05-03T12:41:00Z</dcterms:modified>
</cp:coreProperties>
</file>