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6D" w:rsidRPr="00D65BAE" w:rsidRDefault="00581822">
      <w:pPr>
        <w:rPr>
          <w:b/>
        </w:rPr>
      </w:pPr>
      <w:r w:rsidRPr="00D65BAE">
        <w:rPr>
          <w:b/>
        </w:rPr>
        <w:t xml:space="preserve">University of Southampton – ECS - Ruomeng Huang - </w:t>
      </w:r>
      <w:hyperlink r:id="rId4" w:history="1">
        <w:r w:rsidRPr="00D65BAE">
          <w:rPr>
            <w:rStyle w:val="Hyperlink"/>
            <w:b/>
          </w:rPr>
          <w:t>r.huang@soton.ac.uk</w:t>
        </w:r>
      </w:hyperlink>
    </w:p>
    <w:p w:rsidR="00581822" w:rsidRPr="00D65BAE" w:rsidRDefault="00581822">
      <w:pPr>
        <w:rPr>
          <w:b/>
        </w:rPr>
      </w:pPr>
      <w:r w:rsidRPr="00D65BAE">
        <w:rPr>
          <w:b/>
        </w:rPr>
        <w:t>The excel file contains raw data for the paper. The detailed description are below: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t>Figure 1. XRD patterns of the as deposited 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 xml:space="preserve"> tri-layer structure (red), oxygen-deficient </w:t>
      </w:r>
      <w:proofErr w:type="spellStart"/>
      <w:r w:rsidRPr="00D65BAE">
        <w:rPr>
          <w:rFonts w:asciiTheme="minorHAnsi" w:hAnsiTheme="minorHAnsi"/>
          <w:color w:val="auto"/>
        </w:rPr>
        <w:t>ZrO</w:t>
      </w:r>
      <w:r w:rsidRPr="00D65BAE">
        <w:rPr>
          <w:rFonts w:asciiTheme="minorHAnsi" w:hAnsiTheme="minorHAnsi"/>
          <w:color w:val="auto"/>
          <w:vertAlign w:val="subscript"/>
        </w:rPr>
        <w:t>x</w:t>
      </w:r>
      <w:proofErr w:type="spellEnd"/>
      <w:r w:rsidRPr="00D65BAE">
        <w:rPr>
          <w:rFonts w:asciiTheme="minorHAnsi" w:hAnsiTheme="minorHAnsi"/>
          <w:color w:val="auto"/>
        </w:rPr>
        <w:t xml:space="preserve"> layer (green), stoichiometric 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 xml:space="preserve"> layer (blue) and pure metallic </w:t>
      </w:r>
      <w:proofErr w:type="spellStart"/>
      <w:r w:rsidRPr="00D65BAE">
        <w:rPr>
          <w:rFonts w:asciiTheme="minorHAnsi" w:hAnsiTheme="minorHAnsi"/>
          <w:color w:val="auto"/>
        </w:rPr>
        <w:t>Zr</w:t>
      </w:r>
      <w:proofErr w:type="spellEnd"/>
      <w:r w:rsidRPr="00D65BAE">
        <w:rPr>
          <w:rFonts w:asciiTheme="minorHAnsi" w:hAnsiTheme="minorHAnsi"/>
          <w:color w:val="auto"/>
        </w:rPr>
        <w:t xml:space="preserve"> layer (pink).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t xml:space="preserve">Figure 2. XPS spectra of (a) </w:t>
      </w:r>
      <w:proofErr w:type="spellStart"/>
      <w:r w:rsidRPr="00D65BAE">
        <w:rPr>
          <w:rFonts w:asciiTheme="minorHAnsi" w:hAnsiTheme="minorHAnsi"/>
          <w:color w:val="auto"/>
        </w:rPr>
        <w:t>Zr</w:t>
      </w:r>
      <w:proofErr w:type="spellEnd"/>
      <w:r w:rsidRPr="00D65BAE">
        <w:rPr>
          <w:rFonts w:asciiTheme="minorHAnsi" w:hAnsiTheme="minorHAnsi"/>
          <w:color w:val="auto"/>
        </w:rPr>
        <w:t xml:space="preserve"> 3d and (b) O 1s for the 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 xml:space="preserve"> tri-layer structure over an etch time of 700 s. (c) XPS depth profile of the 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 xml:space="preserve"> tri-layer structure.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t xml:space="preserve">Figure 3. (a) ADF-STEM image of the cross section of the sample and (b) STEM-EDX elemental line profiles of the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 xml:space="preserve"> structure. 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t xml:space="preserve">Figure 4. (a) Schematic of the tri-layer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 xml:space="preserve"> memory. (b)</w:t>
      </w:r>
      <w:r w:rsidRPr="00D65BAE">
        <w:rPr>
          <w:rFonts w:asciiTheme="minorHAnsi" w:hAnsiTheme="minorHAnsi"/>
          <w:i/>
          <w:color w:val="auto"/>
        </w:rPr>
        <w:t xml:space="preserve"> I-V</w:t>
      </w:r>
      <w:r w:rsidRPr="00D65BAE">
        <w:rPr>
          <w:rFonts w:asciiTheme="minorHAnsi" w:hAnsiTheme="minorHAnsi"/>
          <w:color w:val="auto"/>
        </w:rPr>
        <w:t xml:space="preserve"> characteristics of the electroforming process for the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 xml:space="preserve"> device. (c) </w:t>
      </w:r>
      <w:r w:rsidRPr="00D65BAE">
        <w:rPr>
          <w:rFonts w:asciiTheme="minorHAnsi" w:hAnsiTheme="minorHAnsi"/>
          <w:i/>
          <w:color w:val="auto"/>
        </w:rPr>
        <w:t>I-V</w:t>
      </w:r>
      <w:r w:rsidRPr="00D65BAE">
        <w:rPr>
          <w:rFonts w:asciiTheme="minorHAnsi" w:hAnsiTheme="minorHAnsi"/>
          <w:color w:val="auto"/>
        </w:rPr>
        <w:t xml:space="preserve"> characteristics of the interfacial switching after forming. (d) Current as the function of device size for both HRS/LRS in the interfacial switching mode.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t xml:space="preserve">Figure 5. (a) </w:t>
      </w:r>
      <w:r w:rsidRPr="00D65BAE">
        <w:rPr>
          <w:rFonts w:asciiTheme="minorHAnsi" w:hAnsiTheme="minorHAnsi"/>
          <w:i/>
          <w:color w:val="auto"/>
        </w:rPr>
        <w:t>I-V</w:t>
      </w:r>
      <w:r w:rsidRPr="00D65BAE">
        <w:rPr>
          <w:rFonts w:asciiTheme="minorHAnsi" w:hAnsiTheme="minorHAnsi"/>
          <w:color w:val="auto"/>
        </w:rPr>
        <w:t xml:space="preserve"> characteristics of the transformation process (orange) from the interfacial switching (red) to the filamentary switching (blue). (b) Cumulative probability graph of HRS and LRS for both interfacial (V</w:t>
      </w:r>
      <w:r w:rsidRPr="00D65BAE">
        <w:rPr>
          <w:rFonts w:asciiTheme="minorHAnsi" w:hAnsiTheme="minorHAnsi"/>
          <w:color w:val="auto"/>
          <w:vertAlign w:val="subscript"/>
        </w:rPr>
        <w:t>RESET</w:t>
      </w:r>
      <w:r w:rsidRPr="00D65BAE">
        <w:rPr>
          <w:rFonts w:asciiTheme="minorHAnsi" w:hAnsiTheme="minorHAnsi"/>
          <w:color w:val="auto"/>
        </w:rPr>
        <w:t xml:space="preserve"> = 6 V) and filamentary switching modes. The SET process </w:t>
      </w:r>
      <w:r w:rsidRPr="00D65BAE">
        <w:rPr>
          <w:rFonts w:asciiTheme="minorHAnsi" w:hAnsiTheme="minorHAnsi"/>
          <w:i/>
          <w:color w:val="auto"/>
        </w:rPr>
        <w:t>I-V</w:t>
      </w:r>
      <w:r w:rsidRPr="00D65BAE">
        <w:rPr>
          <w:rFonts w:asciiTheme="minorHAnsi" w:hAnsiTheme="minorHAnsi"/>
          <w:color w:val="auto"/>
        </w:rPr>
        <w:t xml:space="preserve"> curves of the (c) interfacial and (d) filamentary switching modes in double-logarithmic plot.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t xml:space="preserve">Figure 6. (a) Schematic of the single layer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 xml:space="preserve"> device. (b) </w:t>
      </w:r>
      <w:r w:rsidRPr="00D65BAE">
        <w:rPr>
          <w:rFonts w:asciiTheme="minorHAnsi" w:hAnsiTheme="minorHAnsi"/>
          <w:i/>
          <w:color w:val="auto"/>
        </w:rPr>
        <w:t>I-V</w:t>
      </w:r>
      <w:r w:rsidRPr="00D65BAE">
        <w:rPr>
          <w:rFonts w:asciiTheme="minorHAnsi" w:hAnsiTheme="minorHAnsi"/>
          <w:color w:val="auto"/>
        </w:rPr>
        <w:t xml:space="preserve"> characteristics of the electroforming process for the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 xml:space="preserve"> device. (c) </w:t>
      </w:r>
      <w:r w:rsidRPr="00D65BAE">
        <w:rPr>
          <w:rFonts w:asciiTheme="minorHAnsi" w:hAnsiTheme="minorHAnsi"/>
          <w:i/>
          <w:color w:val="auto"/>
        </w:rPr>
        <w:t>I-V</w:t>
      </w:r>
      <w:r w:rsidRPr="00D65BAE">
        <w:rPr>
          <w:rFonts w:asciiTheme="minorHAnsi" w:hAnsiTheme="minorHAnsi"/>
          <w:color w:val="auto"/>
        </w:rPr>
        <w:t xml:space="preserve"> characteristics of the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 xml:space="preserve"> device after forming. (d) </w:t>
      </w:r>
      <w:r w:rsidRPr="00D65BAE">
        <w:rPr>
          <w:rFonts w:asciiTheme="minorHAnsi" w:hAnsiTheme="minorHAnsi"/>
          <w:i/>
          <w:color w:val="auto"/>
        </w:rPr>
        <w:t>I-V</w:t>
      </w:r>
      <w:r w:rsidRPr="00D65BAE">
        <w:rPr>
          <w:rFonts w:asciiTheme="minorHAnsi" w:hAnsiTheme="minorHAnsi"/>
          <w:color w:val="auto"/>
        </w:rPr>
        <w:t xml:space="preserve"> curves of the SET process in double logarithmic plot with linear fitting.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  <w:lang w:eastAsia="zh-CN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  <w:color w:val="auto"/>
        </w:rPr>
        <w:lastRenderedPageBreak/>
        <w:t xml:space="preserve">Figure 7. Schematics of the switching mechanism on the tri-layer 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2-x</w:t>
      </w:r>
      <w:r w:rsidRPr="00D65BAE">
        <w:rPr>
          <w:rFonts w:asciiTheme="minorHAnsi" w:hAnsiTheme="minorHAnsi"/>
          <w:color w:val="auto"/>
        </w:rPr>
        <w:t>/ZrO</w:t>
      </w:r>
      <w:r w:rsidRPr="00D65BAE">
        <w:rPr>
          <w:rFonts w:asciiTheme="minorHAnsi" w:hAnsiTheme="minorHAnsi"/>
          <w:color w:val="auto"/>
          <w:vertAlign w:val="subscript"/>
        </w:rPr>
        <w:t>2</w:t>
      </w:r>
      <w:r w:rsidRPr="00D65BAE">
        <w:rPr>
          <w:rFonts w:asciiTheme="minorHAnsi" w:hAnsiTheme="minorHAnsi"/>
          <w:color w:val="auto"/>
        </w:rPr>
        <w:t>/</w:t>
      </w:r>
      <w:proofErr w:type="spellStart"/>
      <w:r w:rsidRPr="00D65BAE">
        <w:rPr>
          <w:rFonts w:asciiTheme="minorHAnsi" w:hAnsiTheme="minorHAnsi"/>
          <w:color w:val="auto"/>
        </w:rPr>
        <w:t>TiN</w:t>
      </w:r>
      <w:proofErr w:type="spellEnd"/>
      <w:r w:rsidRPr="00D65BAE">
        <w:rPr>
          <w:rFonts w:asciiTheme="minorHAnsi" w:hAnsiTheme="minorHAnsi"/>
          <w:color w:val="auto"/>
        </w:rPr>
        <w:t xml:space="preserve"> device for the interfacial switching mode (a-e), the transformation from interfacial mode to filamentary mode (f) and the filamentary mode (g-h).</w:t>
      </w: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  <w:lang w:eastAsia="zh-CN"/>
        </w:rPr>
      </w:pPr>
    </w:p>
    <w:p w:rsidR="00D65BAE" w:rsidRPr="00D65BAE" w:rsidRDefault="00D65BAE" w:rsidP="00D65BAE">
      <w:pPr>
        <w:pStyle w:val="BodyChar"/>
        <w:spacing w:line="480" w:lineRule="auto"/>
        <w:rPr>
          <w:rFonts w:asciiTheme="minorHAnsi" w:hAnsiTheme="minorHAnsi"/>
          <w:color w:val="auto"/>
        </w:rPr>
      </w:pPr>
      <w:r w:rsidRPr="00D65BAE">
        <w:rPr>
          <w:rFonts w:asciiTheme="minorHAnsi" w:hAnsiTheme="minorHAnsi"/>
        </w:rPr>
        <w:t xml:space="preserve">Figure 8. (a) </w:t>
      </w:r>
      <w:r w:rsidRPr="00D65BAE">
        <w:rPr>
          <w:rFonts w:asciiTheme="minorHAnsi" w:hAnsiTheme="minorHAnsi"/>
          <w:i/>
        </w:rPr>
        <w:t>I-V</w:t>
      </w:r>
      <w:r w:rsidRPr="00D65BAE">
        <w:rPr>
          <w:rFonts w:asciiTheme="minorHAnsi" w:hAnsiTheme="minorHAnsi"/>
        </w:rPr>
        <w:t xml:space="preserve"> characteristics of the interfacial switching for the tri-layer </w:t>
      </w:r>
      <w:proofErr w:type="spellStart"/>
      <w:r w:rsidRPr="00D65BAE">
        <w:rPr>
          <w:rFonts w:asciiTheme="minorHAnsi" w:hAnsiTheme="minorHAnsi"/>
        </w:rPr>
        <w:t>TiN</w:t>
      </w:r>
      <w:proofErr w:type="spellEnd"/>
      <w:r w:rsidRPr="00D65BAE">
        <w:rPr>
          <w:rFonts w:asciiTheme="minorHAnsi" w:hAnsiTheme="minorHAnsi"/>
        </w:rPr>
        <w:t>/ZrO</w:t>
      </w:r>
      <w:r w:rsidRPr="00D65BAE">
        <w:rPr>
          <w:rFonts w:asciiTheme="minorHAnsi" w:hAnsiTheme="minorHAnsi"/>
          <w:vertAlign w:val="subscript"/>
        </w:rPr>
        <w:t>2</w:t>
      </w:r>
      <w:r w:rsidRPr="00D65BAE">
        <w:rPr>
          <w:rFonts w:asciiTheme="minorHAnsi" w:hAnsiTheme="minorHAnsi"/>
        </w:rPr>
        <w:t>/ZrO</w:t>
      </w:r>
      <w:r w:rsidRPr="00D65BAE">
        <w:rPr>
          <w:rFonts w:asciiTheme="minorHAnsi" w:hAnsiTheme="minorHAnsi"/>
          <w:vertAlign w:val="subscript"/>
        </w:rPr>
        <w:t>2-x</w:t>
      </w:r>
      <w:r w:rsidRPr="00D65BAE">
        <w:rPr>
          <w:rFonts w:asciiTheme="minorHAnsi" w:hAnsiTheme="minorHAnsi"/>
        </w:rPr>
        <w:t>/ZrO</w:t>
      </w:r>
      <w:r w:rsidRPr="00D65BAE">
        <w:rPr>
          <w:rFonts w:asciiTheme="minorHAnsi" w:hAnsiTheme="minorHAnsi"/>
          <w:vertAlign w:val="subscript"/>
        </w:rPr>
        <w:t>2</w:t>
      </w:r>
      <w:r w:rsidRPr="00D65BAE">
        <w:rPr>
          <w:rFonts w:asciiTheme="minorHAnsi" w:hAnsiTheme="minorHAnsi"/>
        </w:rPr>
        <w:t>/</w:t>
      </w:r>
      <w:proofErr w:type="spellStart"/>
      <w:r w:rsidRPr="00D65BAE">
        <w:rPr>
          <w:rFonts w:asciiTheme="minorHAnsi" w:hAnsiTheme="minorHAnsi"/>
        </w:rPr>
        <w:t>TiN</w:t>
      </w:r>
      <w:proofErr w:type="spellEnd"/>
      <w:r w:rsidRPr="00D65BAE">
        <w:rPr>
          <w:rFonts w:asciiTheme="minorHAnsi" w:hAnsiTheme="minorHAnsi"/>
        </w:rPr>
        <w:t xml:space="preserve"> device with </w:t>
      </w:r>
      <w:r w:rsidRPr="00D65BAE">
        <w:rPr>
          <w:rFonts w:asciiTheme="minorHAnsi" w:hAnsiTheme="minorHAnsi"/>
          <w:color w:val="auto"/>
        </w:rPr>
        <w:t>varying</w:t>
      </w:r>
      <w:r w:rsidRPr="00D65BAE">
        <w:rPr>
          <w:rFonts w:asciiTheme="minorHAnsi" w:hAnsiTheme="minorHAnsi"/>
        </w:rPr>
        <w:t xml:space="preserve"> RESET voltages. (b) Endurance test of 100 cycles for the interfacial switching with different RESET voltages.</w:t>
      </w:r>
    </w:p>
    <w:p w:rsidR="00581822" w:rsidRPr="00D65BAE" w:rsidRDefault="00581822"/>
    <w:p w:rsidR="00581822" w:rsidRPr="00D65BAE" w:rsidRDefault="00581822">
      <w:pPr>
        <w:rPr>
          <w:b/>
        </w:rPr>
      </w:pPr>
      <w:r w:rsidRPr="00D65BAE">
        <w:rPr>
          <w:b/>
        </w:rPr>
        <w:t>Date of data collection: from 2015-2016</w:t>
      </w:r>
    </w:p>
    <w:p w:rsidR="00581822" w:rsidRPr="00D65BAE" w:rsidRDefault="00581822">
      <w:pPr>
        <w:rPr>
          <w:b/>
        </w:rPr>
      </w:pPr>
      <w:r w:rsidRPr="00D65BAE">
        <w:rPr>
          <w:b/>
        </w:rPr>
        <w:t>Information about geographic location of the data collection: University of Southampton</w:t>
      </w:r>
    </w:p>
    <w:p w:rsidR="00581822" w:rsidRPr="00D65BAE" w:rsidRDefault="00D65BAE">
      <w:pPr>
        <w:rPr>
          <w:b/>
        </w:rPr>
      </w:pPr>
      <w:r>
        <w:rPr>
          <w:b/>
        </w:rPr>
        <w:t>Date the file was created: 17</w:t>
      </w:r>
      <w:bookmarkStart w:id="0" w:name="_GoBack"/>
      <w:bookmarkEnd w:id="0"/>
      <w:r w:rsidR="00581822" w:rsidRPr="00D65BAE">
        <w:rPr>
          <w:b/>
        </w:rPr>
        <w:t>/0</w:t>
      </w:r>
      <w:r>
        <w:rPr>
          <w:b/>
        </w:rPr>
        <w:t>5</w:t>
      </w:r>
      <w:r w:rsidR="00581822" w:rsidRPr="00D65BAE">
        <w:rPr>
          <w:b/>
        </w:rPr>
        <w:t>/17</w:t>
      </w:r>
    </w:p>
    <w:sectPr w:rsidR="00581822" w:rsidRPr="00D6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B"/>
    <w:rsid w:val="000329BD"/>
    <w:rsid w:val="00347B68"/>
    <w:rsid w:val="00422CAF"/>
    <w:rsid w:val="005307D1"/>
    <w:rsid w:val="00581822"/>
    <w:rsid w:val="008E516D"/>
    <w:rsid w:val="00D65BAE"/>
    <w:rsid w:val="00ED6A7B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3EB9-77C9-40D4-B9FE-06A314A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22"/>
    <w:rPr>
      <w:color w:val="0563C1" w:themeColor="hyperlink"/>
      <w:u w:val="single"/>
    </w:rPr>
  </w:style>
  <w:style w:type="paragraph" w:customStyle="1" w:styleId="BodyChar">
    <w:name w:val="Body Char"/>
    <w:link w:val="BodyCharChar"/>
    <w:rsid w:val="00D65BAE"/>
    <w:pPr>
      <w:tabs>
        <w:tab w:val="left" w:pos="567"/>
      </w:tabs>
      <w:spacing w:after="0" w:line="240" w:lineRule="auto"/>
      <w:jc w:val="both"/>
    </w:pPr>
    <w:rPr>
      <w:rFonts w:ascii="Times" w:eastAsia="宋体" w:hAnsi="Times" w:cs="Times New Roman"/>
      <w:color w:val="000000"/>
      <w:lang w:eastAsia="en-US"/>
    </w:rPr>
  </w:style>
  <w:style w:type="character" w:customStyle="1" w:styleId="BodyCharChar">
    <w:name w:val="Body Char Char"/>
    <w:link w:val="BodyChar"/>
    <w:rsid w:val="00D65BAE"/>
    <w:rPr>
      <w:rFonts w:ascii="Times" w:eastAsia="宋体" w:hAnsi="Times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huang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Ruomeng Huang</dc:creator>
  <cp:keywords/>
  <dc:description/>
  <cp:lastModifiedBy>Ruomeng Huang</cp:lastModifiedBy>
  <cp:revision>3</cp:revision>
  <dcterms:created xsi:type="dcterms:W3CDTF">2017-03-16T22:12:00Z</dcterms:created>
  <dcterms:modified xsi:type="dcterms:W3CDTF">2017-05-17T09:56:00Z</dcterms:modified>
</cp:coreProperties>
</file>