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6AF" w:rsidRPr="00482FAC" w:rsidRDefault="002406AF" w:rsidP="0016580E">
      <w:pPr>
        <w:pStyle w:val="Heading1"/>
        <w:spacing w:before="100" w:beforeAutospacing="1" w:after="100" w:afterAutospacing="1"/>
        <w:jc w:val="both"/>
        <w:rPr>
          <w:rFonts w:asciiTheme="minorHAnsi" w:hAnsiTheme="minorHAnsi"/>
          <w:b/>
          <w:color w:val="5B9BD5" w:themeColor="accent1"/>
          <w:sz w:val="28"/>
          <w:szCs w:val="28"/>
          <w:lang w:eastAsia="en-GB"/>
        </w:rPr>
      </w:pPr>
      <w:r w:rsidRPr="00482FAC">
        <w:rPr>
          <w:rFonts w:asciiTheme="minorHAnsi" w:hAnsiTheme="minorHAnsi"/>
          <w:b/>
          <w:color w:val="5B9BD5" w:themeColor="accent1"/>
          <w:sz w:val="28"/>
          <w:szCs w:val="28"/>
          <w:lang w:eastAsia="en-GB"/>
        </w:rPr>
        <w:t>Supporting family caregivers in the transition between hospital and their relative’s preferred place for end of life care</w:t>
      </w:r>
    </w:p>
    <w:p w:rsidR="002406AF" w:rsidRPr="00482FAC" w:rsidRDefault="002406AF" w:rsidP="0016580E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n-GB"/>
        </w:rPr>
      </w:pPr>
      <w:r w:rsidRPr="00482FAC">
        <w:rPr>
          <w:rFonts w:eastAsia="Times New Roman" w:cs="Times New Roman"/>
          <w:lang w:eastAsia="en-GB"/>
        </w:rPr>
        <w:t>Dr Sue Duke</w:t>
      </w:r>
      <w:r>
        <w:rPr>
          <w:rFonts w:eastAsia="Times New Roman" w:cs="Times New Roman"/>
          <w:lang w:eastAsia="en-GB"/>
        </w:rPr>
        <w:t xml:space="preserve">, </w:t>
      </w:r>
      <w:r w:rsidRPr="00482FAC">
        <w:rPr>
          <w:rFonts w:eastAsia="Times New Roman" w:cs="Times New Roman"/>
          <w:lang w:eastAsia="en-GB"/>
        </w:rPr>
        <w:t>Professor Alison Richardson</w:t>
      </w:r>
      <w:r>
        <w:rPr>
          <w:rFonts w:eastAsia="Times New Roman" w:cs="Times New Roman"/>
          <w:lang w:eastAsia="en-GB"/>
        </w:rPr>
        <w:t xml:space="preserve">, </w:t>
      </w:r>
      <w:r w:rsidRPr="00482FAC">
        <w:rPr>
          <w:rFonts w:eastAsia="Times New Roman" w:cs="Times New Roman"/>
          <w:lang w:eastAsia="en-GB"/>
        </w:rPr>
        <w:t>Professor Carl May</w:t>
      </w:r>
      <w:r>
        <w:rPr>
          <w:rFonts w:eastAsia="Times New Roman" w:cs="Times New Roman"/>
          <w:lang w:eastAsia="en-GB"/>
        </w:rPr>
        <w:t xml:space="preserve">, </w:t>
      </w:r>
      <w:r w:rsidRPr="00482FAC">
        <w:rPr>
          <w:rFonts w:eastAsia="Times New Roman" w:cs="Times New Roman"/>
          <w:lang w:eastAsia="en-GB"/>
        </w:rPr>
        <w:t>Dr Neil Lunt</w:t>
      </w:r>
      <w:r>
        <w:rPr>
          <w:rFonts w:eastAsia="Times New Roman" w:cs="Times New Roman"/>
          <w:lang w:eastAsia="en-GB"/>
        </w:rPr>
        <w:t xml:space="preserve">, </w:t>
      </w:r>
      <w:r w:rsidRPr="00482FAC">
        <w:rPr>
          <w:rFonts w:eastAsia="Times New Roman" w:cs="Times New Roman"/>
          <w:lang w:eastAsia="en-GB"/>
        </w:rPr>
        <w:t>Dr Susi Lund</w:t>
      </w:r>
      <w:r>
        <w:rPr>
          <w:rFonts w:eastAsia="Times New Roman" w:cs="Times New Roman"/>
          <w:lang w:eastAsia="en-GB"/>
        </w:rPr>
        <w:t xml:space="preserve">, </w:t>
      </w:r>
      <w:r w:rsidRPr="00482FAC">
        <w:rPr>
          <w:rFonts w:eastAsia="Times New Roman" w:cs="Times New Roman"/>
          <w:lang w:eastAsia="en-GB"/>
        </w:rPr>
        <w:t>Pam Firth</w:t>
      </w:r>
      <w:r>
        <w:rPr>
          <w:rFonts w:eastAsia="Times New Roman" w:cs="Times New Roman"/>
          <w:lang w:eastAsia="en-GB"/>
        </w:rPr>
        <w:t xml:space="preserve"> &amp; </w:t>
      </w:r>
      <w:r w:rsidRPr="00482FAC">
        <w:rPr>
          <w:rFonts w:eastAsia="Times New Roman" w:cs="Times New Roman"/>
          <w:lang w:eastAsia="en-GB"/>
        </w:rPr>
        <w:t>Dr Natasha Campling</w:t>
      </w:r>
    </w:p>
    <w:p w:rsidR="003F6FB1" w:rsidRPr="002406AF" w:rsidRDefault="002406AF" w:rsidP="0016580E">
      <w:pPr>
        <w:spacing w:line="240" w:lineRule="auto"/>
        <w:jc w:val="both"/>
        <w:rPr>
          <w:b/>
        </w:rPr>
      </w:pPr>
      <w:r w:rsidRPr="002406AF">
        <w:rPr>
          <w:b/>
        </w:rPr>
        <w:t>Introduction:</w:t>
      </w:r>
    </w:p>
    <w:p w:rsidR="005B0D2B" w:rsidRDefault="0016580E" w:rsidP="0016580E">
      <w:pPr>
        <w:spacing w:line="240" w:lineRule="auto"/>
        <w:jc w:val="both"/>
      </w:pPr>
      <w:r>
        <w:t>A</w:t>
      </w:r>
      <w:r w:rsidR="002406AF" w:rsidRPr="00482FAC">
        <w:t xml:space="preserve"> recent national survey of carers found that only half </w:t>
      </w:r>
      <w:r>
        <w:t xml:space="preserve">of family carers providing end of life care </w:t>
      </w:r>
      <w:r w:rsidR="002406AF" w:rsidRPr="00482FAC">
        <w:t>received the support they needed and this support was less likely to be provided in hospital</w:t>
      </w:r>
      <w:r w:rsidR="008406BA">
        <w:t xml:space="preserve"> (National Council for Palliative Care 2012)</w:t>
      </w:r>
      <w:r w:rsidR="002406AF" w:rsidRPr="00482FAC">
        <w:t xml:space="preserve">. </w:t>
      </w:r>
      <w:r w:rsidR="00C16654">
        <w:t xml:space="preserve"> </w:t>
      </w:r>
      <w:r w:rsidR="002406AF" w:rsidRPr="00482FAC">
        <w:t>Similarly, a study of discharge in older adults found that most family caregivers are not involved in discharge decisions</w:t>
      </w:r>
      <w:r w:rsidR="008406BA">
        <w:t xml:space="preserve"> (Waring et al 2014)</w:t>
      </w:r>
      <w:r w:rsidR="002406AF" w:rsidRPr="00482FAC">
        <w:t xml:space="preserve">.  </w:t>
      </w:r>
    </w:p>
    <w:p w:rsidR="002406AF" w:rsidRPr="002406AF" w:rsidRDefault="002406AF" w:rsidP="0016580E">
      <w:pPr>
        <w:spacing w:line="240" w:lineRule="auto"/>
        <w:jc w:val="both"/>
        <w:rPr>
          <w:b/>
        </w:rPr>
      </w:pPr>
      <w:r w:rsidRPr="002406AF">
        <w:rPr>
          <w:b/>
        </w:rPr>
        <w:t xml:space="preserve">Aims: </w:t>
      </w:r>
    </w:p>
    <w:p w:rsidR="00F70E23" w:rsidRPr="005B0D2B" w:rsidRDefault="005B0D2B" w:rsidP="0016580E">
      <w:pPr>
        <w:pStyle w:val="BodyText"/>
        <w:spacing w:before="100" w:beforeAutospacing="1" w:after="100" w:afterAutospacing="1" w:line="240" w:lineRule="auto"/>
        <w:jc w:val="both"/>
        <w:rPr>
          <w:w w:val="105"/>
          <w:szCs w:val="22"/>
        </w:rPr>
      </w:pPr>
      <w:r>
        <w:rPr>
          <w:szCs w:val="22"/>
        </w:rPr>
        <w:t>This</w:t>
      </w:r>
      <w:r w:rsidR="002406AF" w:rsidRPr="00482FAC">
        <w:rPr>
          <w:szCs w:val="22"/>
        </w:rPr>
        <w:t xml:space="preserve"> study aims to </w:t>
      </w:r>
      <w:r w:rsidR="0016580E">
        <w:rPr>
          <w:szCs w:val="22"/>
        </w:rPr>
        <w:t>support</w:t>
      </w:r>
      <w:r w:rsidR="002406AF" w:rsidRPr="00482FAC">
        <w:rPr>
          <w:szCs w:val="22"/>
        </w:rPr>
        <w:t xml:space="preserve"> family caregivers understand and </w:t>
      </w:r>
      <w:r w:rsidR="00C16654">
        <w:rPr>
          <w:szCs w:val="22"/>
        </w:rPr>
        <w:t>carry out w</w:t>
      </w:r>
      <w:r w:rsidR="002406AF" w:rsidRPr="00482FAC">
        <w:rPr>
          <w:szCs w:val="22"/>
        </w:rPr>
        <w:t xml:space="preserve">ork to facilitate </w:t>
      </w:r>
      <w:r w:rsidR="00C16654">
        <w:rPr>
          <w:szCs w:val="22"/>
        </w:rPr>
        <w:t xml:space="preserve">end of life </w:t>
      </w:r>
      <w:r w:rsidR="002406AF" w:rsidRPr="00482FAC">
        <w:rPr>
          <w:szCs w:val="22"/>
        </w:rPr>
        <w:t>discharge.</w:t>
      </w:r>
      <w:r w:rsidR="002406AF">
        <w:t xml:space="preserve">  </w:t>
      </w:r>
      <w:r w:rsidR="00C16654">
        <w:t>The s</w:t>
      </w:r>
      <w:r w:rsidR="0016580E">
        <w:rPr>
          <w:szCs w:val="22"/>
        </w:rPr>
        <w:t>tudy objectives</w:t>
      </w:r>
      <w:r w:rsidR="00EA6563">
        <w:rPr>
          <w:szCs w:val="22"/>
        </w:rPr>
        <w:t xml:space="preserve"> are to</w:t>
      </w:r>
      <w:r w:rsidR="00F70E23" w:rsidRPr="00482FAC">
        <w:rPr>
          <w:szCs w:val="22"/>
        </w:rPr>
        <w:t>:</w:t>
      </w:r>
    </w:p>
    <w:p w:rsidR="0016580E" w:rsidRDefault="005B0D2B" w:rsidP="0016580E">
      <w:pPr>
        <w:pStyle w:val="BodyTex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szCs w:val="22"/>
        </w:rPr>
      </w:pPr>
      <w:r>
        <w:rPr>
          <w:szCs w:val="22"/>
        </w:rPr>
        <w:t>Design and a</w:t>
      </w:r>
      <w:r w:rsidR="00F70E23" w:rsidRPr="00482FAC">
        <w:rPr>
          <w:szCs w:val="22"/>
        </w:rPr>
        <w:t xml:space="preserve">ssess the usability of the intervention for family members supporting a person being transferred from hospital to their preferred place for end of life care. </w:t>
      </w:r>
    </w:p>
    <w:p w:rsidR="00F70E23" w:rsidRPr="0016580E" w:rsidRDefault="00F70E23" w:rsidP="0016580E">
      <w:pPr>
        <w:pStyle w:val="BodyTex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szCs w:val="22"/>
        </w:rPr>
      </w:pPr>
      <w:r w:rsidRPr="0016580E">
        <w:rPr>
          <w:w w:val="105"/>
          <w:szCs w:val="22"/>
        </w:rPr>
        <w:t xml:space="preserve">Implement the intervention in hospital practice </w:t>
      </w:r>
      <w:r w:rsidR="005B0D2B" w:rsidRPr="0016580E">
        <w:rPr>
          <w:w w:val="105"/>
          <w:szCs w:val="22"/>
        </w:rPr>
        <w:t>to</w:t>
      </w:r>
      <w:r w:rsidRPr="0016580E">
        <w:rPr>
          <w:w w:val="105"/>
          <w:szCs w:val="22"/>
        </w:rPr>
        <w:t xml:space="preserve"> </w:t>
      </w:r>
      <w:r w:rsidR="00C16654">
        <w:rPr>
          <w:w w:val="105"/>
          <w:szCs w:val="22"/>
        </w:rPr>
        <w:t>reveal the</w:t>
      </w:r>
      <w:r w:rsidRPr="0016580E">
        <w:rPr>
          <w:szCs w:val="22"/>
        </w:rPr>
        <w:t xml:space="preserve"> factors that promote and inhibit implementation of the intervention;</w:t>
      </w:r>
      <w:r w:rsidR="0016580E" w:rsidRPr="0016580E">
        <w:rPr>
          <w:szCs w:val="22"/>
        </w:rPr>
        <w:t xml:space="preserve"> and </w:t>
      </w:r>
      <w:r w:rsidR="00C16654">
        <w:rPr>
          <w:szCs w:val="22"/>
        </w:rPr>
        <w:t xml:space="preserve">develop </w:t>
      </w:r>
      <w:r w:rsidR="0016580E" w:rsidRPr="0016580E">
        <w:rPr>
          <w:szCs w:val="22"/>
        </w:rPr>
        <w:t>t</w:t>
      </w:r>
      <w:r w:rsidRPr="0016580E">
        <w:rPr>
          <w:w w:val="110"/>
          <w:szCs w:val="22"/>
        </w:rPr>
        <w:t>oo</w:t>
      </w:r>
      <w:r w:rsidRPr="0016580E">
        <w:rPr>
          <w:spacing w:val="9"/>
          <w:w w:val="110"/>
          <w:szCs w:val="22"/>
        </w:rPr>
        <w:t>l</w:t>
      </w:r>
      <w:r w:rsidRPr="0016580E">
        <w:rPr>
          <w:w w:val="103"/>
          <w:szCs w:val="22"/>
        </w:rPr>
        <w:t>kits</w:t>
      </w:r>
      <w:r w:rsidRPr="0016580E">
        <w:rPr>
          <w:spacing w:val="-15"/>
          <w:szCs w:val="22"/>
        </w:rPr>
        <w:t xml:space="preserve"> </w:t>
      </w:r>
      <w:r w:rsidR="00C16654">
        <w:rPr>
          <w:w w:val="108"/>
          <w:szCs w:val="22"/>
        </w:rPr>
        <w:t xml:space="preserve">to </w:t>
      </w:r>
      <w:r w:rsidR="004538F0">
        <w:rPr>
          <w:w w:val="108"/>
          <w:szCs w:val="22"/>
        </w:rPr>
        <w:t>facilitate</w:t>
      </w:r>
      <w:r w:rsidRPr="0016580E">
        <w:rPr>
          <w:spacing w:val="6"/>
          <w:szCs w:val="22"/>
        </w:rPr>
        <w:t xml:space="preserve"> </w:t>
      </w:r>
      <w:r w:rsidRPr="0016580E">
        <w:rPr>
          <w:szCs w:val="22"/>
        </w:rPr>
        <w:t>transfer</w:t>
      </w:r>
      <w:r w:rsidRPr="0016580E">
        <w:rPr>
          <w:spacing w:val="16"/>
          <w:szCs w:val="22"/>
        </w:rPr>
        <w:t xml:space="preserve"> </w:t>
      </w:r>
      <w:r w:rsidRPr="0016580E">
        <w:rPr>
          <w:w w:val="105"/>
          <w:szCs w:val="22"/>
        </w:rPr>
        <w:t>of</w:t>
      </w:r>
      <w:r w:rsidRPr="0016580E">
        <w:rPr>
          <w:spacing w:val="-2"/>
          <w:szCs w:val="22"/>
        </w:rPr>
        <w:t xml:space="preserve"> </w:t>
      </w:r>
      <w:r w:rsidRPr="0016580E">
        <w:rPr>
          <w:w w:val="105"/>
          <w:szCs w:val="22"/>
        </w:rPr>
        <w:t>the</w:t>
      </w:r>
      <w:r w:rsidRPr="0016580E">
        <w:rPr>
          <w:spacing w:val="9"/>
          <w:szCs w:val="22"/>
        </w:rPr>
        <w:t xml:space="preserve"> </w:t>
      </w:r>
      <w:r w:rsidRPr="0016580E">
        <w:rPr>
          <w:spacing w:val="-22"/>
          <w:w w:val="162"/>
          <w:szCs w:val="22"/>
        </w:rPr>
        <w:t>i</w:t>
      </w:r>
      <w:r w:rsidRPr="0016580E">
        <w:rPr>
          <w:w w:val="106"/>
          <w:szCs w:val="22"/>
        </w:rPr>
        <w:t>nterventi</w:t>
      </w:r>
      <w:r w:rsidRPr="0016580E">
        <w:rPr>
          <w:w w:val="105"/>
          <w:szCs w:val="22"/>
        </w:rPr>
        <w:t>on</w:t>
      </w:r>
      <w:r w:rsidRPr="0016580E">
        <w:rPr>
          <w:spacing w:val="6"/>
          <w:szCs w:val="22"/>
        </w:rPr>
        <w:t xml:space="preserve"> </w:t>
      </w:r>
      <w:r w:rsidRPr="0016580E">
        <w:rPr>
          <w:w w:val="102"/>
          <w:szCs w:val="22"/>
        </w:rPr>
        <w:t>between</w:t>
      </w:r>
      <w:r w:rsidRPr="0016580E">
        <w:rPr>
          <w:spacing w:val="1"/>
          <w:szCs w:val="22"/>
        </w:rPr>
        <w:t xml:space="preserve"> </w:t>
      </w:r>
      <w:r w:rsidRPr="0016580E">
        <w:rPr>
          <w:w w:val="105"/>
          <w:szCs w:val="22"/>
        </w:rPr>
        <w:t>sett</w:t>
      </w:r>
      <w:r w:rsidRPr="0016580E">
        <w:rPr>
          <w:spacing w:val="7"/>
          <w:w w:val="105"/>
          <w:szCs w:val="22"/>
        </w:rPr>
        <w:t>i</w:t>
      </w:r>
      <w:r w:rsidRPr="0016580E">
        <w:rPr>
          <w:w w:val="92"/>
          <w:szCs w:val="22"/>
        </w:rPr>
        <w:t>ngs.</w:t>
      </w:r>
    </w:p>
    <w:p w:rsidR="002406AF" w:rsidRDefault="002406AF" w:rsidP="0016580E">
      <w:pPr>
        <w:spacing w:line="240" w:lineRule="auto"/>
        <w:jc w:val="both"/>
        <w:rPr>
          <w:b/>
        </w:rPr>
      </w:pPr>
      <w:r w:rsidRPr="00F70E23">
        <w:rPr>
          <w:b/>
        </w:rPr>
        <w:t>Methods:</w:t>
      </w:r>
    </w:p>
    <w:p w:rsidR="004538F0" w:rsidRPr="007642CE" w:rsidRDefault="00C16654" w:rsidP="004538F0">
      <w:pPr>
        <w:jc w:val="both"/>
        <w:rPr>
          <w:rFonts w:ascii="Calibri" w:eastAsia="Calibri" w:hAnsi="Calibri" w:cs="Arial"/>
        </w:rPr>
      </w:pPr>
      <w:r>
        <w:rPr>
          <w:w w:val="105"/>
        </w:rPr>
        <w:t>T</w:t>
      </w:r>
      <w:r w:rsidR="0016580E">
        <w:rPr>
          <w:w w:val="105"/>
        </w:rPr>
        <w:t>he</w:t>
      </w:r>
      <w:r w:rsidR="005B0D2B">
        <w:rPr>
          <w:w w:val="105"/>
        </w:rPr>
        <w:t xml:space="preserve"> </w:t>
      </w:r>
      <w:r w:rsidR="00F70E23" w:rsidRPr="00482FAC">
        <w:rPr>
          <w:w w:val="105"/>
        </w:rPr>
        <w:t>intervention integrates tested support</w:t>
      </w:r>
      <w:r w:rsidR="005B0D2B">
        <w:rPr>
          <w:w w:val="105"/>
        </w:rPr>
        <w:t xml:space="preserve"> components</w:t>
      </w:r>
      <w:r w:rsidR="00F70E23" w:rsidRPr="00482FAC">
        <w:rPr>
          <w:w w:val="105"/>
        </w:rPr>
        <w:t xml:space="preserve"> (reduction of uncertainty, information</w:t>
      </w:r>
      <w:r w:rsidR="005B0D2B">
        <w:rPr>
          <w:w w:val="105"/>
        </w:rPr>
        <w:t xml:space="preserve"> </w:t>
      </w:r>
      <w:r>
        <w:rPr>
          <w:w w:val="105"/>
        </w:rPr>
        <w:t xml:space="preserve">provision </w:t>
      </w:r>
      <w:r w:rsidR="005B0D2B">
        <w:rPr>
          <w:w w:val="105"/>
        </w:rPr>
        <w:t>and coaching)</w:t>
      </w:r>
      <w:r w:rsidR="00F70E23" w:rsidRPr="00482FAC">
        <w:rPr>
          <w:w w:val="105"/>
        </w:rPr>
        <w:t xml:space="preserve"> within the frame</w:t>
      </w:r>
      <w:r w:rsidR="002E65BB">
        <w:rPr>
          <w:w w:val="105"/>
        </w:rPr>
        <w:t>work of Family Sense of Coherence</w:t>
      </w:r>
      <w:bookmarkStart w:id="0" w:name="_GoBack"/>
      <w:bookmarkEnd w:id="0"/>
      <w:r w:rsidR="00F70E23" w:rsidRPr="00482FAC">
        <w:rPr>
          <w:w w:val="105"/>
        </w:rPr>
        <w:t xml:space="preserve"> Theory. </w:t>
      </w:r>
      <w:r w:rsidR="00F70E23" w:rsidRPr="00482FAC">
        <w:t xml:space="preserve">The intervention </w:t>
      </w:r>
      <w:r>
        <w:t xml:space="preserve">has been </w:t>
      </w:r>
      <w:r w:rsidR="00F70E23">
        <w:t xml:space="preserve">clinically </w:t>
      </w:r>
      <w:r w:rsidR="00F70E23" w:rsidRPr="00482FAC">
        <w:t>mo</w:t>
      </w:r>
      <w:r w:rsidR="00F70E23">
        <w:t>delled with practitioners as</w:t>
      </w:r>
      <w:r w:rsidR="00F70E23" w:rsidRPr="00482FAC">
        <w:t xml:space="preserve"> conversational prompts</w:t>
      </w:r>
      <w:r w:rsidR="00F70E23">
        <w:t>, each addressing an intervention component</w:t>
      </w:r>
      <w:r>
        <w:t xml:space="preserve"> (meaningfulness, uncertainty, comprehensibility and manageability)</w:t>
      </w:r>
      <w:r w:rsidR="005B0D2B">
        <w:t>.</w:t>
      </w:r>
      <w:r w:rsidR="004538F0">
        <w:t xml:space="preserve">  </w:t>
      </w:r>
      <w:r w:rsidR="004538F0">
        <w:rPr>
          <w:rFonts w:ascii="Calibri" w:eastAsia="Calibri" w:hAnsi="Calibri" w:cs="Arial"/>
        </w:rPr>
        <w:t>Using</w:t>
      </w:r>
      <w:r w:rsidR="004538F0" w:rsidRPr="007642CE">
        <w:rPr>
          <w:rFonts w:ascii="Calibri" w:eastAsia="Calibri" w:hAnsi="Calibri" w:cs="Arial"/>
        </w:rPr>
        <w:t xml:space="preserve"> Participatory Learni</w:t>
      </w:r>
      <w:r w:rsidR="004538F0">
        <w:rPr>
          <w:rFonts w:ascii="Calibri" w:eastAsia="Calibri" w:hAnsi="Calibri" w:cs="Arial"/>
        </w:rPr>
        <w:t xml:space="preserve">ng and Action (PLA) methodology the </w:t>
      </w:r>
      <w:r w:rsidR="008406BA">
        <w:rPr>
          <w:rFonts w:ascii="Calibri" w:eastAsia="Calibri" w:hAnsi="Calibri" w:cs="Arial"/>
        </w:rPr>
        <w:t>study</w:t>
      </w:r>
      <w:r w:rsidR="004538F0">
        <w:rPr>
          <w:rFonts w:ascii="Calibri" w:eastAsia="Calibri" w:hAnsi="Calibri" w:cs="Arial"/>
        </w:rPr>
        <w:t xml:space="preserve"> will be </w:t>
      </w:r>
      <w:r w:rsidR="004538F0" w:rsidRPr="007642CE">
        <w:rPr>
          <w:rFonts w:ascii="Calibri" w:eastAsia="Calibri" w:hAnsi="Calibri" w:cs="Arial"/>
        </w:rPr>
        <w:t xml:space="preserve">conducted in </w:t>
      </w:r>
      <w:r w:rsidR="004538F0">
        <w:rPr>
          <w:rFonts w:ascii="Calibri" w:eastAsia="Calibri" w:hAnsi="Calibri" w:cs="Arial"/>
        </w:rPr>
        <w:t xml:space="preserve">five </w:t>
      </w:r>
      <w:r w:rsidR="004538F0" w:rsidRPr="007642CE">
        <w:rPr>
          <w:rFonts w:ascii="Calibri" w:eastAsia="Calibri" w:hAnsi="Calibri" w:cs="Arial"/>
        </w:rPr>
        <w:t>developmental cycles.</w:t>
      </w:r>
    </w:p>
    <w:p w:rsidR="00F70E23" w:rsidRPr="005B0D2B" w:rsidRDefault="00F70E23" w:rsidP="0016580E">
      <w:pPr>
        <w:spacing w:line="240" w:lineRule="auto"/>
        <w:jc w:val="both"/>
        <w:rPr>
          <w:w w:val="105"/>
        </w:rPr>
      </w:pPr>
    </w:p>
    <w:p w:rsidR="002406AF" w:rsidRPr="005B0D2B" w:rsidRDefault="002406AF" w:rsidP="0016580E">
      <w:pPr>
        <w:spacing w:line="240" w:lineRule="auto"/>
        <w:jc w:val="both"/>
        <w:rPr>
          <w:b/>
        </w:rPr>
      </w:pPr>
      <w:r w:rsidRPr="005B0D2B">
        <w:rPr>
          <w:b/>
        </w:rPr>
        <w:t>Results:</w:t>
      </w:r>
      <w:r w:rsidR="00F70E23" w:rsidRPr="005B0D2B">
        <w:rPr>
          <w:b/>
        </w:rPr>
        <w:t xml:space="preserve">  </w:t>
      </w:r>
    </w:p>
    <w:p w:rsidR="00F70E23" w:rsidRPr="000D11A2" w:rsidRDefault="00F70E23" w:rsidP="0016580E">
      <w:pPr>
        <w:spacing w:line="240" w:lineRule="auto"/>
        <w:jc w:val="both"/>
      </w:pPr>
      <w:r w:rsidRPr="000D11A2">
        <w:t xml:space="preserve">The intervention will be piloted </w:t>
      </w:r>
      <w:r w:rsidR="004538F0">
        <w:t xml:space="preserve">at three clinical sites </w:t>
      </w:r>
      <w:r w:rsidR="008406BA">
        <w:t>from July 2016</w:t>
      </w:r>
      <w:r w:rsidRPr="000D11A2">
        <w:t xml:space="preserve">.  </w:t>
      </w:r>
      <w:r w:rsidR="00C16654">
        <w:t>Following this</w:t>
      </w:r>
      <w:r w:rsidR="004538F0">
        <w:t>,</w:t>
      </w:r>
      <w:r w:rsidR="00C16654">
        <w:t xml:space="preserve"> the</w:t>
      </w:r>
      <w:r w:rsidR="004538F0">
        <w:t xml:space="preserve">re will be further roll out to </w:t>
      </w:r>
      <w:r w:rsidRPr="000D11A2">
        <w:t xml:space="preserve">7 </w:t>
      </w:r>
      <w:r w:rsidR="004538F0">
        <w:t>additional</w:t>
      </w:r>
      <w:r w:rsidR="00C16654">
        <w:t xml:space="preserve"> </w:t>
      </w:r>
      <w:r w:rsidRPr="000D11A2">
        <w:t xml:space="preserve">sites across England </w:t>
      </w:r>
      <w:r w:rsidR="000D11A2" w:rsidRPr="000D11A2">
        <w:t>(throug</w:t>
      </w:r>
      <w:r w:rsidR="005B0D2B">
        <w:t xml:space="preserve">h </w:t>
      </w:r>
      <w:r w:rsidR="000D11A2" w:rsidRPr="000D11A2">
        <w:t>to September 2017)</w:t>
      </w:r>
      <w:r w:rsidRPr="000D11A2">
        <w:t>.</w:t>
      </w:r>
    </w:p>
    <w:p w:rsidR="002406AF" w:rsidRPr="00F70E23" w:rsidRDefault="002406AF" w:rsidP="0016580E">
      <w:pPr>
        <w:spacing w:line="240" w:lineRule="auto"/>
        <w:jc w:val="both"/>
        <w:rPr>
          <w:b/>
        </w:rPr>
      </w:pPr>
    </w:p>
    <w:sectPr w:rsidR="002406AF" w:rsidRPr="00F70E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6AF" w:rsidRDefault="002406AF" w:rsidP="002406AF">
      <w:pPr>
        <w:spacing w:after="0" w:line="240" w:lineRule="auto"/>
      </w:pPr>
      <w:r>
        <w:separator/>
      </w:r>
    </w:p>
  </w:endnote>
  <w:endnote w:type="continuationSeparator" w:id="0">
    <w:p w:rsidR="002406AF" w:rsidRDefault="002406AF" w:rsidP="00240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6AF" w:rsidRDefault="002406AF" w:rsidP="002406AF">
      <w:pPr>
        <w:spacing w:after="0" w:line="240" w:lineRule="auto"/>
      </w:pPr>
      <w:r>
        <w:separator/>
      </w:r>
    </w:p>
  </w:footnote>
  <w:footnote w:type="continuationSeparator" w:id="0">
    <w:p w:rsidR="002406AF" w:rsidRDefault="002406AF" w:rsidP="00240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48BA"/>
    <w:multiLevelType w:val="hybridMultilevel"/>
    <w:tmpl w:val="89FC0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FF71F8"/>
    <w:multiLevelType w:val="hybridMultilevel"/>
    <w:tmpl w:val="04603F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8606A"/>
    <w:multiLevelType w:val="hybridMultilevel"/>
    <w:tmpl w:val="39D87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F3C4A"/>
    <w:multiLevelType w:val="hybridMultilevel"/>
    <w:tmpl w:val="3E06FCF8"/>
    <w:lvl w:ilvl="0" w:tplc="5680E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9099C"/>
    <w:multiLevelType w:val="hybridMultilevel"/>
    <w:tmpl w:val="BE207E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F126F"/>
    <w:multiLevelType w:val="hybridMultilevel"/>
    <w:tmpl w:val="3E8E2414"/>
    <w:lvl w:ilvl="0" w:tplc="5680ED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1D5EC6"/>
    <w:multiLevelType w:val="hybridMultilevel"/>
    <w:tmpl w:val="559CAC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AF"/>
    <w:rsid w:val="000D11A2"/>
    <w:rsid w:val="0016580E"/>
    <w:rsid w:val="002406AF"/>
    <w:rsid w:val="002E65BB"/>
    <w:rsid w:val="004538F0"/>
    <w:rsid w:val="005B0D2B"/>
    <w:rsid w:val="008406BA"/>
    <w:rsid w:val="00C16654"/>
    <w:rsid w:val="00D949DA"/>
    <w:rsid w:val="00EA6563"/>
    <w:rsid w:val="00F428EC"/>
    <w:rsid w:val="00F7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015374-A092-497F-9E17-DDE0F367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2406AF"/>
    <w:pPr>
      <w:widowControl w:val="0"/>
      <w:spacing w:after="0" w:line="240" w:lineRule="auto"/>
      <w:outlineLvl w:val="0"/>
    </w:pPr>
    <w:rPr>
      <w:rFonts w:ascii="Arial" w:eastAsia="Arial" w:hAnsi="Arial"/>
      <w:sz w:val="25"/>
      <w:szCs w:val="2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406AF"/>
    <w:rPr>
      <w:rFonts w:ascii="Arial" w:eastAsia="Arial" w:hAnsi="Arial"/>
      <w:sz w:val="25"/>
      <w:szCs w:val="25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406AF"/>
    <w:pPr>
      <w:widowControl w:val="0"/>
      <w:spacing w:before="240" w:after="240" w:line="360" w:lineRule="auto"/>
    </w:pPr>
    <w:rPr>
      <w:rFonts w:eastAsia="Arial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406AF"/>
    <w:rPr>
      <w:rFonts w:eastAsia="Arial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406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6AF"/>
  </w:style>
  <w:style w:type="paragraph" w:styleId="Footer">
    <w:name w:val="footer"/>
    <w:basedOn w:val="Normal"/>
    <w:link w:val="FooterChar"/>
    <w:uiPriority w:val="99"/>
    <w:unhideWhenUsed/>
    <w:rsid w:val="002406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6AF"/>
  </w:style>
  <w:style w:type="paragraph" w:styleId="ListParagraph">
    <w:name w:val="List Paragraph"/>
    <w:basedOn w:val="Normal"/>
    <w:uiPriority w:val="34"/>
    <w:qFormat/>
    <w:rsid w:val="00F70E23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6D478-8D36-4414-BDF9-8C7E828E9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Campling N.C.</dc:creator>
  <cp:keywords/>
  <dc:description/>
  <cp:lastModifiedBy>Campling N.C.</cp:lastModifiedBy>
  <cp:revision>4</cp:revision>
  <dcterms:created xsi:type="dcterms:W3CDTF">2016-05-31T17:01:00Z</dcterms:created>
  <dcterms:modified xsi:type="dcterms:W3CDTF">2017-05-17T10:17:00Z</dcterms:modified>
</cp:coreProperties>
</file>