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D92" w:rsidRPr="00A97E01" w:rsidRDefault="00F54D92" w:rsidP="00F54D92">
      <w:pPr>
        <w:jc w:val="both"/>
        <w:rPr>
          <w:rFonts w:ascii="Times New Roman" w:hAnsi="Times New Roman" w:cs="Times New Roman"/>
          <w:b/>
          <w:sz w:val="24"/>
          <w:szCs w:val="24"/>
        </w:rPr>
      </w:pPr>
      <w:bookmarkStart w:id="0" w:name="_GoBack"/>
      <w:bookmarkEnd w:id="0"/>
      <w:r w:rsidRPr="00A97E01">
        <w:rPr>
          <w:rFonts w:ascii="Times New Roman" w:hAnsi="Times New Roman" w:cs="Times New Roman"/>
          <w:b/>
          <w:sz w:val="24"/>
          <w:szCs w:val="24"/>
        </w:rPr>
        <w:t>D</w:t>
      </w:r>
      <w:r w:rsidR="00D627BF" w:rsidRPr="00A97E01">
        <w:rPr>
          <w:rFonts w:ascii="Times New Roman" w:hAnsi="Times New Roman" w:cs="Times New Roman"/>
          <w:b/>
          <w:sz w:val="24"/>
          <w:szCs w:val="24"/>
        </w:rPr>
        <w:t>OES CURRENT REPORTING OF LUNG FUNCTION BY THE UK CYSTIC FIBROSIS REGISTRY ALLOW A FAIR COMPARISON OF ADULT CENTRES</w:t>
      </w:r>
      <w:r w:rsidRPr="00A97E01">
        <w:rPr>
          <w:rFonts w:ascii="Times New Roman" w:hAnsi="Times New Roman" w:cs="Times New Roman"/>
          <w:b/>
          <w:sz w:val="24"/>
          <w:szCs w:val="24"/>
        </w:rPr>
        <w:t>?</w:t>
      </w:r>
    </w:p>
    <w:p w:rsidR="00F54D92" w:rsidRPr="00A97E01" w:rsidRDefault="009028D1" w:rsidP="00F54D92">
      <w:pPr>
        <w:jc w:val="both"/>
        <w:rPr>
          <w:rFonts w:ascii="Times New Roman" w:hAnsi="Times New Roman" w:cs="Times New Roman"/>
          <w:b/>
          <w:sz w:val="24"/>
          <w:szCs w:val="24"/>
        </w:rPr>
      </w:pPr>
      <w:r w:rsidRPr="00A97E01">
        <w:rPr>
          <w:rFonts w:ascii="Times New Roman" w:hAnsi="Times New Roman" w:cs="Times New Roman"/>
          <w:b/>
          <w:sz w:val="24"/>
          <w:szCs w:val="24"/>
        </w:rPr>
        <w:t>Dr Julia Anne Nightingale</w:t>
      </w:r>
      <w:r w:rsidRPr="00A97E01">
        <w:rPr>
          <w:rFonts w:ascii="Times New Roman" w:hAnsi="Times New Roman" w:cs="Times New Roman"/>
          <w:b/>
          <w:sz w:val="24"/>
          <w:szCs w:val="24"/>
          <w:vertAlign w:val="superscript"/>
        </w:rPr>
        <w:t>a</w:t>
      </w:r>
      <w:r w:rsidRPr="00A97E01">
        <w:rPr>
          <w:rFonts w:ascii="Times New Roman" w:hAnsi="Times New Roman" w:cs="Times New Roman"/>
          <w:b/>
          <w:sz w:val="24"/>
          <w:szCs w:val="24"/>
        </w:rPr>
        <w:t xml:space="preserve"> and Professor Clive Osmond</w:t>
      </w:r>
      <w:r w:rsidRPr="00A97E01">
        <w:rPr>
          <w:rFonts w:ascii="Times New Roman" w:hAnsi="Times New Roman" w:cs="Times New Roman"/>
          <w:b/>
          <w:sz w:val="24"/>
          <w:szCs w:val="24"/>
          <w:vertAlign w:val="superscript"/>
        </w:rPr>
        <w:t>b</w:t>
      </w:r>
    </w:p>
    <w:p w:rsidR="00940984" w:rsidRPr="00A97E01" w:rsidRDefault="00940984" w:rsidP="00F54D92">
      <w:pPr>
        <w:jc w:val="both"/>
        <w:rPr>
          <w:rFonts w:ascii="Times New Roman" w:hAnsi="Times New Roman" w:cs="Times New Roman"/>
        </w:rPr>
      </w:pPr>
      <w:r w:rsidRPr="00A97E01">
        <w:rPr>
          <w:rFonts w:ascii="Times New Roman" w:hAnsi="Times New Roman" w:cs="Times New Roman"/>
        </w:rPr>
        <w:t xml:space="preserve"> </w:t>
      </w:r>
    </w:p>
    <w:p w:rsidR="009028D1" w:rsidRPr="00A97E01" w:rsidRDefault="00940984" w:rsidP="00F54D92">
      <w:pPr>
        <w:jc w:val="both"/>
        <w:rPr>
          <w:rFonts w:ascii="Times New Roman" w:hAnsi="Times New Roman" w:cs="Times New Roman"/>
        </w:rPr>
      </w:pPr>
      <w:r w:rsidRPr="00A97E01">
        <w:rPr>
          <w:rFonts w:ascii="Times New Roman" w:hAnsi="Times New Roman" w:cs="Times New Roman"/>
        </w:rPr>
        <w:t>Running title</w:t>
      </w:r>
      <w:r w:rsidR="00CB478E" w:rsidRPr="00A97E01">
        <w:rPr>
          <w:rFonts w:ascii="Times New Roman" w:hAnsi="Times New Roman" w:cs="Times New Roman"/>
        </w:rPr>
        <w:t>: A c</w:t>
      </w:r>
      <w:r w:rsidRPr="00A97E01">
        <w:rPr>
          <w:rFonts w:ascii="Times New Roman" w:hAnsi="Times New Roman" w:cs="Times New Roman"/>
        </w:rPr>
        <w:t xml:space="preserve">omparison of UK </w:t>
      </w:r>
      <w:r w:rsidR="00CB478E" w:rsidRPr="00A97E01">
        <w:rPr>
          <w:rFonts w:ascii="Times New Roman" w:hAnsi="Times New Roman" w:cs="Times New Roman"/>
        </w:rPr>
        <w:t>adult CF centre respiratory outcomes</w:t>
      </w:r>
      <w:r w:rsidRPr="00A97E01">
        <w:rPr>
          <w:rFonts w:ascii="Times New Roman" w:hAnsi="Times New Roman" w:cs="Times New Roman"/>
        </w:rPr>
        <w:t>.</w:t>
      </w:r>
    </w:p>
    <w:p w:rsidR="009028D1" w:rsidRPr="00A97E01" w:rsidRDefault="009028D1" w:rsidP="00F54D92">
      <w:pPr>
        <w:jc w:val="both"/>
        <w:rPr>
          <w:rFonts w:ascii="Times New Roman" w:hAnsi="Times New Roman" w:cs="Times New Roman"/>
        </w:rPr>
      </w:pP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Corresponding author:</w:t>
      </w:r>
    </w:p>
    <w:p w:rsidR="00F54D92" w:rsidRPr="00A97E01" w:rsidRDefault="00F54D92" w:rsidP="00F54D92">
      <w:pPr>
        <w:jc w:val="both"/>
        <w:rPr>
          <w:rFonts w:ascii="Times New Roman" w:hAnsi="Times New Roman" w:cs="Times New Roman"/>
        </w:rPr>
      </w:pPr>
    </w:p>
    <w:p w:rsidR="00F54D92" w:rsidRPr="00A97E01" w:rsidRDefault="00F54D92" w:rsidP="00F54D92">
      <w:pPr>
        <w:jc w:val="both"/>
        <w:outlineLvl w:val="0"/>
        <w:rPr>
          <w:rFonts w:ascii="Times New Roman" w:hAnsi="Times New Roman" w:cs="Times New Roman"/>
        </w:rPr>
      </w:pPr>
      <w:r w:rsidRPr="00A97E01">
        <w:rPr>
          <w:rFonts w:ascii="Times New Roman" w:hAnsi="Times New Roman" w:cs="Times New Roman"/>
        </w:rPr>
        <w:t>Dr Julia Anne Nightingale</w:t>
      </w:r>
    </w:p>
    <w:p w:rsidR="00F54D92" w:rsidRPr="00A97E01" w:rsidRDefault="009028D1" w:rsidP="00F54D92">
      <w:pPr>
        <w:jc w:val="both"/>
        <w:rPr>
          <w:rFonts w:ascii="Times New Roman" w:hAnsi="Times New Roman" w:cs="Times New Roman"/>
        </w:rPr>
      </w:pPr>
      <w:r w:rsidRPr="00A97E01">
        <w:rPr>
          <w:rFonts w:ascii="Times New Roman" w:hAnsi="Times New Roman" w:cs="Times New Roman"/>
          <w:vertAlign w:val="superscript"/>
        </w:rPr>
        <w:t>a</w:t>
      </w:r>
      <w:r w:rsidR="00F54D92" w:rsidRPr="00A97E01">
        <w:rPr>
          <w:rFonts w:ascii="Times New Roman" w:hAnsi="Times New Roman" w:cs="Times New Roman"/>
        </w:rPr>
        <w:t>Department of Adult Cystic Fibrosis</w:t>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University Hospital Southampton NHS Trust</w:t>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Southampton General Hospital</w:t>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Tremona Road</w:t>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Southampton</w:t>
      </w:r>
    </w:p>
    <w:p w:rsidR="00185EFD" w:rsidRPr="00A97E01" w:rsidRDefault="00F54D92" w:rsidP="00F54D92">
      <w:pPr>
        <w:jc w:val="both"/>
        <w:rPr>
          <w:rFonts w:ascii="Times New Roman" w:hAnsi="Times New Roman" w:cs="Times New Roman"/>
        </w:rPr>
      </w:pPr>
      <w:r w:rsidRPr="00A97E01">
        <w:rPr>
          <w:rFonts w:ascii="Times New Roman" w:hAnsi="Times New Roman" w:cs="Times New Roman"/>
        </w:rPr>
        <w:t>SO16 6YD</w:t>
      </w:r>
    </w:p>
    <w:p w:rsidR="00F54D92" w:rsidRPr="00A97E01" w:rsidRDefault="00185EFD" w:rsidP="00F54D92">
      <w:pPr>
        <w:jc w:val="both"/>
        <w:rPr>
          <w:rFonts w:ascii="Times New Roman" w:hAnsi="Times New Roman" w:cs="Times New Roman"/>
        </w:rPr>
      </w:pPr>
      <w:r w:rsidRPr="00A97E01">
        <w:rPr>
          <w:rFonts w:ascii="Times New Roman" w:hAnsi="Times New Roman" w:cs="Times New Roman"/>
        </w:rPr>
        <w:t>United Kingdom</w:t>
      </w:r>
    </w:p>
    <w:p w:rsidR="00F54D92" w:rsidRPr="00A97E01" w:rsidRDefault="00F54D92" w:rsidP="00F54D92">
      <w:pPr>
        <w:jc w:val="both"/>
        <w:rPr>
          <w:rFonts w:ascii="Times New Roman" w:hAnsi="Times New Roman" w:cs="Times New Roman"/>
        </w:rPr>
      </w:pPr>
    </w:p>
    <w:p w:rsidR="00F54D92" w:rsidRPr="00A97E01" w:rsidRDefault="0048020A" w:rsidP="00F54D92">
      <w:pPr>
        <w:jc w:val="both"/>
        <w:rPr>
          <w:rFonts w:ascii="Times New Roman" w:hAnsi="Times New Roman" w:cs="Times New Roman"/>
        </w:rPr>
      </w:pPr>
      <w:hyperlink r:id="rId6" w:history="1">
        <w:r w:rsidR="00F54D92" w:rsidRPr="00A97E01">
          <w:rPr>
            <w:rStyle w:val="Hyperlink"/>
            <w:rFonts w:ascii="Times New Roman" w:hAnsi="Times New Roman" w:cs="Times New Roman"/>
            <w:color w:val="auto"/>
          </w:rPr>
          <w:t>julia.nightingale@uhs.nhs.uk</w:t>
        </w:r>
      </w:hyperlink>
    </w:p>
    <w:p w:rsidR="00F54D92" w:rsidRPr="00A97E01" w:rsidRDefault="00F54D92" w:rsidP="00F54D92">
      <w:pPr>
        <w:jc w:val="both"/>
        <w:rPr>
          <w:rFonts w:ascii="Times New Roman" w:hAnsi="Times New Roman" w:cs="Times New Roman"/>
        </w:rPr>
      </w:pPr>
    </w:p>
    <w:p w:rsidR="00E20AB4" w:rsidRPr="00A97E01" w:rsidRDefault="00E20AB4" w:rsidP="00F54D92">
      <w:pPr>
        <w:jc w:val="both"/>
        <w:rPr>
          <w:rFonts w:ascii="Times New Roman" w:hAnsi="Times New Roman" w:cs="Times New Roman"/>
        </w:rPr>
      </w:pP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Co-author:</w:t>
      </w:r>
    </w:p>
    <w:p w:rsidR="00F54D92" w:rsidRPr="00A97E01" w:rsidRDefault="00F54D92" w:rsidP="00F54D92">
      <w:pPr>
        <w:jc w:val="both"/>
        <w:rPr>
          <w:rFonts w:ascii="Times New Roman" w:hAnsi="Times New Roman" w:cs="Times New Roman"/>
        </w:rPr>
      </w:pP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 xml:space="preserve">Professor Clive Osmond. </w:t>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Professor of Biostatistics</w:t>
      </w:r>
    </w:p>
    <w:p w:rsidR="00F54D92" w:rsidRPr="00A97E01" w:rsidRDefault="009028D1" w:rsidP="00F54D92">
      <w:pPr>
        <w:jc w:val="both"/>
        <w:rPr>
          <w:rFonts w:ascii="Times New Roman" w:hAnsi="Times New Roman" w:cs="Times New Roman"/>
        </w:rPr>
      </w:pPr>
      <w:r w:rsidRPr="00A97E01">
        <w:rPr>
          <w:rFonts w:ascii="Times New Roman" w:hAnsi="Times New Roman" w:cs="Times New Roman"/>
          <w:vertAlign w:val="superscript"/>
        </w:rPr>
        <w:t>b</w:t>
      </w:r>
      <w:r w:rsidR="00F54D92" w:rsidRPr="00A97E01">
        <w:rPr>
          <w:rFonts w:ascii="Times New Roman" w:hAnsi="Times New Roman" w:cs="Times New Roman"/>
        </w:rPr>
        <w:t>MRC Lifecourse Epidemiology Unit</w:t>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University of Southampton</w:t>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Southampton</w:t>
      </w:r>
      <w:r w:rsidRPr="00A97E01">
        <w:rPr>
          <w:rFonts w:ascii="Times New Roman" w:hAnsi="Times New Roman" w:cs="Times New Roman"/>
        </w:rPr>
        <w:tab/>
      </w:r>
      <w:r w:rsidRPr="00A97E01">
        <w:rPr>
          <w:rFonts w:ascii="Times New Roman" w:hAnsi="Times New Roman" w:cs="Times New Roman"/>
        </w:rPr>
        <w:tab/>
      </w:r>
      <w:r w:rsidRPr="00A97E01">
        <w:rPr>
          <w:rFonts w:ascii="Times New Roman" w:hAnsi="Times New Roman" w:cs="Times New Roman"/>
        </w:rPr>
        <w:tab/>
      </w:r>
      <w:r w:rsidRPr="00A97E01">
        <w:rPr>
          <w:rFonts w:ascii="Times New Roman" w:hAnsi="Times New Roman" w:cs="Times New Roman"/>
        </w:rPr>
        <w:tab/>
      </w:r>
      <w:r w:rsidRPr="00A97E01">
        <w:rPr>
          <w:rFonts w:ascii="Times New Roman" w:hAnsi="Times New Roman" w:cs="Times New Roman"/>
        </w:rPr>
        <w:tab/>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SO16 6YD</w:t>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United Kingdom</w:t>
      </w:r>
      <w:r w:rsidRPr="00A97E01">
        <w:rPr>
          <w:rFonts w:ascii="Times New Roman" w:hAnsi="Times New Roman" w:cs="Times New Roman"/>
        </w:rPr>
        <w:tab/>
      </w:r>
      <w:r w:rsidRPr="00A97E01">
        <w:rPr>
          <w:rFonts w:ascii="Times New Roman" w:hAnsi="Times New Roman" w:cs="Times New Roman"/>
        </w:rPr>
        <w:tab/>
      </w:r>
      <w:r w:rsidRPr="00A97E01">
        <w:rPr>
          <w:rFonts w:ascii="Times New Roman" w:hAnsi="Times New Roman" w:cs="Times New Roman"/>
        </w:rPr>
        <w:tab/>
      </w:r>
      <w:r w:rsidRPr="00A97E01">
        <w:rPr>
          <w:rFonts w:ascii="Times New Roman" w:hAnsi="Times New Roman" w:cs="Times New Roman"/>
        </w:rPr>
        <w:tab/>
      </w:r>
      <w:r w:rsidRPr="00A97E01">
        <w:rPr>
          <w:rFonts w:ascii="Times New Roman" w:hAnsi="Times New Roman" w:cs="Times New Roman"/>
        </w:rPr>
        <w:tab/>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ab/>
      </w:r>
    </w:p>
    <w:p w:rsidR="00F54D92" w:rsidRPr="00A97E01" w:rsidRDefault="0048020A" w:rsidP="00F54D92">
      <w:pPr>
        <w:jc w:val="both"/>
        <w:rPr>
          <w:rFonts w:ascii="Times New Roman" w:hAnsi="Times New Roman" w:cs="Times New Roman"/>
        </w:rPr>
      </w:pPr>
      <w:hyperlink r:id="rId7" w:history="1">
        <w:r w:rsidR="00F54D92" w:rsidRPr="00A97E01">
          <w:rPr>
            <w:rStyle w:val="Hyperlink"/>
            <w:rFonts w:ascii="Times New Roman" w:hAnsi="Times New Roman" w:cs="Times New Roman"/>
            <w:color w:val="auto"/>
          </w:rPr>
          <w:t>co@mrc.soton.ac.uk</w:t>
        </w:r>
      </w:hyperlink>
    </w:p>
    <w:p w:rsidR="00F54D92" w:rsidRPr="00A97E01" w:rsidRDefault="00F54D92" w:rsidP="00F54D92">
      <w:pPr>
        <w:jc w:val="both"/>
        <w:rPr>
          <w:rFonts w:ascii="Times New Roman" w:hAnsi="Times New Roman" w:cs="Times New Roman"/>
        </w:rPr>
      </w:pPr>
    </w:p>
    <w:p w:rsidR="00F54D92" w:rsidRPr="00A97E01" w:rsidRDefault="00F54D92" w:rsidP="00F54D92">
      <w:pPr>
        <w:jc w:val="both"/>
        <w:rPr>
          <w:rFonts w:ascii="Times New Roman" w:hAnsi="Times New Roman" w:cs="Times New Roman"/>
        </w:rPr>
      </w:pPr>
    </w:p>
    <w:p w:rsidR="00E20AB4" w:rsidRPr="00A97E01" w:rsidRDefault="00E20AB4" w:rsidP="00F54D92">
      <w:pPr>
        <w:jc w:val="both"/>
        <w:rPr>
          <w:rFonts w:ascii="Times New Roman" w:hAnsi="Times New Roman" w:cs="Times New Roman"/>
        </w:rPr>
      </w:pP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Key words:</w:t>
      </w:r>
    </w:p>
    <w:p w:rsidR="00F54D92" w:rsidRPr="00A97E01" w:rsidRDefault="00F54D92" w:rsidP="00F54D92">
      <w:pPr>
        <w:jc w:val="both"/>
        <w:rPr>
          <w:rFonts w:ascii="Times New Roman" w:hAnsi="Times New Roman" w:cs="Times New Roman"/>
        </w:rPr>
      </w:pPr>
    </w:p>
    <w:p w:rsidR="00F54D92" w:rsidRPr="00A97E01" w:rsidRDefault="00F54D92" w:rsidP="00F54D92">
      <w:pPr>
        <w:jc w:val="both"/>
        <w:outlineLvl w:val="0"/>
        <w:rPr>
          <w:rFonts w:ascii="Times New Roman" w:hAnsi="Times New Roman" w:cs="Times New Roman"/>
        </w:rPr>
      </w:pPr>
      <w:r w:rsidRPr="00A97E01">
        <w:rPr>
          <w:rFonts w:ascii="Times New Roman" w:hAnsi="Times New Roman" w:cs="Times New Roman"/>
        </w:rPr>
        <w:t>Cystic Fibrosis</w:t>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Clinical Epidemiology</w:t>
      </w:r>
    </w:p>
    <w:p w:rsidR="00F54D92" w:rsidRPr="00A97E01" w:rsidRDefault="00F54D92" w:rsidP="00F54D92">
      <w:pPr>
        <w:jc w:val="both"/>
        <w:rPr>
          <w:rFonts w:ascii="Times New Roman" w:hAnsi="Times New Roman" w:cs="Times New Roman"/>
        </w:rPr>
      </w:pPr>
      <w:r w:rsidRPr="00A97E01">
        <w:rPr>
          <w:rFonts w:ascii="Times New Roman" w:hAnsi="Times New Roman" w:cs="Times New Roman"/>
        </w:rPr>
        <w:t>Respiratory Measurement</w:t>
      </w:r>
    </w:p>
    <w:p w:rsidR="00F54D92" w:rsidRPr="00A97E01" w:rsidRDefault="00F54D92" w:rsidP="00F54D92">
      <w:pPr>
        <w:jc w:val="both"/>
        <w:rPr>
          <w:rFonts w:ascii="Times New Roman" w:hAnsi="Times New Roman" w:cs="Times New Roman"/>
        </w:rPr>
      </w:pPr>
    </w:p>
    <w:p w:rsidR="00F54D92" w:rsidRPr="00A97E01" w:rsidRDefault="00F54D92" w:rsidP="00F54D92">
      <w:pPr>
        <w:jc w:val="both"/>
        <w:rPr>
          <w:rFonts w:ascii="Times New Roman" w:hAnsi="Times New Roman" w:cs="Times New Roman"/>
        </w:rPr>
      </w:pPr>
    </w:p>
    <w:p w:rsidR="00F54D92" w:rsidRPr="00A97E01" w:rsidRDefault="00F54D92" w:rsidP="00F54D92">
      <w:pPr>
        <w:spacing w:line="360" w:lineRule="auto"/>
        <w:jc w:val="both"/>
        <w:rPr>
          <w:rFonts w:ascii="Times New Roman" w:hAnsi="Times New Roman" w:cs="Times New Roman"/>
          <w:b/>
          <w:sz w:val="24"/>
          <w:szCs w:val="24"/>
        </w:rPr>
      </w:pPr>
    </w:p>
    <w:p w:rsidR="007E5B57" w:rsidRPr="00A97E01" w:rsidRDefault="007E5B57">
      <w:pPr>
        <w:rPr>
          <w:rFonts w:ascii="Times New Roman" w:hAnsi="Times New Roman" w:cs="Times New Roman"/>
          <w:b/>
          <w:sz w:val="24"/>
          <w:szCs w:val="24"/>
        </w:rPr>
      </w:pPr>
      <w:r w:rsidRPr="00A97E01">
        <w:rPr>
          <w:rFonts w:ascii="Times New Roman" w:hAnsi="Times New Roman" w:cs="Times New Roman"/>
          <w:b/>
          <w:sz w:val="24"/>
          <w:szCs w:val="24"/>
        </w:rPr>
        <w:br w:type="page"/>
      </w:r>
    </w:p>
    <w:p w:rsidR="00F54D92" w:rsidRPr="00A97E01" w:rsidRDefault="00F54D92" w:rsidP="00F54D92">
      <w:pPr>
        <w:jc w:val="both"/>
        <w:rPr>
          <w:rFonts w:ascii="Times New Roman" w:hAnsi="Times New Roman" w:cs="Times New Roman"/>
          <w:b/>
          <w:sz w:val="24"/>
          <w:szCs w:val="24"/>
        </w:rPr>
      </w:pPr>
      <w:r w:rsidRPr="00A97E01">
        <w:rPr>
          <w:rFonts w:ascii="Times New Roman" w:hAnsi="Times New Roman" w:cs="Times New Roman"/>
          <w:b/>
          <w:sz w:val="24"/>
          <w:szCs w:val="24"/>
        </w:rPr>
        <w:lastRenderedPageBreak/>
        <w:t>Abstract</w:t>
      </w:r>
    </w:p>
    <w:p w:rsidR="00F54D92" w:rsidRPr="00A97E01" w:rsidRDefault="00F54D92" w:rsidP="00F54D92">
      <w:pPr>
        <w:spacing w:line="360" w:lineRule="auto"/>
        <w:jc w:val="both"/>
        <w:rPr>
          <w:rFonts w:ascii="Times New Roman" w:hAnsi="Times New Roman" w:cs="Times New Roman"/>
          <w:b/>
          <w:sz w:val="24"/>
          <w:szCs w:val="24"/>
        </w:rPr>
      </w:pPr>
    </w:p>
    <w:p w:rsidR="00F54D92" w:rsidRPr="00A97E01" w:rsidRDefault="00F54D92" w:rsidP="00F54D92">
      <w:pPr>
        <w:spacing w:line="360" w:lineRule="auto"/>
        <w:jc w:val="both"/>
        <w:rPr>
          <w:rFonts w:ascii="Times New Roman" w:hAnsi="Times New Roman" w:cs="Times New Roman"/>
          <w:b/>
          <w:sz w:val="24"/>
          <w:szCs w:val="24"/>
        </w:rPr>
      </w:pPr>
      <w:r w:rsidRPr="00A97E01">
        <w:rPr>
          <w:rFonts w:ascii="Times New Roman" w:hAnsi="Times New Roman" w:cs="Times New Roman"/>
          <w:i/>
          <w:sz w:val="24"/>
          <w:szCs w:val="24"/>
        </w:rPr>
        <w:t>Background</w:t>
      </w:r>
      <w:r w:rsidRPr="00A97E01">
        <w:rPr>
          <w:rFonts w:ascii="Times New Roman" w:hAnsi="Times New Roman" w:cs="Times New Roman"/>
          <w:b/>
          <w:sz w:val="24"/>
          <w:szCs w:val="24"/>
        </w:rPr>
        <w:t xml:space="preserve">: </w:t>
      </w:r>
      <w:r w:rsidR="00D3550E" w:rsidRPr="00A97E01">
        <w:rPr>
          <w:rFonts w:ascii="Times New Roman" w:hAnsi="Times New Roman" w:cs="Times New Roman"/>
          <w:sz w:val="24"/>
          <w:szCs w:val="24"/>
        </w:rPr>
        <w:t>Outcome data for UK cystic fibrosis centres are publicly available in</w:t>
      </w:r>
      <w:r w:rsidR="005C66DA" w:rsidRPr="00A97E01">
        <w:rPr>
          <w:rFonts w:ascii="Times New Roman" w:hAnsi="Times New Roman" w:cs="Times New Roman"/>
          <w:sz w:val="24"/>
          <w:szCs w:val="24"/>
        </w:rPr>
        <w:t xml:space="preserve"> an</w:t>
      </w:r>
      <w:r w:rsidR="00D3550E" w:rsidRPr="00A97E01">
        <w:rPr>
          <w:rFonts w:ascii="Times New Roman" w:hAnsi="Times New Roman" w:cs="Times New Roman"/>
          <w:sz w:val="24"/>
          <w:szCs w:val="24"/>
        </w:rPr>
        <w:t xml:space="preserve"> annual report</w:t>
      </w:r>
      <w:r w:rsidR="00BA23D5" w:rsidRPr="00A97E01">
        <w:rPr>
          <w:rFonts w:ascii="Times New Roman" w:hAnsi="Times New Roman" w:cs="Times New Roman"/>
          <w:sz w:val="24"/>
          <w:szCs w:val="24"/>
        </w:rPr>
        <w:t>, which ranks centres by median FEV1%</w:t>
      </w:r>
      <w:r w:rsidR="00B45A94" w:rsidRPr="00A97E01">
        <w:rPr>
          <w:rFonts w:ascii="Times New Roman" w:hAnsi="Times New Roman" w:cs="Times New Roman"/>
          <w:sz w:val="24"/>
          <w:szCs w:val="24"/>
        </w:rPr>
        <w:t xml:space="preserve"> predicted</w:t>
      </w:r>
      <w:r w:rsidR="00D3550E" w:rsidRPr="00A97E01">
        <w:rPr>
          <w:rFonts w:ascii="Times New Roman" w:hAnsi="Times New Roman" w:cs="Times New Roman"/>
          <w:sz w:val="24"/>
          <w:szCs w:val="24"/>
        </w:rPr>
        <w:t>. We wished to assess whether there are differences in l</w:t>
      </w:r>
      <w:r w:rsidR="00BA23D5" w:rsidRPr="00A97E01">
        <w:rPr>
          <w:rFonts w:ascii="Times New Roman" w:hAnsi="Times New Roman" w:cs="Times New Roman"/>
          <w:sz w:val="24"/>
          <w:szCs w:val="24"/>
        </w:rPr>
        <w:t>ung function outcomes between</w:t>
      </w:r>
      <w:r w:rsidR="00D3550E" w:rsidRPr="00A97E01">
        <w:rPr>
          <w:rFonts w:ascii="Times New Roman" w:hAnsi="Times New Roman" w:cs="Times New Roman"/>
          <w:sz w:val="24"/>
          <w:szCs w:val="24"/>
        </w:rPr>
        <w:t xml:space="preserve"> adult centres </w:t>
      </w:r>
      <w:r w:rsidR="00BA23D5" w:rsidRPr="00A97E01">
        <w:rPr>
          <w:rFonts w:ascii="Times New Roman" w:hAnsi="Times New Roman" w:cs="Times New Roman"/>
          <w:sz w:val="24"/>
          <w:szCs w:val="24"/>
        </w:rPr>
        <w:t>that</w:t>
      </w:r>
      <w:r w:rsidR="00D3550E" w:rsidRPr="00A97E01">
        <w:rPr>
          <w:rFonts w:ascii="Times New Roman" w:hAnsi="Times New Roman" w:cs="Times New Roman"/>
          <w:sz w:val="24"/>
          <w:szCs w:val="24"/>
        </w:rPr>
        <w:t xml:space="preserve"> might imply differing standards of care.</w:t>
      </w:r>
    </w:p>
    <w:p w:rsidR="00F54D92" w:rsidRPr="00A97E01" w:rsidRDefault="00F54D92" w:rsidP="00F54D92">
      <w:pPr>
        <w:spacing w:line="360" w:lineRule="auto"/>
        <w:jc w:val="both"/>
        <w:rPr>
          <w:rFonts w:ascii="Times New Roman" w:hAnsi="Times New Roman" w:cs="Times New Roman"/>
          <w:sz w:val="24"/>
          <w:szCs w:val="24"/>
        </w:rPr>
      </w:pPr>
      <w:r w:rsidRPr="00A97E01">
        <w:rPr>
          <w:rFonts w:ascii="Times New Roman" w:hAnsi="Times New Roman" w:cs="Times New Roman"/>
          <w:i/>
          <w:sz w:val="24"/>
          <w:szCs w:val="24"/>
        </w:rPr>
        <w:t>Methods:</w:t>
      </w:r>
      <w:r w:rsidRPr="00A97E01">
        <w:rPr>
          <w:rFonts w:ascii="Times New Roman" w:hAnsi="Times New Roman" w:cs="Times New Roman"/>
          <w:b/>
          <w:sz w:val="24"/>
          <w:szCs w:val="24"/>
        </w:rPr>
        <w:t xml:space="preserve"> </w:t>
      </w:r>
      <w:r w:rsidR="00BA23D5" w:rsidRPr="00A97E01">
        <w:rPr>
          <w:rFonts w:ascii="Times New Roman" w:hAnsi="Times New Roman" w:cs="Times New Roman"/>
          <w:sz w:val="24"/>
          <w:szCs w:val="24"/>
        </w:rPr>
        <w:t>UK</w:t>
      </w:r>
      <w:r w:rsidR="00BA23D5" w:rsidRPr="00A97E01">
        <w:rPr>
          <w:rFonts w:ascii="Times New Roman" w:hAnsi="Times New Roman" w:cs="Times New Roman"/>
          <w:b/>
          <w:sz w:val="24"/>
          <w:szCs w:val="24"/>
        </w:rPr>
        <w:t xml:space="preserve"> </w:t>
      </w:r>
      <w:r w:rsidRPr="00A97E01">
        <w:rPr>
          <w:rFonts w:ascii="Times New Roman" w:hAnsi="Times New Roman" w:cs="Times New Roman"/>
          <w:sz w:val="24"/>
          <w:szCs w:val="24"/>
        </w:rPr>
        <w:t>Registry data from 4,761 subjects at 34 anonymised adult centres</w:t>
      </w:r>
      <w:r w:rsidR="00BA23D5" w:rsidRPr="00A97E01">
        <w:rPr>
          <w:rFonts w:ascii="Times New Roman" w:hAnsi="Times New Roman" w:cs="Times New Roman"/>
          <w:sz w:val="24"/>
          <w:szCs w:val="24"/>
        </w:rPr>
        <w:t xml:space="preserve"> </w:t>
      </w:r>
      <w:r w:rsidRPr="00A97E01">
        <w:rPr>
          <w:rFonts w:ascii="Times New Roman" w:hAnsi="Times New Roman" w:cs="Times New Roman"/>
          <w:sz w:val="24"/>
          <w:szCs w:val="24"/>
        </w:rPr>
        <w:t xml:space="preserve">were used to </w:t>
      </w:r>
      <w:r w:rsidR="00D3550E" w:rsidRPr="00A97E01">
        <w:rPr>
          <w:rFonts w:ascii="Times New Roman" w:hAnsi="Times New Roman" w:cs="Times New Roman"/>
          <w:sz w:val="24"/>
          <w:szCs w:val="24"/>
        </w:rPr>
        <w:t>calculate mean FEV</w:t>
      </w:r>
      <w:r w:rsidR="00D3550E" w:rsidRPr="00A97E01">
        <w:rPr>
          <w:rFonts w:ascii="Times New Roman" w:hAnsi="Times New Roman" w:cs="Times New Roman"/>
          <w:sz w:val="24"/>
          <w:szCs w:val="24"/>
          <w:vertAlign w:val="subscript"/>
        </w:rPr>
        <w:t>1</w:t>
      </w:r>
      <w:r w:rsidR="00BA23D5" w:rsidRPr="00A97E01">
        <w:rPr>
          <w:rFonts w:ascii="Times New Roman" w:hAnsi="Times New Roman" w:cs="Times New Roman"/>
          <w:sz w:val="24"/>
          <w:szCs w:val="24"/>
        </w:rPr>
        <w:t>%</w:t>
      </w:r>
      <w:r w:rsidR="00D3550E" w:rsidRPr="00A97E01">
        <w:rPr>
          <w:rFonts w:ascii="Times New Roman" w:hAnsi="Times New Roman" w:cs="Times New Roman"/>
          <w:sz w:val="24"/>
          <w:szCs w:val="24"/>
        </w:rPr>
        <w:t xml:space="preserve"> and rate of cha</w:t>
      </w:r>
      <w:r w:rsidR="00C5452C" w:rsidRPr="00A97E01">
        <w:rPr>
          <w:rFonts w:ascii="Times New Roman" w:hAnsi="Times New Roman" w:cs="Times New Roman"/>
          <w:sz w:val="24"/>
          <w:szCs w:val="24"/>
        </w:rPr>
        <w:t>nge of lung function</w:t>
      </w:r>
      <w:r w:rsidR="00BA23D5" w:rsidRPr="00A97E01">
        <w:rPr>
          <w:rFonts w:ascii="Times New Roman" w:hAnsi="Times New Roman" w:cs="Times New Roman"/>
          <w:sz w:val="24"/>
          <w:szCs w:val="24"/>
        </w:rPr>
        <w:t xml:space="preserve"> for 2007-13</w:t>
      </w:r>
      <w:r w:rsidR="00C5452C" w:rsidRPr="00A97E01">
        <w:rPr>
          <w:rFonts w:ascii="Times New Roman" w:hAnsi="Times New Roman" w:cs="Times New Roman"/>
          <w:sz w:val="24"/>
          <w:szCs w:val="24"/>
        </w:rPr>
        <w:t xml:space="preserve">. </w:t>
      </w:r>
      <w:r w:rsidR="00BA23D5" w:rsidRPr="00A97E01">
        <w:rPr>
          <w:rFonts w:ascii="Times New Roman" w:hAnsi="Times New Roman" w:cs="Times New Roman"/>
          <w:sz w:val="24"/>
          <w:szCs w:val="24"/>
        </w:rPr>
        <w:t>These m</w:t>
      </w:r>
      <w:r w:rsidR="00D3550E" w:rsidRPr="00A97E01">
        <w:rPr>
          <w:rFonts w:ascii="Times New Roman" w:hAnsi="Times New Roman" w:cs="Times New Roman"/>
          <w:sz w:val="24"/>
          <w:szCs w:val="24"/>
        </w:rPr>
        <w:t>easures</w:t>
      </w:r>
      <w:r w:rsidR="00C5452C" w:rsidRPr="00A97E01">
        <w:rPr>
          <w:rFonts w:ascii="Times New Roman" w:hAnsi="Times New Roman" w:cs="Times New Roman"/>
          <w:sz w:val="24"/>
          <w:szCs w:val="24"/>
        </w:rPr>
        <w:t xml:space="preserve"> were used to rank </w:t>
      </w:r>
      <w:r w:rsidR="00D3550E" w:rsidRPr="00A97E01">
        <w:rPr>
          <w:rFonts w:ascii="Times New Roman" w:hAnsi="Times New Roman" w:cs="Times New Roman"/>
          <w:sz w:val="24"/>
          <w:szCs w:val="24"/>
        </w:rPr>
        <w:t>centres</w:t>
      </w:r>
      <w:r w:rsidR="00BA23D5" w:rsidRPr="00A97E01">
        <w:rPr>
          <w:rFonts w:ascii="Times New Roman" w:hAnsi="Times New Roman" w:cs="Times New Roman"/>
          <w:sz w:val="24"/>
          <w:szCs w:val="24"/>
        </w:rPr>
        <w:t xml:space="preserve"> and compare outcomes</w:t>
      </w:r>
      <w:r w:rsidR="00D3550E" w:rsidRPr="00A97E01">
        <w:rPr>
          <w:rFonts w:ascii="Times New Roman" w:hAnsi="Times New Roman" w:cs="Times New Roman"/>
          <w:sz w:val="24"/>
          <w:szCs w:val="24"/>
        </w:rPr>
        <w:t>.</w:t>
      </w:r>
    </w:p>
    <w:p w:rsidR="00EA7026" w:rsidRPr="00A97E01" w:rsidRDefault="00F54D92" w:rsidP="00EA7026">
      <w:pPr>
        <w:spacing w:line="360" w:lineRule="auto"/>
        <w:jc w:val="both"/>
        <w:rPr>
          <w:rFonts w:ascii="Times New Roman" w:hAnsi="Times New Roman" w:cs="Times New Roman"/>
          <w:sz w:val="24"/>
          <w:szCs w:val="24"/>
        </w:rPr>
      </w:pPr>
      <w:r w:rsidRPr="00A97E01">
        <w:rPr>
          <w:rFonts w:ascii="Times New Roman" w:hAnsi="Times New Roman" w:cs="Times New Roman"/>
          <w:i/>
          <w:sz w:val="24"/>
          <w:szCs w:val="24"/>
        </w:rPr>
        <w:t>Results:</w:t>
      </w:r>
      <w:r w:rsidRPr="00A97E01">
        <w:rPr>
          <w:rFonts w:ascii="Times New Roman" w:hAnsi="Times New Roman" w:cs="Times New Roman"/>
          <w:sz w:val="24"/>
          <w:szCs w:val="24"/>
        </w:rPr>
        <w:t xml:space="preserve"> </w:t>
      </w:r>
      <w:r w:rsidR="005C66DA" w:rsidRPr="00A97E01">
        <w:rPr>
          <w:rFonts w:ascii="Times New Roman" w:hAnsi="Times New Roman" w:cs="Times New Roman"/>
          <w:sz w:val="24"/>
          <w:szCs w:val="24"/>
        </w:rPr>
        <w:t>There are minor</w:t>
      </w:r>
      <w:r w:rsidR="00C5452C" w:rsidRPr="00A97E01">
        <w:rPr>
          <w:rFonts w:ascii="Times New Roman" w:hAnsi="Times New Roman" w:cs="Times New Roman"/>
          <w:sz w:val="24"/>
          <w:szCs w:val="24"/>
        </w:rPr>
        <w:t xml:space="preserve"> differences between </w:t>
      </w:r>
      <w:r w:rsidR="00EA7026" w:rsidRPr="00A97E01">
        <w:rPr>
          <w:rFonts w:ascii="Times New Roman" w:hAnsi="Times New Roman" w:cs="Times New Roman"/>
          <w:sz w:val="24"/>
          <w:szCs w:val="24"/>
        </w:rPr>
        <w:t>centres for mean FEV</w:t>
      </w:r>
      <w:r w:rsidR="00EA7026" w:rsidRPr="00A97E01">
        <w:rPr>
          <w:rFonts w:ascii="Times New Roman" w:hAnsi="Times New Roman" w:cs="Times New Roman"/>
          <w:sz w:val="24"/>
          <w:szCs w:val="24"/>
          <w:vertAlign w:val="subscript"/>
        </w:rPr>
        <w:t>1</w:t>
      </w:r>
      <w:r w:rsidR="00C5452C" w:rsidRPr="00A97E01">
        <w:rPr>
          <w:rFonts w:ascii="Times New Roman" w:hAnsi="Times New Roman" w:cs="Times New Roman"/>
          <w:sz w:val="24"/>
          <w:szCs w:val="24"/>
        </w:rPr>
        <w:t>% for some</w:t>
      </w:r>
      <w:r w:rsidR="00EA7026" w:rsidRPr="00A97E01">
        <w:rPr>
          <w:rFonts w:ascii="Times New Roman" w:hAnsi="Times New Roman" w:cs="Times New Roman"/>
          <w:sz w:val="24"/>
          <w:szCs w:val="24"/>
        </w:rPr>
        <w:t xml:space="preserve"> years of the study </w:t>
      </w:r>
      <w:r w:rsidR="00D3550E" w:rsidRPr="00A97E01">
        <w:rPr>
          <w:rFonts w:ascii="Times New Roman" w:hAnsi="Times New Roman" w:cs="Times New Roman"/>
          <w:sz w:val="24"/>
          <w:szCs w:val="24"/>
        </w:rPr>
        <w:t>and for rate of change of lung function over the study period</w:t>
      </w:r>
      <w:r w:rsidR="00EA7026" w:rsidRPr="00A97E01">
        <w:rPr>
          <w:rFonts w:ascii="Times New Roman" w:hAnsi="Times New Roman" w:cs="Times New Roman"/>
          <w:sz w:val="24"/>
          <w:szCs w:val="24"/>
        </w:rPr>
        <w:t xml:space="preserve">. However, rankings are critically dependent on the outcome measure </w:t>
      </w:r>
      <w:r w:rsidR="00D3550E" w:rsidRPr="00A97E01">
        <w:rPr>
          <w:rFonts w:ascii="Times New Roman" w:hAnsi="Times New Roman" w:cs="Times New Roman"/>
          <w:sz w:val="24"/>
          <w:szCs w:val="24"/>
        </w:rPr>
        <w:t xml:space="preserve">chosen </w:t>
      </w:r>
      <w:r w:rsidR="00EA7026" w:rsidRPr="00A97E01">
        <w:rPr>
          <w:rFonts w:ascii="Times New Roman" w:hAnsi="Times New Roman" w:cs="Times New Roman"/>
          <w:sz w:val="24"/>
          <w:szCs w:val="24"/>
        </w:rPr>
        <w:t xml:space="preserve">and </w:t>
      </w:r>
      <w:r w:rsidR="00C5452C" w:rsidRPr="00A97E01">
        <w:rPr>
          <w:rFonts w:ascii="Times New Roman" w:hAnsi="Times New Roman" w:cs="Times New Roman"/>
          <w:sz w:val="24"/>
          <w:szCs w:val="24"/>
        </w:rPr>
        <w:t xml:space="preserve">centre </w:t>
      </w:r>
      <w:r w:rsidR="00EA7026" w:rsidRPr="00A97E01">
        <w:rPr>
          <w:rFonts w:ascii="Times New Roman" w:hAnsi="Times New Roman" w:cs="Times New Roman"/>
          <w:sz w:val="24"/>
          <w:szCs w:val="24"/>
        </w:rPr>
        <w:t xml:space="preserve">variation becomes negligible once patient population </w:t>
      </w:r>
      <w:r w:rsidR="00C5452C" w:rsidRPr="00A97E01">
        <w:rPr>
          <w:rFonts w:ascii="Times New Roman" w:hAnsi="Times New Roman" w:cs="Times New Roman"/>
          <w:sz w:val="24"/>
          <w:szCs w:val="24"/>
        </w:rPr>
        <w:t>characteristics are</w:t>
      </w:r>
      <w:r w:rsidR="00EA7026" w:rsidRPr="00A97E01">
        <w:rPr>
          <w:rFonts w:ascii="Times New Roman" w:hAnsi="Times New Roman" w:cs="Times New Roman"/>
          <w:sz w:val="24"/>
          <w:szCs w:val="24"/>
        </w:rPr>
        <w:t xml:space="preserve"> taken into account. </w:t>
      </w:r>
    </w:p>
    <w:p w:rsidR="00F54D92" w:rsidRPr="00A97E01" w:rsidRDefault="00F54D92" w:rsidP="00F54D92">
      <w:pPr>
        <w:spacing w:line="360" w:lineRule="auto"/>
        <w:jc w:val="both"/>
        <w:rPr>
          <w:rFonts w:ascii="Times New Roman" w:hAnsi="Times New Roman" w:cs="Times New Roman"/>
          <w:b/>
          <w:sz w:val="24"/>
          <w:szCs w:val="24"/>
        </w:rPr>
      </w:pPr>
      <w:r w:rsidRPr="00A97E01">
        <w:rPr>
          <w:rFonts w:ascii="Times New Roman" w:hAnsi="Times New Roman" w:cs="Times New Roman"/>
          <w:i/>
          <w:sz w:val="24"/>
          <w:szCs w:val="24"/>
        </w:rPr>
        <w:t>Conclusions:</w:t>
      </w:r>
      <w:r w:rsidRPr="00A97E01">
        <w:rPr>
          <w:rFonts w:ascii="Times New Roman" w:hAnsi="Times New Roman" w:cs="Times New Roman"/>
          <w:b/>
          <w:sz w:val="24"/>
          <w:szCs w:val="24"/>
        </w:rPr>
        <w:t xml:space="preserve"> </w:t>
      </w:r>
      <w:r w:rsidR="000E5A48" w:rsidRPr="00A97E01">
        <w:rPr>
          <w:rFonts w:ascii="Times New Roman" w:hAnsi="Times New Roman" w:cs="Times New Roman"/>
          <w:sz w:val="24"/>
          <w:szCs w:val="24"/>
        </w:rPr>
        <w:t xml:space="preserve">We have demonstrated that the </w:t>
      </w:r>
      <w:r w:rsidR="00B45A94" w:rsidRPr="00A97E01">
        <w:rPr>
          <w:rFonts w:ascii="Times New Roman" w:hAnsi="Times New Roman" w:cs="Times New Roman"/>
          <w:sz w:val="24"/>
          <w:szCs w:val="24"/>
        </w:rPr>
        <w:t xml:space="preserve">ranking of centres </w:t>
      </w:r>
      <w:r w:rsidR="000E5A48" w:rsidRPr="00A97E01">
        <w:rPr>
          <w:rFonts w:ascii="Times New Roman" w:hAnsi="Times New Roman" w:cs="Times New Roman"/>
          <w:sz w:val="24"/>
          <w:szCs w:val="24"/>
        </w:rPr>
        <w:t>is biased and a</w:t>
      </w:r>
      <w:r w:rsidR="00D3550E" w:rsidRPr="00A97E01">
        <w:rPr>
          <w:rFonts w:ascii="Times New Roman" w:hAnsi="Times New Roman" w:cs="Times New Roman"/>
          <w:sz w:val="24"/>
          <w:szCs w:val="24"/>
        </w:rPr>
        <w:t>ny apparent difference in respiratory outcomes is unlikely to be related to differing standards of care between centres.</w:t>
      </w:r>
    </w:p>
    <w:p w:rsidR="00F54D92" w:rsidRPr="00A97E01" w:rsidRDefault="00F54D92" w:rsidP="00F54D92">
      <w:pPr>
        <w:spacing w:line="360" w:lineRule="auto"/>
        <w:jc w:val="both"/>
        <w:outlineLvl w:val="0"/>
        <w:rPr>
          <w:rFonts w:ascii="Times New Roman" w:hAnsi="Times New Roman" w:cs="Times New Roman"/>
          <w:b/>
          <w:sz w:val="24"/>
          <w:szCs w:val="24"/>
        </w:rPr>
      </w:pPr>
    </w:p>
    <w:p w:rsidR="00F54D92" w:rsidRPr="00A97E01" w:rsidRDefault="00F54D92" w:rsidP="006613DF">
      <w:pPr>
        <w:jc w:val="both"/>
        <w:rPr>
          <w:rFonts w:ascii="Times New Roman" w:hAnsi="Times New Roman" w:cs="Times New Roman"/>
          <w:sz w:val="24"/>
          <w:szCs w:val="24"/>
        </w:rPr>
      </w:pPr>
      <w:r w:rsidRPr="00A97E01">
        <w:rPr>
          <w:rFonts w:ascii="Times New Roman" w:hAnsi="Times New Roman" w:cs="Times New Roman"/>
          <w:b/>
          <w:sz w:val="24"/>
          <w:szCs w:val="24"/>
        </w:rPr>
        <w:br w:type="page"/>
      </w:r>
      <w:r w:rsidRPr="00A97E01">
        <w:rPr>
          <w:rFonts w:ascii="Times New Roman" w:hAnsi="Times New Roman" w:cs="Times New Roman"/>
          <w:b/>
          <w:sz w:val="24"/>
          <w:szCs w:val="24"/>
        </w:rPr>
        <w:lastRenderedPageBreak/>
        <w:t>1. Introduction</w:t>
      </w:r>
    </w:p>
    <w:p w:rsidR="0046458F" w:rsidRPr="00A97E01" w:rsidRDefault="0046458F" w:rsidP="00AE5268">
      <w:pPr>
        <w:spacing w:line="360" w:lineRule="auto"/>
        <w:jc w:val="both"/>
        <w:rPr>
          <w:rFonts w:ascii="Times New Roman" w:hAnsi="Times New Roman"/>
          <w:sz w:val="24"/>
        </w:rPr>
      </w:pPr>
    </w:p>
    <w:p w:rsidR="00F54D92" w:rsidRPr="00A97E01" w:rsidRDefault="00F54D92" w:rsidP="00AE5268">
      <w:pPr>
        <w:spacing w:line="360" w:lineRule="auto"/>
        <w:jc w:val="both"/>
        <w:rPr>
          <w:rFonts w:ascii="Times New Roman" w:hAnsi="Times New Roman"/>
          <w:sz w:val="24"/>
        </w:rPr>
      </w:pPr>
      <w:r w:rsidRPr="00A97E01">
        <w:rPr>
          <w:rFonts w:ascii="Times New Roman" w:hAnsi="Times New Roman"/>
          <w:sz w:val="24"/>
        </w:rPr>
        <w:t>Cystic fi</w:t>
      </w:r>
      <w:r w:rsidR="00A6471D" w:rsidRPr="00A97E01">
        <w:rPr>
          <w:rFonts w:ascii="Times New Roman" w:hAnsi="Times New Roman"/>
          <w:sz w:val="24"/>
        </w:rPr>
        <w:t xml:space="preserve">brosis (CF) registries are </w:t>
      </w:r>
      <w:r w:rsidR="005619F1" w:rsidRPr="00A97E01">
        <w:rPr>
          <w:rFonts w:ascii="Times New Roman" w:hAnsi="Times New Roman"/>
          <w:sz w:val="24"/>
        </w:rPr>
        <w:t xml:space="preserve">powerful tools to drive improvements in patient care </w:t>
      </w:r>
      <w:r w:rsidR="00195026" w:rsidRPr="00A97E01">
        <w:rPr>
          <w:rFonts w:ascii="Times New Roman" w:hAnsi="Times New Roman"/>
          <w:sz w:val="24"/>
        </w:rPr>
        <w:t>[1</w:t>
      </w:r>
      <w:r w:rsidR="00A6471D" w:rsidRPr="00A97E01">
        <w:rPr>
          <w:rFonts w:ascii="Times New Roman" w:hAnsi="Times New Roman"/>
          <w:sz w:val="24"/>
        </w:rPr>
        <w:t>]</w:t>
      </w:r>
      <w:r w:rsidRPr="00A97E01">
        <w:rPr>
          <w:rFonts w:ascii="Times New Roman" w:hAnsi="Times New Roman"/>
          <w:sz w:val="24"/>
        </w:rPr>
        <w:t xml:space="preserve">. Registry data </w:t>
      </w:r>
      <w:r w:rsidR="005619F1" w:rsidRPr="00A97E01">
        <w:rPr>
          <w:rFonts w:ascii="Times New Roman" w:hAnsi="Times New Roman"/>
          <w:sz w:val="24"/>
        </w:rPr>
        <w:t xml:space="preserve">have been used to make </w:t>
      </w:r>
      <w:r w:rsidR="00A6471D" w:rsidRPr="00A97E01">
        <w:rPr>
          <w:rFonts w:ascii="Times New Roman" w:hAnsi="Times New Roman"/>
          <w:sz w:val="24"/>
        </w:rPr>
        <w:t>comparison</w:t>
      </w:r>
      <w:r w:rsidR="005619F1" w:rsidRPr="00A97E01">
        <w:rPr>
          <w:rFonts w:ascii="Times New Roman" w:hAnsi="Times New Roman"/>
          <w:sz w:val="24"/>
        </w:rPr>
        <w:t>s</w:t>
      </w:r>
      <w:r w:rsidRPr="00A97E01">
        <w:rPr>
          <w:rFonts w:ascii="Times New Roman" w:hAnsi="Times New Roman"/>
          <w:sz w:val="24"/>
        </w:rPr>
        <w:t xml:space="preserve"> between centres both nationally </w:t>
      </w:r>
      <w:r w:rsidR="00195026" w:rsidRPr="00A97E01">
        <w:rPr>
          <w:rFonts w:ascii="Times New Roman" w:hAnsi="Times New Roman"/>
          <w:sz w:val="24"/>
        </w:rPr>
        <w:t>[2,3</w:t>
      </w:r>
      <w:r w:rsidR="00A6471D" w:rsidRPr="00A97E01">
        <w:rPr>
          <w:rFonts w:ascii="Times New Roman" w:hAnsi="Times New Roman"/>
          <w:sz w:val="24"/>
        </w:rPr>
        <w:t xml:space="preserve">] </w:t>
      </w:r>
      <w:r w:rsidRPr="00A97E01">
        <w:rPr>
          <w:rFonts w:ascii="Times New Roman" w:hAnsi="Times New Roman"/>
          <w:sz w:val="24"/>
        </w:rPr>
        <w:t xml:space="preserve">and internationally </w:t>
      </w:r>
      <w:r w:rsidR="00195026" w:rsidRPr="00A97E01">
        <w:rPr>
          <w:rFonts w:ascii="Times New Roman" w:hAnsi="Times New Roman"/>
          <w:sz w:val="24"/>
        </w:rPr>
        <w:t>[4,5</w:t>
      </w:r>
      <w:r w:rsidR="00A6471D" w:rsidRPr="00A97E01">
        <w:rPr>
          <w:rFonts w:ascii="Times New Roman" w:hAnsi="Times New Roman"/>
          <w:sz w:val="24"/>
        </w:rPr>
        <w:t>]</w:t>
      </w:r>
      <w:r w:rsidR="005619F1" w:rsidRPr="00A97E01">
        <w:rPr>
          <w:rFonts w:ascii="Times New Roman" w:hAnsi="Times New Roman"/>
          <w:sz w:val="24"/>
        </w:rPr>
        <w:t>. These comparisons h</w:t>
      </w:r>
      <w:r w:rsidRPr="00A97E01">
        <w:rPr>
          <w:rFonts w:ascii="Times New Roman" w:hAnsi="Times New Roman"/>
          <w:sz w:val="24"/>
        </w:rPr>
        <w:t xml:space="preserve">ave </w:t>
      </w:r>
      <w:r w:rsidR="00195026" w:rsidRPr="00A97E01">
        <w:rPr>
          <w:rFonts w:ascii="Times New Roman" w:hAnsi="Times New Roman"/>
          <w:sz w:val="24"/>
        </w:rPr>
        <w:t>been used to benchmark services and further</w:t>
      </w:r>
      <w:r w:rsidRPr="00A97E01">
        <w:rPr>
          <w:rFonts w:ascii="Times New Roman" w:hAnsi="Times New Roman"/>
          <w:sz w:val="24"/>
        </w:rPr>
        <w:t xml:space="preserve"> the understanding of which treatment strategies may be useful in improving clinical outcomes for patients</w:t>
      </w:r>
      <w:r w:rsidR="00A6471D" w:rsidRPr="00A97E01">
        <w:rPr>
          <w:rFonts w:ascii="Times New Roman" w:hAnsi="Times New Roman"/>
          <w:sz w:val="24"/>
        </w:rPr>
        <w:t xml:space="preserve"> [</w:t>
      </w:r>
      <w:r w:rsidR="00195026" w:rsidRPr="00A97E01">
        <w:rPr>
          <w:rFonts w:ascii="Times New Roman" w:hAnsi="Times New Roman"/>
          <w:sz w:val="24"/>
        </w:rPr>
        <w:t>2,3,6-8</w:t>
      </w:r>
      <w:r w:rsidR="00A6471D" w:rsidRPr="00A97E01">
        <w:rPr>
          <w:rFonts w:ascii="Times New Roman" w:hAnsi="Times New Roman"/>
          <w:sz w:val="24"/>
        </w:rPr>
        <w:t>]</w:t>
      </w:r>
      <w:r w:rsidRPr="00A97E01">
        <w:rPr>
          <w:rFonts w:ascii="Times New Roman" w:hAnsi="Times New Roman"/>
          <w:sz w:val="24"/>
        </w:rPr>
        <w:t xml:space="preserve">. </w:t>
      </w:r>
    </w:p>
    <w:p w:rsidR="00F54D92" w:rsidRPr="00A97E01" w:rsidRDefault="00F54D92" w:rsidP="00AE5268">
      <w:pPr>
        <w:spacing w:line="360" w:lineRule="auto"/>
        <w:jc w:val="both"/>
        <w:rPr>
          <w:rFonts w:ascii="Times New Roman" w:hAnsi="Times New Roman"/>
          <w:sz w:val="24"/>
        </w:rPr>
      </w:pPr>
    </w:p>
    <w:p w:rsidR="00A6471D" w:rsidRPr="00A97E01" w:rsidRDefault="00A6471D" w:rsidP="00AE5268">
      <w:pPr>
        <w:spacing w:line="360" w:lineRule="auto"/>
        <w:jc w:val="both"/>
        <w:rPr>
          <w:rFonts w:ascii="Times New Roman" w:hAnsi="Times New Roman"/>
          <w:sz w:val="24"/>
        </w:rPr>
      </w:pPr>
      <w:r w:rsidRPr="00A97E01">
        <w:rPr>
          <w:rFonts w:ascii="Times New Roman" w:hAnsi="Times New Roman" w:cs="Times New Roman"/>
          <w:sz w:val="24"/>
          <w:szCs w:val="24"/>
        </w:rPr>
        <w:t xml:space="preserve">The United Kingdom (UK) CF Registry collects anonymised clinical data annually for all consenting CF patients cared for in specialist centres within the UK. Data are publicly </w:t>
      </w:r>
      <w:r w:rsidR="00492C64" w:rsidRPr="00A97E01">
        <w:rPr>
          <w:rFonts w:ascii="Times New Roman" w:hAnsi="Times New Roman" w:cs="Times New Roman"/>
          <w:sz w:val="24"/>
          <w:szCs w:val="24"/>
        </w:rPr>
        <w:t xml:space="preserve">available </w:t>
      </w:r>
      <w:r w:rsidRPr="00A97E01">
        <w:rPr>
          <w:rFonts w:ascii="Times New Roman" w:hAnsi="Times New Roman" w:cs="Times New Roman"/>
          <w:sz w:val="24"/>
          <w:szCs w:val="24"/>
        </w:rPr>
        <w:t xml:space="preserve">in an annual report with comparison between centres for both adult and paediatric clinics. </w:t>
      </w:r>
      <w:r w:rsidR="00F54D92" w:rsidRPr="00A97E01">
        <w:rPr>
          <w:rFonts w:ascii="Times New Roman" w:hAnsi="Times New Roman"/>
          <w:sz w:val="24"/>
        </w:rPr>
        <w:t xml:space="preserve">The report includes a respiratory outcome measure </w:t>
      </w:r>
      <w:r w:rsidRPr="00A97E01">
        <w:rPr>
          <w:rFonts w:ascii="Times New Roman" w:hAnsi="Times New Roman"/>
          <w:sz w:val="24"/>
        </w:rPr>
        <w:t>of median FEV</w:t>
      </w:r>
      <w:r w:rsidRPr="00A97E01">
        <w:rPr>
          <w:rFonts w:ascii="Times New Roman" w:hAnsi="Times New Roman"/>
          <w:sz w:val="24"/>
          <w:vertAlign w:val="subscript"/>
        </w:rPr>
        <w:t>1</w:t>
      </w:r>
      <w:r w:rsidRPr="00A97E01">
        <w:rPr>
          <w:rFonts w:ascii="Times New Roman" w:hAnsi="Times New Roman"/>
          <w:sz w:val="24"/>
        </w:rPr>
        <w:t xml:space="preserve">% predicted </w:t>
      </w:r>
      <w:r w:rsidR="00F22CDF" w:rsidRPr="00A97E01">
        <w:rPr>
          <w:rFonts w:ascii="Times New Roman" w:hAnsi="Times New Roman"/>
          <w:sz w:val="24"/>
        </w:rPr>
        <w:t>(FEV</w:t>
      </w:r>
      <w:r w:rsidR="00F22CDF" w:rsidRPr="00A97E01">
        <w:rPr>
          <w:rFonts w:ascii="Times New Roman" w:hAnsi="Times New Roman"/>
          <w:sz w:val="24"/>
          <w:vertAlign w:val="subscript"/>
        </w:rPr>
        <w:t>1</w:t>
      </w:r>
      <w:r w:rsidR="00F22CDF" w:rsidRPr="00A97E01">
        <w:rPr>
          <w:rFonts w:ascii="Times New Roman" w:hAnsi="Times New Roman"/>
          <w:sz w:val="24"/>
        </w:rPr>
        <w:t xml:space="preserve">%) </w:t>
      </w:r>
      <w:r w:rsidRPr="00A97E01">
        <w:rPr>
          <w:rFonts w:ascii="Times New Roman" w:hAnsi="Times New Roman"/>
          <w:sz w:val="24"/>
        </w:rPr>
        <w:t xml:space="preserve">for each centre </w:t>
      </w:r>
      <w:r w:rsidR="00F54D92" w:rsidRPr="00A97E01">
        <w:rPr>
          <w:rFonts w:ascii="Times New Roman" w:hAnsi="Times New Roman"/>
          <w:sz w:val="24"/>
        </w:rPr>
        <w:t xml:space="preserve">presented as </w:t>
      </w:r>
      <w:r w:rsidR="007B742C" w:rsidRPr="00A97E01">
        <w:rPr>
          <w:rFonts w:ascii="Times New Roman" w:hAnsi="Times New Roman"/>
          <w:sz w:val="24"/>
        </w:rPr>
        <w:t xml:space="preserve">a </w:t>
      </w:r>
      <w:r w:rsidRPr="00A97E01">
        <w:rPr>
          <w:rFonts w:ascii="Times New Roman" w:hAnsi="Times New Roman"/>
          <w:sz w:val="24"/>
        </w:rPr>
        <w:t xml:space="preserve">ranked </w:t>
      </w:r>
      <w:r w:rsidR="007B742C" w:rsidRPr="00A97E01">
        <w:rPr>
          <w:rFonts w:ascii="Times New Roman" w:hAnsi="Times New Roman"/>
          <w:sz w:val="24"/>
        </w:rPr>
        <w:t>g</w:t>
      </w:r>
      <w:r w:rsidRPr="00A97E01">
        <w:rPr>
          <w:rFonts w:ascii="Times New Roman" w:hAnsi="Times New Roman"/>
          <w:sz w:val="24"/>
        </w:rPr>
        <w:t xml:space="preserve">raph </w:t>
      </w:r>
      <w:r w:rsidRPr="00A97E01">
        <w:rPr>
          <w:rFonts w:ascii="Times New Roman" w:hAnsi="Times New Roman" w:cs="Times New Roman"/>
          <w:sz w:val="24"/>
          <w:szCs w:val="24"/>
        </w:rPr>
        <w:t xml:space="preserve">and </w:t>
      </w:r>
      <w:r w:rsidR="00F22CDF" w:rsidRPr="00A97E01">
        <w:rPr>
          <w:rFonts w:ascii="Times New Roman" w:hAnsi="Times New Roman" w:cs="Times New Roman"/>
          <w:sz w:val="24"/>
          <w:szCs w:val="24"/>
        </w:rPr>
        <w:t xml:space="preserve">also </w:t>
      </w:r>
      <w:r w:rsidRPr="00A97E01">
        <w:rPr>
          <w:rFonts w:ascii="Times New Roman" w:hAnsi="Times New Roman" w:cs="Times New Roman"/>
          <w:sz w:val="24"/>
          <w:szCs w:val="24"/>
        </w:rPr>
        <w:t xml:space="preserve">in </w:t>
      </w:r>
      <w:r w:rsidR="00F22CDF" w:rsidRPr="00A97E01">
        <w:rPr>
          <w:rFonts w:ascii="Times New Roman" w:hAnsi="Times New Roman" w:cs="Times New Roman"/>
          <w:sz w:val="24"/>
          <w:szCs w:val="24"/>
        </w:rPr>
        <w:t xml:space="preserve">the most recent report </w:t>
      </w:r>
      <w:r w:rsidRPr="00A97E01">
        <w:rPr>
          <w:rFonts w:ascii="Times New Roman" w:hAnsi="Times New Roman" w:cs="Times New Roman"/>
          <w:sz w:val="24"/>
          <w:szCs w:val="24"/>
        </w:rPr>
        <w:t>as funnel plots</w:t>
      </w:r>
      <w:r w:rsidR="00A96CFC" w:rsidRPr="00A97E01">
        <w:rPr>
          <w:rFonts w:ascii="Times New Roman" w:hAnsi="Times New Roman" w:cs="Times New Roman"/>
          <w:sz w:val="24"/>
          <w:szCs w:val="24"/>
        </w:rPr>
        <w:t xml:space="preserve"> [9]</w:t>
      </w:r>
      <w:r w:rsidRPr="00A97E01">
        <w:rPr>
          <w:rFonts w:ascii="Times New Roman" w:hAnsi="Times New Roman" w:cs="Times New Roman"/>
          <w:sz w:val="24"/>
          <w:szCs w:val="24"/>
        </w:rPr>
        <w:t>. A funnel plot is constructed by plotting</w:t>
      </w:r>
      <w:r w:rsidR="00EE101B" w:rsidRPr="00A97E01">
        <w:rPr>
          <w:rFonts w:ascii="Times New Roman" w:hAnsi="Times New Roman" w:cs="Times New Roman"/>
          <w:sz w:val="24"/>
          <w:szCs w:val="24"/>
        </w:rPr>
        <w:t xml:space="preserve"> the measured outcome </w:t>
      </w:r>
      <w:r w:rsidRPr="00A97E01">
        <w:rPr>
          <w:rFonts w:ascii="Times New Roman" w:hAnsi="Times New Roman" w:cs="Times New Roman"/>
          <w:sz w:val="24"/>
          <w:szCs w:val="24"/>
        </w:rPr>
        <w:t>against ce</w:t>
      </w:r>
      <w:r w:rsidR="00EE101B" w:rsidRPr="00A97E01">
        <w:rPr>
          <w:rFonts w:ascii="Times New Roman" w:hAnsi="Times New Roman" w:cs="Times New Roman"/>
          <w:sz w:val="24"/>
          <w:szCs w:val="24"/>
        </w:rPr>
        <w:t xml:space="preserve">ntre size, so that </w:t>
      </w:r>
      <w:r w:rsidRPr="00A97E01">
        <w:rPr>
          <w:rFonts w:ascii="Times New Roman" w:hAnsi="Times New Roman" w:cs="Times New Roman"/>
          <w:sz w:val="24"/>
          <w:szCs w:val="24"/>
        </w:rPr>
        <w:t>control limits form a funnel around the median value [10]. This allows a visual representation of values taking into account expected natural variation and centres that lie outside of this expected variation might have values that reflect a real difference from the average.</w:t>
      </w:r>
      <w:r w:rsidR="00EE101B" w:rsidRPr="00A97E01">
        <w:rPr>
          <w:rFonts w:ascii="Times New Roman" w:hAnsi="Times New Roman" w:cs="Times New Roman"/>
          <w:sz w:val="24"/>
          <w:szCs w:val="24"/>
        </w:rPr>
        <w:t xml:space="preserve"> </w:t>
      </w:r>
      <w:r w:rsidR="00A96CFC" w:rsidRPr="00A97E01">
        <w:rPr>
          <w:rFonts w:ascii="Times New Roman" w:hAnsi="Times New Roman" w:cs="Times New Roman"/>
          <w:sz w:val="24"/>
          <w:szCs w:val="24"/>
        </w:rPr>
        <w:t>T</w:t>
      </w:r>
      <w:r w:rsidR="00EE101B" w:rsidRPr="00A97E01">
        <w:rPr>
          <w:rFonts w:ascii="Times New Roman" w:hAnsi="Times New Roman"/>
          <w:sz w:val="24"/>
        </w:rPr>
        <w:t>hese</w:t>
      </w:r>
      <w:r w:rsidRPr="00A97E01">
        <w:rPr>
          <w:rFonts w:ascii="Times New Roman" w:hAnsi="Times New Roman"/>
          <w:sz w:val="24"/>
        </w:rPr>
        <w:t xml:space="preserve"> representation</w:t>
      </w:r>
      <w:r w:rsidR="00EE101B" w:rsidRPr="00A97E01">
        <w:rPr>
          <w:rFonts w:ascii="Times New Roman" w:hAnsi="Times New Roman"/>
          <w:sz w:val="24"/>
        </w:rPr>
        <w:t>s</w:t>
      </w:r>
      <w:r w:rsidR="00492C64" w:rsidRPr="00A97E01">
        <w:rPr>
          <w:rFonts w:ascii="Times New Roman" w:hAnsi="Times New Roman"/>
          <w:sz w:val="24"/>
        </w:rPr>
        <w:t xml:space="preserve"> may</w:t>
      </w:r>
      <w:r w:rsidRPr="00A97E01">
        <w:rPr>
          <w:rFonts w:ascii="Times New Roman" w:hAnsi="Times New Roman"/>
          <w:sz w:val="24"/>
        </w:rPr>
        <w:t xml:space="preserve"> </w:t>
      </w:r>
      <w:r w:rsidR="005F1A52" w:rsidRPr="00A97E01">
        <w:rPr>
          <w:rFonts w:ascii="Times New Roman" w:hAnsi="Times New Roman"/>
          <w:sz w:val="24"/>
        </w:rPr>
        <w:t xml:space="preserve">be taken to </w:t>
      </w:r>
      <w:r w:rsidRPr="00A97E01">
        <w:rPr>
          <w:rFonts w:ascii="Times New Roman" w:hAnsi="Times New Roman"/>
          <w:sz w:val="24"/>
        </w:rPr>
        <w:t xml:space="preserve">imply that centres </w:t>
      </w:r>
      <w:r w:rsidR="00F22CDF" w:rsidRPr="00A97E01">
        <w:rPr>
          <w:rFonts w:ascii="Times New Roman" w:hAnsi="Times New Roman"/>
          <w:sz w:val="24"/>
        </w:rPr>
        <w:t xml:space="preserve">ranked </w:t>
      </w:r>
      <w:r w:rsidRPr="00A97E01">
        <w:rPr>
          <w:rFonts w:ascii="Times New Roman" w:hAnsi="Times New Roman"/>
          <w:sz w:val="24"/>
        </w:rPr>
        <w:t xml:space="preserve">higher </w:t>
      </w:r>
      <w:r w:rsidR="00F22CDF" w:rsidRPr="00A97E01">
        <w:rPr>
          <w:rFonts w:ascii="Times New Roman" w:hAnsi="Times New Roman"/>
          <w:sz w:val="24"/>
        </w:rPr>
        <w:t xml:space="preserve">for </w:t>
      </w:r>
      <w:r w:rsidRPr="00A97E01">
        <w:rPr>
          <w:rFonts w:ascii="Times New Roman" w:hAnsi="Times New Roman"/>
          <w:sz w:val="24"/>
        </w:rPr>
        <w:t>median FEV1% are ‘better’ t</w:t>
      </w:r>
      <w:r w:rsidR="00EE101B" w:rsidRPr="00A97E01">
        <w:rPr>
          <w:rFonts w:ascii="Times New Roman" w:hAnsi="Times New Roman"/>
          <w:sz w:val="24"/>
        </w:rPr>
        <w:t>han thos</w:t>
      </w:r>
      <w:r w:rsidR="00F22CDF" w:rsidRPr="00A97E01">
        <w:rPr>
          <w:rFonts w:ascii="Times New Roman" w:hAnsi="Times New Roman"/>
          <w:sz w:val="24"/>
        </w:rPr>
        <w:t xml:space="preserve">e with a lower ranking and </w:t>
      </w:r>
      <w:r w:rsidR="00EE101B" w:rsidRPr="00A97E01">
        <w:rPr>
          <w:rFonts w:ascii="Times New Roman" w:hAnsi="Times New Roman"/>
          <w:sz w:val="24"/>
        </w:rPr>
        <w:t xml:space="preserve">those lying </w:t>
      </w:r>
      <w:r w:rsidR="00BC61F5" w:rsidRPr="00A97E01">
        <w:rPr>
          <w:rFonts w:ascii="Times New Roman" w:hAnsi="Times New Roman"/>
          <w:sz w:val="24"/>
        </w:rPr>
        <w:t xml:space="preserve">outside </w:t>
      </w:r>
      <w:r w:rsidR="00EE101B" w:rsidRPr="00A97E01">
        <w:rPr>
          <w:rFonts w:ascii="Times New Roman" w:hAnsi="Times New Roman"/>
          <w:sz w:val="24"/>
        </w:rPr>
        <w:t xml:space="preserve">the control limits of a funnel plot are </w:t>
      </w:r>
      <w:r w:rsidR="00BC61F5" w:rsidRPr="00A97E01">
        <w:rPr>
          <w:rFonts w:ascii="Times New Roman" w:hAnsi="Times New Roman"/>
          <w:sz w:val="24"/>
        </w:rPr>
        <w:t xml:space="preserve">‘better’ or </w:t>
      </w:r>
      <w:r w:rsidR="00EE101B" w:rsidRPr="00A97E01">
        <w:rPr>
          <w:rFonts w:ascii="Times New Roman" w:hAnsi="Times New Roman"/>
          <w:sz w:val="24"/>
        </w:rPr>
        <w:t xml:space="preserve">‘worse’ than </w:t>
      </w:r>
      <w:r w:rsidR="00BC61F5" w:rsidRPr="00A97E01">
        <w:rPr>
          <w:rFonts w:ascii="Times New Roman" w:hAnsi="Times New Roman"/>
          <w:sz w:val="24"/>
        </w:rPr>
        <w:t>expected</w:t>
      </w:r>
      <w:r w:rsidR="00EE101B" w:rsidRPr="00A97E01">
        <w:rPr>
          <w:rFonts w:ascii="Times New Roman" w:hAnsi="Times New Roman"/>
          <w:sz w:val="24"/>
        </w:rPr>
        <w:t>.</w:t>
      </w:r>
    </w:p>
    <w:p w:rsidR="00A6471D" w:rsidRPr="00A97E01" w:rsidRDefault="00A6471D" w:rsidP="00AE5268">
      <w:pPr>
        <w:spacing w:line="360" w:lineRule="auto"/>
        <w:jc w:val="both"/>
        <w:rPr>
          <w:rFonts w:ascii="Times New Roman" w:hAnsi="Times New Roman"/>
          <w:sz w:val="24"/>
        </w:rPr>
      </w:pPr>
    </w:p>
    <w:p w:rsidR="00CC4AB0" w:rsidRPr="00A97E01" w:rsidRDefault="00CF48B0" w:rsidP="00AE5268">
      <w:pPr>
        <w:spacing w:line="360" w:lineRule="auto"/>
        <w:jc w:val="both"/>
        <w:rPr>
          <w:rFonts w:ascii="Times New Roman" w:hAnsi="Times New Roman"/>
          <w:sz w:val="24"/>
        </w:rPr>
      </w:pPr>
      <w:r w:rsidRPr="00A97E01">
        <w:rPr>
          <w:rFonts w:ascii="Times New Roman" w:hAnsi="Times New Roman" w:cs="Times New Roman"/>
          <w:sz w:val="24"/>
          <w:szCs w:val="24"/>
        </w:rPr>
        <w:t xml:space="preserve">One of the stated aims of the Registry report is to ‘improve the delivery of care’ and many centres (and possibly patients) use data informally to assess their outcomes in relation to other centres. As such, it is important that we understand both the significance and limitations of the results presented. </w:t>
      </w:r>
      <w:r w:rsidR="00736B7B" w:rsidRPr="00A97E01">
        <w:rPr>
          <w:rFonts w:ascii="Times New Roman" w:hAnsi="Times New Roman"/>
          <w:sz w:val="24"/>
        </w:rPr>
        <w:t xml:space="preserve">We wished to determine whether the rankings published in the UK Registry report are indicative of standards of care within adult CF units. </w:t>
      </w:r>
      <w:r w:rsidR="0096262B" w:rsidRPr="00A97E01">
        <w:rPr>
          <w:rFonts w:ascii="Times New Roman" w:hAnsi="Times New Roman"/>
          <w:sz w:val="24"/>
        </w:rPr>
        <w:t xml:space="preserve">In </w:t>
      </w:r>
      <w:r w:rsidR="00DE22FB" w:rsidRPr="00A97E01">
        <w:rPr>
          <w:rFonts w:ascii="Times New Roman" w:hAnsi="Times New Roman"/>
          <w:sz w:val="24"/>
        </w:rPr>
        <w:t xml:space="preserve">an attempt to answer this query </w:t>
      </w:r>
      <w:r w:rsidR="0096262B" w:rsidRPr="00A97E01">
        <w:rPr>
          <w:rFonts w:ascii="Times New Roman" w:hAnsi="Times New Roman"/>
          <w:sz w:val="24"/>
        </w:rPr>
        <w:t>we</w:t>
      </w:r>
      <w:r w:rsidR="00DE22FB" w:rsidRPr="00A97E01">
        <w:rPr>
          <w:rFonts w:ascii="Times New Roman" w:hAnsi="Times New Roman"/>
          <w:sz w:val="24"/>
        </w:rPr>
        <w:t xml:space="preserve"> addressed the following points</w:t>
      </w:r>
      <w:r w:rsidR="0096262B" w:rsidRPr="00A97E01">
        <w:rPr>
          <w:rFonts w:ascii="Times New Roman" w:hAnsi="Times New Roman"/>
          <w:sz w:val="24"/>
        </w:rPr>
        <w:t>.</w:t>
      </w:r>
      <w:r w:rsidR="00736B7B" w:rsidRPr="00A97E01">
        <w:rPr>
          <w:rFonts w:ascii="Times New Roman" w:hAnsi="Times New Roman"/>
          <w:sz w:val="24"/>
        </w:rPr>
        <w:t xml:space="preserve"> Firstly, </w:t>
      </w:r>
      <w:r w:rsidR="0096262B" w:rsidRPr="00A97E01">
        <w:rPr>
          <w:rFonts w:ascii="Times New Roman" w:hAnsi="Times New Roman"/>
          <w:sz w:val="24"/>
        </w:rPr>
        <w:t>whether it is</w:t>
      </w:r>
      <w:r w:rsidR="00736B7B" w:rsidRPr="00A97E01">
        <w:rPr>
          <w:rFonts w:ascii="Times New Roman" w:hAnsi="Times New Roman"/>
          <w:sz w:val="24"/>
        </w:rPr>
        <w:t xml:space="preserve"> possible to demonstrate a statistically signific</w:t>
      </w:r>
      <w:r w:rsidR="008C7258" w:rsidRPr="00A97E01">
        <w:rPr>
          <w:rFonts w:ascii="Times New Roman" w:hAnsi="Times New Roman"/>
          <w:sz w:val="24"/>
        </w:rPr>
        <w:t>ant difference between centres</w:t>
      </w:r>
      <w:r w:rsidR="00BC61F5" w:rsidRPr="00A97E01">
        <w:rPr>
          <w:rFonts w:ascii="Times New Roman" w:hAnsi="Times New Roman"/>
          <w:sz w:val="24"/>
        </w:rPr>
        <w:t xml:space="preserve"> for FEV</w:t>
      </w:r>
      <w:r w:rsidR="00BC61F5" w:rsidRPr="00A97E01">
        <w:rPr>
          <w:rFonts w:ascii="Times New Roman" w:hAnsi="Times New Roman"/>
          <w:sz w:val="24"/>
          <w:vertAlign w:val="subscript"/>
        </w:rPr>
        <w:t>1</w:t>
      </w:r>
      <w:r w:rsidR="00BC61F5" w:rsidRPr="00A97E01">
        <w:rPr>
          <w:rFonts w:ascii="Times New Roman" w:hAnsi="Times New Roman"/>
          <w:sz w:val="24"/>
        </w:rPr>
        <w:t>%</w:t>
      </w:r>
      <w:r w:rsidR="008C7258" w:rsidRPr="00A97E01">
        <w:rPr>
          <w:rFonts w:ascii="Times New Roman" w:hAnsi="Times New Roman"/>
          <w:sz w:val="24"/>
        </w:rPr>
        <w:t>.</w:t>
      </w:r>
      <w:r w:rsidR="00736B7B" w:rsidRPr="00A97E01">
        <w:rPr>
          <w:rFonts w:ascii="Times New Roman" w:hAnsi="Times New Roman"/>
          <w:sz w:val="24"/>
        </w:rPr>
        <w:t xml:space="preserve"> Secondly, </w:t>
      </w:r>
      <w:r w:rsidR="003534D9" w:rsidRPr="00A97E01">
        <w:rPr>
          <w:rFonts w:ascii="Times New Roman" w:hAnsi="Times New Roman"/>
          <w:sz w:val="24"/>
        </w:rPr>
        <w:t xml:space="preserve">to assess </w:t>
      </w:r>
      <w:r w:rsidR="00736B7B" w:rsidRPr="00A97E01">
        <w:rPr>
          <w:rFonts w:ascii="Times New Roman" w:hAnsi="Times New Roman"/>
          <w:sz w:val="24"/>
        </w:rPr>
        <w:t xml:space="preserve">the </w:t>
      </w:r>
      <w:r w:rsidR="0096262B" w:rsidRPr="00A97E01">
        <w:rPr>
          <w:rFonts w:ascii="Times New Roman" w:hAnsi="Times New Roman"/>
          <w:sz w:val="24"/>
        </w:rPr>
        <w:t xml:space="preserve">stability of </w:t>
      </w:r>
      <w:r w:rsidR="00736B7B" w:rsidRPr="00A97E01">
        <w:rPr>
          <w:rFonts w:ascii="Times New Roman" w:hAnsi="Times New Roman"/>
          <w:sz w:val="24"/>
        </w:rPr>
        <w:t xml:space="preserve">rankings </w:t>
      </w:r>
      <w:r w:rsidRPr="00A97E01">
        <w:rPr>
          <w:rFonts w:ascii="Times New Roman" w:hAnsi="Times New Roman"/>
          <w:sz w:val="24"/>
        </w:rPr>
        <w:t>both with</w:t>
      </w:r>
      <w:r w:rsidR="00736B7B" w:rsidRPr="00A97E01">
        <w:rPr>
          <w:rFonts w:ascii="Times New Roman" w:hAnsi="Times New Roman"/>
          <w:sz w:val="24"/>
        </w:rPr>
        <w:t xml:space="preserve"> time </w:t>
      </w:r>
      <w:r w:rsidR="003534D9" w:rsidRPr="00A97E01">
        <w:rPr>
          <w:rFonts w:ascii="Times New Roman" w:hAnsi="Times New Roman"/>
          <w:sz w:val="24"/>
        </w:rPr>
        <w:t>and</w:t>
      </w:r>
      <w:r w:rsidR="00736B7B" w:rsidRPr="00A97E01">
        <w:rPr>
          <w:rFonts w:ascii="Times New Roman" w:hAnsi="Times New Roman"/>
          <w:sz w:val="24"/>
        </w:rPr>
        <w:t xml:space="preserve"> also </w:t>
      </w:r>
      <w:r w:rsidR="003534D9" w:rsidRPr="00A97E01">
        <w:rPr>
          <w:rFonts w:ascii="Times New Roman" w:hAnsi="Times New Roman"/>
          <w:sz w:val="24"/>
        </w:rPr>
        <w:t>with the use of</w:t>
      </w:r>
      <w:r w:rsidR="00736B7B" w:rsidRPr="00A97E01">
        <w:rPr>
          <w:rFonts w:ascii="Times New Roman" w:hAnsi="Times New Roman"/>
          <w:sz w:val="24"/>
        </w:rPr>
        <w:t xml:space="preserve"> an alternative respiratory outcome measure</w:t>
      </w:r>
      <w:r w:rsidR="003534D9" w:rsidRPr="00A97E01">
        <w:rPr>
          <w:rFonts w:ascii="Times New Roman" w:hAnsi="Times New Roman"/>
          <w:sz w:val="24"/>
        </w:rPr>
        <w:t xml:space="preserve"> </w:t>
      </w:r>
      <w:r w:rsidR="0096262B" w:rsidRPr="00A97E01">
        <w:rPr>
          <w:rFonts w:ascii="Times New Roman" w:hAnsi="Times New Roman"/>
          <w:sz w:val="24"/>
        </w:rPr>
        <w:t>to rank centres</w:t>
      </w:r>
      <w:r w:rsidR="00736B7B" w:rsidRPr="00A97E01">
        <w:rPr>
          <w:rFonts w:ascii="Times New Roman" w:hAnsi="Times New Roman"/>
          <w:sz w:val="24"/>
        </w:rPr>
        <w:t xml:space="preserve">. </w:t>
      </w:r>
      <w:r w:rsidR="00CC4AB0" w:rsidRPr="00A97E01">
        <w:rPr>
          <w:rFonts w:ascii="Times New Roman" w:hAnsi="Times New Roman"/>
          <w:sz w:val="24"/>
        </w:rPr>
        <w:t xml:space="preserve">Finally, to explore how results are </w:t>
      </w:r>
      <w:r w:rsidR="009E5AE3" w:rsidRPr="00A97E01">
        <w:rPr>
          <w:rFonts w:ascii="Times New Roman" w:hAnsi="Times New Roman"/>
          <w:sz w:val="24"/>
        </w:rPr>
        <w:t>influenced</w:t>
      </w:r>
      <w:r w:rsidR="00CC4AB0" w:rsidRPr="00A97E01">
        <w:rPr>
          <w:rFonts w:ascii="Times New Roman" w:hAnsi="Times New Roman"/>
          <w:sz w:val="24"/>
        </w:rPr>
        <w:t xml:space="preserve"> by the characteristics of the population attending a centre.</w:t>
      </w:r>
    </w:p>
    <w:p w:rsidR="00736B7B" w:rsidRPr="00A97E01" w:rsidRDefault="00736B7B" w:rsidP="00AE5268">
      <w:pPr>
        <w:spacing w:line="360" w:lineRule="auto"/>
        <w:jc w:val="both"/>
        <w:rPr>
          <w:rFonts w:ascii="Times New Roman" w:hAnsi="Times New Roman"/>
          <w:sz w:val="24"/>
        </w:rPr>
      </w:pPr>
    </w:p>
    <w:p w:rsidR="00BB2823" w:rsidRPr="00A97E01" w:rsidRDefault="00BB2823" w:rsidP="00BB2823">
      <w:pPr>
        <w:spacing w:line="360" w:lineRule="auto"/>
        <w:jc w:val="both"/>
        <w:outlineLvl w:val="0"/>
        <w:rPr>
          <w:rFonts w:ascii="Times New Roman" w:hAnsi="Times New Roman" w:cs="Times New Roman"/>
          <w:b/>
          <w:sz w:val="24"/>
          <w:szCs w:val="24"/>
        </w:rPr>
      </w:pPr>
      <w:r w:rsidRPr="00A97E01">
        <w:rPr>
          <w:rFonts w:ascii="Times New Roman" w:hAnsi="Times New Roman" w:cs="Times New Roman"/>
          <w:b/>
          <w:sz w:val="24"/>
          <w:szCs w:val="24"/>
        </w:rPr>
        <w:lastRenderedPageBreak/>
        <w:t>2. Methods</w:t>
      </w:r>
    </w:p>
    <w:p w:rsidR="00BB2823" w:rsidRPr="00A97E01" w:rsidRDefault="00BB2823" w:rsidP="00BB2823">
      <w:pPr>
        <w:spacing w:line="360" w:lineRule="auto"/>
        <w:jc w:val="both"/>
        <w:outlineLvl w:val="0"/>
        <w:rPr>
          <w:rFonts w:ascii="Times New Roman" w:hAnsi="Times New Roman" w:cs="Times New Roman"/>
          <w:i/>
          <w:sz w:val="24"/>
          <w:szCs w:val="24"/>
        </w:rPr>
      </w:pPr>
      <w:r w:rsidRPr="00A97E01">
        <w:rPr>
          <w:rFonts w:ascii="Times New Roman" w:hAnsi="Times New Roman" w:cs="Times New Roman"/>
          <w:i/>
          <w:sz w:val="24"/>
          <w:szCs w:val="24"/>
        </w:rPr>
        <w:t>2.1 Study population</w:t>
      </w:r>
    </w:p>
    <w:p w:rsidR="009E2E43" w:rsidRPr="00A97E01" w:rsidRDefault="00BB2823" w:rsidP="00BB2823">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The study population included all patients with a diagnosis of CF enrolled in the UK CF Registry in the years 2007-2013. National Health Service (NHS) research ethics approval was granted for the Registry and each patient or legally authorised representative provided written informed consent for data collection and research. Under the terms of the NHS ethics approval, the UK CF Trust steering committee approved this study. The Registry provided anonymised annual review data with one value for each patient per year</w:t>
      </w:r>
      <w:r w:rsidR="0017678E" w:rsidRPr="00A97E01">
        <w:rPr>
          <w:rFonts w:ascii="Times New Roman" w:hAnsi="Times New Roman" w:cs="Times New Roman"/>
          <w:sz w:val="24"/>
          <w:szCs w:val="24"/>
        </w:rPr>
        <w:t xml:space="preserve"> for the </w:t>
      </w:r>
      <w:r w:rsidR="00EF1220" w:rsidRPr="00A97E01">
        <w:rPr>
          <w:rFonts w:ascii="Times New Roman" w:hAnsi="Times New Roman" w:cs="Times New Roman"/>
          <w:sz w:val="24"/>
          <w:szCs w:val="24"/>
        </w:rPr>
        <w:t>seven years 2007-13 [11</w:t>
      </w:r>
      <w:r w:rsidR="0017678E" w:rsidRPr="00A97E01">
        <w:rPr>
          <w:rFonts w:ascii="Times New Roman" w:hAnsi="Times New Roman" w:cs="Times New Roman"/>
          <w:sz w:val="24"/>
          <w:szCs w:val="24"/>
        </w:rPr>
        <w:t xml:space="preserve">]. </w:t>
      </w:r>
      <w:r w:rsidRPr="00A97E01">
        <w:rPr>
          <w:rFonts w:ascii="Times New Roman" w:hAnsi="Times New Roman" w:cs="Times New Roman"/>
          <w:sz w:val="24"/>
          <w:szCs w:val="24"/>
        </w:rPr>
        <w:t>From 2012 onward</w:t>
      </w:r>
      <w:r w:rsidR="00C2192E" w:rsidRPr="00A97E01">
        <w:rPr>
          <w:rFonts w:ascii="Times New Roman" w:hAnsi="Times New Roman" w:cs="Times New Roman"/>
          <w:sz w:val="24"/>
          <w:szCs w:val="24"/>
        </w:rPr>
        <w:t xml:space="preserve">s, the </w:t>
      </w:r>
      <w:r w:rsidRPr="00A97E01">
        <w:rPr>
          <w:rFonts w:ascii="Times New Roman" w:hAnsi="Times New Roman" w:cs="Times New Roman"/>
          <w:sz w:val="24"/>
          <w:szCs w:val="24"/>
        </w:rPr>
        <w:t xml:space="preserve">registry stipulated </w:t>
      </w:r>
      <w:r w:rsidR="00C2192E" w:rsidRPr="00A97E01">
        <w:rPr>
          <w:rFonts w:ascii="Times New Roman" w:hAnsi="Times New Roman" w:cs="Times New Roman"/>
          <w:sz w:val="24"/>
          <w:szCs w:val="24"/>
        </w:rPr>
        <w:t>that the</w:t>
      </w:r>
      <w:r w:rsidRPr="00A97E01">
        <w:rPr>
          <w:rFonts w:ascii="Times New Roman" w:hAnsi="Times New Roman" w:cs="Times New Roman"/>
          <w:sz w:val="24"/>
          <w:szCs w:val="24"/>
        </w:rPr>
        <w:t xml:space="preserve"> </w:t>
      </w:r>
      <w:r w:rsidR="00C2192E" w:rsidRPr="00A97E01">
        <w:rPr>
          <w:rFonts w:ascii="Times New Roman" w:hAnsi="Times New Roman" w:cs="Times New Roman"/>
          <w:sz w:val="24"/>
          <w:szCs w:val="24"/>
        </w:rPr>
        <w:t>recorded</w:t>
      </w:r>
      <w:r w:rsidRPr="00A97E01">
        <w:rPr>
          <w:rFonts w:ascii="Times New Roman" w:hAnsi="Times New Roman" w:cs="Times New Roman"/>
          <w:sz w:val="24"/>
          <w:szCs w:val="24"/>
        </w:rPr>
        <w:t xml:space="preserve"> data be the best in year v</w:t>
      </w:r>
      <w:r w:rsidR="0017678E" w:rsidRPr="00A97E01">
        <w:rPr>
          <w:rFonts w:ascii="Times New Roman" w:hAnsi="Times New Roman" w:cs="Times New Roman"/>
          <w:sz w:val="24"/>
          <w:szCs w:val="24"/>
        </w:rPr>
        <w:t>alue</w:t>
      </w:r>
      <w:r w:rsidR="00C2192E" w:rsidRPr="00A97E01">
        <w:rPr>
          <w:rFonts w:ascii="Times New Roman" w:hAnsi="Times New Roman" w:cs="Times New Roman"/>
          <w:sz w:val="24"/>
          <w:szCs w:val="24"/>
        </w:rPr>
        <w:t>;</w:t>
      </w:r>
      <w:r w:rsidR="0017678E" w:rsidRPr="00A97E01">
        <w:rPr>
          <w:rFonts w:ascii="Times New Roman" w:hAnsi="Times New Roman" w:cs="Times New Roman"/>
          <w:sz w:val="24"/>
          <w:szCs w:val="24"/>
        </w:rPr>
        <w:t xml:space="preserve"> prior to this date</w:t>
      </w:r>
      <w:r w:rsidR="00C2192E" w:rsidRPr="00A97E01">
        <w:rPr>
          <w:rFonts w:ascii="Times New Roman" w:hAnsi="Times New Roman" w:cs="Times New Roman"/>
          <w:sz w:val="24"/>
          <w:szCs w:val="24"/>
        </w:rPr>
        <w:t>,</w:t>
      </w:r>
      <w:r w:rsidR="0017678E" w:rsidRPr="00A97E01">
        <w:rPr>
          <w:rFonts w:ascii="Times New Roman" w:hAnsi="Times New Roman" w:cs="Times New Roman"/>
          <w:sz w:val="24"/>
          <w:szCs w:val="24"/>
        </w:rPr>
        <w:t xml:space="preserve"> </w:t>
      </w:r>
      <w:r w:rsidRPr="00A97E01">
        <w:rPr>
          <w:rFonts w:ascii="Times New Roman" w:hAnsi="Times New Roman" w:cs="Times New Roman"/>
          <w:sz w:val="24"/>
          <w:szCs w:val="24"/>
        </w:rPr>
        <w:t>values represent those recorded at annual review.  Data points were included if there was a measurement of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height and age and subjects had remained in one centre throughout the study period.</w:t>
      </w:r>
      <w:r w:rsidR="005E3AFD" w:rsidRPr="00A97E01">
        <w:rPr>
          <w:rFonts w:ascii="Times New Roman" w:hAnsi="Times New Roman" w:cs="Times New Roman"/>
          <w:sz w:val="24"/>
          <w:szCs w:val="24"/>
        </w:rPr>
        <w:t xml:space="preserve">  </w:t>
      </w:r>
      <w:r w:rsidR="000E607D" w:rsidRPr="00A97E01">
        <w:rPr>
          <w:rFonts w:ascii="Times New Roman" w:hAnsi="Times New Roman" w:cs="Times New Roman"/>
          <w:sz w:val="24"/>
          <w:szCs w:val="24"/>
        </w:rPr>
        <w:t>We also excluded data for those aged below 16 years or above 70 years, those whose gender and date of birth were not reported consistently across the years, and those whose FEV</w:t>
      </w:r>
      <w:r w:rsidR="000E607D" w:rsidRPr="00A97E01">
        <w:rPr>
          <w:rFonts w:ascii="Times New Roman" w:hAnsi="Times New Roman" w:cs="Times New Roman"/>
          <w:sz w:val="24"/>
          <w:szCs w:val="24"/>
          <w:vertAlign w:val="subscript"/>
        </w:rPr>
        <w:t>1</w:t>
      </w:r>
      <w:r w:rsidR="000E607D" w:rsidRPr="00A97E01">
        <w:rPr>
          <w:rFonts w:ascii="Times New Roman" w:hAnsi="Times New Roman" w:cs="Times New Roman"/>
          <w:sz w:val="24"/>
          <w:szCs w:val="24"/>
        </w:rPr>
        <w:t xml:space="preserve"> exceeded 155% predicted.  We excluded centres for which there were fewer than 40 reports over the study period.  9.9% of the original records were excluded; two thirds because the subjects had changed centres within the study period.  We studied </w:t>
      </w:r>
      <w:r w:rsidR="004B2D4F" w:rsidRPr="00A97E01">
        <w:rPr>
          <w:rFonts w:ascii="Times New Roman" w:hAnsi="Times New Roman" w:cs="Times New Roman"/>
          <w:sz w:val="24"/>
          <w:szCs w:val="24"/>
        </w:rPr>
        <w:t xml:space="preserve">the remaining </w:t>
      </w:r>
      <w:r w:rsidR="000E607D" w:rsidRPr="00A97E01">
        <w:rPr>
          <w:rFonts w:ascii="Times New Roman" w:hAnsi="Times New Roman" w:cs="Times New Roman"/>
          <w:sz w:val="24"/>
          <w:szCs w:val="24"/>
        </w:rPr>
        <w:t xml:space="preserve">23,433 reports on 4,761 subjects treated at one of 34 anonymised adult centres </w:t>
      </w:r>
      <w:r w:rsidR="005E3AFD" w:rsidRPr="00A97E01">
        <w:rPr>
          <w:rFonts w:ascii="Times New Roman" w:hAnsi="Times New Roman" w:cs="Times New Roman"/>
          <w:sz w:val="24"/>
          <w:szCs w:val="24"/>
        </w:rPr>
        <w:t xml:space="preserve">All subjects were categorised for genotype </w:t>
      </w:r>
      <w:r w:rsidR="00744171" w:rsidRPr="00A97E01">
        <w:rPr>
          <w:rFonts w:ascii="Times New Roman" w:hAnsi="Times New Roman" w:cs="Times New Roman"/>
          <w:sz w:val="24"/>
          <w:szCs w:val="24"/>
        </w:rPr>
        <w:t>(</w:t>
      </w:r>
      <w:r w:rsidR="00744171" w:rsidRPr="00A97E01">
        <w:rPr>
          <w:rFonts w:ascii="Times New Roman" w:eastAsia="Calibri" w:hAnsi="Times New Roman" w:cs="Times New Roman"/>
          <w:sz w:val="24"/>
          <w:szCs w:val="24"/>
        </w:rPr>
        <w:t>ΔF5</w:t>
      </w:r>
      <w:r w:rsidR="00744171" w:rsidRPr="00A97E01">
        <w:rPr>
          <w:rFonts w:ascii="Times New Roman" w:hAnsi="Times New Roman" w:cs="Times New Roman"/>
          <w:sz w:val="24"/>
          <w:szCs w:val="24"/>
        </w:rPr>
        <w:t xml:space="preserve">08 homozygous or </w:t>
      </w:r>
      <w:r w:rsidR="00897065" w:rsidRPr="00A97E01">
        <w:rPr>
          <w:rFonts w:ascii="Times New Roman" w:hAnsi="Times New Roman" w:cs="Times New Roman"/>
          <w:sz w:val="24"/>
          <w:szCs w:val="24"/>
        </w:rPr>
        <w:t>other genotype</w:t>
      </w:r>
      <w:r w:rsidR="00744171" w:rsidRPr="00A97E01">
        <w:rPr>
          <w:rFonts w:ascii="Times New Roman" w:hAnsi="Times New Roman" w:cs="Times New Roman"/>
          <w:sz w:val="24"/>
          <w:szCs w:val="24"/>
        </w:rPr>
        <w:t xml:space="preserve">) </w:t>
      </w:r>
      <w:r w:rsidR="005E3AFD" w:rsidRPr="00A97E01">
        <w:rPr>
          <w:rFonts w:ascii="Times New Roman" w:hAnsi="Times New Roman" w:cs="Times New Roman"/>
          <w:sz w:val="24"/>
          <w:szCs w:val="24"/>
        </w:rPr>
        <w:t xml:space="preserve">and </w:t>
      </w:r>
      <w:r w:rsidR="00744171" w:rsidRPr="00A97E01">
        <w:rPr>
          <w:rFonts w:ascii="Times New Roman" w:hAnsi="Times New Roman" w:cs="Times New Roman"/>
          <w:sz w:val="24"/>
          <w:szCs w:val="24"/>
        </w:rPr>
        <w:t xml:space="preserve">for </w:t>
      </w:r>
      <w:r w:rsidR="005E3AFD" w:rsidRPr="00A97E01">
        <w:rPr>
          <w:rFonts w:ascii="Times New Roman" w:hAnsi="Times New Roman" w:cs="Times New Roman"/>
          <w:sz w:val="24"/>
          <w:szCs w:val="24"/>
        </w:rPr>
        <w:t>pancreatic enzyme use</w:t>
      </w:r>
      <w:r w:rsidR="00744171" w:rsidRPr="00A97E01">
        <w:rPr>
          <w:rFonts w:ascii="Times New Roman" w:hAnsi="Times New Roman" w:cs="Times New Roman"/>
          <w:sz w:val="24"/>
          <w:szCs w:val="24"/>
        </w:rPr>
        <w:t xml:space="preserve"> (yes, no or unknown)</w:t>
      </w:r>
      <w:r w:rsidR="005E3AFD" w:rsidRPr="00A97E01">
        <w:rPr>
          <w:rFonts w:ascii="Times New Roman" w:hAnsi="Times New Roman" w:cs="Times New Roman"/>
          <w:sz w:val="24"/>
          <w:szCs w:val="24"/>
        </w:rPr>
        <w:t>.</w:t>
      </w:r>
    </w:p>
    <w:p w:rsidR="009E2E43" w:rsidRPr="00A97E01" w:rsidRDefault="009E2E43" w:rsidP="00BB2823">
      <w:pPr>
        <w:spacing w:line="360" w:lineRule="auto"/>
        <w:jc w:val="both"/>
        <w:rPr>
          <w:rFonts w:ascii="Times New Roman" w:hAnsi="Times New Roman" w:cs="Times New Roman"/>
          <w:sz w:val="24"/>
          <w:szCs w:val="24"/>
        </w:rPr>
      </w:pPr>
    </w:p>
    <w:p w:rsidR="00744171" w:rsidRPr="00A97E01" w:rsidRDefault="00744171" w:rsidP="00BB2823">
      <w:pPr>
        <w:spacing w:line="360" w:lineRule="auto"/>
        <w:jc w:val="both"/>
        <w:rPr>
          <w:rFonts w:ascii="Times New Roman" w:hAnsi="Times New Roman" w:cs="Times New Roman"/>
          <w:i/>
          <w:sz w:val="24"/>
          <w:szCs w:val="24"/>
        </w:rPr>
      </w:pPr>
      <w:r w:rsidRPr="00A97E01">
        <w:rPr>
          <w:rFonts w:ascii="Times New Roman" w:hAnsi="Times New Roman" w:cs="Times New Roman"/>
          <w:i/>
          <w:sz w:val="24"/>
          <w:szCs w:val="24"/>
        </w:rPr>
        <w:t>2.2 Comparison of centres</w:t>
      </w:r>
    </w:p>
    <w:p w:rsidR="00BB2823" w:rsidRPr="00A97E01" w:rsidRDefault="00BB2823" w:rsidP="00BB2823">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We represented each FEV</w:t>
      </w:r>
      <w:r w:rsidRPr="00A97E01">
        <w:rPr>
          <w:rFonts w:ascii="Times New Roman" w:hAnsi="Times New Roman" w:cs="Times New Roman"/>
          <w:sz w:val="24"/>
          <w:szCs w:val="24"/>
          <w:vertAlign w:val="subscript"/>
        </w:rPr>
        <w:t xml:space="preserve">1 </w:t>
      </w:r>
      <w:r w:rsidRPr="00A97E01">
        <w:rPr>
          <w:rFonts w:ascii="Times New Roman" w:hAnsi="Times New Roman" w:cs="Times New Roman"/>
          <w:sz w:val="24"/>
          <w:szCs w:val="24"/>
        </w:rPr>
        <w:t>measurement as the percentage of the age-, sex-, height- and ethnicity-adjusted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xml:space="preserve"> value predicted for a healthy population using the 2012 glo</w:t>
      </w:r>
      <w:r w:rsidR="00EF1220" w:rsidRPr="00A97E01">
        <w:rPr>
          <w:rFonts w:ascii="Times New Roman" w:hAnsi="Times New Roman" w:cs="Times New Roman"/>
          <w:sz w:val="24"/>
          <w:szCs w:val="24"/>
        </w:rPr>
        <w:t>bal lung function equations [12</w:t>
      </w:r>
      <w:r w:rsidRPr="00A97E01">
        <w:rPr>
          <w:rFonts w:ascii="Times New Roman" w:hAnsi="Times New Roman" w:cs="Times New Roman"/>
          <w:sz w:val="24"/>
          <w:szCs w:val="24"/>
        </w:rPr>
        <w:t xml:space="preserve">]. </w:t>
      </w:r>
      <w:r w:rsidR="00744171" w:rsidRPr="00A97E01">
        <w:rPr>
          <w:rFonts w:ascii="Times New Roman" w:hAnsi="Times New Roman" w:cs="Times New Roman"/>
          <w:sz w:val="24"/>
          <w:szCs w:val="24"/>
        </w:rPr>
        <w:t>Centres were compared for mean FEV</w:t>
      </w:r>
      <w:r w:rsidR="00744171" w:rsidRPr="00A97E01">
        <w:rPr>
          <w:rFonts w:ascii="Times New Roman" w:hAnsi="Times New Roman" w:cs="Times New Roman"/>
          <w:sz w:val="24"/>
          <w:szCs w:val="24"/>
          <w:vertAlign w:val="subscript"/>
        </w:rPr>
        <w:t>1</w:t>
      </w:r>
      <w:r w:rsidR="00744171" w:rsidRPr="00A97E01">
        <w:rPr>
          <w:rFonts w:ascii="Times New Roman" w:hAnsi="Times New Roman" w:cs="Times New Roman"/>
          <w:sz w:val="24"/>
          <w:szCs w:val="24"/>
        </w:rPr>
        <w:t>% for each year of the study using a linear mixed model.</w:t>
      </w:r>
    </w:p>
    <w:p w:rsidR="00BB2823" w:rsidRPr="00A97E01" w:rsidRDefault="00BB2823" w:rsidP="00BB2823">
      <w:pPr>
        <w:spacing w:line="360" w:lineRule="auto"/>
        <w:jc w:val="both"/>
        <w:rPr>
          <w:rFonts w:ascii="Times New Roman" w:hAnsi="Times New Roman" w:cs="Times New Roman"/>
          <w:sz w:val="24"/>
          <w:szCs w:val="24"/>
        </w:rPr>
      </w:pPr>
    </w:p>
    <w:p w:rsidR="00BB2823" w:rsidRPr="00A97E01" w:rsidRDefault="00AE5268" w:rsidP="00BB2823">
      <w:pPr>
        <w:spacing w:line="360" w:lineRule="auto"/>
        <w:jc w:val="both"/>
        <w:outlineLvl w:val="0"/>
        <w:rPr>
          <w:rFonts w:ascii="Times New Roman" w:hAnsi="Times New Roman" w:cs="Times New Roman"/>
          <w:i/>
          <w:sz w:val="24"/>
          <w:szCs w:val="24"/>
        </w:rPr>
      </w:pPr>
      <w:r w:rsidRPr="00A97E01">
        <w:rPr>
          <w:rFonts w:ascii="Times New Roman" w:hAnsi="Times New Roman" w:cs="Times New Roman"/>
          <w:i/>
          <w:sz w:val="24"/>
          <w:szCs w:val="24"/>
        </w:rPr>
        <w:t>2.</w:t>
      </w:r>
      <w:r w:rsidR="00744171" w:rsidRPr="00A97E01">
        <w:rPr>
          <w:rFonts w:ascii="Times New Roman" w:hAnsi="Times New Roman" w:cs="Times New Roman"/>
          <w:i/>
          <w:sz w:val="24"/>
          <w:szCs w:val="24"/>
        </w:rPr>
        <w:t>3</w:t>
      </w:r>
      <w:r w:rsidR="00BB2823" w:rsidRPr="00A97E01">
        <w:rPr>
          <w:rFonts w:ascii="Times New Roman" w:hAnsi="Times New Roman" w:cs="Times New Roman"/>
          <w:i/>
          <w:sz w:val="24"/>
          <w:szCs w:val="24"/>
        </w:rPr>
        <w:t xml:space="preserve"> Lung function rate of change</w:t>
      </w:r>
    </w:p>
    <w:p w:rsidR="00BB2823" w:rsidRPr="00A97E01" w:rsidRDefault="00BB2823" w:rsidP="00BB2823">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For each subject we plotted the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xml:space="preserve">% against time and used the </w:t>
      </w:r>
      <w:r w:rsidR="00BC61F5" w:rsidRPr="00A97E01">
        <w:rPr>
          <w:rFonts w:ascii="Times New Roman" w:hAnsi="Times New Roman" w:cs="Times New Roman"/>
          <w:sz w:val="24"/>
          <w:szCs w:val="24"/>
        </w:rPr>
        <w:t xml:space="preserve">regression </w:t>
      </w:r>
      <w:r w:rsidRPr="00A97E01">
        <w:rPr>
          <w:rFonts w:ascii="Times New Roman" w:hAnsi="Times New Roman" w:cs="Times New Roman"/>
          <w:sz w:val="24"/>
          <w:szCs w:val="24"/>
        </w:rPr>
        <w:t xml:space="preserve">slope as a summary measure of rate of change of lung function.  In more effective centres subjects’ </w:t>
      </w:r>
      <w:r w:rsidR="00BC61F5" w:rsidRPr="00A97E01">
        <w:rPr>
          <w:rFonts w:ascii="Times New Roman" w:hAnsi="Times New Roman" w:cs="Times New Roman"/>
          <w:sz w:val="24"/>
          <w:szCs w:val="24"/>
        </w:rPr>
        <w:t>lung function would be expected to decline more slowly</w:t>
      </w:r>
      <w:r w:rsidRPr="00A97E01">
        <w:rPr>
          <w:rFonts w:ascii="Times New Roman" w:hAnsi="Times New Roman" w:cs="Times New Roman"/>
          <w:sz w:val="24"/>
          <w:szCs w:val="24"/>
        </w:rPr>
        <w:t xml:space="preserve">, allowing comparison of centres.  These regression slopes are less reliable for subjects with fewer annual reports than for those with all seven, so we controlled for this in the </w:t>
      </w:r>
      <w:r w:rsidRPr="00A97E01">
        <w:rPr>
          <w:rFonts w:ascii="Times New Roman" w:hAnsi="Times New Roman" w:cs="Times New Roman"/>
          <w:sz w:val="24"/>
          <w:szCs w:val="24"/>
        </w:rPr>
        <w:lastRenderedPageBreak/>
        <w:t>analysis by using a Fisher-Yates transformation for each number of reports</w:t>
      </w:r>
      <w:r w:rsidR="00180AB2" w:rsidRPr="00A97E01">
        <w:rPr>
          <w:rFonts w:ascii="Times New Roman" w:hAnsi="Times New Roman" w:cs="Times New Roman"/>
          <w:sz w:val="24"/>
          <w:szCs w:val="24"/>
        </w:rPr>
        <w:t xml:space="preserve"> [13</w:t>
      </w:r>
      <w:r w:rsidR="00C2192E" w:rsidRPr="00A97E01">
        <w:rPr>
          <w:rFonts w:ascii="Times New Roman" w:hAnsi="Times New Roman" w:cs="Times New Roman"/>
          <w:sz w:val="24"/>
          <w:szCs w:val="24"/>
        </w:rPr>
        <w:t>]</w:t>
      </w:r>
      <w:r w:rsidRPr="00A97E01">
        <w:rPr>
          <w:rFonts w:ascii="Times New Roman" w:hAnsi="Times New Roman" w:cs="Times New Roman"/>
          <w:sz w:val="24"/>
          <w:szCs w:val="24"/>
        </w:rPr>
        <w:t>.  This led to a set of slopes for the 4761 subjects that had mean zero and standard deviation unity.  We used the mean value of these slopes to compare rate of change in FEV</w:t>
      </w:r>
      <w:r w:rsidRPr="00A97E01">
        <w:rPr>
          <w:rFonts w:ascii="Times New Roman" w:hAnsi="Times New Roman" w:cs="Times New Roman"/>
          <w:sz w:val="24"/>
          <w:szCs w:val="24"/>
          <w:vertAlign w:val="subscript"/>
        </w:rPr>
        <w:t>1</w:t>
      </w:r>
      <w:r w:rsidR="0017678E" w:rsidRPr="00A97E01">
        <w:rPr>
          <w:rFonts w:ascii="Times New Roman" w:hAnsi="Times New Roman" w:cs="Times New Roman"/>
          <w:sz w:val="24"/>
          <w:szCs w:val="24"/>
        </w:rPr>
        <w:t>% across</w:t>
      </w:r>
      <w:r w:rsidRPr="00A97E01">
        <w:rPr>
          <w:rFonts w:ascii="Times New Roman" w:hAnsi="Times New Roman" w:cs="Times New Roman"/>
          <w:sz w:val="24"/>
          <w:szCs w:val="24"/>
        </w:rPr>
        <w:t xml:space="preserve"> centres.</w:t>
      </w:r>
    </w:p>
    <w:p w:rsidR="00BB2823" w:rsidRPr="00A97E01" w:rsidRDefault="00BB2823" w:rsidP="00BB2823">
      <w:pPr>
        <w:spacing w:line="360" w:lineRule="auto"/>
        <w:jc w:val="both"/>
        <w:rPr>
          <w:rFonts w:ascii="Times New Roman" w:hAnsi="Times New Roman" w:cs="Times New Roman"/>
          <w:b/>
          <w:sz w:val="24"/>
          <w:szCs w:val="24"/>
        </w:rPr>
      </w:pPr>
    </w:p>
    <w:p w:rsidR="00BB2823" w:rsidRPr="00A97E01" w:rsidRDefault="00AE5268" w:rsidP="00BB2823">
      <w:pPr>
        <w:spacing w:line="360" w:lineRule="auto"/>
        <w:jc w:val="both"/>
        <w:outlineLvl w:val="0"/>
        <w:rPr>
          <w:rFonts w:ascii="Times New Roman" w:hAnsi="Times New Roman" w:cs="Times New Roman"/>
          <w:i/>
          <w:sz w:val="24"/>
          <w:szCs w:val="24"/>
        </w:rPr>
      </w:pPr>
      <w:r w:rsidRPr="00A97E01">
        <w:rPr>
          <w:rFonts w:ascii="Times New Roman" w:hAnsi="Times New Roman" w:cs="Times New Roman"/>
          <w:i/>
          <w:sz w:val="24"/>
          <w:szCs w:val="24"/>
        </w:rPr>
        <w:t>2</w:t>
      </w:r>
      <w:r w:rsidR="00744171" w:rsidRPr="00A97E01">
        <w:rPr>
          <w:rFonts w:ascii="Times New Roman" w:hAnsi="Times New Roman" w:cs="Times New Roman"/>
          <w:i/>
          <w:sz w:val="24"/>
          <w:szCs w:val="24"/>
        </w:rPr>
        <w:t>.4</w:t>
      </w:r>
      <w:r w:rsidR="00BB2823" w:rsidRPr="00A97E01">
        <w:rPr>
          <w:rFonts w:ascii="Times New Roman" w:hAnsi="Times New Roman" w:cs="Times New Roman"/>
          <w:i/>
          <w:sz w:val="24"/>
          <w:szCs w:val="24"/>
        </w:rPr>
        <w:t xml:space="preserve"> Ranking of centres</w:t>
      </w:r>
    </w:p>
    <w:p w:rsidR="00BB2823" w:rsidRPr="00A97E01" w:rsidRDefault="009A5F8A" w:rsidP="00BB2823">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The 2013 dataset was used to calculate mean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predicted for each centre</w:t>
      </w:r>
      <w:r w:rsidR="00744171" w:rsidRPr="00A97E01">
        <w:rPr>
          <w:rFonts w:ascii="Times New Roman" w:hAnsi="Times New Roman" w:cs="Times New Roman"/>
          <w:sz w:val="24"/>
          <w:szCs w:val="24"/>
        </w:rPr>
        <w:t xml:space="preserve"> and these values were </w:t>
      </w:r>
      <w:r w:rsidRPr="00A97E01">
        <w:rPr>
          <w:rFonts w:ascii="Times New Roman" w:hAnsi="Times New Roman" w:cs="Times New Roman"/>
          <w:sz w:val="24"/>
          <w:szCs w:val="24"/>
        </w:rPr>
        <w:t xml:space="preserve">used to rank centres. </w:t>
      </w:r>
      <w:r w:rsidR="00BB2823" w:rsidRPr="00A97E01">
        <w:rPr>
          <w:rFonts w:ascii="Times New Roman" w:hAnsi="Times New Roman" w:cs="Times New Roman"/>
          <w:sz w:val="24"/>
          <w:szCs w:val="24"/>
        </w:rPr>
        <w:t xml:space="preserve">We </w:t>
      </w:r>
      <w:r w:rsidR="008C50B7" w:rsidRPr="00A97E01">
        <w:rPr>
          <w:rFonts w:ascii="Times New Roman" w:hAnsi="Times New Roman" w:cs="Times New Roman"/>
          <w:sz w:val="24"/>
          <w:szCs w:val="24"/>
        </w:rPr>
        <w:t xml:space="preserve">calculated </w:t>
      </w:r>
      <w:r w:rsidR="00744171" w:rsidRPr="00A97E01">
        <w:rPr>
          <w:rFonts w:ascii="Times New Roman" w:hAnsi="Times New Roman" w:cs="Times New Roman"/>
          <w:sz w:val="24"/>
          <w:szCs w:val="24"/>
        </w:rPr>
        <w:t xml:space="preserve">Pearson </w:t>
      </w:r>
      <w:r w:rsidR="008C50B7" w:rsidRPr="00A97E01">
        <w:rPr>
          <w:rFonts w:ascii="Times New Roman" w:hAnsi="Times New Roman" w:cs="Times New Roman"/>
          <w:sz w:val="24"/>
          <w:szCs w:val="24"/>
        </w:rPr>
        <w:t>correlation</w:t>
      </w:r>
      <w:r w:rsidR="00744171" w:rsidRPr="00A97E01">
        <w:rPr>
          <w:rFonts w:ascii="Times New Roman" w:hAnsi="Times New Roman" w:cs="Times New Roman"/>
          <w:sz w:val="24"/>
          <w:szCs w:val="24"/>
        </w:rPr>
        <w:t>s</w:t>
      </w:r>
      <w:r w:rsidR="008C50B7" w:rsidRPr="00A97E01">
        <w:rPr>
          <w:rFonts w:ascii="Times New Roman" w:hAnsi="Times New Roman" w:cs="Times New Roman"/>
          <w:sz w:val="24"/>
          <w:szCs w:val="24"/>
        </w:rPr>
        <w:t xml:space="preserve"> between rankings for each year of the study to explore</w:t>
      </w:r>
      <w:r w:rsidR="00BB2823" w:rsidRPr="00A97E01">
        <w:rPr>
          <w:rFonts w:ascii="Times New Roman" w:hAnsi="Times New Roman" w:cs="Times New Roman"/>
          <w:sz w:val="24"/>
          <w:szCs w:val="24"/>
        </w:rPr>
        <w:t xml:space="preserve"> </w:t>
      </w:r>
      <w:r w:rsidR="008C50B7" w:rsidRPr="00A97E01">
        <w:rPr>
          <w:rFonts w:ascii="Times New Roman" w:hAnsi="Times New Roman" w:cs="Times New Roman"/>
          <w:sz w:val="24"/>
          <w:szCs w:val="24"/>
        </w:rPr>
        <w:t xml:space="preserve">how centre rankings varied with time. We </w:t>
      </w:r>
      <w:r w:rsidR="00BC61F5" w:rsidRPr="00A97E01">
        <w:rPr>
          <w:rFonts w:ascii="Times New Roman" w:hAnsi="Times New Roman" w:cs="Times New Roman"/>
          <w:sz w:val="24"/>
          <w:szCs w:val="24"/>
        </w:rPr>
        <w:t xml:space="preserve">also </w:t>
      </w:r>
      <w:r w:rsidR="00AE5268" w:rsidRPr="00A97E01">
        <w:rPr>
          <w:rFonts w:ascii="Times New Roman" w:hAnsi="Times New Roman" w:cs="Times New Roman"/>
          <w:sz w:val="24"/>
          <w:szCs w:val="24"/>
        </w:rPr>
        <w:t>ranked centres using</w:t>
      </w:r>
      <w:r w:rsidR="008C50B7" w:rsidRPr="00A97E01">
        <w:rPr>
          <w:rFonts w:ascii="Times New Roman" w:hAnsi="Times New Roman" w:cs="Times New Roman"/>
          <w:sz w:val="24"/>
          <w:szCs w:val="24"/>
        </w:rPr>
        <w:t xml:space="preserve"> </w:t>
      </w:r>
      <w:r w:rsidR="00DC5DA2" w:rsidRPr="00A97E01">
        <w:rPr>
          <w:rFonts w:ascii="Times New Roman" w:hAnsi="Times New Roman" w:cs="Times New Roman"/>
          <w:sz w:val="24"/>
          <w:szCs w:val="24"/>
        </w:rPr>
        <w:t>median FEV</w:t>
      </w:r>
      <w:r w:rsidR="00DC5DA2" w:rsidRPr="00A97E01">
        <w:rPr>
          <w:rFonts w:ascii="Times New Roman" w:hAnsi="Times New Roman" w:cs="Times New Roman"/>
          <w:sz w:val="24"/>
          <w:szCs w:val="24"/>
          <w:vertAlign w:val="subscript"/>
        </w:rPr>
        <w:t>1</w:t>
      </w:r>
      <w:r w:rsidR="00DC5DA2" w:rsidRPr="00A97E01">
        <w:rPr>
          <w:rFonts w:ascii="Times New Roman" w:hAnsi="Times New Roman" w:cs="Times New Roman"/>
          <w:sz w:val="24"/>
          <w:szCs w:val="24"/>
        </w:rPr>
        <w:t xml:space="preserve">% predicted and </w:t>
      </w:r>
      <w:r w:rsidR="008C50B7" w:rsidRPr="00A97E01">
        <w:rPr>
          <w:rFonts w:ascii="Times New Roman" w:hAnsi="Times New Roman" w:cs="Times New Roman"/>
          <w:sz w:val="24"/>
          <w:szCs w:val="24"/>
        </w:rPr>
        <w:t xml:space="preserve">rate of change of </w:t>
      </w:r>
      <w:r w:rsidR="00AE5268" w:rsidRPr="00A97E01">
        <w:rPr>
          <w:rFonts w:ascii="Times New Roman" w:hAnsi="Times New Roman" w:cs="Times New Roman"/>
          <w:sz w:val="24"/>
          <w:szCs w:val="24"/>
        </w:rPr>
        <w:t>FEV</w:t>
      </w:r>
      <w:r w:rsidR="00AE5268" w:rsidRPr="00A97E01">
        <w:rPr>
          <w:rFonts w:ascii="Times New Roman" w:hAnsi="Times New Roman" w:cs="Times New Roman"/>
          <w:sz w:val="24"/>
          <w:szCs w:val="24"/>
          <w:vertAlign w:val="subscript"/>
        </w:rPr>
        <w:t>1</w:t>
      </w:r>
      <w:r w:rsidR="00AE5268" w:rsidRPr="00A97E01">
        <w:rPr>
          <w:rFonts w:ascii="Times New Roman" w:hAnsi="Times New Roman" w:cs="Times New Roman"/>
          <w:sz w:val="24"/>
          <w:szCs w:val="24"/>
        </w:rPr>
        <w:t>%</w:t>
      </w:r>
      <w:r w:rsidR="008C50B7" w:rsidRPr="00A97E01">
        <w:rPr>
          <w:rFonts w:ascii="Times New Roman" w:hAnsi="Times New Roman" w:cs="Times New Roman"/>
          <w:sz w:val="24"/>
          <w:szCs w:val="24"/>
        </w:rPr>
        <w:t xml:space="preserve"> </w:t>
      </w:r>
      <w:r w:rsidR="00BC61F5" w:rsidRPr="00A97E01">
        <w:rPr>
          <w:rFonts w:ascii="Times New Roman" w:hAnsi="Times New Roman" w:cs="Times New Roman"/>
          <w:sz w:val="24"/>
          <w:szCs w:val="24"/>
        </w:rPr>
        <w:t>as</w:t>
      </w:r>
      <w:r w:rsidR="00BB2823" w:rsidRPr="00A97E01">
        <w:rPr>
          <w:rFonts w:ascii="Times New Roman" w:hAnsi="Times New Roman" w:cs="Times New Roman"/>
          <w:sz w:val="24"/>
          <w:szCs w:val="24"/>
        </w:rPr>
        <w:t xml:space="preserve"> </w:t>
      </w:r>
      <w:r w:rsidR="00AE5268" w:rsidRPr="00A97E01">
        <w:rPr>
          <w:rFonts w:ascii="Times New Roman" w:hAnsi="Times New Roman" w:cs="Times New Roman"/>
          <w:sz w:val="24"/>
          <w:szCs w:val="24"/>
        </w:rPr>
        <w:t>alternative outcome measure</w:t>
      </w:r>
      <w:r w:rsidR="00DC5DA2" w:rsidRPr="00A97E01">
        <w:rPr>
          <w:rFonts w:ascii="Times New Roman" w:hAnsi="Times New Roman" w:cs="Times New Roman"/>
          <w:sz w:val="24"/>
          <w:szCs w:val="24"/>
        </w:rPr>
        <w:t>s</w:t>
      </w:r>
      <w:r w:rsidR="00BC61F5" w:rsidRPr="00A97E01">
        <w:rPr>
          <w:rFonts w:ascii="Times New Roman" w:hAnsi="Times New Roman" w:cs="Times New Roman"/>
          <w:sz w:val="24"/>
          <w:szCs w:val="24"/>
        </w:rPr>
        <w:t>.</w:t>
      </w:r>
    </w:p>
    <w:p w:rsidR="00BB2823" w:rsidRPr="00A97E01" w:rsidRDefault="00BB2823" w:rsidP="00BB2823">
      <w:pPr>
        <w:spacing w:line="360" w:lineRule="auto"/>
        <w:jc w:val="both"/>
        <w:rPr>
          <w:rFonts w:ascii="Times New Roman" w:hAnsi="Times New Roman" w:cs="Times New Roman"/>
          <w:sz w:val="24"/>
          <w:szCs w:val="24"/>
        </w:rPr>
      </w:pPr>
    </w:p>
    <w:p w:rsidR="00BB2823" w:rsidRPr="00A97E01" w:rsidRDefault="00AE5268" w:rsidP="00BB2823">
      <w:pPr>
        <w:spacing w:line="360" w:lineRule="auto"/>
        <w:jc w:val="both"/>
        <w:outlineLvl w:val="0"/>
        <w:rPr>
          <w:rFonts w:ascii="Times New Roman" w:hAnsi="Times New Roman" w:cs="Times New Roman"/>
          <w:i/>
          <w:sz w:val="24"/>
          <w:szCs w:val="24"/>
        </w:rPr>
      </w:pPr>
      <w:r w:rsidRPr="00A97E01">
        <w:rPr>
          <w:rFonts w:ascii="Times New Roman" w:hAnsi="Times New Roman" w:cs="Times New Roman"/>
          <w:i/>
          <w:sz w:val="24"/>
          <w:szCs w:val="24"/>
        </w:rPr>
        <w:t>2.</w:t>
      </w:r>
      <w:r w:rsidR="00744171" w:rsidRPr="00A97E01">
        <w:rPr>
          <w:rFonts w:ascii="Times New Roman" w:hAnsi="Times New Roman" w:cs="Times New Roman"/>
          <w:i/>
          <w:sz w:val="24"/>
          <w:szCs w:val="24"/>
        </w:rPr>
        <w:t>5 Controlling for patient characteristics within centres</w:t>
      </w:r>
    </w:p>
    <w:p w:rsidR="00BB2823" w:rsidRPr="00A97E01" w:rsidRDefault="00BB2823" w:rsidP="00BB2823">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 xml:space="preserve">We used a mixed linear regression model </w:t>
      </w:r>
      <w:r w:rsidR="00A617CF" w:rsidRPr="00A97E01">
        <w:rPr>
          <w:rFonts w:ascii="Times New Roman" w:hAnsi="Times New Roman" w:cs="Times New Roman"/>
          <w:sz w:val="24"/>
          <w:szCs w:val="24"/>
        </w:rPr>
        <w:t>to estimate the associations of age, sex, genotype and use of pancreatic enzymes on our lung function outcome measures and to</w:t>
      </w:r>
      <w:r w:rsidR="00A96CFC" w:rsidRPr="00A97E01">
        <w:rPr>
          <w:rFonts w:ascii="Times New Roman" w:hAnsi="Times New Roman" w:cs="Times New Roman"/>
          <w:sz w:val="24"/>
          <w:szCs w:val="24"/>
        </w:rPr>
        <w:t xml:space="preserve"> also</w:t>
      </w:r>
      <w:r w:rsidR="00A617CF" w:rsidRPr="00A97E01">
        <w:rPr>
          <w:rFonts w:ascii="Times New Roman" w:hAnsi="Times New Roman" w:cs="Times New Roman"/>
          <w:sz w:val="24"/>
          <w:szCs w:val="24"/>
        </w:rPr>
        <w:t xml:space="preserve"> m</w:t>
      </w:r>
      <w:r w:rsidRPr="00A97E01">
        <w:rPr>
          <w:rFonts w:ascii="Times New Roman" w:hAnsi="Times New Roman" w:cs="Times New Roman"/>
          <w:sz w:val="24"/>
          <w:szCs w:val="24"/>
        </w:rPr>
        <w:t xml:space="preserve">easure the </w:t>
      </w:r>
      <w:r w:rsidR="00A617CF" w:rsidRPr="00A97E01">
        <w:rPr>
          <w:rFonts w:ascii="Times New Roman" w:hAnsi="Times New Roman" w:cs="Times New Roman"/>
          <w:sz w:val="24"/>
          <w:szCs w:val="24"/>
        </w:rPr>
        <w:t xml:space="preserve">two </w:t>
      </w:r>
      <w:r w:rsidRPr="00A97E01">
        <w:rPr>
          <w:rFonts w:ascii="Times New Roman" w:hAnsi="Times New Roman" w:cs="Times New Roman"/>
          <w:sz w:val="24"/>
          <w:szCs w:val="24"/>
        </w:rPr>
        <w:t>components of varia</w:t>
      </w:r>
      <w:r w:rsidR="00A617CF" w:rsidRPr="00A97E01">
        <w:rPr>
          <w:rFonts w:ascii="Times New Roman" w:hAnsi="Times New Roman" w:cs="Times New Roman"/>
          <w:sz w:val="24"/>
          <w:szCs w:val="24"/>
        </w:rPr>
        <w:t>nce: b</w:t>
      </w:r>
      <w:r w:rsidRPr="00A97E01">
        <w:rPr>
          <w:rFonts w:ascii="Times New Roman" w:hAnsi="Times New Roman" w:cs="Times New Roman"/>
          <w:sz w:val="24"/>
          <w:szCs w:val="24"/>
        </w:rPr>
        <w:t>etween centre</w:t>
      </w:r>
      <w:r w:rsidR="00A617CF" w:rsidRPr="00A97E01">
        <w:rPr>
          <w:rFonts w:ascii="Times New Roman" w:hAnsi="Times New Roman" w:cs="Times New Roman"/>
          <w:sz w:val="24"/>
          <w:szCs w:val="24"/>
        </w:rPr>
        <w:t xml:space="preserve"> and</w:t>
      </w:r>
      <w:r w:rsidRPr="00A97E01">
        <w:rPr>
          <w:rFonts w:ascii="Times New Roman" w:hAnsi="Times New Roman" w:cs="Times New Roman"/>
          <w:sz w:val="24"/>
          <w:szCs w:val="24"/>
        </w:rPr>
        <w:t xml:space="preserve"> between subjects within a centre</w:t>
      </w:r>
      <w:r w:rsidR="008C50B7" w:rsidRPr="00A97E01">
        <w:rPr>
          <w:rFonts w:ascii="Times New Roman" w:hAnsi="Times New Roman" w:cs="Times New Roman"/>
          <w:sz w:val="24"/>
          <w:szCs w:val="24"/>
        </w:rPr>
        <w:t>.</w:t>
      </w:r>
      <w:r w:rsidRPr="00A97E01">
        <w:rPr>
          <w:rFonts w:ascii="Times New Roman" w:hAnsi="Times New Roman" w:cs="Times New Roman"/>
          <w:sz w:val="24"/>
          <w:szCs w:val="24"/>
        </w:rPr>
        <w:t xml:space="preserve"> SPSS version 2</w:t>
      </w:r>
      <w:r w:rsidR="00744171" w:rsidRPr="00A97E01">
        <w:rPr>
          <w:rFonts w:ascii="Times New Roman" w:hAnsi="Times New Roman" w:cs="Times New Roman"/>
          <w:sz w:val="24"/>
          <w:szCs w:val="24"/>
        </w:rPr>
        <w:t>4</w:t>
      </w:r>
      <w:r w:rsidRPr="00A97E01">
        <w:rPr>
          <w:rFonts w:ascii="Times New Roman" w:hAnsi="Times New Roman" w:cs="Times New Roman"/>
          <w:sz w:val="24"/>
          <w:szCs w:val="24"/>
        </w:rPr>
        <w:t xml:space="preserve"> (IBM Corporation) was used for analysis.</w:t>
      </w:r>
    </w:p>
    <w:p w:rsidR="005D1411" w:rsidRPr="00A97E01" w:rsidRDefault="005D1411" w:rsidP="005D1411">
      <w:pPr>
        <w:spacing w:line="360" w:lineRule="auto"/>
        <w:jc w:val="both"/>
        <w:outlineLvl w:val="0"/>
        <w:rPr>
          <w:rFonts w:ascii="Times New Roman" w:hAnsi="Times New Roman" w:cs="Times New Roman"/>
          <w:b/>
          <w:sz w:val="24"/>
          <w:szCs w:val="24"/>
        </w:rPr>
      </w:pPr>
      <w:r w:rsidRPr="00A97E01">
        <w:br w:type="page"/>
      </w:r>
      <w:r w:rsidRPr="00A97E01">
        <w:rPr>
          <w:rFonts w:ascii="Times New Roman" w:hAnsi="Times New Roman" w:cs="Times New Roman"/>
          <w:b/>
          <w:sz w:val="24"/>
          <w:szCs w:val="24"/>
        </w:rPr>
        <w:lastRenderedPageBreak/>
        <w:t>3. Results</w:t>
      </w:r>
    </w:p>
    <w:p w:rsidR="0046458F" w:rsidRPr="00A97E01" w:rsidRDefault="0046458F" w:rsidP="005D1411">
      <w:pPr>
        <w:spacing w:line="360" w:lineRule="auto"/>
        <w:jc w:val="both"/>
        <w:rPr>
          <w:rFonts w:ascii="Times New Roman" w:hAnsi="Times New Roman" w:cs="Times New Roman"/>
          <w:sz w:val="24"/>
          <w:szCs w:val="24"/>
        </w:rPr>
      </w:pPr>
    </w:p>
    <w:p w:rsidR="00587326" w:rsidRPr="00A97E01" w:rsidRDefault="00587326" w:rsidP="005D1411">
      <w:pPr>
        <w:spacing w:line="360" w:lineRule="auto"/>
        <w:jc w:val="both"/>
        <w:rPr>
          <w:rFonts w:ascii="Times New Roman" w:hAnsi="Times New Roman" w:cs="Times New Roman"/>
          <w:i/>
          <w:sz w:val="24"/>
          <w:szCs w:val="24"/>
        </w:rPr>
      </w:pPr>
      <w:r w:rsidRPr="00A97E01">
        <w:rPr>
          <w:rFonts w:ascii="Times New Roman" w:hAnsi="Times New Roman" w:cs="Times New Roman"/>
          <w:i/>
          <w:sz w:val="24"/>
          <w:szCs w:val="24"/>
        </w:rPr>
        <w:t>3.1 Study population</w:t>
      </w:r>
    </w:p>
    <w:p w:rsidR="001A37B9" w:rsidRPr="00A97E01" w:rsidRDefault="005D1411" w:rsidP="001A37B9">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We studied 23,433 reports on 4,761 sub</w:t>
      </w:r>
      <w:r w:rsidR="00B91B11" w:rsidRPr="00A97E01">
        <w:rPr>
          <w:rFonts w:ascii="Times New Roman" w:hAnsi="Times New Roman" w:cs="Times New Roman"/>
          <w:sz w:val="24"/>
          <w:szCs w:val="24"/>
        </w:rPr>
        <w:t>jects treated at one of 34 anony</w:t>
      </w:r>
      <w:r w:rsidRPr="00A97E01">
        <w:rPr>
          <w:rFonts w:ascii="Times New Roman" w:hAnsi="Times New Roman" w:cs="Times New Roman"/>
          <w:sz w:val="24"/>
          <w:szCs w:val="24"/>
        </w:rPr>
        <w:t>mised adult centres. 574 subjects had complete data for two years within the study time period; 562 had data for three years; 756 for four; 715 for five; 1078 for six; and 1076 had data from all seven years. In 2007 there were 1956 reports, rising to 4032 in 20</w:t>
      </w:r>
      <w:r w:rsidR="00B91B11" w:rsidRPr="00A97E01">
        <w:rPr>
          <w:rFonts w:ascii="Times New Roman" w:hAnsi="Times New Roman" w:cs="Times New Roman"/>
          <w:sz w:val="24"/>
          <w:szCs w:val="24"/>
        </w:rPr>
        <w:t>11, subsequently,</w:t>
      </w:r>
      <w:r w:rsidRPr="00A97E01">
        <w:rPr>
          <w:rFonts w:ascii="Times New Roman" w:hAnsi="Times New Roman" w:cs="Times New Roman"/>
          <w:sz w:val="24"/>
          <w:szCs w:val="24"/>
        </w:rPr>
        <w:t xml:space="preserve"> report numbers remained relatively stable (supplementary table).</w:t>
      </w:r>
    </w:p>
    <w:p w:rsidR="00BE6298" w:rsidRPr="00A97E01" w:rsidRDefault="00BE6298" w:rsidP="00BE6298">
      <w:pPr>
        <w:spacing w:line="360" w:lineRule="auto"/>
        <w:jc w:val="both"/>
        <w:rPr>
          <w:rFonts w:ascii="Times New Roman" w:hAnsi="Times New Roman" w:cs="Times New Roman"/>
          <w:sz w:val="24"/>
          <w:szCs w:val="24"/>
        </w:rPr>
      </w:pPr>
    </w:p>
    <w:p w:rsidR="001A37B9" w:rsidRPr="00A97E01" w:rsidRDefault="0046458F" w:rsidP="001A37B9">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Mean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xml:space="preserve">% predicted </w:t>
      </w:r>
      <w:r w:rsidR="00BE6298" w:rsidRPr="00A97E01">
        <w:rPr>
          <w:rFonts w:ascii="Times New Roman" w:hAnsi="Times New Roman" w:cs="Times New Roman"/>
          <w:sz w:val="24"/>
          <w:szCs w:val="24"/>
        </w:rPr>
        <w:t xml:space="preserve">for 2013 </w:t>
      </w:r>
      <w:r w:rsidRPr="00A97E01">
        <w:rPr>
          <w:rFonts w:ascii="Times New Roman" w:hAnsi="Times New Roman" w:cs="Times New Roman"/>
          <w:sz w:val="24"/>
          <w:szCs w:val="24"/>
        </w:rPr>
        <w:t xml:space="preserve">was used to rank centres (numbered 1 to 33). </w:t>
      </w:r>
      <w:r w:rsidR="00BE6298" w:rsidRPr="00A97E01">
        <w:rPr>
          <w:rFonts w:ascii="Times New Roman" w:hAnsi="Times New Roman" w:cs="Times New Roman"/>
          <w:sz w:val="24"/>
          <w:szCs w:val="24"/>
        </w:rPr>
        <w:t xml:space="preserve">One centre did not contribute any data for 2013 and so was excluded from further analysis. </w:t>
      </w:r>
      <w:r w:rsidR="002C775D" w:rsidRPr="00A97E01">
        <w:rPr>
          <w:rFonts w:ascii="Times New Roman" w:hAnsi="Times New Roman" w:cs="Times New Roman"/>
          <w:sz w:val="24"/>
          <w:szCs w:val="24"/>
        </w:rPr>
        <w:t>Demogr</w:t>
      </w:r>
      <w:r w:rsidR="00BE6298" w:rsidRPr="00A97E01">
        <w:rPr>
          <w:rFonts w:ascii="Times New Roman" w:hAnsi="Times New Roman" w:cs="Times New Roman"/>
          <w:sz w:val="24"/>
          <w:szCs w:val="24"/>
        </w:rPr>
        <w:t>aphic details for</w:t>
      </w:r>
      <w:r w:rsidRPr="00A97E01">
        <w:rPr>
          <w:rFonts w:ascii="Times New Roman" w:hAnsi="Times New Roman" w:cs="Times New Roman"/>
          <w:sz w:val="24"/>
          <w:szCs w:val="24"/>
        </w:rPr>
        <w:t xml:space="preserve"> </w:t>
      </w:r>
      <w:r w:rsidR="00587326" w:rsidRPr="00A97E01">
        <w:rPr>
          <w:rFonts w:ascii="Times New Roman" w:hAnsi="Times New Roman" w:cs="Times New Roman"/>
          <w:sz w:val="24"/>
          <w:szCs w:val="24"/>
        </w:rPr>
        <w:t xml:space="preserve">each </w:t>
      </w:r>
      <w:r w:rsidRPr="00A97E01">
        <w:rPr>
          <w:rFonts w:ascii="Times New Roman" w:hAnsi="Times New Roman" w:cs="Times New Roman"/>
          <w:sz w:val="24"/>
          <w:szCs w:val="24"/>
        </w:rPr>
        <w:t>centre are</w:t>
      </w:r>
      <w:r w:rsidR="002C775D" w:rsidRPr="00A97E01">
        <w:rPr>
          <w:rFonts w:ascii="Times New Roman" w:hAnsi="Times New Roman" w:cs="Times New Roman"/>
          <w:sz w:val="24"/>
          <w:szCs w:val="24"/>
        </w:rPr>
        <w:t xml:space="preserve"> shown in Table 1. </w:t>
      </w:r>
    </w:p>
    <w:p w:rsidR="009A5F8A" w:rsidRPr="00A97E01" w:rsidRDefault="009A5F8A" w:rsidP="00BE6298">
      <w:pPr>
        <w:ind w:left="-567"/>
        <w:outlineLvl w:val="0"/>
        <w:rPr>
          <w:rFonts w:ascii="Times New Roman" w:eastAsia="Calibri" w:hAnsi="Times New Roman" w:cs="Times New Roman"/>
          <w:sz w:val="24"/>
        </w:rPr>
      </w:pPr>
      <w:r w:rsidRPr="00A97E01">
        <w:rPr>
          <w:rFonts w:ascii="Times New Roman" w:eastAsia="Calibri" w:hAnsi="Times New Roman" w:cs="Times New Roman"/>
          <w:b/>
          <w:sz w:val="24"/>
        </w:rPr>
        <w:br w:type="page"/>
      </w:r>
    </w:p>
    <w:tbl>
      <w:tblPr>
        <w:tblStyle w:val="TableGrid"/>
        <w:tblpPr w:leftFromText="180" w:rightFromText="180" w:vertAnchor="text" w:horzAnchor="page" w:tblpXSpec="center" w:tblpY="144"/>
        <w:tblW w:w="997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1417"/>
        <w:gridCol w:w="1417"/>
        <w:gridCol w:w="1418"/>
        <w:gridCol w:w="1418"/>
        <w:gridCol w:w="1474"/>
        <w:gridCol w:w="1418"/>
      </w:tblGrid>
      <w:tr w:rsidR="00ED2612" w:rsidRPr="00A97E01">
        <w:trPr>
          <w:trHeight w:val="57"/>
          <w:jc w:val="center"/>
        </w:trPr>
        <w:tc>
          <w:tcPr>
            <w:tcW w:w="1417" w:type="dxa"/>
            <w:tcBorders>
              <w:top w:val="single" w:sz="4" w:space="0" w:color="auto"/>
              <w:bottom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lastRenderedPageBreak/>
              <w:t>Centre ranked for mean FEV</w:t>
            </w:r>
            <w:r w:rsidRPr="00A97E01">
              <w:rPr>
                <w:rFonts w:ascii="Times New Roman" w:eastAsia="Calibri" w:hAnsi="Times New Roman" w:cs="Times New Roman"/>
                <w:sz w:val="24"/>
                <w:szCs w:val="24"/>
                <w:vertAlign w:val="subscript"/>
              </w:rPr>
              <w:t>1</w:t>
            </w:r>
            <w:r w:rsidRPr="00A97E01">
              <w:rPr>
                <w:rFonts w:ascii="Times New Roman" w:eastAsia="Calibri" w:hAnsi="Times New Roman" w:cs="Times New Roman"/>
                <w:sz w:val="24"/>
                <w:szCs w:val="24"/>
              </w:rPr>
              <w:t>%</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pred</w:t>
            </w:r>
          </w:p>
        </w:tc>
        <w:tc>
          <w:tcPr>
            <w:tcW w:w="1417" w:type="dxa"/>
            <w:tcBorders>
              <w:top w:val="single" w:sz="4" w:space="0" w:color="auto"/>
              <w:bottom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Number</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of</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patients</w:t>
            </w:r>
          </w:p>
        </w:tc>
        <w:tc>
          <w:tcPr>
            <w:tcW w:w="1417" w:type="dxa"/>
            <w:tcBorders>
              <w:top w:val="single" w:sz="4" w:space="0" w:color="auto"/>
              <w:bottom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Mean</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FEV</w:t>
            </w:r>
            <w:r w:rsidRPr="00A97E01">
              <w:rPr>
                <w:rFonts w:ascii="Times New Roman" w:eastAsia="Calibri" w:hAnsi="Times New Roman" w:cs="Times New Roman"/>
                <w:sz w:val="24"/>
                <w:szCs w:val="24"/>
                <w:vertAlign w:val="subscript"/>
              </w:rPr>
              <w:t>1</w:t>
            </w:r>
            <w:r w:rsidRPr="00A97E01">
              <w:rPr>
                <w:rFonts w:ascii="Times New Roman" w:eastAsia="Calibri" w:hAnsi="Times New Roman" w:cs="Times New Roman"/>
                <w:sz w:val="24"/>
                <w:szCs w:val="24"/>
              </w:rPr>
              <w:t>%</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pred 2013</w:t>
            </w:r>
          </w:p>
        </w:tc>
        <w:tc>
          <w:tcPr>
            <w:tcW w:w="1418" w:type="dxa"/>
            <w:tcBorders>
              <w:top w:val="single" w:sz="4" w:space="0" w:color="auto"/>
              <w:bottom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Mean</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age</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(years)</w:t>
            </w:r>
          </w:p>
        </w:tc>
        <w:tc>
          <w:tcPr>
            <w:tcW w:w="1418" w:type="dxa"/>
            <w:tcBorders>
              <w:top w:val="single" w:sz="4" w:space="0" w:color="auto"/>
              <w:bottom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Percent</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women</w:t>
            </w:r>
          </w:p>
        </w:tc>
        <w:tc>
          <w:tcPr>
            <w:tcW w:w="1474" w:type="dxa"/>
            <w:tcBorders>
              <w:top w:val="single" w:sz="4" w:space="0" w:color="auto"/>
              <w:bottom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Percent*</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ΔF508 homozygous</w:t>
            </w:r>
          </w:p>
        </w:tc>
        <w:tc>
          <w:tcPr>
            <w:tcW w:w="1418" w:type="dxa"/>
            <w:tcBorders>
              <w:top w:val="single" w:sz="4" w:space="0" w:color="auto"/>
              <w:bottom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Percent*</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taking</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pancreatic</w:t>
            </w:r>
          </w:p>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enzymes</w:t>
            </w:r>
          </w:p>
        </w:tc>
      </w:tr>
      <w:tr w:rsidR="00ED2612" w:rsidRPr="00A97E01">
        <w:trPr>
          <w:trHeight w:hRule="exact" w:val="113"/>
          <w:jc w:val="center"/>
        </w:trPr>
        <w:tc>
          <w:tcPr>
            <w:tcW w:w="1417" w:type="dxa"/>
            <w:tcBorders>
              <w:top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p>
        </w:tc>
        <w:tc>
          <w:tcPr>
            <w:tcW w:w="1417" w:type="dxa"/>
            <w:tcBorders>
              <w:top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p>
        </w:tc>
        <w:tc>
          <w:tcPr>
            <w:tcW w:w="1417" w:type="dxa"/>
            <w:tcBorders>
              <w:top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tcBorders>
              <w:top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tcBorders>
              <w:top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p>
        </w:tc>
        <w:tc>
          <w:tcPr>
            <w:tcW w:w="1474" w:type="dxa"/>
            <w:tcBorders>
              <w:top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tcBorders>
              <w:top w:val="single" w:sz="4" w:space="0" w:color="auto"/>
            </w:tcBorders>
            <w:vAlign w:val="center"/>
          </w:tcPr>
          <w:p w:rsidR="00ED2612" w:rsidRPr="00A97E01" w:rsidRDefault="00ED2612" w:rsidP="00043302">
            <w:pPr>
              <w:jc w:val="center"/>
              <w:rPr>
                <w:rFonts w:ascii="Times New Roman" w:eastAsia="Calibri" w:hAnsi="Times New Roman" w:cs="Times New Roman"/>
                <w:sz w:val="24"/>
                <w:szCs w:val="24"/>
              </w:rPr>
            </w:pP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25</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72.3</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25.4</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36.0</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36.0</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76.0</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35</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68.5</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30.5</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34.3</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57.1</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82.9</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122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68.3</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28.2</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48.4</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50.4</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81.0</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173</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66.3</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32.1</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43.4</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40.0</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73.9</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227</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65.9</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30.2</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45.4</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51.1</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85.0</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33</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65.3</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31.5</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54.5</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48.5</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78.1</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7</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65.1</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32.7</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41.7</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33.3</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90.9</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8</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69</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64.8</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29.1</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50.7</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48.5</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75.0</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9</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15</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64.6</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31.9</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26.7</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33.3</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66.7</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10</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122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63.7</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30.8</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48.4</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36.9</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80.8</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11</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110</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63.2</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29.3</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46.4</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31.4</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83.0</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63.2</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24.9</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59.1</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63.6</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95.2</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13</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63.1</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31.3</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40.3</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51.6</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83.1</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14</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142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63.0</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30.3</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51.4</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45.3</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76.3</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15</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261</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62.9</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31.4</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39.8</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51.5</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89.6</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16</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208</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62.8</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30.8</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43.8</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49.0</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86.6</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17</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99</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62.7</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31.0</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43.4</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57.7</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88.8</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18</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203</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62.5</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29.4</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47.8</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52.2</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88.7</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19</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127</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62.4</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26.9</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49.6</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55.1</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91.8</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20</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321</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62.1</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30.5</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41.4</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52.3</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87.9</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21</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186</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61.7</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29.4</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43.5</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43.5</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82.8</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39</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61.5</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27.8</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48.7</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64.1</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94.7</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23</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341</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60.5</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31.4</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43.1</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58.2</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88.0</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24</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74</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60.4</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32.8</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45.9</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54.1</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87.0</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25</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92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60.4</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29.4</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44.6</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48.4</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91.7</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26</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556</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60.3</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33.8</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45.7</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48.5</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83.3</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27</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26</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58.9</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30.5</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50.0</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50.0</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87.0</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28</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18</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58.0</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30.6</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61.1</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55.6</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88.2</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29</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57.1</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31.4</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47.6</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57.1</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81.1</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50</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55.7</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27.2</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50.0</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53.1</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86.7</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31</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47</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55.1</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30.3</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42.6</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44.7</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87.2</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42</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54.8</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27.8</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61.9</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48.8</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87.5</w:t>
            </w:r>
          </w:p>
        </w:tc>
      </w:tr>
      <w:tr w:rsidR="00ED2612" w:rsidRPr="00A97E01">
        <w:trPr>
          <w:trHeight w:val="57"/>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33</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26</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52.0</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29.1</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34.6</w:t>
            </w:r>
          </w:p>
        </w:tc>
        <w:tc>
          <w:tcPr>
            <w:tcW w:w="1474"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69.2</w:t>
            </w:r>
          </w:p>
        </w:tc>
        <w:tc>
          <w:tcPr>
            <w:tcW w:w="1418" w:type="dxa"/>
          </w:tcPr>
          <w:p w:rsidR="00ED2612" w:rsidRPr="00A97E01" w:rsidRDefault="00ED2612" w:rsidP="00043302">
            <w:pPr>
              <w:jc w:val="center"/>
              <w:rPr>
                <w:rFonts w:ascii="Times New Roman" w:hAnsi="Times New Roman" w:cs="Times New Roman"/>
                <w:sz w:val="24"/>
                <w:szCs w:val="24"/>
              </w:rPr>
            </w:pPr>
            <w:r w:rsidRPr="00A97E01">
              <w:rPr>
                <w:rFonts w:ascii="Times New Roman" w:hAnsi="Times New Roman" w:cs="Times New Roman"/>
                <w:sz w:val="24"/>
                <w:szCs w:val="24"/>
              </w:rPr>
              <w:t>96.0</w:t>
            </w:r>
          </w:p>
        </w:tc>
      </w:tr>
      <w:tr w:rsidR="00ED2612" w:rsidRPr="00A97E01">
        <w:trPr>
          <w:trHeight w:hRule="exact" w:val="113"/>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74"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p>
        </w:tc>
      </w:tr>
      <w:tr w:rsidR="00ED2612" w:rsidRPr="00A97E01">
        <w:trPr>
          <w:trHeight w:val="57"/>
          <w:jc w:val="center"/>
        </w:trPr>
        <w:tc>
          <w:tcPr>
            <w:tcW w:w="1417" w:type="dxa"/>
            <w:vAlign w:val="center"/>
          </w:tcPr>
          <w:p w:rsidR="00ED2612" w:rsidRPr="00A97E01" w:rsidRDefault="00ED2612" w:rsidP="00043302">
            <w:pPr>
              <w:rPr>
                <w:rFonts w:ascii="Times New Roman" w:eastAsia="Calibri" w:hAnsi="Times New Roman" w:cs="Times New Roman"/>
                <w:sz w:val="24"/>
                <w:szCs w:val="24"/>
              </w:rPr>
            </w:pPr>
            <w:r w:rsidRPr="00A97E01">
              <w:rPr>
                <w:rFonts w:ascii="Times New Roman" w:eastAsia="Calibri" w:hAnsi="Times New Roman" w:cs="Times New Roman"/>
                <w:sz w:val="24"/>
                <w:szCs w:val="24"/>
              </w:rPr>
              <w:t>All patients</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3927</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62.3</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30.7</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45.1</w:t>
            </w:r>
          </w:p>
        </w:tc>
        <w:tc>
          <w:tcPr>
            <w:tcW w:w="1474"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49.8</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85.1</w:t>
            </w:r>
          </w:p>
        </w:tc>
      </w:tr>
      <w:tr w:rsidR="00ED2612" w:rsidRPr="00A97E01">
        <w:trPr>
          <w:trHeight w:hRule="exact" w:val="113"/>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74"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p>
        </w:tc>
      </w:tr>
      <w:tr w:rsidR="00ED2612" w:rsidRPr="00A97E01">
        <w:trPr>
          <w:trHeight w:val="57"/>
          <w:jc w:val="center"/>
        </w:trPr>
        <w:tc>
          <w:tcPr>
            <w:tcW w:w="1417" w:type="dxa"/>
            <w:vAlign w:val="center"/>
          </w:tcPr>
          <w:p w:rsidR="00ED2612" w:rsidRPr="00A97E01" w:rsidRDefault="00ED2612" w:rsidP="00ED261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P</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w:t>
            </w: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0.22</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0.01</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0.6</w:t>
            </w:r>
          </w:p>
        </w:tc>
        <w:tc>
          <w:tcPr>
            <w:tcW w:w="1474"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&lt;0.001</w:t>
            </w: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r w:rsidRPr="00A97E01">
              <w:rPr>
                <w:rFonts w:ascii="Times New Roman" w:eastAsia="Calibri" w:hAnsi="Times New Roman" w:cs="Times New Roman"/>
                <w:sz w:val="24"/>
                <w:szCs w:val="24"/>
              </w:rPr>
              <w:t>&lt;0.001</w:t>
            </w:r>
          </w:p>
        </w:tc>
      </w:tr>
      <w:tr w:rsidR="00ED2612" w:rsidRPr="00A97E01">
        <w:trPr>
          <w:trHeight w:hRule="exact" w:val="113"/>
          <w:jc w:val="center"/>
        </w:trPr>
        <w:tc>
          <w:tcPr>
            <w:tcW w:w="1417"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7"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74" w:type="dxa"/>
            <w:vAlign w:val="center"/>
          </w:tcPr>
          <w:p w:rsidR="00ED2612" w:rsidRPr="00A97E01" w:rsidRDefault="00ED2612" w:rsidP="00043302">
            <w:pPr>
              <w:jc w:val="center"/>
              <w:rPr>
                <w:rFonts w:ascii="Times New Roman" w:eastAsia="Calibri" w:hAnsi="Times New Roman" w:cs="Times New Roman"/>
                <w:sz w:val="24"/>
                <w:szCs w:val="24"/>
              </w:rPr>
            </w:pPr>
          </w:p>
        </w:tc>
        <w:tc>
          <w:tcPr>
            <w:tcW w:w="1418" w:type="dxa"/>
            <w:vAlign w:val="center"/>
          </w:tcPr>
          <w:p w:rsidR="00ED2612" w:rsidRPr="00A97E01" w:rsidRDefault="00ED2612" w:rsidP="00043302">
            <w:pPr>
              <w:jc w:val="center"/>
              <w:rPr>
                <w:rFonts w:ascii="Times New Roman" w:eastAsia="Calibri" w:hAnsi="Times New Roman" w:cs="Times New Roman"/>
                <w:sz w:val="24"/>
                <w:szCs w:val="24"/>
              </w:rPr>
            </w:pPr>
          </w:p>
        </w:tc>
      </w:tr>
    </w:tbl>
    <w:p w:rsidR="009A5F8A" w:rsidRPr="00A97E01" w:rsidRDefault="009A5F8A" w:rsidP="009A5F8A">
      <w:pPr>
        <w:rPr>
          <w:rFonts w:ascii="Times New Roman" w:eastAsia="Calibri" w:hAnsi="Times New Roman" w:cs="Times New Roman"/>
          <w:u w:val="single"/>
        </w:rPr>
      </w:pPr>
    </w:p>
    <w:p w:rsidR="004B2D4F" w:rsidRPr="00A97E01" w:rsidRDefault="004B2D4F" w:rsidP="004B2D4F">
      <w:pPr>
        <w:jc w:val="both"/>
        <w:rPr>
          <w:rFonts w:ascii="Times New Roman" w:eastAsia="Calibri" w:hAnsi="Times New Roman" w:cs="Times New Roman"/>
          <w:sz w:val="24"/>
        </w:rPr>
      </w:pPr>
      <w:r w:rsidRPr="00A97E01">
        <w:rPr>
          <w:rFonts w:ascii="Times New Roman" w:eastAsia="Calibri" w:hAnsi="Times New Roman" w:cs="Times New Roman"/>
          <w:sz w:val="24"/>
        </w:rPr>
        <w:t>P measures the extent of between-centre variability.</w:t>
      </w:r>
    </w:p>
    <w:p w:rsidR="004B2D4F" w:rsidRPr="00A97E01" w:rsidRDefault="00ED2612" w:rsidP="00ED2612">
      <w:pPr>
        <w:jc w:val="both"/>
        <w:rPr>
          <w:rFonts w:ascii="Times New Roman" w:eastAsia="Calibri" w:hAnsi="Times New Roman" w:cs="Times New Roman"/>
          <w:sz w:val="24"/>
        </w:rPr>
      </w:pPr>
      <w:r w:rsidRPr="00A97E01">
        <w:rPr>
          <w:rFonts w:ascii="Times New Roman" w:eastAsia="Calibri" w:hAnsi="Times New Roman" w:cs="Times New Roman"/>
          <w:sz w:val="24"/>
        </w:rPr>
        <w:t>* Unknown values excluded.</w:t>
      </w:r>
    </w:p>
    <w:p w:rsidR="00ED2612" w:rsidRPr="00A97E01" w:rsidRDefault="00ED2612" w:rsidP="004B2D4F">
      <w:pPr>
        <w:jc w:val="both"/>
        <w:rPr>
          <w:rFonts w:ascii="Times New Roman" w:eastAsia="Calibri" w:hAnsi="Times New Roman" w:cs="Times New Roman"/>
          <w:sz w:val="24"/>
        </w:rPr>
      </w:pPr>
    </w:p>
    <w:p w:rsidR="004B2D4F" w:rsidRPr="00A97E01" w:rsidRDefault="00A96CFC" w:rsidP="0046458F">
      <w:pPr>
        <w:spacing w:line="360" w:lineRule="auto"/>
        <w:jc w:val="both"/>
        <w:rPr>
          <w:rFonts w:ascii="Times New Roman" w:eastAsia="Calibri" w:hAnsi="Times New Roman" w:cs="Times New Roman"/>
          <w:sz w:val="24"/>
        </w:rPr>
      </w:pPr>
      <w:r w:rsidRPr="00A97E01">
        <w:rPr>
          <w:rFonts w:ascii="Times New Roman" w:eastAsia="Calibri" w:hAnsi="Times New Roman" w:cs="Times New Roman"/>
          <w:b/>
          <w:sz w:val="24"/>
        </w:rPr>
        <w:t xml:space="preserve">Table 1   </w:t>
      </w:r>
      <w:r w:rsidRPr="00A97E01">
        <w:rPr>
          <w:rFonts w:ascii="Times New Roman" w:eastAsia="Calibri" w:hAnsi="Times New Roman" w:cs="Times New Roman"/>
          <w:sz w:val="24"/>
        </w:rPr>
        <w:t xml:space="preserve">Demographic details of patients by centre in 2013 </w:t>
      </w:r>
      <w:r w:rsidR="00502BFF" w:rsidRPr="00A97E01">
        <w:rPr>
          <w:rFonts w:ascii="Times New Roman" w:eastAsia="Calibri" w:hAnsi="Times New Roman" w:cs="Times New Roman"/>
          <w:sz w:val="24"/>
        </w:rPr>
        <w:t>(</w:t>
      </w:r>
      <w:r w:rsidRPr="00A97E01">
        <w:rPr>
          <w:rFonts w:ascii="Times New Roman" w:eastAsia="Calibri" w:hAnsi="Times New Roman" w:cs="Times New Roman"/>
          <w:sz w:val="24"/>
        </w:rPr>
        <w:t>ranked for mean FEV</w:t>
      </w:r>
      <w:r w:rsidRPr="00A97E01">
        <w:rPr>
          <w:rFonts w:ascii="Times New Roman" w:eastAsia="Calibri" w:hAnsi="Times New Roman" w:cs="Times New Roman"/>
          <w:sz w:val="24"/>
          <w:vertAlign w:val="subscript"/>
        </w:rPr>
        <w:t>1</w:t>
      </w:r>
      <w:r w:rsidRPr="00A97E01">
        <w:rPr>
          <w:rFonts w:ascii="Times New Roman" w:eastAsia="Calibri" w:hAnsi="Times New Roman" w:cs="Times New Roman"/>
          <w:sz w:val="24"/>
        </w:rPr>
        <w:t>% predicted</w:t>
      </w:r>
      <w:r w:rsidR="00502BFF" w:rsidRPr="00A97E01">
        <w:rPr>
          <w:rFonts w:ascii="Times New Roman" w:eastAsia="Calibri" w:hAnsi="Times New Roman" w:cs="Times New Roman"/>
          <w:sz w:val="24"/>
        </w:rPr>
        <w:t>)</w:t>
      </w:r>
    </w:p>
    <w:p w:rsidR="001A51ED" w:rsidRPr="00A97E01" w:rsidRDefault="0046458F" w:rsidP="0046458F">
      <w:pPr>
        <w:spacing w:line="360" w:lineRule="auto"/>
        <w:jc w:val="both"/>
        <w:rPr>
          <w:rFonts w:ascii="Times New Roman" w:hAnsi="Times New Roman" w:cs="Times New Roman"/>
          <w:i/>
          <w:sz w:val="24"/>
          <w:szCs w:val="24"/>
        </w:rPr>
      </w:pPr>
      <w:r w:rsidRPr="00A97E01">
        <w:rPr>
          <w:rFonts w:ascii="Times New Roman" w:hAnsi="Times New Roman" w:cs="Times New Roman"/>
          <w:i/>
          <w:sz w:val="24"/>
          <w:szCs w:val="24"/>
        </w:rPr>
        <w:t>3</w:t>
      </w:r>
      <w:r w:rsidR="00587326" w:rsidRPr="00A97E01">
        <w:rPr>
          <w:rFonts w:ascii="Times New Roman" w:hAnsi="Times New Roman" w:cs="Times New Roman"/>
          <w:i/>
          <w:sz w:val="24"/>
          <w:szCs w:val="24"/>
        </w:rPr>
        <w:t>.2</w:t>
      </w:r>
      <w:r w:rsidRPr="00A97E01">
        <w:rPr>
          <w:rFonts w:ascii="Times New Roman" w:hAnsi="Times New Roman" w:cs="Times New Roman"/>
          <w:i/>
          <w:sz w:val="24"/>
          <w:szCs w:val="24"/>
        </w:rPr>
        <w:t xml:space="preserve"> </w:t>
      </w:r>
      <w:r w:rsidR="001A51ED" w:rsidRPr="00A97E01">
        <w:rPr>
          <w:rFonts w:ascii="Times New Roman" w:hAnsi="Times New Roman" w:cs="Times New Roman"/>
          <w:i/>
          <w:sz w:val="24"/>
          <w:szCs w:val="24"/>
        </w:rPr>
        <w:t>Comparison of centres</w:t>
      </w:r>
    </w:p>
    <w:p w:rsidR="001A51ED" w:rsidRPr="00A97E01" w:rsidRDefault="001A51ED" w:rsidP="001B2DCA">
      <w:pPr>
        <w:spacing w:line="360" w:lineRule="auto"/>
        <w:jc w:val="both"/>
        <w:outlineLvl w:val="0"/>
        <w:rPr>
          <w:rFonts w:ascii="Times New Roman" w:hAnsi="Times New Roman"/>
          <w:sz w:val="24"/>
        </w:rPr>
      </w:pPr>
      <w:r w:rsidRPr="00A97E01">
        <w:rPr>
          <w:rFonts w:ascii="Times New Roman" w:hAnsi="Times New Roman" w:cs="Times New Roman"/>
          <w:sz w:val="24"/>
          <w:szCs w:val="24"/>
        </w:rPr>
        <w:lastRenderedPageBreak/>
        <w:t xml:space="preserve">There was </w:t>
      </w:r>
      <w:r w:rsidR="0093059A" w:rsidRPr="00A97E01">
        <w:rPr>
          <w:rFonts w:ascii="Times New Roman" w:hAnsi="Times New Roman" w:cs="Times New Roman"/>
          <w:sz w:val="24"/>
          <w:szCs w:val="24"/>
        </w:rPr>
        <w:t>no</w:t>
      </w:r>
      <w:r w:rsidRPr="00A97E01">
        <w:rPr>
          <w:rFonts w:ascii="Times New Roman" w:hAnsi="Times New Roman" w:cs="Times New Roman"/>
          <w:sz w:val="24"/>
          <w:szCs w:val="24"/>
        </w:rPr>
        <w:t xml:space="preserve"> significant difference in mean </w:t>
      </w:r>
      <w:r w:rsidR="00A96CFC" w:rsidRPr="00A97E01">
        <w:rPr>
          <w:rFonts w:ascii="Times New Roman" w:hAnsi="Times New Roman" w:cs="Times New Roman"/>
          <w:sz w:val="24"/>
          <w:szCs w:val="24"/>
        </w:rPr>
        <w:t>FEV</w:t>
      </w:r>
      <w:r w:rsidR="00A96CFC" w:rsidRPr="00A97E01">
        <w:rPr>
          <w:rFonts w:ascii="Times New Roman" w:hAnsi="Times New Roman" w:cs="Times New Roman"/>
          <w:sz w:val="24"/>
          <w:szCs w:val="24"/>
          <w:vertAlign w:val="subscript"/>
        </w:rPr>
        <w:t>1</w:t>
      </w:r>
      <w:r w:rsidR="00A96CFC" w:rsidRPr="00A97E01">
        <w:rPr>
          <w:rFonts w:ascii="Times New Roman" w:hAnsi="Times New Roman" w:cs="Times New Roman"/>
          <w:sz w:val="24"/>
          <w:szCs w:val="24"/>
        </w:rPr>
        <w:t>%</w:t>
      </w:r>
      <w:r w:rsidRPr="00A97E01">
        <w:rPr>
          <w:rFonts w:ascii="Times New Roman" w:hAnsi="Times New Roman" w:cs="Times New Roman"/>
          <w:sz w:val="24"/>
          <w:szCs w:val="24"/>
        </w:rPr>
        <w:t xml:space="preserve"> predi</w:t>
      </w:r>
      <w:r w:rsidR="0093059A" w:rsidRPr="00A97E01">
        <w:rPr>
          <w:rFonts w:ascii="Times New Roman" w:hAnsi="Times New Roman" w:cs="Times New Roman"/>
          <w:sz w:val="24"/>
          <w:szCs w:val="24"/>
        </w:rPr>
        <w:t>cted between centres in 2013</w:t>
      </w:r>
      <w:r w:rsidR="00B710D2" w:rsidRPr="00A97E01">
        <w:rPr>
          <w:rFonts w:ascii="Times New Roman" w:hAnsi="Times New Roman" w:cs="Times New Roman"/>
          <w:sz w:val="24"/>
          <w:szCs w:val="24"/>
        </w:rPr>
        <w:t xml:space="preserve">.  </w:t>
      </w:r>
      <w:r w:rsidR="0093059A" w:rsidRPr="00A97E01">
        <w:rPr>
          <w:rFonts w:ascii="Times New Roman" w:hAnsi="Times New Roman" w:cs="Times New Roman"/>
          <w:sz w:val="24"/>
          <w:szCs w:val="24"/>
        </w:rPr>
        <w:t xml:space="preserve">However, </w:t>
      </w:r>
      <w:r w:rsidR="00587326" w:rsidRPr="00A97E01">
        <w:rPr>
          <w:rFonts w:ascii="Times New Roman" w:hAnsi="Times New Roman" w:cs="Times New Roman"/>
          <w:sz w:val="24"/>
          <w:szCs w:val="24"/>
        </w:rPr>
        <w:t>there were marginal</w:t>
      </w:r>
      <w:r w:rsidR="0093059A" w:rsidRPr="00A97E01">
        <w:rPr>
          <w:rFonts w:ascii="Times New Roman" w:hAnsi="Times New Roman" w:cs="Times New Roman"/>
          <w:sz w:val="24"/>
          <w:szCs w:val="24"/>
        </w:rPr>
        <w:t xml:space="preserve"> statistically significant difference</w:t>
      </w:r>
      <w:r w:rsidR="00587326" w:rsidRPr="00A97E01">
        <w:rPr>
          <w:rFonts w:ascii="Times New Roman" w:hAnsi="Times New Roman" w:cs="Times New Roman"/>
          <w:sz w:val="24"/>
          <w:szCs w:val="24"/>
        </w:rPr>
        <w:t>s</w:t>
      </w:r>
      <w:r w:rsidR="00B710D2" w:rsidRPr="00A97E01">
        <w:rPr>
          <w:rFonts w:ascii="Times New Roman" w:hAnsi="Times New Roman" w:cs="Times New Roman"/>
          <w:sz w:val="24"/>
          <w:szCs w:val="24"/>
        </w:rPr>
        <w:t xml:space="preserve"> for some</w:t>
      </w:r>
      <w:r w:rsidR="0093059A" w:rsidRPr="00A97E01">
        <w:rPr>
          <w:rFonts w:ascii="Times New Roman" w:hAnsi="Times New Roman" w:cs="Times New Roman"/>
          <w:sz w:val="24"/>
          <w:szCs w:val="24"/>
        </w:rPr>
        <w:t xml:space="preserve"> years </w:t>
      </w:r>
      <w:r w:rsidR="00BE6298" w:rsidRPr="00A97E01">
        <w:rPr>
          <w:rFonts w:ascii="Times New Roman" w:hAnsi="Times New Roman" w:cs="Times New Roman"/>
          <w:sz w:val="24"/>
          <w:szCs w:val="24"/>
        </w:rPr>
        <w:t>(</w:t>
      </w:r>
      <w:r w:rsidRPr="00A97E01">
        <w:rPr>
          <w:rFonts w:ascii="Times New Roman" w:hAnsi="Times New Roman" w:cs="Times New Roman"/>
          <w:sz w:val="24"/>
          <w:szCs w:val="24"/>
        </w:rPr>
        <w:t>Table 2</w:t>
      </w:r>
      <w:r w:rsidR="00BE6298" w:rsidRPr="00A97E01">
        <w:rPr>
          <w:rFonts w:ascii="Times New Roman" w:hAnsi="Times New Roman" w:cs="Times New Roman"/>
          <w:sz w:val="24"/>
          <w:szCs w:val="24"/>
        </w:rPr>
        <w:t>)</w:t>
      </w:r>
      <w:r w:rsidRPr="00A97E01">
        <w:rPr>
          <w:rFonts w:ascii="Times New Roman" w:hAnsi="Times New Roman" w:cs="Times New Roman"/>
          <w:sz w:val="24"/>
          <w:szCs w:val="24"/>
        </w:rPr>
        <w:t xml:space="preserve">. </w:t>
      </w:r>
      <w:r w:rsidR="001B2DCA" w:rsidRPr="00A97E01">
        <w:rPr>
          <w:rFonts w:ascii="Times New Roman" w:hAnsi="Times New Roman" w:cs="Times New Roman"/>
          <w:sz w:val="24"/>
          <w:szCs w:val="24"/>
        </w:rPr>
        <w:t>In all years the degree of variation in values derives much more from differing populations within a clinic than from variation between clinics</w:t>
      </w:r>
      <w:r w:rsidR="001B2DCA" w:rsidRPr="00A97E01">
        <w:rPr>
          <w:rFonts w:ascii="Times New Roman" w:hAnsi="Times New Roman"/>
          <w:sz w:val="24"/>
        </w:rPr>
        <w:t xml:space="preserve">. </w:t>
      </w:r>
      <w:r w:rsidR="006A7CA8" w:rsidRPr="00A97E01">
        <w:rPr>
          <w:rFonts w:ascii="Times New Roman" w:hAnsi="Times New Roman" w:cs="Times New Roman"/>
          <w:sz w:val="24"/>
          <w:szCs w:val="24"/>
        </w:rPr>
        <w:t xml:space="preserve">There was a highly significant difference in </w:t>
      </w:r>
      <w:r w:rsidR="00EC054E" w:rsidRPr="00A97E01">
        <w:rPr>
          <w:rFonts w:ascii="Times New Roman" w:hAnsi="Times New Roman" w:cs="Times New Roman"/>
          <w:sz w:val="24"/>
          <w:szCs w:val="24"/>
        </w:rPr>
        <w:t xml:space="preserve">the number of patients who were homozygous for the </w:t>
      </w:r>
      <w:r w:rsidR="00A96CFC" w:rsidRPr="00A97E01">
        <w:rPr>
          <w:rFonts w:ascii="Times New Roman" w:hAnsi="Times New Roman" w:cs="Times New Roman"/>
          <w:sz w:val="24"/>
          <w:szCs w:val="24"/>
        </w:rPr>
        <w:t>ΔF508</w:t>
      </w:r>
      <w:r w:rsidR="00EC054E" w:rsidRPr="00A97E01">
        <w:rPr>
          <w:rFonts w:ascii="Times New Roman" w:hAnsi="Times New Roman" w:cs="Times New Roman"/>
          <w:sz w:val="24"/>
          <w:szCs w:val="24"/>
        </w:rPr>
        <w:t xml:space="preserve"> gene </w:t>
      </w:r>
      <w:r w:rsidR="0093059A" w:rsidRPr="00A97E01">
        <w:rPr>
          <w:rFonts w:ascii="Times New Roman" w:hAnsi="Times New Roman" w:cs="Times New Roman"/>
          <w:sz w:val="24"/>
          <w:szCs w:val="24"/>
        </w:rPr>
        <w:t xml:space="preserve">and the number of patients using pancreatic enzymes </w:t>
      </w:r>
      <w:r w:rsidR="00EC054E" w:rsidRPr="00A97E01">
        <w:rPr>
          <w:rFonts w:ascii="Times New Roman" w:hAnsi="Times New Roman" w:cs="Times New Roman"/>
          <w:sz w:val="24"/>
          <w:szCs w:val="24"/>
        </w:rPr>
        <w:t>between centres</w:t>
      </w:r>
      <w:r w:rsidR="003E61FC" w:rsidRPr="00A97E01">
        <w:rPr>
          <w:rFonts w:ascii="Times New Roman" w:hAnsi="Times New Roman" w:cs="Times New Roman"/>
          <w:sz w:val="24"/>
          <w:szCs w:val="24"/>
        </w:rPr>
        <w:t xml:space="preserve"> </w:t>
      </w:r>
      <w:r w:rsidR="0093059A" w:rsidRPr="00A97E01">
        <w:rPr>
          <w:rFonts w:ascii="Times New Roman" w:hAnsi="Times New Roman" w:cs="Times New Roman"/>
          <w:sz w:val="24"/>
          <w:szCs w:val="24"/>
        </w:rPr>
        <w:t>and also a measur</w:t>
      </w:r>
      <w:r w:rsidR="00BE6298" w:rsidRPr="00A97E01">
        <w:rPr>
          <w:rFonts w:ascii="Times New Roman" w:hAnsi="Times New Roman" w:cs="Times New Roman"/>
          <w:sz w:val="24"/>
          <w:szCs w:val="24"/>
        </w:rPr>
        <w:t>able difference in the mean age</w:t>
      </w:r>
      <w:r w:rsidR="0093059A" w:rsidRPr="00A97E01">
        <w:rPr>
          <w:rFonts w:ascii="Times New Roman" w:hAnsi="Times New Roman" w:cs="Times New Roman"/>
          <w:sz w:val="24"/>
          <w:szCs w:val="24"/>
        </w:rPr>
        <w:t xml:space="preserve"> </w:t>
      </w:r>
      <w:r w:rsidR="00BE6298" w:rsidRPr="00A97E01">
        <w:rPr>
          <w:rFonts w:ascii="Times New Roman" w:hAnsi="Times New Roman" w:cs="Times New Roman"/>
          <w:sz w:val="24"/>
          <w:szCs w:val="24"/>
        </w:rPr>
        <w:t>(</w:t>
      </w:r>
      <w:r w:rsidR="0093059A" w:rsidRPr="00A97E01">
        <w:rPr>
          <w:rFonts w:ascii="Times New Roman" w:hAnsi="Times New Roman" w:cs="Times New Roman"/>
          <w:sz w:val="24"/>
          <w:szCs w:val="24"/>
        </w:rPr>
        <w:t>Table 1</w:t>
      </w:r>
      <w:r w:rsidR="00BE6298" w:rsidRPr="00A97E01">
        <w:rPr>
          <w:rFonts w:ascii="Times New Roman" w:hAnsi="Times New Roman" w:cs="Times New Roman"/>
          <w:sz w:val="24"/>
          <w:szCs w:val="24"/>
        </w:rPr>
        <w:t>)</w:t>
      </w:r>
      <w:r w:rsidR="00EC054E" w:rsidRPr="00A97E01">
        <w:rPr>
          <w:rFonts w:ascii="Times New Roman" w:hAnsi="Times New Roman" w:cs="Times New Roman"/>
          <w:sz w:val="24"/>
          <w:szCs w:val="24"/>
        </w:rPr>
        <w:t xml:space="preserve">. </w:t>
      </w:r>
    </w:p>
    <w:p w:rsidR="001A51ED" w:rsidRPr="00A97E01" w:rsidRDefault="001A51ED" w:rsidP="0046458F">
      <w:pPr>
        <w:spacing w:line="360" w:lineRule="auto"/>
        <w:jc w:val="both"/>
        <w:rPr>
          <w:rFonts w:ascii="Times New Roman" w:hAnsi="Times New Roman" w:cs="Times New Roman"/>
          <w:sz w:val="24"/>
          <w:szCs w:val="24"/>
        </w:rPr>
      </w:pPr>
    </w:p>
    <w:p w:rsidR="00D333A7" w:rsidRPr="00A97E01" w:rsidRDefault="00D333A7" w:rsidP="00D333A7">
      <w:pPr>
        <w:jc w:val="both"/>
        <w:rPr>
          <w:rFonts w:ascii="Times New Roman" w:hAnsi="Times New Roman" w:cs="Times New Roman"/>
        </w:rPr>
      </w:pPr>
    </w:p>
    <w:p w:rsidR="00CF0C12" w:rsidRPr="00A97E01" w:rsidRDefault="00CF0C12" w:rsidP="00D333A7">
      <w:pPr>
        <w:jc w:val="both"/>
        <w:rPr>
          <w:rFonts w:ascii="Times New Roman" w:hAnsi="Times New Roman" w:cs="Times New Roman"/>
        </w:rPr>
      </w:pPr>
    </w:p>
    <w:p w:rsidR="00CF0C12" w:rsidRPr="00A97E01" w:rsidRDefault="00CF0C12" w:rsidP="00D333A7">
      <w:pPr>
        <w:jc w:val="both"/>
        <w:rPr>
          <w:rFonts w:ascii="Times New Roman" w:hAnsi="Times New Roman" w:cs="Times New Roman"/>
        </w:rPr>
      </w:pPr>
    </w:p>
    <w:p w:rsidR="00CF0C12" w:rsidRPr="00A97E01" w:rsidRDefault="00CF0C12" w:rsidP="00D333A7">
      <w:pPr>
        <w:jc w:val="both"/>
        <w:rPr>
          <w:rFonts w:ascii="Times New Roman" w:hAnsi="Times New Roman" w:cs="Times New Roman"/>
        </w:rPr>
      </w:pPr>
    </w:p>
    <w:p w:rsidR="00CF0C12" w:rsidRPr="00A97E01" w:rsidRDefault="00CF0C12" w:rsidP="00D333A7">
      <w:pPr>
        <w:jc w:val="both"/>
        <w:rPr>
          <w:rFonts w:ascii="Times New Roman" w:hAnsi="Times New Roman" w:cs="Times New Roman"/>
        </w:rPr>
      </w:pPr>
    </w:p>
    <w:p w:rsidR="00CF0C12" w:rsidRPr="00A97E01" w:rsidRDefault="00CF0C12" w:rsidP="00D333A7">
      <w:pPr>
        <w:jc w:val="both"/>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1703"/>
        <w:gridCol w:w="1703"/>
        <w:gridCol w:w="1703"/>
        <w:gridCol w:w="1703"/>
        <w:gridCol w:w="1704"/>
      </w:tblGrid>
      <w:tr w:rsidR="00C17A4B" w:rsidRPr="00A97E01">
        <w:trPr>
          <w:trHeight w:val="422"/>
        </w:trPr>
        <w:tc>
          <w:tcPr>
            <w:tcW w:w="1703" w:type="dxa"/>
            <w:vMerge w:val="restart"/>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Year</w:t>
            </w:r>
          </w:p>
        </w:tc>
        <w:tc>
          <w:tcPr>
            <w:tcW w:w="6813" w:type="dxa"/>
            <w:gridSpan w:val="4"/>
            <w:vMerge w:val="restart"/>
            <w:tcBorders>
              <w:top w:val="single" w:sz="4" w:space="0" w:color="auto"/>
              <w:bottom w:val="single" w:sz="4" w:space="0" w:color="auto"/>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FEV</w:t>
            </w:r>
            <w:r w:rsidRPr="00A97E01">
              <w:rPr>
                <w:rFonts w:ascii="Times New Roman" w:hAnsi="Times New Roman"/>
                <w:sz w:val="24"/>
                <w:vertAlign w:val="subscript"/>
              </w:rPr>
              <w:t>1</w:t>
            </w:r>
            <w:r w:rsidRPr="00A97E01">
              <w:rPr>
                <w:rFonts w:ascii="Times New Roman" w:hAnsi="Times New Roman"/>
                <w:sz w:val="24"/>
              </w:rPr>
              <w:t xml:space="preserve"> % predicted</w:t>
            </w:r>
          </w:p>
        </w:tc>
      </w:tr>
      <w:tr w:rsidR="00C17A4B" w:rsidRPr="00A97E01">
        <w:trPr>
          <w:trHeight w:val="414"/>
        </w:trPr>
        <w:tc>
          <w:tcPr>
            <w:tcW w:w="1703" w:type="dxa"/>
            <w:vMerge/>
            <w:vAlign w:val="center"/>
          </w:tcPr>
          <w:p w:rsidR="00C17A4B" w:rsidRPr="00A97E01" w:rsidRDefault="00C17A4B" w:rsidP="009C37F2">
            <w:pPr>
              <w:spacing w:line="360" w:lineRule="auto"/>
              <w:jc w:val="center"/>
              <w:rPr>
                <w:rFonts w:ascii="Times New Roman" w:hAnsi="Times New Roman"/>
                <w:sz w:val="24"/>
              </w:rPr>
            </w:pPr>
          </w:p>
        </w:tc>
        <w:tc>
          <w:tcPr>
            <w:tcW w:w="6813" w:type="dxa"/>
            <w:gridSpan w:val="4"/>
            <w:vMerge/>
            <w:tcBorders>
              <w:top w:val="nil"/>
              <w:bottom w:val="single" w:sz="4" w:space="0" w:color="auto"/>
            </w:tcBorders>
            <w:vAlign w:val="center"/>
          </w:tcPr>
          <w:p w:rsidR="00C17A4B" w:rsidRPr="00A97E01" w:rsidRDefault="00C17A4B" w:rsidP="009C37F2">
            <w:pPr>
              <w:spacing w:line="360" w:lineRule="auto"/>
              <w:jc w:val="center"/>
              <w:rPr>
                <w:rFonts w:ascii="Times New Roman" w:hAnsi="Times New Roman"/>
                <w:sz w:val="24"/>
              </w:rPr>
            </w:pPr>
          </w:p>
        </w:tc>
      </w:tr>
      <w:tr w:rsidR="00C17A4B" w:rsidRPr="00A97E01">
        <w:trPr>
          <w:trHeight w:val="422"/>
        </w:trPr>
        <w:tc>
          <w:tcPr>
            <w:tcW w:w="1703" w:type="dxa"/>
            <w:vMerge/>
            <w:vAlign w:val="center"/>
          </w:tcPr>
          <w:p w:rsidR="00C17A4B" w:rsidRPr="00A97E01" w:rsidRDefault="00C17A4B" w:rsidP="009C37F2">
            <w:pPr>
              <w:spacing w:line="360" w:lineRule="auto"/>
              <w:jc w:val="center"/>
              <w:rPr>
                <w:rFonts w:ascii="Times New Roman" w:hAnsi="Times New Roman"/>
                <w:sz w:val="24"/>
              </w:rPr>
            </w:pPr>
          </w:p>
        </w:tc>
        <w:tc>
          <w:tcPr>
            <w:tcW w:w="1703" w:type="dxa"/>
            <w:vMerge w:val="restart"/>
            <w:tcBorders>
              <w:top w:val="single" w:sz="4" w:space="0" w:color="auto"/>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Within centre SD</w:t>
            </w:r>
          </w:p>
        </w:tc>
        <w:tc>
          <w:tcPr>
            <w:tcW w:w="1703" w:type="dxa"/>
            <w:vMerge w:val="restart"/>
            <w:tcBorders>
              <w:top w:val="single" w:sz="4" w:space="0" w:color="auto"/>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Betwe</w:t>
            </w:r>
            <w:r w:rsidR="00C61ACF" w:rsidRPr="00A97E01">
              <w:rPr>
                <w:rFonts w:ascii="Times New Roman" w:hAnsi="Times New Roman"/>
                <w:sz w:val="24"/>
              </w:rPr>
              <w:t>en c</w:t>
            </w:r>
            <w:r w:rsidRPr="00A97E01">
              <w:rPr>
                <w:rFonts w:ascii="Times New Roman" w:hAnsi="Times New Roman"/>
                <w:sz w:val="24"/>
              </w:rPr>
              <w:t>entre SD</w:t>
            </w:r>
          </w:p>
        </w:tc>
        <w:tc>
          <w:tcPr>
            <w:tcW w:w="1703" w:type="dxa"/>
            <w:vMerge w:val="restart"/>
            <w:tcBorders>
              <w:top w:val="single" w:sz="4" w:space="0" w:color="auto"/>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p-value</w:t>
            </w:r>
          </w:p>
        </w:tc>
        <w:tc>
          <w:tcPr>
            <w:tcW w:w="1704" w:type="dxa"/>
            <w:vMerge w:val="restart"/>
            <w:tcBorders>
              <w:top w:val="single" w:sz="4" w:space="0" w:color="auto"/>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ICC (%)</w:t>
            </w:r>
          </w:p>
        </w:tc>
      </w:tr>
      <w:tr w:rsidR="00C17A4B" w:rsidRPr="00A97E01">
        <w:trPr>
          <w:trHeight w:val="422"/>
        </w:trPr>
        <w:tc>
          <w:tcPr>
            <w:tcW w:w="1703" w:type="dxa"/>
            <w:vMerge/>
            <w:tcBorders>
              <w:bottom w:val="single" w:sz="4" w:space="0" w:color="auto"/>
            </w:tcBorders>
            <w:vAlign w:val="center"/>
          </w:tcPr>
          <w:p w:rsidR="00C17A4B" w:rsidRPr="00A97E01" w:rsidRDefault="00C17A4B" w:rsidP="009C37F2">
            <w:pPr>
              <w:spacing w:line="360" w:lineRule="auto"/>
              <w:jc w:val="center"/>
              <w:rPr>
                <w:rFonts w:ascii="Times New Roman" w:hAnsi="Times New Roman"/>
                <w:sz w:val="24"/>
              </w:rPr>
            </w:pPr>
          </w:p>
        </w:tc>
        <w:tc>
          <w:tcPr>
            <w:tcW w:w="1703" w:type="dxa"/>
            <w:vMerge/>
            <w:tcBorders>
              <w:bottom w:val="single" w:sz="4" w:space="0" w:color="auto"/>
            </w:tcBorders>
            <w:vAlign w:val="center"/>
          </w:tcPr>
          <w:p w:rsidR="00C17A4B" w:rsidRPr="00A97E01" w:rsidRDefault="00C17A4B" w:rsidP="009C37F2">
            <w:pPr>
              <w:spacing w:line="360" w:lineRule="auto"/>
              <w:jc w:val="center"/>
              <w:rPr>
                <w:rFonts w:ascii="Times New Roman" w:hAnsi="Times New Roman"/>
                <w:sz w:val="24"/>
              </w:rPr>
            </w:pPr>
          </w:p>
        </w:tc>
        <w:tc>
          <w:tcPr>
            <w:tcW w:w="1703" w:type="dxa"/>
            <w:vMerge/>
            <w:tcBorders>
              <w:bottom w:val="single" w:sz="4" w:space="0" w:color="auto"/>
            </w:tcBorders>
            <w:vAlign w:val="center"/>
          </w:tcPr>
          <w:p w:rsidR="00C17A4B" w:rsidRPr="00A97E01" w:rsidRDefault="00C17A4B" w:rsidP="009C37F2">
            <w:pPr>
              <w:spacing w:line="360" w:lineRule="auto"/>
              <w:jc w:val="center"/>
              <w:rPr>
                <w:rFonts w:ascii="Times New Roman" w:hAnsi="Times New Roman"/>
                <w:sz w:val="24"/>
              </w:rPr>
            </w:pPr>
          </w:p>
        </w:tc>
        <w:tc>
          <w:tcPr>
            <w:tcW w:w="1703" w:type="dxa"/>
            <w:vMerge/>
            <w:tcBorders>
              <w:bottom w:val="single" w:sz="4" w:space="0" w:color="auto"/>
            </w:tcBorders>
            <w:vAlign w:val="center"/>
          </w:tcPr>
          <w:p w:rsidR="00C17A4B" w:rsidRPr="00A97E01" w:rsidRDefault="00C17A4B" w:rsidP="009C37F2">
            <w:pPr>
              <w:spacing w:line="360" w:lineRule="auto"/>
              <w:jc w:val="center"/>
              <w:rPr>
                <w:rFonts w:ascii="Times New Roman" w:hAnsi="Times New Roman"/>
                <w:sz w:val="24"/>
              </w:rPr>
            </w:pPr>
          </w:p>
        </w:tc>
        <w:tc>
          <w:tcPr>
            <w:tcW w:w="1704" w:type="dxa"/>
            <w:vMerge/>
            <w:tcBorders>
              <w:bottom w:val="single" w:sz="4" w:space="0" w:color="auto"/>
            </w:tcBorders>
            <w:vAlign w:val="center"/>
          </w:tcPr>
          <w:p w:rsidR="00C17A4B" w:rsidRPr="00A97E01" w:rsidRDefault="00C17A4B" w:rsidP="009C37F2">
            <w:pPr>
              <w:spacing w:line="360" w:lineRule="auto"/>
              <w:jc w:val="center"/>
              <w:rPr>
                <w:rFonts w:ascii="Times New Roman" w:hAnsi="Times New Roman"/>
                <w:sz w:val="24"/>
              </w:rPr>
            </w:pPr>
          </w:p>
        </w:tc>
      </w:tr>
      <w:tr w:rsidR="001D5EA5" w:rsidRPr="00A97E01">
        <w:trPr>
          <w:trHeight w:hRule="exact" w:val="113"/>
        </w:trPr>
        <w:tc>
          <w:tcPr>
            <w:tcW w:w="1703" w:type="dxa"/>
            <w:tcBorders>
              <w:top w:val="single" w:sz="4" w:space="0" w:color="auto"/>
              <w:bottom w:val="nil"/>
            </w:tcBorders>
            <w:vAlign w:val="center"/>
          </w:tcPr>
          <w:p w:rsidR="001D5EA5" w:rsidRPr="00A97E01" w:rsidRDefault="001D5EA5" w:rsidP="009C37F2">
            <w:pPr>
              <w:spacing w:line="360" w:lineRule="auto"/>
              <w:jc w:val="center"/>
              <w:rPr>
                <w:rFonts w:ascii="Times New Roman" w:hAnsi="Times New Roman"/>
                <w:sz w:val="24"/>
              </w:rPr>
            </w:pPr>
          </w:p>
        </w:tc>
        <w:tc>
          <w:tcPr>
            <w:tcW w:w="1703" w:type="dxa"/>
            <w:tcBorders>
              <w:top w:val="single" w:sz="4" w:space="0" w:color="auto"/>
              <w:bottom w:val="nil"/>
            </w:tcBorders>
            <w:vAlign w:val="center"/>
          </w:tcPr>
          <w:p w:rsidR="001D5EA5" w:rsidRPr="00A97E01" w:rsidRDefault="001D5EA5" w:rsidP="009C37F2">
            <w:pPr>
              <w:spacing w:line="360" w:lineRule="auto"/>
              <w:jc w:val="center"/>
              <w:rPr>
                <w:rFonts w:ascii="Times New Roman" w:hAnsi="Times New Roman"/>
                <w:sz w:val="24"/>
              </w:rPr>
            </w:pPr>
          </w:p>
        </w:tc>
        <w:tc>
          <w:tcPr>
            <w:tcW w:w="1703" w:type="dxa"/>
            <w:tcBorders>
              <w:top w:val="single" w:sz="4" w:space="0" w:color="auto"/>
              <w:bottom w:val="nil"/>
            </w:tcBorders>
            <w:vAlign w:val="center"/>
          </w:tcPr>
          <w:p w:rsidR="001D5EA5" w:rsidRPr="00A97E01" w:rsidRDefault="001D5EA5" w:rsidP="009C37F2">
            <w:pPr>
              <w:spacing w:line="360" w:lineRule="auto"/>
              <w:jc w:val="center"/>
              <w:rPr>
                <w:rFonts w:ascii="Times New Roman" w:hAnsi="Times New Roman"/>
                <w:sz w:val="24"/>
              </w:rPr>
            </w:pPr>
          </w:p>
        </w:tc>
        <w:tc>
          <w:tcPr>
            <w:tcW w:w="1703" w:type="dxa"/>
            <w:tcBorders>
              <w:top w:val="single" w:sz="4" w:space="0" w:color="auto"/>
              <w:bottom w:val="nil"/>
            </w:tcBorders>
            <w:vAlign w:val="center"/>
          </w:tcPr>
          <w:p w:rsidR="001D5EA5" w:rsidRPr="00A97E01" w:rsidRDefault="001D5EA5" w:rsidP="009C37F2">
            <w:pPr>
              <w:spacing w:line="360" w:lineRule="auto"/>
              <w:jc w:val="center"/>
              <w:rPr>
                <w:rFonts w:ascii="Times New Roman" w:hAnsi="Times New Roman"/>
                <w:sz w:val="24"/>
              </w:rPr>
            </w:pPr>
          </w:p>
        </w:tc>
        <w:tc>
          <w:tcPr>
            <w:tcW w:w="1704" w:type="dxa"/>
            <w:tcBorders>
              <w:top w:val="single" w:sz="4" w:space="0" w:color="auto"/>
              <w:bottom w:val="nil"/>
            </w:tcBorders>
            <w:vAlign w:val="center"/>
          </w:tcPr>
          <w:p w:rsidR="001D5EA5" w:rsidRPr="00A97E01" w:rsidRDefault="001D5EA5" w:rsidP="009C37F2">
            <w:pPr>
              <w:spacing w:line="360" w:lineRule="auto"/>
              <w:jc w:val="center"/>
              <w:rPr>
                <w:rFonts w:ascii="Times New Roman" w:hAnsi="Times New Roman"/>
                <w:sz w:val="24"/>
              </w:rPr>
            </w:pPr>
          </w:p>
        </w:tc>
      </w:tr>
      <w:tr w:rsidR="00C17A4B" w:rsidRPr="00A97E01">
        <w:tc>
          <w:tcPr>
            <w:tcW w:w="1703" w:type="dxa"/>
            <w:tcBorders>
              <w:top w:val="nil"/>
              <w:bottom w:val="nil"/>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2007</w:t>
            </w:r>
          </w:p>
        </w:tc>
        <w:tc>
          <w:tcPr>
            <w:tcW w:w="1703" w:type="dxa"/>
            <w:tcBorders>
              <w:top w:val="nil"/>
              <w:bottom w:val="nil"/>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23.3</w:t>
            </w:r>
          </w:p>
        </w:tc>
        <w:tc>
          <w:tcPr>
            <w:tcW w:w="1703" w:type="dxa"/>
            <w:tcBorders>
              <w:top w:val="nil"/>
              <w:bottom w:val="nil"/>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2.2</w:t>
            </w:r>
          </w:p>
        </w:tc>
        <w:tc>
          <w:tcPr>
            <w:tcW w:w="1703" w:type="dxa"/>
            <w:tcBorders>
              <w:top w:val="nil"/>
              <w:bottom w:val="nil"/>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0.11</w:t>
            </w:r>
          </w:p>
        </w:tc>
        <w:tc>
          <w:tcPr>
            <w:tcW w:w="1704" w:type="dxa"/>
            <w:tcBorders>
              <w:top w:val="nil"/>
              <w:bottom w:val="nil"/>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0.9</w:t>
            </w:r>
          </w:p>
        </w:tc>
      </w:tr>
      <w:tr w:rsidR="00C17A4B" w:rsidRPr="00A97E01">
        <w:tc>
          <w:tcPr>
            <w:tcW w:w="1703" w:type="dxa"/>
            <w:tcBorders>
              <w:top w:val="nil"/>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2008</w:t>
            </w:r>
          </w:p>
        </w:tc>
        <w:tc>
          <w:tcPr>
            <w:tcW w:w="1703" w:type="dxa"/>
            <w:tcBorders>
              <w:top w:val="nil"/>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23.3</w:t>
            </w:r>
          </w:p>
        </w:tc>
        <w:tc>
          <w:tcPr>
            <w:tcW w:w="1703" w:type="dxa"/>
            <w:tcBorders>
              <w:top w:val="nil"/>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2.1</w:t>
            </w:r>
          </w:p>
        </w:tc>
        <w:tc>
          <w:tcPr>
            <w:tcW w:w="1703" w:type="dxa"/>
            <w:tcBorders>
              <w:top w:val="nil"/>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0.13</w:t>
            </w:r>
          </w:p>
        </w:tc>
        <w:tc>
          <w:tcPr>
            <w:tcW w:w="1704" w:type="dxa"/>
            <w:tcBorders>
              <w:top w:val="nil"/>
            </w:tcBorders>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0.8</w:t>
            </w:r>
          </w:p>
        </w:tc>
      </w:tr>
      <w:tr w:rsidR="00C17A4B" w:rsidRPr="00A97E01">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2009</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23.4</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2.8</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0.03</w:t>
            </w:r>
          </w:p>
        </w:tc>
        <w:tc>
          <w:tcPr>
            <w:tcW w:w="1704"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1.4</w:t>
            </w:r>
          </w:p>
        </w:tc>
      </w:tr>
      <w:tr w:rsidR="00C17A4B" w:rsidRPr="00A97E01">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2010</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23.2</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2.7</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0.02</w:t>
            </w:r>
          </w:p>
        </w:tc>
        <w:tc>
          <w:tcPr>
            <w:tcW w:w="1704"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1.4</w:t>
            </w:r>
          </w:p>
        </w:tc>
      </w:tr>
      <w:tr w:rsidR="00C17A4B" w:rsidRPr="00A97E01">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2011</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23.5</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3.3</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0.01</w:t>
            </w:r>
          </w:p>
        </w:tc>
        <w:tc>
          <w:tcPr>
            <w:tcW w:w="1704"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1.9</w:t>
            </w:r>
          </w:p>
        </w:tc>
      </w:tr>
      <w:tr w:rsidR="00C17A4B" w:rsidRPr="00A97E01">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2012</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24.0</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1.7</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0.14</w:t>
            </w:r>
          </w:p>
        </w:tc>
        <w:tc>
          <w:tcPr>
            <w:tcW w:w="1704"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0.5</w:t>
            </w:r>
          </w:p>
        </w:tc>
      </w:tr>
      <w:tr w:rsidR="00C17A4B" w:rsidRPr="00A97E01">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2013</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24.0</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1.7</w:t>
            </w:r>
          </w:p>
        </w:tc>
        <w:tc>
          <w:tcPr>
            <w:tcW w:w="1703"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0.22</w:t>
            </w:r>
          </w:p>
        </w:tc>
        <w:tc>
          <w:tcPr>
            <w:tcW w:w="1704" w:type="dxa"/>
            <w:vAlign w:val="center"/>
          </w:tcPr>
          <w:p w:rsidR="00C17A4B" w:rsidRPr="00A97E01" w:rsidRDefault="00C17A4B" w:rsidP="009C37F2">
            <w:pPr>
              <w:spacing w:line="360" w:lineRule="auto"/>
              <w:jc w:val="center"/>
              <w:rPr>
                <w:rFonts w:ascii="Times New Roman" w:hAnsi="Times New Roman"/>
                <w:sz w:val="24"/>
              </w:rPr>
            </w:pPr>
            <w:r w:rsidRPr="00A97E01">
              <w:rPr>
                <w:rFonts w:ascii="Times New Roman" w:hAnsi="Times New Roman"/>
                <w:sz w:val="24"/>
              </w:rPr>
              <w:t>0.5</w:t>
            </w:r>
          </w:p>
        </w:tc>
      </w:tr>
      <w:tr w:rsidR="00C17A4B" w:rsidRPr="00A97E01">
        <w:trPr>
          <w:trHeight w:hRule="exact" w:val="113"/>
        </w:trPr>
        <w:tc>
          <w:tcPr>
            <w:tcW w:w="8516" w:type="dxa"/>
            <w:gridSpan w:val="5"/>
            <w:vAlign w:val="center"/>
          </w:tcPr>
          <w:p w:rsidR="00C17A4B" w:rsidRPr="00A97E01" w:rsidRDefault="00C17A4B" w:rsidP="009C37F2">
            <w:pPr>
              <w:spacing w:line="360" w:lineRule="auto"/>
              <w:jc w:val="center"/>
              <w:rPr>
                <w:sz w:val="24"/>
              </w:rPr>
            </w:pPr>
          </w:p>
        </w:tc>
      </w:tr>
    </w:tbl>
    <w:p w:rsidR="00D333A7" w:rsidRPr="00A97E01" w:rsidRDefault="00D333A7" w:rsidP="00D333A7">
      <w:pPr>
        <w:jc w:val="both"/>
        <w:rPr>
          <w:rFonts w:ascii="Times New Roman" w:hAnsi="Times New Roman" w:cs="Times New Roman"/>
        </w:rPr>
      </w:pPr>
    </w:p>
    <w:p w:rsidR="00C17A4B" w:rsidRPr="00A97E01" w:rsidRDefault="00C17A4B" w:rsidP="00C17A4B">
      <w:pPr>
        <w:spacing w:line="360" w:lineRule="auto"/>
        <w:jc w:val="both"/>
        <w:rPr>
          <w:sz w:val="20"/>
          <w:szCs w:val="20"/>
        </w:rPr>
      </w:pPr>
      <w:r w:rsidRPr="00A97E01">
        <w:rPr>
          <w:sz w:val="20"/>
          <w:szCs w:val="20"/>
        </w:rPr>
        <w:t>SD = standard deviation</w:t>
      </w:r>
    </w:p>
    <w:p w:rsidR="00C17A4B" w:rsidRPr="00A97E01" w:rsidRDefault="0093059A" w:rsidP="00C17A4B">
      <w:pPr>
        <w:spacing w:line="360" w:lineRule="auto"/>
        <w:jc w:val="both"/>
        <w:rPr>
          <w:sz w:val="20"/>
          <w:szCs w:val="20"/>
        </w:rPr>
      </w:pPr>
      <w:r w:rsidRPr="00A97E01">
        <w:rPr>
          <w:sz w:val="20"/>
          <w:szCs w:val="20"/>
        </w:rPr>
        <w:t xml:space="preserve">p-value </w:t>
      </w:r>
      <w:r w:rsidR="00C17A4B" w:rsidRPr="00A97E01">
        <w:rPr>
          <w:sz w:val="20"/>
          <w:szCs w:val="20"/>
        </w:rPr>
        <w:t>from test for between centre variation</w:t>
      </w:r>
    </w:p>
    <w:p w:rsidR="00C17A4B" w:rsidRPr="00A97E01" w:rsidRDefault="00C17A4B" w:rsidP="00C17A4B">
      <w:pPr>
        <w:spacing w:line="360" w:lineRule="auto"/>
        <w:jc w:val="both"/>
        <w:rPr>
          <w:sz w:val="20"/>
          <w:szCs w:val="20"/>
        </w:rPr>
      </w:pPr>
      <w:r w:rsidRPr="00A97E01">
        <w:rPr>
          <w:sz w:val="20"/>
          <w:szCs w:val="20"/>
        </w:rPr>
        <w:t>I</w:t>
      </w:r>
      <w:r w:rsidR="00CF0C12" w:rsidRPr="00A97E01">
        <w:rPr>
          <w:sz w:val="20"/>
          <w:szCs w:val="20"/>
        </w:rPr>
        <w:t>ntraclass correlation coefficient (I</w:t>
      </w:r>
      <w:r w:rsidRPr="00A97E01">
        <w:rPr>
          <w:sz w:val="20"/>
          <w:szCs w:val="20"/>
        </w:rPr>
        <w:t>CC</w:t>
      </w:r>
      <w:r w:rsidR="00CF0C12" w:rsidRPr="00A97E01">
        <w:rPr>
          <w:sz w:val="20"/>
          <w:szCs w:val="20"/>
        </w:rPr>
        <w:t>)</w:t>
      </w:r>
      <w:r w:rsidRPr="00A97E01">
        <w:rPr>
          <w:sz w:val="20"/>
          <w:szCs w:val="20"/>
        </w:rPr>
        <w:t xml:space="preserve"> (%) = 100*between centre variance/(within centre variance + between centre variance)</w:t>
      </w:r>
    </w:p>
    <w:p w:rsidR="00D333A7" w:rsidRPr="00A97E01" w:rsidRDefault="00D333A7" w:rsidP="00D333A7">
      <w:pPr>
        <w:spacing w:line="360" w:lineRule="auto"/>
        <w:jc w:val="both"/>
        <w:rPr>
          <w:rFonts w:ascii="Times New Roman" w:hAnsi="Times New Roman" w:cs="Times New Roman"/>
          <w:sz w:val="24"/>
          <w:szCs w:val="24"/>
        </w:rPr>
      </w:pPr>
    </w:p>
    <w:p w:rsidR="002B7F69" w:rsidRPr="00A97E01" w:rsidRDefault="002B7F69" w:rsidP="00CF0C12">
      <w:pPr>
        <w:spacing w:line="360" w:lineRule="auto"/>
        <w:jc w:val="both"/>
        <w:rPr>
          <w:b/>
          <w:sz w:val="24"/>
          <w:szCs w:val="24"/>
        </w:rPr>
      </w:pPr>
    </w:p>
    <w:p w:rsidR="00CF0C12" w:rsidRPr="00A97E01" w:rsidRDefault="00CF0C12" w:rsidP="00CF0C12">
      <w:pPr>
        <w:spacing w:line="360" w:lineRule="auto"/>
        <w:jc w:val="both"/>
        <w:rPr>
          <w:b/>
          <w:sz w:val="24"/>
          <w:szCs w:val="24"/>
        </w:rPr>
      </w:pPr>
      <w:r w:rsidRPr="00A97E01">
        <w:rPr>
          <w:b/>
          <w:sz w:val="24"/>
          <w:szCs w:val="24"/>
        </w:rPr>
        <w:t>Table 2</w:t>
      </w:r>
    </w:p>
    <w:p w:rsidR="00CF0C12" w:rsidRPr="00A97E01" w:rsidRDefault="00CF0C12" w:rsidP="00CF0C12">
      <w:pPr>
        <w:spacing w:line="360" w:lineRule="auto"/>
        <w:jc w:val="both"/>
        <w:rPr>
          <w:sz w:val="24"/>
          <w:szCs w:val="24"/>
        </w:rPr>
      </w:pPr>
      <w:r w:rsidRPr="00A97E01">
        <w:rPr>
          <w:sz w:val="24"/>
          <w:szCs w:val="24"/>
        </w:rPr>
        <w:t>Comparison of mean FEV</w:t>
      </w:r>
      <w:r w:rsidRPr="00A97E01">
        <w:rPr>
          <w:sz w:val="24"/>
          <w:szCs w:val="24"/>
          <w:vertAlign w:val="subscript"/>
        </w:rPr>
        <w:t>1</w:t>
      </w:r>
      <w:r w:rsidRPr="00A97E01">
        <w:rPr>
          <w:sz w:val="24"/>
          <w:szCs w:val="24"/>
        </w:rPr>
        <w:t>% predicted between centres for individual years throughout the study period</w:t>
      </w:r>
      <w:r w:rsidR="00B45A94" w:rsidRPr="00A97E01">
        <w:rPr>
          <w:sz w:val="24"/>
          <w:szCs w:val="24"/>
        </w:rPr>
        <w:t xml:space="preserve"> (unadjusted data)</w:t>
      </w:r>
    </w:p>
    <w:p w:rsidR="00D333A7" w:rsidRPr="00A97E01" w:rsidRDefault="00EC054E" w:rsidP="00D333A7">
      <w:pPr>
        <w:spacing w:line="360" w:lineRule="auto"/>
        <w:jc w:val="both"/>
        <w:rPr>
          <w:rFonts w:ascii="Times New Roman" w:hAnsi="Times New Roman" w:cs="Times New Roman"/>
          <w:i/>
          <w:sz w:val="24"/>
          <w:szCs w:val="24"/>
        </w:rPr>
      </w:pPr>
      <w:r w:rsidRPr="00A97E01">
        <w:rPr>
          <w:rFonts w:ascii="Times New Roman" w:hAnsi="Times New Roman" w:cs="Times New Roman"/>
          <w:i/>
          <w:sz w:val="24"/>
          <w:szCs w:val="24"/>
        </w:rPr>
        <w:br w:type="page"/>
      </w:r>
      <w:r w:rsidR="00D333A7" w:rsidRPr="00A97E01">
        <w:rPr>
          <w:rFonts w:ascii="Times New Roman" w:hAnsi="Times New Roman" w:cs="Times New Roman"/>
          <w:i/>
          <w:sz w:val="24"/>
          <w:szCs w:val="24"/>
        </w:rPr>
        <w:lastRenderedPageBreak/>
        <w:t>3.</w:t>
      </w:r>
      <w:r w:rsidR="00B710D2" w:rsidRPr="00A97E01">
        <w:rPr>
          <w:rFonts w:ascii="Times New Roman" w:hAnsi="Times New Roman" w:cs="Times New Roman"/>
          <w:i/>
          <w:sz w:val="24"/>
          <w:szCs w:val="24"/>
        </w:rPr>
        <w:t>3</w:t>
      </w:r>
      <w:r w:rsidR="00D333A7" w:rsidRPr="00A97E01">
        <w:rPr>
          <w:rFonts w:ascii="Times New Roman" w:hAnsi="Times New Roman" w:cs="Times New Roman"/>
          <w:i/>
          <w:sz w:val="24"/>
          <w:szCs w:val="24"/>
        </w:rPr>
        <w:t xml:space="preserve"> Ranking of Centres</w:t>
      </w:r>
    </w:p>
    <w:p w:rsidR="00EC054E" w:rsidRPr="00A97E01" w:rsidRDefault="00EC054E" w:rsidP="00EC054E">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There was a lack of stability in rankings for the early years of the study but increasing correlation between years as the study progressed, Table 3.</w:t>
      </w:r>
    </w:p>
    <w:p w:rsidR="00EC054E" w:rsidRPr="00A97E01" w:rsidRDefault="00EC054E" w:rsidP="00EC054E">
      <w:pPr>
        <w:outlineLvl w:val="0"/>
        <w:rPr>
          <w:rFonts w:ascii="Times New Roman" w:hAnsi="Times New Roman" w:cs="Times New Roman"/>
          <w:b/>
          <w:sz w:val="24"/>
          <w:szCs w:val="24"/>
        </w:rPr>
      </w:pPr>
    </w:p>
    <w:p w:rsidR="00EC054E" w:rsidRPr="00A97E01" w:rsidRDefault="00EC054E" w:rsidP="00EC054E">
      <w:pPr>
        <w:outlineLvl w:val="0"/>
        <w:rPr>
          <w:rFonts w:ascii="Times New Roman" w:hAnsi="Times New Roman" w:cs="Times New Roman"/>
          <w:b/>
          <w:sz w:val="24"/>
          <w:szCs w:val="24"/>
        </w:rPr>
      </w:pPr>
    </w:p>
    <w:p w:rsidR="00EC054E" w:rsidRPr="00A97E01" w:rsidRDefault="00EC054E" w:rsidP="00EC054E">
      <w:pPr>
        <w:outlineLvl w:val="0"/>
        <w:rPr>
          <w:rFonts w:ascii="Times New Roman" w:hAnsi="Times New Roman" w:cs="Times New Roman"/>
          <w:sz w:val="24"/>
          <w:szCs w:val="24"/>
        </w:rPr>
      </w:pPr>
    </w:p>
    <w:tbl>
      <w:tblPr>
        <w:tblW w:w="8463" w:type="dxa"/>
        <w:tblInd w:w="-99" w:type="dxa"/>
        <w:tblBorders>
          <w:top w:val="single" w:sz="8" w:space="0" w:color="152935"/>
          <w:bottom w:val="single" w:sz="8" w:space="0" w:color="152935"/>
        </w:tblBorders>
        <w:tblLayout w:type="fixed"/>
        <w:tblCellMar>
          <w:left w:w="0" w:type="dxa"/>
          <w:right w:w="0" w:type="dxa"/>
        </w:tblCellMar>
        <w:tblLook w:val="0000" w:firstRow="0" w:lastRow="0" w:firstColumn="0" w:lastColumn="0" w:noHBand="0" w:noVBand="0"/>
      </w:tblPr>
      <w:tblGrid>
        <w:gridCol w:w="1134"/>
        <w:gridCol w:w="1047"/>
        <w:gridCol w:w="1047"/>
        <w:gridCol w:w="1047"/>
        <w:gridCol w:w="1047"/>
        <w:gridCol w:w="1047"/>
        <w:gridCol w:w="1047"/>
        <w:gridCol w:w="1047"/>
      </w:tblGrid>
      <w:tr w:rsidR="00EC054E" w:rsidRPr="00A97E01">
        <w:trPr>
          <w:cantSplit/>
          <w:trHeight w:hRule="exact" w:val="525"/>
        </w:trPr>
        <w:tc>
          <w:tcPr>
            <w:tcW w:w="1134" w:type="dxa"/>
            <w:vMerge w:val="restart"/>
            <w:tcBorders>
              <w:top w:val="single" w:sz="8" w:space="0" w:color="152935"/>
            </w:tcBorders>
            <w:shd w:val="clear" w:color="auto" w:fill="auto"/>
            <w:vAlign w:val="center"/>
          </w:tcPr>
          <w:p w:rsidR="00EC054E" w:rsidRPr="00A97E01" w:rsidRDefault="00EC054E" w:rsidP="002B0026">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Year</w:t>
            </w:r>
          </w:p>
        </w:tc>
        <w:tc>
          <w:tcPr>
            <w:tcW w:w="7329" w:type="dxa"/>
            <w:gridSpan w:val="7"/>
            <w:tcBorders>
              <w:top w:val="single" w:sz="8" w:space="0" w:color="152935"/>
              <w:bottom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Year</w:t>
            </w:r>
          </w:p>
        </w:tc>
      </w:tr>
      <w:tr w:rsidR="00EC054E" w:rsidRPr="00A97E01">
        <w:trPr>
          <w:cantSplit/>
          <w:trHeight w:hRule="exact" w:val="510"/>
        </w:trPr>
        <w:tc>
          <w:tcPr>
            <w:tcW w:w="1134" w:type="dxa"/>
            <w:vMerge/>
            <w:tcBorders>
              <w:bottom w:val="single" w:sz="8" w:space="0" w:color="152935"/>
            </w:tcBorders>
            <w:shd w:val="clear" w:color="auto" w:fill="auto"/>
            <w:vAlign w:val="center"/>
          </w:tcPr>
          <w:p w:rsidR="00EC054E" w:rsidRPr="00A97E01" w:rsidRDefault="00EC054E" w:rsidP="002B0026">
            <w:pPr>
              <w:autoSpaceDE w:val="0"/>
              <w:autoSpaceDN w:val="0"/>
              <w:adjustRightInd w:val="0"/>
              <w:jc w:val="center"/>
              <w:rPr>
                <w:rFonts w:ascii="Times New Roman" w:hAnsi="Times New Roman" w:cs="Times New Roman"/>
                <w:sz w:val="24"/>
                <w:szCs w:val="24"/>
              </w:rPr>
            </w:pPr>
          </w:p>
        </w:tc>
        <w:tc>
          <w:tcPr>
            <w:tcW w:w="1047" w:type="dxa"/>
            <w:tcBorders>
              <w:top w:val="single" w:sz="8" w:space="0" w:color="152935"/>
              <w:bottom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2007</w:t>
            </w:r>
          </w:p>
        </w:tc>
        <w:tc>
          <w:tcPr>
            <w:tcW w:w="1047" w:type="dxa"/>
            <w:tcBorders>
              <w:top w:val="single" w:sz="8" w:space="0" w:color="152935"/>
              <w:bottom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2008</w:t>
            </w:r>
          </w:p>
        </w:tc>
        <w:tc>
          <w:tcPr>
            <w:tcW w:w="1047" w:type="dxa"/>
            <w:tcBorders>
              <w:top w:val="single" w:sz="8" w:space="0" w:color="152935"/>
              <w:bottom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2009</w:t>
            </w:r>
          </w:p>
        </w:tc>
        <w:tc>
          <w:tcPr>
            <w:tcW w:w="1047" w:type="dxa"/>
            <w:tcBorders>
              <w:top w:val="single" w:sz="8" w:space="0" w:color="152935"/>
              <w:bottom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2010</w:t>
            </w:r>
          </w:p>
        </w:tc>
        <w:tc>
          <w:tcPr>
            <w:tcW w:w="1047" w:type="dxa"/>
            <w:tcBorders>
              <w:top w:val="single" w:sz="8" w:space="0" w:color="152935"/>
              <w:bottom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2011</w:t>
            </w:r>
          </w:p>
        </w:tc>
        <w:tc>
          <w:tcPr>
            <w:tcW w:w="1047" w:type="dxa"/>
            <w:tcBorders>
              <w:top w:val="single" w:sz="8" w:space="0" w:color="152935"/>
              <w:bottom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2012</w:t>
            </w:r>
          </w:p>
        </w:tc>
        <w:tc>
          <w:tcPr>
            <w:tcW w:w="1047" w:type="dxa"/>
            <w:tcBorders>
              <w:top w:val="single" w:sz="8" w:space="0" w:color="152935"/>
              <w:bottom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2013</w:t>
            </w:r>
          </w:p>
        </w:tc>
      </w:tr>
      <w:tr w:rsidR="00EC054E" w:rsidRPr="00A97E01">
        <w:trPr>
          <w:cantSplit/>
          <w:trHeight w:hRule="exact" w:val="113"/>
        </w:trPr>
        <w:tc>
          <w:tcPr>
            <w:tcW w:w="1134" w:type="dxa"/>
            <w:tcBorders>
              <w:top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tcBorders>
              <w:top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tcBorders>
              <w:top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tcBorders>
              <w:top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tcBorders>
              <w:top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tcBorders>
              <w:top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tcBorders>
              <w:top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tcBorders>
              <w:top w:val="single" w:sz="8" w:space="0" w:color="152935"/>
            </w:tcBorders>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r>
      <w:tr w:rsidR="00EC054E" w:rsidRPr="00A97E01">
        <w:trPr>
          <w:cantSplit/>
          <w:trHeight w:hRule="exact" w:val="340"/>
        </w:trPr>
        <w:tc>
          <w:tcPr>
            <w:tcW w:w="1134"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2007</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-.122</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.154</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.454</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.417</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.406</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.124</w:t>
            </w:r>
          </w:p>
        </w:tc>
      </w:tr>
      <w:tr w:rsidR="00EC054E" w:rsidRPr="00A97E01">
        <w:trPr>
          <w:cantSplit/>
          <w:trHeight w:hRule="exact" w:val="340"/>
        </w:trPr>
        <w:tc>
          <w:tcPr>
            <w:tcW w:w="1134"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2008</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.528</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.531</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.271</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.232</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.115</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.096</w:t>
            </w:r>
          </w:p>
        </w:tc>
      </w:tr>
      <w:tr w:rsidR="00EC054E" w:rsidRPr="00A97E01">
        <w:trPr>
          <w:cantSplit/>
          <w:trHeight w:hRule="exact" w:val="340"/>
        </w:trPr>
        <w:tc>
          <w:tcPr>
            <w:tcW w:w="1134"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2009</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.426</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.002</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.256</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.387</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.298</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.417</w:t>
            </w:r>
          </w:p>
        </w:tc>
      </w:tr>
      <w:tr w:rsidR="00EC054E" w:rsidRPr="00A97E01">
        <w:trPr>
          <w:cantSplit/>
          <w:trHeight w:hRule="exact" w:val="340"/>
        </w:trPr>
        <w:tc>
          <w:tcPr>
            <w:tcW w:w="1134"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2010</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.013</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.140</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.143</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w:t>
            </w:r>
            <w:r w:rsidRPr="00A97E01">
              <w:rPr>
                <w:rFonts w:ascii="Times New Roman" w:hAnsi="Times New Roman" w:cs="Times New Roman"/>
                <w:b/>
                <w:sz w:val="24"/>
                <w:szCs w:val="24"/>
              </w:rPr>
              <w:t>656</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.507</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.420</w:t>
            </w:r>
          </w:p>
        </w:tc>
      </w:tr>
      <w:tr w:rsidR="00EC054E" w:rsidRPr="00A97E01">
        <w:trPr>
          <w:cantSplit/>
          <w:trHeight w:hRule="exact" w:val="340"/>
        </w:trPr>
        <w:tc>
          <w:tcPr>
            <w:tcW w:w="1134"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2011</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.024</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.210</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.024</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&lt;0.001</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b/>
                <w:sz w:val="24"/>
                <w:szCs w:val="24"/>
              </w:rPr>
            </w:pPr>
            <w:r w:rsidRPr="00A97E01">
              <w:rPr>
                <w:rFonts w:ascii="Times New Roman" w:hAnsi="Times New Roman" w:cs="Times New Roman"/>
                <w:b/>
                <w:sz w:val="24"/>
                <w:szCs w:val="24"/>
              </w:rPr>
              <w:t>.834</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b/>
                <w:sz w:val="24"/>
                <w:szCs w:val="24"/>
              </w:rPr>
            </w:pPr>
            <w:r w:rsidRPr="00A97E01">
              <w:rPr>
                <w:rFonts w:ascii="Times New Roman" w:hAnsi="Times New Roman" w:cs="Times New Roman"/>
                <w:b/>
                <w:sz w:val="24"/>
                <w:szCs w:val="24"/>
              </w:rPr>
              <w:t>.772</w:t>
            </w:r>
          </w:p>
        </w:tc>
      </w:tr>
      <w:tr w:rsidR="00EC054E" w:rsidRPr="00A97E01">
        <w:trPr>
          <w:cantSplit/>
          <w:trHeight w:hRule="exact" w:val="340"/>
        </w:trPr>
        <w:tc>
          <w:tcPr>
            <w:tcW w:w="1134"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2012</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.029</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.537</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.087</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.002</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&lt;0.001</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w:t>
            </w:r>
            <w:r w:rsidRPr="00A97E01">
              <w:rPr>
                <w:rFonts w:ascii="Times New Roman" w:hAnsi="Times New Roman" w:cs="Times New Roman"/>
                <w:b/>
                <w:sz w:val="24"/>
                <w:szCs w:val="24"/>
              </w:rPr>
              <w:t>765</w:t>
            </w:r>
          </w:p>
        </w:tc>
      </w:tr>
      <w:tr w:rsidR="00EC054E" w:rsidRPr="00A97E01">
        <w:trPr>
          <w:cantSplit/>
          <w:trHeight w:hRule="exact" w:val="340"/>
        </w:trPr>
        <w:tc>
          <w:tcPr>
            <w:tcW w:w="1134"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r w:rsidRPr="00A97E01">
              <w:rPr>
                <w:rFonts w:ascii="Times New Roman" w:hAnsi="Times New Roman" w:cs="Times New Roman"/>
                <w:sz w:val="24"/>
                <w:szCs w:val="24"/>
              </w:rPr>
              <w:t>2013</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.531</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.613</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.016</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.015</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&lt;0.001</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i/>
                <w:sz w:val="20"/>
                <w:szCs w:val="20"/>
              </w:rPr>
            </w:pPr>
            <w:r w:rsidRPr="00A97E01">
              <w:rPr>
                <w:rFonts w:ascii="Times New Roman" w:hAnsi="Times New Roman" w:cs="Times New Roman"/>
                <w:i/>
                <w:sz w:val="20"/>
                <w:szCs w:val="20"/>
              </w:rPr>
              <w:t>&lt;0.001</w:t>
            </w: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r>
      <w:tr w:rsidR="00EC054E" w:rsidRPr="00A97E01">
        <w:trPr>
          <w:cantSplit/>
          <w:trHeight w:hRule="exact" w:val="113"/>
        </w:trPr>
        <w:tc>
          <w:tcPr>
            <w:tcW w:w="1134"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c>
          <w:tcPr>
            <w:tcW w:w="1047" w:type="dxa"/>
            <w:shd w:val="clear" w:color="auto" w:fill="auto"/>
            <w:vAlign w:val="center"/>
          </w:tcPr>
          <w:p w:rsidR="00EC054E" w:rsidRPr="00A97E01" w:rsidRDefault="00EC054E" w:rsidP="002B0026">
            <w:pPr>
              <w:autoSpaceDE w:val="0"/>
              <w:autoSpaceDN w:val="0"/>
              <w:adjustRightInd w:val="0"/>
              <w:spacing w:line="320" w:lineRule="atLeast"/>
              <w:ind w:left="60" w:right="60"/>
              <w:jc w:val="center"/>
              <w:rPr>
                <w:rFonts w:ascii="Times New Roman" w:hAnsi="Times New Roman" w:cs="Times New Roman"/>
                <w:sz w:val="24"/>
                <w:szCs w:val="24"/>
              </w:rPr>
            </w:pPr>
          </w:p>
        </w:tc>
      </w:tr>
    </w:tbl>
    <w:p w:rsidR="000C1A65" w:rsidRPr="00A97E01" w:rsidRDefault="000C1A65" w:rsidP="003E61FC">
      <w:pPr>
        <w:outlineLvl w:val="0"/>
        <w:rPr>
          <w:rFonts w:ascii="Times New Roman" w:hAnsi="Times New Roman" w:cs="Times New Roman"/>
          <w:sz w:val="24"/>
          <w:szCs w:val="24"/>
        </w:rPr>
      </w:pPr>
    </w:p>
    <w:p w:rsidR="003E61FC" w:rsidRPr="00A97E01" w:rsidRDefault="000C1A65" w:rsidP="003E61FC">
      <w:pPr>
        <w:outlineLvl w:val="0"/>
        <w:rPr>
          <w:rFonts w:ascii="Times New Roman" w:hAnsi="Times New Roman" w:cs="Times New Roman"/>
          <w:sz w:val="20"/>
          <w:szCs w:val="20"/>
        </w:rPr>
      </w:pPr>
      <w:r w:rsidRPr="00A97E01">
        <w:rPr>
          <w:rFonts w:ascii="Times New Roman" w:hAnsi="Times New Roman" w:cs="Times New Roman"/>
          <w:sz w:val="20"/>
          <w:szCs w:val="20"/>
        </w:rPr>
        <w:t xml:space="preserve">Pearson correlation coefficient </w:t>
      </w:r>
      <w:r w:rsidR="003E61FC" w:rsidRPr="00A97E01">
        <w:rPr>
          <w:rFonts w:ascii="Times New Roman" w:hAnsi="Times New Roman" w:cs="Times New Roman"/>
          <w:sz w:val="20"/>
          <w:szCs w:val="20"/>
        </w:rPr>
        <w:t xml:space="preserve">shown above the diagonal.  </w:t>
      </w:r>
      <w:r w:rsidRPr="00A97E01">
        <w:rPr>
          <w:rFonts w:ascii="Times New Roman" w:hAnsi="Times New Roman" w:cs="Times New Roman"/>
          <w:sz w:val="20"/>
          <w:szCs w:val="20"/>
        </w:rPr>
        <w:t>Corresponding p</w:t>
      </w:r>
      <w:r w:rsidR="003E61FC" w:rsidRPr="00A97E01">
        <w:rPr>
          <w:rFonts w:ascii="Times New Roman" w:hAnsi="Times New Roman" w:cs="Times New Roman"/>
          <w:sz w:val="20"/>
          <w:szCs w:val="20"/>
        </w:rPr>
        <w:t xml:space="preserve">-values </w:t>
      </w:r>
      <w:r w:rsidRPr="00A97E01">
        <w:rPr>
          <w:rFonts w:ascii="Times New Roman" w:hAnsi="Times New Roman" w:cs="Times New Roman"/>
          <w:sz w:val="20"/>
          <w:szCs w:val="20"/>
        </w:rPr>
        <w:t xml:space="preserve">shown </w:t>
      </w:r>
      <w:r w:rsidR="003E61FC" w:rsidRPr="00A97E01">
        <w:rPr>
          <w:rFonts w:ascii="Times New Roman" w:hAnsi="Times New Roman" w:cs="Times New Roman"/>
          <w:sz w:val="20"/>
          <w:szCs w:val="20"/>
        </w:rPr>
        <w:t>below the diagonal in italics.</w:t>
      </w:r>
      <w:r w:rsidR="00B710D2" w:rsidRPr="00A97E01">
        <w:rPr>
          <w:rFonts w:ascii="Times New Roman" w:hAnsi="Times New Roman" w:cs="Times New Roman"/>
          <w:sz w:val="20"/>
          <w:szCs w:val="20"/>
        </w:rPr>
        <w:t xml:space="preserve">  Values significant at p&lt;0.001 are shown in bold.</w:t>
      </w:r>
    </w:p>
    <w:p w:rsidR="00AF2805" w:rsidRPr="00A97E01" w:rsidRDefault="00AF2805" w:rsidP="00AF2805">
      <w:pPr>
        <w:outlineLvl w:val="0"/>
        <w:rPr>
          <w:rFonts w:ascii="Times New Roman" w:hAnsi="Times New Roman" w:cs="Times New Roman"/>
          <w:b/>
          <w:sz w:val="24"/>
          <w:szCs w:val="24"/>
        </w:rPr>
      </w:pPr>
    </w:p>
    <w:p w:rsidR="00AF2805" w:rsidRPr="00A97E01" w:rsidRDefault="00AF2805" w:rsidP="00AF2805">
      <w:pPr>
        <w:outlineLvl w:val="0"/>
        <w:rPr>
          <w:rFonts w:ascii="Times New Roman" w:hAnsi="Times New Roman" w:cs="Times New Roman"/>
          <w:b/>
          <w:sz w:val="24"/>
          <w:szCs w:val="24"/>
        </w:rPr>
      </w:pPr>
    </w:p>
    <w:p w:rsidR="00AF2805" w:rsidRPr="00A97E01" w:rsidRDefault="00AF2805" w:rsidP="00AF2805">
      <w:pPr>
        <w:outlineLvl w:val="0"/>
        <w:rPr>
          <w:rFonts w:ascii="Times New Roman" w:hAnsi="Times New Roman" w:cs="Times New Roman"/>
          <w:sz w:val="24"/>
          <w:szCs w:val="24"/>
        </w:rPr>
      </w:pPr>
      <w:r w:rsidRPr="00A97E01">
        <w:rPr>
          <w:rFonts w:ascii="Times New Roman" w:hAnsi="Times New Roman" w:cs="Times New Roman"/>
          <w:b/>
          <w:sz w:val="24"/>
          <w:szCs w:val="24"/>
        </w:rPr>
        <w:t>Table 3</w:t>
      </w:r>
    </w:p>
    <w:p w:rsidR="00AF2805" w:rsidRPr="00A97E01" w:rsidRDefault="00AF2805" w:rsidP="00AF2805">
      <w:pPr>
        <w:outlineLvl w:val="0"/>
        <w:rPr>
          <w:rFonts w:ascii="Times New Roman" w:hAnsi="Times New Roman" w:cs="Times New Roman"/>
          <w:sz w:val="24"/>
          <w:szCs w:val="24"/>
        </w:rPr>
      </w:pPr>
      <w:r w:rsidRPr="00A97E01">
        <w:rPr>
          <w:rFonts w:ascii="Times New Roman" w:hAnsi="Times New Roman" w:cs="Times New Roman"/>
          <w:sz w:val="24"/>
          <w:szCs w:val="24"/>
        </w:rPr>
        <w:t>Correlation of centre rankings throughout the study period (based on mean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predicted)</w:t>
      </w:r>
    </w:p>
    <w:p w:rsidR="003E61FC" w:rsidRPr="00A97E01" w:rsidRDefault="003E61FC" w:rsidP="00D333A7">
      <w:pPr>
        <w:spacing w:line="360" w:lineRule="auto"/>
        <w:jc w:val="both"/>
        <w:rPr>
          <w:rFonts w:ascii="Times New Roman" w:hAnsi="Times New Roman" w:cs="Times New Roman"/>
          <w:sz w:val="24"/>
          <w:szCs w:val="24"/>
        </w:rPr>
      </w:pPr>
    </w:p>
    <w:p w:rsidR="00BD363B" w:rsidRPr="00A97E01" w:rsidRDefault="00BD363B" w:rsidP="00D333A7">
      <w:pPr>
        <w:spacing w:line="360" w:lineRule="auto"/>
        <w:jc w:val="both"/>
        <w:rPr>
          <w:rFonts w:ascii="Times New Roman" w:hAnsi="Times New Roman" w:cs="Times New Roman"/>
          <w:sz w:val="24"/>
          <w:szCs w:val="24"/>
        </w:rPr>
      </w:pPr>
    </w:p>
    <w:p w:rsidR="00FA3E4A" w:rsidRPr="00A97E01" w:rsidRDefault="00FA3E4A" w:rsidP="003E61FC">
      <w:pPr>
        <w:spacing w:line="360" w:lineRule="auto"/>
        <w:jc w:val="both"/>
        <w:rPr>
          <w:rFonts w:ascii="Times New Roman" w:hAnsi="Times New Roman" w:cs="Times New Roman"/>
          <w:i/>
          <w:sz w:val="24"/>
          <w:szCs w:val="24"/>
        </w:rPr>
      </w:pPr>
      <w:r w:rsidRPr="00A97E01">
        <w:rPr>
          <w:rFonts w:ascii="Times New Roman" w:hAnsi="Times New Roman" w:cs="Times New Roman"/>
          <w:i/>
          <w:sz w:val="24"/>
          <w:szCs w:val="24"/>
        </w:rPr>
        <w:t xml:space="preserve">3.4 </w:t>
      </w:r>
      <w:r w:rsidR="00AF2805" w:rsidRPr="00A97E01">
        <w:rPr>
          <w:rFonts w:ascii="Times New Roman" w:hAnsi="Times New Roman" w:cs="Times New Roman"/>
          <w:i/>
          <w:sz w:val="24"/>
          <w:szCs w:val="24"/>
        </w:rPr>
        <w:t>Lung function r</w:t>
      </w:r>
      <w:r w:rsidRPr="00A97E01">
        <w:rPr>
          <w:rFonts w:ascii="Times New Roman" w:hAnsi="Times New Roman" w:cs="Times New Roman"/>
          <w:i/>
          <w:sz w:val="24"/>
          <w:szCs w:val="24"/>
        </w:rPr>
        <w:t>ate of change</w:t>
      </w:r>
    </w:p>
    <w:p w:rsidR="003E61FC" w:rsidRPr="00A97E01" w:rsidRDefault="00D333A7" w:rsidP="003E61FC">
      <w:pPr>
        <w:spacing w:line="360" w:lineRule="auto"/>
        <w:jc w:val="both"/>
        <w:rPr>
          <w:rFonts w:ascii="Times New Roman" w:hAnsi="Times New Roman"/>
          <w:sz w:val="24"/>
        </w:rPr>
      </w:pPr>
      <w:r w:rsidRPr="00A97E01">
        <w:rPr>
          <w:rFonts w:ascii="Times New Roman" w:hAnsi="Times New Roman" w:cs="Times New Roman"/>
          <w:sz w:val="24"/>
          <w:szCs w:val="24"/>
        </w:rPr>
        <w:t xml:space="preserve">Presentation of the median </w:t>
      </w:r>
      <w:r w:rsidR="00A96CFC" w:rsidRPr="00A97E01">
        <w:rPr>
          <w:rFonts w:ascii="Times New Roman" w:hAnsi="Times New Roman" w:cs="Times New Roman"/>
          <w:sz w:val="24"/>
          <w:szCs w:val="24"/>
        </w:rPr>
        <w:t>FEV</w:t>
      </w:r>
      <w:r w:rsidR="00A96CFC" w:rsidRPr="00A97E01">
        <w:rPr>
          <w:rFonts w:ascii="Times New Roman" w:hAnsi="Times New Roman" w:cs="Times New Roman"/>
          <w:sz w:val="24"/>
          <w:szCs w:val="24"/>
          <w:vertAlign w:val="subscript"/>
        </w:rPr>
        <w:t>1</w:t>
      </w:r>
      <w:r w:rsidR="00A96CFC" w:rsidRPr="00A97E01">
        <w:rPr>
          <w:rFonts w:ascii="Times New Roman" w:hAnsi="Times New Roman" w:cs="Times New Roman"/>
          <w:sz w:val="24"/>
          <w:szCs w:val="24"/>
        </w:rPr>
        <w:t>%</w:t>
      </w:r>
      <w:r w:rsidRPr="00A97E01">
        <w:rPr>
          <w:rFonts w:ascii="Times New Roman" w:hAnsi="Times New Roman" w:cs="Times New Roman"/>
          <w:sz w:val="24"/>
          <w:szCs w:val="24"/>
        </w:rPr>
        <w:t xml:space="preserve"> predicted (as </w:t>
      </w:r>
      <w:r w:rsidR="00BE6298" w:rsidRPr="00A97E01">
        <w:rPr>
          <w:rFonts w:ascii="Times New Roman" w:hAnsi="Times New Roman" w:cs="Times New Roman"/>
          <w:sz w:val="24"/>
          <w:szCs w:val="24"/>
        </w:rPr>
        <w:t xml:space="preserve">shown </w:t>
      </w:r>
      <w:r w:rsidRPr="00A97E01">
        <w:rPr>
          <w:rFonts w:ascii="Times New Roman" w:hAnsi="Times New Roman" w:cs="Times New Roman"/>
          <w:sz w:val="24"/>
          <w:szCs w:val="24"/>
        </w:rPr>
        <w:t xml:space="preserve">in the registry report) leads to </w:t>
      </w:r>
      <w:r w:rsidR="00BE6298" w:rsidRPr="00A97E01">
        <w:rPr>
          <w:rFonts w:ascii="Times New Roman" w:hAnsi="Times New Roman" w:cs="Times New Roman"/>
          <w:sz w:val="24"/>
          <w:szCs w:val="24"/>
        </w:rPr>
        <w:t xml:space="preserve">a </w:t>
      </w:r>
      <w:r w:rsidRPr="00A97E01">
        <w:rPr>
          <w:rFonts w:ascii="Times New Roman" w:hAnsi="Times New Roman" w:cs="Times New Roman"/>
          <w:sz w:val="24"/>
          <w:szCs w:val="24"/>
        </w:rPr>
        <w:t>minor re-orderin</w:t>
      </w:r>
      <w:r w:rsidR="007F736E" w:rsidRPr="00A97E01">
        <w:rPr>
          <w:rFonts w:ascii="Times New Roman" w:hAnsi="Times New Roman" w:cs="Times New Roman"/>
          <w:sz w:val="24"/>
          <w:szCs w:val="24"/>
        </w:rPr>
        <w:t>g of the ranking compared to our</w:t>
      </w:r>
      <w:r w:rsidRPr="00A97E01">
        <w:rPr>
          <w:rFonts w:ascii="Times New Roman" w:hAnsi="Times New Roman" w:cs="Times New Roman"/>
          <w:sz w:val="24"/>
          <w:szCs w:val="24"/>
        </w:rPr>
        <w:t xml:space="preserve"> initial ranking based on mean </w:t>
      </w:r>
      <w:r w:rsidR="00A96CFC" w:rsidRPr="00A97E01">
        <w:rPr>
          <w:rFonts w:ascii="Times New Roman" w:hAnsi="Times New Roman" w:cs="Times New Roman"/>
          <w:sz w:val="24"/>
          <w:szCs w:val="24"/>
        </w:rPr>
        <w:t>FEV</w:t>
      </w:r>
      <w:r w:rsidR="00A96CFC" w:rsidRPr="00A97E01">
        <w:rPr>
          <w:rFonts w:ascii="Times New Roman" w:hAnsi="Times New Roman" w:cs="Times New Roman"/>
          <w:sz w:val="24"/>
          <w:szCs w:val="24"/>
          <w:vertAlign w:val="subscript"/>
        </w:rPr>
        <w:t>1</w:t>
      </w:r>
      <w:r w:rsidR="00A96CFC" w:rsidRPr="00A97E01">
        <w:rPr>
          <w:rFonts w:ascii="Times New Roman" w:hAnsi="Times New Roman" w:cs="Times New Roman"/>
          <w:sz w:val="24"/>
          <w:szCs w:val="24"/>
        </w:rPr>
        <w:t>%</w:t>
      </w:r>
      <w:r w:rsidRPr="00A97E01">
        <w:rPr>
          <w:rFonts w:ascii="Times New Roman" w:hAnsi="Times New Roman" w:cs="Times New Roman"/>
          <w:sz w:val="24"/>
          <w:szCs w:val="24"/>
        </w:rPr>
        <w:t xml:space="preserve"> (Figure 1</w:t>
      </w:r>
      <w:r w:rsidR="00DC5DA2" w:rsidRPr="00A97E01">
        <w:rPr>
          <w:rFonts w:ascii="Times New Roman" w:hAnsi="Times New Roman" w:cs="Times New Roman"/>
          <w:sz w:val="24"/>
          <w:szCs w:val="24"/>
        </w:rPr>
        <w:t xml:space="preserve"> and Table 4</w:t>
      </w:r>
      <w:r w:rsidRPr="00A97E01">
        <w:rPr>
          <w:rFonts w:ascii="Times New Roman" w:hAnsi="Times New Roman" w:cs="Times New Roman"/>
          <w:sz w:val="24"/>
          <w:szCs w:val="24"/>
        </w:rPr>
        <w:t>).</w:t>
      </w:r>
      <w:r w:rsidR="003E61FC" w:rsidRPr="00A97E01">
        <w:rPr>
          <w:rFonts w:ascii="Times New Roman" w:hAnsi="Times New Roman" w:cs="Times New Roman"/>
          <w:sz w:val="24"/>
          <w:szCs w:val="24"/>
        </w:rPr>
        <w:t xml:space="preserve"> The use of an alte</w:t>
      </w:r>
      <w:r w:rsidR="00DC5DA2" w:rsidRPr="00A97E01">
        <w:rPr>
          <w:rFonts w:ascii="Times New Roman" w:hAnsi="Times New Roman" w:cs="Times New Roman"/>
          <w:sz w:val="24"/>
          <w:szCs w:val="24"/>
        </w:rPr>
        <w:t>rnative lung function measure (</w:t>
      </w:r>
      <w:r w:rsidR="003E61FC" w:rsidRPr="00A97E01">
        <w:rPr>
          <w:rFonts w:ascii="Times New Roman" w:hAnsi="Times New Roman" w:cs="Times New Roman"/>
          <w:sz w:val="24"/>
          <w:szCs w:val="24"/>
        </w:rPr>
        <w:t xml:space="preserve">change of </w:t>
      </w:r>
      <w:r w:rsidR="00A96CFC" w:rsidRPr="00A97E01">
        <w:rPr>
          <w:rFonts w:ascii="Times New Roman" w:hAnsi="Times New Roman" w:cs="Times New Roman"/>
          <w:sz w:val="24"/>
          <w:szCs w:val="24"/>
        </w:rPr>
        <w:t>FEV</w:t>
      </w:r>
      <w:r w:rsidR="00A96CFC" w:rsidRPr="00A97E01">
        <w:rPr>
          <w:rFonts w:ascii="Times New Roman" w:hAnsi="Times New Roman" w:cs="Times New Roman"/>
          <w:sz w:val="24"/>
          <w:szCs w:val="24"/>
          <w:vertAlign w:val="subscript"/>
        </w:rPr>
        <w:t>1</w:t>
      </w:r>
      <w:r w:rsidR="00A96CFC" w:rsidRPr="00A97E01">
        <w:rPr>
          <w:rFonts w:ascii="Times New Roman" w:hAnsi="Times New Roman" w:cs="Times New Roman"/>
          <w:sz w:val="24"/>
          <w:szCs w:val="24"/>
        </w:rPr>
        <w:t>%</w:t>
      </w:r>
      <w:r w:rsidR="003E61FC" w:rsidRPr="00A97E01">
        <w:rPr>
          <w:rFonts w:ascii="Times New Roman" w:hAnsi="Times New Roman" w:cs="Times New Roman"/>
          <w:sz w:val="24"/>
          <w:szCs w:val="24"/>
        </w:rPr>
        <w:t xml:space="preserve"> predicted over the study period</w:t>
      </w:r>
      <w:r w:rsidR="00BD363B" w:rsidRPr="00A97E01">
        <w:rPr>
          <w:rFonts w:ascii="Times New Roman" w:hAnsi="Times New Roman" w:cs="Times New Roman"/>
          <w:sz w:val="24"/>
          <w:szCs w:val="24"/>
        </w:rPr>
        <w:t>)</w:t>
      </w:r>
      <w:r w:rsidR="003E61FC" w:rsidRPr="00A97E01">
        <w:rPr>
          <w:rFonts w:ascii="Times New Roman" w:hAnsi="Times New Roman" w:cs="Times New Roman"/>
          <w:sz w:val="24"/>
          <w:szCs w:val="24"/>
        </w:rPr>
        <w:t xml:space="preserve"> leads to marked re-ordering of the ranking of centres (</w:t>
      </w:r>
      <w:r w:rsidR="00FA3E4A" w:rsidRPr="00A97E01">
        <w:rPr>
          <w:rFonts w:ascii="Times New Roman" w:hAnsi="Times New Roman" w:cs="Times New Roman"/>
          <w:sz w:val="24"/>
          <w:szCs w:val="24"/>
        </w:rPr>
        <w:t>Table 4</w:t>
      </w:r>
      <w:r w:rsidR="003E61FC" w:rsidRPr="00A97E01">
        <w:rPr>
          <w:rFonts w:ascii="Times New Roman" w:hAnsi="Times New Roman" w:cs="Times New Roman"/>
          <w:sz w:val="24"/>
          <w:szCs w:val="24"/>
        </w:rPr>
        <w:t xml:space="preserve">). </w:t>
      </w:r>
    </w:p>
    <w:p w:rsidR="00D333A7" w:rsidRPr="00A97E01" w:rsidRDefault="00D333A7" w:rsidP="00D333A7">
      <w:pPr>
        <w:spacing w:line="360" w:lineRule="auto"/>
        <w:jc w:val="both"/>
        <w:rPr>
          <w:rFonts w:ascii="Times New Roman" w:hAnsi="Times New Roman" w:cs="Times New Roman"/>
          <w:sz w:val="24"/>
          <w:szCs w:val="24"/>
        </w:rPr>
      </w:pPr>
    </w:p>
    <w:p w:rsidR="00D333A7" w:rsidRPr="00A97E01" w:rsidRDefault="00D333A7" w:rsidP="00D333A7">
      <w:pPr>
        <w:spacing w:line="360" w:lineRule="auto"/>
        <w:jc w:val="both"/>
        <w:rPr>
          <w:rFonts w:ascii="Times New Roman" w:hAnsi="Times New Roman" w:cs="Times New Roman"/>
          <w:sz w:val="24"/>
          <w:szCs w:val="24"/>
        </w:rPr>
      </w:pPr>
      <w:r w:rsidRPr="00A97E01">
        <w:rPr>
          <w:rFonts w:ascii="Times New Roman" w:hAnsi="Times New Roman" w:cs="Times New Roman"/>
          <w:noProof/>
          <w:sz w:val="24"/>
          <w:szCs w:val="24"/>
          <w:lang w:eastAsia="en-GB"/>
        </w:rPr>
        <w:lastRenderedPageBreak/>
        <w:drawing>
          <wp:inline distT="0" distB="0" distL="0" distR="0">
            <wp:extent cx="5270500" cy="3896800"/>
            <wp:effectExtent l="25400" t="0" r="0" b="0"/>
            <wp:docPr id="1" name="Picture 0" descr="t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1.jpg"/>
                    <pic:cNvPicPr/>
                  </pic:nvPicPr>
                  <pic:blipFill>
                    <a:blip r:embed="rId8" cstate="print"/>
                    <a:stretch>
                      <a:fillRect/>
                    </a:stretch>
                  </pic:blipFill>
                  <pic:spPr>
                    <a:xfrm>
                      <a:off x="0" y="0"/>
                      <a:ext cx="5270500" cy="3896800"/>
                    </a:xfrm>
                    <a:prstGeom prst="rect">
                      <a:avLst/>
                    </a:prstGeom>
                  </pic:spPr>
                </pic:pic>
              </a:graphicData>
            </a:graphic>
          </wp:inline>
        </w:drawing>
      </w:r>
    </w:p>
    <w:p w:rsidR="00D333A7" w:rsidRPr="00A97E01" w:rsidRDefault="00D333A7" w:rsidP="00D333A7">
      <w:pPr>
        <w:spacing w:line="360" w:lineRule="auto"/>
        <w:jc w:val="both"/>
        <w:rPr>
          <w:rFonts w:ascii="Times New Roman" w:hAnsi="Times New Roman" w:cs="Times New Roman"/>
          <w:b/>
          <w:sz w:val="24"/>
          <w:szCs w:val="24"/>
        </w:rPr>
      </w:pPr>
      <w:r w:rsidRPr="00A97E01">
        <w:rPr>
          <w:rFonts w:ascii="Times New Roman" w:hAnsi="Times New Roman" w:cs="Times New Roman"/>
          <w:b/>
          <w:sz w:val="24"/>
          <w:szCs w:val="24"/>
        </w:rPr>
        <w:t>Figure 1</w:t>
      </w:r>
    </w:p>
    <w:p w:rsidR="00D333A7" w:rsidRPr="00A97E01" w:rsidRDefault="00D333A7" w:rsidP="00D333A7">
      <w:pPr>
        <w:spacing w:line="360" w:lineRule="auto"/>
        <w:jc w:val="both"/>
        <w:rPr>
          <w:rFonts w:ascii="Times New Roman" w:hAnsi="Times New Roman" w:cs="Times New Roman"/>
          <w:b/>
          <w:sz w:val="24"/>
          <w:szCs w:val="24"/>
        </w:rPr>
      </w:pPr>
      <w:r w:rsidRPr="00A97E01">
        <w:rPr>
          <w:rFonts w:ascii="Times New Roman" w:hAnsi="Times New Roman" w:cs="Times New Roman"/>
          <w:sz w:val="24"/>
          <w:szCs w:val="24"/>
        </w:rPr>
        <w:t xml:space="preserve">2013 data for each of 33 anonymised adult cystic fibrosis centres </w:t>
      </w:r>
      <w:r w:rsidR="00BE6298" w:rsidRPr="00A97E01">
        <w:rPr>
          <w:rFonts w:ascii="Times New Roman" w:hAnsi="Times New Roman" w:cs="Times New Roman"/>
          <w:sz w:val="24"/>
          <w:szCs w:val="24"/>
        </w:rPr>
        <w:t>showing</w:t>
      </w:r>
      <w:r w:rsidRPr="00A97E01">
        <w:rPr>
          <w:rFonts w:ascii="Times New Roman" w:hAnsi="Times New Roman" w:cs="Times New Roman"/>
          <w:sz w:val="24"/>
          <w:szCs w:val="24"/>
        </w:rPr>
        <w:t xml:space="preserve"> median </w:t>
      </w:r>
      <w:r w:rsidR="00A96CFC" w:rsidRPr="00A97E01">
        <w:rPr>
          <w:rFonts w:ascii="Times New Roman" w:hAnsi="Times New Roman" w:cs="Times New Roman"/>
          <w:sz w:val="24"/>
          <w:szCs w:val="24"/>
        </w:rPr>
        <w:t>FEV</w:t>
      </w:r>
      <w:r w:rsidR="00A96CFC" w:rsidRPr="00A97E01">
        <w:rPr>
          <w:rFonts w:ascii="Times New Roman" w:hAnsi="Times New Roman" w:cs="Times New Roman"/>
          <w:sz w:val="24"/>
          <w:szCs w:val="24"/>
          <w:vertAlign w:val="subscript"/>
        </w:rPr>
        <w:t>1</w:t>
      </w:r>
      <w:r w:rsidR="00A96CFC" w:rsidRPr="00A97E01">
        <w:rPr>
          <w:rFonts w:ascii="Times New Roman" w:hAnsi="Times New Roman" w:cs="Times New Roman"/>
          <w:sz w:val="24"/>
          <w:szCs w:val="24"/>
        </w:rPr>
        <w:t>%</w:t>
      </w:r>
      <w:r w:rsidRPr="00A97E01">
        <w:rPr>
          <w:rFonts w:ascii="Times New Roman" w:hAnsi="Times New Roman" w:cs="Times New Roman"/>
          <w:sz w:val="24"/>
          <w:szCs w:val="24"/>
        </w:rPr>
        <w:t xml:space="preserve"> predicted</w:t>
      </w:r>
      <w:r w:rsidR="00BE6298" w:rsidRPr="00A97E01">
        <w:rPr>
          <w:rFonts w:ascii="Times New Roman" w:hAnsi="Times New Roman" w:cs="Times New Roman"/>
          <w:sz w:val="24"/>
          <w:szCs w:val="24"/>
        </w:rPr>
        <w:t xml:space="preserve"> for each centre</w:t>
      </w:r>
    </w:p>
    <w:p w:rsidR="00D333A7" w:rsidRPr="00A97E01" w:rsidRDefault="00D333A7" w:rsidP="00D333A7">
      <w:pPr>
        <w:spacing w:line="360" w:lineRule="auto"/>
        <w:jc w:val="both"/>
        <w:rPr>
          <w:rFonts w:ascii="Times New Roman" w:hAnsi="Times New Roman" w:cs="Times New Roman"/>
          <w:sz w:val="24"/>
          <w:szCs w:val="24"/>
        </w:rPr>
      </w:pPr>
    </w:p>
    <w:p w:rsidR="00D333A7" w:rsidRPr="00A97E01" w:rsidRDefault="00D333A7" w:rsidP="00D333A7">
      <w:pPr>
        <w:spacing w:line="360" w:lineRule="auto"/>
        <w:jc w:val="both"/>
        <w:rPr>
          <w:rFonts w:ascii="Times New Roman" w:hAnsi="Times New Roman" w:cs="Times New Roman"/>
          <w:sz w:val="24"/>
          <w:szCs w:val="24"/>
        </w:rPr>
      </w:pPr>
    </w:p>
    <w:p w:rsidR="00B31774" w:rsidRPr="00A97E01" w:rsidRDefault="00B31774" w:rsidP="00D333A7">
      <w:pPr>
        <w:spacing w:line="360" w:lineRule="auto"/>
        <w:jc w:val="both"/>
        <w:rPr>
          <w:rFonts w:ascii="Times New Roman" w:hAnsi="Times New Roman" w:cs="Times New Roman"/>
          <w:sz w:val="24"/>
          <w:szCs w:val="24"/>
        </w:rPr>
        <w:sectPr w:rsidR="00B31774" w:rsidRPr="00A97E01">
          <w:pgSz w:w="11900" w:h="16840"/>
          <w:pgMar w:top="1440" w:right="1800" w:bottom="1440" w:left="1800" w:header="708" w:footer="708" w:gutter="0"/>
          <w:cols w:space="708"/>
        </w:sectPr>
      </w:pPr>
    </w:p>
    <w:tbl>
      <w:tblPr>
        <w:tblStyle w:val="TableGrid"/>
        <w:tblW w:w="987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1363"/>
        <w:gridCol w:w="1361"/>
        <w:gridCol w:w="1361"/>
        <w:gridCol w:w="1361"/>
        <w:gridCol w:w="1361"/>
        <w:gridCol w:w="1700"/>
        <w:gridCol w:w="6"/>
      </w:tblGrid>
      <w:tr w:rsidR="004B2D4F" w:rsidRPr="00A97E01">
        <w:trPr>
          <w:gridAfter w:val="1"/>
          <w:wAfter w:w="6" w:type="dxa"/>
          <w:trHeight w:val="850"/>
          <w:jc w:val="center"/>
        </w:trPr>
        <w:tc>
          <w:tcPr>
            <w:tcW w:w="2724" w:type="dxa"/>
            <w:gridSpan w:val="2"/>
            <w:tcBorders>
              <w:top w:val="single" w:sz="4" w:space="0" w:color="auto"/>
              <w:bottom w:val="single" w:sz="4" w:space="0" w:color="auto"/>
            </w:tcBorders>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lastRenderedPageBreak/>
              <w:t>Mean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predicted 2013</w:t>
            </w:r>
          </w:p>
        </w:tc>
        <w:tc>
          <w:tcPr>
            <w:tcW w:w="2722" w:type="dxa"/>
            <w:gridSpan w:val="2"/>
            <w:tcBorders>
              <w:top w:val="single" w:sz="4" w:space="0" w:color="auto"/>
              <w:bottom w:val="single" w:sz="4" w:space="0" w:color="auto"/>
            </w:tcBorders>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Median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predicted 2013</w:t>
            </w:r>
          </w:p>
        </w:tc>
        <w:tc>
          <w:tcPr>
            <w:tcW w:w="4422" w:type="dxa"/>
            <w:gridSpan w:val="3"/>
            <w:tcBorders>
              <w:top w:val="single" w:sz="4" w:space="0" w:color="auto"/>
              <w:bottom w:val="single" w:sz="4" w:space="0" w:color="auto"/>
            </w:tcBorders>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Change in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2007-13 (z-score)</w:t>
            </w:r>
          </w:p>
        </w:tc>
      </w:tr>
      <w:tr w:rsidR="004B2D4F" w:rsidRPr="00A97E01">
        <w:trPr>
          <w:trHeight w:val="850"/>
          <w:jc w:val="center"/>
        </w:trPr>
        <w:tc>
          <w:tcPr>
            <w:tcW w:w="1361" w:type="dxa"/>
            <w:tcBorders>
              <w:top w:val="nil"/>
              <w:bottom w:val="single" w:sz="4" w:space="0" w:color="auto"/>
            </w:tcBorders>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Rank</w:t>
            </w:r>
          </w:p>
        </w:tc>
        <w:tc>
          <w:tcPr>
            <w:tcW w:w="1363" w:type="dxa"/>
            <w:tcBorders>
              <w:top w:val="nil"/>
              <w:bottom w:val="single" w:sz="4" w:space="0" w:color="auto"/>
            </w:tcBorders>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Mean</w:t>
            </w:r>
          </w:p>
        </w:tc>
        <w:tc>
          <w:tcPr>
            <w:tcW w:w="1361" w:type="dxa"/>
            <w:tcBorders>
              <w:top w:val="nil"/>
              <w:bottom w:val="single" w:sz="4" w:space="0" w:color="auto"/>
            </w:tcBorders>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Rank</w:t>
            </w:r>
          </w:p>
        </w:tc>
        <w:tc>
          <w:tcPr>
            <w:tcW w:w="1361" w:type="dxa"/>
            <w:tcBorders>
              <w:top w:val="nil"/>
              <w:bottom w:val="single" w:sz="4" w:space="0" w:color="auto"/>
            </w:tcBorders>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Median</w:t>
            </w:r>
          </w:p>
        </w:tc>
        <w:tc>
          <w:tcPr>
            <w:tcW w:w="1361" w:type="dxa"/>
            <w:tcBorders>
              <w:top w:val="nil"/>
              <w:bottom w:val="single" w:sz="4" w:space="0" w:color="auto"/>
            </w:tcBorders>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Rank</w:t>
            </w:r>
          </w:p>
        </w:tc>
        <w:tc>
          <w:tcPr>
            <w:tcW w:w="1361" w:type="dxa"/>
            <w:tcBorders>
              <w:top w:val="nil"/>
              <w:bottom w:val="single" w:sz="4" w:space="0" w:color="auto"/>
            </w:tcBorders>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Mean</w:t>
            </w:r>
          </w:p>
        </w:tc>
        <w:tc>
          <w:tcPr>
            <w:tcW w:w="1706" w:type="dxa"/>
            <w:gridSpan w:val="2"/>
            <w:tcBorders>
              <w:top w:val="nil"/>
              <w:bottom w:val="single" w:sz="4" w:space="0" w:color="auto"/>
            </w:tcBorders>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95% CI</w:t>
            </w:r>
          </w:p>
        </w:tc>
      </w:tr>
      <w:tr w:rsidR="004B2D4F" w:rsidRPr="00A97E01">
        <w:trPr>
          <w:trHeight w:hRule="exact" w:val="113"/>
          <w:jc w:val="center"/>
        </w:trPr>
        <w:tc>
          <w:tcPr>
            <w:tcW w:w="1361" w:type="dxa"/>
            <w:tcBorders>
              <w:top w:val="single" w:sz="4" w:space="0" w:color="auto"/>
            </w:tcBorders>
            <w:vAlign w:val="center"/>
          </w:tcPr>
          <w:p w:rsidR="004B2D4F" w:rsidRPr="00A97E01" w:rsidRDefault="004B2D4F" w:rsidP="00043302">
            <w:pPr>
              <w:jc w:val="center"/>
              <w:rPr>
                <w:rFonts w:ascii="Times New Roman" w:hAnsi="Times New Roman" w:cs="Times New Roman"/>
                <w:sz w:val="24"/>
                <w:szCs w:val="24"/>
              </w:rPr>
            </w:pPr>
          </w:p>
        </w:tc>
        <w:tc>
          <w:tcPr>
            <w:tcW w:w="1363" w:type="dxa"/>
            <w:tcBorders>
              <w:top w:val="single" w:sz="4" w:space="0" w:color="auto"/>
            </w:tcBorders>
            <w:vAlign w:val="center"/>
          </w:tcPr>
          <w:p w:rsidR="004B2D4F" w:rsidRPr="00A97E01" w:rsidRDefault="004B2D4F" w:rsidP="00043302">
            <w:pPr>
              <w:jc w:val="center"/>
              <w:rPr>
                <w:rFonts w:ascii="Times New Roman" w:hAnsi="Times New Roman" w:cs="Times New Roman"/>
                <w:sz w:val="24"/>
                <w:szCs w:val="24"/>
              </w:rPr>
            </w:pPr>
          </w:p>
        </w:tc>
        <w:tc>
          <w:tcPr>
            <w:tcW w:w="1361" w:type="dxa"/>
            <w:tcBorders>
              <w:top w:val="single" w:sz="4" w:space="0" w:color="auto"/>
            </w:tcBorders>
            <w:vAlign w:val="center"/>
          </w:tcPr>
          <w:p w:rsidR="004B2D4F" w:rsidRPr="00A97E01" w:rsidRDefault="004B2D4F" w:rsidP="00043302">
            <w:pPr>
              <w:jc w:val="center"/>
              <w:rPr>
                <w:rFonts w:ascii="Times New Roman" w:hAnsi="Times New Roman" w:cs="Times New Roman"/>
                <w:sz w:val="24"/>
                <w:szCs w:val="24"/>
              </w:rPr>
            </w:pPr>
          </w:p>
        </w:tc>
        <w:tc>
          <w:tcPr>
            <w:tcW w:w="1361" w:type="dxa"/>
            <w:tcBorders>
              <w:top w:val="single" w:sz="4" w:space="0" w:color="auto"/>
            </w:tcBorders>
            <w:vAlign w:val="center"/>
          </w:tcPr>
          <w:p w:rsidR="004B2D4F" w:rsidRPr="00A97E01" w:rsidRDefault="004B2D4F" w:rsidP="00043302">
            <w:pPr>
              <w:jc w:val="center"/>
              <w:rPr>
                <w:rFonts w:ascii="Times New Roman" w:hAnsi="Times New Roman" w:cs="Times New Roman"/>
                <w:sz w:val="24"/>
                <w:szCs w:val="24"/>
              </w:rPr>
            </w:pPr>
          </w:p>
        </w:tc>
        <w:tc>
          <w:tcPr>
            <w:tcW w:w="1361" w:type="dxa"/>
            <w:tcBorders>
              <w:top w:val="single" w:sz="4" w:space="0" w:color="auto"/>
            </w:tcBorders>
            <w:vAlign w:val="center"/>
          </w:tcPr>
          <w:p w:rsidR="004B2D4F" w:rsidRPr="00A97E01" w:rsidRDefault="004B2D4F" w:rsidP="00043302">
            <w:pPr>
              <w:jc w:val="center"/>
              <w:rPr>
                <w:rFonts w:ascii="Times New Roman" w:hAnsi="Times New Roman" w:cs="Times New Roman"/>
                <w:sz w:val="24"/>
                <w:szCs w:val="24"/>
              </w:rPr>
            </w:pPr>
          </w:p>
        </w:tc>
        <w:tc>
          <w:tcPr>
            <w:tcW w:w="1361" w:type="dxa"/>
            <w:tcBorders>
              <w:top w:val="single" w:sz="4" w:space="0" w:color="auto"/>
            </w:tcBorders>
            <w:vAlign w:val="center"/>
          </w:tcPr>
          <w:p w:rsidR="004B2D4F" w:rsidRPr="00A97E01" w:rsidRDefault="004B2D4F" w:rsidP="00043302">
            <w:pPr>
              <w:jc w:val="center"/>
              <w:rPr>
                <w:rFonts w:ascii="Times New Roman" w:hAnsi="Times New Roman" w:cs="Times New Roman"/>
                <w:sz w:val="24"/>
                <w:szCs w:val="24"/>
              </w:rPr>
            </w:pPr>
          </w:p>
        </w:tc>
        <w:tc>
          <w:tcPr>
            <w:tcW w:w="1706" w:type="dxa"/>
            <w:gridSpan w:val="2"/>
            <w:tcBorders>
              <w:top w:val="single" w:sz="4" w:space="0" w:color="auto"/>
            </w:tcBorders>
            <w:vAlign w:val="center"/>
          </w:tcPr>
          <w:p w:rsidR="004B2D4F" w:rsidRPr="00A97E01" w:rsidRDefault="004B2D4F" w:rsidP="00043302">
            <w:pPr>
              <w:jc w:val="center"/>
              <w:rPr>
                <w:rFonts w:ascii="Times New Roman" w:hAnsi="Times New Roman" w:cs="Times New Roman"/>
                <w:sz w:val="24"/>
                <w:szCs w:val="24"/>
              </w:rPr>
            </w:pP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72.30</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72.37</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.389</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.030 to .748</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68.54</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71.35</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.330</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.025 to .635</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68.34</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69.95</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13</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.053</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-.113 to .219</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4</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66.26</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7</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67.60</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10</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.115</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-.001 to .230</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65.95</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10</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65.07</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.060</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-.056 to .175</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65.33</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4</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68.93</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17</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-.002</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-.249 to .244</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7</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65.14</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9</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66.09</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.261</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-.168 to .691</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8</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64.77</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11</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64.93</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33</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-.423</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-.673 to -.173</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9</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64.63</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63.85</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28</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-.174</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-.430 to .082</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10</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63.67</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13</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63.85</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8</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.160</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-.011 to .331</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11</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63.20</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15</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63.08</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18</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-.062</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-.235 to .111</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63.19</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68.29</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16</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.006</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-.375 to .386</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13</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63.11</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27</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58.41</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.167</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-.015 to .349</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14</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62.99</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18</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61.97</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15</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.011</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-.147 to .169</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15</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62.94</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16</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62.81</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25</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-.117</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-.257 to .022</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16</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62.80</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26</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59.38</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20</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-.078</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-.215 to .060</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17</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62.75</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8</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66.76</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24</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-.113</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-.291 to .064</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18</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62.46</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19</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61.69</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19</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-.065</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-.189 to .060</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19</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62.43</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14</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63.56</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9</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.123</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-.029 to .276</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20</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62.15</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22</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60.69</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23</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-.099</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-.188 to -.010</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21</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61.74</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17</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62.32</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11</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.100</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-.037 to .236</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22</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61.51</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68.17</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29</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-.246</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-.502 to .010</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23</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60.52</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21</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61.19</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21</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-.094</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-.197 to .009</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24</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60.42</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20</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61.28</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14</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.042</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-.142 to .226</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25</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60.35</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25</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59.61</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26</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-.154</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-.340 to .033</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26</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60.28</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24</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59.76</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7</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.163</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.090 to .236</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27</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58.88</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28</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58.05</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32</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-.360</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-.665 to -.054</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28</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57.98</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30</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56.20</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4</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.271</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-.044 to .587</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29</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57.09</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23</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59.77</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.293</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.009 to .578</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30</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55.66</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29</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57.89</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31</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-.268</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-.522 to -.013</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31</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55.14</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31</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54.31</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30</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-.254</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-.531 to .024</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32</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54.82</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32</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51.85</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22</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-.097</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-.360 to .167</w:t>
            </w:r>
          </w:p>
        </w:tc>
      </w:tr>
      <w:tr w:rsidR="004B2D4F" w:rsidRPr="00A97E01">
        <w:trPr>
          <w:trHeight w:val="28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33</w:t>
            </w:r>
          </w:p>
        </w:tc>
        <w:tc>
          <w:tcPr>
            <w:tcW w:w="1363"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52.02</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33</w:t>
            </w:r>
          </w:p>
        </w:tc>
        <w:tc>
          <w:tcPr>
            <w:tcW w:w="1361" w:type="dxa"/>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50.22</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27</w:t>
            </w:r>
          </w:p>
        </w:tc>
        <w:tc>
          <w:tcPr>
            <w:tcW w:w="1361" w:type="dxa"/>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-.171</w:t>
            </w: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r w:rsidRPr="00A97E01">
              <w:rPr>
                <w:rFonts w:ascii="Times New Roman" w:hAnsi="Times New Roman" w:cs="Times New Roman"/>
                <w:sz w:val="24"/>
                <w:szCs w:val="24"/>
              </w:rPr>
              <w:t>-.495 to .152</w:t>
            </w:r>
          </w:p>
        </w:tc>
      </w:tr>
      <w:tr w:rsidR="004B2D4F" w:rsidRPr="00A97E01">
        <w:trPr>
          <w:trHeight w:hRule="exact" w:val="113"/>
          <w:jc w:val="center"/>
        </w:trPr>
        <w:tc>
          <w:tcPr>
            <w:tcW w:w="1361" w:type="dxa"/>
            <w:vAlign w:val="center"/>
          </w:tcPr>
          <w:p w:rsidR="004B2D4F" w:rsidRPr="00A97E01" w:rsidRDefault="004B2D4F" w:rsidP="00043302">
            <w:pPr>
              <w:jc w:val="center"/>
              <w:rPr>
                <w:rFonts w:ascii="Times New Roman" w:hAnsi="Times New Roman" w:cs="Times New Roman"/>
                <w:sz w:val="24"/>
                <w:szCs w:val="24"/>
              </w:rPr>
            </w:pPr>
          </w:p>
        </w:tc>
        <w:tc>
          <w:tcPr>
            <w:tcW w:w="1363" w:type="dxa"/>
            <w:vAlign w:val="center"/>
          </w:tcPr>
          <w:p w:rsidR="004B2D4F" w:rsidRPr="00A97E01" w:rsidRDefault="004B2D4F" w:rsidP="00043302">
            <w:pPr>
              <w:jc w:val="center"/>
              <w:rPr>
                <w:rFonts w:ascii="Times New Roman" w:hAnsi="Times New Roman" w:cs="Times New Roman"/>
                <w:sz w:val="24"/>
                <w:szCs w:val="24"/>
              </w:rPr>
            </w:pPr>
          </w:p>
        </w:tc>
        <w:tc>
          <w:tcPr>
            <w:tcW w:w="1361" w:type="dxa"/>
            <w:vAlign w:val="center"/>
          </w:tcPr>
          <w:p w:rsidR="004B2D4F" w:rsidRPr="00A97E01" w:rsidRDefault="004B2D4F" w:rsidP="00043302">
            <w:pPr>
              <w:jc w:val="center"/>
              <w:rPr>
                <w:rFonts w:ascii="Times New Roman" w:hAnsi="Times New Roman" w:cs="Times New Roman"/>
                <w:sz w:val="24"/>
                <w:szCs w:val="24"/>
              </w:rPr>
            </w:pPr>
          </w:p>
        </w:tc>
        <w:tc>
          <w:tcPr>
            <w:tcW w:w="1361" w:type="dxa"/>
            <w:vAlign w:val="center"/>
          </w:tcPr>
          <w:p w:rsidR="004B2D4F" w:rsidRPr="00A97E01" w:rsidRDefault="004B2D4F" w:rsidP="00043302">
            <w:pPr>
              <w:jc w:val="center"/>
              <w:rPr>
                <w:rFonts w:ascii="Times New Roman" w:hAnsi="Times New Roman" w:cs="Times New Roman"/>
                <w:sz w:val="24"/>
                <w:szCs w:val="24"/>
              </w:rPr>
            </w:pPr>
          </w:p>
        </w:tc>
        <w:tc>
          <w:tcPr>
            <w:tcW w:w="1361" w:type="dxa"/>
            <w:vAlign w:val="center"/>
          </w:tcPr>
          <w:p w:rsidR="004B2D4F" w:rsidRPr="00A97E01" w:rsidRDefault="004B2D4F" w:rsidP="00043302">
            <w:pPr>
              <w:jc w:val="center"/>
              <w:rPr>
                <w:rFonts w:ascii="Times New Roman" w:hAnsi="Times New Roman" w:cs="Times New Roman"/>
                <w:sz w:val="24"/>
                <w:szCs w:val="24"/>
              </w:rPr>
            </w:pPr>
          </w:p>
        </w:tc>
        <w:tc>
          <w:tcPr>
            <w:tcW w:w="1361" w:type="dxa"/>
            <w:vAlign w:val="center"/>
          </w:tcPr>
          <w:p w:rsidR="004B2D4F" w:rsidRPr="00A97E01" w:rsidRDefault="004B2D4F" w:rsidP="00043302">
            <w:pPr>
              <w:jc w:val="center"/>
              <w:rPr>
                <w:rFonts w:ascii="Times New Roman" w:hAnsi="Times New Roman" w:cs="Times New Roman"/>
                <w:sz w:val="24"/>
                <w:szCs w:val="24"/>
              </w:rPr>
            </w:pPr>
          </w:p>
        </w:tc>
        <w:tc>
          <w:tcPr>
            <w:tcW w:w="1706" w:type="dxa"/>
            <w:gridSpan w:val="2"/>
            <w:vAlign w:val="center"/>
          </w:tcPr>
          <w:p w:rsidR="004B2D4F" w:rsidRPr="00A97E01" w:rsidRDefault="004B2D4F" w:rsidP="00043302">
            <w:pPr>
              <w:jc w:val="center"/>
              <w:rPr>
                <w:rFonts w:ascii="Times New Roman" w:hAnsi="Times New Roman" w:cs="Times New Roman"/>
                <w:sz w:val="24"/>
                <w:szCs w:val="24"/>
              </w:rPr>
            </w:pPr>
          </w:p>
        </w:tc>
      </w:tr>
    </w:tbl>
    <w:p w:rsidR="00B31774" w:rsidRPr="00A97E01" w:rsidRDefault="00B31774" w:rsidP="00B31774">
      <w:pPr>
        <w:rPr>
          <w:rFonts w:ascii="Times New Roman" w:hAnsi="Times New Roman" w:cs="Times New Roman"/>
          <w:sz w:val="24"/>
          <w:szCs w:val="24"/>
        </w:rPr>
      </w:pPr>
    </w:p>
    <w:p w:rsidR="004B2668" w:rsidRPr="00A97E01" w:rsidRDefault="004B2668" w:rsidP="004B2668">
      <w:pPr>
        <w:outlineLvl w:val="0"/>
        <w:rPr>
          <w:rFonts w:ascii="Times New Roman" w:hAnsi="Times New Roman" w:cs="Times New Roman"/>
          <w:b/>
          <w:sz w:val="24"/>
          <w:szCs w:val="24"/>
        </w:rPr>
      </w:pPr>
      <w:r w:rsidRPr="00A97E01">
        <w:rPr>
          <w:rFonts w:ascii="Times New Roman" w:hAnsi="Times New Roman" w:cs="Times New Roman"/>
          <w:b/>
          <w:sz w:val="24"/>
          <w:szCs w:val="24"/>
        </w:rPr>
        <w:t xml:space="preserve">Table 4 </w:t>
      </w:r>
    </w:p>
    <w:p w:rsidR="004B2668" w:rsidRPr="00A97E01" w:rsidRDefault="004B2668" w:rsidP="004B2668">
      <w:pPr>
        <w:rPr>
          <w:rFonts w:ascii="Times New Roman" w:hAnsi="Times New Roman" w:cs="Times New Roman"/>
          <w:b/>
          <w:sz w:val="24"/>
          <w:szCs w:val="24"/>
        </w:rPr>
      </w:pPr>
      <w:r w:rsidRPr="00A97E01">
        <w:rPr>
          <w:rFonts w:ascii="Times New Roman" w:hAnsi="Times New Roman" w:cs="Times New Roman"/>
          <w:sz w:val="24"/>
        </w:rPr>
        <w:t>Ranking of centres for mean FEV</w:t>
      </w:r>
      <w:r w:rsidRPr="00A97E01">
        <w:rPr>
          <w:rFonts w:ascii="Times New Roman" w:hAnsi="Times New Roman" w:cs="Times New Roman"/>
          <w:sz w:val="24"/>
          <w:vertAlign w:val="subscript"/>
        </w:rPr>
        <w:t>1</w:t>
      </w:r>
      <w:r w:rsidRPr="00A97E01">
        <w:rPr>
          <w:rFonts w:ascii="Times New Roman" w:hAnsi="Times New Roman" w:cs="Times New Roman"/>
          <w:sz w:val="24"/>
        </w:rPr>
        <w:t xml:space="preserve">% predicted </w:t>
      </w:r>
      <w:r w:rsidR="004B2D4F" w:rsidRPr="00A97E01">
        <w:rPr>
          <w:rFonts w:ascii="Times New Roman" w:hAnsi="Times New Roman" w:cs="Times New Roman"/>
          <w:sz w:val="24"/>
        </w:rPr>
        <w:t>, median FEV</w:t>
      </w:r>
      <w:r w:rsidR="00C576B9" w:rsidRPr="00A97E01">
        <w:rPr>
          <w:rFonts w:ascii="Times New Roman" w:hAnsi="Times New Roman" w:cs="Times New Roman"/>
          <w:sz w:val="24"/>
          <w:vertAlign w:val="subscript"/>
        </w:rPr>
        <w:t>1</w:t>
      </w:r>
      <w:r w:rsidR="004B2D4F" w:rsidRPr="00A97E01">
        <w:rPr>
          <w:rFonts w:ascii="Times New Roman" w:hAnsi="Times New Roman" w:cs="Times New Roman"/>
          <w:sz w:val="24"/>
        </w:rPr>
        <w:t xml:space="preserve">% predicted </w:t>
      </w:r>
      <w:r w:rsidRPr="00A97E01">
        <w:rPr>
          <w:rFonts w:ascii="Times New Roman" w:hAnsi="Times New Roman" w:cs="Times New Roman"/>
          <w:sz w:val="24"/>
        </w:rPr>
        <w:t>and mean rate of change of FEV</w:t>
      </w:r>
      <w:r w:rsidRPr="00A97E01">
        <w:rPr>
          <w:rFonts w:ascii="Times New Roman" w:hAnsi="Times New Roman" w:cs="Times New Roman"/>
          <w:sz w:val="24"/>
          <w:vertAlign w:val="subscript"/>
        </w:rPr>
        <w:t>1</w:t>
      </w:r>
      <w:r w:rsidRPr="00A97E01">
        <w:rPr>
          <w:rFonts w:ascii="Times New Roman" w:hAnsi="Times New Roman" w:cs="Times New Roman"/>
          <w:sz w:val="24"/>
        </w:rPr>
        <w:t>%</w:t>
      </w:r>
    </w:p>
    <w:p w:rsidR="00D333A7" w:rsidRPr="00A97E01" w:rsidRDefault="00D333A7" w:rsidP="00D333A7">
      <w:pPr>
        <w:spacing w:line="360" w:lineRule="auto"/>
        <w:jc w:val="both"/>
        <w:rPr>
          <w:rFonts w:ascii="Times New Roman" w:hAnsi="Times New Roman" w:cs="Times New Roman"/>
          <w:sz w:val="24"/>
          <w:szCs w:val="24"/>
        </w:rPr>
      </w:pPr>
    </w:p>
    <w:p w:rsidR="00D333A7" w:rsidRPr="00A97E01" w:rsidRDefault="00D333A7" w:rsidP="003E61FC">
      <w:pPr>
        <w:spacing w:line="360" w:lineRule="auto"/>
        <w:jc w:val="both"/>
        <w:rPr>
          <w:rFonts w:ascii="Times New Roman" w:hAnsi="Times New Roman" w:cs="Times New Roman"/>
          <w:i/>
          <w:sz w:val="24"/>
          <w:szCs w:val="20"/>
        </w:rPr>
      </w:pPr>
      <w:r w:rsidRPr="00A97E01">
        <w:rPr>
          <w:rFonts w:ascii="Times New Roman" w:hAnsi="Times New Roman" w:cs="Times New Roman"/>
          <w:sz w:val="24"/>
          <w:szCs w:val="24"/>
        </w:rPr>
        <w:br w:type="page"/>
      </w:r>
      <w:r w:rsidRPr="00A97E01">
        <w:rPr>
          <w:rFonts w:ascii="Times New Roman" w:hAnsi="Times New Roman" w:cs="Times New Roman"/>
          <w:i/>
          <w:sz w:val="24"/>
          <w:szCs w:val="20"/>
        </w:rPr>
        <w:lastRenderedPageBreak/>
        <w:t>3</w:t>
      </w:r>
      <w:r w:rsidR="00FA3E4A" w:rsidRPr="00A97E01">
        <w:rPr>
          <w:rFonts w:ascii="Times New Roman" w:hAnsi="Times New Roman" w:cs="Times New Roman"/>
          <w:i/>
          <w:sz w:val="24"/>
          <w:szCs w:val="20"/>
        </w:rPr>
        <w:t>.5</w:t>
      </w:r>
      <w:r w:rsidRPr="00A97E01">
        <w:rPr>
          <w:rFonts w:ascii="Times New Roman" w:hAnsi="Times New Roman" w:cs="Times New Roman"/>
          <w:i/>
          <w:sz w:val="24"/>
          <w:szCs w:val="20"/>
        </w:rPr>
        <w:t xml:space="preserve"> </w:t>
      </w:r>
      <w:r w:rsidR="00FA3E4A" w:rsidRPr="00A97E01">
        <w:rPr>
          <w:rFonts w:ascii="Times New Roman" w:hAnsi="Times New Roman" w:cs="Times New Roman"/>
          <w:i/>
          <w:sz w:val="24"/>
          <w:szCs w:val="24"/>
        </w:rPr>
        <w:t>Controlling for patient characteristics within centres</w:t>
      </w:r>
    </w:p>
    <w:p w:rsidR="008E5A37" w:rsidRPr="00A97E01" w:rsidRDefault="005D0D51" w:rsidP="008E5A37">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 xml:space="preserve">The linear mixed model shows that </w:t>
      </w:r>
      <w:r w:rsidR="00BE6298" w:rsidRPr="00A97E01">
        <w:rPr>
          <w:rFonts w:ascii="Times New Roman" w:hAnsi="Times New Roman" w:cs="Times New Roman"/>
          <w:sz w:val="24"/>
          <w:szCs w:val="24"/>
        </w:rPr>
        <w:t xml:space="preserve">that </w:t>
      </w:r>
      <w:r w:rsidRPr="00A97E01">
        <w:rPr>
          <w:rFonts w:ascii="Times New Roman" w:hAnsi="Times New Roman" w:cs="Times New Roman"/>
          <w:sz w:val="24"/>
          <w:szCs w:val="24"/>
        </w:rPr>
        <w:t>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values in 2013 declined with age and were lower in men</w:t>
      </w:r>
      <w:r w:rsidR="00544795" w:rsidRPr="00A97E01">
        <w:rPr>
          <w:rFonts w:ascii="Times New Roman" w:hAnsi="Times New Roman" w:cs="Times New Roman"/>
          <w:sz w:val="24"/>
          <w:szCs w:val="24"/>
        </w:rPr>
        <w:t xml:space="preserve"> than women (Table 5)</w:t>
      </w:r>
      <w:r w:rsidRPr="00A97E01">
        <w:rPr>
          <w:rFonts w:ascii="Times New Roman" w:hAnsi="Times New Roman" w:cs="Times New Roman"/>
          <w:sz w:val="24"/>
          <w:szCs w:val="24"/>
        </w:rPr>
        <w:t xml:space="preserve">.  </w:t>
      </w:r>
      <w:r w:rsidR="00A96CFC" w:rsidRPr="00A97E01">
        <w:rPr>
          <w:rFonts w:ascii="Times New Roman" w:hAnsi="Times New Roman" w:cs="Times New Roman"/>
          <w:sz w:val="24"/>
          <w:szCs w:val="24"/>
        </w:rPr>
        <w:t>ΔF508</w:t>
      </w:r>
      <w:r w:rsidRPr="00A97E01">
        <w:rPr>
          <w:rFonts w:ascii="Times New Roman" w:hAnsi="Times New Roman" w:cs="Times New Roman"/>
          <w:sz w:val="24"/>
          <w:szCs w:val="24"/>
        </w:rPr>
        <w:t xml:space="preserve"> homozygous genotype was associated with a small reduction in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w:t>
      </w:r>
      <w:r w:rsidR="000E40B7" w:rsidRPr="00A97E01">
        <w:rPr>
          <w:rFonts w:ascii="Times New Roman" w:hAnsi="Times New Roman" w:cs="Times New Roman"/>
          <w:sz w:val="24"/>
          <w:szCs w:val="24"/>
        </w:rPr>
        <w:t xml:space="preserve">, but there was </w:t>
      </w:r>
      <w:r w:rsidRPr="00A97E01">
        <w:rPr>
          <w:rFonts w:ascii="Times New Roman" w:hAnsi="Times New Roman" w:cs="Times New Roman"/>
          <w:sz w:val="24"/>
          <w:szCs w:val="24"/>
        </w:rPr>
        <w:t>a</w:t>
      </w:r>
      <w:r w:rsidR="000E40B7" w:rsidRPr="00A97E01">
        <w:rPr>
          <w:rFonts w:ascii="Times New Roman" w:hAnsi="Times New Roman" w:cs="Times New Roman"/>
          <w:sz w:val="24"/>
          <w:szCs w:val="24"/>
        </w:rPr>
        <w:t xml:space="preserve"> dec</w:t>
      </w:r>
      <w:r w:rsidRPr="00A97E01">
        <w:rPr>
          <w:rFonts w:ascii="Times New Roman" w:hAnsi="Times New Roman" w:cs="Times New Roman"/>
          <w:sz w:val="24"/>
          <w:szCs w:val="24"/>
        </w:rPr>
        <w:t>rease of around 15% in those who were using pancreatic enzymes</w:t>
      </w:r>
      <w:r w:rsidR="000E40B7" w:rsidRPr="00A97E01">
        <w:rPr>
          <w:rFonts w:ascii="Times New Roman" w:hAnsi="Times New Roman" w:cs="Times New Roman"/>
          <w:sz w:val="24"/>
          <w:szCs w:val="24"/>
        </w:rPr>
        <w:t>.  Allowing for these patient characteristics reduced the standard deviation of b</w:t>
      </w:r>
      <w:r w:rsidR="00DC5DA2" w:rsidRPr="00A97E01">
        <w:rPr>
          <w:rFonts w:ascii="Times New Roman" w:hAnsi="Times New Roman" w:cs="Times New Roman"/>
          <w:sz w:val="24"/>
          <w:szCs w:val="24"/>
        </w:rPr>
        <w:t>etween-centre effects from 1.70</w:t>
      </w:r>
      <w:r w:rsidR="000E40B7" w:rsidRPr="00A97E01">
        <w:rPr>
          <w:rFonts w:ascii="Times New Roman" w:hAnsi="Times New Roman" w:cs="Times New Roman"/>
          <w:sz w:val="24"/>
          <w:szCs w:val="24"/>
        </w:rPr>
        <w:t xml:space="preserve"> </w:t>
      </w:r>
      <w:r w:rsidR="008E5A37" w:rsidRPr="00A97E01">
        <w:rPr>
          <w:rFonts w:ascii="Times New Roman" w:hAnsi="Times New Roman" w:cs="Times New Roman"/>
          <w:sz w:val="24"/>
          <w:szCs w:val="24"/>
        </w:rPr>
        <w:t>(Table 2, p=0.22) to 0.9 (Table 5, p=0.57) for mean FEV</w:t>
      </w:r>
      <w:r w:rsidR="008E5A37" w:rsidRPr="00A97E01">
        <w:rPr>
          <w:rFonts w:ascii="Times New Roman" w:hAnsi="Times New Roman" w:cs="Times New Roman"/>
          <w:sz w:val="24"/>
          <w:szCs w:val="24"/>
          <w:vertAlign w:val="subscript"/>
        </w:rPr>
        <w:t>1</w:t>
      </w:r>
      <w:r w:rsidR="008E5A37" w:rsidRPr="00A97E01">
        <w:rPr>
          <w:rFonts w:ascii="Times New Roman" w:hAnsi="Times New Roman" w:cs="Times New Roman"/>
          <w:sz w:val="24"/>
          <w:szCs w:val="24"/>
        </w:rPr>
        <w:t>%.</w:t>
      </w:r>
    </w:p>
    <w:p w:rsidR="008E5A37" w:rsidRPr="00A97E01" w:rsidRDefault="008E5A37" w:rsidP="008E5A37">
      <w:pPr>
        <w:spacing w:line="360" w:lineRule="auto"/>
        <w:jc w:val="both"/>
        <w:rPr>
          <w:rFonts w:ascii="Times New Roman" w:hAnsi="Times New Roman"/>
          <w:sz w:val="24"/>
        </w:rPr>
        <w:sectPr w:rsidR="008E5A37" w:rsidRPr="00A97E01">
          <w:pgSz w:w="11900" w:h="16840"/>
          <w:pgMar w:top="1440" w:right="1800" w:bottom="1440" w:left="1800" w:header="708" w:footer="708" w:gutter="0"/>
          <w:cols w:space="708"/>
        </w:sectPr>
      </w:pPr>
    </w:p>
    <w:tbl>
      <w:tblPr>
        <w:tblStyle w:val="TableGrid"/>
        <w:tblpPr w:leftFromText="180" w:rightFromText="180" w:horzAnchor="page" w:tblpX="910" w:tblpY="-896"/>
        <w:tblW w:w="150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134"/>
        <w:gridCol w:w="1134"/>
        <w:gridCol w:w="1134"/>
        <w:gridCol w:w="1134"/>
        <w:gridCol w:w="1134"/>
        <w:gridCol w:w="1134"/>
        <w:gridCol w:w="1134"/>
        <w:gridCol w:w="1134"/>
        <w:gridCol w:w="1134"/>
        <w:gridCol w:w="1134"/>
      </w:tblGrid>
      <w:tr w:rsidR="008E5A37" w:rsidRPr="00A97E01">
        <w:trPr>
          <w:trHeight w:hRule="exact" w:val="850"/>
        </w:trPr>
        <w:tc>
          <w:tcPr>
            <w:tcW w:w="3685"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lastRenderedPageBreak/>
              <w:t>Regression component</w:t>
            </w:r>
          </w:p>
        </w:tc>
        <w:tc>
          <w:tcPr>
            <w:tcW w:w="5670" w:type="dxa"/>
            <w:gridSpan w:val="5"/>
            <w:tcBorders>
              <w:top w:val="single" w:sz="4" w:space="0" w:color="auto"/>
              <w:bottom w:val="single" w:sz="4" w:space="0" w:color="auto"/>
            </w:tcBorders>
            <w:vAlign w:val="center"/>
          </w:tcPr>
          <w:p w:rsidR="008E5A37" w:rsidRPr="00A97E01" w:rsidRDefault="00DC5DA2" w:rsidP="008E5A37">
            <w:pPr>
              <w:jc w:val="center"/>
              <w:rPr>
                <w:rFonts w:ascii="Times New Roman" w:hAnsi="Times New Roman" w:cs="Times New Roman"/>
                <w:sz w:val="24"/>
                <w:szCs w:val="24"/>
              </w:rPr>
            </w:pPr>
            <w:r w:rsidRPr="00A97E01">
              <w:rPr>
                <w:rFonts w:ascii="Times New Roman" w:hAnsi="Times New Roman" w:cs="Times New Roman"/>
                <w:sz w:val="24"/>
                <w:szCs w:val="24"/>
              </w:rPr>
              <w:t xml:space="preserve">Mean </w:t>
            </w:r>
            <w:r w:rsidR="008E5A37" w:rsidRPr="00A97E01">
              <w:rPr>
                <w:rFonts w:ascii="Times New Roman" w:hAnsi="Times New Roman" w:cs="Times New Roman"/>
                <w:sz w:val="24"/>
                <w:szCs w:val="24"/>
              </w:rPr>
              <w:t>FEV</w:t>
            </w:r>
            <w:r w:rsidR="008E5A37" w:rsidRPr="00A97E01">
              <w:rPr>
                <w:rFonts w:ascii="Times New Roman" w:hAnsi="Times New Roman" w:cs="Times New Roman"/>
                <w:sz w:val="24"/>
                <w:szCs w:val="24"/>
                <w:vertAlign w:val="subscript"/>
              </w:rPr>
              <w:t>1</w:t>
            </w:r>
            <w:r w:rsidR="008E5A37" w:rsidRPr="00A97E01">
              <w:rPr>
                <w:rFonts w:ascii="Times New Roman" w:hAnsi="Times New Roman" w:cs="Times New Roman"/>
                <w:sz w:val="24"/>
                <w:szCs w:val="24"/>
              </w:rPr>
              <w:t xml:space="preserve">% predicted </w:t>
            </w:r>
            <w:r w:rsidRPr="00A97E01">
              <w:rPr>
                <w:rFonts w:ascii="Times New Roman" w:hAnsi="Times New Roman" w:cs="Times New Roman"/>
                <w:sz w:val="24"/>
                <w:szCs w:val="24"/>
              </w:rPr>
              <w:t>(</w:t>
            </w:r>
            <w:r w:rsidR="008E5A37" w:rsidRPr="00A97E01">
              <w:rPr>
                <w:rFonts w:ascii="Times New Roman" w:hAnsi="Times New Roman" w:cs="Times New Roman"/>
                <w:sz w:val="24"/>
                <w:szCs w:val="24"/>
              </w:rPr>
              <w:t>2013 data</w:t>
            </w:r>
            <w:r w:rsidRPr="00A97E01">
              <w:rPr>
                <w:rFonts w:ascii="Times New Roman" w:hAnsi="Times New Roman" w:cs="Times New Roman"/>
                <w:sz w:val="24"/>
                <w:szCs w:val="24"/>
              </w:rPr>
              <w:t>)</w:t>
            </w:r>
          </w:p>
        </w:tc>
        <w:tc>
          <w:tcPr>
            <w:tcW w:w="5670" w:type="dxa"/>
            <w:gridSpan w:val="5"/>
            <w:tcBorders>
              <w:top w:val="single" w:sz="4" w:space="0" w:color="auto"/>
              <w:bottom w:val="single" w:sz="4" w:space="0" w:color="auto"/>
            </w:tcBorders>
            <w:vAlign w:val="center"/>
          </w:tcPr>
          <w:p w:rsidR="008E5A37" w:rsidRPr="00A97E01" w:rsidRDefault="00DC5DA2" w:rsidP="008E5A37">
            <w:pPr>
              <w:jc w:val="center"/>
              <w:rPr>
                <w:rFonts w:ascii="Times New Roman" w:hAnsi="Times New Roman" w:cs="Times New Roman"/>
                <w:sz w:val="24"/>
                <w:szCs w:val="24"/>
              </w:rPr>
            </w:pPr>
            <w:r w:rsidRPr="00A97E01">
              <w:rPr>
                <w:rFonts w:ascii="Times New Roman" w:hAnsi="Times New Roman" w:cs="Times New Roman"/>
                <w:sz w:val="24"/>
                <w:szCs w:val="24"/>
              </w:rPr>
              <w:t>Change in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2007-13 (z-score)</w:t>
            </w:r>
          </w:p>
        </w:tc>
      </w:tr>
      <w:tr w:rsidR="008E5A37" w:rsidRPr="00A97E01">
        <w:trPr>
          <w:trHeight w:hRule="exact" w:val="567"/>
        </w:trPr>
        <w:tc>
          <w:tcPr>
            <w:tcW w:w="3685"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Main effect</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Est</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SE</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CI-Low</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CI-High</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p-value</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Est</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SE</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CI-Low</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CI-High</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p-value</w:t>
            </w:r>
          </w:p>
        </w:tc>
      </w:tr>
      <w:tr w:rsidR="008E5A37" w:rsidRPr="00A97E01">
        <w:trPr>
          <w:trHeight w:hRule="exact" w:val="113"/>
        </w:trPr>
        <w:tc>
          <w:tcPr>
            <w:tcW w:w="3685"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r>
      <w:tr w:rsidR="008E5A37" w:rsidRPr="00A97E01">
        <w:trPr>
          <w:trHeight w:hRule="exact" w:val="567"/>
        </w:trPr>
        <w:tc>
          <w:tcPr>
            <w:tcW w:w="3685"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Intercept</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90.1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2.1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86.0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94.3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&lt;0.001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0.17</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0.08</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0.33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0.04</w:t>
            </w:r>
          </w:p>
        </w:tc>
      </w:tr>
      <w:tr w:rsidR="008E5A37" w:rsidRPr="00A97E01">
        <w:trPr>
          <w:trHeight w:hRule="exact" w:val="567"/>
        </w:trPr>
        <w:tc>
          <w:tcPr>
            <w:tcW w:w="3685"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Age (years)</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-0.38</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0.04</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-0.45</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-0.30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&lt;0.001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0.004</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0.002</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0.001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0.007</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0.02</w:t>
            </w:r>
          </w:p>
        </w:tc>
      </w:tr>
      <w:tr w:rsidR="008E5A37" w:rsidRPr="00A97E01">
        <w:trPr>
          <w:trHeight w:hRule="exact" w:val="567"/>
        </w:trPr>
        <w:tc>
          <w:tcPr>
            <w:tcW w:w="3685"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Sex  (1=male, 0=female)</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-2.20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0.75</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-3.67</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-0.73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0.003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-0.06</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-0.12</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0.04</w:t>
            </w:r>
          </w:p>
        </w:tc>
      </w:tr>
      <w:tr w:rsidR="008E5A37" w:rsidRPr="00A97E01">
        <w:trPr>
          <w:trHeight w:hRule="exact" w:val="567"/>
        </w:trPr>
        <w:tc>
          <w:tcPr>
            <w:tcW w:w="3685"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ΔF508 homozygous (1=yes, 0=no)</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-1.53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0.82</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-3.13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0.07</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0.06</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-0.05</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-0.11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0.1</w:t>
            </w:r>
          </w:p>
        </w:tc>
      </w:tr>
      <w:tr w:rsidR="008E5A37" w:rsidRPr="00A97E01">
        <w:trPr>
          <w:trHeight w:hRule="exact" w:val="567"/>
        </w:trPr>
        <w:tc>
          <w:tcPr>
            <w:tcW w:w="3685"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Using pancreatic enzymes (1=yes, 0=no)</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-14.8</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-17.1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-12.5</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&lt;0.001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-0.20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0.05</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-0.29</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-0.11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&lt;0.001</w:t>
            </w:r>
          </w:p>
        </w:tc>
      </w:tr>
      <w:tr w:rsidR="008E5A37" w:rsidRPr="00A97E01">
        <w:trPr>
          <w:trHeight w:hRule="exact" w:val="567"/>
        </w:trPr>
        <w:tc>
          <w:tcPr>
            <w:tcW w:w="3685"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Unclear whether  using pancreatic enzymes (1=yes, 0=no)</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-8.3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1.9</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-12.0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-4.5</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&lt;0.001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-0.05</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0.07</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-0.20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0.10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0.5</w:t>
            </w:r>
          </w:p>
        </w:tc>
      </w:tr>
      <w:tr w:rsidR="008E5A37" w:rsidRPr="00A97E01">
        <w:trPr>
          <w:trHeight w:hRule="exact" w:val="113"/>
        </w:trPr>
        <w:tc>
          <w:tcPr>
            <w:tcW w:w="3685"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r>
      <w:tr w:rsidR="008E5A37" w:rsidRPr="00A97E01">
        <w:trPr>
          <w:trHeight w:hRule="exact" w:val="567"/>
        </w:trPr>
        <w:tc>
          <w:tcPr>
            <w:tcW w:w="3685"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Variance component</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Est</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SE</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SD</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ICC</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p-value</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Est</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SE</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SD</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ICC</w:t>
            </w:r>
          </w:p>
        </w:tc>
        <w:tc>
          <w:tcPr>
            <w:tcW w:w="1134" w:type="dxa"/>
            <w:tcBorders>
              <w:top w:val="single" w:sz="4" w:space="0" w:color="auto"/>
              <w:bottom w:val="single" w:sz="4" w:space="0" w:color="auto"/>
            </w:tcBorders>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p-value</w:t>
            </w:r>
          </w:p>
        </w:tc>
      </w:tr>
      <w:tr w:rsidR="008E5A37" w:rsidRPr="00A97E01">
        <w:trPr>
          <w:trHeight w:hRule="exact" w:val="113"/>
        </w:trPr>
        <w:tc>
          <w:tcPr>
            <w:tcW w:w="3685"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c>
          <w:tcPr>
            <w:tcW w:w="1134" w:type="dxa"/>
            <w:tcBorders>
              <w:top w:val="single" w:sz="4" w:space="0" w:color="auto"/>
            </w:tcBorders>
            <w:vAlign w:val="center"/>
          </w:tcPr>
          <w:p w:rsidR="008E5A37" w:rsidRPr="00A97E01" w:rsidRDefault="008E5A37" w:rsidP="008E5A37">
            <w:pPr>
              <w:jc w:val="center"/>
              <w:rPr>
                <w:rFonts w:ascii="Times New Roman" w:hAnsi="Times New Roman" w:cs="Times New Roman"/>
                <w:sz w:val="24"/>
                <w:szCs w:val="24"/>
              </w:rPr>
            </w:pPr>
          </w:p>
        </w:tc>
      </w:tr>
      <w:tr w:rsidR="008E5A37" w:rsidRPr="00A97E01">
        <w:trPr>
          <w:trHeight w:hRule="exact" w:val="567"/>
        </w:trPr>
        <w:tc>
          <w:tcPr>
            <w:tcW w:w="3685"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Variance between subjects within a centre, τ</w:t>
            </w:r>
            <w:r w:rsidRPr="00A97E01">
              <w:rPr>
                <w:rFonts w:ascii="Times New Roman" w:hAnsi="Times New Roman" w:cs="Times New Roman"/>
                <w:sz w:val="24"/>
                <w:szCs w:val="24"/>
                <w:vertAlign w:val="superscript"/>
              </w:rPr>
              <w:t>2</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541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23.2</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99.85</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&lt;0.001</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0.973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0.020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0.986</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98.7</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&lt;0.001</w:t>
            </w:r>
          </w:p>
        </w:tc>
      </w:tr>
      <w:tr w:rsidR="008E5A37" w:rsidRPr="00A97E01">
        <w:trPr>
          <w:trHeight w:hRule="exact" w:val="113"/>
        </w:trPr>
        <w:tc>
          <w:tcPr>
            <w:tcW w:w="3685" w:type="dxa"/>
            <w:vAlign w:val="center"/>
          </w:tcPr>
          <w:p w:rsidR="008E5A37" w:rsidRPr="00A97E01" w:rsidRDefault="008E5A37" w:rsidP="008E5A37">
            <w:pPr>
              <w:jc w:val="center"/>
              <w:rPr>
                <w:rFonts w:ascii="Times New Roman" w:hAnsi="Times New Roman" w:cs="Times New Roman"/>
                <w:sz w:val="24"/>
                <w:szCs w:val="24"/>
              </w:rPr>
            </w:pPr>
          </w:p>
        </w:tc>
        <w:tc>
          <w:tcPr>
            <w:tcW w:w="1134" w:type="dxa"/>
            <w:vAlign w:val="center"/>
          </w:tcPr>
          <w:p w:rsidR="008E5A37" w:rsidRPr="00A97E01" w:rsidRDefault="008E5A37" w:rsidP="008E5A37">
            <w:pPr>
              <w:jc w:val="center"/>
              <w:rPr>
                <w:rFonts w:ascii="Times New Roman" w:hAnsi="Times New Roman" w:cs="Times New Roman"/>
                <w:sz w:val="24"/>
                <w:szCs w:val="24"/>
              </w:rPr>
            </w:pPr>
          </w:p>
        </w:tc>
        <w:tc>
          <w:tcPr>
            <w:tcW w:w="1134" w:type="dxa"/>
            <w:vAlign w:val="center"/>
          </w:tcPr>
          <w:p w:rsidR="008E5A37" w:rsidRPr="00A97E01" w:rsidRDefault="008E5A37" w:rsidP="008E5A37">
            <w:pPr>
              <w:jc w:val="center"/>
              <w:rPr>
                <w:rFonts w:ascii="Times New Roman" w:hAnsi="Times New Roman" w:cs="Times New Roman"/>
                <w:sz w:val="24"/>
                <w:szCs w:val="24"/>
              </w:rPr>
            </w:pPr>
          </w:p>
        </w:tc>
        <w:tc>
          <w:tcPr>
            <w:tcW w:w="1134" w:type="dxa"/>
            <w:vAlign w:val="center"/>
          </w:tcPr>
          <w:p w:rsidR="008E5A37" w:rsidRPr="00A97E01" w:rsidRDefault="008E5A37" w:rsidP="008E5A37">
            <w:pPr>
              <w:jc w:val="center"/>
              <w:rPr>
                <w:rFonts w:ascii="Times New Roman" w:hAnsi="Times New Roman" w:cs="Times New Roman"/>
                <w:sz w:val="24"/>
                <w:szCs w:val="24"/>
              </w:rPr>
            </w:pPr>
          </w:p>
        </w:tc>
        <w:tc>
          <w:tcPr>
            <w:tcW w:w="1134" w:type="dxa"/>
            <w:vAlign w:val="center"/>
          </w:tcPr>
          <w:p w:rsidR="008E5A37" w:rsidRPr="00A97E01" w:rsidRDefault="008E5A37" w:rsidP="008E5A37">
            <w:pPr>
              <w:jc w:val="center"/>
              <w:rPr>
                <w:rFonts w:ascii="Times New Roman" w:hAnsi="Times New Roman" w:cs="Times New Roman"/>
                <w:sz w:val="24"/>
                <w:szCs w:val="24"/>
              </w:rPr>
            </w:pPr>
          </w:p>
        </w:tc>
        <w:tc>
          <w:tcPr>
            <w:tcW w:w="1134" w:type="dxa"/>
            <w:vAlign w:val="center"/>
          </w:tcPr>
          <w:p w:rsidR="008E5A37" w:rsidRPr="00A97E01" w:rsidRDefault="008E5A37" w:rsidP="008E5A37">
            <w:pPr>
              <w:jc w:val="center"/>
              <w:rPr>
                <w:rFonts w:ascii="Times New Roman" w:hAnsi="Times New Roman" w:cs="Times New Roman"/>
                <w:sz w:val="24"/>
                <w:szCs w:val="24"/>
              </w:rPr>
            </w:pPr>
          </w:p>
        </w:tc>
        <w:tc>
          <w:tcPr>
            <w:tcW w:w="1134" w:type="dxa"/>
            <w:vAlign w:val="center"/>
          </w:tcPr>
          <w:p w:rsidR="008E5A37" w:rsidRPr="00A97E01" w:rsidRDefault="008E5A37" w:rsidP="008E5A37">
            <w:pPr>
              <w:jc w:val="center"/>
              <w:rPr>
                <w:rFonts w:ascii="Times New Roman" w:hAnsi="Times New Roman" w:cs="Times New Roman"/>
                <w:sz w:val="24"/>
                <w:szCs w:val="24"/>
              </w:rPr>
            </w:pPr>
          </w:p>
        </w:tc>
        <w:tc>
          <w:tcPr>
            <w:tcW w:w="1134" w:type="dxa"/>
            <w:vAlign w:val="center"/>
          </w:tcPr>
          <w:p w:rsidR="008E5A37" w:rsidRPr="00A97E01" w:rsidRDefault="008E5A37" w:rsidP="008E5A37">
            <w:pPr>
              <w:jc w:val="center"/>
              <w:rPr>
                <w:rFonts w:ascii="Times New Roman" w:hAnsi="Times New Roman" w:cs="Times New Roman"/>
                <w:sz w:val="24"/>
                <w:szCs w:val="24"/>
              </w:rPr>
            </w:pPr>
          </w:p>
        </w:tc>
        <w:tc>
          <w:tcPr>
            <w:tcW w:w="1134" w:type="dxa"/>
            <w:vAlign w:val="center"/>
          </w:tcPr>
          <w:p w:rsidR="008E5A37" w:rsidRPr="00A97E01" w:rsidRDefault="008E5A37" w:rsidP="008E5A37">
            <w:pPr>
              <w:jc w:val="center"/>
              <w:rPr>
                <w:rFonts w:ascii="Times New Roman" w:hAnsi="Times New Roman" w:cs="Times New Roman"/>
                <w:sz w:val="24"/>
                <w:szCs w:val="24"/>
              </w:rPr>
            </w:pPr>
          </w:p>
        </w:tc>
        <w:tc>
          <w:tcPr>
            <w:tcW w:w="1134" w:type="dxa"/>
            <w:vAlign w:val="center"/>
          </w:tcPr>
          <w:p w:rsidR="008E5A37" w:rsidRPr="00A97E01" w:rsidRDefault="008E5A37" w:rsidP="008E5A37">
            <w:pPr>
              <w:jc w:val="center"/>
              <w:rPr>
                <w:rFonts w:ascii="Times New Roman" w:hAnsi="Times New Roman" w:cs="Times New Roman"/>
                <w:sz w:val="24"/>
                <w:szCs w:val="24"/>
              </w:rPr>
            </w:pPr>
          </w:p>
        </w:tc>
        <w:tc>
          <w:tcPr>
            <w:tcW w:w="1134" w:type="dxa"/>
            <w:vAlign w:val="center"/>
          </w:tcPr>
          <w:p w:rsidR="008E5A37" w:rsidRPr="00A97E01" w:rsidRDefault="008E5A37" w:rsidP="008E5A37">
            <w:pPr>
              <w:jc w:val="center"/>
              <w:rPr>
                <w:rFonts w:ascii="Times New Roman" w:hAnsi="Times New Roman" w:cs="Times New Roman"/>
                <w:sz w:val="24"/>
                <w:szCs w:val="24"/>
              </w:rPr>
            </w:pPr>
          </w:p>
        </w:tc>
      </w:tr>
      <w:tr w:rsidR="008E5A37" w:rsidRPr="00A97E01">
        <w:trPr>
          <w:trHeight w:hRule="exact" w:val="567"/>
        </w:trPr>
        <w:tc>
          <w:tcPr>
            <w:tcW w:w="3685"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Variance between centres, σ</w:t>
            </w:r>
            <w:r w:rsidRPr="00A97E01">
              <w:rPr>
                <w:rFonts w:ascii="Times New Roman" w:hAnsi="Times New Roman" w:cs="Times New Roman"/>
                <w:sz w:val="24"/>
                <w:szCs w:val="24"/>
                <w:vertAlign w:val="superscript"/>
              </w:rPr>
              <w:t>2</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0.80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1.40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0.90</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0.15</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0.57</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0.013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0.006</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0.114</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1.3</w:t>
            </w:r>
          </w:p>
        </w:tc>
        <w:tc>
          <w:tcPr>
            <w:tcW w:w="1134" w:type="dxa"/>
            <w:vAlign w:val="center"/>
          </w:tcPr>
          <w:p w:rsidR="008E5A37" w:rsidRPr="00A97E01" w:rsidRDefault="008E5A37" w:rsidP="008E5A37">
            <w:pPr>
              <w:jc w:val="center"/>
              <w:rPr>
                <w:rFonts w:ascii="Times New Roman" w:hAnsi="Times New Roman" w:cs="Times New Roman"/>
                <w:sz w:val="24"/>
                <w:szCs w:val="24"/>
              </w:rPr>
            </w:pPr>
            <w:r w:rsidRPr="00A97E01">
              <w:rPr>
                <w:rFonts w:ascii="Times New Roman" w:hAnsi="Times New Roman" w:cs="Times New Roman"/>
                <w:sz w:val="24"/>
                <w:szCs w:val="24"/>
              </w:rPr>
              <w:t>0.04</w:t>
            </w:r>
          </w:p>
        </w:tc>
      </w:tr>
    </w:tbl>
    <w:p w:rsidR="008E5A37" w:rsidRPr="00A97E01" w:rsidRDefault="008E5A37" w:rsidP="008E5A37">
      <w:pPr>
        <w:rPr>
          <w:rFonts w:ascii="Times New Roman" w:hAnsi="Times New Roman" w:cs="Times New Roman"/>
        </w:rPr>
      </w:pPr>
    </w:p>
    <w:p w:rsidR="008E5A37" w:rsidRPr="00A97E01" w:rsidRDefault="008E5A37" w:rsidP="008E5A37">
      <w:pPr>
        <w:rPr>
          <w:rFonts w:ascii="Times New Roman" w:hAnsi="Times New Roman" w:cs="Times New Roman"/>
        </w:rPr>
      </w:pPr>
      <w:r w:rsidRPr="00A97E01">
        <w:rPr>
          <w:rFonts w:ascii="Times New Roman" w:hAnsi="Times New Roman" w:cs="Times New Roman"/>
        </w:rPr>
        <w:t xml:space="preserve">Est = parameter estimate  </w:t>
      </w:r>
      <w:r w:rsidRPr="00A97E01">
        <w:rPr>
          <w:rFonts w:ascii="Times New Roman" w:hAnsi="Times New Roman" w:cs="Times New Roman"/>
        </w:rPr>
        <w:tab/>
      </w:r>
      <w:r w:rsidRPr="00A97E01">
        <w:rPr>
          <w:rFonts w:ascii="Times New Roman" w:hAnsi="Times New Roman" w:cs="Times New Roman"/>
        </w:rPr>
        <w:tab/>
        <w:t>SE = standard error</w:t>
      </w:r>
      <w:r w:rsidRPr="00A97E01">
        <w:rPr>
          <w:rFonts w:ascii="Times New Roman" w:hAnsi="Times New Roman" w:cs="Times New Roman"/>
        </w:rPr>
        <w:tab/>
      </w:r>
      <w:r w:rsidRPr="00A97E01">
        <w:rPr>
          <w:rFonts w:ascii="Times New Roman" w:hAnsi="Times New Roman" w:cs="Times New Roman"/>
        </w:rPr>
        <w:tab/>
        <w:t>CI = confidence interval</w:t>
      </w:r>
    </w:p>
    <w:p w:rsidR="008E5A37" w:rsidRPr="00A97E01" w:rsidRDefault="008E5A37" w:rsidP="008E5A37">
      <w:pPr>
        <w:ind w:left="-567" w:firstLine="567"/>
        <w:rPr>
          <w:rFonts w:ascii="Times New Roman" w:hAnsi="Times New Roman" w:cs="Times New Roman"/>
        </w:rPr>
      </w:pPr>
      <w:r w:rsidRPr="00A97E01">
        <w:rPr>
          <w:rFonts w:ascii="Times New Roman" w:hAnsi="Times New Roman" w:cs="Times New Roman"/>
        </w:rPr>
        <w:t>SD = standard deviation</w:t>
      </w:r>
      <w:r w:rsidRPr="00A97E01">
        <w:rPr>
          <w:rFonts w:ascii="Times New Roman" w:hAnsi="Times New Roman" w:cs="Times New Roman"/>
        </w:rPr>
        <w:tab/>
      </w:r>
      <w:r w:rsidRPr="00A97E01">
        <w:rPr>
          <w:rFonts w:ascii="Times New Roman" w:hAnsi="Times New Roman" w:cs="Times New Roman"/>
        </w:rPr>
        <w:tab/>
      </w:r>
      <w:r w:rsidRPr="00A97E01">
        <w:rPr>
          <w:rFonts w:ascii="Times New Roman" w:hAnsi="Times New Roman" w:cs="Times New Roman"/>
        </w:rPr>
        <w:tab/>
        <w:t>ICC = intra-class correlation</w:t>
      </w:r>
    </w:p>
    <w:p w:rsidR="008E5A37" w:rsidRPr="00A97E01" w:rsidRDefault="008E5A37" w:rsidP="008E5A37">
      <w:pPr>
        <w:ind w:left="-567"/>
        <w:outlineLvl w:val="0"/>
        <w:rPr>
          <w:rFonts w:ascii="Times New Roman" w:hAnsi="Times New Roman" w:cs="Times New Roman"/>
          <w:b/>
          <w:sz w:val="24"/>
        </w:rPr>
      </w:pPr>
    </w:p>
    <w:p w:rsidR="009C4951" w:rsidRPr="00A97E01" w:rsidRDefault="00FA7F2A" w:rsidP="00FA7F2A">
      <w:pPr>
        <w:ind w:left="-567"/>
        <w:outlineLvl w:val="0"/>
        <w:rPr>
          <w:rFonts w:ascii="Times New Roman" w:hAnsi="Times New Roman" w:cs="Times New Roman"/>
          <w:b/>
          <w:sz w:val="24"/>
        </w:rPr>
      </w:pPr>
      <w:r w:rsidRPr="00A97E01">
        <w:rPr>
          <w:rFonts w:ascii="Times New Roman" w:hAnsi="Times New Roman" w:cs="Times New Roman"/>
          <w:b/>
          <w:sz w:val="24"/>
        </w:rPr>
        <w:t xml:space="preserve">Table 5 </w:t>
      </w:r>
    </w:p>
    <w:p w:rsidR="00FA7F2A" w:rsidRPr="00A97E01" w:rsidRDefault="00FA7F2A" w:rsidP="00FA7F2A">
      <w:pPr>
        <w:ind w:left="-567"/>
        <w:outlineLvl w:val="0"/>
        <w:rPr>
          <w:rFonts w:ascii="Times New Roman" w:hAnsi="Times New Roman" w:cs="Times New Roman"/>
          <w:sz w:val="24"/>
        </w:rPr>
      </w:pPr>
      <w:r w:rsidRPr="00A97E01">
        <w:rPr>
          <w:rFonts w:ascii="Times New Roman" w:hAnsi="Times New Roman" w:cs="Times New Roman"/>
          <w:sz w:val="24"/>
        </w:rPr>
        <w:t xml:space="preserve">Estimate of </w:t>
      </w:r>
      <w:r w:rsidR="008E5A37" w:rsidRPr="00A97E01">
        <w:rPr>
          <w:rFonts w:ascii="Times New Roman" w:hAnsi="Times New Roman" w:cs="Times New Roman"/>
          <w:sz w:val="24"/>
        </w:rPr>
        <w:t>c</w:t>
      </w:r>
      <w:r w:rsidRPr="00A97E01">
        <w:rPr>
          <w:rFonts w:ascii="Times New Roman" w:hAnsi="Times New Roman" w:cs="Times New Roman"/>
          <w:sz w:val="24"/>
        </w:rPr>
        <w:t xml:space="preserve">omponents of </w:t>
      </w:r>
      <w:r w:rsidR="008E5A37" w:rsidRPr="00A97E01">
        <w:rPr>
          <w:rFonts w:ascii="Times New Roman" w:hAnsi="Times New Roman" w:cs="Times New Roman"/>
          <w:sz w:val="24"/>
        </w:rPr>
        <w:t>v</w:t>
      </w:r>
      <w:r w:rsidRPr="00A97E01">
        <w:rPr>
          <w:rFonts w:ascii="Times New Roman" w:hAnsi="Times New Roman" w:cs="Times New Roman"/>
          <w:sz w:val="24"/>
        </w:rPr>
        <w:t>ariance for cross-sectional and longitudinal lung function outcome measures</w:t>
      </w:r>
    </w:p>
    <w:p w:rsidR="00394E93" w:rsidRPr="00A97E01" w:rsidRDefault="00394E93" w:rsidP="004B5A1F">
      <w:pPr>
        <w:ind w:left="-567"/>
        <w:rPr>
          <w:rFonts w:ascii="Times New Roman" w:hAnsi="Times New Roman" w:cs="Times New Roman"/>
          <w:sz w:val="24"/>
          <w:szCs w:val="24"/>
        </w:rPr>
        <w:sectPr w:rsidR="00394E93" w:rsidRPr="00A97E01">
          <w:pgSz w:w="16834" w:h="11904" w:orient="landscape"/>
          <w:pgMar w:top="1800" w:right="1440" w:bottom="1800" w:left="1440" w:header="708" w:footer="708" w:gutter="0"/>
          <w:cols w:space="708"/>
        </w:sectPr>
      </w:pPr>
    </w:p>
    <w:p w:rsidR="00D333A7" w:rsidRPr="00A97E01" w:rsidRDefault="00D333A7" w:rsidP="00D333A7">
      <w:pPr>
        <w:spacing w:line="360" w:lineRule="auto"/>
        <w:jc w:val="both"/>
        <w:outlineLvl w:val="0"/>
        <w:rPr>
          <w:rFonts w:ascii="Times New Roman" w:hAnsi="Times New Roman" w:cs="Times New Roman"/>
          <w:sz w:val="24"/>
          <w:szCs w:val="24"/>
        </w:rPr>
      </w:pPr>
      <w:r w:rsidRPr="00A97E01">
        <w:rPr>
          <w:rFonts w:ascii="Times New Roman" w:hAnsi="Times New Roman" w:cs="Times New Roman"/>
          <w:b/>
          <w:sz w:val="24"/>
          <w:szCs w:val="24"/>
        </w:rPr>
        <w:lastRenderedPageBreak/>
        <w:t>4. Discussion</w:t>
      </w:r>
    </w:p>
    <w:p w:rsidR="00D333A7" w:rsidRPr="00A97E01" w:rsidRDefault="00D333A7" w:rsidP="00D333A7">
      <w:pPr>
        <w:spacing w:line="360" w:lineRule="auto"/>
        <w:jc w:val="both"/>
        <w:rPr>
          <w:rFonts w:ascii="Times New Roman" w:hAnsi="Times New Roman"/>
          <w:sz w:val="24"/>
        </w:rPr>
      </w:pPr>
      <w:r w:rsidRPr="00A97E01">
        <w:rPr>
          <w:rFonts w:ascii="Times New Roman" w:hAnsi="Times New Roman" w:cs="Times New Roman"/>
          <w:sz w:val="24"/>
          <w:szCs w:val="24"/>
        </w:rPr>
        <w:t xml:space="preserve">In the UK, the </w:t>
      </w:r>
      <w:r w:rsidR="00D407CE" w:rsidRPr="00A97E01">
        <w:rPr>
          <w:rFonts w:ascii="Times New Roman" w:hAnsi="Times New Roman" w:cs="Times New Roman"/>
          <w:sz w:val="24"/>
          <w:szCs w:val="24"/>
        </w:rPr>
        <w:t>C</w:t>
      </w:r>
      <w:r w:rsidRPr="00A97E01">
        <w:rPr>
          <w:rFonts w:ascii="Times New Roman" w:hAnsi="Times New Roman" w:cs="Times New Roman"/>
          <w:sz w:val="24"/>
          <w:szCs w:val="24"/>
        </w:rPr>
        <w:t xml:space="preserve">ystic </w:t>
      </w:r>
      <w:r w:rsidR="00D407CE" w:rsidRPr="00A97E01">
        <w:rPr>
          <w:rFonts w:ascii="Times New Roman" w:hAnsi="Times New Roman" w:cs="Times New Roman"/>
          <w:sz w:val="24"/>
          <w:szCs w:val="24"/>
        </w:rPr>
        <w:t>F</w:t>
      </w:r>
      <w:r w:rsidRPr="00A97E01">
        <w:rPr>
          <w:rFonts w:ascii="Times New Roman" w:hAnsi="Times New Roman" w:cs="Times New Roman"/>
          <w:sz w:val="24"/>
          <w:szCs w:val="24"/>
        </w:rPr>
        <w:t>ibrosis Registry publishes an annual report that is publicly available and includes respiratory and nutritional outcome data presented separately for each spe</w:t>
      </w:r>
      <w:r w:rsidR="00D407CE" w:rsidRPr="00A97E01">
        <w:rPr>
          <w:rFonts w:ascii="Times New Roman" w:hAnsi="Times New Roman" w:cs="Times New Roman"/>
          <w:sz w:val="24"/>
          <w:szCs w:val="24"/>
        </w:rPr>
        <w:t xml:space="preserve">cialist adult and paediatric </w:t>
      </w:r>
      <w:r w:rsidRPr="00A97E01">
        <w:rPr>
          <w:rFonts w:ascii="Times New Roman" w:hAnsi="Times New Roman" w:cs="Times New Roman"/>
          <w:sz w:val="24"/>
          <w:szCs w:val="24"/>
        </w:rPr>
        <w:t>centre [</w:t>
      </w:r>
      <w:r w:rsidR="003E61FC" w:rsidRPr="00A97E01">
        <w:rPr>
          <w:rFonts w:ascii="Times New Roman" w:hAnsi="Times New Roman" w:cs="Times New Roman"/>
          <w:sz w:val="24"/>
          <w:szCs w:val="24"/>
        </w:rPr>
        <w:t>9</w:t>
      </w:r>
      <w:r w:rsidRPr="00A97E01">
        <w:rPr>
          <w:rFonts w:ascii="Times New Roman" w:hAnsi="Times New Roman" w:cs="Times New Roman"/>
          <w:sz w:val="24"/>
          <w:szCs w:val="24"/>
        </w:rPr>
        <w:t>]. Median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xml:space="preserve"> percent predicted is used as the pulmonary outcome measure. Data are </w:t>
      </w:r>
      <w:r w:rsidRPr="00A97E01">
        <w:rPr>
          <w:rFonts w:ascii="Times New Roman" w:hAnsi="Times New Roman"/>
          <w:sz w:val="24"/>
        </w:rPr>
        <w:t xml:space="preserve">presented as a ranked graph </w:t>
      </w:r>
      <w:r w:rsidRPr="00A97E01">
        <w:rPr>
          <w:rFonts w:ascii="Times New Roman" w:hAnsi="Times New Roman" w:cs="Times New Roman"/>
          <w:sz w:val="24"/>
          <w:szCs w:val="24"/>
        </w:rPr>
        <w:t xml:space="preserve">and the most recent report also contains funnel plots. Both of these presentations might be interpreted as implying that some centres are ‘better’ than others. </w:t>
      </w:r>
      <w:r w:rsidRPr="00A97E01">
        <w:rPr>
          <w:rFonts w:ascii="Times New Roman" w:hAnsi="Times New Roman"/>
          <w:sz w:val="24"/>
        </w:rPr>
        <w:t xml:space="preserve">We wished to determine whether the published rankings are indicative of standards of care within adult CF units. </w:t>
      </w:r>
    </w:p>
    <w:p w:rsidR="00D333A7" w:rsidRPr="00A97E01" w:rsidRDefault="00D333A7" w:rsidP="00D333A7">
      <w:pPr>
        <w:spacing w:line="360" w:lineRule="auto"/>
        <w:jc w:val="both"/>
        <w:rPr>
          <w:rFonts w:ascii="Times New Roman" w:hAnsi="Times New Roman"/>
          <w:sz w:val="24"/>
        </w:rPr>
      </w:pPr>
    </w:p>
    <w:p w:rsidR="00417911" w:rsidRPr="00A97E01" w:rsidRDefault="00D333A7" w:rsidP="00DD60D5">
      <w:pPr>
        <w:shd w:val="clear" w:color="auto" w:fill="FFFFFF"/>
        <w:spacing w:line="393" w:lineRule="atLeast"/>
        <w:jc w:val="both"/>
        <w:textAlignment w:val="top"/>
        <w:rPr>
          <w:rFonts w:ascii="Times New Roman" w:hAnsi="Times New Roman" w:cs="Times New Roman"/>
          <w:sz w:val="24"/>
          <w:szCs w:val="24"/>
        </w:rPr>
      </w:pPr>
      <w:r w:rsidRPr="00A97E01">
        <w:rPr>
          <w:rFonts w:ascii="Times New Roman" w:hAnsi="Times New Roman"/>
          <w:sz w:val="24"/>
        </w:rPr>
        <w:t xml:space="preserve">We have shown a </w:t>
      </w:r>
      <w:r w:rsidR="0044633F" w:rsidRPr="00A97E01">
        <w:rPr>
          <w:rFonts w:ascii="Times New Roman" w:hAnsi="Times New Roman"/>
          <w:sz w:val="24"/>
        </w:rPr>
        <w:t xml:space="preserve">marginal </w:t>
      </w:r>
      <w:r w:rsidRPr="00A97E01">
        <w:rPr>
          <w:rFonts w:ascii="Times New Roman" w:hAnsi="Times New Roman"/>
          <w:sz w:val="24"/>
        </w:rPr>
        <w:t>statistically signifi</w:t>
      </w:r>
      <w:r w:rsidR="00536E48" w:rsidRPr="00A97E01">
        <w:rPr>
          <w:rFonts w:ascii="Times New Roman" w:hAnsi="Times New Roman"/>
          <w:sz w:val="24"/>
        </w:rPr>
        <w:t>cant difference in me</w:t>
      </w:r>
      <w:r w:rsidRPr="00A97E01">
        <w:rPr>
          <w:rFonts w:ascii="Times New Roman" w:hAnsi="Times New Roman"/>
          <w:sz w:val="24"/>
        </w:rPr>
        <w:t>an FEV</w:t>
      </w:r>
      <w:r w:rsidRPr="00A97E01">
        <w:rPr>
          <w:rFonts w:ascii="Times New Roman" w:hAnsi="Times New Roman"/>
          <w:sz w:val="24"/>
          <w:vertAlign w:val="subscript"/>
        </w:rPr>
        <w:t>1</w:t>
      </w:r>
      <w:r w:rsidRPr="00A97E01">
        <w:rPr>
          <w:rFonts w:ascii="Times New Roman" w:hAnsi="Times New Roman"/>
          <w:sz w:val="24"/>
        </w:rPr>
        <w:t xml:space="preserve">% between centres for </w:t>
      </w:r>
      <w:r w:rsidR="00536E48" w:rsidRPr="00A97E01">
        <w:rPr>
          <w:rFonts w:ascii="Times New Roman" w:hAnsi="Times New Roman"/>
          <w:sz w:val="24"/>
        </w:rPr>
        <w:t xml:space="preserve">some years of the study, which </w:t>
      </w:r>
      <w:r w:rsidR="00DD60D5" w:rsidRPr="00A97E01">
        <w:rPr>
          <w:rFonts w:ascii="Times New Roman" w:hAnsi="Times New Roman"/>
          <w:sz w:val="24"/>
        </w:rPr>
        <w:t>may, at face value,</w:t>
      </w:r>
      <w:r w:rsidR="00D407CE" w:rsidRPr="00A97E01">
        <w:rPr>
          <w:rFonts w:ascii="Times New Roman" w:hAnsi="Times New Roman"/>
          <w:sz w:val="24"/>
        </w:rPr>
        <w:t xml:space="preserve"> </w:t>
      </w:r>
      <w:r w:rsidR="00DD60D5" w:rsidRPr="00A97E01">
        <w:rPr>
          <w:rFonts w:ascii="Times New Roman" w:hAnsi="Times New Roman"/>
          <w:sz w:val="24"/>
        </w:rPr>
        <w:t xml:space="preserve">imply </w:t>
      </w:r>
      <w:r w:rsidR="00536E48" w:rsidRPr="00A97E01">
        <w:rPr>
          <w:rFonts w:ascii="Times New Roman" w:hAnsi="Times New Roman"/>
          <w:sz w:val="24"/>
        </w:rPr>
        <w:t>a clinically important difference.</w:t>
      </w:r>
      <w:r w:rsidR="00671E0D" w:rsidRPr="00A97E01">
        <w:rPr>
          <w:rFonts w:ascii="Times New Roman" w:hAnsi="Times New Roman"/>
          <w:sz w:val="24"/>
        </w:rPr>
        <w:t xml:space="preserve"> For example, in 2011</w:t>
      </w:r>
      <w:r w:rsidR="0044633F" w:rsidRPr="00A97E01">
        <w:rPr>
          <w:rFonts w:ascii="Times New Roman" w:hAnsi="Times New Roman"/>
          <w:sz w:val="24"/>
        </w:rPr>
        <w:t>,</w:t>
      </w:r>
      <w:r w:rsidR="00671E0D" w:rsidRPr="00A97E01">
        <w:rPr>
          <w:rFonts w:ascii="Times New Roman" w:hAnsi="Times New Roman"/>
          <w:sz w:val="24"/>
        </w:rPr>
        <w:t xml:space="preserve"> </w:t>
      </w:r>
      <w:r w:rsidR="00672A72" w:rsidRPr="00A97E01">
        <w:rPr>
          <w:rFonts w:ascii="Times New Roman" w:hAnsi="Times New Roman"/>
          <w:sz w:val="24"/>
        </w:rPr>
        <w:t>the</w:t>
      </w:r>
      <w:r w:rsidR="00671E0D" w:rsidRPr="00A97E01">
        <w:rPr>
          <w:rFonts w:ascii="Times New Roman" w:hAnsi="Times New Roman"/>
          <w:sz w:val="24"/>
        </w:rPr>
        <w:t xml:space="preserve"> standard deviation </w:t>
      </w:r>
      <w:r w:rsidR="00672A72" w:rsidRPr="00A97E01">
        <w:rPr>
          <w:rFonts w:ascii="Times New Roman" w:hAnsi="Times New Roman"/>
          <w:sz w:val="24"/>
        </w:rPr>
        <w:t>for mean FEV</w:t>
      </w:r>
      <w:r w:rsidR="00672A72" w:rsidRPr="00A97E01">
        <w:rPr>
          <w:rFonts w:ascii="Times New Roman" w:hAnsi="Times New Roman"/>
          <w:sz w:val="24"/>
          <w:vertAlign w:val="subscript"/>
        </w:rPr>
        <w:t>1</w:t>
      </w:r>
      <w:r w:rsidR="00672A72" w:rsidRPr="00A97E01">
        <w:rPr>
          <w:rFonts w:ascii="Times New Roman" w:hAnsi="Times New Roman"/>
          <w:sz w:val="24"/>
        </w:rPr>
        <w:t xml:space="preserve">% was </w:t>
      </w:r>
      <w:r w:rsidR="00671E0D" w:rsidRPr="00A97E01">
        <w:rPr>
          <w:rFonts w:ascii="Times New Roman" w:hAnsi="Times New Roman"/>
          <w:sz w:val="24"/>
        </w:rPr>
        <w:t>3.3%</w:t>
      </w:r>
      <w:r w:rsidR="00C83992" w:rsidRPr="00A97E01">
        <w:rPr>
          <w:rFonts w:ascii="Times New Roman" w:hAnsi="Times New Roman"/>
          <w:sz w:val="24"/>
        </w:rPr>
        <w:t xml:space="preserve"> suggest</w:t>
      </w:r>
      <w:r w:rsidR="00672A72" w:rsidRPr="00A97E01">
        <w:rPr>
          <w:rFonts w:ascii="Times New Roman" w:hAnsi="Times New Roman"/>
          <w:sz w:val="24"/>
        </w:rPr>
        <w:t>ing</w:t>
      </w:r>
      <w:r w:rsidR="00C83992" w:rsidRPr="00A97E01">
        <w:rPr>
          <w:rFonts w:ascii="Times New Roman" w:hAnsi="Times New Roman"/>
          <w:sz w:val="24"/>
        </w:rPr>
        <w:t xml:space="preserve"> that in this year 95% of centres would have a mean FEV</w:t>
      </w:r>
      <w:r w:rsidR="00C83992" w:rsidRPr="00A97E01">
        <w:rPr>
          <w:rFonts w:ascii="Times New Roman" w:hAnsi="Times New Roman"/>
          <w:sz w:val="24"/>
          <w:vertAlign w:val="subscript"/>
        </w:rPr>
        <w:t>1</w:t>
      </w:r>
      <w:r w:rsidR="00C83992" w:rsidRPr="00A97E01">
        <w:rPr>
          <w:rFonts w:ascii="Times New Roman" w:hAnsi="Times New Roman"/>
          <w:sz w:val="24"/>
        </w:rPr>
        <w:t xml:space="preserve">% contained within a range of 13.2% </w:t>
      </w:r>
      <w:r w:rsidR="00672A72" w:rsidRPr="00A97E01">
        <w:rPr>
          <w:rFonts w:ascii="Times New Roman" w:hAnsi="Times New Roman"/>
          <w:sz w:val="24"/>
        </w:rPr>
        <w:t>(four standard deviations)</w:t>
      </w:r>
      <w:r w:rsidR="00C83992" w:rsidRPr="00A97E01">
        <w:rPr>
          <w:rFonts w:ascii="Times New Roman" w:hAnsi="Times New Roman"/>
          <w:sz w:val="24"/>
        </w:rPr>
        <w:t xml:space="preserve">. </w:t>
      </w:r>
      <w:r w:rsidR="00F6223A" w:rsidRPr="00A97E01">
        <w:rPr>
          <w:rFonts w:ascii="Times New Roman" w:hAnsi="Times New Roman"/>
          <w:sz w:val="24"/>
        </w:rPr>
        <w:t>T</w:t>
      </w:r>
      <w:r w:rsidR="00DD60D5" w:rsidRPr="00A97E01">
        <w:rPr>
          <w:rFonts w:ascii="Times New Roman" w:hAnsi="Times New Roman"/>
          <w:sz w:val="24"/>
        </w:rPr>
        <w:t xml:space="preserve">he marginal p-values suggest the results may be influenced by sample size. </w:t>
      </w:r>
      <w:r w:rsidRPr="00A97E01">
        <w:rPr>
          <w:rFonts w:ascii="Times New Roman" w:hAnsi="Times New Roman"/>
          <w:sz w:val="24"/>
        </w:rPr>
        <w:t>A power calculation us</w:t>
      </w:r>
      <w:r w:rsidR="00F6223A" w:rsidRPr="00A97E01">
        <w:rPr>
          <w:rFonts w:ascii="Times New Roman" w:hAnsi="Times New Roman"/>
          <w:sz w:val="24"/>
        </w:rPr>
        <w:t>ing the entire dataset found</w:t>
      </w:r>
      <w:r w:rsidRPr="00A97E01">
        <w:rPr>
          <w:rFonts w:ascii="Times New Roman" w:hAnsi="Times New Roman"/>
          <w:sz w:val="24"/>
        </w:rPr>
        <w:t xml:space="preserve"> that to reliably detect a difference of 5% predicted between centres at the 95% significance level would require a minimum of 273 patients per centre and to detect a 2% difference would require at least 1704 patients in each centre. </w:t>
      </w:r>
    </w:p>
    <w:p w:rsidR="00D333A7" w:rsidRPr="00A97E01" w:rsidRDefault="00D333A7" w:rsidP="00D333A7">
      <w:pPr>
        <w:spacing w:line="360" w:lineRule="auto"/>
        <w:jc w:val="both"/>
        <w:rPr>
          <w:rFonts w:ascii="Times New Roman" w:hAnsi="Times New Roman"/>
          <w:sz w:val="24"/>
        </w:rPr>
      </w:pPr>
    </w:p>
    <w:p w:rsidR="00F233DD" w:rsidRPr="00A97E01" w:rsidRDefault="00D333A7" w:rsidP="00F233DD">
      <w:pPr>
        <w:spacing w:line="360" w:lineRule="auto"/>
        <w:jc w:val="both"/>
        <w:rPr>
          <w:rFonts w:ascii="Times New Roman" w:hAnsi="Times New Roman" w:cs="Times New Roman"/>
          <w:sz w:val="24"/>
          <w:szCs w:val="24"/>
        </w:rPr>
      </w:pPr>
      <w:r w:rsidRPr="00A97E01">
        <w:rPr>
          <w:rFonts w:ascii="Times New Roman" w:hAnsi="Times New Roman"/>
          <w:sz w:val="24"/>
        </w:rPr>
        <w:t xml:space="preserve">Secondly, we wished to determine the stability of rankings. </w:t>
      </w:r>
      <w:r w:rsidR="00C36559" w:rsidRPr="00A97E01">
        <w:rPr>
          <w:rFonts w:ascii="Times New Roman" w:hAnsi="Times New Roman"/>
          <w:sz w:val="24"/>
        </w:rPr>
        <w:t>We hypothesized that i</w:t>
      </w:r>
      <w:r w:rsidRPr="00A97E01">
        <w:rPr>
          <w:rFonts w:ascii="Times New Roman" w:hAnsi="Times New Roman" w:cs="Times New Roman"/>
          <w:sz w:val="24"/>
          <w:szCs w:val="24"/>
        </w:rPr>
        <w:t xml:space="preserve">f the ranking of a centre is related to the standard of care provided, then rankings should not be substantially altered from year to year as the standard of care provided by a centre is unlikely to undergo rapid changes. Additionally, </w:t>
      </w:r>
      <w:r w:rsidR="00C36559" w:rsidRPr="00A97E01">
        <w:rPr>
          <w:rFonts w:ascii="Times New Roman" w:hAnsi="Times New Roman" w:cs="Times New Roman"/>
          <w:sz w:val="24"/>
          <w:szCs w:val="24"/>
        </w:rPr>
        <w:t>rankings</w:t>
      </w:r>
      <w:r w:rsidRPr="00A97E01">
        <w:rPr>
          <w:rFonts w:ascii="Times New Roman" w:hAnsi="Times New Roman" w:cs="Times New Roman"/>
          <w:sz w:val="24"/>
          <w:szCs w:val="24"/>
        </w:rPr>
        <w:t xml:space="preserve"> should </w:t>
      </w:r>
      <w:r w:rsidR="00C36559" w:rsidRPr="00A97E01">
        <w:rPr>
          <w:rFonts w:ascii="Times New Roman" w:hAnsi="Times New Roman" w:cs="Times New Roman"/>
          <w:sz w:val="24"/>
          <w:szCs w:val="24"/>
        </w:rPr>
        <w:t xml:space="preserve">not </w:t>
      </w:r>
      <w:r w:rsidRPr="00A97E01">
        <w:rPr>
          <w:rFonts w:ascii="Times New Roman" w:hAnsi="Times New Roman" w:cs="Times New Roman"/>
          <w:sz w:val="24"/>
          <w:szCs w:val="24"/>
        </w:rPr>
        <w:t xml:space="preserve">be </w:t>
      </w:r>
      <w:r w:rsidR="00C36559" w:rsidRPr="00A97E01">
        <w:rPr>
          <w:rFonts w:ascii="Times New Roman" w:hAnsi="Times New Roman" w:cs="Times New Roman"/>
          <w:sz w:val="24"/>
          <w:szCs w:val="24"/>
        </w:rPr>
        <w:t xml:space="preserve">substantially altered </w:t>
      </w:r>
      <w:r w:rsidRPr="00A97E01">
        <w:rPr>
          <w:rFonts w:ascii="Times New Roman" w:hAnsi="Times New Roman" w:cs="Times New Roman"/>
          <w:sz w:val="24"/>
          <w:szCs w:val="24"/>
        </w:rPr>
        <w:t xml:space="preserve">if a reasonable alternative outcome measure is employed </w:t>
      </w:r>
      <w:r w:rsidRPr="00A97E01">
        <w:rPr>
          <w:rFonts w:ascii="Times New Roman" w:hAnsi="Times New Roman"/>
          <w:sz w:val="24"/>
        </w:rPr>
        <w:t xml:space="preserve">to rank centres. </w:t>
      </w:r>
      <w:r w:rsidR="00445866" w:rsidRPr="00A97E01">
        <w:rPr>
          <w:rFonts w:ascii="Times New Roman" w:hAnsi="Times New Roman"/>
          <w:sz w:val="24"/>
        </w:rPr>
        <w:t>There is</w:t>
      </w:r>
      <w:r w:rsidRPr="00A97E01">
        <w:rPr>
          <w:rFonts w:ascii="Times New Roman" w:hAnsi="Times New Roman" w:cs="Times New Roman"/>
          <w:sz w:val="24"/>
          <w:szCs w:val="24"/>
        </w:rPr>
        <w:t xml:space="preserve"> correlation in </w:t>
      </w:r>
      <w:r w:rsidR="00445866" w:rsidRPr="00A97E01">
        <w:rPr>
          <w:rFonts w:ascii="Times New Roman" w:hAnsi="Times New Roman" w:cs="Times New Roman"/>
          <w:sz w:val="24"/>
          <w:szCs w:val="24"/>
        </w:rPr>
        <w:t xml:space="preserve">centre </w:t>
      </w:r>
      <w:r w:rsidRPr="00A97E01">
        <w:rPr>
          <w:rFonts w:ascii="Times New Roman" w:hAnsi="Times New Roman" w:cs="Times New Roman"/>
          <w:sz w:val="24"/>
          <w:szCs w:val="24"/>
        </w:rPr>
        <w:t>ranking</w:t>
      </w:r>
      <w:r w:rsidR="00445866" w:rsidRPr="00A97E01">
        <w:rPr>
          <w:rFonts w:ascii="Times New Roman" w:hAnsi="Times New Roman" w:cs="Times New Roman"/>
          <w:sz w:val="24"/>
          <w:szCs w:val="24"/>
        </w:rPr>
        <w:t>s</w:t>
      </w:r>
      <w:r w:rsidRPr="00A97E01">
        <w:rPr>
          <w:rFonts w:ascii="Times New Roman" w:hAnsi="Times New Roman" w:cs="Times New Roman"/>
          <w:sz w:val="24"/>
          <w:szCs w:val="24"/>
        </w:rPr>
        <w:t xml:space="preserve"> for different years from 2009 onwards which becomes increasingly significant over time</w:t>
      </w:r>
      <w:r w:rsidR="00D407CE" w:rsidRPr="00A97E01">
        <w:rPr>
          <w:rFonts w:ascii="Times New Roman" w:hAnsi="Times New Roman" w:cs="Times New Roman"/>
          <w:sz w:val="24"/>
          <w:szCs w:val="24"/>
        </w:rPr>
        <w:t>. The lack of correlation in</w:t>
      </w:r>
      <w:r w:rsidRPr="00A97E01">
        <w:rPr>
          <w:rFonts w:ascii="Times New Roman" w:hAnsi="Times New Roman" w:cs="Times New Roman"/>
          <w:sz w:val="24"/>
          <w:szCs w:val="24"/>
        </w:rPr>
        <w:t xml:space="preserve"> e</w:t>
      </w:r>
      <w:r w:rsidR="00D407CE" w:rsidRPr="00A97E01">
        <w:rPr>
          <w:rFonts w:ascii="Times New Roman" w:hAnsi="Times New Roman" w:cs="Times New Roman"/>
          <w:sz w:val="24"/>
          <w:szCs w:val="24"/>
        </w:rPr>
        <w:t>arlier years of the study may</w:t>
      </w:r>
      <w:r w:rsidRPr="00A97E01">
        <w:rPr>
          <w:rFonts w:ascii="Times New Roman" w:hAnsi="Times New Roman" w:cs="Times New Roman"/>
          <w:sz w:val="24"/>
          <w:szCs w:val="24"/>
        </w:rPr>
        <w:t xml:space="preserve"> be related to smaller sample sizes. The number of reports for each year increased during the study period from around 2000 patients in 2007 to around 4000 in 2011. </w:t>
      </w:r>
      <w:r w:rsidR="00F233DD" w:rsidRPr="00A97E01">
        <w:rPr>
          <w:rFonts w:ascii="Times New Roman" w:hAnsi="Times New Roman" w:cs="Times New Roman"/>
          <w:sz w:val="24"/>
          <w:szCs w:val="24"/>
        </w:rPr>
        <w:t xml:space="preserve">A gradual small increase in patient numbers is expected across centres due to the continually improving survival in cystic fibrosis. However, the increase was not uniform and some centres had a dramatic increase in data over time. Whilst this may represent an influx of new patients in these centres (as can occur </w:t>
      </w:r>
      <w:r w:rsidR="00F233DD" w:rsidRPr="00A97E01">
        <w:rPr>
          <w:rFonts w:ascii="Times New Roman" w:hAnsi="Times New Roman" w:cs="Times New Roman"/>
          <w:sz w:val="24"/>
          <w:szCs w:val="24"/>
        </w:rPr>
        <w:lastRenderedPageBreak/>
        <w:t xml:space="preserve">when a centre takes over a cohort of patients previously cared for in another hospital) it is more likely that the main influence is improved data entry over the course of the study. </w:t>
      </w:r>
    </w:p>
    <w:p w:rsidR="00D333A7" w:rsidRPr="00A97E01" w:rsidRDefault="00D333A7" w:rsidP="00D333A7">
      <w:pPr>
        <w:spacing w:line="360" w:lineRule="auto"/>
        <w:jc w:val="both"/>
        <w:rPr>
          <w:rFonts w:ascii="Times New Roman" w:hAnsi="Times New Roman" w:cs="Times New Roman"/>
          <w:sz w:val="24"/>
          <w:szCs w:val="24"/>
        </w:rPr>
      </w:pPr>
    </w:p>
    <w:p w:rsidR="00C36559" w:rsidRPr="00A97E01" w:rsidRDefault="00512CCA" w:rsidP="00D333A7">
      <w:pPr>
        <w:spacing w:line="360" w:lineRule="auto"/>
        <w:jc w:val="both"/>
        <w:rPr>
          <w:rFonts w:ascii="Times New Roman" w:hAnsi="Times New Roman"/>
          <w:sz w:val="24"/>
        </w:rPr>
      </w:pPr>
      <w:r w:rsidRPr="00A97E01">
        <w:rPr>
          <w:rFonts w:ascii="Times New Roman" w:hAnsi="Times New Roman" w:cs="Times New Roman"/>
          <w:sz w:val="24"/>
          <w:szCs w:val="24"/>
        </w:rPr>
        <w:t xml:space="preserve">Since the majority of patients die from lung disease some measure of lung function is clearly important to assess care within centres but which measure is the most informative is currently not clear.  </w:t>
      </w:r>
      <w:r w:rsidR="00D333A7" w:rsidRPr="00A97E01">
        <w:rPr>
          <w:rFonts w:ascii="Times New Roman" w:hAnsi="Times New Roman"/>
          <w:sz w:val="24"/>
        </w:rPr>
        <w:t>The UK Registry uses median FEV</w:t>
      </w:r>
      <w:r w:rsidR="00D333A7" w:rsidRPr="00A97E01">
        <w:rPr>
          <w:rFonts w:ascii="Times New Roman" w:hAnsi="Times New Roman"/>
          <w:sz w:val="24"/>
          <w:vertAlign w:val="subscript"/>
        </w:rPr>
        <w:t>1</w:t>
      </w:r>
      <w:r w:rsidR="00D333A7" w:rsidRPr="00A97E01">
        <w:rPr>
          <w:rFonts w:ascii="Times New Roman" w:hAnsi="Times New Roman"/>
          <w:sz w:val="24"/>
        </w:rPr>
        <w:t xml:space="preserve">% predicted as the </w:t>
      </w:r>
      <w:r w:rsidR="00C36559" w:rsidRPr="00A97E01">
        <w:rPr>
          <w:rFonts w:ascii="Times New Roman" w:hAnsi="Times New Roman"/>
          <w:sz w:val="24"/>
        </w:rPr>
        <w:t xml:space="preserve">outcome </w:t>
      </w:r>
      <w:r w:rsidR="00D333A7" w:rsidRPr="00A97E01">
        <w:rPr>
          <w:rFonts w:ascii="Times New Roman" w:hAnsi="Times New Roman"/>
          <w:sz w:val="24"/>
        </w:rPr>
        <w:t xml:space="preserve">measure of choice. </w:t>
      </w:r>
      <w:r w:rsidR="00D333A7" w:rsidRPr="00A97E01">
        <w:rPr>
          <w:rFonts w:ascii="Times New Roman" w:hAnsi="Times New Roman" w:cs="Times New Roman"/>
          <w:sz w:val="24"/>
          <w:szCs w:val="24"/>
        </w:rPr>
        <w:t>There is no recognised ‘gold standard’ for respiratory outcomes in CF but FEV</w:t>
      </w:r>
      <w:r w:rsidR="00D333A7" w:rsidRPr="00A97E01">
        <w:rPr>
          <w:rFonts w:ascii="Times New Roman" w:hAnsi="Times New Roman" w:cs="Times New Roman"/>
          <w:sz w:val="24"/>
          <w:szCs w:val="24"/>
          <w:vertAlign w:val="subscript"/>
        </w:rPr>
        <w:t>1</w:t>
      </w:r>
      <w:r w:rsidR="00C36559" w:rsidRPr="00A97E01">
        <w:rPr>
          <w:rFonts w:ascii="Times New Roman" w:hAnsi="Times New Roman" w:cs="Times New Roman"/>
          <w:sz w:val="24"/>
          <w:szCs w:val="24"/>
        </w:rPr>
        <w:t>%</w:t>
      </w:r>
      <w:r w:rsidR="00D333A7" w:rsidRPr="00A97E01">
        <w:rPr>
          <w:rFonts w:ascii="Times New Roman" w:hAnsi="Times New Roman" w:cs="Times New Roman"/>
          <w:sz w:val="24"/>
          <w:szCs w:val="24"/>
        </w:rPr>
        <w:t xml:space="preserve"> is recognised as the most important single factor </w:t>
      </w:r>
      <w:r w:rsidR="00474886" w:rsidRPr="00A97E01">
        <w:rPr>
          <w:rFonts w:ascii="Times New Roman" w:hAnsi="Times New Roman" w:cs="Times New Roman"/>
          <w:sz w:val="24"/>
          <w:szCs w:val="24"/>
        </w:rPr>
        <w:t>predictive of survival [14-17</w:t>
      </w:r>
      <w:r w:rsidR="00D333A7" w:rsidRPr="00A97E01">
        <w:rPr>
          <w:rFonts w:ascii="Times New Roman" w:hAnsi="Times New Roman" w:cs="Times New Roman"/>
          <w:sz w:val="24"/>
          <w:szCs w:val="24"/>
        </w:rPr>
        <w:t>]. As such, median FEV</w:t>
      </w:r>
      <w:r w:rsidR="00D333A7" w:rsidRPr="00A97E01">
        <w:rPr>
          <w:rFonts w:ascii="Times New Roman" w:hAnsi="Times New Roman" w:cs="Times New Roman"/>
          <w:sz w:val="24"/>
          <w:szCs w:val="24"/>
          <w:vertAlign w:val="subscript"/>
        </w:rPr>
        <w:t>1</w:t>
      </w:r>
      <w:r w:rsidR="00D333A7" w:rsidRPr="00A97E01">
        <w:rPr>
          <w:rFonts w:ascii="Times New Roman" w:hAnsi="Times New Roman" w:cs="Times New Roman"/>
          <w:sz w:val="24"/>
          <w:szCs w:val="24"/>
        </w:rPr>
        <w:t xml:space="preserve">% for a centre would appear a reasonable comparator. </w:t>
      </w:r>
      <w:r w:rsidR="00C36559" w:rsidRPr="00A97E01">
        <w:rPr>
          <w:rFonts w:ascii="Times New Roman" w:hAnsi="Times New Roman"/>
          <w:sz w:val="24"/>
        </w:rPr>
        <w:t>We based our initial rankings on mean FEV</w:t>
      </w:r>
      <w:r w:rsidR="00C36559" w:rsidRPr="00A97E01">
        <w:rPr>
          <w:rFonts w:ascii="Times New Roman" w:hAnsi="Times New Roman"/>
          <w:sz w:val="24"/>
          <w:vertAlign w:val="subscript"/>
        </w:rPr>
        <w:t>1</w:t>
      </w:r>
      <w:r w:rsidR="00C36559" w:rsidRPr="00A97E01">
        <w:rPr>
          <w:rFonts w:ascii="Times New Roman" w:hAnsi="Times New Roman"/>
          <w:sz w:val="24"/>
        </w:rPr>
        <w:t>% rather than median values to allow us to employ mixed modelling durin</w:t>
      </w:r>
      <w:r w:rsidR="00F6223A" w:rsidRPr="00A97E01">
        <w:rPr>
          <w:rFonts w:ascii="Times New Roman" w:hAnsi="Times New Roman"/>
          <w:sz w:val="24"/>
        </w:rPr>
        <w:t>g the remainder of</w:t>
      </w:r>
      <w:r w:rsidRPr="00A97E01">
        <w:rPr>
          <w:rFonts w:ascii="Times New Roman" w:hAnsi="Times New Roman"/>
          <w:sz w:val="24"/>
        </w:rPr>
        <w:t xml:space="preserve"> our analyses.</w:t>
      </w:r>
    </w:p>
    <w:p w:rsidR="00C36559" w:rsidRPr="00A97E01" w:rsidRDefault="00C36559" w:rsidP="00D333A7">
      <w:pPr>
        <w:spacing w:line="360" w:lineRule="auto"/>
        <w:jc w:val="both"/>
        <w:rPr>
          <w:rFonts w:ascii="Times New Roman" w:hAnsi="Times New Roman"/>
          <w:sz w:val="24"/>
        </w:rPr>
      </w:pPr>
    </w:p>
    <w:p w:rsidR="00D333A7" w:rsidRPr="00A97E01" w:rsidRDefault="00512CCA" w:rsidP="00D333A7">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T</w:t>
      </w:r>
      <w:r w:rsidR="00D333A7" w:rsidRPr="00A97E01">
        <w:rPr>
          <w:rFonts w:ascii="Times New Roman" w:hAnsi="Times New Roman" w:cs="Times New Roman"/>
          <w:sz w:val="24"/>
          <w:szCs w:val="24"/>
        </w:rPr>
        <w:t>here are some difficulties in the use of cross-sectional data to compare adult centres</w:t>
      </w:r>
      <w:r w:rsidR="009B6525" w:rsidRPr="00A97E01">
        <w:rPr>
          <w:rFonts w:ascii="Times New Roman" w:hAnsi="Times New Roman" w:cs="Times New Roman"/>
          <w:sz w:val="24"/>
          <w:szCs w:val="24"/>
        </w:rPr>
        <w:t xml:space="preserve"> [18</w:t>
      </w:r>
      <w:r w:rsidR="00294162" w:rsidRPr="00A97E01">
        <w:rPr>
          <w:rFonts w:ascii="Times New Roman" w:hAnsi="Times New Roman" w:cs="Times New Roman"/>
          <w:sz w:val="24"/>
          <w:szCs w:val="24"/>
        </w:rPr>
        <w:t>]</w:t>
      </w:r>
      <w:r w:rsidR="00D333A7" w:rsidRPr="00A97E01">
        <w:rPr>
          <w:rFonts w:ascii="Times New Roman" w:hAnsi="Times New Roman" w:cs="Times New Roman"/>
          <w:sz w:val="24"/>
          <w:szCs w:val="24"/>
        </w:rPr>
        <w:t>. Firstly, the median FEV</w:t>
      </w:r>
      <w:r w:rsidR="00D333A7" w:rsidRPr="00A97E01">
        <w:rPr>
          <w:rFonts w:ascii="Times New Roman" w:hAnsi="Times New Roman" w:cs="Times New Roman"/>
          <w:sz w:val="24"/>
          <w:szCs w:val="24"/>
          <w:vertAlign w:val="subscript"/>
        </w:rPr>
        <w:t>1</w:t>
      </w:r>
      <w:r w:rsidR="00F6223A" w:rsidRPr="00A97E01">
        <w:rPr>
          <w:rFonts w:ascii="Times New Roman" w:hAnsi="Times New Roman" w:cs="Times New Roman"/>
          <w:sz w:val="24"/>
          <w:szCs w:val="24"/>
        </w:rPr>
        <w:t xml:space="preserve">% of any adult centre will </w:t>
      </w:r>
      <w:r w:rsidR="00D333A7" w:rsidRPr="00A97E01">
        <w:rPr>
          <w:rFonts w:ascii="Times New Roman" w:hAnsi="Times New Roman" w:cs="Times New Roman"/>
          <w:sz w:val="24"/>
          <w:szCs w:val="24"/>
        </w:rPr>
        <w:t>part</w:t>
      </w:r>
      <w:r w:rsidR="00F6223A" w:rsidRPr="00A97E01">
        <w:rPr>
          <w:rFonts w:ascii="Times New Roman" w:hAnsi="Times New Roman" w:cs="Times New Roman"/>
          <w:sz w:val="24"/>
          <w:szCs w:val="24"/>
        </w:rPr>
        <w:t>ly</w:t>
      </w:r>
      <w:r w:rsidR="00D333A7" w:rsidRPr="00A97E01">
        <w:rPr>
          <w:rFonts w:ascii="Times New Roman" w:hAnsi="Times New Roman" w:cs="Times New Roman"/>
          <w:sz w:val="24"/>
          <w:szCs w:val="24"/>
        </w:rPr>
        <w:t xml:space="preserve"> be determined by care provided during paediatrics. Adult centres with a good paediatric unit </w:t>
      </w:r>
      <w:r w:rsidR="00F6223A" w:rsidRPr="00A97E01">
        <w:rPr>
          <w:rFonts w:ascii="Times New Roman" w:hAnsi="Times New Roman" w:cs="Times New Roman"/>
          <w:sz w:val="24"/>
          <w:szCs w:val="24"/>
        </w:rPr>
        <w:t>are</w:t>
      </w:r>
      <w:r w:rsidR="00D333A7" w:rsidRPr="00A97E01">
        <w:rPr>
          <w:rFonts w:ascii="Times New Roman" w:hAnsi="Times New Roman" w:cs="Times New Roman"/>
          <w:sz w:val="24"/>
          <w:szCs w:val="24"/>
        </w:rPr>
        <w:t xml:space="preserve"> advantaged by receiving patients with better than average lung function on transition to adult services. Secondly, lung function does not decline in a linear manner until death. Most patients reach a lower plateau of around 20-30% predicted and remain at this level until they die or receive a lung transplant</w:t>
      </w:r>
      <w:r w:rsidR="009B6525" w:rsidRPr="00A97E01">
        <w:rPr>
          <w:rFonts w:ascii="Times New Roman" w:hAnsi="Times New Roman" w:cs="Times New Roman"/>
          <w:sz w:val="24"/>
          <w:szCs w:val="24"/>
        </w:rPr>
        <w:t xml:space="preserve"> [19</w:t>
      </w:r>
      <w:r w:rsidR="00D333A7" w:rsidRPr="00A97E01">
        <w:rPr>
          <w:rFonts w:ascii="Times New Roman" w:hAnsi="Times New Roman" w:cs="Times New Roman"/>
          <w:sz w:val="24"/>
          <w:szCs w:val="24"/>
        </w:rPr>
        <w:t>]. Centres with better than average care of patients with end stage lung disease would have a lower median FEV</w:t>
      </w:r>
      <w:r w:rsidR="00D333A7" w:rsidRPr="00A97E01">
        <w:rPr>
          <w:rFonts w:ascii="Times New Roman" w:hAnsi="Times New Roman" w:cs="Times New Roman"/>
          <w:sz w:val="24"/>
          <w:szCs w:val="24"/>
          <w:vertAlign w:val="subscript"/>
        </w:rPr>
        <w:t>1</w:t>
      </w:r>
      <w:r w:rsidR="00D333A7" w:rsidRPr="00A97E01">
        <w:rPr>
          <w:rFonts w:ascii="Times New Roman" w:hAnsi="Times New Roman" w:cs="Times New Roman"/>
          <w:sz w:val="24"/>
          <w:szCs w:val="24"/>
        </w:rPr>
        <w:t xml:space="preserve">% due to prolonged survival of patients with low lung function. </w:t>
      </w:r>
      <w:r w:rsidR="00F6223A" w:rsidRPr="00A97E01">
        <w:rPr>
          <w:rFonts w:ascii="Times New Roman" w:hAnsi="Times New Roman" w:cs="Times New Roman"/>
          <w:sz w:val="24"/>
          <w:szCs w:val="24"/>
        </w:rPr>
        <w:t>A recent estimate from a single UK centre quoted a median survival of 5.3 years after reaching an FEV</w:t>
      </w:r>
      <w:r w:rsidR="00F6223A" w:rsidRPr="00A97E01">
        <w:rPr>
          <w:rFonts w:ascii="Times New Roman" w:hAnsi="Times New Roman" w:cs="Times New Roman"/>
          <w:sz w:val="24"/>
          <w:szCs w:val="24"/>
          <w:vertAlign w:val="subscript"/>
        </w:rPr>
        <w:t>1</w:t>
      </w:r>
      <w:r w:rsidR="00F6223A" w:rsidRPr="00A97E01">
        <w:rPr>
          <w:rFonts w:ascii="Times New Roman" w:hAnsi="Times New Roman" w:cs="Times New Roman"/>
          <w:sz w:val="24"/>
          <w:szCs w:val="24"/>
        </w:rPr>
        <w:t xml:space="preserve"> of less than 30% predicted [20]. </w:t>
      </w:r>
      <w:r w:rsidR="00D333A7" w:rsidRPr="00A97E01">
        <w:rPr>
          <w:rFonts w:ascii="Times New Roman" w:hAnsi="Times New Roman" w:cs="Times New Roman"/>
          <w:sz w:val="24"/>
          <w:szCs w:val="24"/>
        </w:rPr>
        <w:t xml:space="preserve">Finally, the characteristics of the centre may be important. Larger adult centres and </w:t>
      </w:r>
      <w:r w:rsidR="00F6223A" w:rsidRPr="00A97E01">
        <w:rPr>
          <w:rFonts w:ascii="Times New Roman" w:hAnsi="Times New Roman" w:cs="Times New Roman"/>
          <w:sz w:val="24"/>
          <w:szCs w:val="24"/>
        </w:rPr>
        <w:t>those</w:t>
      </w:r>
      <w:r w:rsidR="00D333A7" w:rsidRPr="00A97E01">
        <w:rPr>
          <w:rFonts w:ascii="Times New Roman" w:hAnsi="Times New Roman" w:cs="Times New Roman"/>
          <w:sz w:val="24"/>
          <w:szCs w:val="24"/>
        </w:rPr>
        <w:t xml:space="preserve"> co-located with a transplant centre may be more likely to attract patients with severe lung disease. </w:t>
      </w:r>
      <w:r w:rsidR="00D333A7" w:rsidRPr="00A97E01">
        <w:rPr>
          <w:rFonts w:ascii="Times New Roman" w:hAnsi="Times New Roman"/>
          <w:sz w:val="24"/>
        </w:rPr>
        <w:t>In addition, because lung function declines more rapidly in CF than in a healthy population, median FEV</w:t>
      </w:r>
      <w:r w:rsidR="00D333A7" w:rsidRPr="00A97E01">
        <w:rPr>
          <w:rFonts w:ascii="Times New Roman" w:hAnsi="Times New Roman"/>
          <w:sz w:val="24"/>
          <w:vertAlign w:val="subscript"/>
        </w:rPr>
        <w:t>1</w:t>
      </w:r>
      <w:r w:rsidR="00D333A7" w:rsidRPr="00A97E01">
        <w:rPr>
          <w:rFonts w:ascii="Times New Roman" w:hAnsi="Times New Roman"/>
          <w:sz w:val="24"/>
        </w:rPr>
        <w:t xml:space="preserve">% will be influenced by the age profile of patients within a centre. </w:t>
      </w:r>
      <w:r w:rsidR="00D333A7" w:rsidRPr="00A97E01">
        <w:rPr>
          <w:rFonts w:ascii="Times New Roman" w:hAnsi="Times New Roman" w:cs="Times New Roman"/>
          <w:sz w:val="24"/>
          <w:szCs w:val="24"/>
        </w:rPr>
        <w:t xml:space="preserve">A newer centre may have a greater proportion of younger patients, </w:t>
      </w:r>
      <w:r w:rsidR="00C36559" w:rsidRPr="00A97E01">
        <w:rPr>
          <w:rFonts w:ascii="Times New Roman" w:hAnsi="Times New Roman" w:cs="Times New Roman"/>
          <w:sz w:val="24"/>
          <w:szCs w:val="24"/>
        </w:rPr>
        <w:t xml:space="preserve">who would be expected to have </w:t>
      </w:r>
      <w:r w:rsidR="00D333A7" w:rsidRPr="00A97E01">
        <w:rPr>
          <w:rFonts w:ascii="Times New Roman" w:hAnsi="Times New Roman" w:cs="Times New Roman"/>
          <w:sz w:val="24"/>
          <w:szCs w:val="24"/>
        </w:rPr>
        <w:t>higher FEV</w:t>
      </w:r>
      <w:r w:rsidR="00D333A7" w:rsidRPr="00A97E01">
        <w:rPr>
          <w:rFonts w:ascii="Times New Roman" w:hAnsi="Times New Roman" w:cs="Times New Roman"/>
          <w:sz w:val="24"/>
          <w:szCs w:val="24"/>
          <w:vertAlign w:val="subscript"/>
        </w:rPr>
        <w:t>1</w:t>
      </w:r>
      <w:r w:rsidR="00D333A7" w:rsidRPr="00A97E01">
        <w:rPr>
          <w:rFonts w:ascii="Times New Roman" w:hAnsi="Times New Roman" w:cs="Times New Roman"/>
          <w:sz w:val="24"/>
          <w:szCs w:val="24"/>
        </w:rPr>
        <w:t xml:space="preserve">% </w:t>
      </w:r>
      <w:r w:rsidR="00C36559" w:rsidRPr="00A97E01">
        <w:rPr>
          <w:rFonts w:ascii="Times New Roman" w:hAnsi="Times New Roman" w:cs="Times New Roman"/>
          <w:sz w:val="24"/>
          <w:szCs w:val="24"/>
        </w:rPr>
        <w:t>values</w:t>
      </w:r>
      <w:r w:rsidR="00D333A7" w:rsidRPr="00A97E01">
        <w:rPr>
          <w:rFonts w:ascii="Times New Roman" w:hAnsi="Times New Roman" w:cs="Times New Roman"/>
          <w:sz w:val="24"/>
          <w:szCs w:val="24"/>
        </w:rPr>
        <w:t xml:space="preserve">, increasing the centre average. </w:t>
      </w:r>
    </w:p>
    <w:p w:rsidR="00D333A7" w:rsidRPr="00A97E01" w:rsidRDefault="00D333A7" w:rsidP="00D333A7">
      <w:pPr>
        <w:spacing w:line="360" w:lineRule="auto"/>
        <w:jc w:val="both"/>
        <w:rPr>
          <w:rFonts w:ascii="Times New Roman" w:hAnsi="Times New Roman" w:cs="Times New Roman"/>
          <w:sz w:val="24"/>
          <w:szCs w:val="24"/>
        </w:rPr>
      </w:pPr>
    </w:p>
    <w:p w:rsidR="00D333A7" w:rsidRPr="00A97E01" w:rsidRDefault="00D333A7" w:rsidP="00D333A7">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An alternative strategy is to assess rate of decline in lung function for individual patients within a centre. Increased rate of decline in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xml:space="preserve"> is associated </w:t>
      </w:r>
      <w:r w:rsidR="004D49BC" w:rsidRPr="00A97E01">
        <w:rPr>
          <w:rFonts w:ascii="Times New Roman" w:hAnsi="Times New Roman" w:cs="Times New Roman"/>
          <w:sz w:val="24"/>
          <w:szCs w:val="24"/>
        </w:rPr>
        <w:t xml:space="preserve">with increased </w:t>
      </w:r>
      <w:r w:rsidR="004D49BC" w:rsidRPr="00A97E01">
        <w:rPr>
          <w:rFonts w:ascii="Times New Roman" w:hAnsi="Times New Roman" w:cs="Times New Roman"/>
          <w:sz w:val="24"/>
          <w:szCs w:val="24"/>
        </w:rPr>
        <w:lastRenderedPageBreak/>
        <w:t>mortality [21, 22</w:t>
      </w:r>
      <w:r w:rsidRPr="00A97E01">
        <w:rPr>
          <w:rFonts w:ascii="Times New Roman" w:hAnsi="Times New Roman" w:cs="Times New Roman"/>
          <w:sz w:val="24"/>
          <w:szCs w:val="24"/>
        </w:rPr>
        <w:t>] and rate of decline of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xml:space="preserve"> has been shown to be a better predictor of death than a single value of FEV</w:t>
      </w:r>
      <w:r w:rsidRPr="00A97E01">
        <w:rPr>
          <w:rFonts w:ascii="Times New Roman" w:hAnsi="Times New Roman" w:cs="Times New Roman"/>
          <w:sz w:val="24"/>
          <w:szCs w:val="24"/>
          <w:vertAlign w:val="subscript"/>
        </w:rPr>
        <w:t>1</w:t>
      </w:r>
      <w:r w:rsidR="00002978" w:rsidRPr="00A97E01">
        <w:rPr>
          <w:rFonts w:ascii="Times New Roman" w:hAnsi="Times New Roman" w:cs="Times New Roman"/>
          <w:sz w:val="24"/>
          <w:szCs w:val="24"/>
        </w:rPr>
        <w:t xml:space="preserve"> [23</w:t>
      </w:r>
      <w:r w:rsidRPr="00A97E01">
        <w:rPr>
          <w:rFonts w:ascii="Times New Roman" w:hAnsi="Times New Roman" w:cs="Times New Roman"/>
          <w:sz w:val="24"/>
          <w:szCs w:val="24"/>
        </w:rPr>
        <w:t>]. Hence we chose the longitudinal measure of rate of decline of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xml:space="preserve">% over the course of the study as our alternative outcome measure. </w:t>
      </w:r>
    </w:p>
    <w:p w:rsidR="00445866" w:rsidRPr="00A97E01" w:rsidRDefault="00445866" w:rsidP="00D333A7">
      <w:pPr>
        <w:spacing w:line="360" w:lineRule="auto"/>
        <w:jc w:val="both"/>
        <w:rPr>
          <w:rFonts w:ascii="Times New Roman" w:hAnsi="Times New Roman" w:cs="Times New Roman"/>
          <w:sz w:val="24"/>
          <w:szCs w:val="24"/>
        </w:rPr>
      </w:pPr>
    </w:p>
    <w:p w:rsidR="004123D3" w:rsidRPr="00A97E01" w:rsidRDefault="00D333A7" w:rsidP="004123D3">
      <w:pPr>
        <w:spacing w:line="360" w:lineRule="auto"/>
        <w:jc w:val="both"/>
        <w:rPr>
          <w:rFonts w:ascii="Times New Roman" w:hAnsi="Times New Roman"/>
          <w:sz w:val="24"/>
        </w:rPr>
      </w:pPr>
      <w:r w:rsidRPr="00A97E01">
        <w:rPr>
          <w:rFonts w:ascii="Times New Roman" w:hAnsi="Times New Roman" w:cs="Times New Roman"/>
          <w:sz w:val="24"/>
          <w:szCs w:val="24"/>
        </w:rPr>
        <w:t xml:space="preserve">We have shown that the ranking of centres is critically dependent on the outcome measure chosen. Even the minor change of expressing rankings as means rather than medians leads to some re-ranking of centres. </w:t>
      </w:r>
      <w:r w:rsidR="00445866" w:rsidRPr="00A97E01">
        <w:rPr>
          <w:rFonts w:ascii="Times New Roman" w:hAnsi="Times New Roman" w:cs="Times New Roman"/>
          <w:sz w:val="24"/>
          <w:szCs w:val="24"/>
        </w:rPr>
        <w:t xml:space="preserve">Use of </w:t>
      </w:r>
      <w:r w:rsidRPr="00A97E01">
        <w:rPr>
          <w:rFonts w:ascii="Times New Roman" w:hAnsi="Times New Roman" w:cs="Times New Roman"/>
          <w:sz w:val="24"/>
          <w:szCs w:val="24"/>
        </w:rPr>
        <w:t xml:space="preserve">a longitudinal outcome measure </w:t>
      </w:r>
      <w:r w:rsidR="00445866" w:rsidRPr="00A97E01">
        <w:rPr>
          <w:rFonts w:ascii="Times New Roman" w:hAnsi="Times New Roman" w:cs="Times New Roman"/>
          <w:sz w:val="24"/>
          <w:szCs w:val="24"/>
        </w:rPr>
        <w:t>leads to</w:t>
      </w:r>
      <w:r w:rsidRPr="00A97E01">
        <w:rPr>
          <w:rFonts w:ascii="Times New Roman" w:hAnsi="Times New Roman" w:cs="Times New Roman"/>
          <w:sz w:val="24"/>
          <w:szCs w:val="24"/>
        </w:rPr>
        <w:t xml:space="preserve"> marked re-ranking of centres. </w:t>
      </w:r>
      <w:r w:rsidR="00361C27" w:rsidRPr="00A97E01">
        <w:rPr>
          <w:rFonts w:ascii="Times New Roman" w:hAnsi="Times New Roman" w:cs="Times New Roman"/>
          <w:sz w:val="24"/>
          <w:szCs w:val="24"/>
        </w:rPr>
        <w:t xml:space="preserve">The most striking example </w:t>
      </w:r>
      <w:r w:rsidR="008C51B8" w:rsidRPr="00A97E01">
        <w:rPr>
          <w:rFonts w:ascii="Times New Roman" w:hAnsi="Times New Roman" w:cs="Times New Roman"/>
          <w:sz w:val="24"/>
          <w:szCs w:val="24"/>
        </w:rPr>
        <w:t>being that the centre ranked 29</w:t>
      </w:r>
      <w:r w:rsidR="008C51B8" w:rsidRPr="00A97E01">
        <w:rPr>
          <w:rFonts w:ascii="Times New Roman" w:hAnsi="Times New Roman" w:cs="Times New Roman"/>
          <w:sz w:val="24"/>
          <w:szCs w:val="24"/>
          <w:vertAlign w:val="superscript"/>
        </w:rPr>
        <w:t>th</w:t>
      </w:r>
      <w:r w:rsidR="008C51B8" w:rsidRPr="00A97E01">
        <w:rPr>
          <w:rFonts w:ascii="Times New Roman" w:hAnsi="Times New Roman" w:cs="Times New Roman"/>
          <w:sz w:val="24"/>
          <w:szCs w:val="24"/>
        </w:rPr>
        <w:t xml:space="preserve"> for mean FEV</w:t>
      </w:r>
      <w:r w:rsidR="008C51B8" w:rsidRPr="00A97E01">
        <w:rPr>
          <w:rFonts w:ascii="Times New Roman" w:hAnsi="Times New Roman" w:cs="Times New Roman"/>
          <w:sz w:val="24"/>
          <w:szCs w:val="24"/>
          <w:vertAlign w:val="subscript"/>
        </w:rPr>
        <w:t>1</w:t>
      </w:r>
      <w:r w:rsidR="008C51B8" w:rsidRPr="00A97E01">
        <w:rPr>
          <w:rFonts w:ascii="Times New Roman" w:hAnsi="Times New Roman" w:cs="Times New Roman"/>
          <w:sz w:val="24"/>
          <w:szCs w:val="24"/>
        </w:rPr>
        <w:t>% is ranked third for z-slope score.</w:t>
      </w:r>
      <w:r w:rsidR="00F6223A" w:rsidRPr="00A97E01">
        <w:rPr>
          <w:rFonts w:ascii="Times New Roman" w:hAnsi="Times New Roman" w:cs="Times New Roman"/>
          <w:sz w:val="24"/>
          <w:szCs w:val="24"/>
        </w:rPr>
        <w:t xml:space="preserve"> </w:t>
      </w:r>
      <w:r w:rsidR="004123D3" w:rsidRPr="00A97E01">
        <w:rPr>
          <w:rFonts w:ascii="Times New Roman" w:hAnsi="Times New Roman"/>
          <w:sz w:val="24"/>
        </w:rPr>
        <w:t>Since the 2013 data is used to calculate both cross-sectional and longitudinal rankings we would expect there to be some positive correlation between rankings for mean FEV</w:t>
      </w:r>
      <w:r w:rsidR="004123D3" w:rsidRPr="00A97E01">
        <w:rPr>
          <w:rFonts w:ascii="Times New Roman" w:hAnsi="Times New Roman"/>
          <w:sz w:val="24"/>
          <w:vertAlign w:val="subscript"/>
        </w:rPr>
        <w:t>1</w:t>
      </w:r>
      <w:r w:rsidR="004123D3" w:rsidRPr="00A97E01">
        <w:rPr>
          <w:rFonts w:ascii="Times New Roman" w:hAnsi="Times New Roman"/>
          <w:sz w:val="24"/>
        </w:rPr>
        <w:t>% in 2013 and a centre’s mean slope over the study period. Despite this, the rankings are substantially altered in many cases suggesting rankings are more influenced by chance than any significant clinical differences between centres.</w:t>
      </w:r>
    </w:p>
    <w:p w:rsidR="00D333A7" w:rsidRPr="00A97E01" w:rsidRDefault="00D333A7" w:rsidP="00D333A7">
      <w:pPr>
        <w:spacing w:line="360" w:lineRule="auto"/>
        <w:jc w:val="both"/>
        <w:rPr>
          <w:rFonts w:ascii="Times New Roman" w:hAnsi="Times New Roman" w:cs="Times New Roman"/>
          <w:sz w:val="24"/>
          <w:szCs w:val="24"/>
        </w:rPr>
      </w:pPr>
    </w:p>
    <w:p w:rsidR="00D333A7" w:rsidRPr="00A97E01" w:rsidRDefault="00445866" w:rsidP="00D333A7">
      <w:pPr>
        <w:spacing w:line="360" w:lineRule="auto"/>
        <w:jc w:val="both"/>
        <w:rPr>
          <w:rFonts w:ascii="Times New Roman" w:hAnsi="Times New Roman"/>
          <w:sz w:val="24"/>
        </w:rPr>
      </w:pPr>
      <w:r w:rsidRPr="00A97E01">
        <w:rPr>
          <w:rFonts w:ascii="Times New Roman" w:hAnsi="Times New Roman" w:cs="Times New Roman"/>
          <w:sz w:val="24"/>
          <w:szCs w:val="24"/>
        </w:rPr>
        <w:t xml:space="preserve">Although we were able to demonstrate </w:t>
      </w:r>
      <w:r w:rsidR="00D333A7" w:rsidRPr="00A97E01">
        <w:rPr>
          <w:rFonts w:ascii="Times New Roman" w:hAnsi="Times New Roman" w:cs="Times New Roman"/>
          <w:sz w:val="24"/>
          <w:szCs w:val="24"/>
        </w:rPr>
        <w:t>difference</w:t>
      </w:r>
      <w:r w:rsidRPr="00A97E01">
        <w:rPr>
          <w:rFonts w:ascii="Times New Roman" w:hAnsi="Times New Roman" w:cs="Times New Roman"/>
          <w:sz w:val="24"/>
          <w:szCs w:val="24"/>
        </w:rPr>
        <w:t>s</w:t>
      </w:r>
      <w:r w:rsidR="00D333A7" w:rsidRPr="00A97E01">
        <w:rPr>
          <w:rFonts w:ascii="Times New Roman" w:hAnsi="Times New Roman" w:cs="Times New Roman"/>
          <w:sz w:val="24"/>
          <w:szCs w:val="24"/>
        </w:rPr>
        <w:t xml:space="preserve"> in </w:t>
      </w:r>
      <w:r w:rsidR="00512CCA" w:rsidRPr="00A97E01">
        <w:rPr>
          <w:rFonts w:ascii="Times New Roman" w:hAnsi="Times New Roman" w:cs="Times New Roman"/>
          <w:sz w:val="24"/>
          <w:szCs w:val="24"/>
        </w:rPr>
        <w:t>FEV</w:t>
      </w:r>
      <w:r w:rsidR="00512CCA" w:rsidRPr="00A97E01">
        <w:rPr>
          <w:rFonts w:ascii="Times New Roman" w:hAnsi="Times New Roman" w:cs="Times New Roman"/>
          <w:sz w:val="24"/>
          <w:szCs w:val="24"/>
          <w:vertAlign w:val="subscript"/>
        </w:rPr>
        <w:t>1</w:t>
      </w:r>
      <w:r w:rsidR="00512CCA" w:rsidRPr="00A97E01">
        <w:rPr>
          <w:rFonts w:ascii="Times New Roman" w:hAnsi="Times New Roman" w:cs="Times New Roman"/>
          <w:sz w:val="24"/>
          <w:szCs w:val="24"/>
        </w:rPr>
        <w:t>%</w:t>
      </w:r>
      <w:r w:rsidR="00D333A7" w:rsidRPr="00A97E01">
        <w:rPr>
          <w:rFonts w:ascii="Times New Roman" w:hAnsi="Times New Roman" w:cs="Times New Roman"/>
          <w:sz w:val="24"/>
          <w:szCs w:val="24"/>
        </w:rPr>
        <w:t xml:space="preserve"> between centres for </w:t>
      </w:r>
      <w:r w:rsidR="00F233DD" w:rsidRPr="00A97E01">
        <w:rPr>
          <w:rFonts w:ascii="Times New Roman" w:hAnsi="Times New Roman" w:cs="Times New Roman"/>
          <w:sz w:val="24"/>
          <w:szCs w:val="24"/>
        </w:rPr>
        <w:t xml:space="preserve">some </w:t>
      </w:r>
      <w:r w:rsidR="00487FD4" w:rsidRPr="00A97E01">
        <w:rPr>
          <w:rFonts w:ascii="Times New Roman" w:hAnsi="Times New Roman" w:cs="Times New Roman"/>
          <w:sz w:val="24"/>
          <w:szCs w:val="24"/>
        </w:rPr>
        <w:t>years of the study</w:t>
      </w:r>
      <w:r w:rsidRPr="00A97E01">
        <w:rPr>
          <w:rFonts w:ascii="Times New Roman" w:hAnsi="Times New Roman" w:cs="Times New Roman"/>
          <w:sz w:val="24"/>
          <w:szCs w:val="24"/>
        </w:rPr>
        <w:t xml:space="preserve">, we also found marked </w:t>
      </w:r>
      <w:r w:rsidR="00F233DD" w:rsidRPr="00A97E01">
        <w:rPr>
          <w:rFonts w:ascii="Times New Roman" w:hAnsi="Times New Roman" w:cs="Times New Roman"/>
          <w:sz w:val="24"/>
          <w:szCs w:val="24"/>
        </w:rPr>
        <w:t xml:space="preserve">centre </w:t>
      </w:r>
      <w:r w:rsidRPr="00A97E01">
        <w:rPr>
          <w:rFonts w:ascii="Times New Roman" w:hAnsi="Times New Roman" w:cs="Times New Roman"/>
          <w:sz w:val="24"/>
          <w:szCs w:val="24"/>
        </w:rPr>
        <w:t xml:space="preserve">differences </w:t>
      </w:r>
      <w:r w:rsidR="00512CCA" w:rsidRPr="00A97E01">
        <w:rPr>
          <w:rFonts w:ascii="Times New Roman" w:hAnsi="Times New Roman" w:cs="Times New Roman"/>
          <w:sz w:val="24"/>
          <w:szCs w:val="24"/>
        </w:rPr>
        <w:t>in terms of patient</w:t>
      </w:r>
      <w:r w:rsidRPr="00A97E01">
        <w:rPr>
          <w:rFonts w:ascii="Times New Roman" w:hAnsi="Times New Roman" w:cs="Times New Roman"/>
          <w:sz w:val="24"/>
          <w:szCs w:val="24"/>
        </w:rPr>
        <w:t xml:space="preserve"> characteristics</w:t>
      </w:r>
      <w:r w:rsidR="00D333A7" w:rsidRPr="00A97E01">
        <w:rPr>
          <w:rFonts w:ascii="Times New Roman" w:hAnsi="Times New Roman" w:cs="Times New Roman"/>
          <w:sz w:val="24"/>
          <w:szCs w:val="24"/>
        </w:rPr>
        <w:t xml:space="preserve">. </w:t>
      </w:r>
      <w:r w:rsidR="004123D3" w:rsidRPr="00A97E01">
        <w:rPr>
          <w:rFonts w:ascii="Times New Roman" w:hAnsi="Times New Roman" w:cs="Times New Roman"/>
          <w:sz w:val="24"/>
          <w:szCs w:val="24"/>
        </w:rPr>
        <w:t xml:space="preserve">There were highly significant differences between centres in terms of genotype and use of pancreatic enzymes and some differences in age. </w:t>
      </w:r>
      <w:r w:rsidR="00512CCA" w:rsidRPr="00A97E01">
        <w:rPr>
          <w:rFonts w:ascii="Times New Roman" w:hAnsi="Times New Roman" w:cs="Times New Roman"/>
          <w:sz w:val="24"/>
          <w:szCs w:val="24"/>
        </w:rPr>
        <w:t xml:space="preserve">Since all these factors are known to influence disease progression the centre differences will render any direct centre comparison invalid. We found that lung function decline is highly influenced by use of pancreatic enzymes and to a lesser extent by age, sex and genotype. </w:t>
      </w:r>
      <w:r w:rsidR="004123D3" w:rsidRPr="00A97E01">
        <w:rPr>
          <w:rFonts w:ascii="Times New Roman" w:hAnsi="Times New Roman" w:cs="Times New Roman"/>
          <w:sz w:val="24"/>
          <w:szCs w:val="24"/>
        </w:rPr>
        <w:t>O</w:t>
      </w:r>
      <w:r w:rsidR="00487FD4" w:rsidRPr="00A97E01">
        <w:rPr>
          <w:rFonts w:ascii="Times New Roman" w:hAnsi="Times New Roman" w:cs="Times New Roman"/>
          <w:sz w:val="24"/>
          <w:szCs w:val="24"/>
        </w:rPr>
        <w:t>nce data is corrected tak</w:t>
      </w:r>
      <w:r w:rsidR="002A5C44" w:rsidRPr="00A97E01">
        <w:rPr>
          <w:rFonts w:ascii="Times New Roman" w:hAnsi="Times New Roman" w:cs="Times New Roman"/>
          <w:sz w:val="24"/>
          <w:szCs w:val="24"/>
        </w:rPr>
        <w:t>ing</w:t>
      </w:r>
      <w:r w:rsidR="00487FD4" w:rsidRPr="00A97E01">
        <w:rPr>
          <w:rFonts w:ascii="Times New Roman" w:hAnsi="Times New Roman" w:cs="Times New Roman"/>
          <w:sz w:val="24"/>
          <w:szCs w:val="24"/>
        </w:rPr>
        <w:t xml:space="preserve"> into account the</w:t>
      </w:r>
      <w:r w:rsidR="004123D3" w:rsidRPr="00A97E01">
        <w:rPr>
          <w:rFonts w:ascii="Times New Roman" w:hAnsi="Times New Roman" w:cs="Times New Roman"/>
          <w:sz w:val="24"/>
          <w:szCs w:val="24"/>
        </w:rPr>
        <w:t>se</w:t>
      </w:r>
      <w:r w:rsidR="00487FD4" w:rsidRPr="00A97E01">
        <w:rPr>
          <w:rFonts w:ascii="Times New Roman" w:hAnsi="Times New Roman" w:cs="Times New Roman"/>
          <w:sz w:val="24"/>
          <w:szCs w:val="24"/>
        </w:rPr>
        <w:t xml:space="preserve"> characteristics </w:t>
      </w:r>
      <w:r w:rsidR="002A5C44" w:rsidRPr="00A97E01">
        <w:rPr>
          <w:rFonts w:ascii="Times New Roman" w:hAnsi="Times New Roman" w:cs="Times New Roman"/>
          <w:sz w:val="24"/>
          <w:szCs w:val="24"/>
        </w:rPr>
        <w:t>th</w:t>
      </w:r>
      <w:r w:rsidR="004123D3" w:rsidRPr="00A97E01">
        <w:rPr>
          <w:rFonts w:ascii="Times New Roman" w:hAnsi="Times New Roman" w:cs="Times New Roman"/>
          <w:sz w:val="24"/>
          <w:szCs w:val="24"/>
        </w:rPr>
        <w:t xml:space="preserve">e difference </w:t>
      </w:r>
      <w:r w:rsidR="00512CCA" w:rsidRPr="00A97E01">
        <w:rPr>
          <w:rFonts w:ascii="Times New Roman" w:hAnsi="Times New Roman" w:cs="Times New Roman"/>
          <w:sz w:val="24"/>
          <w:szCs w:val="24"/>
        </w:rPr>
        <w:t xml:space="preserve">between centres </w:t>
      </w:r>
      <w:r w:rsidR="004123D3" w:rsidRPr="00A97E01">
        <w:rPr>
          <w:rFonts w:ascii="Times New Roman" w:hAnsi="Times New Roman" w:cs="Times New Roman"/>
          <w:sz w:val="24"/>
          <w:szCs w:val="24"/>
        </w:rPr>
        <w:t>for pulmonary outcomes i</w:t>
      </w:r>
      <w:r w:rsidR="002A5C44" w:rsidRPr="00A97E01">
        <w:rPr>
          <w:rFonts w:ascii="Times New Roman" w:hAnsi="Times New Roman" w:cs="Times New Roman"/>
          <w:sz w:val="24"/>
          <w:szCs w:val="24"/>
        </w:rPr>
        <w:t xml:space="preserve">s no longer apparent for </w:t>
      </w:r>
      <w:r w:rsidR="004123D3" w:rsidRPr="00A97E01">
        <w:rPr>
          <w:rFonts w:ascii="Times New Roman" w:hAnsi="Times New Roman" w:cs="Times New Roman"/>
          <w:sz w:val="24"/>
          <w:szCs w:val="24"/>
        </w:rPr>
        <w:t xml:space="preserve">the 2013 </w:t>
      </w:r>
      <w:r w:rsidR="002A5C44" w:rsidRPr="00A97E01">
        <w:rPr>
          <w:rFonts w:ascii="Times New Roman" w:hAnsi="Times New Roman" w:cs="Times New Roman"/>
          <w:sz w:val="24"/>
          <w:szCs w:val="24"/>
        </w:rPr>
        <w:t>cross-sec</w:t>
      </w:r>
      <w:r w:rsidR="00D333A7" w:rsidRPr="00A97E01">
        <w:rPr>
          <w:rFonts w:ascii="Times New Roman" w:hAnsi="Times New Roman" w:cs="Times New Roman"/>
          <w:sz w:val="24"/>
          <w:szCs w:val="24"/>
        </w:rPr>
        <w:t xml:space="preserve">tional </w:t>
      </w:r>
      <w:r w:rsidR="004123D3" w:rsidRPr="00A97E01">
        <w:rPr>
          <w:rFonts w:ascii="Times New Roman" w:hAnsi="Times New Roman" w:cs="Times New Roman"/>
          <w:sz w:val="24"/>
          <w:szCs w:val="24"/>
        </w:rPr>
        <w:t xml:space="preserve">data and barely significant </w:t>
      </w:r>
      <w:r w:rsidR="00487FD4" w:rsidRPr="00A97E01">
        <w:rPr>
          <w:rFonts w:ascii="Times New Roman" w:hAnsi="Times New Roman" w:cs="Times New Roman"/>
          <w:sz w:val="24"/>
          <w:szCs w:val="24"/>
        </w:rPr>
        <w:t xml:space="preserve">for the longitudinal data. </w:t>
      </w:r>
      <w:r w:rsidR="004123D3" w:rsidRPr="00A97E01">
        <w:rPr>
          <w:rFonts w:ascii="Times New Roman" w:hAnsi="Times New Roman" w:cs="Times New Roman"/>
          <w:sz w:val="24"/>
          <w:szCs w:val="24"/>
        </w:rPr>
        <w:t>F</w:t>
      </w:r>
      <w:r w:rsidR="00487FD4" w:rsidRPr="00A97E01">
        <w:rPr>
          <w:rFonts w:ascii="Times New Roman" w:hAnsi="Times New Roman" w:cs="Times New Roman"/>
          <w:sz w:val="24"/>
          <w:szCs w:val="24"/>
        </w:rPr>
        <w:t>or both outcomes</w:t>
      </w:r>
      <w:r w:rsidR="00D333A7" w:rsidRPr="00A97E01">
        <w:rPr>
          <w:rFonts w:ascii="Times New Roman" w:hAnsi="Times New Roman" w:cs="Times New Roman"/>
          <w:sz w:val="24"/>
          <w:szCs w:val="24"/>
        </w:rPr>
        <w:t xml:space="preserve"> the degree of variation in values derives much more from differing populations within a clinic than from variation between clinics</w:t>
      </w:r>
      <w:r w:rsidR="00D333A7" w:rsidRPr="00A97E01">
        <w:rPr>
          <w:rFonts w:ascii="Times New Roman" w:hAnsi="Times New Roman"/>
          <w:sz w:val="24"/>
        </w:rPr>
        <w:t>. That is</w:t>
      </w:r>
      <w:r w:rsidR="00D333A7" w:rsidRPr="00A97E01">
        <w:rPr>
          <w:rFonts w:ascii="Times New Roman" w:hAnsi="Times New Roman" w:cs="Times New Roman"/>
          <w:sz w:val="24"/>
          <w:szCs w:val="24"/>
        </w:rPr>
        <w:t>,</w:t>
      </w:r>
      <w:r w:rsidR="00D333A7" w:rsidRPr="00A97E01">
        <w:rPr>
          <w:rFonts w:ascii="Times New Roman" w:hAnsi="Times New Roman"/>
          <w:sz w:val="24"/>
        </w:rPr>
        <w:t xml:space="preserve"> an individual patient’s </w:t>
      </w:r>
      <w:r w:rsidR="002A5C44" w:rsidRPr="00A97E01">
        <w:rPr>
          <w:rFonts w:ascii="Times New Roman" w:hAnsi="Times New Roman"/>
          <w:sz w:val="24"/>
        </w:rPr>
        <w:t>lung function</w:t>
      </w:r>
      <w:r w:rsidR="00D333A7" w:rsidRPr="00A97E01">
        <w:rPr>
          <w:rFonts w:ascii="Times New Roman" w:hAnsi="Times New Roman"/>
          <w:sz w:val="24"/>
        </w:rPr>
        <w:t xml:space="preserve"> is only mildly influenced by the centre they attend. </w:t>
      </w:r>
      <w:r w:rsidR="002A5C44" w:rsidRPr="00A97E01">
        <w:rPr>
          <w:rFonts w:ascii="Times New Roman" w:hAnsi="Times New Roman"/>
          <w:sz w:val="24"/>
        </w:rPr>
        <w:t xml:space="preserve">This implies that there is unlikely to be significant differences in the standard of care received by patients at different UK centres. </w:t>
      </w:r>
    </w:p>
    <w:p w:rsidR="002A5C44" w:rsidRPr="00A97E01" w:rsidRDefault="002A5C44" w:rsidP="00D333A7">
      <w:pPr>
        <w:spacing w:line="360" w:lineRule="auto"/>
        <w:jc w:val="both"/>
        <w:rPr>
          <w:rFonts w:ascii="Times New Roman" w:hAnsi="Times New Roman" w:cs="Times New Roman"/>
          <w:sz w:val="24"/>
          <w:szCs w:val="24"/>
        </w:rPr>
      </w:pPr>
    </w:p>
    <w:p w:rsidR="004123D3" w:rsidRPr="00A97E01" w:rsidRDefault="00D333A7" w:rsidP="00D333A7">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lastRenderedPageBreak/>
        <w:t>Our study has the advantage of including a large number of patients with over 4000 CF patients’ data included. This is thought to represent the vast majority of CF patients living in the UK.</w:t>
      </w:r>
      <w:r w:rsidR="002A5C44" w:rsidRPr="00A97E01">
        <w:rPr>
          <w:rFonts w:ascii="Times New Roman" w:hAnsi="Times New Roman" w:cs="Times New Roman"/>
          <w:sz w:val="24"/>
          <w:szCs w:val="24"/>
        </w:rPr>
        <w:t xml:space="preserve"> </w:t>
      </w:r>
    </w:p>
    <w:p w:rsidR="004123D3" w:rsidRPr="00A97E01" w:rsidRDefault="004123D3" w:rsidP="00D333A7">
      <w:pPr>
        <w:spacing w:line="360" w:lineRule="auto"/>
        <w:jc w:val="both"/>
        <w:rPr>
          <w:rFonts w:ascii="Times New Roman" w:hAnsi="Times New Roman" w:cs="Times New Roman"/>
          <w:sz w:val="24"/>
          <w:szCs w:val="24"/>
        </w:rPr>
      </w:pPr>
    </w:p>
    <w:p w:rsidR="00086E2D" w:rsidRPr="00A97E01" w:rsidRDefault="00D333A7" w:rsidP="00086E2D">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 xml:space="preserve">Our analyses have a number of limitations. Comparisons between centres include no information about mortality and outcomes could be influenced by sicker subjects dying and leaving a healthier population. </w:t>
      </w:r>
      <w:r w:rsidR="00086E2D" w:rsidRPr="00A97E01">
        <w:rPr>
          <w:rFonts w:ascii="Times New Roman" w:hAnsi="Times New Roman" w:cs="Times New Roman"/>
          <w:sz w:val="24"/>
          <w:szCs w:val="24"/>
        </w:rPr>
        <w:t>An alternative strategy to compare outcomes between centres would be to only include patients within certain age ranges (for example, 20-24 year olds). Previ</w:t>
      </w:r>
      <w:r w:rsidR="00963AC0" w:rsidRPr="00A97E01">
        <w:rPr>
          <w:rFonts w:ascii="Times New Roman" w:hAnsi="Times New Roman" w:cs="Times New Roman"/>
          <w:sz w:val="24"/>
          <w:szCs w:val="24"/>
        </w:rPr>
        <w:t>ous work by Schluchter et al [24</w:t>
      </w:r>
      <w:r w:rsidR="00086E2D" w:rsidRPr="00A97E01">
        <w:rPr>
          <w:rFonts w:ascii="Times New Roman" w:hAnsi="Times New Roman" w:cs="Times New Roman"/>
          <w:sz w:val="24"/>
          <w:szCs w:val="24"/>
        </w:rPr>
        <w:t>] attempting to phenotype patients according to disease severity has shown that estimated FEV</w:t>
      </w:r>
      <w:r w:rsidR="00086E2D" w:rsidRPr="00A97E01">
        <w:rPr>
          <w:rFonts w:ascii="Times New Roman" w:hAnsi="Times New Roman" w:cs="Times New Roman"/>
          <w:sz w:val="24"/>
          <w:szCs w:val="24"/>
          <w:vertAlign w:val="subscript"/>
        </w:rPr>
        <w:t>1</w:t>
      </w:r>
      <w:r w:rsidR="00086E2D" w:rsidRPr="00A97E01">
        <w:rPr>
          <w:rFonts w:ascii="Times New Roman" w:hAnsi="Times New Roman" w:cs="Times New Roman"/>
          <w:sz w:val="24"/>
          <w:szCs w:val="24"/>
        </w:rPr>
        <w:t xml:space="preserve"> at the age of twenty is a good discriminator between patients with mild and severe disease. </w:t>
      </w:r>
      <w:r w:rsidR="00D11CCF" w:rsidRPr="00A97E01">
        <w:rPr>
          <w:rFonts w:ascii="Times New Roman" w:hAnsi="Times New Roman" w:cs="Times New Roman"/>
          <w:sz w:val="24"/>
          <w:szCs w:val="24"/>
        </w:rPr>
        <w:t xml:space="preserve">We </w:t>
      </w:r>
      <w:r w:rsidR="00F44DE3" w:rsidRPr="00A97E01">
        <w:rPr>
          <w:rFonts w:ascii="Times New Roman" w:hAnsi="Times New Roman" w:cs="Times New Roman"/>
          <w:sz w:val="24"/>
          <w:szCs w:val="24"/>
        </w:rPr>
        <w:t>found no</w:t>
      </w:r>
      <w:r w:rsidR="00D11CCF" w:rsidRPr="00A97E01">
        <w:rPr>
          <w:rFonts w:ascii="Times New Roman" w:hAnsi="Times New Roman" w:cs="Times New Roman"/>
          <w:sz w:val="24"/>
          <w:szCs w:val="24"/>
        </w:rPr>
        <w:t xml:space="preserve"> difference between centres for mean FEV</w:t>
      </w:r>
      <w:r w:rsidR="00D11CCF" w:rsidRPr="00A97E01">
        <w:rPr>
          <w:rFonts w:ascii="Times New Roman" w:hAnsi="Times New Roman" w:cs="Times New Roman"/>
          <w:sz w:val="24"/>
          <w:szCs w:val="24"/>
          <w:vertAlign w:val="subscript"/>
        </w:rPr>
        <w:t>1</w:t>
      </w:r>
      <w:r w:rsidR="00D11CCF" w:rsidRPr="00A97E01">
        <w:rPr>
          <w:rFonts w:ascii="Times New Roman" w:hAnsi="Times New Roman" w:cs="Times New Roman"/>
          <w:sz w:val="24"/>
          <w:szCs w:val="24"/>
        </w:rPr>
        <w:t xml:space="preserve">% when comparisons were made using an age cohort of 20-24 </w:t>
      </w:r>
      <w:r w:rsidR="00FD78A1" w:rsidRPr="00A97E01">
        <w:rPr>
          <w:rFonts w:ascii="Times New Roman" w:hAnsi="Times New Roman" w:cs="Times New Roman"/>
          <w:sz w:val="24"/>
          <w:szCs w:val="24"/>
        </w:rPr>
        <w:t xml:space="preserve">year olds </w:t>
      </w:r>
      <w:r w:rsidR="00D11CCF" w:rsidRPr="00A97E01">
        <w:rPr>
          <w:rFonts w:ascii="Times New Roman" w:hAnsi="Times New Roman" w:cs="Times New Roman"/>
          <w:sz w:val="24"/>
          <w:szCs w:val="24"/>
        </w:rPr>
        <w:t>but this may be due to the</w:t>
      </w:r>
      <w:r w:rsidR="00086E2D" w:rsidRPr="00A97E01">
        <w:rPr>
          <w:rFonts w:ascii="Times New Roman" w:hAnsi="Times New Roman" w:cs="Times New Roman"/>
          <w:sz w:val="24"/>
          <w:szCs w:val="24"/>
        </w:rPr>
        <w:t xml:space="preserve"> smaller patient numbers further reducing statistical</w:t>
      </w:r>
      <w:r w:rsidR="00D11CCF" w:rsidRPr="00A97E01">
        <w:rPr>
          <w:rFonts w:ascii="Times New Roman" w:hAnsi="Times New Roman" w:cs="Times New Roman"/>
          <w:sz w:val="24"/>
          <w:szCs w:val="24"/>
        </w:rPr>
        <w:t xml:space="preserve"> power</w:t>
      </w:r>
      <w:r w:rsidR="00086E2D" w:rsidRPr="00A97E01">
        <w:rPr>
          <w:rFonts w:ascii="Times New Roman" w:hAnsi="Times New Roman" w:cs="Times New Roman"/>
          <w:sz w:val="24"/>
          <w:szCs w:val="24"/>
        </w:rPr>
        <w:t xml:space="preserve">. </w:t>
      </w:r>
    </w:p>
    <w:p w:rsidR="004123D3" w:rsidRPr="00A97E01" w:rsidRDefault="004123D3" w:rsidP="00445866">
      <w:pPr>
        <w:shd w:val="clear" w:color="auto" w:fill="FFFFFF"/>
        <w:spacing w:line="393" w:lineRule="atLeast"/>
        <w:jc w:val="both"/>
        <w:textAlignment w:val="top"/>
        <w:rPr>
          <w:rFonts w:ascii="Times New Roman" w:hAnsi="Times New Roman"/>
          <w:sz w:val="24"/>
        </w:rPr>
      </w:pPr>
    </w:p>
    <w:p w:rsidR="00445866" w:rsidRPr="00A97E01" w:rsidRDefault="00445866" w:rsidP="00445866">
      <w:pPr>
        <w:shd w:val="clear" w:color="auto" w:fill="FFFFFF"/>
        <w:spacing w:line="393" w:lineRule="atLeast"/>
        <w:jc w:val="both"/>
        <w:textAlignment w:val="top"/>
        <w:rPr>
          <w:rFonts w:ascii="Times New Roman" w:hAnsi="Times New Roman" w:cs="Times New Roman"/>
          <w:sz w:val="24"/>
          <w:szCs w:val="24"/>
        </w:rPr>
      </w:pPr>
      <w:r w:rsidRPr="00A97E01">
        <w:rPr>
          <w:rFonts w:ascii="Times New Roman" w:hAnsi="Times New Roman"/>
          <w:sz w:val="24"/>
        </w:rPr>
        <w:t>Additionally,</w:t>
      </w:r>
      <w:r w:rsidRPr="00A97E01">
        <w:rPr>
          <w:rFonts w:ascii="Times New Roman" w:hAnsi="Times New Roman" w:cs="Times New Roman"/>
          <w:sz w:val="24"/>
          <w:szCs w:val="24"/>
        </w:rPr>
        <w:t xml:space="preserve"> data from different centres may not be equivalent throughout the study. Prior to 2012 there was no stipulation regarding which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value for the year should be included in the registry for each patient. In some centres the value recorded may have been the patients best in year value whilst other centres may have recorded the value measured on the date of the patient’s annual review. This would have had the effect of improving outcomes for those centres recording best in year values and artificially increasing between centre variance. Since 2012 the registry has stipulated that the value recorded should be the patients best in year value making later centre comparisons fairer. Since our longitudinal data have used data across the whole study period they may have been influenced by this factor.</w:t>
      </w:r>
    </w:p>
    <w:p w:rsidR="00D333A7" w:rsidRPr="00A97E01" w:rsidRDefault="00D333A7" w:rsidP="00D333A7">
      <w:pPr>
        <w:spacing w:line="360" w:lineRule="auto"/>
        <w:jc w:val="both"/>
        <w:rPr>
          <w:rFonts w:ascii="Times New Roman" w:hAnsi="Times New Roman" w:cs="Times New Roman"/>
          <w:sz w:val="24"/>
          <w:szCs w:val="24"/>
        </w:rPr>
      </w:pPr>
    </w:p>
    <w:p w:rsidR="00D333A7" w:rsidRPr="00A97E01" w:rsidRDefault="00D333A7" w:rsidP="00D333A7">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 xml:space="preserve">Comparison between centres will also be affected by centre size. </w:t>
      </w:r>
      <w:r w:rsidRPr="00A97E01">
        <w:rPr>
          <w:rFonts w:ascii="Times New Roman" w:hAnsi="Times New Roman" w:cs="Helvetica"/>
          <w:sz w:val="24"/>
        </w:rPr>
        <w:t>The standard errors for each outcome parameter are gener</w:t>
      </w:r>
      <w:r w:rsidR="00745AAC" w:rsidRPr="00A97E01">
        <w:rPr>
          <w:rFonts w:ascii="Times New Roman" w:hAnsi="Times New Roman" w:cs="Helvetica"/>
          <w:sz w:val="24"/>
        </w:rPr>
        <w:t>ally larger for smaller centres and</w:t>
      </w:r>
      <w:r w:rsidRPr="00A97E01">
        <w:rPr>
          <w:rFonts w:ascii="Times New Roman" w:hAnsi="Times New Roman" w:cs="Helvetica"/>
          <w:sz w:val="24"/>
        </w:rPr>
        <w:t xml:space="preserve"> </w:t>
      </w:r>
      <w:r w:rsidR="00745AAC" w:rsidRPr="00A97E01">
        <w:rPr>
          <w:rFonts w:ascii="Times New Roman" w:hAnsi="Times New Roman" w:cs="Helvetica"/>
          <w:sz w:val="24"/>
        </w:rPr>
        <w:t>t</w:t>
      </w:r>
      <w:r w:rsidRPr="00A97E01">
        <w:rPr>
          <w:rFonts w:ascii="Times New Roman" w:hAnsi="Times New Roman" w:cs="Helvetica"/>
          <w:sz w:val="24"/>
        </w:rPr>
        <w:t>he centres with the most extreme mean FEV</w:t>
      </w:r>
      <w:r w:rsidRPr="00A97E01">
        <w:rPr>
          <w:rFonts w:ascii="Times New Roman" w:hAnsi="Times New Roman" w:cs="Helvetica"/>
          <w:sz w:val="24"/>
          <w:vertAlign w:val="subscript"/>
        </w:rPr>
        <w:t>1</w:t>
      </w:r>
      <w:r w:rsidRPr="00A97E01">
        <w:rPr>
          <w:rFonts w:ascii="Times New Roman" w:hAnsi="Times New Roman" w:cs="Helvetica"/>
          <w:sz w:val="24"/>
        </w:rPr>
        <w:t xml:space="preserve">% values are often the smallest. </w:t>
      </w:r>
      <w:r w:rsidRPr="00A97E01">
        <w:rPr>
          <w:rFonts w:ascii="Times New Roman" w:hAnsi="Times New Roman" w:cs="Times New Roman"/>
          <w:sz w:val="24"/>
          <w:szCs w:val="24"/>
        </w:rPr>
        <w:t xml:space="preserve">The UK CF registry has </w:t>
      </w:r>
      <w:r w:rsidR="002A5C44" w:rsidRPr="00A97E01">
        <w:rPr>
          <w:rFonts w:ascii="Times New Roman" w:hAnsi="Times New Roman" w:cs="Times New Roman"/>
          <w:sz w:val="24"/>
          <w:szCs w:val="24"/>
        </w:rPr>
        <w:t xml:space="preserve">tried to </w:t>
      </w:r>
      <w:r w:rsidRPr="00A97E01">
        <w:rPr>
          <w:rFonts w:ascii="Times New Roman" w:hAnsi="Times New Roman" w:cs="Times New Roman"/>
          <w:sz w:val="24"/>
          <w:szCs w:val="24"/>
        </w:rPr>
        <w:t xml:space="preserve">address this issue by introducing the use of funnel plots </w:t>
      </w:r>
      <w:r w:rsidR="001522C1" w:rsidRPr="00A97E01">
        <w:rPr>
          <w:rFonts w:ascii="Times New Roman" w:hAnsi="Times New Roman" w:cs="Times New Roman"/>
          <w:sz w:val="24"/>
          <w:szCs w:val="24"/>
        </w:rPr>
        <w:t xml:space="preserve">[10] </w:t>
      </w:r>
      <w:r w:rsidRPr="00A97E01">
        <w:rPr>
          <w:rFonts w:ascii="Times New Roman" w:hAnsi="Times New Roman" w:cs="Times New Roman"/>
          <w:sz w:val="24"/>
          <w:szCs w:val="24"/>
        </w:rPr>
        <w:t>in the</w:t>
      </w:r>
      <w:r w:rsidR="001522C1" w:rsidRPr="00A97E01">
        <w:rPr>
          <w:rFonts w:ascii="Times New Roman" w:hAnsi="Times New Roman" w:cs="Times New Roman"/>
          <w:sz w:val="24"/>
          <w:szCs w:val="24"/>
        </w:rPr>
        <w:t xml:space="preserve"> most recent registry report</w:t>
      </w:r>
      <w:r w:rsidRPr="00A97E01">
        <w:rPr>
          <w:rFonts w:ascii="Times New Roman" w:hAnsi="Times New Roman" w:cs="Times New Roman"/>
          <w:sz w:val="24"/>
          <w:szCs w:val="24"/>
        </w:rPr>
        <w:t xml:space="preserve">. However, </w:t>
      </w:r>
      <w:r w:rsidR="00FD78A1" w:rsidRPr="00A97E01">
        <w:rPr>
          <w:rFonts w:ascii="Times New Roman" w:hAnsi="Times New Roman" w:cs="Times New Roman"/>
          <w:sz w:val="24"/>
          <w:szCs w:val="24"/>
        </w:rPr>
        <w:t xml:space="preserve">the </w:t>
      </w:r>
      <w:r w:rsidRPr="00A97E01">
        <w:rPr>
          <w:rFonts w:ascii="Times New Roman" w:hAnsi="Times New Roman" w:cs="Times New Roman"/>
          <w:sz w:val="24"/>
          <w:szCs w:val="24"/>
        </w:rPr>
        <w:t xml:space="preserve">funnel plots </w:t>
      </w:r>
      <w:r w:rsidR="00FD78A1" w:rsidRPr="00A97E01">
        <w:rPr>
          <w:rFonts w:ascii="Times New Roman" w:hAnsi="Times New Roman" w:cs="Times New Roman"/>
          <w:sz w:val="24"/>
          <w:szCs w:val="24"/>
        </w:rPr>
        <w:t>may also be misleading.</w:t>
      </w:r>
      <w:r w:rsidR="001522C1" w:rsidRPr="00A97E01">
        <w:rPr>
          <w:rFonts w:ascii="Times New Roman" w:hAnsi="Times New Roman" w:cs="Times New Roman"/>
          <w:sz w:val="24"/>
          <w:szCs w:val="24"/>
        </w:rPr>
        <w:t xml:space="preserve"> For example, in the 2015</w:t>
      </w:r>
      <w:r w:rsidRPr="00A97E01">
        <w:rPr>
          <w:rFonts w:ascii="Times New Roman" w:hAnsi="Times New Roman" w:cs="Times New Roman"/>
          <w:sz w:val="24"/>
          <w:szCs w:val="24"/>
        </w:rPr>
        <w:t xml:space="preserve"> registry report [9] there is one adult centre that clearly stands out as having markedly higher lung function on the funnel plot for median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predicted. However, the funnel plo</w:t>
      </w:r>
      <w:r w:rsidR="00745AAC" w:rsidRPr="00A97E01">
        <w:rPr>
          <w:rFonts w:ascii="Times New Roman" w:hAnsi="Times New Roman" w:cs="Times New Roman"/>
          <w:sz w:val="24"/>
          <w:szCs w:val="24"/>
        </w:rPr>
        <w:t>t for</w:t>
      </w:r>
      <w:r w:rsidRPr="00A97E01">
        <w:rPr>
          <w:rFonts w:ascii="Times New Roman" w:hAnsi="Times New Roman" w:cs="Times New Roman"/>
          <w:sz w:val="24"/>
          <w:szCs w:val="24"/>
        </w:rPr>
        <w:t xml:space="preserve"> age shows this centre lies close to 3 standard </w:t>
      </w:r>
      <w:r w:rsidRPr="00A97E01">
        <w:rPr>
          <w:rFonts w:ascii="Times New Roman" w:hAnsi="Times New Roman" w:cs="Times New Roman"/>
          <w:sz w:val="24"/>
          <w:szCs w:val="24"/>
        </w:rPr>
        <w:lastRenderedPageBreak/>
        <w:t xml:space="preserve">deviations below the median suggesting that the higher than average lung function is likely to be related </w:t>
      </w:r>
      <w:r w:rsidR="00745AAC" w:rsidRPr="00A97E01">
        <w:rPr>
          <w:rFonts w:ascii="Times New Roman" w:hAnsi="Times New Roman" w:cs="Times New Roman"/>
          <w:sz w:val="24"/>
          <w:szCs w:val="24"/>
        </w:rPr>
        <w:t xml:space="preserve">at least in part </w:t>
      </w:r>
      <w:r w:rsidRPr="00A97E01">
        <w:rPr>
          <w:rFonts w:ascii="Times New Roman" w:hAnsi="Times New Roman" w:cs="Times New Roman"/>
          <w:sz w:val="24"/>
          <w:szCs w:val="24"/>
        </w:rPr>
        <w:t>to the age of patients attending the centre.</w:t>
      </w:r>
    </w:p>
    <w:p w:rsidR="00D333A7" w:rsidRPr="00A97E01" w:rsidRDefault="00D333A7" w:rsidP="00D333A7">
      <w:pPr>
        <w:spacing w:line="360" w:lineRule="auto"/>
        <w:jc w:val="both"/>
        <w:rPr>
          <w:rFonts w:ascii="Times New Roman" w:hAnsi="Times New Roman" w:cs="Times New Roman"/>
          <w:sz w:val="24"/>
          <w:szCs w:val="24"/>
        </w:rPr>
      </w:pPr>
    </w:p>
    <w:p w:rsidR="009B1494" w:rsidRPr="00A97E01" w:rsidRDefault="009B1494" w:rsidP="00D333A7">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 xml:space="preserve">Finally, there </w:t>
      </w:r>
      <w:r w:rsidR="007B2616" w:rsidRPr="00A97E01">
        <w:rPr>
          <w:rFonts w:ascii="Times New Roman" w:hAnsi="Times New Roman" w:cs="Times New Roman"/>
          <w:sz w:val="24"/>
          <w:szCs w:val="24"/>
        </w:rPr>
        <w:t>may be other unmeasured factors, such as burden of treatment,</w:t>
      </w:r>
      <w:r w:rsidRPr="00A97E01">
        <w:rPr>
          <w:rFonts w:ascii="Times New Roman" w:hAnsi="Times New Roman" w:cs="Times New Roman"/>
          <w:sz w:val="24"/>
          <w:szCs w:val="24"/>
        </w:rPr>
        <w:t xml:space="preserve"> for which registry information is not available that influence any appar</w:t>
      </w:r>
      <w:r w:rsidR="007B2616" w:rsidRPr="00A97E01">
        <w:rPr>
          <w:rFonts w:ascii="Times New Roman" w:hAnsi="Times New Roman" w:cs="Times New Roman"/>
          <w:sz w:val="24"/>
          <w:szCs w:val="24"/>
        </w:rPr>
        <w:t>ent difference between centres.</w:t>
      </w:r>
    </w:p>
    <w:p w:rsidR="009B1494" w:rsidRPr="00A97E01" w:rsidRDefault="009B1494" w:rsidP="00D333A7">
      <w:pPr>
        <w:spacing w:line="360" w:lineRule="auto"/>
        <w:jc w:val="both"/>
        <w:rPr>
          <w:rFonts w:ascii="Times New Roman" w:hAnsi="Times New Roman" w:cs="Times New Roman"/>
          <w:sz w:val="24"/>
          <w:szCs w:val="24"/>
        </w:rPr>
      </w:pPr>
    </w:p>
    <w:p w:rsidR="00F44DE3" w:rsidRPr="00A97E01" w:rsidRDefault="00F44DE3" w:rsidP="00F44DE3">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Further comparison of centres in the future is likely to be more informative as the registry now captures a very high proportion of adult CF patients cared for in the UK and since the introduction of best in year FEV</w:t>
      </w:r>
      <w:r w:rsidRPr="00A97E01">
        <w:rPr>
          <w:rFonts w:ascii="Times New Roman" w:hAnsi="Times New Roman" w:cs="Times New Roman"/>
          <w:sz w:val="24"/>
          <w:szCs w:val="24"/>
          <w:vertAlign w:val="subscript"/>
        </w:rPr>
        <w:t>1</w:t>
      </w:r>
      <w:r w:rsidRPr="00A97E01">
        <w:rPr>
          <w:rFonts w:ascii="Times New Roman" w:hAnsi="Times New Roman" w:cs="Times New Roman"/>
          <w:sz w:val="24"/>
          <w:szCs w:val="24"/>
        </w:rPr>
        <w:t xml:space="preserve"> for the annual dataset in 2012, all centres are now entering equivalent data making comparisons fairer. However, given the marked differences in the characteristics of patients attending centres any comparison that does not adjust for these factors will remain invalid.</w:t>
      </w:r>
    </w:p>
    <w:p w:rsidR="00D333A7" w:rsidRPr="00A97E01" w:rsidRDefault="00D333A7" w:rsidP="00D333A7">
      <w:pPr>
        <w:rPr>
          <w:rFonts w:ascii="Times New Roman" w:hAnsi="Times New Roman" w:cs="Times New Roman"/>
          <w:b/>
          <w:sz w:val="24"/>
          <w:szCs w:val="24"/>
        </w:rPr>
      </w:pPr>
      <w:r w:rsidRPr="00A97E01">
        <w:rPr>
          <w:rFonts w:ascii="Times New Roman" w:hAnsi="Times New Roman" w:cs="Times New Roman"/>
          <w:b/>
          <w:sz w:val="24"/>
          <w:szCs w:val="24"/>
        </w:rPr>
        <w:br w:type="page"/>
      </w:r>
    </w:p>
    <w:p w:rsidR="00D333A7" w:rsidRPr="00A97E01" w:rsidRDefault="00D333A7" w:rsidP="00D333A7">
      <w:pPr>
        <w:spacing w:line="360" w:lineRule="auto"/>
        <w:jc w:val="both"/>
        <w:outlineLvl w:val="0"/>
        <w:rPr>
          <w:rFonts w:ascii="Times New Roman" w:hAnsi="Times New Roman" w:cs="Times New Roman"/>
          <w:b/>
          <w:sz w:val="24"/>
          <w:szCs w:val="24"/>
        </w:rPr>
      </w:pPr>
      <w:r w:rsidRPr="00A97E01">
        <w:rPr>
          <w:rFonts w:ascii="Times New Roman" w:hAnsi="Times New Roman" w:cs="Times New Roman"/>
          <w:b/>
          <w:sz w:val="24"/>
          <w:szCs w:val="24"/>
        </w:rPr>
        <w:lastRenderedPageBreak/>
        <w:t>5. Conclusion</w:t>
      </w:r>
    </w:p>
    <w:p w:rsidR="001522C1" w:rsidRPr="00A97E01" w:rsidRDefault="007E66EC" w:rsidP="00D333A7">
      <w:pPr>
        <w:spacing w:line="360" w:lineRule="auto"/>
        <w:jc w:val="both"/>
        <w:rPr>
          <w:rFonts w:ascii="Times New Roman" w:hAnsi="Times New Roman" w:cs="Times New Roman"/>
          <w:sz w:val="24"/>
          <w:szCs w:val="24"/>
        </w:rPr>
      </w:pPr>
      <w:r w:rsidRPr="00A97E01">
        <w:rPr>
          <w:rFonts w:ascii="Times New Roman" w:hAnsi="Times New Roman" w:cs="Times New Roman"/>
          <w:sz w:val="24"/>
          <w:szCs w:val="24"/>
        </w:rPr>
        <w:t xml:space="preserve">It is possible to </w:t>
      </w:r>
      <w:r w:rsidR="00D333A7" w:rsidRPr="00A97E01">
        <w:rPr>
          <w:rFonts w:ascii="Times New Roman" w:hAnsi="Times New Roman" w:cs="Times New Roman"/>
          <w:sz w:val="24"/>
          <w:szCs w:val="24"/>
        </w:rPr>
        <w:t>demonst</w:t>
      </w:r>
      <w:r w:rsidRPr="00A97E01">
        <w:rPr>
          <w:rFonts w:ascii="Times New Roman" w:hAnsi="Times New Roman" w:cs="Times New Roman"/>
          <w:sz w:val="24"/>
          <w:szCs w:val="24"/>
        </w:rPr>
        <w:t>rate</w:t>
      </w:r>
      <w:r w:rsidR="00D333A7" w:rsidRPr="00A97E01">
        <w:rPr>
          <w:rFonts w:ascii="Times New Roman" w:hAnsi="Times New Roman" w:cs="Times New Roman"/>
          <w:sz w:val="24"/>
          <w:szCs w:val="24"/>
        </w:rPr>
        <w:t xml:space="preserve"> difference</w:t>
      </w:r>
      <w:r w:rsidRPr="00A97E01">
        <w:rPr>
          <w:rFonts w:ascii="Times New Roman" w:hAnsi="Times New Roman" w:cs="Times New Roman"/>
          <w:sz w:val="24"/>
          <w:szCs w:val="24"/>
        </w:rPr>
        <w:t>s</w:t>
      </w:r>
      <w:r w:rsidR="00D333A7" w:rsidRPr="00A97E01">
        <w:rPr>
          <w:rFonts w:ascii="Times New Roman" w:hAnsi="Times New Roman" w:cs="Times New Roman"/>
          <w:sz w:val="24"/>
          <w:szCs w:val="24"/>
        </w:rPr>
        <w:t xml:space="preserve"> between </w:t>
      </w:r>
      <w:r w:rsidRPr="00A97E01">
        <w:rPr>
          <w:rFonts w:ascii="Times New Roman" w:hAnsi="Times New Roman" w:cs="Times New Roman"/>
          <w:sz w:val="24"/>
          <w:szCs w:val="24"/>
        </w:rPr>
        <w:t xml:space="preserve">UK </w:t>
      </w:r>
      <w:r w:rsidR="00D333A7" w:rsidRPr="00A97E01">
        <w:rPr>
          <w:rFonts w:ascii="Times New Roman" w:hAnsi="Times New Roman" w:cs="Times New Roman"/>
          <w:sz w:val="24"/>
          <w:szCs w:val="24"/>
        </w:rPr>
        <w:t xml:space="preserve">adult CF centres for the </w:t>
      </w:r>
      <w:r w:rsidR="00EA7026" w:rsidRPr="00A97E01">
        <w:rPr>
          <w:rFonts w:ascii="Times New Roman" w:hAnsi="Times New Roman" w:cs="Times New Roman"/>
          <w:sz w:val="24"/>
          <w:szCs w:val="24"/>
        </w:rPr>
        <w:t>me</w:t>
      </w:r>
      <w:r w:rsidRPr="00A97E01">
        <w:rPr>
          <w:rFonts w:ascii="Times New Roman" w:hAnsi="Times New Roman" w:cs="Times New Roman"/>
          <w:sz w:val="24"/>
          <w:szCs w:val="24"/>
        </w:rPr>
        <w:t xml:space="preserve">an </w:t>
      </w:r>
      <w:r w:rsidR="00D333A7" w:rsidRPr="00A97E01">
        <w:rPr>
          <w:rFonts w:ascii="Times New Roman" w:hAnsi="Times New Roman" w:cs="Times New Roman"/>
          <w:sz w:val="24"/>
          <w:szCs w:val="24"/>
        </w:rPr>
        <w:t>FEV</w:t>
      </w:r>
      <w:r w:rsidR="00D333A7" w:rsidRPr="00A97E01">
        <w:rPr>
          <w:rFonts w:ascii="Times New Roman" w:hAnsi="Times New Roman" w:cs="Times New Roman"/>
          <w:sz w:val="24"/>
          <w:szCs w:val="24"/>
          <w:vertAlign w:val="subscript"/>
        </w:rPr>
        <w:t>1</w:t>
      </w:r>
      <w:r w:rsidR="00D333A7" w:rsidRPr="00A97E01">
        <w:rPr>
          <w:rFonts w:ascii="Times New Roman" w:hAnsi="Times New Roman" w:cs="Times New Roman"/>
          <w:sz w:val="24"/>
          <w:szCs w:val="24"/>
        </w:rPr>
        <w:t>%</w:t>
      </w:r>
      <w:r w:rsidR="001522C1" w:rsidRPr="00A97E01">
        <w:rPr>
          <w:rFonts w:ascii="Times New Roman" w:hAnsi="Times New Roman" w:cs="Times New Roman"/>
          <w:sz w:val="24"/>
          <w:szCs w:val="24"/>
        </w:rPr>
        <w:t xml:space="preserve"> for some years of the study period</w:t>
      </w:r>
      <w:r w:rsidR="00D333A7" w:rsidRPr="00A97E01">
        <w:rPr>
          <w:rFonts w:ascii="Times New Roman" w:hAnsi="Times New Roman" w:cs="Times New Roman"/>
          <w:sz w:val="24"/>
          <w:szCs w:val="24"/>
        </w:rPr>
        <w:t xml:space="preserve">. </w:t>
      </w:r>
      <w:r w:rsidR="001E6542" w:rsidRPr="00A97E01">
        <w:rPr>
          <w:rFonts w:ascii="Times New Roman" w:hAnsi="Times New Roman" w:cs="Times New Roman"/>
          <w:sz w:val="24"/>
          <w:szCs w:val="24"/>
        </w:rPr>
        <w:t>However, r</w:t>
      </w:r>
      <w:r w:rsidRPr="00A97E01">
        <w:rPr>
          <w:rFonts w:ascii="Times New Roman" w:hAnsi="Times New Roman" w:cs="Times New Roman"/>
          <w:sz w:val="24"/>
          <w:szCs w:val="24"/>
        </w:rPr>
        <w:t xml:space="preserve">ankings of centres are critically dependent on the chosen outcome measure </w:t>
      </w:r>
      <w:r w:rsidR="001522C1" w:rsidRPr="00A97E01">
        <w:rPr>
          <w:rFonts w:ascii="Times New Roman" w:hAnsi="Times New Roman" w:cs="Times New Roman"/>
          <w:sz w:val="24"/>
          <w:szCs w:val="24"/>
        </w:rPr>
        <w:t xml:space="preserve">and </w:t>
      </w:r>
      <w:r w:rsidR="00745AAC" w:rsidRPr="00A97E01">
        <w:rPr>
          <w:rFonts w:ascii="Times New Roman" w:hAnsi="Times New Roman" w:cs="Times New Roman"/>
          <w:sz w:val="24"/>
          <w:szCs w:val="24"/>
        </w:rPr>
        <w:t xml:space="preserve">substantially altered when a longitudinal measure is employed. In addition, there are marked differences between centres for the characteristics of their patients and </w:t>
      </w:r>
      <w:r w:rsidR="001522C1" w:rsidRPr="00A97E01">
        <w:rPr>
          <w:rFonts w:ascii="Times New Roman" w:hAnsi="Times New Roman" w:cs="Times New Roman"/>
          <w:sz w:val="24"/>
          <w:szCs w:val="24"/>
        </w:rPr>
        <w:t>variation between centres becomes negligible once</w:t>
      </w:r>
      <w:r w:rsidR="00185CB3" w:rsidRPr="00A97E01">
        <w:rPr>
          <w:rFonts w:ascii="Times New Roman" w:hAnsi="Times New Roman" w:cs="Times New Roman"/>
          <w:sz w:val="24"/>
          <w:szCs w:val="24"/>
        </w:rPr>
        <w:t xml:space="preserve"> the</w:t>
      </w:r>
      <w:r w:rsidR="00745AAC" w:rsidRPr="00A97E01">
        <w:rPr>
          <w:rFonts w:ascii="Times New Roman" w:hAnsi="Times New Roman" w:cs="Times New Roman"/>
          <w:sz w:val="24"/>
          <w:szCs w:val="24"/>
        </w:rPr>
        <w:t>se</w:t>
      </w:r>
      <w:r w:rsidR="00185CB3" w:rsidRPr="00A97E01">
        <w:rPr>
          <w:rFonts w:ascii="Times New Roman" w:hAnsi="Times New Roman" w:cs="Times New Roman"/>
          <w:sz w:val="24"/>
          <w:szCs w:val="24"/>
        </w:rPr>
        <w:t xml:space="preserve"> characteristics </w:t>
      </w:r>
      <w:r w:rsidR="00745AAC" w:rsidRPr="00A97E01">
        <w:rPr>
          <w:rFonts w:ascii="Times New Roman" w:hAnsi="Times New Roman" w:cs="Times New Roman"/>
          <w:sz w:val="24"/>
          <w:szCs w:val="24"/>
        </w:rPr>
        <w:t>are</w:t>
      </w:r>
      <w:r w:rsidR="001522C1" w:rsidRPr="00A97E01">
        <w:rPr>
          <w:rFonts w:ascii="Times New Roman" w:hAnsi="Times New Roman" w:cs="Times New Roman"/>
          <w:sz w:val="24"/>
          <w:szCs w:val="24"/>
        </w:rPr>
        <w:t xml:space="preserve"> taken into account.</w:t>
      </w:r>
      <w:r w:rsidR="00185CB3" w:rsidRPr="00A97E01">
        <w:rPr>
          <w:rFonts w:ascii="Times New Roman" w:hAnsi="Times New Roman" w:cs="Times New Roman"/>
          <w:sz w:val="24"/>
          <w:szCs w:val="24"/>
        </w:rPr>
        <w:t xml:space="preserve"> This implies that any apparent difference in respiratory outcomes is unlikely to be related to differing standards of care between centres.</w:t>
      </w:r>
    </w:p>
    <w:p w:rsidR="00D333A7" w:rsidRPr="00A97E01" w:rsidRDefault="00D333A7" w:rsidP="00D333A7">
      <w:pPr>
        <w:spacing w:line="360" w:lineRule="auto"/>
        <w:jc w:val="both"/>
        <w:rPr>
          <w:rFonts w:ascii="Times New Roman" w:hAnsi="Times New Roman" w:cs="Times New Roman"/>
          <w:sz w:val="24"/>
          <w:szCs w:val="24"/>
        </w:rPr>
      </w:pPr>
    </w:p>
    <w:p w:rsidR="007E66EC" w:rsidRPr="00A97E01" w:rsidRDefault="007E66EC" w:rsidP="00D333A7">
      <w:pPr>
        <w:spacing w:line="360" w:lineRule="auto"/>
        <w:rPr>
          <w:rFonts w:ascii="Times New Roman" w:hAnsi="Times New Roman" w:cs="Times New Roman"/>
          <w:sz w:val="24"/>
          <w:szCs w:val="24"/>
        </w:rPr>
      </w:pPr>
    </w:p>
    <w:p w:rsidR="00022BF2" w:rsidRPr="00A97E01" w:rsidRDefault="00D333A7" w:rsidP="00D333A7">
      <w:pPr>
        <w:spacing w:line="360" w:lineRule="auto"/>
        <w:rPr>
          <w:rFonts w:ascii="Times New Roman" w:hAnsi="Times New Roman" w:cs="Times New Roman"/>
          <w:sz w:val="24"/>
          <w:szCs w:val="24"/>
        </w:rPr>
      </w:pPr>
      <w:r w:rsidRPr="00A97E01">
        <w:rPr>
          <w:rFonts w:ascii="Times New Roman" w:hAnsi="Times New Roman" w:cs="Times New Roman"/>
          <w:sz w:val="24"/>
          <w:szCs w:val="24"/>
        </w:rPr>
        <w:br w:type="page"/>
      </w:r>
    </w:p>
    <w:tbl>
      <w:tblPr>
        <w:tblpPr w:leftFromText="180" w:rightFromText="180" w:vertAnchor="text" w:horzAnchor="page" w:tblpX="622" w:tblpY="258"/>
        <w:tblW w:w="11176" w:type="dxa"/>
        <w:tblBorders>
          <w:top w:val="single" w:sz="8" w:space="0" w:color="000000"/>
          <w:bottom w:val="single" w:sz="8" w:space="0" w:color="000000"/>
        </w:tblBorders>
        <w:tblLayout w:type="fixed"/>
        <w:tblCellMar>
          <w:left w:w="0" w:type="dxa"/>
          <w:right w:w="0" w:type="dxa"/>
        </w:tblCellMar>
        <w:tblLook w:val="0000" w:firstRow="0" w:lastRow="0" w:firstColumn="0" w:lastColumn="0" w:noHBand="0" w:noVBand="0"/>
      </w:tblPr>
      <w:tblGrid>
        <w:gridCol w:w="1329"/>
        <w:gridCol w:w="1329"/>
        <w:gridCol w:w="1064"/>
        <w:gridCol w:w="1064"/>
        <w:gridCol w:w="1065"/>
        <w:gridCol w:w="1065"/>
        <w:gridCol w:w="1065"/>
        <w:gridCol w:w="1065"/>
        <w:gridCol w:w="1065"/>
        <w:gridCol w:w="1065"/>
      </w:tblGrid>
      <w:tr w:rsidR="0057762C" w:rsidRPr="00A97E01">
        <w:trPr>
          <w:cantSplit/>
          <w:trHeight w:hRule="exact" w:val="567"/>
        </w:trPr>
        <w:tc>
          <w:tcPr>
            <w:tcW w:w="567" w:type="dxa"/>
            <w:vMerge w:val="restart"/>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lastRenderedPageBreak/>
              <w:t>Centre ranking for 2013</w:t>
            </w:r>
          </w:p>
        </w:tc>
        <w:tc>
          <w:tcPr>
            <w:tcW w:w="567" w:type="dxa"/>
            <w:vMerge w:val="restart"/>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Mean number of observations</w:t>
            </w:r>
          </w:p>
        </w:tc>
        <w:tc>
          <w:tcPr>
            <w:tcW w:w="454" w:type="dxa"/>
            <w:gridSpan w:val="7"/>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Year</w:t>
            </w:r>
          </w:p>
        </w:tc>
        <w:tc>
          <w:tcPr>
            <w:tcW w:w="454" w:type="dxa"/>
            <w:vMerge w:val="restart"/>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Total</w:t>
            </w:r>
          </w:p>
        </w:tc>
      </w:tr>
      <w:tr w:rsidR="00DC3903" w:rsidRPr="00A97E01">
        <w:trPr>
          <w:cantSplit/>
          <w:trHeight w:hRule="exact" w:val="567"/>
        </w:trPr>
        <w:tc>
          <w:tcPr>
            <w:tcW w:w="567" w:type="dxa"/>
            <w:vMerge/>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567" w:type="dxa"/>
            <w:vMerge/>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2007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2008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2009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2010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2011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2012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2013</w:t>
            </w:r>
          </w:p>
        </w:tc>
        <w:tc>
          <w:tcPr>
            <w:tcW w:w="454" w:type="dxa"/>
            <w:vMerge/>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r>
      <w:tr w:rsidR="00022BF2" w:rsidRPr="00A97E01">
        <w:trPr>
          <w:cantSplit/>
          <w:trHeight w:hRule="exact" w:val="113"/>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109</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215</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3</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75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111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757</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4</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132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163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173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185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173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173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1108</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5</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169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198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217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232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239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224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227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1506</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6</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180</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7</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48</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8</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70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380</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9</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67</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10</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469</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11</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84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111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115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110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733</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113</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13</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326</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14</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140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143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142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698</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15</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86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211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232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214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262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267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261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1533</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16</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172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185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197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225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1323</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17</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74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520</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18</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177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177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225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232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1264</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19</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678</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20</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147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213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217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290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300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320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321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1808</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21</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164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179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195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186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740</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22</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146</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23</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309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321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340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347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353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341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2046</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24</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71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82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82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85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74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498</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25</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83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87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644</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26</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402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393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509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525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552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582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556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3519</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27</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159</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28</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121</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29</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221</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30</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315</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31</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39</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45</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284</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32</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256</w:t>
            </w: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33</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23</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31</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110</w:t>
            </w:r>
          </w:p>
        </w:tc>
      </w:tr>
      <w:tr w:rsidR="00022BF2" w:rsidRPr="00A97E01">
        <w:trPr>
          <w:cantSplit/>
          <w:trHeight w:hRule="exact" w:val="113"/>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r>
      <w:tr w:rsidR="00022BF2" w:rsidRPr="00A97E01">
        <w:trPr>
          <w:cantSplit/>
          <w:trHeight w:hRule="exact" w:val="284"/>
        </w:trPr>
        <w:tc>
          <w:tcPr>
            <w:tcW w:w="567" w:type="dxa"/>
            <w:shd w:val="clear" w:color="auto" w:fill="FFFFFF"/>
            <w:vAlign w:val="center"/>
          </w:tcPr>
          <w:p w:rsidR="00022BF2" w:rsidRPr="00A97E01" w:rsidRDefault="00022BF2" w:rsidP="00022BF2">
            <w:pPr>
              <w:jc w:val="center"/>
              <w:rPr>
                <w:rFonts w:ascii="Times New Roman" w:hAnsi="Times New Roman" w:cs="Times New Roman"/>
                <w:sz w:val="24"/>
                <w:szCs w:val="24"/>
              </w:rPr>
            </w:pPr>
            <w:r w:rsidRPr="00A97E01">
              <w:rPr>
                <w:rFonts w:ascii="Times New Roman" w:hAnsi="Times New Roman" w:cs="Times New Roman"/>
                <w:sz w:val="24"/>
                <w:szCs w:val="24"/>
              </w:rPr>
              <w:t>Unranked</w:t>
            </w:r>
          </w:p>
        </w:tc>
        <w:tc>
          <w:tcPr>
            <w:tcW w:w="567"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84</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118</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102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92</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116</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27</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0</w:t>
            </w:r>
          </w:p>
        </w:tc>
        <w:tc>
          <w:tcPr>
            <w:tcW w:w="454" w:type="dxa"/>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539</w:t>
            </w:r>
          </w:p>
        </w:tc>
      </w:tr>
      <w:tr w:rsidR="00022BF2" w:rsidRPr="00A97E01">
        <w:trPr>
          <w:cantSplit/>
          <w:trHeight w:hRule="exact" w:val="113"/>
        </w:trPr>
        <w:tc>
          <w:tcPr>
            <w:tcW w:w="567" w:type="dxa"/>
            <w:tcBorders>
              <w:bottom w:val="single" w:sz="8" w:space="0" w:color="000000"/>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567" w:type="dxa"/>
            <w:tcBorders>
              <w:bottom w:val="single" w:sz="8" w:space="0" w:color="000000"/>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bottom w:val="single" w:sz="8" w:space="0" w:color="000000"/>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bottom w:val="single" w:sz="8" w:space="0" w:color="000000"/>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bottom w:val="single" w:sz="8" w:space="0" w:color="000000"/>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bottom w:val="single" w:sz="8" w:space="0" w:color="000000"/>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bottom w:val="single" w:sz="8" w:space="0" w:color="000000"/>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bottom w:val="single" w:sz="8" w:space="0" w:color="000000"/>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bottom w:val="single" w:sz="8" w:space="0" w:color="000000"/>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bottom w:val="single" w:sz="8" w:space="0" w:color="000000"/>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r>
      <w:tr w:rsidR="00022BF2" w:rsidRPr="00A97E01">
        <w:trPr>
          <w:cantSplit/>
          <w:trHeight w:hRule="exact" w:val="284"/>
        </w:trPr>
        <w:tc>
          <w:tcPr>
            <w:tcW w:w="567" w:type="dxa"/>
            <w:tcBorders>
              <w:top w:val="single" w:sz="8" w:space="0" w:color="000000"/>
              <w:left w:val="nil"/>
              <w:bottom w:val="nil"/>
              <w:right w:val="nil"/>
            </w:tcBorders>
            <w:shd w:val="clear" w:color="auto" w:fill="FFFFFF"/>
            <w:vAlign w:val="center"/>
          </w:tcPr>
          <w:p w:rsidR="001522C1" w:rsidRPr="00A97E01" w:rsidRDefault="001522C1"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Annual t</w:t>
            </w:r>
            <w:r w:rsidR="00022BF2" w:rsidRPr="00A97E01">
              <w:rPr>
                <w:rFonts w:ascii="Times New Roman" w:hAnsi="Times New Roman" w:cs="Times New Roman"/>
                <w:sz w:val="24"/>
                <w:szCs w:val="24"/>
              </w:rPr>
              <w:t xml:space="preserve">otal </w:t>
            </w:r>
          </w:p>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567" w:type="dxa"/>
            <w:tcBorders>
              <w:top w:val="single" w:sz="8" w:space="0" w:color="000000"/>
              <w:left w:val="nil"/>
              <w:bottom w:val="nil"/>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top w:val="single" w:sz="8" w:space="0" w:color="000000"/>
              <w:left w:val="nil"/>
              <w:bottom w:val="nil"/>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1956</w:t>
            </w:r>
          </w:p>
        </w:tc>
        <w:tc>
          <w:tcPr>
            <w:tcW w:w="454" w:type="dxa"/>
            <w:tcBorders>
              <w:top w:val="single" w:sz="8" w:space="0" w:color="000000"/>
              <w:left w:val="nil"/>
              <w:bottom w:val="nil"/>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2722</w:t>
            </w:r>
          </w:p>
        </w:tc>
        <w:tc>
          <w:tcPr>
            <w:tcW w:w="454" w:type="dxa"/>
            <w:tcBorders>
              <w:top w:val="single" w:sz="8" w:space="0" w:color="000000"/>
              <w:left w:val="nil"/>
              <w:bottom w:val="nil"/>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3201</w:t>
            </w:r>
          </w:p>
        </w:tc>
        <w:tc>
          <w:tcPr>
            <w:tcW w:w="454" w:type="dxa"/>
            <w:tcBorders>
              <w:top w:val="single" w:sz="8" w:space="0" w:color="000000"/>
              <w:left w:val="nil"/>
              <w:bottom w:val="nil"/>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3530</w:t>
            </w:r>
          </w:p>
        </w:tc>
        <w:tc>
          <w:tcPr>
            <w:tcW w:w="454" w:type="dxa"/>
            <w:tcBorders>
              <w:top w:val="single" w:sz="8" w:space="0" w:color="000000"/>
              <w:left w:val="nil"/>
              <w:bottom w:val="nil"/>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4032</w:t>
            </w:r>
          </w:p>
        </w:tc>
        <w:tc>
          <w:tcPr>
            <w:tcW w:w="454" w:type="dxa"/>
            <w:tcBorders>
              <w:top w:val="single" w:sz="8" w:space="0" w:color="000000"/>
              <w:left w:val="nil"/>
              <w:bottom w:val="nil"/>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4065</w:t>
            </w:r>
          </w:p>
        </w:tc>
        <w:tc>
          <w:tcPr>
            <w:tcW w:w="454" w:type="dxa"/>
            <w:tcBorders>
              <w:top w:val="single" w:sz="8" w:space="0" w:color="000000"/>
              <w:left w:val="nil"/>
              <w:bottom w:val="nil"/>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3927</w:t>
            </w:r>
          </w:p>
        </w:tc>
        <w:tc>
          <w:tcPr>
            <w:tcW w:w="454" w:type="dxa"/>
            <w:tcBorders>
              <w:top w:val="single" w:sz="8" w:space="0" w:color="000000"/>
              <w:left w:val="nil"/>
              <w:bottom w:val="nil"/>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r w:rsidRPr="00A97E01">
              <w:rPr>
                <w:rFonts w:ascii="Times New Roman" w:hAnsi="Times New Roman" w:cs="Times New Roman"/>
                <w:sz w:val="24"/>
                <w:szCs w:val="24"/>
              </w:rPr>
              <w:t>23433</w:t>
            </w:r>
          </w:p>
        </w:tc>
      </w:tr>
      <w:tr w:rsidR="00DC3903" w:rsidRPr="00A97E01">
        <w:trPr>
          <w:cantSplit/>
          <w:trHeight w:hRule="exact" w:val="113"/>
        </w:trPr>
        <w:tc>
          <w:tcPr>
            <w:tcW w:w="567" w:type="dxa"/>
            <w:tcBorders>
              <w:top w:val="nil"/>
              <w:left w:val="nil"/>
              <w:bottom w:val="single" w:sz="8" w:space="0" w:color="000000"/>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567" w:type="dxa"/>
            <w:tcBorders>
              <w:top w:val="nil"/>
              <w:left w:val="nil"/>
              <w:bottom w:val="single" w:sz="8" w:space="0" w:color="000000"/>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top w:val="nil"/>
              <w:left w:val="nil"/>
              <w:bottom w:val="single" w:sz="8" w:space="0" w:color="000000"/>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top w:val="nil"/>
              <w:left w:val="nil"/>
              <w:bottom w:val="single" w:sz="8" w:space="0" w:color="000000"/>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top w:val="nil"/>
              <w:left w:val="nil"/>
              <w:bottom w:val="single" w:sz="8" w:space="0" w:color="000000"/>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top w:val="nil"/>
              <w:left w:val="nil"/>
              <w:bottom w:val="single" w:sz="8" w:space="0" w:color="000000"/>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top w:val="nil"/>
              <w:left w:val="nil"/>
              <w:bottom w:val="single" w:sz="8" w:space="0" w:color="000000"/>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top w:val="nil"/>
              <w:left w:val="nil"/>
              <w:bottom w:val="single" w:sz="8" w:space="0" w:color="000000"/>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top w:val="nil"/>
              <w:left w:val="nil"/>
              <w:bottom w:val="single" w:sz="8" w:space="0" w:color="000000"/>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c>
          <w:tcPr>
            <w:tcW w:w="454" w:type="dxa"/>
            <w:tcBorders>
              <w:top w:val="nil"/>
              <w:left w:val="nil"/>
              <w:bottom w:val="single" w:sz="8" w:space="0" w:color="000000"/>
              <w:right w:val="nil"/>
            </w:tcBorders>
            <w:shd w:val="clear" w:color="auto" w:fill="FFFFFF"/>
            <w:vAlign w:val="center"/>
          </w:tcPr>
          <w:p w:rsidR="00022BF2" w:rsidRPr="00A97E01" w:rsidRDefault="00022BF2" w:rsidP="00022BF2">
            <w:pPr>
              <w:autoSpaceDE w:val="0"/>
              <w:autoSpaceDN w:val="0"/>
              <w:adjustRightInd w:val="0"/>
              <w:jc w:val="center"/>
              <w:rPr>
                <w:rFonts w:ascii="Times New Roman" w:hAnsi="Times New Roman" w:cs="Times New Roman"/>
                <w:sz w:val="24"/>
                <w:szCs w:val="24"/>
              </w:rPr>
            </w:pPr>
          </w:p>
        </w:tc>
      </w:tr>
    </w:tbl>
    <w:p w:rsidR="00022BF2" w:rsidRPr="00A97E01" w:rsidRDefault="00022BF2" w:rsidP="00D333A7">
      <w:pPr>
        <w:spacing w:line="360" w:lineRule="auto"/>
        <w:rPr>
          <w:rFonts w:ascii="Times New Roman" w:hAnsi="Times New Roman" w:cs="Times New Roman"/>
          <w:sz w:val="24"/>
          <w:szCs w:val="24"/>
        </w:rPr>
      </w:pPr>
    </w:p>
    <w:p w:rsidR="00D333A7" w:rsidRPr="00A97E01" w:rsidRDefault="00D333A7" w:rsidP="00D333A7">
      <w:pPr>
        <w:rPr>
          <w:rFonts w:ascii="Times New Roman" w:hAnsi="Times New Roman" w:cs="Times New Roman"/>
          <w:sz w:val="24"/>
          <w:szCs w:val="24"/>
        </w:rPr>
      </w:pPr>
    </w:p>
    <w:p w:rsidR="00920474" w:rsidRPr="00A97E01" w:rsidRDefault="00920474" w:rsidP="00920474">
      <w:pPr>
        <w:spacing w:line="360" w:lineRule="auto"/>
        <w:rPr>
          <w:rFonts w:ascii="Times New Roman" w:hAnsi="Times New Roman" w:cs="Times New Roman"/>
          <w:sz w:val="24"/>
          <w:szCs w:val="24"/>
        </w:rPr>
      </w:pPr>
      <w:r w:rsidRPr="00A97E01">
        <w:rPr>
          <w:rFonts w:ascii="Times New Roman" w:hAnsi="Times New Roman" w:cs="Times New Roman"/>
          <w:b/>
          <w:sz w:val="24"/>
          <w:szCs w:val="24"/>
        </w:rPr>
        <w:t>Supplementary Table</w:t>
      </w:r>
    </w:p>
    <w:p w:rsidR="00920474" w:rsidRPr="00A97E01" w:rsidRDefault="00920474" w:rsidP="00920474">
      <w:pPr>
        <w:spacing w:line="360" w:lineRule="auto"/>
        <w:rPr>
          <w:rFonts w:ascii="Times New Roman" w:hAnsi="Times New Roman" w:cs="Times New Roman"/>
          <w:sz w:val="24"/>
          <w:szCs w:val="24"/>
        </w:rPr>
      </w:pPr>
      <w:r w:rsidRPr="00A97E01">
        <w:rPr>
          <w:rFonts w:ascii="Times New Roman" w:hAnsi="Times New Roman" w:cs="Times New Roman"/>
          <w:sz w:val="24"/>
          <w:szCs w:val="24"/>
        </w:rPr>
        <w:t>Number of reports by year (clinics ranked by mean FEV1% predicted for 2013)</w:t>
      </w:r>
    </w:p>
    <w:p w:rsidR="00195026" w:rsidRPr="00A97E01" w:rsidRDefault="00D333A7" w:rsidP="00BC63BC">
      <w:pPr>
        <w:spacing w:line="360" w:lineRule="auto"/>
        <w:jc w:val="both"/>
        <w:rPr>
          <w:rFonts w:ascii="Times New Roman" w:hAnsi="Times New Roman" w:cs="Times New Roman"/>
          <w:b/>
          <w:sz w:val="24"/>
          <w:szCs w:val="24"/>
        </w:rPr>
      </w:pPr>
      <w:r w:rsidRPr="00A97E01">
        <w:br w:type="page"/>
      </w:r>
      <w:r w:rsidR="00195026" w:rsidRPr="00A97E01">
        <w:rPr>
          <w:rFonts w:ascii="Times New Roman" w:hAnsi="Times New Roman" w:cs="Times New Roman"/>
          <w:b/>
          <w:sz w:val="24"/>
          <w:szCs w:val="24"/>
        </w:rPr>
        <w:t xml:space="preserve">ACKNOWLEDGEMENTS </w:t>
      </w:r>
    </w:p>
    <w:p w:rsidR="00195026" w:rsidRPr="00A97E01" w:rsidRDefault="00195026" w:rsidP="00195026">
      <w:pPr>
        <w:jc w:val="both"/>
        <w:rPr>
          <w:rFonts w:ascii="Times New Roman" w:hAnsi="Times New Roman" w:cs="Times New Roman"/>
          <w:sz w:val="24"/>
          <w:szCs w:val="24"/>
        </w:rPr>
      </w:pPr>
      <w:r w:rsidRPr="00A97E01">
        <w:rPr>
          <w:rFonts w:ascii="Times New Roman" w:hAnsi="Times New Roman" w:cs="Times New Roman"/>
          <w:sz w:val="24"/>
          <w:szCs w:val="24"/>
        </w:rPr>
        <w:t>We would like to acknowledge the support of the UK CF Trust that made this analysis possible. We would also like to thank all the CF patients who consent to their data being part of the UK CF Registry.</w:t>
      </w:r>
    </w:p>
    <w:p w:rsidR="00195026" w:rsidRPr="00A97E01" w:rsidRDefault="00195026" w:rsidP="00195026">
      <w:pPr>
        <w:jc w:val="both"/>
        <w:rPr>
          <w:rFonts w:ascii="Times New Roman" w:hAnsi="Times New Roman" w:cs="Times New Roman"/>
          <w:b/>
          <w:sz w:val="24"/>
          <w:szCs w:val="24"/>
        </w:rPr>
      </w:pPr>
    </w:p>
    <w:p w:rsidR="00195026" w:rsidRPr="00A97E01" w:rsidRDefault="00195026" w:rsidP="00195026">
      <w:pPr>
        <w:jc w:val="both"/>
        <w:outlineLvl w:val="0"/>
        <w:rPr>
          <w:rFonts w:ascii="Times New Roman" w:hAnsi="Times New Roman" w:cs="Times New Roman"/>
          <w:b/>
          <w:sz w:val="24"/>
          <w:szCs w:val="24"/>
        </w:rPr>
      </w:pPr>
      <w:r w:rsidRPr="00A97E01">
        <w:rPr>
          <w:rFonts w:ascii="Times New Roman" w:hAnsi="Times New Roman" w:cs="Times New Roman"/>
          <w:b/>
          <w:sz w:val="24"/>
          <w:szCs w:val="24"/>
        </w:rPr>
        <w:t xml:space="preserve">COMPETING INTERESTS </w:t>
      </w:r>
    </w:p>
    <w:p w:rsidR="00195026" w:rsidRPr="00A97E01" w:rsidRDefault="00195026" w:rsidP="00195026">
      <w:pPr>
        <w:jc w:val="both"/>
        <w:outlineLvl w:val="0"/>
        <w:rPr>
          <w:rFonts w:ascii="Times New Roman" w:hAnsi="Times New Roman" w:cs="Times New Roman"/>
          <w:sz w:val="24"/>
          <w:szCs w:val="24"/>
        </w:rPr>
      </w:pPr>
      <w:r w:rsidRPr="00A97E01">
        <w:rPr>
          <w:rFonts w:ascii="Times New Roman" w:hAnsi="Times New Roman" w:cs="Times New Roman"/>
          <w:sz w:val="24"/>
          <w:szCs w:val="24"/>
        </w:rPr>
        <w:t>None declared.</w:t>
      </w:r>
    </w:p>
    <w:p w:rsidR="00195026" w:rsidRPr="00A97E01" w:rsidRDefault="00195026" w:rsidP="00195026">
      <w:pPr>
        <w:jc w:val="both"/>
        <w:rPr>
          <w:rFonts w:ascii="Times New Roman" w:hAnsi="Times New Roman" w:cs="Times New Roman"/>
          <w:b/>
          <w:sz w:val="24"/>
          <w:szCs w:val="24"/>
        </w:rPr>
      </w:pPr>
    </w:p>
    <w:p w:rsidR="00195026" w:rsidRPr="00A97E01" w:rsidRDefault="00195026" w:rsidP="00195026">
      <w:pPr>
        <w:jc w:val="both"/>
        <w:outlineLvl w:val="0"/>
        <w:rPr>
          <w:rFonts w:ascii="Times New Roman" w:hAnsi="Times New Roman" w:cs="Times New Roman"/>
          <w:b/>
          <w:sz w:val="24"/>
          <w:szCs w:val="24"/>
        </w:rPr>
      </w:pPr>
      <w:r w:rsidRPr="00A97E01">
        <w:rPr>
          <w:rFonts w:ascii="Times New Roman" w:hAnsi="Times New Roman" w:cs="Times New Roman"/>
          <w:b/>
          <w:sz w:val="24"/>
          <w:szCs w:val="24"/>
        </w:rPr>
        <w:t>FUNDING</w:t>
      </w:r>
    </w:p>
    <w:p w:rsidR="00195026" w:rsidRPr="00A97E01" w:rsidRDefault="003F3457" w:rsidP="003F3457">
      <w:pPr>
        <w:jc w:val="both"/>
        <w:rPr>
          <w:rFonts w:ascii="Times New Roman" w:hAnsi="Times New Roman" w:cs="Times New Roman"/>
          <w:b/>
          <w:sz w:val="24"/>
          <w:szCs w:val="24"/>
        </w:rPr>
      </w:pPr>
      <w:r w:rsidRPr="00A97E01">
        <w:rPr>
          <w:rFonts w:ascii="Times New Roman" w:hAnsi="Times New Roman" w:cs="Times New Roman"/>
          <w:sz w:val="24"/>
          <w:szCs w:val="24"/>
        </w:rPr>
        <w:t>This research did not receive any specific grant from funding agencies in the public, commercial, or not-for-profit sectors.</w:t>
      </w:r>
    </w:p>
    <w:p w:rsidR="003F3457" w:rsidRPr="00A97E01" w:rsidRDefault="003F3457" w:rsidP="00195026">
      <w:pPr>
        <w:jc w:val="both"/>
        <w:outlineLvl w:val="0"/>
        <w:rPr>
          <w:rFonts w:ascii="Times New Roman" w:hAnsi="Times New Roman" w:cs="Times New Roman"/>
          <w:b/>
          <w:sz w:val="24"/>
          <w:szCs w:val="24"/>
        </w:rPr>
      </w:pPr>
    </w:p>
    <w:p w:rsidR="00195026" w:rsidRPr="00A97E01" w:rsidRDefault="00195026" w:rsidP="00195026">
      <w:pPr>
        <w:jc w:val="both"/>
        <w:outlineLvl w:val="0"/>
        <w:rPr>
          <w:rFonts w:ascii="Times New Roman" w:hAnsi="Times New Roman" w:cs="Times New Roman"/>
          <w:b/>
          <w:sz w:val="24"/>
          <w:szCs w:val="24"/>
        </w:rPr>
      </w:pPr>
      <w:r w:rsidRPr="00A97E01">
        <w:rPr>
          <w:rFonts w:ascii="Times New Roman" w:hAnsi="Times New Roman" w:cs="Times New Roman"/>
          <w:b/>
          <w:sz w:val="24"/>
          <w:szCs w:val="24"/>
        </w:rPr>
        <w:t xml:space="preserve">CONTRIBUTORS </w:t>
      </w:r>
    </w:p>
    <w:p w:rsidR="00195026" w:rsidRPr="00A97E01" w:rsidRDefault="00195026" w:rsidP="00195026">
      <w:pPr>
        <w:jc w:val="both"/>
        <w:rPr>
          <w:rFonts w:ascii="Times New Roman" w:hAnsi="Times New Roman" w:cs="Times New Roman"/>
          <w:b/>
          <w:sz w:val="24"/>
          <w:szCs w:val="24"/>
        </w:rPr>
      </w:pPr>
      <w:r w:rsidRPr="00A97E01">
        <w:rPr>
          <w:rFonts w:ascii="Times New Roman" w:hAnsi="Times New Roman" w:cs="Times New Roman"/>
          <w:sz w:val="24"/>
          <w:szCs w:val="24"/>
        </w:rPr>
        <w:t>JAN and CO contributed to the conception and design of the study. CO performed the statistical analysis and JAN and CO contributed to the interpretation of the data. JAN drafted the manuscript and CO revised the article critically. Both authors contributed to the final version of the article and approval of the version to be published.</w:t>
      </w:r>
    </w:p>
    <w:p w:rsidR="00195026" w:rsidRPr="00A97E01" w:rsidRDefault="00195026" w:rsidP="00195026">
      <w:pPr>
        <w:jc w:val="both"/>
        <w:rPr>
          <w:rFonts w:ascii="Times New Roman" w:hAnsi="Times New Roman" w:cs="Times New Roman"/>
          <w:b/>
          <w:sz w:val="24"/>
          <w:szCs w:val="24"/>
        </w:rPr>
      </w:pPr>
    </w:p>
    <w:p w:rsidR="00195026" w:rsidRPr="00A97E01" w:rsidRDefault="00195026" w:rsidP="00195026">
      <w:pPr>
        <w:jc w:val="both"/>
        <w:outlineLvl w:val="0"/>
        <w:rPr>
          <w:rFonts w:ascii="Times New Roman" w:hAnsi="Times New Roman" w:cs="Times New Roman"/>
          <w:b/>
          <w:sz w:val="24"/>
          <w:szCs w:val="24"/>
        </w:rPr>
      </w:pPr>
      <w:r w:rsidRPr="00A97E01">
        <w:rPr>
          <w:rFonts w:ascii="Times New Roman" w:hAnsi="Times New Roman" w:cs="Times New Roman"/>
          <w:b/>
          <w:sz w:val="24"/>
          <w:szCs w:val="24"/>
        </w:rPr>
        <w:t xml:space="preserve">ETHICS APPROVAL </w:t>
      </w:r>
    </w:p>
    <w:p w:rsidR="00195026" w:rsidRPr="00A97E01" w:rsidRDefault="00195026" w:rsidP="00195026">
      <w:pPr>
        <w:jc w:val="both"/>
        <w:rPr>
          <w:rFonts w:ascii="Times New Roman" w:hAnsi="Times New Roman" w:cs="Times New Roman"/>
          <w:sz w:val="24"/>
          <w:szCs w:val="24"/>
        </w:rPr>
      </w:pPr>
      <w:r w:rsidRPr="00A97E01">
        <w:rPr>
          <w:rFonts w:ascii="Times New Roman" w:hAnsi="Times New Roman" w:cs="Times New Roman"/>
          <w:sz w:val="24"/>
          <w:szCs w:val="24"/>
        </w:rPr>
        <w:t>NHS research ethics approval was granted for UK CF Registry and each patient or legally authorised representative provided written informed consent for data collection and research. Under the terms of the NHS ethics approval, the UK CF trust steering committee approved this study.</w:t>
      </w:r>
    </w:p>
    <w:p w:rsidR="004D3C77" w:rsidRPr="00A97E01" w:rsidRDefault="00195026" w:rsidP="004D3C77">
      <w:pPr>
        <w:jc w:val="both"/>
        <w:outlineLvl w:val="0"/>
        <w:rPr>
          <w:rFonts w:ascii="Times" w:hAnsi="Times"/>
          <w:b/>
          <w:sz w:val="24"/>
          <w:szCs w:val="24"/>
        </w:rPr>
      </w:pPr>
      <w:r w:rsidRPr="00A97E01">
        <w:rPr>
          <w:rFonts w:ascii="Times" w:hAnsi="Times"/>
          <w:b/>
          <w:sz w:val="24"/>
          <w:szCs w:val="24"/>
        </w:rPr>
        <w:br w:type="page"/>
      </w:r>
      <w:r w:rsidR="004D3C77" w:rsidRPr="00A97E01">
        <w:rPr>
          <w:rFonts w:ascii="Times" w:hAnsi="Times"/>
          <w:b/>
          <w:sz w:val="24"/>
          <w:szCs w:val="24"/>
        </w:rPr>
        <w:t>References</w:t>
      </w:r>
    </w:p>
    <w:p w:rsidR="004D3C77" w:rsidRPr="00A97E01" w:rsidRDefault="004D3C77" w:rsidP="004D3C77">
      <w:pPr>
        <w:jc w:val="both"/>
        <w:rPr>
          <w:rFonts w:ascii="Times" w:hAnsi="Times"/>
        </w:rPr>
      </w:pPr>
    </w:p>
    <w:p w:rsidR="004D3C77" w:rsidRPr="00A97E01" w:rsidRDefault="004D3C77" w:rsidP="00BC63BC">
      <w:pPr>
        <w:shd w:val="clear" w:color="auto" w:fill="FFFFFF"/>
        <w:spacing w:before="240" w:after="120"/>
        <w:jc w:val="both"/>
        <w:outlineLvl w:val="0"/>
        <w:rPr>
          <w:rFonts w:ascii="Times New Roman" w:eastAsia="Times New Roman" w:hAnsi="Times New Roman" w:cs="Times New Roman"/>
          <w:bCs/>
          <w:kern w:val="36"/>
          <w:lang w:eastAsia="en-GB"/>
        </w:rPr>
      </w:pPr>
      <w:r w:rsidRPr="00A97E01">
        <w:t>[1]</w:t>
      </w:r>
      <w:r w:rsidRPr="00A97E01">
        <w:tab/>
      </w:r>
      <w:hyperlink r:id="rId9" w:history="1">
        <w:r w:rsidRPr="00A97E01">
          <w:rPr>
            <w:rFonts w:ascii="Times New Roman" w:eastAsia="Times New Roman" w:hAnsi="Times New Roman" w:cs="Times New Roman"/>
            <w:lang w:eastAsia="en-GB"/>
          </w:rPr>
          <w:t>Salvatore D</w:t>
        </w:r>
      </w:hyperlink>
      <w:r w:rsidRPr="00A97E01">
        <w:rPr>
          <w:rFonts w:ascii="Times New Roman" w:eastAsia="Times New Roman" w:hAnsi="Times New Roman" w:cs="Times New Roman"/>
          <w:lang w:eastAsia="en-GB"/>
        </w:rPr>
        <w:t xml:space="preserve">, </w:t>
      </w:r>
      <w:hyperlink r:id="rId10" w:history="1">
        <w:r w:rsidRPr="00A97E01">
          <w:rPr>
            <w:rFonts w:ascii="Times New Roman" w:eastAsia="Times New Roman" w:hAnsi="Times New Roman" w:cs="Times New Roman"/>
            <w:lang w:eastAsia="en-GB"/>
          </w:rPr>
          <w:t>Buzzetti R</w:t>
        </w:r>
      </w:hyperlink>
      <w:r w:rsidRPr="00A97E01">
        <w:rPr>
          <w:rFonts w:ascii="Times New Roman" w:eastAsia="Times New Roman" w:hAnsi="Times New Roman" w:cs="Times New Roman"/>
          <w:lang w:eastAsia="en-GB"/>
        </w:rPr>
        <w:t xml:space="preserve">, </w:t>
      </w:r>
      <w:hyperlink r:id="rId11" w:history="1">
        <w:r w:rsidRPr="00A97E01">
          <w:rPr>
            <w:rFonts w:ascii="Times New Roman" w:eastAsia="Times New Roman" w:hAnsi="Times New Roman" w:cs="Times New Roman"/>
            <w:lang w:eastAsia="en-GB"/>
          </w:rPr>
          <w:t>Baldo E</w:t>
        </w:r>
      </w:hyperlink>
      <w:r w:rsidRPr="00A97E01">
        <w:rPr>
          <w:rFonts w:ascii="Times New Roman" w:eastAsia="Times New Roman" w:hAnsi="Times New Roman" w:cs="Times New Roman"/>
          <w:lang w:eastAsia="en-GB"/>
        </w:rPr>
        <w:t xml:space="preserve">, Furnari ML, Lucidi V, Manunza D </w:t>
      </w:r>
      <w:r w:rsidRPr="00A97E01">
        <w:rPr>
          <w:rFonts w:ascii="Times New Roman" w:eastAsia="Times New Roman" w:hAnsi="Times New Roman" w:cs="Times New Roman"/>
          <w:i/>
          <w:lang w:eastAsia="en-GB"/>
        </w:rPr>
        <w:t>et al.</w:t>
      </w:r>
      <w:r w:rsidRPr="00A97E01">
        <w:rPr>
          <w:rFonts w:ascii="Times New Roman" w:eastAsia="Times New Roman" w:hAnsi="Times New Roman" w:cs="Times New Roman"/>
          <w:bCs/>
          <w:kern w:val="36"/>
          <w:lang w:eastAsia="en-GB"/>
        </w:rPr>
        <w:t xml:space="preserve"> An overview of international literature from cystic fibrosis registries. Part 4: update 2011.</w:t>
      </w:r>
      <w:r w:rsidRPr="00A97E01">
        <w:rPr>
          <w:rFonts w:ascii="Times New Roman" w:eastAsia="Times New Roman" w:hAnsi="Times New Roman" w:cs="Times New Roman"/>
          <w:lang w:eastAsia="en-GB"/>
        </w:rPr>
        <w:t xml:space="preserve"> </w:t>
      </w:r>
      <w:hyperlink r:id="rId12" w:tooltip="Journal of cystic fibrosis : official journal of the European Cystic Fibrosis Society." w:history="1">
        <w:r w:rsidRPr="00A97E01">
          <w:rPr>
            <w:rFonts w:ascii="Times New Roman" w:eastAsia="Times New Roman" w:hAnsi="Times New Roman" w:cs="Times New Roman"/>
            <w:i/>
            <w:lang w:eastAsia="en-GB"/>
          </w:rPr>
          <w:t>J Cyst Fibros</w:t>
        </w:r>
      </w:hyperlink>
      <w:r w:rsidRPr="00A97E01">
        <w:rPr>
          <w:rFonts w:ascii="Times New Roman" w:eastAsia="Times New Roman" w:hAnsi="Times New Roman" w:cs="Times New Roman"/>
          <w:lang w:eastAsia="en-GB"/>
        </w:rPr>
        <w:t xml:space="preserve"> 2012;11(6):480-93.</w:t>
      </w:r>
    </w:p>
    <w:p w:rsidR="004D3C77" w:rsidRPr="00A97E01" w:rsidRDefault="004D3C77" w:rsidP="00BC63BC">
      <w:pPr>
        <w:jc w:val="both"/>
        <w:rPr>
          <w:rFonts w:ascii="Times New Roman" w:hAnsi="Times New Roman" w:cs="Times New Roman"/>
        </w:rPr>
      </w:pPr>
      <w:r w:rsidRPr="00A97E01">
        <w:rPr>
          <w:rFonts w:ascii="Times New Roman" w:hAnsi="Times New Roman" w:cs="Times New Roman"/>
        </w:rPr>
        <w:t>[2]</w:t>
      </w:r>
      <w:r w:rsidRPr="00A97E01">
        <w:rPr>
          <w:rFonts w:ascii="Times New Roman" w:hAnsi="Times New Roman" w:cs="Times New Roman"/>
        </w:rPr>
        <w:tab/>
        <w:t xml:space="preserve">Stern M, Niemann N, Wiedemann B, Wenzlaff P on behalf of the German CFQA Group. Benchmarking improves quality in cystic fibrosis care: a pilot project involving 12 centres. </w:t>
      </w:r>
      <w:hyperlink r:id="rId13" w:tooltip="International journal for quality in health care : journal of the International Society for Quality in Health Care / ISQua." w:history="1">
        <w:r w:rsidRPr="00A97E01">
          <w:rPr>
            <w:rFonts w:ascii="Times New Roman" w:eastAsia="Times New Roman" w:hAnsi="Times New Roman" w:cs="Times New Roman"/>
            <w:i/>
            <w:lang w:eastAsia="en-GB"/>
          </w:rPr>
          <w:t>Int J Qual Health Care</w:t>
        </w:r>
      </w:hyperlink>
      <w:r w:rsidRPr="00A97E01">
        <w:rPr>
          <w:rFonts w:ascii="Times New Roman" w:eastAsia="Times New Roman" w:hAnsi="Times New Roman" w:cs="Times New Roman"/>
          <w:i/>
          <w:lang w:eastAsia="en-GB"/>
        </w:rPr>
        <w:t xml:space="preserve"> </w:t>
      </w:r>
      <w:r w:rsidRPr="00A97E01">
        <w:rPr>
          <w:rFonts w:ascii="Times New Roman" w:hAnsi="Times New Roman" w:cs="Times New Roman"/>
        </w:rPr>
        <w:t>2011;23(3):349-56.</w:t>
      </w:r>
    </w:p>
    <w:p w:rsidR="00BC63BC" w:rsidRPr="00A97E01" w:rsidRDefault="00BC63BC" w:rsidP="00BC63BC">
      <w:pPr>
        <w:jc w:val="both"/>
        <w:rPr>
          <w:rFonts w:ascii="Times New Roman" w:eastAsia="Times New Roman" w:hAnsi="Times New Roman" w:cs="Times New Roman"/>
          <w:bCs/>
          <w:kern w:val="36"/>
          <w:lang w:eastAsia="en-GB"/>
        </w:rPr>
      </w:pPr>
    </w:p>
    <w:p w:rsidR="004D3C77" w:rsidRPr="00A97E01" w:rsidRDefault="004D3C77" w:rsidP="00BC63BC">
      <w:pPr>
        <w:jc w:val="both"/>
        <w:rPr>
          <w:rFonts w:ascii="Times New Roman" w:hAnsi="Times New Roman" w:cs="Times New Roman"/>
        </w:rPr>
      </w:pPr>
      <w:r w:rsidRPr="00A97E01">
        <w:rPr>
          <w:rFonts w:ascii="Times New Roman" w:eastAsia="Times New Roman" w:hAnsi="Times New Roman" w:cs="Times New Roman"/>
          <w:bCs/>
          <w:kern w:val="36"/>
          <w:lang w:eastAsia="en-GB"/>
        </w:rPr>
        <w:t>[3]</w:t>
      </w:r>
      <w:r w:rsidRPr="00A97E01">
        <w:rPr>
          <w:rFonts w:ascii="Times New Roman" w:eastAsia="Times New Roman" w:hAnsi="Times New Roman" w:cs="Times New Roman"/>
          <w:bCs/>
          <w:kern w:val="36"/>
          <w:lang w:eastAsia="en-GB"/>
        </w:rPr>
        <w:tab/>
        <w:t xml:space="preserve">Boyle MP, Sabadosa KA, Quinton HB, Marshall BC, Schechter MS. Key findings of the US Cystic Fibrosis Foundation's clinical practice benchmarking project. </w:t>
      </w:r>
      <w:hyperlink r:id="rId14" w:tooltip="BMJ quality &amp; safety." w:history="1">
        <w:r w:rsidRPr="00A97E01">
          <w:rPr>
            <w:rFonts w:ascii="Times New Roman" w:eastAsia="Times New Roman" w:hAnsi="Times New Roman" w:cs="Times New Roman"/>
            <w:i/>
            <w:lang w:eastAsia="en-GB"/>
          </w:rPr>
          <w:t>BMJ Qual Saf</w:t>
        </w:r>
      </w:hyperlink>
      <w:r w:rsidRPr="00A97E01">
        <w:rPr>
          <w:rFonts w:ascii="Times New Roman" w:eastAsia="Times New Roman" w:hAnsi="Times New Roman" w:cs="Times New Roman"/>
          <w:lang w:eastAsia="en-GB"/>
        </w:rPr>
        <w:t xml:space="preserve"> 2014;23:i15-i22.</w:t>
      </w:r>
    </w:p>
    <w:p w:rsidR="004D3C77" w:rsidRPr="00A97E01" w:rsidRDefault="004D3C77" w:rsidP="00BC63BC">
      <w:pPr>
        <w:shd w:val="clear" w:color="auto" w:fill="FFFFFF"/>
        <w:spacing w:before="240" w:after="120"/>
        <w:jc w:val="both"/>
        <w:outlineLvl w:val="0"/>
        <w:rPr>
          <w:rFonts w:ascii="Times New Roman" w:eastAsia="Times New Roman" w:hAnsi="Times New Roman" w:cs="Times New Roman"/>
          <w:bCs/>
          <w:kern w:val="36"/>
          <w:lang w:eastAsia="en-GB"/>
        </w:rPr>
      </w:pPr>
      <w:r w:rsidRPr="00A97E01">
        <w:t>[4]</w:t>
      </w:r>
      <w:r w:rsidRPr="00A97E01">
        <w:tab/>
      </w:r>
      <w:hyperlink r:id="rId15" w:history="1">
        <w:r w:rsidRPr="00A97E01">
          <w:rPr>
            <w:rFonts w:ascii="Times New Roman" w:eastAsia="Times New Roman" w:hAnsi="Times New Roman" w:cs="Times New Roman"/>
            <w:lang w:eastAsia="en-GB"/>
          </w:rPr>
          <w:t>Martin B</w:t>
        </w:r>
      </w:hyperlink>
      <w:r w:rsidRPr="00A97E01">
        <w:rPr>
          <w:rFonts w:ascii="Times New Roman" w:eastAsia="Times New Roman" w:hAnsi="Times New Roman" w:cs="Times New Roman"/>
          <w:lang w:eastAsia="en-GB"/>
        </w:rPr>
        <w:t xml:space="preserve">, </w:t>
      </w:r>
      <w:hyperlink r:id="rId16" w:history="1">
        <w:r w:rsidRPr="00A97E01">
          <w:rPr>
            <w:rFonts w:ascii="Times New Roman" w:eastAsia="Times New Roman" w:hAnsi="Times New Roman" w:cs="Times New Roman"/>
            <w:lang w:eastAsia="en-GB"/>
          </w:rPr>
          <w:t>Schechter MS</w:t>
        </w:r>
      </w:hyperlink>
      <w:r w:rsidRPr="00A97E01">
        <w:rPr>
          <w:rFonts w:ascii="Times New Roman" w:eastAsia="Times New Roman" w:hAnsi="Times New Roman" w:cs="Times New Roman"/>
          <w:lang w:eastAsia="en-GB"/>
        </w:rPr>
        <w:t xml:space="preserve">, </w:t>
      </w:r>
      <w:hyperlink r:id="rId17" w:history="1">
        <w:r w:rsidRPr="00A97E01">
          <w:rPr>
            <w:rFonts w:ascii="Times New Roman" w:eastAsia="Times New Roman" w:hAnsi="Times New Roman" w:cs="Times New Roman"/>
            <w:lang w:eastAsia="en-GB"/>
          </w:rPr>
          <w:t>Jaffe A</w:t>
        </w:r>
      </w:hyperlink>
      <w:r w:rsidRPr="00A97E01">
        <w:rPr>
          <w:rFonts w:ascii="Times New Roman" w:eastAsia="Times New Roman" w:hAnsi="Times New Roman" w:cs="Times New Roman"/>
          <w:lang w:eastAsia="en-GB"/>
        </w:rPr>
        <w:t xml:space="preserve">, </w:t>
      </w:r>
      <w:r w:rsidRPr="00A97E01">
        <w:rPr>
          <w:rFonts w:ascii="Times New Roman" w:hAnsi="Times New Roman" w:cs="Times New Roman"/>
        </w:rPr>
        <w:t>Cooper P, Bell SC, Ranganathan S.</w:t>
      </w:r>
      <w:r w:rsidRPr="00A97E01">
        <w:rPr>
          <w:rFonts w:ascii="Times New Roman" w:eastAsia="Times New Roman" w:hAnsi="Times New Roman" w:cs="Times New Roman"/>
          <w:bCs/>
          <w:kern w:val="36"/>
          <w:lang w:eastAsia="en-GB"/>
        </w:rPr>
        <w:t xml:space="preserve"> Comparison of the US and Australian cystic fibrosis registries: the impact of newborn screening.</w:t>
      </w:r>
      <w:r w:rsidRPr="00A97E01">
        <w:rPr>
          <w:rFonts w:ascii="Times New Roman" w:eastAsia="Times New Roman" w:hAnsi="Times New Roman" w:cs="Times New Roman"/>
          <w:lang w:eastAsia="en-GB"/>
        </w:rPr>
        <w:t xml:space="preserve"> </w:t>
      </w:r>
      <w:r w:rsidRPr="00A97E01">
        <w:rPr>
          <w:rFonts w:ascii="Times New Roman" w:eastAsia="Times New Roman" w:hAnsi="Times New Roman" w:cs="Times New Roman"/>
          <w:i/>
          <w:lang w:eastAsia="en-GB"/>
        </w:rPr>
        <w:t>Pediatrics</w:t>
      </w:r>
      <w:r w:rsidRPr="00A97E01">
        <w:rPr>
          <w:rFonts w:ascii="Times New Roman" w:eastAsia="Times New Roman" w:hAnsi="Times New Roman" w:cs="Times New Roman"/>
          <w:lang w:eastAsia="en-GB"/>
        </w:rPr>
        <w:t xml:space="preserve"> 2012;129(2):e348-55. </w:t>
      </w:r>
    </w:p>
    <w:p w:rsidR="004D3C77" w:rsidRPr="00A97E01" w:rsidRDefault="004D3C77" w:rsidP="00BC63BC">
      <w:pPr>
        <w:shd w:val="clear" w:color="auto" w:fill="FFFFFF"/>
        <w:spacing w:before="240" w:after="120"/>
        <w:jc w:val="both"/>
        <w:outlineLvl w:val="0"/>
        <w:rPr>
          <w:rFonts w:ascii="Times New Roman" w:eastAsia="Times New Roman" w:hAnsi="Times New Roman" w:cs="Times New Roman"/>
          <w:bCs/>
          <w:kern w:val="36"/>
          <w:lang w:eastAsia="en-GB"/>
        </w:rPr>
      </w:pPr>
      <w:r w:rsidRPr="00A97E01">
        <w:rPr>
          <w:rFonts w:ascii="Times New Roman" w:eastAsia="Times New Roman" w:hAnsi="Times New Roman" w:cs="Times New Roman"/>
          <w:bCs/>
          <w:kern w:val="36"/>
          <w:lang w:eastAsia="en-GB"/>
        </w:rPr>
        <w:t xml:space="preserve">[5] </w:t>
      </w:r>
      <w:r w:rsidRPr="00A97E01">
        <w:rPr>
          <w:rFonts w:ascii="Times New Roman" w:eastAsia="Times New Roman" w:hAnsi="Times New Roman" w:cs="Times New Roman"/>
          <w:bCs/>
          <w:kern w:val="36"/>
          <w:lang w:eastAsia="en-GB"/>
        </w:rPr>
        <w:tab/>
      </w:r>
      <w:hyperlink r:id="rId18" w:history="1">
        <w:r w:rsidRPr="00A97E01">
          <w:rPr>
            <w:rFonts w:ascii="Times New Roman" w:eastAsia="Times New Roman" w:hAnsi="Times New Roman" w:cs="Times New Roman"/>
            <w:bCs/>
            <w:lang w:eastAsia="en-GB"/>
          </w:rPr>
          <w:t>Goss</w:t>
        </w:r>
      </w:hyperlink>
      <w:r w:rsidRPr="00A97E01">
        <w:rPr>
          <w:rFonts w:ascii="Times New Roman" w:eastAsia="Times New Roman" w:hAnsi="Times New Roman" w:cs="Times New Roman"/>
          <w:bCs/>
          <w:lang w:eastAsia="en-GB"/>
        </w:rPr>
        <w:t xml:space="preserve"> CH, </w:t>
      </w:r>
      <w:hyperlink r:id="rId19" w:history="1">
        <w:r w:rsidRPr="00A97E01">
          <w:rPr>
            <w:rFonts w:ascii="Times New Roman" w:eastAsia="Times New Roman" w:hAnsi="Times New Roman" w:cs="Times New Roman"/>
            <w:bCs/>
            <w:lang w:eastAsia="en-GB"/>
          </w:rPr>
          <w:t>MacNeill</w:t>
        </w:r>
      </w:hyperlink>
      <w:r w:rsidRPr="00A97E01">
        <w:rPr>
          <w:rFonts w:ascii="Times New Roman" w:eastAsia="Times New Roman" w:hAnsi="Times New Roman" w:cs="Times New Roman"/>
          <w:bCs/>
          <w:lang w:eastAsia="en-GB"/>
        </w:rPr>
        <w:t xml:space="preserve"> SJ,</w:t>
      </w:r>
      <w:hyperlink r:id="rId20" w:history="1">
        <w:r w:rsidRPr="00A97E01">
          <w:rPr>
            <w:rFonts w:ascii="Times New Roman" w:eastAsia="Times New Roman" w:hAnsi="Times New Roman" w:cs="Times New Roman"/>
            <w:bCs/>
            <w:lang w:eastAsia="en-GB"/>
          </w:rPr>
          <w:t xml:space="preserve"> Quinton</w:t>
        </w:r>
      </w:hyperlink>
      <w:r w:rsidRPr="00A97E01">
        <w:rPr>
          <w:rFonts w:ascii="Times New Roman" w:eastAsia="Times New Roman" w:hAnsi="Times New Roman" w:cs="Times New Roman"/>
          <w:bCs/>
          <w:lang w:eastAsia="en-GB"/>
        </w:rPr>
        <w:t xml:space="preserve"> HB, Marshall BC, Elbert A, Knapp EA </w:t>
      </w:r>
      <w:r w:rsidRPr="00A97E01">
        <w:rPr>
          <w:rFonts w:ascii="Times New Roman" w:hAnsi="Times New Roman" w:cs="Times New Roman"/>
          <w:i/>
        </w:rPr>
        <w:t>et al</w:t>
      </w:r>
      <w:r w:rsidRPr="00A97E01">
        <w:rPr>
          <w:rFonts w:ascii="Times New Roman" w:hAnsi="Times New Roman" w:cs="Times New Roman"/>
        </w:rPr>
        <w:t xml:space="preserve">. </w:t>
      </w:r>
      <w:r w:rsidRPr="00A97E01">
        <w:rPr>
          <w:rFonts w:ascii="Times New Roman" w:eastAsia="Times New Roman" w:hAnsi="Times New Roman" w:cs="Times New Roman"/>
          <w:bCs/>
          <w:kern w:val="36"/>
          <w:lang w:eastAsia="en-GB"/>
        </w:rPr>
        <w:t xml:space="preserve">Children and young adults with CF in the USA have better lung function compared with the UK. </w:t>
      </w:r>
      <w:r w:rsidRPr="00A97E01">
        <w:rPr>
          <w:rFonts w:ascii="Times New Roman" w:eastAsia="Times New Roman" w:hAnsi="Times New Roman" w:cs="Times New Roman"/>
          <w:i/>
          <w:iCs/>
          <w:lang w:eastAsia="en-GB"/>
        </w:rPr>
        <w:t>Thorax</w:t>
      </w:r>
      <w:r w:rsidRPr="00A97E01">
        <w:rPr>
          <w:rFonts w:ascii="Times New Roman" w:eastAsia="Times New Roman" w:hAnsi="Times New Roman" w:cs="Times New Roman"/>
          <w:iCs/>
          <w:lang w:eastAsia="en-GB"/>
        </w:rPr>
        <w:t xml:space="preserve"> </w:t>
      </w:r>
      <w:r w:rsidRPr="00A97E01">
        <w:rPr>
          <w:rFonts w:ascii="Times New Roman" w:eastAsia="Times New Roman" w:hAnsi="Times New Roman" w:cs="Times New Roman"/>
          <w:lang w:eastAsia="en-GB"/>
        </w:rPr>
        <w:t>2015;</w:t>
      </w:r>
      <w:r w:rsidRPr="00A97E01">
        <w:rPr>
          <w:rFonts w:ascii="Times New Roman" w:eastAsia="Times New Roman" w:hAnsi="Times New Roman" w:cs="Times New Roman"/>
          <w:bCs/>
          <w:lang w:eastAsia="en-GB"/>
        </w:rPr>
        <w:t>70</w:t>
      </w:r>
      <w:r w:rsidRPr="00A97E01">
        <w:rPr>
          <w:rFonts w:ascii="Times New Roman" w:eastAsia="Times New Roman" w:hAnsi="Times New Roman" w:cs="Times New Roman"/>
          <w:lang w:eastAsia="en-GB"/>
        </w:rPr>
        <w:t>:229-36.</w:t>
      </w:r>
    </w:p>
    <w:p w:rsidR="001749C1" w:rsidRPr="00A97E01" w:rsidRDefault="004D3C77" w:rsidP="00BC63BC">
      <w:pPr>
        <w:jc w:val="both"/>
        <w:rPr>
          <w:rFonts w:ascii="Times New Roman" w:eastAsia="Times New Roman" w:hAnsi="Times New Roman" w:cs="Times New Roman"/>
          <w:bCs/>
          <w:kern w:val="36"/>
          <w:lang w:eastAsia="en-GB"/>
        </w:rPr>
      </w:pPr>
      <w:r w:rsidRPr="00A97E01">
        <w:t xml:space="preserve"> </w:t>
      </w:r>
      <w:r w:rsidR="001749C1" w:rsidRPr="00A97E01">
        <w:rPr>
          <w:rFonts w:ascii="Times New Roman" w:hAnsi="Times New Roman" w:cs="Times New Roman"/>
        </w:rPr>
        <w:t xml:space="preserve">[6] </w:t>
      </w:r>
      <w:r w:rsidR="001749C1" w:rsidRPr="00A97E01">
        <w:rPr>
          <w:rFonts w:ascii="Times New Roman" w:hAnsi="Times New Roman" w:cs="Times New Roman"/>
        </w:rPr>
        <w:tab/>
        <w:t xml:space="preserve">Corey M, McLaughlin FJ, Williams M, Levison H. A comparison of survival, growth, and pulmonary function in patients with cystic fibrosis in Boston and Toronto. </w:t>
      </w:r>
      <w:r w:rsidR="001749C1" w:rsidRPr="00A97E01">
        <w:rPr>
          <w:rFonts w:ascii="Times New Roman" w:hAnsi="Times New Roman" w:cs="Times New Roman"/>
          <w:i/>
        </w:rPr>
        <w:t>J Clin</w:t>
      </w:r>
      <w:r w:rsidR="003F3457" w:rsidRPr="00A97E01">
        <w:rPr>
          <w:rFonts w:ascii="Times New Roman" w:hAnsi="Times New Roman" w:cs="Times New Roman"/>
          <w:i/>
        </w:rPr>
        <w:t xml:space="preserve">ical </w:t>
      </w:r>
      <w:r w:rsidR="001749C1" w:rsidRPr="00A97E01">
        <w:rPr>
          <w:rFonts w:ascii="Times New Roman" w:hAnsi="Times New Roman" w:cs="Times New Roman"/>
          <w:i/>
        </w:rPr>
        <w:t xml:space="preserve"> Epidemio</w:t>
      </w:r>
      <w:r w:rsidR="003F3457" w:rsidRPr="00A97E01">
        <w:rPr>
          <w:rFonts w:ascii="Times New Roman" w:hAnsi="Times New Roman" w:cs="Times New Roman"/>
          <w:i/>
        </w:rPr>
        <w:t>logy</w:t>
      </w:r>
      <w:r w:rsidR="001749C1" w:rsidRPr="00A97E01">
        <w:rPr>
          <w:rFonts w:ascii="Times New Roman" w:hAnsi="Times New Roman" w:cs="Times New Roman"/>
        </w:rPr>
        <w:t xml:space="preserve"> 1988;41:583-91.</w:t>
      </w:r>
    </w:p>
    <w:p w:rsidR="001749C1" w:rsidRPr="00A97E01" w:rsidRDefault="001749C1" w:rsidP="00BC63BC">
      <w:pPr>
        <w:shd w:val="clear" w:color="auto" w:fill="FFFFFF"/>
        <w:spacing w:before="240" w:after="120"/>
        <w:jc w:val="both"/>
        <w:outlineLvl w:val="0"/>
        <w:rPr>
          <w:rFonts w:ascii="Times New Roman" w:eastAsia="Times New Roman" w:hAnsi="Times New Roman" w:cs="Times New Roman"/>
          <w:bCs/>
          <w:kern w:val="36"/>
          <w:lang w:eastAsia="en-GB"/>
        </w:rPr>
      </w:pPr>
      <w:r w:rsidRPr="00A97E01">
        <w:rPr>
          <w:rFonts w:ascii="Times New Roman" w:hAnsi="Times New Roman" w:cs="Times New Roman"/>
        </w:rPr>
        <w:t xml:space="preserve">[7] </w:t>
      </w:r>
      <w:r w:rsidRPr="00A97E01">
        <w:rPr>
          <w:rFonts w:ascii="Times New Roman" w:hAnsi="Times New Roman" w:cs="Times New Roman"/>
        </w:rPr>
        <w:tab/>
        <w:t xml:space="preserve">Johnson C, Butler SM, Konstan MW, Morgan W, Wohl ME. </w:t>
      </w:r>
      <w:r w:rsidRPr="00A97E01">
        <w:rPr>
          <w:rFonts w:ascii="Times New Roman" w:eastAsia="Times New Roman" w:hAnsi="Times New Roman" w:cs="Times New Roman"/>
          <w:bCs/>
          <w:kern w:val="36"/>
          <w:lang w:eastAsia="en-GB"/>
        </w:rPr>
        <w:t>Factors influencing outcomes in cystic fibrosis: a center-based analysis.</w:t>
      </w:r>
      <w:r w:rsidRPr="00A97E01">
        <w:rPr>
          <w:rFonts w:ascii="Times New Roman" w:eastAsia="Times New Roman" w:hAnsi="Times New Roman" w:cs="Times New Roman"/>
          <w:lang w:eastAsia="en-GB"/>
        </w:rPr>
        <w:t xml:space="preserve"> </w:t>
      </w:r>
      <w:r w:rsidRPr="00A97E01">
        <w:rPr>
          <w:rFonts w:ascii="Times New Roman" w:eastAsia="Times New Roman" w:hAnsi="Times New Roman" w:cs="Times New Roman"/>
          <w:i/>
          <w:lang w:eastAsia="en-GB"/>
        </w:rPr>
        <w:t>Chest</w:t>
      </w:r>
      <w:r w:rsidRPr="00A97E01">
        <w:rPr>
          <w:rFonts w:ascii="Times New Roman" w:eastAsia="Times New Roman" w:hAnsi="Times New Roman" w:cs="Times New Roman"/>
          <w:lang w:eastAsia="en-GB"/>
        </w:rPr>
        <w:t xml:space="preserve"> 2003;123(1):20-7.</w:t>
      </w:r>
    </w:p>
    <w:p w:rsidR="001749C1" w:rsidRPr="00A97E01" w:rsidRDefault="001749C1" w:rsidP="00BC63BC">
      <w:pPr>
        <w:shd w:val="clear" w:color="auto" w:fill="FFFFFF"/>
        <w:spacing w:before="240" w:after="120"/>
        <w:jc w:val="both"/>
        <w:outlineLvl w:val="0"/>
        <w:rPr>
          <w:rFonts w:ascii="Times New Roman" w:eastAsia="Times New Roman" w:hAnsi="Times New Roman" w:cs="Times New Roman"/>
          <w:bCs/>
          <w:kern w:val="36"/>
          <w:lang w:eastAsia="en-GB"/>
        </w:rPr>
      </w:pPr>
      <w:r w:rsidRPr="00A97E01">
        <w:rPr>
          <w:rFonts w:ascii="Times New Roman" w:hAnsi="Times New Roman" w:cs="Times New Roman"/>
        </w:rPr>
        <w:t>[8]</w:t>
      </w:r>
      <w:r w:rsidRPr="00A97E01">
        <w:rPr>
          <w:rFonts w:ascii="Times New Roman" w:hAnsi="Times New Roman" w:cs="Times New Roman"/>
        </w:rPr>
        <w:tab/>
      </w:r>
      <w:hyperlink r:id="rId21" w:history="1">
        <w:r w:rsidRPr="00A97E01">
          <w:rPr>
            <w:rFonts w:ascii="Times New Roman" w:eastAsia="Times New Roman" w:hAnsi="Times New Roman" w:cs="Times New Roman"/>
            <w:bCs/>
            <w:lang w:eastAsia="en-GB"/>
          </w:rPr>
          <w:t>Padman</w:t>
        </w:r>
      </w:hyperlink>
      <w:r w:rsidRPr="00A97E01">
        <w:rPr>
          <w:rFonts w:ascii="Times New Roman" w:eastAsia="Times New Roman" w:hAnsi="Times New Roman" w:cs="Times New Roman"/>
          <w:bCs/>
          <w:lang w:eastAsia="en-GB"/>
        </w:rPr>
        <w:t xml:space="preserve"> R,</w:t>
      </w:r>
      <w:hyperlink r:id="rId22" w:history="1">
        <w:r w:rsidRPr="00A97E01">
          <w:rPr>
            <w:rFonts w:ascii="Times New Roman" w:eastAsia="Times New Roman" w:hAnsi="Times New Roman" w:cs="Times New Roman"/>
            <w:bCs/>
            <w:lang w:eastAsia="en-GB"/>
          </w:rPr>
          <w:t xml:space="preserve"> McColley</w:t>
        </w:r>
      </w:hyperlink>
      <w:r w:rsidRPr="00A97E01">
        <w:rPr>
          <w:rFonts w:ascii="Times New Roman" w:eastAsia="Times New Roman" w:hAnsi="Times New Roman" w:cs="Times New Roman"/>
          <w:bCs/>
          <w:lang w:eastAsia="en-GB"/>
        </w:rPr>
        <w:t xml:space="preserve"> SA, </w:t>
      </w:r>
      <w:hyperlink r:id="rId23" w:history="1">
        <w:r w:rsidRPr="00A97E01">
          <w:rPr>
            <w:rFonts w:ascii="Times New Roman" w:eastAsia="Times New Roman" w:hAnsi="Times New Roman" w:cs="Times New Roman"/>
            <w:bCs/>
            <w:lang w:eastAsia="en-GB"/>
          </w:rPr>
          <w:t xml:space="preserve"> Miller</w:t>
        </w:r>
      </w:hyperlink>
      <w:r w:rsidRPr="00A97E01">
        <w:rPr>
          <w:rFonts w:ascii="Times New Roman" w:eastAsia="Times New Roman" w:hAnsi="Times New Roman" w:cs="Times New Roman"/>
          <w:bCs/>
          <w:lang w:eastAsia="en-GB"/>
        </w:rPr>
        <w:t xml:space="preserve"> DP, </w:t>
      </w:r>
      <w:hyperlink r:id="rId24" w:history="1">
        <w:r w:rsidRPr="00A97E01">
          <w:rPr>
            <w:rFonts w:ascii="Times New Roman" w:eastAsia="Times New Roman" w:hAnsi="Times New Roman" w:cs="Times New Roman"/>
            <w:bCs/>
            <w:lang w:eastAsia="en-GB"/>
          </w:rPr>
          <w:t xml:space="preserve"> Konstan MW, Morgan WJ, Schechter MS </w:t>
        </w:r>
        <w:r w:rsidRPr="00A97E01">
          <w:rPr>
            <w:rFonts w:ascii="Times New Roman" w:hAnsi="Times New Roman" w:cs="Times New Roman"/>
            <w:i/>
          </w:rPr>
          <w:t>et al</w:t>
        </w:r>
        <w:r w:rsidRPr="00A97E01">
          <w:rPr>
            <w:rFonts w:ascii="Times New Roman" w:hAnsi="Times New Roman" w:cs="Times New Roman"/>
          </w:rPr>
          <w:t xml:space="preserve"> </w:t>
        </w:r>
      </w:hyperlink>
      <w:r w:rsidRPr="00A97E01">
        <w:rPr>
          <w:rFonts w:ascii="Times New Roman" w:eastAsia="Times New Roman" w:hAnsi="Times New Roman" w:cs="Times New Roman"/>
          <w:bCs/>
          <w:lang w:eastAsia="en-GB"/>
        </w:rPr>
        <w:t>for the Investigators and Coordinators of the Epidemiologic Study of Cystic Fibrosis.</w:t>
      </w:r>
      <w:r w:rsidRPr="00A97E01">
        <w:rPr>
          <w:rFonts w:ascii="Times New Roman" w:eastAsia="Times New Roman" w:hAnsi="Times New Roman" w:cs="Times New Roman"/>
          <w:bCs/>
          <w:kern w:val="36"/>
          <w:lang w:eastAsia="en-GB"/>
        </w:rPr>
        <w:t xml:space="preserve"> Infant Care Patterns at Epidemiologic Study of Cystic Fibrosis Sites That Achieve Superior Childhood Lung Function. </w:t>
      </w:r>
      <w:r w:rsidRPr="00A97E01">
        <w:rPr>
          <w:rFonts w:ascii="Times New Roman" w:eastAsia="Times New Roman" w:hAnsi="Times New Roman" w:cs="Times New Roman"/>
          <w:bCs/>
          <w:i/>
          <w:kern w:val="36"/>
          <w:lang w:eastAsia="en-GB"/>
        </w:rPr>
        <w:t>Pediatrics</w:t>
      </w:r>
      <w:r w:rsidRPr="00A97E01">
        <w:rPr>
          <w:rFonts w:ascii="Times New Roman" w:eastAsia="Times New Roman" w:hAnsi="Times New Roman" w:cs="Times New Roman"/>
          <w:bCs/>
          <w:kern w:val="36"/>
          <w:lang w:eastAsia="en-GB"/>
        </w:rPr>
        <w:t xml:space="preserve"> 2007;119;e531-7.</w:t>
      </w:r>
    </w:p>
    <w:p w:rsidR="00BC63BC" w:rsidRPr="00A97E01" w:rsidRDefault="001749C1" w:rsidP="00BC63BC">
      <w:pPr>
        <w:shd w:val="clear" w:color="auto" w:fill="FFFFFF"/>
        <w:spacing w:before="120" w:after="360"/>
        <w:jc w:val="both"/>
        <w:outlineLvl w:val="0"/>
        <w:rPr>
          <w:rFonts w:ascii="Times New Roman" w:eastAsia="Times New Roman" w:hAnsi="Times New Roman" w:cs="Times New Roman"/>
          <w:lang w:eastAsia="en-GB"/>
        </w:rPr>
      </w:pPr>
      <w:r w:rsidRPr="00A97E01">
        <w:rPr>
          <w:rFonts w:ascii="Times New Roman" w:eastAsia="Times New Roman" w:hAnsi="Times New Roman" w:cs="Times New Roman"/>
          <w:lang w:eastAsia="en-GB"/>
        </w:rPr>
        <w:t>[9]</w:t>
      </w:r>
      <w:r w:rsidRPr="00A97E01">
        <w:rPr>
          <w:rFonts w:ascii="Times New Roman" w:eastAsia="Times New Roman" w:hAnsi="Times New Roman" w:cs="Times New Roman"/>
          <w:lang w:eastAsia="en-GB"/>
        </w:rPr>
        <w:tab/>
      </w:r>
      <w:r w:rsidRPr="00A97E01">
        <w:rPr>
          <w:rFonts w:ascii="Times New Roman" w:hAnsi="Times New Roman" w:cs="Times New Roman"/>
        </w:rPr>
        <w:t xml:space="preserve">Cystic fibrosis strength in numbers. </w:t>
      </w:r>
      <w:r w:rsidRPr="00A97E01">
        <w:rPr>
          <w:rFonts w:ascii="Times New Roman" w:eastAsia="Times New Roman" w:hAnsi="Times New Roman" w:cs="Times New Roman"/>
          <w:lang w:eastAsia="en-GB"/>
        </w:rPr>
        <w:t>UK Cystic Fibrosis Registry 2015 Annual Data Report. Published August 2016.</w:t>
      </w:r>
    </w:p>
    <w:p w:rsidR="00BC63BC" w:rsidRPr="00A97E01" w:rsidRDefault="001749C1" w:rsidP="00BC63BC">
      <w:pPr>
        <w:shd w:val="clear" w:color="auto" w:fill="FFFFFF"/>
        <w:spacing w:before="120" w:after="360"/>
        <w:jc w:val="both"/>
        <w:outlineLvl w:val="0"/>
        <w:rPr>
          <w:rFonts w:ascii="Times New Roman" w:eastAsia="Times New Roman" w:hAnsi="Times New Roman" w:cs="Times New Roman"/>
          <w:lang w:eastAsia="en-GB"/>
        </w:rPr>
      </w:pPr>
      <w:r w:rsidRPr="00A97E01">
        <w:rPr>
          <w:rFonts w:ascii="Times New Roman" w:eastAsia="Times New Roman" w:hAnsi="Times New Roman" w:cs="Times New Roman"/>
          <w:lang w:eastAsia="en-GB"/>
        </w:rPr>
        <w:t>[10]</w:t>
      </w:r>
      <w:r w:rsidRPr="00A97E01">
        <w:rPr>
          <w:rFonts w:ascii="Times New Roman" w:eastAsia="Times New Roman" w:hAnsi="Times New Roman" w:cs="Times New Roman"/>
          <w:lang w:eastAsia="en-GB"/>
        </w:rPr>
        <w:tab/>
        <w:t xml:space="preserve">Spiegelhalter DJ. Funnel plots for comparing institutional performance. </w:t>
      </w:r>
      <w:r w:rsidRPr="00A97E01">
        <w:rPr>
          <w:rFonts w:ascii="Times New Roman" w:eastAsia="Times New Roman" w:hAnsi="Times New Roman" w:cs="Times New Roman"/>
          <w:i/>
          <w:lang w:eastAsia="en-GB"/>
        </w:rPr>
        <w:t xml:space="preserve">Statistics in Medicine </w:t>
      </w:r>
      <w:r w:rsidRPr="00A97E01">
        <w:rPr>
          <w:rFonts w:ascii="Times New Roman" w:eastAsia="Times New Roman" w:hAnsi="Times New Roman" w:cs="Times New Roman"/>
          <w:lang w:eastAsia="en-GB"/>
        </w:rPr>
        <w:t>2005; 24:1185-1202.</w:t>
      </w:r>
    </w:p>
    <w:p w:rsidR="000F2617" w:rsidRPr="00A97E01" w:rsidRDefault="000F2617" w:rsidP="00BC63BC">
      <w:pPr>
        <w:shd w:val="clear" w:color="auto" w:fill="FFFFFF"/>
        <w:spacing w:before="120" w:after="360"/>
        <w:jc w:val="both"/>
        <w:outlineLvl w:val="0"/>
        <w:rPr>
          <w:rFonts w:ascii="Times New Roman" w:eastAsia="Times New Roman" w:hAnsi="Times New Roman" w:cs="Times New Roman"/>
          <w:bCs/>
          <w:kern w:val="36"/>
          <w:lang w:eastAsia="en-GB"/>
        </w:rPr>
      </w:pPr>
      <w:r w:rsidRPr="00A97E01">
        <w:rPr>
          <w:rFonts w:ascii="Times New Roman" w:eastAsia="Times New Roman" w:hAnsi="Times New Roman" w:cs="Times New Roman"/>
          <w:bCs/>
          <w:kern w:val="36"/>
          <w:lang w:eastAsia="en-GB"/>
        </w:rPr>
        <w:t xml:space="preserve">[11] </w:t>
      </w:r>
      <w:r w:rsidRPr="00A97E01">
        <w:rPr>
          <w:rFonts w:ascii="Times New Roman" w:eastAsia="Times New Roman" w:hAnsi="Times New Roman" w:cs="Times New Roman"/>
          <w:bCs/>
          <w:kern w:val="36"/>
          <w:lang w:eastAsia="en-GB"/>
        </w:rPr>
        <w:tab/>
      </w:r>
      <w:r w:rsidR="004E26AC" w:rsidRPr="00A97E01">
        <w:rPr>
          <w:rFonts w:ascii="Times New Roman" w:eastAsia="Times New Roman" w:hAnsi="Times New Roman" w:cs="Times New Roman"/>
          <w:bCs/>
          <w:kern w:val="36"/>
          <w:lang w:eastAsia="en-GB"/>
        </w:rPr>
        <w:t xml:space="preserve">[dataset] </w:t>
      </w:r>
      <w:r w:rsidR="00793C94" w:rsidRPr="00A97E01">
        <w:rPr>
          <w:rFonts w:ascii="Times New Roman" w:hAnsi="Times New Roman" w:cs="Times New Roman"/>
          <w:szCs w:val="24"/>
        </w:rPr>
        <w:t xml:space="preserve">Cystic Fibrosis Trust. </w:t>
      </w:r>
      <w:r w:rsidRPr="00A97E01">
        <w:rPr>
          <w:rFonts w:ascii="Times New Roman" w:hAnsi="Times New Roman" w:cs="Times New Roman"/>
          <w:szCs w:val="24"/>
        </w:rPr>
        <w:t>UK CF Regis</w:t>
      </w:r>
      <w:r w:rsidR="001B6328" w:rsidRPr="00A97E01">
        <w:rPr>
          <w:rFonts w:ascii="Times New Roman" w:hAnsi="Times New Roman" w:cs="Times New Roman"/>
          <w:szCs w:val="24"/>
        </w:rPr>
        <w:t>try. 2013</w:t>
      </w:r>
      <w:r w:rsidRPr="00A97E01">
        <w:rPr>
          <w:rFonts w:ascii="Times New Roman" w:hAnsi="Times New Roman" w:cs="Times New Roman"/>
          <w:szCs w:val="24"/>
        </w:rPr>
        <w:t xml:space="preserve">. </w:t>
      </w:r>
    </w:p>
    <w:p w:rsidR="00BC63BC" w:rsidRPr="00A97E01" w:rsidRDefault="000F2617" w:rsidP="00BC63BC">
      <w:pPr>
        <w:shd w:val="clear" w:color="auto" w:fill="FFFFFF"/>
        <w:spacing w:before="120" w:after="360"/>
        <w:jc w:val="both"/>
        <w:outlineLvl w:val="0"/>
        <w:rPr>
          <w:rFonts w:ascii="Times New Roman" w:hAnsi="Times New Roman" w:cs="Helvetica"/>
        </w:rPr>
      </w:pPr>
      <w:r w:rsidRPr="00A97E01">
        <w:rPr>
          <w:rFonts w:ascii="Times New Roman" w:eastAsia="Times New Roman" w:hAnsi="Times New Roman" w:cs="Times New Roman"/>
          <w:bCs/>
          <w:kern w:val="36"/>
          <w:lang w:eastAsia="en-GB"/>
        </w:rPr>
        <w:t>[12]</w:t>
      </w:r>
      <w:r w:rsidRPr="00A97E01">
        <w:rPr>
          <w:rFonts w:ascii="Times New Roman" w:eastAsia="Times New Roman" w:hAnsi="Times New Roman" w:cs="Times New Roman"/>
          <w:bCs/>
          <w:kern w:val="36"/>
          <w:lang w:eastAsia="en-GB"/>
        </w:rPr>
        <w:tab/>
      </w:r>
      <w:r w:rsidRPr="00A97E01">
        <w:rPr>
          <w:rFonts w:ascii="Times New Roman" w:hAnsi="Times New Roman" w:cs="Helvetica"/>
        </w:rPr>
        <w:t xml:space="preserve">Quanjer PH, Stanojevic S, Cole TJ, Baur X, Hall GL, Culver BH et al. Multi-ethnic reference values for spirometry for the 3-95-yr age range: the global lung function 2012 equations. </w:t>
      </w:r>
      <w:r w:rsidRPr="00A97E01">
        <w:rPr>
          <w:rFonts w:ascii="Times New Roman" w:hAnsi="Times New Roman" w:cs="Helvetica"/>
          <w:i/>
        </w:rPr>
        <w:t>Eur</w:t>
      </w:r>
      <w:r w:rsidRPr="00A97E01">
        <w:rPr>
          <w:rFonts w:ascii="Times New Roman" w:hAnsi="Times New Roman" w:cs="Helvetica"/>
        </w:rPr>
        <w:t xml:space="preserve"> </w:t>
      </w:r>
      <w:r w:rsidRPr="00A97E01">
        <w:rPr>
          <w:rFonts w:ascii="Times New Roman" w:hAnsi="Times New Roman" w:cs="Helvetica"/>
          <w:i/>
        </w:rPr>
        <w:t>Respir</w:t>
      </w:r>
      <w:r w:rsidRPr="00A97E01">
        <w:rPr>
          <w:rFonts w:ascii="Times New Roman" w:hAnsi="Times New Roman" w:cs="Helvetica"/>
        </w:rPr>
        <w:t xml:space="preserve"> 2012;40(6):1324-43.</w:t>
      </w:r>
    </w:p>
    <w:p w:rsidR="00180AB2" w:rsidRPr="00A97E01" w:rsidRDefault="003E61FC" w:rsidP="00BC63BC">
      <w:pPr>
        <w:shd w:val="clear" w:color="auto" w:fill="FFFFFF"/>
        <w:spacing w:before="120" w:after="360"/>
        <w:jc w:val="both"/>
        <w:outlineLvl w:val="0"/>
        <w:rPr>
          <w:rFonts w:ascii="Times New Roman" w:hAnsi="Times New Roman"/>
        </w:rPr>
      </w:pPr>
      <w:r w:rsidRPr="00A97E01">
        <w:rPr>
          <w:rFonts w:ascii="Times New Roman" w:hAnsi="Times New Roman"/>
        </w:rPr>
        <w:t>[13]</w:t>
      </w:r>
      <w:r w:rsidRPr="00A97E01">
        <w:rPr>
          <w:rFonts w:ascii="Times New Roman" w:hAnsi="Times New Roman"/>
        </w:rPr>
        <w:tab/>
      </w:r>
      <w:r w:rsidR="00180AB2" w:rsidRPr="00A97E01">
        <w:rPr>
          <w:rFonts w:ascii="Times New Roman" w:hAnsi="Times New Roman"/>
        </w:rPr>
        <w:t>https://en.wikipedia.org/wiki/Normal_score</w:t>
      </w:r>
      <w:r w:rsidR="00836E81" w:rsidRPr="00A97E01">
        <w:rPr>
          <w:rFonts w:ascii="Times New Roman" w:hAnsi="Times New Roman"/>
        </w:rPr>
        <w:t>.</w:t>
      </w:r>
    </w:p>
    <w:p w:rsidR="00294162" w:rsidRPr="00A97E01" w:rsidRDefault="00741EBE" w:rsidP="00294162">
      <w:pPr>
        <w:shd w:val="clear" w:color="auto" w:fill="FFFFFF"/>
        <w:spacing w:before="120" w:after="360"/>
        <w:jc w:val="both"/>
        <w:outlineLvl w:val="0"/>
        <w:rPr>
          <w:rFonts w:ascii="Times New Roman" w:hAnsi="Times New Roman" w:cs="Times New Roman"/>
        </w:rPr>
      </w:pPr>
      <w:r w:rsidRPr="00A97E01">
        <w:rPr>
          <w:rFonts w:ascii="Times New Roman" w:eastAsia="Times New Roman" w:hAnsi="Times New Roman" w:cs="Times New Roman"/>
          <w:lang w:eastAsia="en-GB"/>
        </w:rPr>
        <w:t>[14</w:t>
      </w:r>
      <w:r w:rsidR="00294162" w:rsidRPr="00A97E01">
        <w:rPr>
          <w:rFonts w:ascii="Times New Roman" w:eastAsia="Times New Roman" w:hAnsi="Times New Roman" w:cs="Times New Roman"/>
          <w:lang w:eastAsia="en-GB"/>
        </w:rPr>
        <w:t>]</w:t>
      </w:r>
      <w:r w:rsidR="00294162" w:rsidRPr="00A97E01">
        <w:rPr>
          <w:rFonts w:ascii="Times New Roman" w:eastAsia="Times New Roman" w:hAnsi="Times New Roman" w:cs="Times New Roman"/>
          <w:lang w:eastAsia="en-GB"/>
        </w:rPr>
        <w:tab/>
      </w:r>
      <w:r w:rsidR="00294162" w:rsidRPr="00A97E01">
        <w:rPr>
          <w:rFonts w:ascii="Times New Roman" w:hAnsi="Times New Roman" w:cs="Times New Roman"/>
        </w:rPr>
        <w:t xml:space="preserve">Kerem E, Reisman J, Corey M, Canny GJ, Levison H. Prediction of mortality in patients with cystic fibrosis. </w:t>
      </w:r>
      <w:r w:rsidR="00294162" w:rsidRPr="00A97E01">
        <w:rPr>
          <w:rFonts w:ascii="Times New Roman" w:hAnsi="Times New Roman" w:cs="Times New Roman"/>
          <w:i/>
        </w:rPr>
        <w:t>N Engl J Med</w:t>
      </w:r>
      <w:r w:rsidR="00294162" w:rsidRPr="00A97E01">
        <w:rPr>
          <w:rFonts w:ascii="Times New Roman" w:hAnsi="Times New Roman" w:cs="Times New Roman"/>
        </w:rPr>
        <w:t xml:space="preserve"> 1992;326(18):1187-91.</w:t>
      </w:r>
    </w:p>
    <w:p w:rsidR="00294162" w:rsidRPr="00A97E01" w:rsidRDefault="00741EBE" w:rsidP="00294162">
      <w:pPr>
        <w:shd w:val="clear" w:color="auto" w:fill="FFFFFF"/>
        <w:spacing w:before="120" w:after="360"/>
        <w:jc w:val="both"/>
        <w:outlineLvl w:val="0"/>
        <w:rPr>
          <w:rFonts w:ascii="Times New Roman" w:eastAsia="Times New Roman" w:hAnsi="Times New Roman" w:cs="Times New Roman"/>
          <w:lang w:eastAsia="en-GB"/>
        </w:rPr>
      </w:pPr>
      <w:r w:rsidRPr="00A97E01">
        <w:rPr>
          <w:rFonts w:ascii="Times New Roman" w:hAnsi="Times New Roman" w:cs="Times New Roman"/>
        </w:rPr>
        <w:t>[15</w:t>
      </w:r>
      <w:r w:rsidR="00294162" w:rsidRPr="00A97E01">
        <w:rPr>
          <w:rFonts w:ascii="Times New Roman" w:hAnsi="Times New Roman" w:cs="Times New Roman"/>
        </w:rPr>
        <w:t xml:space="preserve">] </w:t>
      </w:r>
      <w:r w:rsidR="00294162" w:rsidRPr="00A97E01">
        <w:rPr>
          <w:rFonts w:ascii="Times New Roman" w:hAnsi="Times New Roman" w:cs="Times New Roman"/>
        </w:rPr>
        <w:tab/>
        <w:t xml:space="preserve">Liou TG, Adler FR, Fitzsimmons SC, Cahill BC, Hibbs JR, Marshall BC. Predictive 5-year survivorship model of cystic fibrosis. </w:t>
      </w:r>
      <w:r w:rsidR="00294162" w:rsidRPr="00A97E01">
        <w:rPr>
          <w:rFonts w:ascii="Times New Roman" w:hAnsi="Times New Roman" w:cs="Times New Roman"/>
          <w:i/>
        </w:rPr>
        <w:t>Am J Epidemio</w:t>
      </w:r>
      <w:r w:rsidR="003F3457" w:rsidRPr="00A97E01">
        <w:rPr>
          <w:rFonts w:ascii="Times New Roman" w:hAnsi="Times New Roman" w:cs="Times New Roman"/>
          <w:i/>
        </w:rPr>
        <w:t>logy</w:t>
      </w:r>
      <w:r w:rsidR="00294162" w:rsidRPr="00A97E01">
        <w:rPr>
          <w:rFonts w:ascii="Times New Roman" w:hAnsi="Times New Roman" w:cs="Times New Roman"/>
        </w:rPr>
        <w:t xml:space="preserve"> 2001;153(4):345-52.</w:t>
      </w:r>
    </w:p>
    <w:p w:rsidR="00294162" w:rsidRPr="00A97E01" w:rsidRDefault="00741EBE" w:rsidP="00294162">
      <w:pPr>
        <w:shd w:val="clear" w:color="auto" w:fill="FFFFFF"/>
        <w:spacing w:before="120" w:after="360"/>
        <w:jc w:val="both"/>
        <w:outlineLvl w:val="0"/>
        <w:rPr>
          <w:rFonts w:ascii="Times New Roman" w:eastAsia="Times New Roman" w:hAnsi="Times New Roman" w:cs="Times New Roman"/>
          <w:lang w:eastAsia="en-GB"/>
        </w:rPr>
      </w:pPr>
      <w:r w:rsidRPr="00A97E01">
        <w:rPr>
          <w:rFonts w:ascii="Times New Roman" w:eastAsia="Times New Roman" w:hAnsi="Times New Roman" w:cs="Times New Roman"/>
          <w:lang w:eastAsia="en-GB"/>
        </w:rPr>
        <w:t>[16</w:t>
      </w:r>
      <w:r w:rsidR="00294162" w:rsidRPr="00A97E01">
        <w:rPr>
          <w:rFonts w:ascii="Times New Roman" w:eastAsia="Times New Roman" w:hAnsi="Times New Roman" w:cs="Times New Roman"/>
          <w:lang w:eastAsia="en-GB"/>
        </w:rPr>
        <w:t>]</w:t>
      </w:r>
      <w:r w:rsidR="00294162" w:rsidRPr="00A97E01">
        <w:rPr>
          <w:rFonts w:ascii="Times New Roman" w:eastAsia="Times New Roman" w:hAnsi="Times New Roman" w:cs="Times New Roman"/>
          <w:lang w:eastAsia="en-GB"/>
        </w:rPr>
        <w:tab/>
      </w:r>
      <w:r w:rsidR="00294162" w:rsidRPr="00A97E01">
        <w:rPr>
          <w:rFonts w:ascii="Times New Roman" w:hAnsi="Times New Roman" w:cs="Times New Roman"/>
        </w:rPr>
        <w:t xml:space="preserve">Schluchter MD, Konstan MW, Davis PB. Jointly modelling the relationship between survival and pulmonary function in cystic fibrosis patients. </w:t>
      </w:r>
      <w:r w:rsidR="00294162" w:rsidRPr="00A97E01">
        <w:rPr>
          <w:rFonts w:ascii="Times New Roman" w:hAnsi="Times New Roman" w:cs="Times New Roman"/>
          <w:i/>
        </w:rPr>
        <w:t>Statist Med</w:t>
      </w:r>
      <w:r w:rsidR="00294162" w:rsidRPr="00A97E01">
        <w:rPr>
          <w:rFonts w:ascii="Times New Roman" w:hAnsi="Times New Roman" w:cs="Times New Roman"/>
        </w:rPr>
        <w:t xml:space="preserve"> 2002;21:1271-87.</w:t>
      </w:r>
    </w:p>
    <w:p w:rsidR="00294162" w:rsidRPr="00A97E01" w:rsidRDefault="00741EBE" w:rsidP="00294162">
      <w:pPr>
        <w:shd w:val="clear" w:color="auto" w:fill="FFFFFF"/>
        <w:spacing w:before="120" w:after="360"/>
        <w:jc w:val="both"/>
        <w:outlineLvl w:val="0"/>
        <w:rPr>
          <w:rFonts w:ascii="Times New Roman" w:eastAsia="Times New Roman" w:hAnsi="Times New Roman" w:cs="Times New Roman"/>
          <w:lang w:eastAsia="en-GB"/>
        </w:rPr>
      </w:pPr>
      <w:r w:rsidRPr="00A97E01">
        <w:rPr>
          <w:rFonts w:ascii="Times New Roman" w:hAnsi="Times New Roman" w:cs="Times New Roman"/>
        </w:rPr>
        <w:t xml:space="preserve"> [17</w:t>
      </w:r>
      <w:r w:rsidR="00294162" w:rsidRPr="00A97E01">
        <w:rPr>
          <w:rFonts w:ascii="Times New Roman" w:hAnsi="Times New Roman" w:cs="Times New Roman"/>
        </w:rPr>
        <w:t>]</w:t>
      </w:r>
      <w:r w:rsidR="00294162" w:rsidRPr="00A97E01">
        <w:rPr>
          <w:rFonts w:ascii="Times New Roman" w:hAnsi="Times New Roman" w:cs="Times New Roman"/>
        </w:rPr>
        <w:tab/>
        <w:t xml:space="preserve">Taussig LM, Kattwinkel J, Friedewald WT, Di Sant’Agnese PA. A new prognostic score and clinical evaluation system for cystic fibrosis. </w:t>
      </w:r>
      <w:r w:rsidR="00294162" w:rsidRPr="00A97E01">
        <w:rPr>
          <w:rFonts w:ascii="Times New Roman" w:hAnsi="Times New Roman" w:cs="Times New Roman"/>
          <w:i/>
        </w:rPr>
        <w:t>J Pediatr</w:t>
      </w:r>
      <w:r w:rsidR="003F3457" w:rsidRPr="00A97E01">
        <w:rPr>
          <w:rFonts w:ascii="Times New Roman" w:hAnsi="Times New Roman" w:cs="Times New Roman"/>
          <w:i/>
        </w:rPr>
        <w:t>ics</w:t>
      </w:r>
      <w:r w:rsidR="00294162" w:rsidRPr="00A97E01">
        <w:rPr>
          <w:rFonts w:ascii="Times New Roman" w:hAnsi="Times New Roman" w:cs="Times New Roman"/>
        </w:rPr>
        <w:t xml:space="preserve"> 1973;82(3)</w:t>
      </w:r>
      <w:r w:rsidR="00836E81" w:rsidRPr="00A97E01">
        <w:rPr>
          <w:rFonts w:ascii="Times New Roman" w:hAnsi="Times New Roman" w:cs="Times New Roman"/>
        </w:rPr>
        <w:t>:</w:t>
      </w:r>
      <w:r w:rsidR="00294162" w:rsidRPr="00A97E01">
        <w:rPr>
          <w:rFonts w:ascii="Times New Roman" w:hAnsi="Times New Roman" w:cs="Times New Roman"/>
        </w:rPr>
        <w:t>380-90.</w:t>
      </w:r>
    </w:p>
    <w:p w:rsidR="00294162" w:rsidRPr="00A97E01" w:rsidRDefault="009B6525" w:rsidP="00741EBE">
      <w:pPr>
        <w:shd w:val="clear" w:color="auto" w:fill="FFFFFF"/>
        <w:spacing w:before="120" w:after="360"/>
        <w:jc w:val="both"/>
        <w:outlineLvl w:val="0"/>
        <w:rPr>
          <w:rFonts w:ascii="Times New Roman" w:eastAsia="Times New Roman" w:hAnsi="Times New Roman" w:cs="Times New Roman"/>
          <w:lang w:eastAsia="en-GB"/>
        </w:rPr>
      </w:pPr>
      <w:r w:rsidRPr="00A97E01">
        <w:rPr>
          <w:rFonts w:ascii="Times New Roman" w:eastAsia="Times New Roman" w:hAnsi="Times New Roman" w:cs="Times New Roman"/>
          <w:lang w:eastAsia="en-GB"/>
        </w:rPr>
        <w:t>[18</w:t>
      </w:r>
      <w:r w:rsidR="00294162" w:rsidRPr="00A97E01">
        <w:rPr>
          <w:rFonts w:ascii="Times New Roman" w:eastAsia="Times New Roman" w:hAnsi="Times New Roman" w:cs="Times New Roman"/>
          <w:lang w:eastAsia="en-GB"/>
        </w:rPr>
        <w:t>]</w:t>
      </w:r>
      <w:r w:rsidR="00294162" w:rsidRPr="00A97E01">
        <w:rPr>
          <w:rFonts w:ascii="Times New Roman" w:eastAsia="Times New Roman" w:hAnsi="Times New Roman" w:cs="Times New Roman"/>
          <w:lang w:eastAsia="en-GB"/>
        </w:rPr>
        <w:tab/>
        <w:t xml:space="preserve">Schechter MS. Benchmarking to improve the quality of cystic fibrosis care. </w:t>
      </w:r>
      <w:r w:rsidR="00294162" w:rsidRPr="00A97E01">
        <w:rPr>
          <w:rFonts w:ascii="Times New Roman" w:eastAsia="Times New Roman" w:hAnsi="Times New Roman" w:cs="Times New Roman"/>
          <w:i/>
          <w:lang w:eastAsia="en-GB"/>
        </w:rPr>
        <w:t>Curr Opin Pulm Med</w:t>
      </w:r>
      <w:r w:rsidR="00294162" w:rsidRPr="00A97E01">
        <w:rPr>
          <w:rFonts w:ascii="Times New Roman" w:eastAsia="Times New Roman" w:hAnsi="Times New Roman" w:cs="Times New Roman"/>
          <w:lang w:eastAsia="en-GB"/>
        </w:rPr>
        <w:t xml:space="preserve"> 2012;18(6)</w:t>
      </w:r>
      <w:r w:rsidR="00836E81" w:rsidRPr="00A97E01">
        <w:rPr>
          <w:rFonts w:ascii="Times New Roman" w:eastAsia="Times New Roman" w:hAnsi="Times New Roman" w:cs="Times New Roman"/>
          <w:lang w:eastAsia="en-GB"/>
        </w:rPr>
        <w:t>:</w:t>
      </w:r>
      <w:r w:rsidR="00294162" w:rsidRPr="00A97E01">
        <w:rPr>
          <w:rFonts w:ascii="Times New Roman" w:eastAsia="Times New Roman" w:hAnsi="Times New Roman" w:cs="Times New Roman"/>
          <w:lang w:eastAsia="en-GB"/>
        </w:rPr>
        <w:t>596-601.</w:t>
      </w:r>
    </w:p>
    <w:p w:rsidR="009B6525" w:rsidRPr="00A97E01" w:rsidRDefault="009B6525" w:rsidP="009B6525">
      <w:pPr>
        <w:shd w:val="clear" w:color="auto" w:fill="FFFFFF"/>
        <w:spacing w:before="120" w:after="360"/>
        <w:jc w:val="both"/>
        <w:outlineLvl w:val="0"/>
        <w:rPr>
          <w:rFonts w:ascii="Times New Roman" w:hAnsi="Times New Roman"/>
        </w:rPr>
      </w:pPr>
      <w:r w:rsidRPr="00A97E01">
        <w:rPr>
          <w:rFonts w:ascii="Times New Roman" w:hAnsi="Times New Roman"/>
        </w:rPr>
        <w:t xml:space="preserve">[19] </w:t>
      </w:r>
      <w:r w:rsidRPr="00A97E01">
        <w:rPr>
          <w:rFonts w:ascii="Times New Roman" w:hAnsi="Times New Roman"/>
        </w:rPr>
        <w:tab/>
        <w:t>Konstan MW, Wagener JS, VanDevanter DR, Pasta DJ, Yegin A, Rasouliyan L et al.</w:t>
      </w:r>
      <w:r w:rsidRPr="00A97E01">
        <w:t xml:space="preserve"> </w:t>
      </w:r>
      <w:r w:rsidRPr="00A97E01">
        <w:rPr>
          <w:rFonts w:ascii="Times New Roman" w:hAnsi="Times New Roman"/>
        </w:rPr>
        <w:t>Risk factors for rate of decline in FEV1 in adults with cystic fibrosis. J Cyst Fibros 2012;11(5):405-11.</w:t>
      </w:r>
    </w:p>
    <w:p w:rsidR="00044C61" w:rsidRPr="00A97E01" w:rsidRDefault="009B6525" w:rsidP="009B6525">
      <w:pPr>
        <w:jc w:val="both"/>
        <w:rPr>
          <w:rFonts w:ascii="Times New Roman" w:hAnsi="Times New Roman" w:cs="Times New Roman"/>
        </w:rPr>
      </w:pPr>
      <w:r w:rsidRPr="00A97E01">
        <w:rPr>
          <w:rFonts w:ascii="Times New Roman" w:eastAsia="Times New Roman" w:hAnsi="Times New Roman" w:cs="Times New Roman"/>
          <w:lang w:eastAsia="en-GB"/>
        </w:rPr>
        <w:t xml:space="preserve"> </w:t>
      </w:r>
      <w:r w:rsidR="00044C61" w:rsidRPr="00A97E01">
        <w:rPr>
          <w:rFonts w:ascii="Times New Roman" w:eastAsia="Times New Roman" w:hAnsi="Times New Roman" w:cs="Times New Roman"/>
          <w:lang w:eastAsia="en-GB"/>
        </w:rPr>
        <w:t>[20]</w:t>
      </w:r>
      <w:r w:rsidR="00044C61" w:rsidRPr="00A97E01">
        <w:rPr>
          <w:rFonts w:ascii="Times New Roman" w:eastAsia="Times New Roman" w:hAnsi="Times New Roman" w:cs="Times New Roman"/>
          <w:lang w:eastAsia="en-GB"/>
        </w:rPr>
        <w:tab/>
      </w:r>
      <w:r w:rsidR="00044C61" w:rsidRPr="00A97E01">
        <w:rPr>
          <w:rFonts w:ascii="Times New Roman" w:hAnsi="Times New Roman" w:cs="Times New Roman"/>
        </w:rPr>
        <w:t xml:space="preserve">George PM, Banya W, Pareek N, Bilton D, Cullinan P, Hodson ME </w:t>
      </w:r>
      <w:r w:rsidR="00044C61" w:rsidRPr="00A97E01">
        <w:rPr>
          <w:rFonts w:ascii="Times New Roman" w:hAnsi="Times New Roman" w:cs="Times New Roman"/>
          <w:i/>
        </w:rPr>
        <w:t>et al</w:t>
      </w:r>
      <w:r w:rsidR="00044C61" w:rsidRPr="00A97E01">
        <w:rPr>
          <w:rFonts w:ascii="Times New Roman" w:hAnsi="Times New Roman" w:cs="Times New Roman"/>
        </w:rPr>
        <w:t xml:space="preserve">. Improved survival at low lung function in cystic fibrosis: cohort study from 1990 to 2007. </w:t>
      </w:r>
      <w:r w:rsidR="00044C61" w:rsidRPr="00A97E01">
        <w:rPr>
          <w:rFonts w:ascii="Times New Roman" w:hAnsi="Times New Roman" w:cs="Times New Roman"/>
          <w:i/>
        </w:rPr>
        <w:t>BMJ</w:t>
      </w:r>
      <w:r w:rsidR="00044C61" w:rsidRPr="00A97E01">
        <w:rPr>
          <w:rFonts w:ascii="Times New Roman" w:hAnsi="Times New Roman" w:cs="Times New Roman"/>
        </w:rPr>
        <w:t xml:space="preserve"> 2011;342:d1008.</w:t>
      </w:r>
    </w:p>
    <w:p w:rsidR="004D49BC" w:rsidRPr="00A97E01" w:rsidRDefault="004D49BC" w:rsidP="004D49BC">
      <w:pPr>
        <w:shd w:val="clear" w:color="auto" w:fill="FFFFFF"/>
        <w:spacing w:before="120" w:after="360"/>
        <w:jc w:val="both"/>
        <w:outlineLvl w:val="0"/>
        <w:rPr>
          <w:rFonts w:ascii="Times New Roman" w:eastAsia="Times New Roman" w:hAnsi="Times New Roman" w:cs="Times New Roman"/>
          <w:lang w:eastAsia="en-GB"/>
        </w:rPr>
      </w:pPr>
      <w:r w:rsidRPr="00A97E01">
        <w:rPr>
          <w:rFonts w:ascii="Times New Roman" w:eastAsia="Times New Roman" w:hAnsi="Times New Roman" w:cs="Times New Roman"/>
          <w:lang w:eastAsia="en-GB"/>
        </w:rPr>
        <w:t>[21]</w:t>
      </w:r>
      <w:r w:rsidRPr="00A97E01">
        <w:rPr>
          <w:rFonts w:ascii="Times New Roman" w:eastAsia="Times New Roman" w:hAnsi="Times New Roman" w:cs="Times New Roman"/>
          <w:lang w:eastAsia="en-GB"/>
        </w:rPr>
        <w:tab/>
      </w:r>
      <w:r w:rsidRPr="00A97E01">
        <w:rPr>
          <w:rFonts w:ascii="Times New Roman" w:hAnsi="Times New Roman" w:cs="Times New Roman"/>
        </w:rPr>
        <w:t xml:space="preserve">Schluchter MD, Konstan MW, Davis PB. Jointly modelling the relationship between survival and pulmonary function in cystic fibrosis patients. </w:t>
      </w:r>
      <w:r w:rsidRPr="00A97E01">
        <w:rPr>
          <w:rFonts w:ascii="Times New Roman" w:hAnsi="Times New Roman" w:cs="Times New Roman"/>
          <w:i/>
        </w:rPr>
        <w:t>Statist Med</w:t>
      </w:r>
      <w:r w:rsidRPr="00A97E01">
        <w:rPr>
          <w:rFonts w:ascii="Times New Roman" w:hAnsi="Times New Roman" w:cs="Times New Roman"/>
        </w:rPr>
        <w:t xml:space="preserve"> 2002;21:1271-87.</w:t>
      </w:r>
    </w:p>
    <w:p w:rsidR="004D49BC" w:rsidRPr="00A97E01" w:rsidRDefault="004D49BC" w:rsidP="004D49BC">
      <w:pPr>
        <w:jc w:val="both"/>
        <w:rPr>
          <w:rFonts w:ascii="Times New Roman" w:hAnsi="Times New Roman" w:cs="Times New Roman"/>
        </w:rPr>
      </w:pPr>
      <w:r w:rsidRPr="00A97E01">
        <w:rPr>
          <w:rFonts w:ascii="Times New Roman" w:hAnsi="Times New Roman" w:cs="Times New Roman"/>
        </w:rPr>
        <w:t>[22]</w:t>
      </w:r>
      <w:r w:rsidRPr="00A97E01">
        <w:rPr>
          <w:rFonts w:ascii="Times New Roman" w:hAnsi="Times New Roman" w:cs="Times New Roman"/>
        </w:rPr>
        <w:tab/>
        <w:t xml:space="preserve">Corey M, Edwards L, Levison H, Knowles M. Longitudinal analysis of pulmonary function decline in patients with cystic fibrosis. </w:t>
      </w:r>
      <w:r w:rsidRPr="00A97E01">
        <w:rPr>
          <w:rFonts w:ascii="Times New Roman" w:hAnsi="Times New Roman" w:cs="Times New Roman"/>
          <w:i/>
        </w:rPr>
        <w:t>J Pediat</w:t>
      </w:r>
      <w:r w:rsidR="00F3394D" w:rsidRPr="00A97E01">
        <w:rPr>
          <w:rFonts w:ascii="Times New Roman" w:hAnsi="Times New Roman" w:cs="Times New Roman"/>
          <w:i/>
        </w:rPr>
        <w:t>rics</w:t>
      </w:r>
      <w:r w:rsidRPr="00A97E01">
        <w:rPr>
          <w:rFonts w:ascii="Times New Roman" w:hAnsi="Times New Roman" w:cs="Times New Roman"/>
        </w:rPr>
        <w:t xml:space="preserve"> 1997;131:809-14.</w:t>
      </w:r>
    </w:p>
    <w:p w:rsidR="00002978" w:rsidRPr="00A97E01" w:rsidRDefault="00002978" w:rsidP="00002978">
      <w:pPr>
        <w:spacing w:after="200"/>
        <w:jc w:val="both"/>
        <w:rPr>
          <w:rFonts w:ascii="Times New Roman" w:hAnsi="Times New Roman" w:cs="Times New Roman"/>
        </w:rPr>
      </w:pPr>
    </w:p>
    <w:p w:rsidR="005F3073" w:rsidRPr="00A97E01" w:rsidRDefault="00002978" w:rsidP="00002978">
      <w:pPr>
        <w:spacing w:after="200"/>
        <w:jc w:val="both"/>
        <w:rPr>
          <w:rFonts w:ascii="Times New Roman" w:hAnsi="Times New Roman" w:cs="Times New Roman"/>
        </w:rPr>
      </w:pPr>
      <w:r w:rsidRPr="00A97E01">
        <w:rPr>
          <w:rFonts w:ascii="Times New Roman" w:hAnsi="Times New Roman" w:cs="Times New Roman"/>
        </w:rPr>
        <w:t>[23]</w:t>
      </w:r>
      <w:r w:rsidRPr="00A97E01">
        <w:rPr>
          <w:rFonts w:ascii="Times New Roman" w:hAnsi="Times New Roman" w:cs="Times New Roman"/>
        </w:rPr>
        <w:tab/>
        <w:t xml:space="preserve">Milla CE, Warwick WJ. Risk of death in cystic fibrosis patients with severely compromised lung function. </w:t>
      </w:r>
      <w:r w:rsidRPr="00A97E01">
        <w:rPr>
          <w:rFonts w:ascii="Times New Roman" w:hAnsi="Times New Roman" w:cs="Times New Roman"/>
          <w:i/>
        </w:rPr>
        <w:t>Chest</w:t>
      </w:r>
      <w:r w:rsidRPr="00A97E01">
        <w:rPr>
          <w:rFonts w:ascii="Times New Roman" w:hAnsi="Times New Roman" w:cs="Times New Roman"/>
        </w:rPr>
        <w:t xml:space="preserve"> 1998;113:1230-4.</w:t>
      </w:r>
    </w:p>
    <w:p w:rsidR="00002978" w:rsidRPr="00A97E01" w:rsidRDefault="005F3073" w:rsidP="00002978">
      <w:pPr>
        <w:spacing w:after="200"/>
        <w:jc w:val="both"/>
        <w:rPr>
          <w:rFonts w:ascii="Times New Roman" w:hAnsi="Times New Roman" w:cs="Times New Roman"/>
        </w:rPr>
      </w:pPr>
      <w:r w:rsidRPr="00A97E01">
        <w:rPr>
          <w:rFonts w:ascii="Times New Roman" w:hAnsi="Times New Roman" w:cs="Times New Roman"/>
        </w:rPr>
        <w:t xml:space="preserve">[24] </w:t>
      </w:r>
      <w:r w:rsidRPr="00A97E01">
        <w:rPr>
          <w:rFonts w:ascii="Times New Roman" w:hAnsi="Times New Roman" w:cs="Times New Roman"/>
        </w:rPr>
        <w:tab/>
        <w:t xml:space="preserve">Schlucter MD, Konstan MW, Drumm ML, Yankaskas JR, Knowles MR. Classifying severity of cystic fibrosis lung disease using longitudinal pulmonary function data. </w:t>
      </w:r>
      <w:r w:rsidRPr="00A97E01">
        <w:rPr>
          <w:rFonts w:ascii="Times New Roman" w:hAnsi="Times New Roman" w:cs="Times New Roman"/>
          <w:i/>
        </w:rPr>
        <w:t xml:space="preserve">Am J Respir Crit Care Med </w:t>
      </w:r>
      <w:r w:rsidRPr="00A97E01">
        <w:rPr>
          <w:rFonts w:ascii="Times New Roman" w:hAnsi="Times New Roman" w:cs="Times New Roman"/>
        </w:rPr>
        <w:t>2006;174:780-6.</w:t>
      </w:r>
    </w:p>
    <w:p w:rsidR="007B742C" w:rsidRPr="00A97E01" w:rsidRDefault="007B742C" w:rsidP="00BC63BC">
      <w:pPr>
        <w:shd w:val="clear" w:color="auto" w:fill="FFFFFF"/>
        <w:spacing w:before="120" w:after="360"/>
        <w:jc w:val="both"/>
        <w:outlineLvl w:val="0"/>
      </w:pPr>
    </w:p>
    <w:sectPr w:rsidR="007B742C" w:rsidRPr="00A97E01" w:rsidSect="007B742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Neue LT 75 Bold">
    <w:altName w:val="HelveticaNeue LT 75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01B7722E"/>
    <w:multiLevelType w:val="multilevel"/>
    <w:tmpl w:val="52E48A7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C46CB"/>
    <w:multiLevelType w:val="hybridMultilevel"/>
    <w:tmpl w:val="237A8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570F3A"/>
    <w:multiLevelType w:val="multilevel"/>
    <w:tmpl w:val="9F448F48"/>
    <w:lvl w:ilvl="0">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5A15303"/>
    <w:multiLevelType w:val="hybridMultilevel"/>
    <w:tmpl w:val="1294011E"/>
    <w:lvl w:ilvl="0" w:tplc="6F92CBE8">
      <w:start w:val="5"/>
      <w:numFmt w:val="bullet"/>
      <w:lvlText w:val="-"/>
      <w:lvlJc w:val="left"/>
      <w:pPr>
        <w:ind w:left="720" w:hanging="360"/>
      </w:pPr>
      <w:rPr>
        <w:rFonts w:ascii="Times New Roman" w:eastAsiaTheme="minorHAnsi" w:hAnsi="Times New Roman" w:cs="HelveticaNeue LT 75 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660C0"/>
    <w:multiLevelType w:val="hybridMultilevel"/>
    <w:tmpl w:val="12E8C5E8"/>
    <w:lvl w:ilvl="0" w:tplc="D55A64B6">
      <w:start w:val="8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034592"/>
    <w:multiLevelType w:val="multilevel"/>
    <w:tmpl w:val="56AA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3A57CA"/>
    <w:multiLevelType w:val="hybridMultilevel"/>
    <w:tmpl w:val="C504D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E334D8A"/>
    <w:multiLevelType w:val="multilevel"/>
    <w:tmpl w:val="E290677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6"/>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D92"/>
    <w:rsid w:val="00002978"/>
    <w:rsid w:val="00005857"/>
    <w:rsid w:val="00020E4F"/>
    <w:rsid w:val="00022BF2"/>
    <w:rsid w:val="00024C47"/>
    <w:rsid w:val="00044C61"/>
    <w:rsid w:val="00075CB1"/>
    <w:rsid w:val="00082B82"/>
    <w:rsid w:val="00086E2D"/>
    <w:rsid w:val="000B432A"/>
    <w:rsid w:val="000B4B77"/>
    <w:rsid w:val="000C1A65"/>
    <w:rsid w:val="000E40B7"/>
    <w:rsid w:val="000E5A48"/>
    <w:rsid w:val="000E607D"/>
    <w:rsid w:val="000F2617"/>
    <w:rsid w:val="000F31D9"/>
    <w:rsid w:val="000F3E3A"/>
    <w:rsid w:val="000F5620"/>
    <w:rsid w:val="001231E2"/>
    <w:rsid w:val="00144EB3"/>
    <w:rsid w:val="001522C1"/>
    <w:rsid w:val="001749C1"/>
    <w:rsid w:val="0017678E"/>
    <w:rsid w:val="00180AB2"/>
    <w:rsid w:val="00185CB3"/>
    <w:rsid w:val="00185EFD"/>
    <w:rsid w:val="00187BF3"/>
    <w:rsid w:val="00195026"/>
    <w:rsid w:val="001A37B9"/>
    <w:rsid w:val="001A40D4"/>
    <w:rsid w:val="001A51ED"/>
    <w:rsid w:val="001B2DCA"/>
    <w:rsid w:val="001B6328"/>
    <w:rsid w:val="001C4C3E"/>
    <w:rsid w:val="001D5EA5"/>
    <w:rsid w:val="001E3351"/>
    <w:rsid w:val="001E6542"/>
    <w:rsid w:val="00207A9F"/>
    <w:rsid w:val="002237A0"/>
    <w:rsid w:val="0022389E"/>
    <w:rsid w:val="0023177A"/>
    <w:rsid w:val="00247B1E"/>
    <w:rsid w:val="00255732"/>
    <w:rsid w:val="00270904"/>
    <w:rsid w:val="00276B97"/>
    <w:rsid w:val="0029076D"/>
    <w:rsid w:val="00294162"/>
    <w:rsid w:val="002A5C44"/>
    <w:rsid w:val="002B0026"/>
    <w:rsid w:val="002B15C8"/>
    <w:rsid w:val="002B1CB9"/>
    <w:rsid w:val="002B469E"/>
    <w:rsid w:val="002B59F4"/>
    <w:rsid w:val="002B7F69"/>
    <w:rsid w:val="002C25D0"/>
    <w:rsid w:val="002C775D"/>
    <w:rsid w:val="002D01F6"/>
    <w:rsid w:val="002D530E"/>
    <w:rsid w:val="002E2023"/>
    <w:rsid w:val="003008D3"/>
    <w:rsid w:val="0031057C"/>
    <w:rsid w:val="00347917"/>
    <w:rsid w:val="00351508"/>
    <w:rsid w:val="003534D9"/>
    <w:rsid w:val="00361C27"/>
    <w:rsid w:val="0036202B"/>
    <w:rsid w:val="00386069"/>
    <w:rsid w:val="00394E93"/>
    <w:rsid w:val="00397111"/>
    <w:rsid w:val="003B2CEB"/>
    <w:rsid w:val="003D27D6"/>
    <w:rsid w:val="003E4593"/>
    <w:rsid w:val="003E61FC"/>
    <w:rsid w:val="003F13D4"/>
    <w:rsid w:val="003F3457"/>
    <w:rsid w:val="00400713"/>
    <w:rsid w:val="00400FB9"/>
    <w:rsid w:val="004123D3"/>
    <w:rsid w:val="00417911"/>
    <w:rsid w:val="00445866"/>
    <w:rsid w:val="0044633F"/>
    <w:rsid w:val="0046458F"/>
    <w:rsid w:val="004666AD"/>
    <w:rsid w:val="00474886"/>
    <w:rsid w:val="0047522F"/>
    <w:rsid w:val="0048020A"/>
    <w:rsid w:val="00487FD4"/>
    <w:rsid w:val="00492C64"/>
    <w:rsid w:val="004A50F2"/>
    <w:rsid w:val="004B2668"/>
    <w:rsid w:val="004B2D4F"/>
    <w:rsid w:val="004B4E66"/>
    <w:rsid w:val="004B5A1F"/>
    <w:rsid w:val="004D3C77"/>
    <w:rsid w:val="004D49BC"/>
    <w:rsid w:val="004D7041"/>
    <w:rsid w:val="004E26AC"/>
    <w:rsid w:val="004E7901"/>
    <w:rsid w:val="004F6239"/>
    <w:rsid w:val="005026A3"/>
    <w:rsid w:val="00502BFF"/>
    <w:rsid w:val="00512CCA"/>
    <w:rsid w:val="00520766"/>
    <w:rsid w:val="00536E48"/>
    <w:rsid w:val="00543C42"/>
    <w:rsid w:val="00544795"/>
    <w:rsid w:val="005619F1"/>
    <w:rsid w:val="0057762C"/>
    <w:rsid w:val="00577DA5"/>
    <w:rsid w:val="00580003"/>
    <w:rsid w:val="00587326"/>
    <w:rsid w:val="00592C1A"/>
    <w:rsid w:val="005B5BE2"/>
    <w:rsid w:val="005C66DA"/>
    <w:rsid w:val="005D0D51"/>
    <w:rsid w:val="005D1411"/>
    <w:rsid w:val="005E3AFD"/>
    <w:rsid w:val="005F059D"/>
    <w:rsid w:val="005F1A52"/>
    <w:rsid w:val="005F3073"/>
    <w:rsid w:val="005F4314"/>
    <w:rsid w:val="006003A9"/>
    <w:rsid w:val="00607A97"/>
    <w:rsid w:val="00616B4D"/>
    <w:rsid w:val="00627BA3"/>
    <w:rsid w:val="006613DF"/>
    <w:rsid w:val="00671E0D"/>
    <w:rsid w:val="00672A72"/>
    <w:rsid w:val="00677119"/>
    <w:rsid w:val="006A7CA8"/>
    <w:rsid w:val="006B24D5"/>
    <w:rsid w:val="006B6711"/>
    <w:rsid w:val="006C2BD8"/>
    <w:rsid w:val="006D1001"/>
    <w:rsid w:val="006F12FB"/>
    <w:rsid w:val="006F7D78"/>
    <w:rsid w:val="0071536B"/>
    <w:rsid w:val="007202CD"/>
    <w:rsid w:val="00736B7B"/>
    <w:rsid w:val="00741820"/>
    <w:rsid w:val="00741EBE"/>
    <w:rsid w:val="007439BC"/>
    <w:rsid w:val="00744171"/>
    <w:rsid w:val="00744191"/>
    <w:rsid w:val="00745AAC"/>
    <w:rsid w:val="00764A6B"/>
    <w:rsid w:val="00765B86"/>
    <w:rsid w:val="007922E6"/>
    <w:rsid w:val="00793AC1"/>
    <w:rsid w:val="00793C94"/>
    <w:rsid w:val="007B2616"/>
    <w:rsid w:val="007B3779"/>
    <w:rsid w:val="007B43EB"/>
    <w:rsid w:val="007B742C"/>
    <w:rsid w:val="007C24DA"/>
    <w:rsid w:val="007D6F7F"/>
    <w:rsid w:val="007E0812"/>
    <w:rsid w:val="007E5B57"/>
    <w:rsid w:val="007E66EC"/>
    <w:rsid w:val="007E7E83"/>
    <w:rsid w:val="007F0E63"/>
    <w:rsid w:val="007F736E"/>
    <w:rsid w:val="00800DC5"/>
    <w:rsid w:val="008108F1"/>
    <w:rsid w:val="0081207F"/>
    <w:rsid w:val="00815120"/>
    <w:rsid w:val="008349EE"/>
    <w:rsid w:val="00836E81"/>
    <w:rsid w:val="00842953"/>
    <w:rsid w:val="00842EF4"/>
    <w:rsid w:val="00862B72"/>
    <w:rsid w:val="00863A32"/>
    <w:rsid w:val="00882333"/>
    <w:rsid w:val="00885596"/>
    <w:rsid w:val="00891545"/>
    <w:rsid w:val="00897065"/>
    <w:rsid w:val="008A7B3A"/>
    <w:rsid w:val="008B20F7"/>
    <w:rsid w:val="008B7EB6"/>
    <w:rsid w:val="008C50B7"/>
    <w:rsid w:val="008C51B8"/>
    <w:rsid w:val="008C7258"/>
    <w:rsid w:val="008D1985"/>
    <w:rsid w:val="008D5075"/>
    <w:rsid w:val="008E5A37"/>
    <w:rsid w:val="008E7571"/>
    <w:rsid w:val="008F1071"/>
    <w:rsid w:val="009028D1"/>
    <w:rsid w:val="009043CF"/>
    <w:rsid w:val="00920474"/>
    <w:rsid w:val="0093059A"/>
    <w:rsid w:val="00940984"/>
    <w:rsid w:val="009531C5"/>
    <w:rsid w:val="00961A59"/>
    <w:rsid w:val="009623B6"/>
    <w:rsid w:val="0096262B"/>
    <w:rsid w:val="00963AC0"/>
    <w:rsid w:val="009961C2"/>
    <w:rsid w:val="009A5F8A"/>
    <w:rsid w:val="009B1494"/>
    <w:rsid w:val="009B6525"/>
    <w:rsid w:val="009C357C"/>
    <w:rsid w:val="009C37F2"/>
    <w:rsid w:val="009C4951"/>
    <w:rsid w:val="009E2E43"/>
    <w:rsid w:val="009E5AE3"/>
    <w:rsid w:val="009F0920"/>
    <w:rsid w:val="009F5B80"/>
    <w:rsid w:val="00A05A0D"/>
    <w:rsid w:val="00A617CF"/>
    <w:rsid w:val="00A6471D"/>
    <w:rsid w:val="00A96CFC"/>
    <w:rsid w:val="00A97E01"/>
    <w:rsid w:val="00AA602F"/>
    <w:rsid w:val="00AB391B"/>
    <w:rsid w:val="00AC7CF3"/>
    <w:rsid w:val="00AE5268"/>
    <w:rsid w:val="00AF2805"/>
    <w:rsid w:val="00AF2984"/>
    <w:rsid w:val="00B0183F"/>
    <w:rsid w:val="00B07DF4"/>
    <w:rsid w:val="00B14D8E"/>
    <w:rsid w:val="00B2318A"/>
    <w:rsid w:val="00B24D47"/>
    <w:rsid w:val="00B258D2"/>
    <w:rsid w:val="00B27E9A"/>
    <w:rsid w:val="00B31774"/>
    <w:rsid w:val="00B34F46"/>
    <w:rsid w:val="00B42C67"/>
    <w:rsid w:val="00B45A94"/>
    <w:rsid w:val="00B710D2"/>
    <w:rsid w:val="00B90450"/>
    <w:rsid w:val="00B91B11"/>
    <w:rsid w:val="00BA23D5"/>
    <w:rsid w:val="00BB2823"/>
    <w:rsid w:val="00BC61F5"/>
    <w:rsid w:val="00BC63BC"/>
    <w:rsid w:val="00BD0522"/>
    <w:rsid w:val="00BD363B"/>
    <w:rsid w:val="00BE0C80"/>
    <w:rsid w:val="00BE5C76"/>
    <w:rsid w:val="00BE6298"/>
    <w:rsid w:val="00BF2EDB"/>
    <w:rsid w:val="00C17A4B"/>
    <w:rsid w:val="00C2192E"/>
    <w:rsid w:val="00C36559"/>
    <w:rsid w:val="00C40FA0"/>
    <w:rsid w:val="00C5452C"/>
    <w:rsid w:val="00C56232"/>
    <w:rsid w:val="00C576B9"/>
    <w:rsid w:val="00C61ACF"/>
    <w:rsid w:val="00C71449"/>
    <w:rsid w:val="00C83992"/>
    <w:rsid w:val="00C850A5"/>
    <w:rsid w:val="00CB478E"/>
    <w:rsid w:val="00CB7FD5"/>
    <w:rsid w:val="00CC4AB0"/>
    <w:rsid w:val="00CE37AA"/>
    <w:rsid w:val="00CF0C12"/>
    <w:rsid w:val="00CF48B0"/>
    <w:rsid w:val="00D11CCF"/>
    <w:rsid w:val="00D333A7"/>
    <w:rsid w:val="00D3550E"/>
    <w:rsid w:val="00D375B0"/>
    <w:rsid w:val="00D407CE"/>
    <w:rsid w:val="00D42E1F"/>
    <w:rsid w:val="00D627BF"/>
    <w:rsid w:val="00D62F19"/>
    <w:rsid w:val="00DB2289"/>
    <w:rsid w:val="00DC3903"/>
    <w:rsid w:val="00DC5DA2"/>
    <w:rsid w:val="00DD60D5"/>
    <w:rsid w:val="00DD6CF0"/>
    <w:rsid w:val="00DD7BD2"/>
    <w:rsid w:val="00DE22FB"/>
    <w:rsid w:val="00E054A8"/>
    <w:rsid w:val="00E13437"/>
    <w:rsid w:val="00E20AB4"/>
    <w:rsid w:val="00E22E01"/>
    <w:rsid w:val="00E323D9"/>
    <w:rsid w:val="00E44FC0"/>
    <w:rsid w:val="00E53ACE"/>
    <w:rsid w:val="00E606C8"/>
    <w:rsid w:val="00E60C12"/>
    <w:rsid w:val="00E75B59"/>
    <w:rsid w:val="00E8041E"/>
    <w:rsid w:val="00E952FE"/>
    <w:rsid w:val="00EA7026"/>
    <w:rsid w:val="00EC054E"/>
    <w:rsid w:val="00ED2612"/>
    <w:rsid w:val="00ED353E"/>
    <w:rsid w:val="00EE101B"/>
    <w:rsid w:val="00EE52F2"/>
    <w:rsid w:val="00EF1220"/>
    <w:rsid w:val="00EF53F8"/>
    <w:rsid w:val="00F22CDF"/>
    <w:rsid w:val="00F233DD"/>
    <w:rsid w:val="00F3394D"/>
    <w:rsid w:val="00F44DE3"/>
    <w:rsid w:val="00F46575"/>
    <w:rsid w:val="00F54D92"/>
    <w:rsid w:val="00F6223A"/>
    <w:rsid w:val="00F74187"/>
    <w:rsid w:val="00F77645"/>
    <w:rsid w:val="00F8365B"/>
    <w:rsid w:val="00FA3E4A"/>
    <w:rsid w:val="00FA5682"/>
    <w:rsid w:val="00FA7F2A"/>
    <w:rsid w:val="00FB693A"/>
    <w:rsid w:val="00FC522C"/>
    <w:rsid w:val="00FD389A"/>
    <w:rsid w:val="00FD6D8E"/>
    <w:rsid w:val="00FD78A1"/>
    <w:rsid w:val="00FE0CBD"/>
    <w:rsid w:val="00FF2A4F"/>
    <w:rsid w:val="00FF5134"/>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D92"/>
    <w:rPr>
      <w:sz w:val="22"/>
      <w:szCs w:val="22"/>
      <w:lang w:val="en-GB"/>
    </w:rPr>
  </w:style>
  <w:style w:type="paragraph" w:styleId="Heading1">
    <w:name w:val="heading 1"/>
    <w:basedOn w:val="Normal"/>
    <w:link w:val="Heading1Char"/>
    <w:uiPriority w:val="9"/>
    <w:qFormat/>
    <w:rsid w:val="009A5F8A"/>
    <w:pPr>
      <w:spacing w:before="240" w:after="120"/>
      <w:outlineLvl w:val="0"/>
    </w:pPr>
    <w:rPr>
      <w:rFonts w:ascii="Times New Roman" w:eastAsia="Times New Roman" w:hAnsi="Times New Roman" w:cs="Times New Roman"/>
      <w:b/>
      <w:bCs/>
      <w:color w:val="000000"/>
      <w:kern w:val="36"/>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D92"/>
    <w:rPr>
      <w:color w:val="0000FF" w:themeColor="hyperlink"/>
      <w:u w:val="single"/>
    </w:rPr>
  </w:style>
  <w:style w:type="character" w:customStyle="1" w:styleId="Heading1Char">
    <w:name w:val="Heading 1 Char"/>
    <w:basedOn w:val="DefaultParagraphFont"/>
    <w:link w:val="Heading1"/>
    <w:uiPriority w:val="9"/>
    <w:rsid w:val="009A5F8A"/>
    <w:rPr>
      <w:rFonts w:ascii="Times New Roman" w:eastAsia="Times New Roman" w:hAnsi="Times New Roman" w:cs="Times New Roman"/>
      <w:b/>
      <w:bCs/>
      <w:color w:val="000000"/>
      <w:kern w:val="36"/>
      <w:sz w:val="33"/>
      <w:szCs w:val="33"/>
      <w:lang w:val="en-GB" w:eastAsia="en-GB"/>
    </w:rPr>
  </w:style>
  <w:style w:type="numbering" w:customStyle="1" w:styleId="NoList1">
    <w:name w:val="No List1"/>
    <w:next w:val="NoList"/>
    <w:semiHidden/>
    <w:unhideWhenUsed/>
    <w:rsid w:val="009A5F8A"/>
  </w:style>
  <w:style w:type="table" w:styleId="TableGrid">
    <w:name w:val="Table Grid"/>
    <w:basedOn w:val="TableNormal"/>
    <w:rsid w:val="009A5F8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9A5F8A"/>
    <w:rPr>
      <w:rFonts w:ascii="Tahoma" w:hAnsi="Tahoma" w:cs="Tahoma"/>
      <w:sz w:val="16"/>
      <w:szCs w:val="16"/>
    </w:rPr>
  </w:style>
  <w:style w:type="character" w:customStyle="1" w:styleId="BalloonTextChar">
    <w:name w:val="Balloon Text Char"/>
    <w:basedOn w:val="DefaultParagraphFont"/>
    <w:link w:val="BalloonText"/>
    <w:uiPriority w:val="99"/>
    <w:rsid w:val="009A5F8A"/>
    <w:rPr>
      <w:rFonts w:ascii="Tahoma" w:hAnsi="Tahoma" w:cs="Tahoma"/>
      <w:sz w:val="16"/>
      <w:szCs w:val="16"/>
      <w:lang w:val="en-GB"/>
    </w:rPr>
  </w:style>
  <w:style w:type="character" w:customStyle="1" w:styleId="slug-vol">
    <w:name w:val="slug-vol"/>
    <w:basedOn w:val="DefaultParagraphFont"/>
    <w:rsid w:val="009A5F8A"/>
    <w:rPr>
      <w:b/>
      <w:bCs/>
    </w:rPr>
  </w:style>
  <w:style w:type="character" w:customStyle="1" w:styleId="cit-sep1">
    <w:name w:val="cit-sep1"/>
    <w:basedOn w:val="DefaultParagraphFont"/>
    <w:rsid w:val="009A5F8A"/>
    <w:rPr>
      <w:b w:val="0"/>
      <w:bCs w:val="0"/>
    </w:rPr>
  </w:style>
  <w:style w:type="character" w:customStyle="1" w:styleId="slug-pub-date3">
    <w:name w:val="slug-pub-date3"/>
    <w:basedOn w:val="DefaultParagraphFont"/>
    <w:rsid w:val="009A5F8A"/>
    <w:rPr>
      <w:b w:val="0"/>
      <w:bCs w:val="0"/>
    </w:rPr>
  </w:style>
  <w:style w:type="character" w:customStyle="1" w:styleId="slug-pages3">
    <w:name w:val="slug-pages3"/>
    <w:basedOn w:val="DefaultParagraphFont"/>
    <w:rsid w:val="009A5F8A"/>
    <w:rPr>
      <w:b w:val="0"/>
      <w:bCs w:val="0"/>
    </w:rPr>
  </w:style>
  <w:style w:type="character" w:customStyle="1" w:styleId="slug-doi2">
    <w:name w:val="slug-doi2"/>
    <w:basedOn w:val="DefaultParagraphFont"/>
    <w:rsid w:val="009A5F8A"/>
  </w:style>
  <w:style w:type="character" w:customStyle="1" w:styleId="name">
    <w:name w:val="name"/>
    <w:basedOn w:val="DefaultParagraphFont"/>
    <w:rsid w:val="009A5F8A"/>
  </w:style>
  <w:style w:type="paragraph" w:styleId="PlainText">
    <w:name w:val="Plain Text"/>
    <w:basedOn w:val="Normal"/>
    <w:link w:val="PlainTextChar"/>
    <w:uiPriority w:val="99"/>
    <w:unhideWhenUsed/>
    <w:rsid w:val="009A5F8A"/>
    <w:rPr>
      <w:rFonts w:ascii="Consolas" w:hAnsi="Consolas"/>
      <w:sz w:val="21"/>
      <w:szCs w:val="21"/>
    </w:rPr>
  </w:style>
  <w:style w:type="character" w:customStyle="1" w:styleId="PlainTextChar">
    <w:name w:val="Plain Text Char"/>
    <w:basedOn w:val="DefaultParagraphFont"/>
    <w:link w:val="PlainText"/>
    <w:uiPriority w:val="99"/>
    <w:rsid w:val="009A5F8A"/>
    <w:rPr>
      <w:rFonts w:ascii="Consolas" w:hAnsi="Consolas"/>
      <w:sz w:val="21"/>
      <w:szCs w:val="21"/>
      <w:lang w:val="en-GB"/>
    </w:rPr>
  </w:style>
  <w:style w:type="paragraph" w:styleId="ListParagraph">
    <w:name w:val="List Paragraph"/>
    <w:basedOn w:val="Normal"/>
    <w:uiPriority w:val="34"/>
    <w:qFormat/>
    <w:rsid w:val="009A5F8A"/>
    <w:pPr>
      <w:ind w:left="720"/>
      <w:contextualSpacing/>
    </w:pPr>
  </w:style>
  <w:style w:type="paragraph" w:styleId="NormalWeb">
    <w:name w:val="Normal (Web)"/>
    <w:basedOn w:val="Normal"/>
    <w:uiPriority w:val="99"/>
    <w:rsid w:val="009A5F8A"/>
    <w:pPr>
      <w:spacing w:beforeLines="1" w:afterLines="1"/>
    </w:pPr>
    <w:rPr>
      <w:rFonts w:ascii="Times" w:hAnsi="Times" w:cs="Times New Roman"/>
      <w:sz w:val="20"/>
      <w:szCs w:val="20"/>
    </w:rPr>
  </w:style>
  <w:style w:type="character" w:customStyle="1" w:styleId="highlight2">
    <w:name w:val="highlight2"/>
    <w:basedOn w:val="DefaultParagraphFont"/>
    <w:rsid w:val="009A5F8A"/>
  </w:style>
  <w:style w:type="character" w:customStyle="1" w:styleId="A0">
    <w:name w:val="A0"/>
    <w:uiPriority w:val="99"/>
    <w:rsid w:val="009A5F8A"/>
    <w:rPr>
      <w:rFonts w:cs="HelveticaNeue LT 75 Bold"/>
      <w:color w:val="000000"/>
      <w:sz w:val="30"/>
      <w:szCs w:val="30"/>
    </w:rPr>
  </w:style>
  <w:style w:type="paragraph" w:styleId="Header">
    <w:name w:val="header"/>
    <w:basedOn w:val="Normal"/>
    <w:link w:val="HeaderChar"/>
    <w:unhideWhenUsed/>
    <w:rsid w:val="009A5F8A"/>
    <w:pPr>
      <w:tabs>
        <w:tab w:val="center" w:pos="4513"/>
        <w:tab w:val="right" w:pos="9026"/>
      </w:tabs>
    </w:pPr>
  </w:style>
  <w:style w:type="character" w:customStyle="1" w:styleId="HeaderChar">
    <w:name w:val="Header Char"/>
    <w:basedOn w:val="DefaultParagraphFont"/>
    <w:link w:val="Header"/>
    <w:rsid w:val="009A5F8A"/>
    <w:rPr>
      <w:sz w:val="22"/>
      <w:szCs w:val="22"/>
      <w:lang w:val="en-GB"/>
    </w:rPr>
  </w:style>
  <w:style w:type="paragraph" w:styleId="Footer">
    <w:name w:val="footer"/>
    <w:basedOn w:val="Normal"/>
    <w:link w:val="FooterChar"/>
    <w:unhideWhenUsed/>
    <w:rsid w:val="009A5F8A"/>
    <w:pPr>
      <w:tabs>
        <w:tab w:val="center" w:pos="4513"/>
        <w:tab w:val="right" w:pos="9026"/>
      </w:tabs>
    </w:pPr>
  </w:style>
  <w:style w:type="character" w:customStyle="1" w:styleId="FooterChar">
    <w:name w:val="Footer Char"/>
    <w:basedOn w:val="DefaultParagraphFont"/>
    <w:link w:val="Footer"/>
    <w:rsid w:val="009A5F8A"/>
    <w:rPr>
      <w:sz w:val="22"/>
      <w:szCs w:val="22"/>
      <w:lang w:val="en-GB"/>
    </w:rPr>
  </w:style>
  <w:style w:type="character" w:customStyle="1" w:styleId="apple-converted-space">
    <w:name w:val="apple-converted-space"/>
    <w:basedOn w:val="DefaultParagraphFont"/>
    <w:rsid w:val="00C850A5"/>
  </w:style>
  <w:style w:type="character" w:customStyle="1" w:styleId="cit">
    <w:name w:val="cit"/>
    <w:basedOn w:val="DefaultParagraphFont"/>
    <w:rsid w:val="00C850A5"/>
  </w:style>
  <w:style w:type="character" w:customStyle="1" w:styleId="fm-vol-iss-date">
    <w:name w:val="fm-vol-iss-date"/>
    <w:basedOn w:val="DefaultParagraphFont"/>
    <w:rsid w:val="00C850A5"/>
  </w:style>
  <w:style w:type="character" w:customStyle="1" w:styleId="doi">
    <w:name w:val="doi"/>
    <w:basedOn w:val="DefaultParagraphFont"/>
    <w:rsid w:val="00C850A5"/>
  </w:style>
  <w:style w:type="character" w:customStyle="1" w:styleId="fm-citation-ids-label">
    <w:name w:val="fm-citation-ids-label"/>
    <w:basedOn w:val="DefaultParagraphFont"/>
    <w:rsid w:val="00C850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D92"/>
    <w:rPr>
      <w:sz w:val="22"/>
      <w:szCs w:val="22"/>
      <w:lang w:val="en-GB"/>
    </w:rPr>
  </w:style>
  <w:style w:type="paragraph" w:styleId="Heading1">
    <w:name w:val="heading 1"/>
    <w:basedOn w:val="Normal"/>
    <w:link w:val="Heading1Char"/>
    <w:uiPriority w:val="9"/>
    <w:qFormat/>
    <w:rsid w:val="009A5F8A"/>
    <w:pPr>
      <w:spacing w:before="240" w:after="120"/>
      <w:outlineLvl w:val="0"/>
    </w:pPr>
    <w:rPr>
      <w:rFonts w:ascii="Times New Roman" w:eastAsia="Times New Roman" w:hAnsi="Times New Roman" w:cs="Times New Roman"/>
      <w:b/>
      <w:bCs/>
      <w:color w:val="000000"/>
      <w:kern w:val="36"/>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D92"/>
    <w:rPr>
      <w:color w:val="0000FF" w:themeColor="hyperlink"/>
      <w:u w:val="single"/>
    </w:rPr>
  </w:style>
  <w:style w:type="character" w:customStyle="1" w:styleId="Heading1Char">
    <w:name w:val="Heading 1 Char"/>
    <w:basedOn w:val="DefaultParagraphFont"/>
    <w:link w:val="Heading1"/>
    <w:uiPriority w:val="9"/>
    <w:rsid w:val="009A5F8A"/>
    <w:rPr>
      <w:rFonts w:ascii="Times New Roman" w:eastAsia="Times New Roman" w:hAnsi="Times New Roman" w:cs="Times New Roman"/>
      <w:b/>
      <w:bCs/>
      <w:color w:val="000000"/>
      <w:kern w:val="36"/>
      <w:sz w:val="33"/>
      <w:szCs w:val="33"/>
      <w:lang w:val="en-GB" w:eastAsia="en-GB"/>
    </w:rPr>
  </w:style>
  <w:style w:type="numbering" w:customStyle="1" w:styleId="NoList1">
    <w:name w:val="No List1"/>
    <w:next w:val="NoList"/>
    <w:semiHidden/>
    <w:unhideWhenUsed/>
    <w:rsid w:val="009A5F8A"/>
  </w:style>
  <w:style w:type="table" w:styleId="TableGrid">
    <w:name w:val="Table Grid"/>
    <w:basedOn w:val="TableNormal"/>
    <w:rsid w:val="009A5F8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9A5F8A"/>
    <w:rPr>
      <w:rFonts w:ascii="Tahoma" w:hAnsi="Tahoma" w:cs="Tahoma"/>
      <w:sz w:val="16"/>
      <w:szCs w:val="16"/>
    </w:rPr>
  </w:style>
  <w:style w:type="character" w:customStyle="1" w:styleId="BalloonTextChar">
    <w:name w:val="Balloon Text Char"/>
    <w:basedOn w:val="DefaultParagraphFont"/>
    <w:link w:val="BalloonText"/>
    <w:uiPriority w:val="99"/>
    <w:rsid w:val="009A5F8A"/>
    <w:rPr>
      <w:rFonts w:ascii="Tahoma" w:hAnsi="Tahoma" w:cs="Tahoma"/>
      <w:sz w:val="16"/>
      <w:szCs w:val="16"/>
      <w:lang w:val="en-GB"/>
    </w:rPr>
  </w:style>
  <w:style w:type="character" w:customStyle="1" w:styleId="slug-vol">
    <w:name w:val="slug-vol"/>
    <w:basedOn w:val="DefaultParagraphFont"/>
    <w:rsid w:val="009A5F8A"/>
    <w:rPr>
      <w:b/>
      <w:bCs/>
    </w:rPr>
  </w:style>
  <w:style w:type="character" w:customStyle="1" w:styleId="cit-sep1">
    <w:name w:val="cit-sep1"/>
    <w:basedOn w:val="DefaultParagraphFont"/>
    <w:rsid w:val="009A5F8A"/>
    <w:rPr>
      <w:b w:val="0"/>
      <w:bCs w:val="0"/>
    </w:rPr>
  </w:style>
  <w:style w:type="character" w:customStyle="1" w:styleId="slug-pub-date3">
    <w:name w:val="slug-pub-date3"/>
    <w:basedOn w:val="DefaultParagraphFont"/>
    <w:rsid w:val="009A5F8A"/>
    <w:rPr>
      <w:b w:val="0"/>
      <w:bCs w:val="0"/>
    </w:rPr>
  </w:style>
  <w:style w:type="character" w:customStyle="1" w:styleId="slug-pages3">
    <w:name w:val="slug-pages3"/>
    <w:basedOn w:val="DefaultParagraphFont"/>
    <w:rsid w:val="009A5F8A"/>
    <w:rPr>
      <w:b w:val="0"/>
      <w:bCs w:val="0"/>
    </w:rPr>
  </w:style>
  <w:style w:type="character" w:customStyle="1" w:styleId="slug-doi2">
    <w:name w:val="slug-doi2"/>
    <w:basedOn w:val="DefaultParagraphFont"/>
    <w:rsid w:val="009A5F8A"/>
  </w:style>
  <w:style w:type="character" w:customStyle="1" w:styleId="name">
    <w:name w:val="name"/>
    <w:basedOn w:val="DefaultParagraphFont"/>
    <w:rsid w:val="009A5F8A"/>
  </w:style>
  <w:style w:type="paragraph" w:styleId="PlainText">
    <w:name w:val="Plain Text"/>
    <w:basedOn w:val="Normal"/>
    <w:link w:val="PlainTextChar"/>
    <w:uiPriority w:val="99"/>
    <w:unhideWhenUsed/>
    <w:rsid w:val="009A5F8A"/>
    <w:rPr>
      <w:rFonts w:ascii="Consolas" w:hAnsi="Consolas"/>
      <w:sz w:val="21"/>
      <w:szCs w:val="21"/>
    </w:rPr>
  </w:style>
  <w:style w:type="character" w:customStyle="1" w:styleId="PlainTextChar">
    <w:name w:val="Plain Text Char"/>
    <w:basedOn w:val="DefaultParagraphFont"/>
    <w:link w:val="PlainText"/>
    <w:uiPriority w:val="99"/>
    <w:rsid w:val="009A5F8A"/>
    <w:rPr>
      <w:rFonts w:ascii="Consolas" w:hAnsi="Consolas"/>
      <w:sz w:val="21"/>
      <w:szCs w:val="21"/>
      <w:lang w:val="en-GB"/>
    </w:rPr>
  </w:style>
  <w:style w:type="paragraph" w:styleId="ListParagraph">
    <w:name w:val="List Paragraph"/>
    <w:basedOn w:val="Normal"/>
    <w:uiPriority w:val="34"/>
    <w:qFormat/>
    <w:rsid w:val="009A5F8A"/>
    <w:pPr>
      <w:ind w:left="720"/>
      <w:contextualSpacing/>
    </w:pPr>
  </w:style>
  <w:style w:type="paragraph" w:styleId="NormalWeb">
    <w:name w:val="Normal (Web)"/>
    <w:basedOn w:val="Normal"/>
    <w:uiPriority w:val="99"/>
    <w:rsid w:val="009A5F8A"/>
    <w:pPr>
      <w:spacing w:beforeLines="1" w:afterLines="1"/>
    </w:pPr>
    <w:rPr>
      <w:rFonts w:ascii="Times" w:hAnsi="Times" w:cs="Times New Roman"/>
      <w:sz w:val="20"/>
      <w:szCs w:val="20"/>
    </w:rPr>
  </w:style>
  <w:style w:type="character" w:customStyle="1" w:styleId="highlight2">
    <w:name w:val="highlight2"/>
    <w:basedOn w:val="DefaultParagraphFont"/>
    <w:rsid w:val="009A5F8A"/>
  </w:style>
  <w:style w:type="character" w:customStyle="1" w:styleId="A0">
    <w:name w:val="A0"/>
    <w:uiPriority w:val="99"/>
    <w:rsid w:val="009A5F8A"/>
    <w:rPr>
      <w:rFonts w:cs="HelveticaNeue LT 75 Bold"/>
      <w:color w:val="000000"/>
      <w:sz w:val="30"/>
      <w:szCs w:val="30"/>
    </w:rPr>
  </w:style>
  <w:style w:type="paragraph" w:styleId="Header">
    <w:name w:val="header"/>
    <w:basedOn w:val="Normal"/>
    <w:link w:val="HeaderChar"/>
    <w:unhideWhenUsed/>
    <w:rsid w:val="009A5F8A"/>
    <w:pPr>
      <w:tabs>
        <w:tab w:val="center" w:pos="4513"/>
        <w:tab w:val="right" w:pos="9026"/>
      </w:tabs>
    </w:pPr>
  </w:style>
  <w:style w:type="character" w:customStyle="1" w:styleId="HeaderChar">
    <w:name w:val="Header Char"/>
    <w:basedOn w:val="DefaultParagraphFont"/>
    <w:link w:val="Header"/>
    <w:rsid w:val="009A5F8A"/>
    <w:rPr>
      <w:sz w:val="22"/>
      <w:szCs w:val="22"/>
      <w:lang w:val="en-GB"/>
    </w:rPr>
  </w:style>
  <w:style w:type="paragraph" w:styleId="Footer">
    <w:name w:val="footer"/>
    <w:basedOn w:val="Normal"/>
    <w:link w:val="FooterChar"/>
    <w:unhideWhenUsed/>
    <w:rsid w:val="009A5F8A"/>
    <w:pPr>
      <w:tabs>
        <w:tab w:val="center" w:pos="4513"/>
        <w:tab w:val="right" w:pos="9026"/>
      </w:tabs>
    </w:pPr>
  </w:style>
  <w:style w:type="character" w:customStyle="1" w:styleId="FooterChar">
    <w:name w:val="Footer Char"/>
    <w:basedOn w:val="DefaultParagraphFont"/>
    <w:link w:val="Footer"/>
    <w:rsid w:val="009A5F8A"/>
    <w:rPr>
      <w:sz w:val="22"/>
      <w:szCs w:val="22"/>
      <w:lang w:val="en-GB"/>
    </w:rPr>
  </w:style>
  <w:style w:type="character" w:customStyle="1" w:styleId="apple-converted-space">
    <w:name w:val="apple-converted-space"/>
    <w:basedOn w:val="DefaultParagraphFont"/>
    <w:rsid w:val="00C850A5"/>
  </w:style>
  <w:style w:type="character" w:customStyle="1" w:styleId="cit">
    <w:name w:val="cit"/>
    <w:basedOn w:val="DefaultParagraphFont"/>
    <w:rsid w:val="00C850A5"/>
  </w:style>
  <w:style w:type="character" w:customStyle="1" w:styleId="fm-vol-iss-date">
    <w:name w:val="fm-vol-iss-date"/>
    <w:basedOn w:val="DefaultParagraphFont"/>
    <w:rsid w:val="00C850A5"/>
  </w:style>
  <w:style w:type="character" w:customStyle="1" w:styleId="doi">
    <w:name w:val="doi"/>
    <w:basedOn w:val="DefaultParagraphFont"/>
    <w:rsid w:val="00C850A5"/>
  </w:style>
  <w:style w:type="character" w:customStyle="1" w:styleId="fm-citation-ids-label">
    <w:name w:val="fm-citation-ids-label"/>
    <w:basedOn w:val="DefaultParagraphFont"/>
    <w:rsid w:val="00C85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552729">
      <w:bodyDiv w:val="1"/>
      <w:marLeft w:val="0"/>
      <w:marRight w:val="0"/>
      <w:marTop w:val="0"/>
      <w:marBottom w:val="0"/>
      <w:divBdr>
        <w:top w:val="none" w:sz="0" w:space="0" w:color="auto"/>
        <w:left w:val="none" w:sz="0" w:space="0" w:color="auto"/>
        <w:bottom w:val="none" w:sz="0" w:space="0" w:color="auto"/>
        <w:right w:val="none" w:sz="0" w:space="0" w:color="auto"/>
      </w:divBdr>
    </w:div>
    <w:div w:id="1857890258">
      <w:bodyDiv w:val="1"/>
      <w:marLeft w:val="0"/>
      <w:marRight w:val="0"/>
      <w:marTop w:val="0"/>
      <w:marBottom w:val="0"/>
      <w:divBdr>
        <w:top w:val="none" w:sz="0" w:space="0" w:color="auto"/>
        <w:left w:val="none" w:sz="0" w:space="0" w:color="auto"/>
        <w:bottom w:val="none" w:sz="0" w:space="0" w:color="auto"/>
        <w:right w:val="none" w:sz="0" w:space="0" w:color="auto"/>
      </w:divBdr>
      <w:divsChild>
        <w:div w:id="1339766721">
          <w:marLeft w:val="0"/>
          <w:marRight w:val="0"/>
          <w:marTop w:val="0"/>
          <w:marBottom w:val="0"/>
          <w:divBdr>
            <w:top w:val="none" w:sz="0" w:space="0" w:color="auto"/>
            <w:left w:val="none" w:sz="0" w:space="0" w:color="auto"/>
            <w:bottom w:val="none" w:sz="0" w:space="0" w:color="auto"/>
            <w:right w:val="none" w:sz="0" w:space="0" w:color="auto"/>
          </w:divBdr>
          <w:divsChild>
            <w:div w:id="1753701797">
              <w:marLeft w:val="0"/>
              <w:marRight w:val="0"/>
              <w:marTop w:val="0"/>
              <w:marBottom w:val="0"/>
              <w:divBdr>
                <w:top w:val="none" w:sz="0" w:space="0" w:color="auto"/>
                <w:left w:val="none" w:sz="0" w:space="0" w:color="auto"/>
                <w:bottom w:val="none" w:sz="0" w:space="0" w:color="auto"/>
                <w:right w:val="none" w:sz="0" w:space="0" w:color="auto"/>
              </w:divBdr>
              <w:divsChild>
                <w:div w:id="1369795197">
                  <w:marLeft w:val="0"/>
                  <w:marRight w:val="0"/>
                  <w:marTop w:val="0"/>
                  <w:marBottom w:val="0"/>
                  <w:divBdr>
                    <w:top w:val="none" w:sz="0" w:space="0" w:color="auto"/>
                    <w:left w:val="none" w:sz="0" w:space="0" w:color="auto"/>
                    <w:bottom w:val="none" w:sz="0" w:space="0" w:color="auto"/>
                    <w:right w:val="none" w:sz="0" w:space="0" w:color="auto"/>
                  </w:divBdr>
                </w:div>
                <w:div w:id="1967809715">
                  <w:marLeft w:val="0"/>
                  <w:marRight w:val="0"/>
                  <w:marTop w:val="0"/>
                  <w:marBottom w:val="0"/>
                  <w:divBdr>
                    <w:top w:val="none" w:sz="0" w:space="0" w:color="auto"/>
                    <w:left w:val="none" w:sz="0" w:space="0" w:color="auto"/>
                    <w:bottom w:val="none" w:sz="0" w:space="0" w:color="auto"/>
                    <w:right w:val="none" w:sz="0" w:space="0" w:color="auto"/>
                  </w:divBdr>
                </w:div>
                <w:div w:id="25912933">
                  <w:marLeft w:val="240"/>
                  <w:marRight w:val="0"/>
                  <w:marTop w:val="0"/>
                  <w:marBottom w:val="0"/>
                  <w:divBdr>
                    <w:top w:val="none" w:sz="0" w:space="0" w:color="auto"/>
                    <w:left w:val="none" w:sz="0" w:space="0" w:color="auto"/>
                    <w:bottom w:val="none" w:sz="0" w:space="0" w:color="auto"/>
                    <w:right w:val="none" w:sz="0" w:space="0" w:color="auto"/>
                  </w:divBdr>
                  <w:divsChild>
                    <w:div w:id="1126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1055">
              <w:marLeft w:val="0"/>
              <w:marRight w:val="0"/>
              <w:marTop w:val="0"/>
              <w:marBottom w:val="0"/>
              <w:divBdr>
                <w:top w:val="none" w:sz="0" w:space="0" w:color="auto"/>
                <w:left w:val="none" w:sz="0" w:space="0" w:color="auto"/>
                <w:bottom w:val="none" w:sz="0" w:space="0" w:color="auto"/>
                <w:right w:val="none" w:sz="0" w:space="0" w:color="auto"/>
              </w:divBdr>
              <w:divsChild>
                <w:div w:id="383451465">
                  <w:marLeft w:val="0"/>
                  <w:marRight w:val="0"/>
                  <w:marTop w:val="0"/>
                  <w:marBottom w:val="0"/>
                  <w:divBdr>
                    <w:top w:val="none" w:sz="0" w:space="0" w:color="auto"/>
                    <w:left w:val="none" w:sz="0" w:space="0" w:color="auto"/>
                    <w:bottom w:val="none" w:sz="0" w:space="0" w:color="auto"/>
                    <w:right w:val="none" w:sz="0" w:space="0" w:color="auto"/>
                  </w:divBdr>
                </w:div>
                <w:div w:id="17454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59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cbi.nlm.nih.gov/pubmed/21504960" TargetMode="External"/><Relationship Id="rId18" Type="http://schemas.openxmlformats.org/officeDocument/2006/relationships/hyperlink" Target="http://thorax.bmj.com/search?author1=Christopher+H+Goss&amp;sortspec=date&amp;submit=Submi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pediatrics.aappublications.org/search?author1=Raj+Padman&amp;sortspec=date&amp;submit=Submit" TargetMode="External"/><Relationship Id="rId7" Type="http://schemas.openxmlformats.org/officeDocument/2006/relationships/hyperlink" Target="mailto:co@mrc.soton.ac.uk" TargetMode="External"/><Relationship Id="rId12" Type="http://schemas.openxmlformats.org/officeDocument/2006/relationships/hyperlink" Target="http://www.ncbi.nlm.nih.gov/pubmed/22884375" TargetMode="External"/><Relationship Id="rId17" Type="http://schemas.openxmlformats.org/officeDocument/2006/relationships/hyperlink" Target="http://www.ncbi.nlm.nih.gov/pubmed/?term=Jaffe%20A%5BAuthor%5D&amp;cauthor=true&amp;cauthor_uid=2225002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term=Schechter%20MS%5BAuthor%5D&amp;cauthor=true&amp;cauthor_uid=22250024" TargetMode="External"/><Relationship Id="rId20" Type="http://schemas.openxmlformats.org/officeDocument/2006/relationships/hyperlink" Target="http://thorax.bmj.com/search?author1=Hebe+B+Quinton&amp;sortspec=date&amp;submit=Submit" TargetMode="External"/><Relationship Id="rId1" Type="http://schemas.openxmlformats.org/officeDocument/2006/relationships/numbering" Target="numbering.xml"/><Relationship Id="rId6" Type="http://schemas.openxmlformats.org/officeDocument/2006/relationships/hyperlink" Target="mailto:julia.nightingale@uhs.nhs.uk" TargetMode="External"/><Relationship Id="rId11" Type="http://schemas.openxmlformats.org/officeDocument/2006/relationships/hyperlink" Target="http://www.ncbi.nlm.nih.gov/pubmed/?term=Baldo%20E%5BAuthor%5D&amp;cauthor=true&amp;cauthor_uid=22884375" TargetMode="External"/><Relationship Id="rId24" Type="http://schemas.openxmlformats.org/officeDocument/2006/relationships/hyperlink" Target="http://pediatrics.aappublications.org/search?author1=Michael+W.+Konstan&amp;sortspec=date&amp;submit=Submit" TargetMode="External"/><Relationship Id="rId5" Type="http://schemas.openxmlformats.org/officeDocument/2006/relationships/webSettings" Target="webSettings.xml"/><Relationship Id="rId15" Type="http://schemas.openxmlformats.org/officeDocument/2006/relationships/hyperlink" Target="http://www.ncbi.nlm.nih.gov/pubmed/?term=Martin%20B%5BAuthor%5D&amp;cauthor=true&amp;cauthor_uid=22250024" TargetMode="External"/><Relationship Id="rId23" Type="http://schemas.openxmlformats.org/officeDocument/2006/relationships/hyperlink" Target="http://pediatrics.aappublications.org/search?author1=Dave+P.+Miller&amp;sortspec=date&amp;submit=Submit" TargetMode="External"/><Relationship Id="rId10" Type="http://schemas.openxmlformats.org/officeDocument/2006/relationships/hyperlink" Target="http://www.ncbi.nlm.nih.gov/pubmed/?term=Buzzetti%20R%5BAuthor%5D&amp;cauthor=true&amp;cauthor_uid=22884375" TargetMode="External"/><Relationship Id="rId19" Type="http://schemas.openxmlformats.org/officeDocument/2006/relationships/hyperlink" Target="http://thorax.bmj.com/search?author1=Stephanie+J+MacNeill&amp;sortspec=date&amp;submit=Submit" TargetMode="External"/><Relationship Id="rId4" Type="http://schemas.openxmlformats.org/officeDocument/2006/relationships/settings" Target="settings.xml"/><Relationship Id="rId9" Type="http://schemas.openxmlformats.org/officeDocument/2006/relationships/hyperlink" Target="http://www.ncbi.nlm.nih.gov/pubmed/?term=Salvatore%20D%5BAuthor%5D&amp;cauthor=true&amp;cauthor_uid=22884375" TargetMode="External"/><Relationship Id="rId14" Type="http://schemas.openxmlformats.org/officeDocument/2006/relationships/hyperlink" Target="http://www.ncbi.nlm.nih.gov/pubmed/24608546" TargetMode="External"/><Relationship Id="rId22" Type="http://schemas.openxmlformats.org/officeDocument/2006/relationships/hyperlink" Target="http://pediatrics.aappublications.org/search?author1=Susanna+A.+McColley&amp;sortspec=date&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5257</Words>
  <Characters>29970</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nightingale</dc:creator>
  <cp:lastModifiedBy>Karen Drake</cp:lastModifiedBy>
  <cp:revision>2</cp:revision>
  <cp:lastPrinted>2017-03-01T10:43:00Z</cp:lastPrinted>
  <dcterms:created xsi:type="dcterms:W3CDTF">2017-05-08T12:49:00Z</dcterms:created>
  <dcterms:modified xsi:type="dcterms:W3CDTF">2017-05-08T12:49:00Z</dcterms:modified>
</cp:coreProperties>
</file>