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BC31A" w14:textId="77777777" w:rsidR="00954700" w:rsidRDefault="006A3ECD" w:rsidP="00954700">
      <w:pPr>
        <w:shd w:val="clear" w:color="auto" w:fill="FFFFFF"/>
        <w:spacing w:before="180" w:after="180" w:line="240" w:lineRule="auto"/>
        <w:textAlignment w:val="baseline"/>
        <w:rPr>
          <w:rFonts w:ascii="Helvetica" w:eastAsia="Times New Roman" w:hAnsi="Helvetica" w:cs="Times New Roman"/>
          <w:b/>
          <w:sz w:val="20"/>
          <w:szCs w:val="20"/>
          <w:lang w:eastAsia="en-GB"/>
        </w:rPr>
      </w:pPr>
      <w:r w:rsidRPr="0091040C">
        <w:rPr>
          <w:rFonts w:ascii="Helvetica" w:hAnsi="Helvetica" w:cs="Times New Roman"/>
          <w:b/>
          <w:sz w:val="20"/>
          <w:szCs w:val="20"/>
          <w:shd w:val="clear" w:color="auto" w:fill="FFFFFF"/>
        </w:rPr>
        <w:t xml:space="preserve">Clinicians’ interpretations of point of care urine culture vs </w:t>
      </w:r>
      <w:r w:rsidR="00775241" w:rsidRPr="0091040C">
        <w:rPr>
          <w:rFonts w:ascii="Helvetica" w:hAnsi="Helvetica" w:cs="Times New Roman"/>
          <w:b/>
          <w:sz w:val="20"/>
          <w:szCs w:val="20"/>
          <w:shd w:val="clear" w:color="auto" w:fill="FFFFFF"/>
        </w:rPr>
        <w:t>laboratory culture</w:t>
      </w:r>
      <w:r w:rsidR="006F7590" w:rsidRPr="0091040C">
        <w:rPr>
          <w:rFonts w:ascii="Helvetica" w:hAnsi="Helvetica" w:cs="Times New Roman"/>
          <w:b/>
          <w:sz w:val="20"/>
          <w:szCs w:val="20"/>
          <w:shd w:val="clear" w:color="auto" w:fill="FFFFFF"/>
        </w:rPr>
        <w:t xml:space="preserve"> results</w:t>
      </w:r>
      <w:r w:rsidRPr="0091040C">
        <w:rPr>
          <w:rFonts w:ascii="Helvetica" w:hAnsi="Helvetica" w:cs="Times New Roman"/>
          <w:sz w:val="20"/>
          <w:szCs w:val="20"/>
          <w:shd w:val="clear" w:color="auto" w:fill="FFFFFF"/>
        </w:rPr>
        <w:t>:</w:t>
      </w:r>
      <w:r w:rsidRPr="0091040C" w:rsidDel="006A3ECD">
        <w:rPr>
          <w:rFonts w:ascii="Helvetica" w:eastAsia="Times New Roman" w:hAnsi="Helvetica" w:cs="Times New Roman"/>
          <w:b/>
          <w:sz w:val="20"/>
          <w:szCs w:val="20"/>
          <w:lang w:eastAsia="en-GB"/>
        </w:rPr>
        <w:t xml:space="preserve"> </w:t>
      </w:r>
      <w:r w:rsidR="000577B3" w:rsidRPr="0091040C">
        <w:rPr>
          <w:rFonts w:ascii="Helvetica" w:eastAsia="Times New Roman" w:hAnsi="Helvetica" w:cs="Times New Roman"/>
          <w:b/>
          <w:sz w:val="20"/>
          <w:szCs w:val="20"/>
          <w:lang w:eastAsia="en-GB"/>
        </w:rPr>
        <w:t xml:space="preserve">analysis </w:t>
      </w:r>
      <w:r w:rsidR="00954700" w:rsidRPr="0091040C">
        <w:rPr>
          <w:rFonts w:ascii="Helvetica" w:eastAsia="Times New Roman" w:hAnsi="Helvetica" w:cs="Times New Roman"/>
          <w:b/>
          <w:sz w:val="20"/>
          <w:szCs w:val="20"/>
          <w:lang w:eastAsia="en-GB"/>
        </w:rPr>
        <w:t>from the four-country POETIC trial of diagnosis of uncomplicated urinary tract infection in primary care</w:t>
      </w:r>
    </w:p>
    <w:p w14:paraId="18C8AEB7" w14:textId="77777777" w:rsidR="00F112E3" w:rsidRPr="0091040C" w:rsidRDefault="00F112E3" w:rsidP="00954700">
      <w:pPr>
        <w:shd w:val="clear" w:color="auto" w:fill="FFFFFF"/>
        <w:spacing w:before="180" w:after="180" w:line="240" w:lineRule="auto"/>
        <w:textAlignment w:val="baseline"/>
        <w:rPr>
          <w:rFonts w:ascii="Helvetica" w:eastAsia="Times New Roman" w:hAnsi="Helvetica" w:cs="Times New Roman"/>
          <w:b/>
          <w:sz w:val="20"/>
          <w:szCs w:val="20"/>
          <w:lang w:eastAsia="en-GB"/>
        </w:rPr>
      </w:pPr>
      <w:r>
        <w:rPr>
          <w:rFonts w:ascii="Helvetica" w:eastAsia="Times New Roman" w:hAnsi="Helvetica" w:cs="Times New Roman"/>
          <w:b/>
          <w:sz w:val="20"/>
          <w:szCs w:val="20"/>
          <w:lang w:eastAsia="en-GB"/>
        </w:rPr>
        <w:t xml:space="preserve">Short title: </w:t>
      </w:r>
      <w:r w:rsidRPr="00F112E3">
        <w:rPr>
          <w:rFonts w:ascii="Helvetica" w:hAnsi="Helvetica" w:cs="Times New Roman"/>
          <w:sz w:val="20"/>
          <w:szCs w:val="20"/>
          <w:shd w:val="clear" w:color="auto" w:fill="FFFFFF"/>
        </w:rPr>
        <w:t>Clinicians’ interpretations of point of care urine culture vs laboratory culture results</w:t>
      </w:r>
    </w:p>
    <w:p w14:paraId="65E3561B" w14:textId="0DD4DE16" w:rsidR="000713FB" w:rsidRPr="0091040C" w:rsidRDefault="000713FB" w:rsidP="00954700">
      <w:pPr>
        <w:shd w:val="clear" w:color="auto" w:fill="FFFFFF"/>
        <w:spacing w:before="180" w:after="180" w:line="240" w:lineRule="auto"/>
        <w:textAlignment w:val="baseline"/>
        <w:rPr>
          <w:rFonts w:ascii="Helvetica" w:eastAsia="Times New Roman" w:hAnsi="Helvetica" w:cs="Times New Roman"/>
          <w:sz w:val="20"/>
          <w:szCs w:val="20"/>
          <w:lang w:val="en-US" w:eastAsia="en-GB"/>
        </w:rPr>
      </w:pPr>
      <w:r w:rsidRPr="00744462">
        <w:rPr>
          <w:rFonts w:ascii="Helvetica" w:eastAsia="Times New Roman" w:hAnsi="Helvetica" w:cs="Times New Roman"/>
          <w:b/>
          <w:color w:val="000000"/>
          <w:sz w:val="20"/>
          <w:szCs w:val="20"/>
          <w:lang w:eastAsia="en-GB"/>
        </w:rPr>
        <w:t xml:space="preserve">Article category: </w:t>
      </w:r>
      <w:r w:rsidR="0030085D" w:rsidRPr="0030085D">
        <w:rPr>
          <w:rFonts w:ascii="Helvetica" w:eastAsia="Times New Roman" w:hAnsi="Helvetica" w:cs="Times New Roman"/>
          <w:color w:val="000000"/>
          <w:sz w:val="20"/>
          <w:szCs w:val="20"/>
          <w:lang w:eastAsia="en-GB"/>
        </w:rPr>
        <w:t>Primary Care Epidemiology</w:t>
      </w:r>
    </w:p>
    <w:p w14:paraId="5D6B296A" w14:textId="142756AA" w:rsidR="00954700" w:rsidRPr="0091040C" w:rsidRDefault="00954700" w:rsidP="00954700">
      <w:pPr>
        <w:shd w:val="clear" w:color="auto" w:fill="FFFFFF"/>
        <w:spacing w:before="180" w:after="180" w:line="240" w:lineRule="auto"/>
        <w:textAlignment w:val="baseline"/>
        <w:rPr>
          <w:rFonts w:ascii="Helvetica" w:eastAsia="Times New Roman" w:hAnsi="Helvetica" w:cs="Times New Roman"/>
          <w:sz w:val="20"/>
          <w:szCs w:val="20"/>
          <w:lang w:eastAsia="en-GB"/>
        </w:rPr>
      </w:pPr>
      <w:r w:rsidRPr="0091040C">
        <w:rPr>
          <w:rFonts w:ascii="Helvetica" w:eastAsia="Times New Roman" w:hAnsi="Helvetica" w:cs="Times New Roman"/>
          <w:sz w:val="20"/>
          <w:szCs w:val="20"/>
          <w:lang w:eastAsia="en-GB"/>
        </w:rPr>
        <w:t xml:space="preserve">Saskia </w:t>
      </w:r>
      <w:proofErr w:type="spellStart"/>
      <w:r w:rsidRPr="0091040C">
        <w:rPr>
          <w:rFonts w:ascii="Helvetica" w:eastAsia="Times New Roman" w:hAnsi="Helvetica" w:cs="Times New Roman"/>
          <w:sz w:val="20"/>
          <w:szCs w:val="20"/>
          <w:lang w:eastAsia="en-GB"/>
        </w:rPr>
        <w:t>Hullegie</w:t>
      </w:r>
      <w:r w:rsidR="00C81C1E" w:rsidRPr="0091040C">
        <w:rPr>
          <w:rFonts w:ascii="Helvetica" w:eastAsia="Times New Roman" w:hAnsi="Helvetica" w:cs="Times New Roman"/>
          <w:sz w:val="20"/>
          <w:szCs w:val="20"/>
          <w:vertAlign w:val="superscript"/>
          <w:lang w:eastAsia="en-GB"/>
        </w:rPr>
        <w:t>a</w:t>
      </w:r>
      <w:proofErr w:type="spellEnd"/>
      <w:r w:rsidRPr="0091040C">
        <w:rPr>
          <w:rFonts w:ascii="Helvetica" w:eastAsia="Times New Roman" w:hAnsi="Helvetica" w:cs="Times New Roman"/>
          <w:sz w:val="20"/>
          <w:szCs w:val="20"/>
          <w:lang w:eastAsia="en-GB"/>
        </w:rPr>
        <w:t xml:space="preserve">, Mandy </w:t>
      </w:r>
      <w:proofErr w:type="spellStart"/>
      <w:r w:rsidRPr="0091040C">
        <w:rPr>
          <w:rFonts w:ascii="Helvetica" w:eastAsia="Times New Roman" w:hAnsi="Helvetica" w:cs="Times New Roman"/>
          <w:sz w:val="20"/>
          <w:szCs w:val="20"/>
          <w:lang w:eastAsia="en-GB"/>
        </w:rPr>
        <w:t>Wootton</w:t>
      </w:r>
      <w:r w:rsidR="00C81C1E" w:rsidRPr="0091040C">
        <w:rPr>
          <w:rFonts w:ascii="Helvetica" w:eastAsia="Times New Roman" w:hAnsi="Helvetica" w:cs="Times New Roman"/>
          <w:sz w:val="20"/>
          <w:szCs w:val="20"/>
          <w:vertAlign w:val="superscript"/>
          <w:lang w:eastAsia="en-GB"/>
        </w:rPr>
        <w:t>b</w:t>
      </w:r>
      <w:proofErr w:type="spellEnd"/>
      <w:r w:rsidRPr="0091040C">
        <w:rPr>
          <w:rFonts w:ascii="Helvetica" w:eastAsia="Times New Roman" w:hAnsi="Helvetica" w:cs="Times New Roman"/>
          <w:sz w:val="20"/>
          <w:szCs w:val="20"/>
          <w:lang w:eastAsia="en-GB"/>
        </w:rPr>
        <w:t xml:space="preserve">, </w:t>
      </w:r>
      <w:r w:rsidR="003E3633" w:rsidRPr="0091040C">
        <w:rPr>
          <w:rFonts w:ascii="Helvetica" w:eastAsia="Times New Roman" w:hAnsi="Helvetica" w:cs="Times New Roman"/>
          <w:sz w:val="20"/>
          <w:szCs w:val="20"/>
          <w:lang w:eastAsia="en-GB"/>
        </w:rPr>
        <w:t xml:space="preserve">Theo </w:t>
      </w:r>
      <w:proofErr w:type="spellStart"/>
      <w:r w:rsidR="003E3633" w:rsidRPr="0091040C">
        <w:rPr>
          <w:rFonts w:ascii="Helvetica" w:eastAsia="Times New Roman" w:hAnsi="Helvetica" w:cs="Times New Roman"/>
          <w:sz w:val="20"/>
          <w:szCs w:val="20"/>
          <w:lang w:eastAsia="en-GB"/>
        </w:rPr>
        <w:t>J.</w:t>
      </w:r>
      <w:proofErr w:type="gramStart"/>
      <w:r w:rsidR="003E3633" w:rsidRPr="0091040C">
        <w:rPr>
          <w:rFonts w:ascii="Helvetica" w:eastAsia="Times New Roman" w:hAnsi="Helvetica" w:cs="Times New Roman"/>
          <w:sz w:val="20"/>
          <w:szCs w:val="20"/>
          <w:lang w:eastAsia="en-GB"/>
        </w:rPr>
        <w:t>M.</w:t>
      </w:r>
      <w:r w:rsidR="00215325" w:rsidRPr="0091040C">
        <w:rPr>
          <w:rFonts w:ascii="Helvetica" w:eastAsia="Times New Roman" w:hAnsi="Helvetica" w:cs="Times New Roman"/>
          <w:sz w:val="20"/>
          <w:szCs w:val="20"/>
          <w:lang w:eastAsia="en-GB"/>
        </w:rPr>
        <w:t>Verheij</w:t>
      </w:r>
      <w:r w:rsidR="000953D4" w:rsidRPr="0091040C">
        <w:rPr>
          <w:rFonts w:ascii="Helvetica" w:eastAsia="Times New Roman" w:hAnsi="Helvetica" w:cs="Times New Roman"/>
          <w:sz w:val="20"/>
          <w:szCs w:val="20"/>
          <w:vertAlign w:val="superscript"/>
          <w:lang w:eastAsia="en-GB"/>
        </w:rPr>
        <w:t>c</w:t>
      </w:r>
      <w:proofErr w:type="spellEnd"/>
      <w:proofErr w:type="gramEnd"/>
      <w:r w:rsidR="00215325" w:rsidRPr="0091040C">
        <w:rPr>
          <w:rFonts w:ascii="Helvetica" w:eastAsia="Times New Roman" w:hAnsi="Helvetica" w:cs="Times New Roman"/>
          <w:sz w:val="20"/>
          <w:szCs w:val="20"/>
          <w:lang w:eastAsia="en-GB"/>
        </w:rPr>
        <w:t>, Emma Thomas-</w:t>
      </w:r>
      <w:proofErr w:type="spellStart"/>
      <w:r w:rsidR="00215325" w:rsidRPr="0091040C">
        <w:rPr>
          <w:rFonts w:ascii="Helvetica" w:eastAsia="Times New Roman" w:hAnsi="Helvetica" w:cs="Times New Roman"/>
          <w:sz w:val="20"/>
          <w:szCs w:val="20"/>
          <w:lang w:eastAsia="en-GB"/>
        </w:rPr>
        <w:t>Jones</w:t>
      </w:r>
      <w:r w:rsidR="000953D4" w:rsidRPr="0091040C">
        <w:rPr>
          <w:rFonts w:ascii="Helvetica" w:eastAsia="Times New Roman" w:hAnsi="Helvetica" w:cs="Times New Roman"/>
          <w:sz w:val="20"/>
          <w:szCs w:val="20"/>
          <w:vertAlign w:val="superscript"/>
          <w:lang w:eastAsia="en-GB"/>
        </w:rPr>
        <w:t>d</w:t>
      </w:r>
      <w:proofErr w:type="spellEnd"/>
      <w:r w:rsidR="00215325" w:rsidRPr="0091040C">
        <w:rPr>
          <w:rFonts w:ascii="Helvetica" w:eastAsia="Times New Roman" w:hAnsi="Helvetica" w:cs="Times New Roman"/>
          <w:sz w:val="20"/>
          <w:szCs w:val="20"/>
          <w:lang w:eastAsia="en-GB"/>
        </w:rPr>
        <w:t xml:space="preserve">, Janine </w:t>
      </w:r>
      <w:proofErr w:type="spellStart"/>
      <w:r w:rsidR="00215325" w:rsidRPr="0091040C">
        <w:rPr>
          <w:rFonts w:ascii="Helvetica" w:eastAsia="Times New Roman" w:hAnsi="Helvetica" w:cs="Times New Roman"/>
          <w:sz w:val="20"/>
          <w:szCs w:val="20"/>
          <w:lang w:eastAsia="en-GB"/>
        </w:rPr>
        <w:t>Bates</w:t>
      </w:r>
      <w:r w:rsidR="000953D4" w:rsidRPr="0091040C">
        <w:rPr>
          <w:rFonts w:ascii="Helvetica" w:eastAsia="Times New Roman" w:hAnsi="Helvetica" w:cs="Times New Roman"/>
          <w:sz w:val="20"/>
          <w:szCs w:val="20"/>
          <w:vertAlign w:val="superscript"/>
          <w:lang w:eastAsia="en-GB"/>
        </w:rPr>
        <w:t>d</w:t>
      </w:r>
      <w:proofErr w:type="spellEnd"/>
      <w:r w:rsidR="00215325" w:rsidRPr="0091040C">
        <w:rPr>
          <w:rFonts w:ascii="Helvetica" w:eastAsia="Times New Roman" w:hAnsi="Helvetica" w:cs="Times New Roman"/>
          <w:sz w:val="20"/>
          <w:szCs w:val="20"/>
          <w:lang w:eastAsia="en-GB"/>
        </w:rPr>
        <w:t xml:space="preserve">, </w:t>
      </w:r>
      <w:proofErr w:type="spellStart"/>
      <w:r w:rsidR="00215325" w:rsidRPr="0091040C">
        <w:rPr>
          <w:rFonts w:ascii="Helvetica" w:eastAsia="Times New Roman" w:hAnsi="Helvetica" w:cs="Times New Roman"/>
          <w:sz w:val="20"/>
          <w:szCs w:val="20"/>
          <w:lang w:eastAsia="en-GB"/>
        </w:rPr>
        <w:t>Kerenza</w:t>
      </w:r>
      <w:proofErr w:type="spellEnd"/>
      <w:r w:rsidR="00215325" w:rsidRPr="0091040C">
        <w:rPr>
          <w:rFonts w:ascii="Helvetica" w:eastAsia="Times New Roman" w:hAnsi="Helvetica" w:cs="Times New Roman"/>
          <w:sz w:val="20"/>
          <w:szCs w:val="20"/>
          <w:lang w:eastAsia="en-GB"/>
        </w:rPr>
        <w:t xml:space="preserve"> </w:t>
      </w:r>
      <w:proofErr w:type="spellStart"/>
      <w:r w:rsidR="00215325" w:rsidRPr="0091040C">
        <w:rPr>
          <w:rFonts w:ascii="Helvetica" w:eastAsia="Times New Roman" w:hAnsi="Helvetica" w:cs="Times New Roman"/>
          <w:sz w:val="20"/>
          <w:szCs w:val="20"/>
          <w:lang w:eastAsia="en-GB"/>
        </w:rPr>
        <w:t>Hood</w:t>
      </w:r>
      <w:r w:rsidR="000953D4" w:rsidRPr="0091040C">
        <w:rPr>
          <w:rFonts w:ascii="Helvetica" w:eastAsia="Times New Roman" w:hAnsi="Helvetica" w:cs="Times New Roman"/>
          <w:sz w:val="20"/>
          <w:szCs w:val="20"/>
          <w:vertAlign w:val="superscript"/>
          <w:lang w:eastAsia="en-GB"/>
        </w:rPr>
        <w:t>d</w:t>
      </w:r>
      <w:proofErr w:type="spellEnd"/>
      <w:r w:rsidR="00215325" w:rsidRPr="0091040C">
        <w:rPr>
          <w:rFonts w:ascii="Helvetica" w:eastAsia="Times New Roman" w:hAnsi="Helvetica" w:cs="Times New Roman"/>
          <w:sz w:val="20"/>
          <w:szCs w:val="20"/>
          <w:lang w:eastAsia="en-GB"/>
        </w:rPr>
        <w:t>, Micaela Gal</w:t>
      </w:r>
      <w:r w:rsidR="000953D4" w:rsidRPr="0091040C">
        <w:rPr>
          <w:rFonts w:ascii="Helvetica" w:eastAsia="Times New Roman" w:hAnsi="Helvetica" w:cs="Times New Roman"/>
          <w:sz w:val="20"/>
          <w:szCs w:val="20"/>
          <w:vertAlign w:val="superscript"/>
          <w:lang w:eastAsia="en-GB"/>
        </w:rPr>
        <w:t>e</w:t>
      </w:r>
      <w:r w:rsidR="00DA7AAA">
        <w:rPr>
          <w:rFonts w:ascii="Helvetica" w:eastAsia="Times New Roman" w:hAnsi="Helvetica" w:cs="Times New Roman"/>
          <w:sz w:val="20"/>
          <w:szCs w:val="20"/>
          <w:lang w:eastAsia="en-GB"/>
        </w:rPr>
        <w:t>, Nick A</w:t>
      </w:r>
      <w:r w:rsidR="00215325" w:rsidRPr="0091040C">
        <w:rPr>
          <w:rFonts w:ascii="Helvetica" w:eastAsia="Times New Roman" w:hAnsi="Helvetica" w:cs="Times New Roman"/>
          <w:sz w:val="20"/>
          <w:szCs w:val="20"/>
          <w:lang w:eastAsia="en-GB"/>
        </w:rPr>
        <w:t xml:space="preserve"> </w:t>
      </w:r>
      <w:proofErr w:type="spellStart"/>
      <w:r w:rsidR="00215325" w:rsidRPr="0091040C">
        <w:rPr>
          <w:rFonts w:ascii="Helvetica" w:eastAsia="Times New Roman" w:hAnsi="Helvetica" w:cs="Times New Roman"/>
          <w:sz w:val="20"/>
          <w:szCs w:val="20"/>
          <w:lang w:eastAsia="en-GB"/>
        </w:rPr>
        <w:t>Francis</w:t>
      </w:r>
      <w:r w:rsidR="000953D4" w:rsidRPr="0091040C">
        <w:rPr>
          <w:rFonts w:ascii="Helvetica" w:eastAsia="Times New Roman" w:hAnsi="Helvetica" w:cs="Times New Roman"/>
          <w:sz w:val="20"/>
          <w:szCs w:val="20"/>
          <w:vertAlign w:val="superscript"/>
          <w:lang w:eastAsia="en-GB"/>
        </w:rPr>
        <w:t>e</w:t>
      </w:r>
      <w:proofErr w:type="spellEnd"/>
      <w:r w:rsidR="00215325" w:rsidRPr="0091040C">
        <w:rPr>
          <w:rFonts w:ascii="Helvetica" w:eastAsia="Times New Roman" w:hAnsi="Helvetica" w:cs="Times New Roman"/>
          <w:sz w:val="20"/>
          <w:szCs w:val="20"/>
          <w:lang w:eastAsia="en-GB"/>
        </w:rPr>
        <w:t xml:space="preserve">, Paul </w:t>
      </w:r>
      <w:proofErr w:type="spellStart"/>
      <w:r w:rsidR="00215325" w:rsidRPr="0091040C">
        <w:rPr>
          <w:rFonts w:ascii="Helvetica" w:eastAsia="Times New Roman" w:hAnsi="Helvetica" w:cs="Times New Roman"/>
          <w:sz w:val="20"/>
          <w:szCs w:val="20"/>
          <w:lang w:eastAsia="en-GB"/>
        </w:rPr>
        <w:t>Little</w:t>
      </w:r>
      <w:r w:rsidR="000953D4" w:rsidRPr="0091040C">
        <w:rPr>
          <w:rFonts w:ascii="Helvetica" w:eastAsia="Times New Roman" w:hAnsi="Helvetica" w:cs="Times New Roman"/>
          <w:sz w:val="20"/>
          <w:szCs w:val="20"/>
          <w:vertAlign w:val="superscript"/>
          <w:lang w:eastAsia="en-GB"/>
        </w:rPr>
        <w:t>f</w:t>
      </w:r>
      <w:proofErr w:type="spellEnd"/>
      <w:r w:rsidR="00215325" w:rsidRPr="0091040C">
        <w:rPr>
          <w:rFonts w:ascii="Helvetica" w:eastAsia="Times New Roman" w:hAnsi="Helvetica" w:cs="Times New Roman"/>
          <w:sz w:val="20"/>
          <w:szCs w:val="20"/>
          <w:lang w:eastAsia="en-GB"/>
        </w:rPr>
        <w:t xml:space="preserve">, Michael </w:t>
      </w:r>
      <w:proofErr w:type="spellStart"/>
      <w:r w:rsidR="00215325" w:rsidRPr="0091040C">
        <w:rPr>
          <w:rFonts w:ascii="Helvetica" w:eastAsia="Times New Roman" w:hAnsi="Helvetica" w:cs="Times New Roman"/>
          <w:sz w:val="20"/>
          <w:szCs w:val="20"/>
          <w:lang w:eastAsia="en-GB"/>
        </w:rPr>
        <w:t>Moore</w:t>
      </w:r>
      <w:r w:rsidR="000953D4" w:rsidRPr="0091040C">
        <w:rPr>
          <w:rFonts w:ascii="Helvetica" w:eastAsia="Times New Roman" w:hAnsi="Helvetica" w:cs="Times New Roman"/>
          <w:sz w:val="20"/>
          <w:szCs w:val="20"/>
          <w:vertAlign w:val="superscript"/>
          <w:lang w:eastAsia="en-GB"/>
        </w:rPr>
        <w:t>f</w:t>
      </w:r>
      <w:proofErr w:type="spellEnd"/>
      <w:r w:rsidR="00215325" w:rsidRPr="0091040C">
        <w:rPr>
          <w:rFonts w:ascii="Helvetica" w:eastAsia="Times New Roman" w:hAnsi="Helvetica" w:cs="Times New Roman"/>
          <w:sz w:val="20"/>
          <w:szCs w:val="20"/>
          <w:lang w:eastAsia="en-GB"/>
        </w:rPr>
        <w:t xml:space="preserve">,  Carl </w:t>
      </w:r>
      <w:proofErr w:type="spellStart"/>
      <w:r w:rsidR="00215325" w:rsidRPr="0091040C">
        <w:rPr>
          <w:rFonts w:ascii="Helvetica" w:eastAsia="Times New Roman" w:hAnsi="Helvetica" w:cs="Times New Roman"/>
          <w:sz w:val="20"/>
          <w:szCs w:val="20"/>
          <w:lang w:eastAsia="en-GB"/>
        </w:rPr>
        <w:t>Llor</w:t>
      </w:r>
      <w:r w:rsidR="00DA7AAA">
        <w:rPr>
          <w:rFonts w:ascii="Helvetica" w:eastAsia="Times New Roman" w:hAnsi="Helvetica" w:cs="Times New Roman"/>
          <w:sz w:val="20"/>
          <w:szCs w:val="20"/>
          <w:vertAlign w:val="superscript"/>
          <w:lang w:eastAsia="en-GB"/>
        </w:rPr>
        <w:t>g</w:t>
      </w:r>
      <w:proofErr w:type="spellEnd"/>
      <w:r w:rsidR="00215325" w:rsidRPr="0091040C">
        <w:rPr>
          <w:rFonts w:ascii="Helvetica" w:eastAsia="Times New Roman" w:hAnsi="Helvetica" w:cs="Times New Roman"/>
          <w:sz w:val="20"/>
          <w:szCs w:val="20"/>
          <w:lang w:eastAsia="en-GB"/>
        </w:rPr>
        <w:t>, Tim</w:t>
      </w:r>
      <w:r w:rsidR="00DA7AAA">
        <w:rPr>
          <w:rFonts w:ascii="Helvetica" w:eastAsia="Times New Roman" w:hAnsi="Helvetica" w:cs="Times New Roman"/>
          <w:sz w:val="20"/>
          <w:szCs w:val="20"/>
          <w:lang w:eastAsia="en-GB"/>
        </w:rPr>
        <w:t>othy</w:t>
      </w:r>
      <w:r w:rsidR="00215325" w:rsidRPr="0091040C">
        <w:rPr>
          <w:rFonts w:ascii="Helvetica" w:eastAsia="Times New Roman" w:hAnsi="Helvetica" w:cs="Times New Roman"/>
          <w:sz w:val="20"/>
          <w:szCs w:val="20"/>
          <w:lang w:eastAsia="en-GB"/>
        </w:rPr>
        <w:t xml:space="preserve"> </w:t>
      </w:r>
      <w:proofErr w:type="spellStart"/>
      <w:r w:rsidR="00215325" w:rsidRPr="0091040C">
        <w:rPr>
          <w:rFonts w:ascii="Helvetica" w:eastAsia="Times New Roman" w:hAnsi="Helvetica" w:cs="Times New Roman"/>
          <w:sz w:val="20"/>
          <w:szCs w:val="20"/>
          <w:lang w:eastAsia="en-GB"/>
        </w:rPr>
        <w:t>Pickles</w:t>
      </w:r>
      <w:r w:rsidR="000953D4" w:rsidRPr="0091040C">
        <w:rPr>
          <w:rFonts w:ascii="Helvetica" w:eastAsia="Times New Roman" w:hAnsi="Helvetica" w:cs="Times New Roman"/>
          <w:sz w:val="20"/>
          <w:szCs w:val="20"/>
          <w:vertAlign w:val="superscript"/>
          <w:lang w:eastAsia="en-GB"/>
        </w:rPr>
        <w:t>d</w:t>
      </w:r>
      <w:proofErr w:type="spellEnd"/>
      <w:r w:rsidR="00215325" w:rsidRPr="0091040C">
        <w:rPr>
          <w:rFonts w:ascii="Helvetica" w:eastAsia="Times New Roman" w:hAnsi="Helvetica" w:cs="Times New Roman"/>
          <w:sz w:val="20"/>
          <w:szCs w:val="20"/>
          <w:lang w:eastAsia="en-GB"/>
        </w:rPr>
        <w:t xml:space="preserve">, David </w:t>
      </w:r>
      <w:proofErr w:type="spellStart"/>
      <w:r w:rsidR="00215325" w:rsidRPr="0091040C">
        <w:rPr>
          <w:rFonts w:ascii="Helvetica" w:eastAsia="Times New Roman" w:hAnsi="Helvetica" w:cs="Times New Roman"/>
          <w:sz w:val="20"/>
          <w:szCs w:val="20"/>
          <w:lang w:eastAsia="en-GB"/>
        </w:rPr>
        <w:t>Gillespie</w:t>
      </w:r>
      <w:r w:rsidR="000953D4" w:rsidRPr="0091040C">
        <w:rPr>
          <w:rFonts w:ascii="Helvetica" w:eastAsia="Times New Roman" w:hAnsi="Helvetica" w:cs="Times New Roman"/>
          <w:sz w:val="20"/>
          <w:szCs w:val="20"/>
          <w:vertAlign w:val="superscript"/>
          <w:lang w:eastAsia="en-GB"/>
        </w:rPr>
        <w:t>d</w:t>
      </w:r>
      <w:proofErr w:type="spellEnd"/>
      <w:r w:rsidR="00215325" w:rsidRPr="0091040C">
        <w:rPr>
          <w:rFonts w:ascii="Helvetica" w:eastAsia="Times New Roman" w:hAnsi="Helvetica" w:cs="Times New Roman"/>
          <w:sz w:val="20"/>
          <w:szCs w:val="20"/>
          <w:lang w:eastAsia="en-GB"/>
        </w:rPr>
        <w:t xml:space="preserve">, Nigel </w:t>
      </w:r>
      <w:proofErr w:type="spellStart"/>
      <w:r w:rsidR="00215325" w:rsidRPr="0091040C">
        <w:rPr>
          <w:rFonts w:ascii="Helvetica" w:eastAsia="Times New Roman" w:hAnsi="Helvetica" w:cs="Times New Roman"/>
          <w:sz w:val="20"/>
          <w:szCs w:val="20"/>
          <w:lang w:eastAsia="en-GB"/>
        </w:rPr>
        <w:t>Kirby</w:t>
      </w:r>
      <w:r w:rsidR="000953D4" w:rsidRPr="0091040C">
        <w:rPr>
          <w:rFonts w:ascii="Helvetica" w:eastAsia="Times New Roman" w:hAnsi="Helvetica" w:cs="Times New Roman"/>
          <w:sz w:val="20"/>
          <w:szCs w:val="20"/>
          <w:vertAlign w:val="superscript"/>
          <w:lang w:eastAsia="en-GB"/>
        </w:rPr>
        <w:t>d</w:t>
      </w:r>
      <w:proofErr w:type="spellEnd"/>
      <w:r w:rsidR="00DA7AAA">
        <w:rPr>
          <w:rFonts w:ascii="Helvetica" w:eastAsia="Times New Roman" w:hAnsi="Helvetica" w:cs="Times New Roman"/>
          <w:sz w:val="20"/>
          <w:szCs w:val="20"/>
          <w:lang w:eastAsia="en-GB"/>
        </w:rPr>
        <w:t>, C</w:t>
      </w:r>
      <w:r w:rsidR="00215325" w:rsidRPr="0091040C">
        <w:rPr>
          <w:rFonts w:ascii="Helvetica" w:eastAsia="Times New Roman" w:hAnsi="Helvetica" w:cs="Times New Roman"/>
          <w:sz w:val="20"/>
          <w:szCs w:val="20"/>
          <w:lang w:eastAsia="en-GB"/>
        </w:rPr>
        <w:t xml:space="preserve">urt </w:t>
      </w:r>
      <w:proofErr w:type="spellStart"/>
      <w:r w:rsidR="00215325" w:rsidRPr="0091040C">
        <w:rPr>
          <w:rFonts w:ascii="Helvetica" w:eastAsia="Times New Roman" w:hAnsi="Helvetica" w:cs="Times New Roman"/>
          <w:sz w:val="20"/>
          <w:szCs w:val="20"/>
          <w:lang w:eastAsia="en-GB"/>
        </w:rPr>
        <w:t>Brugman</w:t>
      </w:r>
      <w:r w:rsidR="000953D4" w:rsidRPr="0091040C">
        <w:rPr>
          <w:rFonts w:ascii="Helvetica" w:eastAsia="Times New Roman" w:hAnsi="Helvetica" w:cs="Times New Roman"/>
          <w:sz w:val="20"/>
          <w:szCs w:val="20"/>
          <w:vertAlign w:val="superscript"/>
          <w:lang w:eastAsia="en-GB"/>
        </w:rPr>
        <w:t>c</w:t>
      </w:r>
      <w:proofErr w:type="spellEnd"/>
      <w:r w:rsidR="00215325" w:rsidRPr="0091040C">
        <w:rPr>
          <w:rFonts w:ascii="Helvetica" w:eastAsia="Times New Roman" w:hAnsi="Helvetica" w:cs="Times New Roman"/>
          <w:sz w:val="20"/>
          <w:szCs w:val="20"/>
          <w:lang w:eastAsia="en-GB"/>
        </w:rPr>
        <w:t xml:space="preserve"> and Chris</w:t>
      </w:r>
      <w:r w:rsidR="00514AD8">
        <w:rPr>
          <w:rFonts w:ascii="Helvetica" w:eastAsia="Times New Roman" w:hAnsi="Helvetica" w:cs="Times New Roman"/>
          <w:sz w:val="20"/>
          <w:szCs w:val="20"/>
          <w:lang w:eastAsia="en-GB"/>
        </w:rPr>
        <w:t>topher</w:t>
      </w:r>
      <w:r w:rsidR="00215325" w:rsidRPr="0091040C">
        <w:rPr>
          <w:rFonts w:ascii="Helvetica" w:eastAsia="Times New Roman" w:hAnsi="Helvetica" w:cs="Times New Roman"/>
          <w:sz w:val="20"/>
          <w:szCs w:val="20"/>
          <w:lang w:eastAsia="en-GB"/>
        </w:rPr>
        <w:t xml:space="preserve"> C. </w:t>
      </w:r>
      <w:proofErr w:type="spellStart"/>
      <w:r w:rsidR="00215325" w:rsidRPr="0091040C">
        <w:rPr>
          <w:rFonts w:ascii="Helvetica" w:eastAsia="Times New Roman" w:hAnsi="Helvetica" w:cs="Times New Roman"/>
          <w:sz w:val="20"/>
          <w:szCs w:val="20"/>
          <w:lang w:eastAsia="en-GB"/>
        </w:rPr>
        <w:t>Butler</w:t>
      </w:r>
      <w:r w:rsidR="00215325" w:rsidRPr="0091040C">
        <w:rPr>
          <w:rFonts w:ascii="Helvetica" w:eastAsia="Times New Roman" w:hAnsi="Helvetica" w:cs="Times New Roman"/>
          <w:sz w:val="20"/>
          <w:szCs w:val="20"/>
          <w:vertAlign w:val="superscript"/>
          <w:lang w:eastAsia="en-GB"/>
        </w:rPr>
        <w:t>a</w:t>
      </w:r>
      <w:proofErr w:type="spellEnd"/>
      <w:r w:rsidR="00215325" w:rsidRPr="0091040C">
        <w:rPr>
          <w:rFonts w:ascii="Helvetica" w:eastAsia="Times New Roman" w:hAnsi="Helvetica" w:cs="Times New Roman"/>
          <w:sz w:val="20"/>
          <w:szCs w:val="20"/>
          <w:vertAlign w:val="superscript"/>
          <w:lang w:eastAsia="en-GB"/>
        </w:rPr>
        <w:t>,</w:t>
      </w:r>
      <w:r w:rsidR="00215325" w:rsidRPr="0091040C">
        <w:rPr>
          <w:rFonts w:ascii="Helvetica" w:eastAsia="Times New Roman" w:hAnsi="Helvetica" w:cs="Times New Roman"/>
          <w:sz w:val="20"/>
          <w:szCs w:val="20"/>
          <w:lang w:eastAsia="en-GB"/>
        </w:rPr>
        <w:t xml:space="preserve"> </w:t>
      </w:r>
    </w:p>
    <w:p w14:paraId="7320BF04" w14:textId="77777777" w:rsidR="00C81C1E" w:rsidRPr="00744462" w:rsidRDefault="00FB40E5" w:rsidP="00C81C1E">
      <w:pPr>
        <w:shd w:val="clear" w:color="auto" w:fill="FFFFFF"/>
        <w:spacing w:after="150" w:line="240" w:lineRule="auto"/>
        <w:rPr>
          <w:rFonts w:ascii="Helvetica" w:eastAsia="Times New Roman" w:hAnsi="Helvetica" w:cs="Times New Roman"/>
          <w:color w:val="000000"/>
          <w:sz w:val="20"/>
          <w:szCs w:val="20"/>
          <w:lang w:val="en-US" w:eastAsia="nl-NL"/>
        </w:rPr>
      </w:pPr>
      <w:r w:rsidRPr="00744462">
        <w:rPr>
          <w:rFonts w:ascii="Helvetica" w:eastAsia="Times New Roman" w:hAnsi="Helvetica" w:cs="Times New Roman"/>
          <w:b/>
          <w:color w:val="000000"/>
          <w:sz w:val="20"/>
          <w:szCs w:val="20"/>
          <w:lang w:eastAsia="nl-NL"/>
        </w:rPr>
        <w:t>Affiliations</w:t>
      </w:r>
      <w:r w:rsidR="00C81C1E" w:rsidRPr="00744462">
        <w:rPr>
          <w:rFonts w:ascii="Helvetica" w:eastAsia="Times New Roman" w:hAnsi="Helvetica" w:cs="Times New Roman"/>
          <w:b/>
          <w:color w:val="000000"/>
          <w:sz w:val="20"/>
          <w:szCs w:val="20"/>
          <w:lang w:eastAsia="nl-NL"/>
        </w:rPr>
        <w:t xml:space="preserve">: </w:t>
      </w:r>
    </w:p>
    <w:p w14:paraId="4A4CF1CA" w14:textId="77777777" w:rsidR="00954700" w:rsidRPr="0091040C" w:rsidRDefault="00954700" w:rsidP="00C81C1E">
      <w:pPr>
        <w:pStyle w:val="Kleurrijkelijst-accent11"/>
        <w:numPr>
          <w:ilvl w:val="0"/>
          <w:numId w:val="16"/>
        </w:numPr>
        <w:shd w:val="clear" w:color="auto" w:fill="FFFFFF"/>
        <w:spacing w:before="180" w:after="180" w:line="240" w:lineRule="auto"/>
        <w:textAlignment w:val="baseline"/>
        <w:rPr>
          <w:rFonts w:ascii="Helvetica" w:eastAsia="Times New Roman" w:hAnsi="Helvetica" w:cs="Times New Roman"/>
          <w:sz w:val="20"/>
          <w:szCs w:val="20"/>
          <w:lang w:eastAsia="en-GB"/>
        </w:rPr>
      </w:pPr>
      <w:r w:rsidRPr="0091040C">
        <w:rPr>
          <w:rFonts w:ascii="Helvetica" w:eastAsia="Times New Roman" w:hAnsi="Helvetica" w:cs="Times New Roman"/>
          <w:sz w:val="20"/>
          <w:szCs w:val="20"/>
          <w:lang w:eastAsia="en-GB"/>
        </w:rPr>
        <w:t>Nuffield Depar</w:t>
      </w:r>
      <w:r w:rsidR="003A744D" w:rsidRPr="0091040C">
        <w:rPr>
          <w:rFonts w:ascii="Helvetica" w:eastAsia="Times New Roman" w:hAnsi="Helvetica" w:cs="Times New Roman"/>
          <w:sz w:val="20"/>
          <w:szCs w:val="20"/>
          <w:lang w:eastAsia="en-GB"/>
        </w:rPr>
        <w:t>tm</w:t>
      </w:r>
      <w:r w:rsidRPr="0091040C">
        <w:rPr>
          <w:rFonts w:ascii="Helvetica" w:eastAsia="Times New Roman" w:hAnsi="Helvetica" w:cs="Times New Roman"/>
          <w:sz w:val="20"/>
          <w:szCs w:val="20"/>
          <w:lang w:eastAsia="en-GB"/>
        </w:rPr>
        <w:t>ent of Primary Care Health Sc</w:t>
      </w:r>
      <w:r w:rsidR="00C81C1E" w:rsidRPr="0091040C">
        <w:rPr>
          <w:rFonts w:ascii="Helvetica" w:eastAsia="Times New Roman" w:hAnsi="Helvetica" w:cs="Times New Roman"/>
          <w:sz w:val="20"/>
          <w:szCs w:val="20"/>
          <w:lang w:eastAsia="en-GB"/>
        </w:rPr>
        <w:t>iences, University of Oxford, Oxford</w:t>
      </w:r>
      <w:r w:rsidR="002C3A87" w:rsidRPr="0091040C">
        <w:rPr>
          <w:rFonts w:ascii="Helvetica" w:eastAsia="Times New Roman" w:hAnsi="Helvetica" w:cs="Times New Roman"/>
          <w:sz w:val="20"/>
          <w:szCs w:val="20"/>
          <w:lang w:eastAsia="en-GB"/>
        </w:rPr>
        <w:t>, UK</w:t>
      </w:r>
    </w:p>
    <w:p w14:paraId="04E4BD9C" w14:textId="77777777" w:rsidR="00C81C1E" w:rsidRPr="0091040C" w:rsidRDefault="00C81C1E" w:rsidP="00C81C1E">
      <w:pPr>
        <w:pStyle w:val="Kleurrijkelijst-accent11"/>
        <w:numPr>
          <w:ilvl w:val="0"/>
          <w:numId w:val="16"/>
        </w:numPr>
        <w:shd w:val="clear" w:color="auto" w:fill="FFFFFF"/>
        <w:spacing w:before="180" w:after="180" w:line="240" w:lineRule="auto"/>
        <w:textAlignment w:val="baseline"/>
        <w:rPr>
          <w:rFonts w:ascii="Helvetica" w:eastAsia="Times New Roman" w:hAnsi="Helvetica" w:cs="Times New Roman"/>
          <w:sz w:val="20"/>
          <w:szCs w:val="20"/>
          <w:lang w:eastAsia="en-GB"/>
        </w:rPr>
      </w:pPr>
      <w:r w:rsidRPr="0091040C">
        <w:rPr>
          <w:rFonts w:ascii="Helvetica" w:eastAsia="Times New Roman" w:hAnsi="Helvetica" w:cs="Times New Roman"/>
          <w:sz w:val="20"/>
          <w:szCs w:val="20"/>
          <w:lang w:eastAsia="en-GB"/>
        </w:rPr>
        <w:t>Specialist Antimicrobial Chemotherapy Unit, Public Health Wales Microbiology Cardiff, University Hospital Wales, Heath Park, Cardiff,</w:t>
      </w:r>
      <w:r w:rsidR="002C3A87" w:rsidRPr="0091040C">
        <w:rPr>
          <w:rFonts w:ascii="Helvetica" w:eastAsia="Times New Roman" w:hAnsi="Helvetica" w:cs="Times New Roman"/>
          <w:sz w:val="20"/>
          <w:szCs w:val="20"/>
          <w:lang w:eastAsia="en-GB"/>
        </w:rPr>
        <w:t xml:space="preserve"> UK</w:t>
      </w:r>
    </w:p>
    <w:p w14:paraId="564ABA60" w14:textId="77777777" w:rsidR="00C81C1E" w:rsidRPr="0091040C" w:rsidRDefault="000953D4" w:rsidP="00C81C1E">
      <w:pPr>
        <w:pStyle w:val="Kleurrijkelijst-accent11"/>
        <w:numPr>
          <w:ilvl w:val="0"/>
          <w:numId w:val="16"/>
        </w:numPr>
        <w:shd w:val="clear" w:color="auto" w:fill="FFFFFF"/>
        <w:spacing w:before="180" w:after="180" w:line="240" w:lineRule="auto"/>
        <w:textAlignment w:val="baseline"/>
        <w:rPr>
          <w:rFonts w:ascii="Helvetica" w:eastAsia="Times New Roman" w:hAnsi="Helvetica" w:cs="Times New Roman"/>
          <w:sz w:val="20"/>
          <w:szCs w:val="20"/>
          <w:lang w:eastAsia="en-GB"/>
        </w:rPr>
      </w:pPr>
      <w:r w:rsidRPr="0091040C">
        <w:rPr>
          <w:rFonts w:ascii="Helvetica" w:eastAsia="Times New Roman" w:hAnsi="Helvetica" w:cs="Times New Roman"/>
          <w:sz w:val="20"/>
          <w:szCs w:val="20"/>
          <w:lang w:eastAsia="en-GB"/>
        </w:rPr>
        <w:t xml:space="preserve">Julius </w:t>
      </w:r>
      <w:proofErr w:type="spellStart"/>
      <w:r w:rsidRPr="0091040C">
        <w:rPr>
          <w:rFonts w:ascii="Helvetica" w:eastAsia="Times New Roman" w:hAnsi="Helvetica" w:cs="Times New Roman"/>
          <w:sz w:val="20"/>
          <w:szCs w:val="20"/>
          <w:lang w:eastAsia="en-GB"/>
        </w:rPr>
        <w:t>Center</w:t>
      </w:r>
      <w:proofErr w:type="spellEnd"/>
      <w:r w:rsidRPr="0091040C">
        <w:rPr>
          <w:rFonts w:ascii="Helvetica" w:eastAsia="Times New Roman" w:hAnsi="Helvetica" w:cs="Times New Roman"/>
          <w:sz w:val="20"/>
          <w:szCs w:val="20"/>
          <w:lang w:eastAsia="en-GB"/>
        </w:rPr>
        <w:t xml:space="preserve"> for Health Sciences and Primary Care, UMC Utrecht, Utrecht, the Netherlands </w:t>
      </w:r>
    </w:p>
    <w:p w14:paraId="0BDCD144" w14:textId="77777777" w:rsidR="00571EA8" w:rsidRPr="0091040C" w:rsidRDefault="000953D4" w:rsidP="00C81C1E">
      <w:pPr>
        <w:pStyle w:val="Kleurrijkelijst-accent11"/>
        <w:numPr>
          <w:ilvl w:val="0"/>
          <w:numId w:val="16"/>
        </w:numPr>
        <w:shd w:val="clear" w:color="auto" w:fill="FFFFFF"/>
        <w:spacing w:before="180" w:after="180" w:line="240" w:lineRule="auto"/>
        <w:textAlignment w:val="baseline"/>
        <w:rPr>
          <w:rFonts w:ascii="Helvetica" w:eastAsia="Times New Roman" w:hAnsi="Helvetica" w:cs="Times New Roman"/>
          <w:sz w:val="20"/>
          <w:szCs w:val="20"/>
          <w:lang w:eastAsia="en-GB"/>
        </w:rPr>
      </w:pPr>
      <w:r w:rsidRPr="0091040C">
        <w:rPr>
          <w:rFonts w:ascii="Helvetica" w:eastAsia="Times New Roman" w:hAnsi="Helvetica" w:cs="Times New Roman"/>
          <w:sz w:val="20"/>
          <w:szCs w:val="20"/>
          <w:lang w:eastAsia="en-GB"/>
        </w:rPr>
        <w:t xml:space="preserve">South East Wales Trials Unit (SEWTU), Centre for Trials Research, Cardiff University, 7th Floor Neuadd Meirionnydd, Heath Park, Cardiff, UK </w:t>
      </w:r>
    </w:p>
    <w:p w14:paraId="3154CFC2" w14:textId="77777777" w:rsidR="000953D4" w:rsidRPr="0091040C" w:rsidRDefault="00970216" w:rsidP="000953D4">
      <w:pPr>
        <w:pStyle w:val="Kleurrijkelijst-accent11"/>
        <w:numPr>
          <w:ilvl w:val="0"/>
          <w:numId w:val="16"/>
        </w:numPr>
        <w:shd w:val="clear" w:color="auto" w:fill="FFFFFF"/>
        <w:spacing w:before="180" w:after="180" w:line="240" w:lineRule="auto"/>
        <w:textAlignment w:val="baseline"/>
        <w:rPr>
          <w:rFonts w:ascii="Helvetica" w:eastAsia="Times New Roman" w:hAnsi="Helvetica" w:cs="Times New Roman"/>
          <w:sz w:val="20"/>
          <w:szCs w:val="20"/>
          <w:lang w:eastAsia="en-GB"/>
        </w:rPr>
      </w:pPr>
      <w:r w:rsidRPr="0091040C">
        <w:rPr>
          <w:rFonts w:ascii="Helvetica" w:eastAsia="Times New Roman" w:hAnsi="Helvetica" w:cs="Times New Roman"/>
          <w:sz w:val="20"/>
          <w:szCs w:val="20"/>
          <w:lang w:eastAsia="en-GB"/>
        </w:rPr>
        <w:t>Division of Population Medicine</w:t>
      </w:r>
      <w:r w:rsidR="000953D4" w:rsidRPr="0091040C">
        <w:rPr>
          <w:rFonts w:ascii="Helvetica" w:eastAsia="Times New Roman" w:hAnsi="Helvetica" w:cs="Times New Roman"/>
          <w:sz w:val="20"/>
          <w:szCs w:val="20"/>
          <w:lang w:eastAsia="en-GB"/>
        </w:rPr>
        <w:t>, School of Medicine, Cardiff University, Neuadd Meirionnydd, Heath Park, Cardiff, UK</w:t>
      </w:r>
    </w:p>
    <w:p w14:paraId="1DB305D8" w14:textId="77777777" w:rsidR="00571EA8" w:rsidRPr="0091040C" w:rsidRDefault="00571EA8" w:rsidP="00571EA8">
      <w:pPr>
        <w:pStyle w:val="Kleurrijkelijst-accent11"/>
        <w:numPr>
          <w:ilvl w:val="0"/>
          <w:numId w:val="16"/>
        </w:numPr>
        <w:shd w:val="clear" w:color="auto" w:fill="FFFFFF"/>
        <w:spacing w:before="180" w:after="180" w:line="240" w:lineRule="auto"/>
        <w:textAlignment w:val="baseline"/>
        <w:rPr>
          <w:rFonts w:ascii="Helvetica" w:eastAsia="Times New Roman" w:hAnsi="Helvetica" w:cs="Times New Roman"/>
          <w:sz w:val="20"/>
          <w:szCs w:val="20"/>
          <w:lang w:eastAsia="en-GB"/>
        </w:rPr>
      </w:pPr>
      <w:r w:rsidRPr="0091040C">
        <w:rPr>
          <w:rFonts w:ascii="Helvetica" w:eastAsia="Times New Roman" w:hAnsi="Helvetica" w:cs="Times New Roman"/>
          <w:sz w:val="20"/>
          <w:szCs w:val="20"/>
          <w:lang w:eastAsia="en-GB"/>
        </w:rPr>
        <w:t>Primary Care and Population Sciences Division, University of Southampton, Southampton</w:t>
      </w:r>
      <w:r w:rsidR="002C3A87" w:rsidRPr="0091040C">
        <w:rPr>
          <w:rFonts w:ascii="Helvetica" w:eastAsia="Times New Roman" w:hAnsi="Helvetica" w:cs="Times New Roman"/>
          <w:sz w:val="20"/>
          <w:szCs w:val="20"/>
          <w:lang w:eastAsia="en-GB"/>
        </w:rPr>
        <w:t>, UK</w:t>
      </w:r>
    </w:p>
    <w:p w14:paraId="62814DA5" w14:textId="77777777" w:rsidR="00571EA8" w:rsidRPr="0091040C" w:rsidRDefault="00571EA8" w:rsidP="00571EA8">
      <w:pPr>
        <w:pStyle w:val="Kleurrijkelijst-accent11"/>
        <w:numPr>
          <w:ilvl w:val="0"/>
          <w:numId w:val="16"/>
        </w:numPr>
        <w:shd w:val="clear" w:color="auto" w:fill="FFFFFF"/>
        <w:spacing w:before="180" w:after="180" w:line="240" w:lineRule="auto"/>
        <w:textAlignment w:val="baseline"/>
        <w:rPr>
          <w:rFonts w:ascii="Helvetica" w:eastAsia="Times New Roman" w:hAnsi="Helvetica" w:cs="Times New Roman"/>
          <w:sz w:val="20"/>
          <w:szCs w:val="20"/>
          <w:lang w:eastAsia="en-GB"/>
        </w:rPr>
      </w:pPr>
      <w:r w:rsidRPr="0091040C">
        <w:rPr>
          <w:rFonts w:ascii="Helvetica" w:eastAsia="Times New Roman" w:hAnsi="Helvetica" w:cs="Times New Roman"/>
          <w:sz w:val="20"/>
          <w:szCs w:val="20"/>
          <w:lang w:eastAsia="en-GB"/>
        </w:rPr>
        <w:t xml:space="preserve">Primary </w:t>
      </w:r>
      <w:r w:rsidR="00B660B0" w:rsidRPr="0091040C">
        <w:rPr>
          <w:rFonts w:ascii="Helvetica" w:eastAsia="Times New Roman" w:hAnsi="Helvetica" w:cs="Times New Roman"/>
          <w:sz w:val="20"/>
          <w:szCs w:val="20"/>
          <w:lang w:eastAsia="en-GB"/>
        </w:rPr>
        <w:t>Health</w:t>
      </w:r>
      <w:r w:rsidRPr="0091040C">
        <w:rPr>
          <w:rFonts w:ascii="Helvetica" w:eastAsia="Times New Roman" w:hAnsi="Helvetica" w:cs="Times New Roman"/>
          <w:sz w:val="20"/>
          <w:szCs w:val="20"/>
          <w:lang w:eastAsia="en-GB"/>
        </w:rPr>
        <w:t xml:space="preserve"> Centre </w:t>
      </w:r>
      <w:r w:rsidR="00B660B0" w:rsidRPr="0091040C">
        <w:rPr>
          <w:rFonts w:ascii="Helvetica" w:eastAsia="Times New Roman" w:hAnsi="Helvetica" w:cs="Times New Roman"/>
          <w:sz w:val="20"/>
          <w:szCs w:val="20"/>
          <w:lang w:eastAsia="en-GB"/>
        </w:rPr>
        <w:t>Via Roma,</w:t>
      </w:r>
      <w:r w:rsidRPr="0091040C">
        <w:rPr>
          <w:rFonts w:ascii="Helvetica" w:eastAsia="Times New Roman" w:hAnsi="Helvetica" w:cs="Times New Roman"/>
          <w:sz w:val="20"/>
          <w:szCs w:val="20"/>
          <w:lang w:eastAsia="en-GB"/>
        </w:rPr>
        <w:t xml:space="preserve"> University</w:t>
      </w:r>
      <w:r w:rsidR="00B660B0" w:rsidRPr="0091040C">
        <w:rPr>
          <w:rFonts w:ascii="Helvetica" w:eastAsia="Times New Roman" w:hAnsi="Helvetica" w:cs="Times New Roman"/>
          <w:sz w:val="20"/>
          <w:szCs w:val="20"/>
          <w:lang w:eastAsia="en-GB"/>
        </w:rPr>
        <w:t xml:space="preserve"> Institu</w:t>
      </w:r>
      <w:r w:rsidR="00891175" w:rsidRPr="0091040C">
        <w:rPr>
          <w:rFonts w:ascii="Helvetica" w:eastAsia="Times New Roman" w:hAnsi="Helvetica" w:cs="Times New Roman"/>
          <w:sz w:val="20"/>
          <w:szCs w:val="20"/>
          <w:lang w:eastAsia="en-GB"/>
        </w:rPr>
        <w:t>t</w:t>
      </w:r>
      <w:r w:rsidR="00B660B0" w:rsidRPr="0091040C">
        <w:rPr>
          <w:rFonts w:ascii="Helvetica" w:eastAsia="Times New Roman" w:hAnsi="Helvetica" w:cs="Times New Roman"/>
          <w:sz w:val="20"/>
          <w:szCs w:val="20"/>
          <w:lang w:eastAsia="en-GB"/>
        </w:rPr>
        <w:t xml:space="preserve">e in Primary Care Research Jordi </w:t>
      </w:r>
      <w:proofErr w:type="spellStart"/>
      <w:r w:rsidR="00B660B0" w:rsidRPr="0091040C">
        <w:rPr>
          <w:rFonts w:ascii="Helvetica" w:eastAsia="Times New Roman" w:hAnsi="Helvetica" w:cs="Times New Roman"/>
          <w:sz w:val="20"/>
          <w:szCs w:val="20"/>
          <w:lang w:eastAsia="en-GB"/>
        </w:rPr>
        <w:t>Gol</w:t>
      </w:r>
      <w:proofErr w:type="spellEnd"/>
      <w:r w:rsidR="00B660B0" w:rsidRPr="0091040C">
        <w:rPr>
          <w:rFonts w:ascii="Helvetica" w:eastAsia="Times New Roman" w:hAnsi="Helvetica" w:cs="Times New Roman"/>
          <w:sz w:val="20"/>
          <w:szCs w:val="20"/>
          <w:lang w:eastAsia="en-GB"/>
        </w:rPr>
        <w:t>, Barcelona, Spain</w:t>
      </w:r>
    </w:p>
    <w:p w14:paraId="158C9B52" w14:textId="77777777" w:rsidR="00571EA8" w:rsidRPr="0091040C" w:rsidRDefault="00571EA8" w:rsidP="002C3A87">
      <w:pPr>
        <w:shd w:val="clear" w:color="auto" w:fill="FFFFFF"/>
        <w:spacing w:before="180" w:after="180" w:line="240" w:lineRule="auto"/>
        <w:textAlignment w:val="baseline"/>
        <w:rPr>
          <w:rFonts w:ascii="Helvetica" w:eastAsia="Times New Roman" w:hAnsi="Helvetica" w:cs="Times New Roman"/>
          <w:sz w:val="20"/>
          <w:szCs w:val="20"/>
          <w:lang w:eastAsia="en-GB"/>
        </w:rPr>
      </w:pPr>
      <w:r w:rsidRPr="0091040C">
        <w:rPr>
          <w:rFonts w:ascii="Helvetica" w:eastAsia="Times New Roman" w:hAnsi="Helvetica" w:cs="Times New Roman"/>
          <w:sz w:val="20"/>
          <w:szCs w:val="20"/>
          <w:lang w:eastAsia="en-GB"/>
        </w:rPr>
        <w:t xml:space="preserve">Correspondence to </w:t>
      </w:r>
      <w:r w:rsidR="00F112E3">
        <w:rPr>
          <w:rFonts w:ascii="Helvetica" w:eastAsia="Times New Roman" w:hAnsi="Helvetica" w:cs="Times New Roman"/>
          <w:sz w:val="20"/>
          <w:szCs w:val="20"/>
          <w:lang w:eastAsia="en-GB"/>
        </w:rPr>
        <w:t xml:space="preserve">Professor </w:t>
      </w:r>
      <w:r w:rsidRPr="0091040C">
        <w:rPr>
          <w:rFonts w:ascii="Helvetica" w:eastAsia="Times New Roman" w:hAnsi="Helvetica" w:cs="Times New Roman"/>
          <w:sz w:val="20"/>
          <w:szCs w:val="20"/>
          <w:lang w:eastAsia="en-GB"/>
        </w:rPr>
        <w:t>Christopher C Butler, Nuffield Department of Primary Care Health Sciences, University of Oxford, New Radcliffe House, Radcliffe Observatory Quarter, Woodstock Road, Oxford OX2 6NW, UK; E-mail: </w:t>
      </w:r>
      <w:hyperlink r:id="rId10" w:history="1">
        <w:r w:rsidRPr="0091040C">
          <w:rPr>
            <w:rFonts w:ascii="Helvetica" w:eastAsia="Times New Roman" w:hAnsi="Helvetica" w:cs="Times New Roman"/>
            <w:sz w:val="20"/>
            <w:szCs w:val="20"/>
            <w:lang w:eastAsia="en-GB"/>
          </w:rPr>
          <w:t>christopher.butler@phc.ox.ac.uk</w:t>
        </w:r>
      </w:hyperlink>
    </w:p>
    <w:p w14:paraId="4E2F4D3D" w14:textId="77777777" w:rsidR="00B660B0" w:rsidRPr="00F112E3" w:rsidRDefault="00B660B0">
      <w:pPr>
        <w:rPr>
          <w:rFonts w:ascii="Helvetica" w:hAnsi="Helvetica"/>
          <w:sz w:val="20"/>
          <w:szCs w:val="20"/>
        </w:rPr>
      </w:pPr>
      <w:r w:rsidRPr="00F112E3">
        <w:rPr>
          <w:rFonts w:ascii="Helvetica" w:hAnsi="Helvetica"/>
          <w:sz w:val="20"/>
          <w:szCs w:val="20"/>
        </w:rPr>
        <w:br w:type="page"/>
      </w:r>
    </w:p>
    <w:p w14:paraId="07B2FCB3" w14:textId="77777777" w:rsidR="005A67D6" w:rsidRPr="00F112E3" w:rsidRDefault="009252D6" w:rsidP="005A67D6">
      <w:pPr>
        <w:shd w:val="clear" w:color="auto" w:fill="FFFFFF"/>
        <w:rPr>
          <w:rFonts w:ascii="Arial" w:eastAsia="Times New Roman" w:hAnsi="Arial"/>
          <w:color w:val="222222"/>
          <w:sz w:val="19"/>
          <w:szCs w:val="19"/>
          <w:lang w:eastAsia="nl-NL"/>
        </w:rPr>
      </w:pPr>
      <w:r w:rsidRPr="0091040C">
        <w:rPr>
          <w:rFonts w:ascii="Helvetica" w:hAnsi="Helvetica" w:cs="Times New Roman"/>
          <w:b/>
          <w:sz w:val="20"/>
          <w:szCs w:val="20"/>
          <w:u w:val="single"/>
        </w:rPr>
        <w:lastRenderedPageBreak/>
        <w:t>Abstract</w:t>
      </w:r>
      <w:r w:rsidR="00487A6B" w:rsidRPr="0091040C">
        <w:rPr>
          <w:rFonts w:ascii="Helvetica" w:hAnsi="Helvetica" w:cs="Times New Roman"/>
          <w:b/>
          <w:sz w:val="20"/>
          <w:szCs w:val="20"/>
          <w:u w:val="single"/>
        </w:rPr>
        <w:br/>
      </w:r>
      <w:r w:rsidR="00487A6B" w:rsidRPr="0091040C">
        <w:rPr>
          <w:rFonts w:ascii="Helvetica" w:eastAsia="Times New Roman" w:hAnsi="Helvetica" w:cs="Times New Roman"/>
          <w:b/>
          <w:sz w:val="20"/>
          <w:szCs w:val="20"/>
          <w:lang w:eastAsia="en-GB"/>
        </w:rPr>
        <w:br/>
      </w:r>
      <w:r w:rsidR="005A67D6" w:rsidRPr="005A67D6">
        <w:rPr>
          <w:rFonts w:ascii="Arial" w:eastAsia="Times New Roman" w:hAnsi="Arial"/>
          <w:b/>
          <w:bCs/>
          <w:color w:val="222222"/>
          <w:sz w:val="20"/>
          <w:szCs w:val="20"/>
          <w:lang w:eastAsia="nl-NL"/>
        </w:rPr>
        <w:t>Background</w:t>
      </w:r>
      <w:r w:rsidR="005A67D6" w:rsidRPr="005A67D6">
        <w:rPr>
          <w:rFonts w:ascii="Arial" w:eastAsia="Times New Roman" w:hAnsi="Arial"/>
          <w:b/>
          <w:bCs/>
          <w:color w:val="222222"/>
          <w:sz w:val="20"/>
          <w:szCs w:val="20"/>
          <w:lang w:eastAsia="nl-NL"/>
        </w:rPr>
        <w:br/>
      </w:r>
      <w:r w:rsidR="005A67D6" w:rsidRPr="005A67D6">
        <w:rPr>
          <w:rFonts w:ascii="Arial" w:eastAsia="Times New Roman" w:hAnsi="Arial"/>
          <w:color w:val="222222"/>
          <w:sz w:val="20"/>
          <w:szCs w:val="20"/>
          <w:shd w:val="clear" w:color="auto" w:fill="FFFFFF"/>
          <w:lang w:eastAsia="nl-NL"/>
        </w:rPr>
        <w:t>Urine culture at the point of care minimises delay between obtaining the sample and agar inoculation in a microbiology laboratory, and quantification and sensitivity results can be available more rapidly in primary care.</w:t>
      </w:r>
    </w:p>
    <w:p w14:paraId="789502D7" w14:textId="434E6CF7" w:rsidR="005A67D6" w:rsidRDefault="005A67D6" w:rsidP="005A67D6">
      <w:pPr>
        <w:shd w:val="clear" w:color="auto" w:fill="FFFFFF"/>
        <w:spacing w:after="0" w:line="240" w:lineRule="auto"/>
        <w:rPr>
          <w:rFonts w:ascii="Arial" w:eastAsia="Times New Roman" w:hAnsi="Arial"/>
          <w:color w:val="222222"/>
          <w:sz w:val="20"/>
          <w:szCs w:val="20"/>
          <w:shd w:val="clear" w:color="auto" w:fill="FFFFFF"/>
          <w:lang w:eastAsia="nl-NL"/>
        </w:rPr>
      </w:pPr>
      <w:r w:rsidRPr="005A67D6">
        <w:rPr>
          <w:rFonts w:ascii="Arial" w:eastAsia="Times New Roman" w:hAnsi="Arial"/>
          <w:b/>
          <w:bCs/>
          <w:color w:val="222222"/>
          <w:sz w:val="20"/>
          <w:szCs w:val="20"/>
          <w:shd w:val="clear" w:color="auto" w:fill="FFFFFF"/>
          <w:lang w:eastAsia="nl-NL"/>
        </w:rPr>
        <w:t>Objective</w:t>
      </w:r>
      <w:r w:rsidRPr="005A67D6">
        <w:rPr>
          <w:rFonts w:ascii="Arial" w:eastAsia="Times New Roman" w:hAnsi="Arial"/>
          <w:color w:val="222222"/>
          <w:sz w:val="20"/>
          <w:szCs w:val="20"/>
          <w:shd w:val="clear" w:color="auto" w:fill="FFFFFF"/>
          <w:lang w:eastAsia="nl-NL"/>
        </w:rPr>
        <w:t> </w:t>
      </w:r>
      <w:r w:rsidRPr="005A67D6">
        <w:rPr>
          <w:rFonts w:ascii="Arial" w:eastAsia="Times New Roman" w:hAnsi="Arial"/>
          <w:color w:val="222222"/>
          <w:sz w:val="20"/>
          <w:szCs w:val="20"/>
          <w:shd w:val="clear" w:color="auto" w:fill="FFFFFF"/>
          <w:lang w:eastAsia="nl-NL"/>
        </w:rPr>
        <w:br/>
        <w:t>To identify the degree to which clinicians’ interpretations of a point-of-care-test (POCT) urine culture (</w:t>
      </w:r>
      <w:r w:rsidRPr="005A67D6">
        <w:rPr>
          <w:rFonts w:ascii="Arial" w:eastAsia="Times New Roman" w:hAnsi="Arial"/>
          <w:color w:val="222222"/>
          <w:sz w:val="20"/>
          <w:szCs w:val="20"/>
          <w:lang w:val="en-US" w:eastAsia="nl-NL"/>
        </w:rPr>
        <w:t>Flexicult</w:t>
      </w:r>
      <w:r w:rsidRPr="005A67D6">
        <w:rPr>
          <w:rFonts w:ascii="Arial" w:eastAsia="Times New Roman" w:hAnsi="Arial"/>
          <w:color w:val="222222"/>
          <w:sz w:val="20"/>
          <w:szCs w:val="20"/>
          <w:vertAlign w:val="superscript"/>
          <w:lang w:val="en-US" w:eastAsia="nl-NL"/>
        </w:rPr>
        <w:t>TM </w:t>
      </w:r>
      <w:r w:rsidRPr="005A67D6">
        <w:rPr>
          <w:rFonts w:ascii="Arial" w:eastAsia="Times New Roman" w:hAnsi="Arial"/>
          <w:color w:val="222222"/>
          <w:sz w:val="20"/>
          <w:szCs w:val="20"/>
          <w:lang w:eastAsia="nl-NL"/>
        </w:rPr>
        <w:t>SSI-Urinary Kit</w:t>
      </w:r>
      <w:r w:rsidRPr="005A67D6">
        <w:rPr>
          <w:rFonts w:ascii="Arial" w:eastAsia="Times New Roman" w:hAnsi="Arial"/>
          <w:color w:val="222222"/>
          <w:sz w:val="20"/>
          <w:szCs w:val="20"/>
          <w:lang w:val="en-US" w:eastAsia="nl-NL"/>
        </w:rPr>
        <w:t>) </w:t>
      </w:r>
      <w:r w:rsidRPr="005A67D6">
        <w:rPr>
          <w:rFonts w:ascii="Arial" w:eastAsia="Times New Roman" w:hAnsi="Arial"/>
          <w:color w:val="222222"/>
          <w:sz w:val="20"/>
          <w:szCs w:val="20"/>
          <w:shd w:val="clear" w:color="auto" w:fill="FFFFFF"/>
          <w:lang w:eastAsia="nl-NL"/>
        </w:rPr>
        <w:t>agrees with laboratory culture in women presenting to primary care with symptoms of uncomplicated urinary tract infections </w:t>
      </w:r>
      <w:r w:rsidRPr="005A67D6">
        <w:rPr>
          <w:rFonts w:ascii="Arial" w:eastAsia="Times New Roman" w:hAnsi="Arial"/>
          <w:color w:val="222222"/>
          <w:sz w:val="20"/>
          <w:szCs w:val="20"/>
          <w:lang w:val="en-US" w:eastAsia="nl-NL"/>
        </w:rPr>
        <w:t>(UTI)</w:t>
      </w:r>
      <w:r w:rsidRPr="005A67D6">
        <w:rPr>
          <w:rFonts w:ascii="Arial" w:eastAsia="Times New Roman" w:hAnsi="Arial"/>
          <w:color w:val="222222"/>
          <w:sz w:val="20"/>
          <w:szCs w:val="20"/>
          <w:shd w:val="clear" w:color="auto" w:fill="FFFFFF"/>
          <w:lang w:eastAsia="nl-NL"/>
        </w:rPr>
        <w:t>.</w:t>
      </w:r>
    </w:p>
    <w:p w14:paraId="079AEB91" w14:textId="77777777" w:rsidR="005A67D6" w:rsidRPr="00F112E3" w:rsidRDefault="005A67D6" w:rsidP="005A67D6">
      <w:pPr>
        <w:shd w:val="clear" w:color="auto" w:fill="FFFFFF"/>
        <w:spacing w:after="0" w:line="240" w:lineRule="auto"/>
        <w:rPr>
          <w:rFonts w:ascii="Arial" w:eastAsia="Times New Roman" w:hAnsi="Arial"/>
          <w:color w:val="222222"/>
          <w:sz w:val="19"/>
          <w:szCs w:val="19"/>
          <w:lang w:eastAsia="nl-NL"/>
        </w:rPr>
      </w:pPr>
    </w:p>
    <w:p w14:paraId="5D4BDE15" w14:textId="327CE8D2" w:rsidR="005A67D6" w:rsidRDefault="005A67D6" w:rsidP="005A67D6">
      <w:pPr>
        <w:shd w:val="clear" w:color="auto" w:fill="FFFFFF"/>
        <w:spacing w:after="0" w:line="240" w:lineRule="auto"/>
        <w:rPr>
          <w:rFonts w:ascii="Arial" w:eastAsia="Times New Roman" w:hAnsi="Arial"/>
          <w:color w:val="222222"/>
          <w:sz w:val="20"/>
          <w:szCs w:val="20"/>
          <w:lang w:val="en-US" w:eastAsia="nl-NL"/>
        </w:rPr>
      </w:pPr>
      <w:r w:rsidRPr="005A67D6">
        <w:rPr>
          <w:rFonts w:ascii="Arial" w:eastAsia="Times New Roman" w:hAnsi="Arial"/>
          <w:b/>
          <w:bCs/>
          <w:color w:val="222222"/>
          <w:sz w:val="20"/>
          <w:szCs w:val="20"/>
          <w:shd w:val="clear" w:color="auto" w:fill="FFFFFF"/>
          <w:lang w:eastAsia="nl-NL"/>
        </w:rPr>
        <w:t>Methods</w:t>
      </w:r>
      <w:r w:rsidRPr="005A67D6">
        <w:rPr>
          <w:rFonts w:ascii="Arial" w:eastAsia="Times New Roman" w:hAnsi="Arial"/>
          <w:b/>
          <w:bCs/>
          <w:color w:val="222222"/>
          <w:sz w:val="20"/>
          <w:szCs w:val="20"/>
          <w:shd w:val="clear" w:color="auto" w:fill="FFFFFF"/>
          <w:lang w:eastAsia="nl-NL"/>
        </w:rPr>
        <w:br/>
      </w:r>
      <w:r w:rsidRPr="005A67D6">
        <w:rPr>
          <w:rFonts w:ascii="Arial" w:eastAsia="Times New Roman" w:hAnsi="Arial"/>
          <w:color w:val="222222"/>
          <w:sz w:val="20"/>
          <w:szCs w:val="20"/>
          <w:lang w:val="en-US" w:eastAsia="nl-NL"/>
        </w:rPr>
        <w:t>Primary care clinicians used the Flexicult</w:t>
      </w:r>
      <w:r w:rsidRPr="005A67D6">
        <w:rPr>
          <w:rFonts w:ascii="Arial" w:eastAsia="Times New Roman" w:hAnsi="Arial"/>
          <w:color w:val="222222"/>
          <w:sz w:val="20"/>
          <w:szCs w:val="20"/>
          <w:vertAlign w:val="superscript"/>
          <w:lang w:val="en-US" w:eastAsia="nl-NL"/>
        </w:rPr>
        <w:t>TM</w:t>
      </w:r>
      <w:r w:rsidRPr="005A67D6">
        <w:rPr>
          <w:rFonts w:ascii="Arial" w:eastAsia="Times New Roman" w:hAnsi="Arial"/>
          <w:color w:val="222222"/>
          <w:sz w:val="20"/>
          <w:szCs w:val="20"/>
          <w:lang w:val="en-US" w:eastAsia="nl-NL"/>
        </w:rPr>
        <w:t xml:space="preserve">-POCT, recorded their findings and took a photograph of the result, which was interpreted by microbiology laboratory technicians. </w:t>
      </w:r>
      <w:r w:rsidR="006B78AD">
        <w:rPr>
          <w:rFonts w:ascii="Arial" w:eastAsia="Times New Roman" w:hAnsi="Arial"/>
          <w:color w:val="222222"/>
          <w:sz w:val="20"/>
          <w:szCs w:val="20"/>
          <w:lang w:val="en-US" w:eastAsia="nl-NL"/>
        </w:rPr>
        <w:t>U</w:t>
      </w:r>
      <w:r w:rsidRPr="005A67D6">
        <w:rPr>
          <w:rFonts w:ascii="Arial" w:eastAsia="Times New Roman" w:hAnsi="Arial"/>
          <w:color w:val="222222"/>
          <w:sz w:val="20"/>
          <w:szCs w:val="20"/>
          <w:lang w:val="en-US" w:eastAsia="nl-NL"/>
        </w:rPr>
        <w:t>rine sample</w:t>
      </w:r>
      <w:r w:rsidR="006B78AD">
        <w:rPr>
          <w:rFonts w:ascii="Arial" w:eastAsia="Times New Roman" w:hAnsi="Arial"/>
          <w:color w:val="222222"/>
          <w:sz w:val="20"/>
          <w:szCs w:val="20"/>
          <w:lang w:val="en-US" w:eastAsia="nl-NL"/>
        </w:rPr>
        <w:t>s</w:t>
      </w:r>
      <w:r w:rsidRPr="005A67D6">
        <w:rPr>
          <w:rFonts w:ascii="Arial" w:eastAsia="Times New Roman" w:hAnsi="Arial"/>
          <w:color w:val="222222"/>
          <w:sz w:val="20"/>
          <w:szCs w:val="20"/>
          <w:lang w:val="en-US" w:eastAsia="nl-NL"/>
        </w:rPr>
        <w:t xml:space="preserve"> were </w:t>
      </w:r>
      <w:r w:rsidR="006B78AD">
        <w:rPr>
          <w:rFonts w:ascii="Arial" w:eastAsia="Times New Roman" w:hAnsi="Arial"/>
          <w:color w:val="222222"/>
          <w:sz w:val="20"/>
          <w:szCs w:val="20"/>
          <w:lang w:val="en-US" w:eastAsia="nl-NL"/>
        </w:rPr>
        <w:t>additionally</w:t>
      </w:r>
      <w:r w:rsidR="006B78AD" w:rsidRPr="005A67D6">
        <w:rPr>
          <w:rFonts w:ascii="Arial" w:eastAsia="Times New Roman" w:hAnsi="Arial"/>
          <w:color w:val="222222"/>
          <w:sz w:val="20"/>
          <w:szCs w:val="20"/>
          <w:lang w:val="en-US" w:eastAsia="nl-NL"/>
        </w:rPr>
        <w:t xml:space="preserve"> </w:t>
      </w:r>
      <w:r w:rsidRPr="005A67D6">
        <w:rPr>
          <w:rFonts w:ascii="Arial" w:eastAsia="Times New Roman" w:hAnsi="Arial"/>
          <w:color w:val="222222"/>
          <w:sz w:val="20"/>
          <w:szCs w:val="20"/>
          <w:lang w:val="en-US" w:eastAsia="nl-NL"/>
        </w:rPr>
        <w:t xml:space="preserve">processed in routine care laboratories. Cross tabulations were used to identify important differences in organism identification, quantification and antibiotic susceptibility between these three sources of data. The influence of various laboratory definitions for UTI </w:t>
      </w:r>
      <w:r w:rsidR="00204AC6">
        <w:rPr>
          <w:rFonts w:ascii="Arial" w:eastAsia="Times New Roman" w:hAnsi="Arial"/>
          <w:color w:val="222222"/>
          <w:sz w:val="20"/>
          <w:szCs w:val="20"/>
          <w:lang w:val="en-US" w:eastAsia="nl-NL"/>
        </w:rPr>
        <w:t xml:space="preserve">on culture </w:t>
      </w:r>
      <w:r w:rsidRPr="005A67D6">
        <w:rPr>
          <w:rFonts w:ascii="Arial" w:eastAsia="Times New Roman" w:hAnsi="Arial"/>
          <w:color w:val="222222"/>
          <w:sz w:val="20"/>
          <w:szCs w:val="20"/>
          <w:lang w:val="en-US" w:eastAsia="nl-NL"/>
        </w:rPr>
        <w:t>were assessed.</w:t>
      </w:r>
    </w:p>
    <w:p w14:paraId="4293C59D" w14:textId="77777777" w:rsidR="005A67D6" w:rsidRPr="00F112E3" w:rsidRDefault="005A67D6" w:rsidP="005A67D6">
      <w:pPr>
        <w:shd w:val="clear" w:color="auto" w:fill="FFFFFF"/>
        <w:spacing w:after="0" w:line="240" w:lineRule="auto"/>
        <w:rPr>
          <w:rFonts w:ascii="Arial" w:eastAsia="Times New Roman" w:hAnsi="Arial"/>
          <w:color w:val="222222"/>
          <w:sz w:val="19"/>
          <w:szCs w:val="19"/>
          <w:lang w:eastAsia="nl-NL"/>
        </w:rPr>
      </w:pPr>
    </w:p>
    <w:p w14:paraId="3A10E6C9" w14:textId="7CFC867E" w:rsidR="005A67D6" w:rsidRDefault="005A67D6" w:rsidP="005A67D6">
      <w:pPr>
        <w:shd w:val="clear" w:color="auto" w:fill="FFFFFF"/>
        <w:spacing w:after="0" w:line="240" w:lineRule="auto"/>
        <w:rPr>
          <w:rFonts w:ascii="Arial" w:eastAsia="Times New Roman" w:hAnsi="Arial"/>
          <w:color w:val="222222"/>
          <w:sz w:val="20"/>
          <w:szCs w:val="20"/>
          <w:lang w:eastAsia="nl-NL"/>
        </w:rPr>
      </w:pPr>
      <w:r w:rsidRPr="005A67D6">
        <w:rPr>
          <w:rFonts w:ascii="Arial" w:eastAsia="Times New Roman" w:hAnsi="Arial"/>
          <w:b/>
          <w:bCs/>
          <w:color w:val="222222"/>
          <w:sz w:val="20"/>
          <w:szCs w:val="20"/>
          <w:lang w:eastAsia="nl-NL"/>
        </w:rPr>
        <w:t>Results</w:t>
      </w:r>
      <w:r w:rsidRPr="005A67D6">
        <w:rPr>
          <w:rFonts w:ascii="Arial" w:eastAsia="Times New Roman" w:hAnsi="Arial"/>
          <w:color w:val="222222"/>
          <w:sz w:val="20"/>
          <w:szCs w:val="20"/>
          <w:lang w:val="en-US" w:eastAsia="nl-NL"/>
        </w:rPr>
        <w:br/>
      </w:r>
      <w:r w:rsidRPr="005A67D6">
        <w:rPr>
          <w:rFonts w:ascii="Arial" w:eastAsia="Times New Roman" w:hAnsi="Arial"/>
          <w:color w:val="222222"/>
          <w:sz w:val="20"/>
          <w:szCs w:val="20"/>
          <w:lang w:eastAsia="nl-NL"/>
        </w:rPr>
        <w:t>Primary care clinicians identified 202/289 urine samples (69.9%) as positive for UTI using the Flexicult</w:t>
      </w:r>
      <w:r w:rsidRPr="005A67D6">
        <w:rPr>
          <w:rFonts w:ascii="Arial" w:eastAsia="Times New Roman" w:hAnsi="Arial"/>
          <w:color w:val="222222"/>
          <w:sz w:val="20"/>
          <w:szCs w:val="20"/>
          <w:vertAlign w:val="superscript"/>
          <w:lang w:eastAsia="nl-NL"/>
        </w:rPr>
        <w:t>TM</w:t>
      </w:r>
      <w:r w:rsidRPr="005A67D6">
        <w:rPr>
          <w:rFonts w:ascii="Arial" w:eastAsia="Times New Roman" w:hAnsi="Arial"/>
          <w:color w:val="222222"/>
          <w:sz w:val="20"/>
          <w:szCs w:val="20"/>
          <w:lang w:eastAsia="nl-NL"/>
        </w:rPr>
        <w:t>-POCT, whereas laboratory culture identified 94-190 (32.5-65.7%) as positive, depending on definition thresholds. 82.9% of samples identified positive for </w:t>
      </w:r>
      <w:r w:rsidRPr="005A67D6">
        <w:rPr>
          <w:rFonts w:ascii="Arial" w:eastAsia="Times New Roman" w:hAnsi="Arial"/>
          <w:i/>
          <w:iCs/>
          <w:color w:val="222222"/>
          <w:sz w:val="20"/>
          <w:szCs w:val="20"/>
          <w:lang w:eastAsia="nl-NL"/>
        </w:rPr>
        <w:t>E. coli </w:t>
      </w:r>
      <w:r w:rsidRPr="005A67D6">
        <w:rPr>
          <w:rFonts w:ascii="Arial" w:eastAsia="Times New Roman" w:hAnsi="Arial"/>
          <w:color w:val="222222"/>
          <w:sz w:val="20"/>
          <w:szCs w:val="20"/>
          <w:lang w:eastAsia="nl-NL"/>
        </w:rPr>
        <w:t>on laboratory culture were also considered positive for </w:t>
      </w:r>
      <w:r w:rsidRPr="005A67D6">
        <w:rPr>
          <w:rFonts w:ascii="Arial" w:eastAsia="Times New Roman" w:hAnsi="Arial"/>
          <w:i/>
          <w:iCs/>
          <w:color w:val="222222"/>
          <w:sz w:val="20"/>
          <w:szCs w:val="20"/>
          <w:lang w:eastAsia="nl-NL"/>
        </w:rPr>
        <w:t>E. coli </w:t>
      </w:r>
      <w:r w:rsidRPr="005A67D6">
        <w:rPr>
          <w:rFonts w:ascii="Arial" w:eastAsia="Times New Roman" w:hAnsi="Arial"/>
          <w:color w:val="222222"/>
          <w:sz w:val="20"/>
          <w:szCs w:val="20"/>
          <w:lang w:eastAsia="nl-NL"/>
        </w:rPr>
        <w:t>using the Flexicult</w:t>
      </w:r>
      <w:r w:rsidRPr="005A67D6">
        <w:rPr>
          <w:rFonts w:ascii="Arial" w:eastAsia="Times New Roman" w:hAnsi="Arial"/>
          <w:color w:val="222222"/>
          <w:sz w:val="20"/>
          <w:szCs w:val="20"/>
          <w:vertAlign w:val="superscript"/>
          <w:lang w:eastAsia="nl-NL"/>
        </w:rPr>
        <w:t>TM </w:t>
      </w:r>
      <w:r w:rsidRPr="005A67D6">
        <w:rPr>
          <w:rFonts w:ascii="Arial" w:eastAsia="Times New Roman" w:hAnsi="Arial"/>
          <w:color w:val="222222"/>
          <w:sz w:val="20"/>
          <w:szCs w:val="20"/>
          <w:lang w:eastAsia="nl-NL"/>
        </w:rPr>
        <w:t>-POCT, and susceptibilities were reasonably concordant. There were major discrepancies between laboratory staff interpretation of Flexicult</w:t>
      </w:r>
      <w:r w:rsidRPr="005A67D6">
        <w:rPr>
          <w:rFonts w:ascii="Arial" w:eastAsia="Times New Roman" w:hAnsi="Arial"/>
          <w:color w:val="222222"/>
          <w:sz w:val="20"/>
          <w:szCs w:val="20"/>
          <w:vertAlign w:val="superscript"/>
          <w:lang w:eastAsia="nl-NL"/>
        </w:rPr>
        <w:t>TM</w:t>
      </w:r>
      <w:r w:rsidRPr="005A67D6">
        <w:rPr>
          <w:rFonts w:ascii="Arial" w:eastAsia="Times New Roman" w:hAnsi="Arial"/>
          <w:color w:val="222222"/>
          <w:sz w:val="20"/>
          <w:szCs w:val="20"/>
          <w:lang w:eastAsia="nl-NL"/>
        </w:rPr>
        <w:t> photographs, clinicians’ interpretation of the Flexicult</w:t>
      </w:r>
      <w:r w:rsidRPr="005A67D6">
        <w:rPr>
          <w:rFonts w:ascii="Arial" w:eastAsia="Times New Roman" w:hAnsi="Arial"/>
          <w:color w:val="222222"/>
          <w:sz w:val="20"/>
          <w:szCs w:val="20"/>
          <w:vertAlign w:val="superscript"/>
          <w:lang w:eastAsia="nl-NL"/>
        </w:rPr>
        <w:t>TM</w:t>
      </w:r>
      <w:r w:rsidRPr="005A67D6">
        <w:rPr>
          <w:rFonts w:ascii="Arial" w:eastAsia="Times New Roman" w:hAnsi="Arial"/>
          <w:color w:val="222222"/>
          <w:sz w:val="20"/>
          <w:szCs w:val="20"/>
          <w:lang w:eastAsia="nl-NL"/>
        </w:rPr>
        <w:t> test, and laboratory culture results.</w:t>
      </w:r>
    </w:p>
    <w:p w14:paraId="35728330" w14:textId="77777777" w:rsidR="005A67D6" w:rsidRPr="00F112E3" w:rsidRDefault="005A67D6" w:rsidP="005A67D6">
      <w:pPr>
        <w:shd w:val="clear" w:color="auto" w:fill="FFFFFF"/>
        <w:spacing w:after="0" w:line="240" w:lineRule="auto"/>
        <w:rPr>
          <w:rFonts w:ascii="Arial" w:eastAsia="Times New Roman" w:hAnsi="Arial"/>
          <w:color w:val="222222"/>
          <w:sz w:val="19"/>
          <w:szCs w:val="19"/>
          <w:lang w:eastAsia="nl-NL"/>
        </w:rPr>
      </w:pPr>
    </w:p>
    <w:p w14:paraId="051F9DEF" w14:textId="77777777" w:rsidR="005A67D6" w:rsidRPr="00F112E3" w:rsidRDefault="005A67D6" w:rsidP="005A67D6">
      <w:pPr>
        <w:shd w:val="clear" w:color="auto" w:fill="FFFFFF"/>
        <w:spacing w:after="0" w:line="240" w:lineRule="auto"/>
        <w:textAlignment w:val="baseline"/>
        <w:rPr>
          <w:rFonts w:ascii="Arial" w:eastAsia="Times New Roman" w:hAnsi="Arial"/>
          <w:color w:val="222222"/>
          <w:sz w:val="19"/>
          <w:szCs w:val="19"/>
          <w:lang w:eastAsia="nl-NL"/>
        </w:rPr>
      </w:pPr>
      <w:r w:rsidRPr="005A67D6">
        <w:rPr>
          <w:rFonts w:ascii="Arial" w:eastAsia="Times New Roman" w:hAnsi="Arial"/>
          <w:b/>
          <w:bCs/>
          <w:color w:val="222222"/>
          <w:sz w:val="20"/>
          <w:szCs w:val="20"/>
          <w:lang w:eastAsia="nl-NL"/>
        </w:rPr>
        <w:t>Conclusion</w:t>
      </w:r>
    </w:p>
    <w:p w14:paraId="28FA96F8" w14:textId="77777777" w:rsidR="005A67D6" w:rsidRPr="00F112E3" w:rsidRDefault="005A67D6" w:rsidP="005A67D6">
      <w:pPr>
        <w:shd w:val="clear" w:color="auto" w:fill="FFFFFF"/>
        <w:spacing w:after="0" w:line="240" w:lineRule="auto"/>
        <w:rPr>
          <w:rFonts w:ascii="Arial" w:eastAsia="Times New Roman" w:hAnsi="Arial"/>
          <w:color w:val="222222"/>
          <w:sz w:val="19"/>
          <w:szCs w:val="19"/>
          <w:lang w:eastAsia="nl-NL"/>
        </w:rPr>
      </w:pPr>
      <w:r w:rsidRPr="005A67D6">
        <w:rPr>
          <w:rFonts w:ascii="Arial" w:eastAsia="Times New Roman" w:hAnsi="Arial"/>
          <w:color w:val="222222"/>
          <w:sz w:val="20"/>
          <w:szCs w:val="20"/>
          <w:lang w:eastAsia="nl-NL"/>
        </w:rPr>
        <w:t>Flexicult</w:t>
      </w:r>
      <w:r w:rsidRPr="005A67D6">
        <w:rPr>
          <w:rFonts w:ascii="Arial" w:eastAsia="Times New Roman" w:hAnsi="Arial"/>
          <w:color w:val="222222"/>
          <w:sz w:val="20"/>
          <w:szCs w:val="20"/>
          <w:vertAlign w:val="superscript"/>
          <w:lang w:eastAsia="nl-NL"/>
        </w:rPr>
        <w:t>TM</w:t>
      </w:r>
      <w:r w:rsidRPr="005A67D6">
        <w:rPr>
          <w:rFonts w:ascii="Arial" w:eastAsia="Times New Roman" w:hAnsi="Arial"/>
          <w:color w:val="222222"/>
          <w:sz w:val="20"/>
          <w:szCs w:val="20"/>
          <w:lang w:eastAsia="nl-NL"/>
        </w:rPr>
        <w:t>-POCT overestimated the positivity rate of urine samples for UTI when laboratory culture was used as the reference standard. However, it is unclear whether point</w:t>
      </w:r>
      <w:r w:rsidR="00300256">
        <w:rPr>
          <w:rFonts w:ascii="Arial" w:eastAsia="Times New Roman" w:hAnsi="Arial"/>
          <w:color w:val="222222"/>
          <w:sz w:val="20"/>
          <w:szCs w:val="20"/>
          <w:lang w:eastAsia="nl-NL"/>
        </w:rPr>
        <w:t>-of-</w:t>
      </w:r>
      <w:r w:rsidRPr="005A67D6">
        <w:rPr>
          <w:rFonts w:ascii="Arial" w:eastAsia="Times New Roman" w:hAnsi="Arial"/>
          <w:color w:val="222222"/>
          <w:sz w:val="20"/>
          <w:szCs w:val="20"/>
          <w:lang w:eastAsia="nl-NL"/>
        </w:rPr>
        <w:t>care or laboratory based urine culture provides the most valid diagnostic information.</w:t>
      </w:r>
    </w:p>
    <w:p w14:paraId="307E63F6" w14:textId="77777777" w:rsidR="001A4B41" w:rsidRPr="0091040C" w:rsidRDefault="001A4B41" w:rsidP="005A67D6">
      <w:pPr>
        <w:rPr>
          <w:rFonts w:ascii="Helvetica" w:hAnsi="Helvetica" w:cs="Times New Roman"/>
          <w:sz w:val="20"/>
          <w:szCs w:val="20"/>
          <w:lang w:val="en-US"/>
        </w:rPr>
      </w:pPr>
    </w:p>
    <w:p w14:paraId="7BCDB339" w14:textId="77777777" w:rsidR="00954700" w:rsidRPr="0091040C" w:rsidRDefault="00C026C7" w:rsidP="00C76E34">
      <w:pPr>
        <w:rPr>
          <w:rFonts w:ascii="Helvetica" w:hAnsi="Helvetica" w:cs="Times New Roman"/>
          <w:b/>
          <w:sz w:val="20"/>
          <w:szCs w:val="20"/>
        </w:rPr>
      </w:pPr>
      <w:r w:rsidRPr="0091040C">
        <w:rPr>
          <w:rFonts w:ascii="Helvetica" w:hAnsi="Helvetica" w:cs="Times New Roman"/>
          <w:b/>
          <w:sz w:val="20"/>
          <w:szCs w:val="20"/>
        </w:rPr>
        <w:t>2</w:t>
      </w:r>
      <w:r w:rsidR="00300256">
        <w:rPr>
          <w:rFonts w:ascii="Helvetica" w:hAnsi="Helvetica" w:cs="Times New Roman"/>
          <w:b/>
          <w:sz w:val="20"/>
          <w:szCs w:val="20"/>
        </w:rPr>
        <w:t>49</w:t>
      </w:r>
      <w:r w:rsidRPr="0091040C">
        <w:rPr>
          <w:rFonts w:ascii="Helvetica" w:hAnsi="Helvetica" w:cs="Times New Roman"/>
          <w:b/>
          <w:sz w:val="20"/>
          <w:szCs w:val="20"/>
        </w:rPr>
        <w:t xml:space="preserve"> words</w:t>
      </w:r>
    </w:p>
    <w:p w14:paraId="1D619043" w14:textId="77777777" w:rsidR="000577B3" w:rsidRPr="0091040C" w:rsidRDefault="000577B3" w:rsidP="00C76E34">
      <w:pPr>
        <w:rPr>
          <w:rFonts w:ascii="Helvetica" w:hAnsi="Helvetica" w:cs="Times New Roman"/>
          <w:b/>
          <w:sz w:val="20"/>
          <w:szCs w:val="20"/>
        </w:rPr>
      </w:pPr>
    </w:p>
    <w:p w14:paraId="42E82C3D" w14:textId="77777777" w:rsidR="000577B3" w:rsidRPr="0091040C" w:rsidRDefault="00864E0C" w:rsidP="00C76E34">
      <w:pPr>
        <w:rPr>
          <w:rFonts w:ascii="Helvetica" w:hAnsi="Helvetica" w:cs="Times New Roman"/>
          <w:sz w:val="20"/>
          <w:szCs w:val="20"/>
        </w:rPr>
      </w:pPr>
      <w:r w:rsidRPr="0091040C">
        <w:rPr>
          <w:rFonts w:ascii="Helvetica" w:hAnsi="Helvetica" w:cs="Times New Roman"/>
          <w:b/>
          <w:sz w:val="20"/>
          <w:szCs w:val="20"/>
        </w:rPr>
        <w:t xml:space="preserve">Keywords </w:t>
      </w:r>
      <w:r w:rsidRPr="0091040C">
        <w:rPr>
          <w:rFonts w:ascii="Helvetica" w:hAnsi="Helvetica" w:cs="Times New Roman"/>
          <w:sz w:val="20"/>
          <w:szCs w:val="20"/>
        </w:rPr>
        <w:t>Urinary tract infecti</w:t>
      </w:r>
      <w:r w:rsidR="00A5476A" w:rsidRPr="0091040C">
        <w:rPr>
          <w:rFonts w:ascii="Helvetica" w:hAnsi="Helvetica" w:cs="Times New Roman"/>
          <w:sz w:val="20"/>
          <w:szCs w:val="20"/>
        </w:rPr>
        <w:t xml:space="preserve">on, </w:t>
      </w:r>
      <w:r w:rsidRPr="0091040C">
        <w:rPr>
          <w:rFonts w:ascii="Helvetica" w:hAnsi="Helvetica" w:cs="Times New Roman"/>
          <w:sz w:val="20"/>
          <w:szCs w:val="20"/>
        </w:rPr>
        <w:t xml:space="preserve">Primary </w:t>
      </w:r>
      <w:r w:rsidR="00D25434" w:rsidRPr="0091040C">
        <w:rPr>
          <w:rFonts w:ascii="Helvetica" w:hAnsi="Helvetica" w:cs="Times New Roman"/>
          <w:sz w:val="20"/>
          <w:szCs w:val="20"/>
        </w:rPr>
        <w:t xml:space="preserve">Health </w:t>
      </w:r>
      <w:r w:rsidRPr="0091040C">
        <w:rPr>
          <w:rFonts w:ascii="Helvetica" w:hAnsi="Helvetica" w:cs="Times New Roman"/>
          <w:sz w:val="20"/>
          <w:szCs w:val="20"/>
        </w:rPr>
        <w:t>Care</w:t>
      </w:r>
      <w:r w:rsidR="004C6FFC" w:rsidRPr="0091040C">
        <w:rPr>
          <w:rFonts w:ascii="Helvetica" w:hAnsi="Helvetica" w:cs="Times New Roman"/>
          <w:sz w:val="20"/>
          <w:szCs w:val="20"/>
        </w:rPr>
        <w:t>,</w:t>
      </w:r>
      <w:r w:rsidRPr="0091040C">
        <w:rPr>
          <w:rFonts w:ascii="Helvetica" w:hAnsi="Helvetica" w:cs="Times New Roman"/>
          <w:sz w:val="20"/>
          <w:szCs w:val="20"/>
        </w:rPr>
        <w:t xml:space="preserve"> Point</w:t>
      </w:r>
      <w:r w:rsidR="00D25434" w:rsidRPr="0091040C">
        <w:rPr>
          <w:rFonts w:ascii="Helvetica" w:hAnsi="Helvetica" w:cs="Times New Roman"/>
          <w:sz w:val="20"/>
          <w:szCs w:val="20"/>
        </w:rPr>
        <w:t xml:space="preserve"> </w:t>
      </w:r>
      <w:r w:rsidRPr="0091040C">
        <w:rPr>
          <w:rFonts w:ascii="Helvetica" w:hAnsi="Helvetica" w:cs="Times New Roman"/>
          <w:sz w:val="20"/>
          <w:szCs w:val="20"/>
        </w:rPr>
        <w:t>of</w:t>
      </w:r>
      <w:r w:rsidR="00D25434" w:rsidRPr="0091040C">
        <w:rPr>
          <w:rFonts w:ascii="Helvetica" w:hAnsi="Helvetica" w:cs="Times New Roman"/>
          <w:sz w:val="20"/>
          <w:szCs w:val="20"/>
        </w:rPr>
        <w:t xml:space="preserve"> C</w:t>
      </w:r>
      <w:r w:rsidRPr="0091040C">
        <w:rPr>
          <w:rFonts w:ascii="Helvetica" w:hAnsi="Helvetica" w:cs="Times New Roman"/>
          <w:sz w:val="20"/>
          <w:szCs w:val="20"/>
        </w:rPr>
        <w:t>are</w:t>
      </w:r>
      <w:r w:rsidR="00D25434" w:rsidRPr="0091040C">
        <w:rPr>
          <w:rFonts w:ascii="Helvetica" w:hAnsi="Helvetica" w:cs="Times New Roman"/>
          <w:sz w:val="20"/>
          <w:szCs w:val="20"/>
        </w:rPr>
        <w:t xml:space="preserve"> T</w:t>
      </w:r>
      <w:r w:rsidRPr="0091040C">
        <w:rPr>
          <w:rFonts w:ascii="Helvetica" w:hAnsi="Helvetica" w:cs="Times New Roman"/>
          <w:sz w:val="20"/>
          <w:szCs w:val="20"/>
        </w:rPr>
        <w:t>est</w:t>
      </w:r>
      <w:r w:rsidR="004C6FFC" w:rsidRPr="0091040C">
        <w:rPr>
          <w:rFonts w:ascii="Helvetica" w:hAnsi="Helvetica" w:cs="Times New Roman"/>
          <w:sz w:val="20"/>
          <w:szCs w:val="20"/>
        </w:rPr>
        <w:t>,</w:t>
      </w:r>
      <w:r w:rsidR="009F728E">
        <w:rPr>
          <w:rFonts w:ascii="Helvetica" w:hAnsi="Helvetica" w:cs="Times New Roman"/>
          <w:sz w:val="20"/>
          <w:szCs w:val="20"/>
        </w:rPr>
        <w:t xml:space="preserve"> </w:t>
      </w:r>
      <w:r w:rsidRPr="0091040C">
        <w:rPr>
          <w:rFonts w:ascii="Helvetica" w:hAnsi="Helvetica" w:cs="Times New Roman"/>
          <w:sz w:val="20"/>
          <w:szCs w:val="20"/>
        </w:rPr>
        <w:t>Adult wom</w:t>
      </w:r>
      <w:r w:rsidR="00D25434" w:rsidRPr="0091040C">
        <w:rPr>
          <w:rFonts w:ascii="Helvetica" w:hAnsi="Helvetica" w:cs="Times New Roman"/>
          <w:sz w:val="20"/>
          <w:szCs w:val="20"/>
        </w:rPr>
        <w:t>e</w:t>
      </w:r>
      <w:r w:rsidRPr="0091040C">
        <w:rPr>
          <w:rFonts w:ascii="Helvetica" w:hAnsi="Helvetica" w:cs="Times New Roman"/>
          <w:sz w:val="20"/>
          <w:szCs w:val="20"/>
        </w:rPr>
        <w:t>n</w:t>
      </w:r>
      <w:r w:rsidR="00D25434" w:rsidRPr="0091040C">
        <w:rPr>
          <w:rFonts w:ascii="Helvetica" w:hAnsi="Helvetica" w:cs="Times New Roman"/>
          <w:sz w:val="20"/>
          <w:szCs w:val="20"/>
        </w:rPr>
        <w:t>, Antibiotic resistance</w:t>
      </w:r>
      <w:r w:rsidR="004C6FFC" w:rsidRPr="0091040C">
        <w:rPr>
          <w:rFonts w:ascii="Helvetica" w:hAnsi="Helvetica" w:cs="Times New Roman"/>
          <w:sz w:val="20"/>
          <w:szCs w:val="20"/>
        </w:rPr>
        <w:t xml:space="preserve">, Diagnosis </w:t>
      </w:r>
      <w:r w:rsidRPr="0091040C">
        <w:rPr>
          <w:rFonts w:ascii="Helvetica" w:hAnsi="Helvetica" w:cs="Times New Roman"/>
          <w:sz w:val="20"/>
          <w:szCs w:val="20"/>
        </w:rPr>
        <w:t xml:space="preserve">    </w:t>
      </w:r>
    </w:p>
    <w:p w14:paraId="5FF5E817" w14:textId="77777777" w:rsidR="00864E0C" w:rsidRPr="0091040C" w:rsidRDefault="00864E0C" w:rsidP="00C76E34">
      <w:pPr>
        <w:rPr>
          <w:rFonts w:ascii="Helvetica" w:hAnsi="Helvetica" w:cs="Times New Roman"/>
          <w:b/>
          <w:sz w:val="20"/>
          <w:szCs w:val="20"/>
        </w:rPr>
      </w:pPr>
    </w:p>
    <w:p w14:paraId="77D5A294" w14:textId="77777777" w:rsidR="006F31CC" w:rsidRPr="0091040C" w:rsidRDefault="006F31CC">
      <w:pPr>
        <w:rPr>
          <w:rFonts w:ascii="Helvetica" w:hAnsi="Helvetica" w:cs="Times New Roman"/>
          <w:b/>
          <w:sz w:val="20"/>
          <w:szCs w:val="20"/>
        </w:rPr>
      </w:pPr>
      <w:r w:rsidRPr="0091040C">
        <w:rPr>
          <w:rFonts w:ascii="Helvetica" w:hAnsi="Helvetica" w:cs="Times New Roman"/>
          <w:b/>
          <w:sz w:val="20"/>
          <w:szCs w:val="20"/>
        </w:rPr>
        <w:br w:type="page"/>
      </w:r>
    </w:p>
    <w:p w14:paraId="59CAFB01" w14:textId="77777777" w:rsidR="00497B38" w:rsidRPr="0091040C" w:rsidRDefault="0011568D" w:rsidP="00497B38">
      <w:pPr>
        <w:rPr>
          <w:rFonts w:ascii="Helvetica" w:hAnsi="Helvetica" w:cs="Times New Roman"/>
          <w:b/>
          <w:sz w:val="20"/>
          <w:szCs w:val="20"/>
        </w:rPr>
      </w:pPr>
      <w:r w:rsidRPr="0091040C">
        <w:rPr>
          <w:rFonts w:ascii="Helvetica" w:hAnsi="Helvetica" w:cs="Times New Roman"/>
          <w:b/>
          <w:sz w:val="20"/>
          <w:szCs w:val="20"/>
        </w:rPr>
        <w:lastRenderedPageBreak/>
        <w:t>Background</w:t>
      </w:r>
    </w:p>
    <w:p w14:paraId="5B0C3D4A" w14:textId="77777777" w:rsidR="00497B38" w:rsidRPr="0091040C" w:rsidRDefault="00497B38" w:rsidP="00497B38">
      <w:pPr>
        <w:spacing w:line="480" w:lineRule="auto"/>
        <w:rPr>
          <w:rFonts w:ascii="Helvetica" w:hAnsi="Helvetica" w:cs="Times New Roman"/>
          <w:sz w:val="20"/>
          <w:szCs w:val="20"/>
        </w:rPr>
      </w:pPr>
      <w:r w:rsidRPr="0091040C">
        <w:rPr>
          <w:rFonts w:ascii="Helvetica" w:hAnsi="Helvetica" w:cs="Times New Roman"/>
          <w:sz w:val="20"/>
          <w:szCs w:val="20"/>
        </w:rPr>
        <w:t xml:space="preserve">Nearly 40% of women suffer from </w:t>
      </w:r>
      <w:r w:rsidR="006E7525" w:rsidRPr="0091040C">
        <w:rPr>
          <w:rFonts w:ascii="Helvetica" w:hAnsi="Helvetica" w:cs="Times New Roman"/>
          <w:sz w:val="20"/>
          <w:szCs w:val="20"/>
        </w:rPr>
        <w:t xml:space="preserve">symptoms of </w:t>
      </w:r>
      <w:r w:rsidRPr="0091040C">
        <w:rPr>
          <w:rFonts w:ascii="Helvetica" w:hAnsi="Helvetica" w:cs="Times New Roman"/>
          <w:sz w:val="20"/>
          <w:szCs w:val="20"/>
        </w:rPr>
        <w:t>urinary tract infection (UTI) in their lifetime</w:t>
      </w:r>
      <w:r w:rsidR="00FB40E5" w:rsidRPr="0091040C">
        <w:rPr>
          <w:rFonts w:ascii="Helvetica" w:hAnsi="Helvetica" w:cs="Times New Roman"/>
          <w:sz w:val="20"/>
          <w:szCs w:val="20"/>
        </w:rPr>
        <w:t xml:space="preserve"> and</w:t>
      </w:r>
      <w:r w:rsidR="00D20F96" w:rsidRPr="0091040C">
        <w:rPr>
          <w:rFonts w:ascii="Helvetica" w:hAnsi="Helvetica" w:cs="Times New Roman"/>
          <w:sz w:val="20"/>
          <w:szCs w:val="20"/>
          <w:lang w:val="en-US"/>
        </w:rPr>
        <w:t xml:space="preserve"> </w:t>
      </w:r>
      <w:r w:rsidRPr="0091040C">
        <w:rPr>
          <w:rFonts w:ascii="Helvetica" w:hAnsi="Helvetica" w:cs="Times New Roman"/>
          <w:sz w:val="20"/>
          <w:szCs w:val="20"/>
          <w:lang w:val="en-US"/>
        </w:rPr>
        <w:t>UTIs account for about 15% of antibiotic prescriptions in primary care</w:t>
      </w:r>
      <w:r w:rsidR="004D7980" w:rsidRPr="0091040C">
        <w:rPr>
          <w:rFonts w:ascii="Helvetica" w:hAnsi="Helvetica" w:cs="Times New Roman"/>
          <w:sz w:val="20"/>
          <w:szCs w:val="20"/>
          <w:lang w:val="en-US"/>
        </w:rPr>
        <w:t>.</w:t>
      </w:r>
      <w:r w:rsidR="004D7980" w:rsidRPr="0091040C">
        <w:rPr>
          <w:rFonts w:ascii="Helvetica" w:hAnsi="Helvetica" w:cs="Times New Roman"/>
          <w:sz w:val="20"/>
          <w:szCs w:val="20"/>
          <w:lang w:val="en-US"/>
        </w:rPr>
        <w:fldChar w:fldCharType="begin" w:fldLock="1"/>
      </w:r>
      <w:r w:rsidR="005642C4" w:rsidRPr="0091040C">
        <w:rPr>
          <w:rFonts w:ascii="Helvetica" w:hAnsi="Helvetica" w:cs="Times New Roman"/>
          <w:sz w:val="20"/>
          <w:szCs w:val="20"/>
          <w:lang w:val="en-US"/>
        </w:rPr>
        <w:instrText>ADDIN CSL_CITATION { "citationItems" : [ { "id" : "ITEM-1", "itemData" : { "ISSN" : "0960-1643", "abstract" : "Background Limited knowledge of the population incidence and management of uncomplicated urinary tract infection (UTI) limits information provision and interventions to enhance care in the community. Aim To describe incidence and severity, help seeking, and management of UTI from a population perspective. Design and setting Household survey in England in 2014. Method In total, a random sample of 2424 females aged =16 years were interviewed in their own homes using computer-assisted interviewing about their UTI symptoms, help seeking, and management. Data were weighted by sex, age, ethnicity, working status, social grade, and housing tenure, and Government Office Region to be broadly representative of the general population. Results Of the females interviewed, 892 (37%) reported having had at least one UTI in their lifetime (29% had more than one episode). In the past year, 11% of all females reported a UTI and 3% recurrent UTI (=3 or more). Of those who had ever had a UTI, 48% rated their last UTI as fairly or very severe. In total, 95% consulted a health professional; 65% at their local GP practice during routine consulting hours. Out-of-hours consulting was uncommon but more prevalent in younger females. Of those contacting a health professional, 76% had a urine test, 74% were prescribed an antibiotic, but only 63% of these reported taking the antibiotic. Delayed antibiotic prescribing was rare. Conclusion UTI symptoms are common; most females consult in general practice, and are prescribed antibiotics, but one-third report not taking the antibiotics as prescribed. Benefit and harms in those taking, and not taking, antibiotics need to be better understood in order to improve help seeking, management, and adherence. Urine tests and antibiotics could be reduced by basing empirical antibiotics on symptoms, and increasing use of back-up prescriptions.", "author" : [ { "dropping-particle" : "", "family" : "C.C.", "given" : "Butler", "non-dropping-particle" : "", "parse-names" : false, "suffix" : "" }, { "dropping-particle" : "", "family" : "M.K.D.", "given" : "Hawking", "non-dropping-particle" : "", "parse-names" : false, "suffix" : "" }, { "dropping-particle" : "", "family" : "A.", "given" : "Quigley", "non-dropping-particle" : "", "parse-names" : false, "suffix" : "" }, { "dropping-particle" : "", "family" : "C.A.M.", "given" : "McNulty", "non-dropping-particle" : "", "parse-names" : false, "suffix" : "" } ], "container-title" : "British Journal of General Practice", "id" : "ITEM-1", "issue" : "639", "issued" : { "date-parts" : [ [ "2015" ] ] }, "page" : "e702-e707", "publisher-place" : "C.C. Butler, Nuffield Department of Primary Care Health Sciences, University of Oxford, New Radcliffe House, Radcliffe Observatory Quarter, Oxford, United Kingdom", "title" : "Incidence, severity, help seeking, and management of uncomplicated urinary tract infection: A population-based survey", "type" : "article-journal", "volume" : "65" }, "uris" : [ "http://www.mendeley.com/documents/?uuid=7b3da2d9-e1ab-4e26-a11b-169c72595921" ] }, { "id" : "ITEM-2", "itemData" : { "DOI" : "10.1016/j.ejogrb.2011.01.028", "ISSN" : "03012115", "abstract" : "Urinary tract infections (UTIs) are conditions frequently complained by women both in the general population and in the hospital setting. Indeed it has been estimated that one woman out of three will experience at least an episode of UTI during lifetime. A comprehensive literature review of published experimental and clinical studies of UTI was carried out at the University of Insubria electronic library (SFX Bicocca-Insubria) with cross-search of seven different medical databases (AMED, BIOSIS Previews on Web of Knowledge, Cochrane Library, Embase and Medline on Web of Knowledge, OvidSP and PubMed). We aimed to draw a clinical guideline addressed to the management of UTI, based on the most recent evidence.", "author" : [ { "dropping-particle" : "", "family" : "Salvatore", "given" : "Stefano", "non-dropping-particle" : "", "parse-names" : false, "suffix" : "" }, { "dropping-particle" : "", "family" : "Salvatore", "given" : "Silvia", "non-dropping-particle" : "", "parse-names" : false, "suffix" : "" }, { "dropping-particle" : "", "family" : "Cattoni", "given" : "Elena", "non-dropping-particle" : "", "parse-names" : false, "suffix" : "" }, { "dropping-particle" : "", "family" : "Siesto", "given" : "Gabriele", "non-dropping-particle" : "", "parse-names" : false, "suffix" : "" }, { "dropping-particle" : "", "family" : "Serati", "given" : "Maurizio", "non-dropping-particle" : "", "parse-names" : false, "suffix" : "" }, { "dropping-particle" : "", "family" : "Sorice", "given" : "Paola", "non-dropping-particle" : "", "parse-names" : false, "suffix" : "" }, { "dropping-particle" : "", "family" : "Torella", "given" : "Marco", "non-dropping-particle" : "", "parse-names" : false, "suffix" : "" } ], "container-title" : "European Journal of Obstetrics &amp; Gynecology and Reproductive Biology", "id" : "ITEM-2", "issue" : "2", "issued" : { "date-parts" : [ [ "2011", "6" ] ] }, "page" : "131-136", "title" : "Urinary tract infections in women", "type" : "article-journal", "volume" : "156" }, "uris" : [ "http://www.mendeley.com/documents/?uuid=219f350d-f2ff-4cf4-a842-7edd3bcd6244" ] } ], "mendeley" : { "formattedCitation" : "&lt;sup&gt;1,2&lt;/sup&gt;", "plainTextFormattedCitation" : "1,2", "previouslyFormattedCitation" : "&lt;sup&gt;1,2&lt;/sup&gt;" }, "properties" : { "noteIndex" : 0 }, "schema" : "https://github.com/citation-style-language/schema/raw/master/csl-citation.json" }</w:instrText>
      </w:r>
      <w:r w:rsidR="004D7980" w:rsidRPr="0091040C">
        <w:rPr>
          <w:rFonts w:ascii="Helvetica" w:hAnsi="Helvetica" w:cs="Times New Roman"/>
          <w:sz w:val="20"/>
          <w:szCs w:val="20"/>
          <w:lang w:val="en-US"/>
        </w:rPr>
        <w:fldChar w:fldCharType="separate"/>
      </w:r>
      <w:r w:rsidR="004D7980" w:rsidRPr="0091040C">
        <w:rPr>
          <w:rFonts w:ascii="Helvetica" w:hAnsi="Helvetica" w:cs="Times New Roman"/>
          <w:noProof/>
          <w:sz w:val="20"/>
          <w:szCs w:val="20"/>
          <w:vertAlign w:val="superscript"/>
          <w:lang w:val="en-US"/>
        </w:rPr>
        <w:t>1,2</w:t>
      </w:r>
      <w:r w:rsidR="004D7980" w:rsidRPr="0091040C">
        <w:rPr>
          <w:rFonts w:ascii="Helvetica" w:hAnsi="Helvetica" w:cs="Times New Roman"/>
          <w:sz w:val="20"/>
          <w:szCs w:val="20"/>
          <w:lang w:val="en-US"/>
        </w:rPr>
        <w:fldChar w:fldCharType="end"/>
      </w:r>
      <w:r w:rsidRPr="0091040C">
        <w:rPr>
          <w:rFonts w:ascii="Helvetica" w:hAnsi="Helvetica" w:cs="Times New Roman"/>
          <w:sz w:val="20"/>
          <w:szCs w:val="20"/>
          <w:lang w:val="en-US"/>
        </w:rPr>
        <w:t xml:space="preserve"> </w:t>
      </w:r>
      <w:r w:rsidRPr="0091040C">
        <w:rPr>
          <w:rFonts w:ascii="Helvetica" w:hAnsi="Helvetica" w:cs="Times New Roman"/>
          <w:sz w:val="20"/>
          <w:szCs w:val="20"/>
        </w:rPr>
        <w:t xml:space="preserve">The majority of </w:t>
      </w:r>
      <w:r w:rsidR="006E7525" w:rsidRPr="0091040C">
        <w:rPr>
          <w:rFonts w:ascii="Helvetica" w:hAnsi="Helvetica" w:cs="Times New Roman"/>
          <w:sz w:val="20"/>
          <w:szCs w:val="20"/>
        </w:rPr>
        <w:t xml:space="preserve">symptoms </w:t>
      </w:r>
      <w:r w:rsidR="00D03BBE" w:rsidRPr="0091040C">
        <w:rPr>
          <w:rFonts w:ascii="Helvetica" w:hAnsi="Helvetica" w:cs="Times New Roman"/>
          <w:sz w:val="20"/>
          <w:szCs w:val="20"/>
        </w:rPr>
        <w:t xml:space="preserve">attributed to </w:t>
      </w:r>
      <w:r w:rsidRPr="0091040C">
        <w:rPr>
          <w:rFonts w:ascii="Helvetica" w:hAnsi="Helvetica" w:cs="Times New Roman"/>
          <w:sz w:val="20"/>
          <w:szCs w:val="20"/>
        </w:rPr>
        <w:t xml:space="preserve">UTIs </w:t>
      </w:r>
      <w:r w:rsidR="00D03BBE" w:rsidRPr="0091040C">
        <w:rPr>
          <w:rFonts w:ascii="Helvetica" w:hAnsi="Helvetica" w:cs="Times New Roman"/>
          <w:sz w:val="20"/>
          <w:szCs w:val="20"/>
        </w:rPr>
        <w:t xml:space="preserve">in otherwise healthy women presenting to primary care </w:t>
      </w:r>
      <w:r w:rsidR="00314075" w:rsidRPr="0091040C">
        <w:rPr>
          <w:rFonts w:ascii="Helvetica" w:hAnsi="Helvetica" w:cs="Times New Roman"/>
          <w:sz w:val="20"/>
          <w:szCs w:val="20"/>
        </w:rPr>
        <w:t xml:space="preserve">are </w:t>
      </w:r>
      <w:r w:rsidR="00D03BBE" w:rsidRPr="0091040C">
        <w:rPr>
          <w:rFonts w:ascii="Helvetica" w:hAnsi="Helvetica" w:cs="Times New Roman"/>
          <w:sz w:val="20"/>
          <w:szCs w:val="20"/>
        </w:rPr>
        <w:t xml:space="preserve">accounted for by </w:t>
      </w:r>
      <w:r w:rsidRPr="0091040C">
        <w:rPr>
          <w:rFonts w:ascii="Helvetica" w:hAnsi="Helvetica" w:cs="Times New Roman"/>
          <w:sz w:val="20"/>
          <w:szCs w:val="20"/>
        </w:rPr>
        <w:t xml:space="preserve">uncomplicated episodes of acute cystitis </w:t>
      </w:r>
      <w:r w:rsidR="00D03BBE" w:rsidRPr="0091040C">
        <w:rPr>
          <w:rFonts w:ascii="Helvetica" w:hAnsi="Helvetica" w:cs="Times New Roman"/>
          <w:sz w:val="20"/>
          <w:szCs w:val="20"/>
        </w:rPr>
        <w:t>and urethritis</w:t>
      </w:r>
      <w:r w:rsidR="00C54478" w:rsidRPr="0091040C">
        <w:rPr>
          <w:rFonts w:ascii="Helvetica" w:hAnsi="Helvetica" w:cs="Times New Roman"/>
          <w:sz w:val="20"/>
          <w:szCs w:val="20"/>
        </w:rPr>
        <w:t xml:space="preserve">. Nevertheless, </w:t>
      </w:r>
      <w:r w:rsidR="00FB40E5" w:rsidRPr="0091040C">
        <w:rPr>
          <w:rFonts w:ascii="Helvetica" w:hAnsi="Helvetica" w:cs="Times New Roman"/>
          <w:sz w:val="20"/>
          <w:szCs w:val="20"/>
        </w:rPr>
        <w:t xml:space="preserve">they </w:t>
      </w:r>
      <w:r w:rsidRPr="0091040C">
        <w:rPr>
          <w:rFonts w:ascii="Helvetica" w:hAnsi="Helvetica" w:cs="Times New Roman"/>
          <w:sz w:val="20"/>
          <w:szCs w:val="20"/>
        </w:rPr>
        <w:t>have a major impact on quality of life.</w:t>
      </w:r>
      <w:r w:rsidR="005642C4" w:rsidRPr="0091040C">
        <w:rPr>
          <w:rFonts w:ascii="Helvetica" w:hAnsi="Helvetica" w:cs="Times New Roman"/>
          <w:sz w:val="20"/>
          <w:szCs w:val="20"/>
        </w:rPr>
        <w:fldChar w:fldCharType="begin" w:fldLock="1"/>
      </w:r>
      <w:r w:rsidR="005642C4" w:rsidRPr="0091040C">
        <w:rPr>
          <w:rFonts w:ascii="Helvetica" w:hAnsi="Helvetica" w:cs="Times New Roman"/>
          <w:sz w:val="20"/>
          <w:szCs w:val="20"/>
        </w:rPr>
        <w:instrText>ADDIN CSL_CITATION { "citationItems" : [ { "id" : "ITEM-1", "itemData" : { "ISSN" : "0893-8652", "PMID" : "11117334", "abstract" : "BACKGROUND: The objective of this study was to undertake an exploratory evaluation of quality-of-life indicators for women suffering from urinary tract infections.\n\nMETHODS: The RAND 36-Item Health Survey 1.0 (SF-36) was administered to 47 women with a diagnosed urinary tract infection who were being cared for in the Family Medicine Center, Student Health Services, or Urology Outpatient Clinic. A control population of 71 women was obtained from the female members of an undergraduate geography class, a community basketball league, and a local women's choir.\n\nRESULTS: All subsections of the SF-36 quality-of-life indices were significantly decreased in the subject population compared with the control population (lower score indicates lower quality of life): patient general health perception (63.3 vs 78.9, P &lt; .001) physical functioning (76.6 vs 87.6, P = .012), role limitation owing to physical health (53.8 vs 93.0, P &lt; .001) and emotional health (67.4 vs 88.3, P &lt; .001), vitality (43.0 vs 64.9, P &lt; .001), emotional well-being (64.4 vs 80.2, P &lt; .001), pain (58.7 vs 91.5, P &lt; .001), and social functioning (60.4 vs 90.4. P &lt; .001).\n\nCONCLUSION: Suffering from an urinary tract infection has a detrimental influence on patient quality of life. The effect of urinary tract infections on women and their perception of quality of life have not been hitherto reported in the medical literature. The significant findings in this study call into question whether acute, non-life-threatening illness should be regarded as benign.", "author" : [ { "dropping-particle" : "", "family" : "Ellis", "given" : "A K", "non-dropping-particle" : "", "parse-names" : false, "suffix" : "" }, { "dropping-particle" : "", "family" : "Verma", "given" : "S", "non-dropping-particle" : "", "parse-names" : false, "suffix" : "" } ], "container-title" : "The Journal of the American Board of Family Practice / American Board of Family Practice", "id" : "ITEM-1", "issue" : "6", "issued" : { "date-parts" : [ [ "0", "1" ] ] }, "page" : "392-7", "title" : "Quality of life in women with urinary tract infections: is benign disease a misnomer?", "type" : "article-journal", "volume" : "13" }, "uris" : [ "http://www.mendeley.com/documents/?uuid=374e0856-3c29-489d-ba05-7fde55094b0a" ] } ], "mendeley" : { "formattedCitation" : "&lt;sup&gt;3&lt;/sup&gt;", "plainTextFormattedCitation" : "3", "previouslyFormattedCitation" : "&lt;sup&gt;3&lt;/sup&gt;" }, "properties" : { "noteIndex" : 0 }, "schema" : "https://github.com/citation-style-language/schema/raw/master/csl-citation.json" }</w:instrText>
      </w:r>
      <w:r w:rsidR="005642C4" w:rsidRPr="0091040C">
        <w:rPr>
          <w:rFonts w:ascii="Helvetica" w:hAnsi="Helvetica" w:cs="Times New Roman"/>
          <w:sz w:val="20"/>
          <w:szCs w:val="20"/>
        </w:rPr>
        <w:fldChar w:fldCharType="separate"/>
      </w:r>
      <w:r w:rsidR="005642C4" w:rsidRPr="0091040C">
        <w:rPr>
          <w:rFonts w:ascii="Helvetica" w:hAnsi="Helvetica" w:cs="Times New Roman"/>
          <w:noProof/>
          <w:sz w:val="20"/>
          <w:szCs w:val="20"/>
          <w:vertAlign w:val="superscript"/>
        </w:rPr>
        <w:t>3</w:t>
      </w:r>
      <w:r w:rsidR="005642C4" w:rsidRPr="0091040C">
        <w:rPr>
          <w:rFonts w:ascii="Helvetica" w:hAnsi="Helvetica" w:cs="Times New Roman"/>
          <w:sz w:val="20"/>
          <w:szCs w:val="20"/>
        </w:rPr>
        <w:fldChar w:fldCharType="end"/>
      </w:r>
      <w:r w:rsidRPr="0091040C">
        <w:rPr>
          <w:rFonts w:ascii="Helvetica" w:hAnsi="Helvetica" w:cs="Times New Roman"/>
          <w:sz w:val="20"/>
          <w:szCs w:val="20"/>
        </w:rPr>
        <w:t xml:space="preserve">  In line with current general practice guidelines, women with </w:t>
      </w:r>
      <w:r w:rsidR="00163965" w:rsidRPr="0091040C">
        <w:rPr>
          <w:rFonts w:ascii="Helvetica" w:hAnsi="Helvetica" w:cs="Times New Roman"/>
          <w:sz w:val="20"/>
          <w:szCs w:val="20"/>
        </w:rPr>
        <w:t xml:space="preserve">typical UTI  </w:t>
      </w:r>
      <w:r w:rsidRPr="0091040C">
        <w:rPr>
          <w:rFonts w:ascii="Helvetica" w:hAnsi="Helvetica" w:cs="Times New Roman"/>
          <w:sz w:val="20"/>
          <w:szCs w:val="20"/>
        </w:rPr>
        <w:t>symptoms</w:t>
      </w:r>
      <w:r w:rsidR="00BF1E5E" w:rsidRPr="0091040C">
        <w:rPr>
          <w:rFonts w:ascii="Helvetica" w:hAnsi="Helvetica" w:cs="Times New Roman"/>
          <w:sz w:val="20"/>
          <w:szCs w:val="20"/>
        </w:rPr>
        <w:t xml:space="preserve"> </w:t>
      </w:r>
      <w:r w:rsidRPr="0091040C">
        <w:rPr>
          <w:rFonts w:ascii="Helvetica" w:hAnsi="Helvetica" w:cs="Times New Roman"/>
          <w:sz w:val="20"/>
          <w:szCs w:val="20"/>
        </w:rPr>
        <w:t>are usually treated empirically without additional diagnostic testing.</w:t>
      </w:r>
      <w:r w:rsidRPr="0091040C">
        <w:rPr>
          <w:rFonts w:ascii="Helvetica" w:hAnsi="Helvetica" w:cs="Times New Roman"/>
          <w:sz w:val="20"/>
          <w:szCs w:val="20"/>
        </w:rPr>
        <w:fldChar w:fldCharType="begin" w:fldLock="1"/>
      </w:r>
      <w:r w:rsidR="00E12CED" w:rsidRPr="0091040C">
        <w:rPr>
          <w:rFonts w:ascii="Helvetica" w:hAnsi="Helvetica" w:cs="Times New Roman"/>
          <w:sz w:val="20"/>
          <w:szCs w:val="20"/>
        </w:rPr>
        <w:instrText>ADDIN CSL_CITATION { "citationItems" : [ { "id" : "ITEM-1", "itemData" : { "ISSN" : "0028-2162", "abstract" : "The 1999 practice guideline 'Urinary-tract infections' from the Dutch College of General Practitioners has been revised. Not only febrile urinary-tract infections are now regarded as 'complicated', but also all urinary-tract infections in men, pregnant women, children, and patients with kidney or urinary-tract disease, impaired immune response or an indwelling catheter. Under certain conditions, in women recognising the symptoms of an earlier uncomplicated urinary-tract infection, treatment may be instituted without performing supplementary urinalysis. The nitrite dipstick test and dipslide culturing are recommended for the diagnosis of urinary-tract infections; the value of the leukocyte esterase dipstick test is limited. A group-B streptococcal urinary-tract infection during pregnancy is an indication for intravenous antibiotic prophylaxis during the delivery. The recommended duration of treatment with nitrofurantoin is extended from three to five days. Both increased bacterial resistance to trimethoprim and the intention to reduce the use of fluoroquinolones in the treatment of uncomplicated urinary-tract infections were reasons for including phosphomycin in the guideline. In addition to antibiotic prophylaxis, cranberry products may be of value in the prevention of recurrent urinary-tract infections.", "author" : [ { "dropping-particle" : "", "family" : "B.", "given" : "Van Pinxteren", "non-dropping-particle" : "", "parse-names" : false, "suffix" : "" }, { "dropping-particle" : "", "family" : "S.M.", "given" : "Van Vliet", "non-dropping-particle" : "", "parse-names" : false, "suffix" : "" }, { "dropping-particle" : "", "family" : "Tj.", "given" : "Wiersma", "non-dropping-particle" : "", "parse-names" : false, "suffix" : "" }, { "dropping-particle" : "", "family" : "A.N.", "given" : "Goudswaard", "non-dropping-particle" : "", "parse-names" : false, "suffix" : "" } ], "container-title" : "Nederlands Tijdschrift voor Geneeskunde", "id" : "ITEM-1", "issue" : "13", "issued" : { "date-parts" : [ [ "2006" ] ] }, "page" : "718-722", "publisher-place" : "B. Van Pinxteren, Nederlands Huisartsen Genootschap, Afd. Richtlijnontwikkeling en Wetenschap, 3502 GE Utrecht, Netherlands", "title" : "Summary of the practice guideline 'Urinary-tract infections' (second revision) from the Dutch College of General Practitioners", "type" : "article-journal", "volume" : "150" }, "uris" : [ "http://www.mendeley.com/documents/?uuid=43aaedb3-9d77-4f37-8e4f-827f30e9ada8" ] } ], "mendeley" : { "formattedCitation" : "&lt;sup&gt;4&lt;/sup&gt;", "plainTextFormattedCitation" : "4", "previouslyFormattedCitation" : "&lt;sup&gt;4&lt;/sup&gt;" }, "properties" : { "noteIndex" : 0 }, "schema" : "https://github.com/citation-style-language/schema/raw/master/csl-citation.json" }</w:instrText>
      </w:r>
      <w:r w:rsidRPr="0091040C">
        <w:rPr>
          <w:rFonts w:ascii="Helvetica" w:hAnsi="Helvetica" w:cs="Times New Roman"/>
          <w:sz w:val="20"/>
          <w:szCs w:val="20"/>
        </w:rPr>
        <w:fldChar w:fldCharType="separate"/>
      </w:r>
      <w:r w:rsidR="005642C4" w:rsidRPr="0091040C">
        <w:rPr>
          <w:rFonts w:ascii="Helvetica" w:hAnsi="Helvetica" w:cs="Times New Roman"/>
          <w:noProof/>
          <w:sz w:val="20"/>
          <w:szCs w:val="20"/>
          <w:vertAlign w:val="superscript"/>
        </w:rPr>
        <w:t>4</w:t>
      </w:r>
      <w:r w:rsidRPr="0091040C">
        <w:rPr>
          <w:rFonts w:ascii="Helvetica" w:hAnsi="Helvetica" w:cs="Times New Roman"/>
          <w:sz w:val="20"/>
          <w:szCs w:val="20"/>
        </w:rPr>
        <w:fldChar w:fldCharType="end"/>
      </w:r>
      <w:r w:rsidRPr="0091040C">
        <w:rPr>
          <w:rFonts w:ascii="Helvetica" w:hAnsi="Helvetica" w:cs="Times New Roman"/>
          <w:sz w:val="20"/>
          <w:szCs w:val="20"/>
          <w:vertAlign w:val="superscript"/>
        </w:rPr>
        <w:t>,</w:t>
      </w:r>
      <w:r w:rsidRPr="0091040C">
        <w:rPr>
          <w:rFonts w:ascii="Helvetica" w:hAnsi="Helvetica" w:cs="Times New Roman"/>
          <w:sz w:val="20"/>
          <w:szCs w:val="20"/>
        </w:rPr>
        <w:fldChar w:fldCharType="begin" w:fldLock="1"/>
      </w:r>
      <w:r w:rsidR="00E12CED" w:rsidRPr="0091040C">
        <w:rPr>
          <w:rFonts w:ascii="Helvetica" w:hAnsi="Helvetica" w:cs="Times New Roman"/>
          <w:sz w:val="20"/>
          <w:szCs w:val="20"/>
        </w:rPr>
        <w:instrText>ADDIN CSL_CITATION { "citationItems" : [ { "id" : "ITEM-1", "itemData" : { "ISSN" : "0302-2838 (Print)", "PMID" : "11752870", "abstract" : "A short version of the UTI Guidelines elaborated by the Urinary Tract Infection Working Group of the Health Care Office of the European Association of Urology is presented. The topics include classification, diagnosis, treatment and follow-up of uncomplicated UTI, UTI in children, UTI in diabetes mellitus, renal insufficiency, renal transplant recipients and immunosuppression, complicated UTI due to urological disorders, sepsis syndrome, urosepsis, urethritis, prostatitis, epididymitis, orchitis and principles of perioperative prophylaxis in urology.", "author" : [ { "dropping-particle" : "", "family" : "Naber", "given" : "K G", "non-dropping-particle" : "", "parse-names" : false, "suffix" : "" }, { "dropping-particle" : "", "family" : "Bergman", "given" : "B", "non-dropping-particle" : "", "parse-names" : false, "suffix" : "" }, { "dropping-particle" : "", "family" : "Bishop", "given" : "M C", "non-dropping-particle" : "", "parse-names" : false, "suffix" : "" }, { "dropping-particle" : "", "family" : "Bjerklund-Johansen", "given" : "T E", "non-dropping-particle" : "", "parse-names" : false, "suffix" : "" }, { "dropping-particle" : "", "family" : "Botto", "given" : "H", "non-dropping-particle" : "", "parse-names" : false, "suffix" : "" }, { "dropping-particle" : "", "family" : "Lobel", "given" : "B", "non-dropping-particle" : "", "parse-names" : false, "suffix" : "" }, { "dropping-particle" : "", "family" : "Jinenez Cruz", "given" : "F", "non-dropping-particle" : "", "parse-names" : false, "suffix" : "" }, { "dropping-particle" : "", "family" : "Selvaggi", "given" : "F P", "non-dropping-particle" : "", "parse-names" : false, "suffix" : "" } ], "container-title" : "European urology", "id" : "ITEM-1", "issue" : "5", "issued" : { "date-parts" : [ [ "2001", "11" ] ] }, "language" : "eng", "page" : "576-588", "publisher-place" : "Netherlands", "title" : "EAU guidelines for the management of urinary and male genital tract infections. Urinary Tract Infection (UTI) Working Group of the Health Care Office (HCO) of the European Association of Urology (EAU).", "type" : "article-journal", "volume" : "40" }, "uris" : [ "http://www.mendeley.com/documents/?uuid=3dff4d27-9224-4099-beaa-266f3202b918" ] } ], "mendeley" : { "formattedCitation" : "&lt;sup&gt;5&lt;/sup&gt;", "plainTextFormattedCitation" : "5", "previouslyFormattedCitation" : "&lt;sup&gt;5&lt;/sup&gt;" }, "properties" : { "noteIndex" : 0 }, "schema" : "https://github.com/citation-style-language/schema/raw/master/csl-citation.json" }</w:instrText>
      </w:r>
      <w:r w:rsidRPr="0091040C">
        <w:rPr>
          <w:rFonts w:ascii="Helvetica" w:hAnsi="Helvetica" w:cs="Times New Roman"/>
          <w:sz w:val="20"/>
          <w:szCs w:val="20"/>
        </w:rPr>
        <w:fldChar w:fldCharType="separate"/>
      </w:r>
      <w:r w:rsidR="005642C4" w:rsidRPr="0091040C">
        <w:rPr>
          <w:rFonts w:ascii="Helvetica" w:hAnsi="Helvetica" w:cs="Times New Roman"/>
          <w:noProof/>
          <w:sz w:val="20"/>
          <w:szCs w:val="20"/>
          <w:vertAlign w:val="superscript"/>
        </w:rPr>
        <w:t>5</w:t>
      </w:r>
      <w:r w:rsidRPr="0091040C">
        <w:rPr>
          <w:rFonts w:ascii="Helvetica" w:hAnsi="Helvetica" w:cs="Times New Roman"/>
          <w:sz w:val="20"/>
          <w:szCs w:val="20"/>
        </w:rPr>
        <w:fldChar w:fldCharType="end"/>
      </w:r>
      <w:r w:rsidRPr="0091040C">
        <w:rPr>
          <w:rFonts w:ascii="Helvetica" w:hAnsi="Helvetica" w:cs="Times New Roman"/>
          <w:sz w:val="20"/>
          <w:szCs w:val="20"/>
        </w:rPr>
        <w:t xml:space="preserve"> This may result in both inappropriate and unnecessary antibiotic use. </w:t>
      </w:r>
    </w:p>
    <w:p w14:paraId="7F98173F" w14:textId="3D828E6E" w:rsidR="00497B38" w:rsidRPr="0091040C" w:rsidRDefault="00FE0887" w:rsidP="00497B38">
      <w:pPr>
        <w:spacing w:line="480" w:lineRule="auto"/>
        <w:rPr>
          <w:rFonts w:ascii="Helvetica" w:hAnsi="Helvetica" w:cs="Times New Roman"/>
          <w:sz w:val="20"/>
          <w:szCs w:val="20"/>
          <w:shd w:val="clear" w:color="auto" w:fill="FFFFFF"/>
          <w:lang w:val="en-US"/>
        </w:rPr>
      </w:pPr>
      <w:r w:rsidRPr="0091040C">
        <w:rPr>
          <w:rFonts w:ascii="Helvetica" w:hAnsi="Helvetica" w:cs="Times New Roman"/>
          <w:sz w:val="20"/>
          <w:szCs w:val="20"/>
          <w:shd w:val="clear" w:color="auto" w:fill="FFFFFF"/>
        </w:rPr>
        <w:t xml:space="preserve">Antibiotic resistance, especially in </w:t>
      </w:r>
      <w:r w:rsidR="003A15A4" w:rsidRPr="0091040C">
        <w:rPr>
          <w:rFonts w:ascii="Helvetica" w:hAnsi="Helvetica" w:cs="Times New Roman"/>
          <w:sz w:val="20"/>
          <w:szCs w:val="20"/>
          <w:shd w:val="clear" w:color="auto" w:fill="FFFFFF"/>
        </w:rPr>
        <w:t>G</w:t>
      </w:r>
      <w:r w:rsidRPr="0091040C">
        <w:rPr>
          <w:rFonts w:ascii="Helvetica" w:hAnsi="Helvetica" w:cs="Times New Roman"/>
          <w:sz w:val="20"/>
          <w:szCs w:val="20"/>
          <w:shd w:val="clear" w:color="auto" w:fill="FFFFFF"/>
        </w:rPr>
        <w:t>ram-negative organisms that cause most UTIs, is increasing</w:t>
      </w:r>
      <w:r w:rsidR="00EA3AF3">
        <w:rPr>
          <w:rFonts w:ascii="Helvetica" w:hAnsi="Helvetica" w:cs="Times New Roman"/>
          <w:sz w:val="20"/>
          <w:szCs w:val="20"/>
          <w:shd w:val="clear" w:color="auto" w:fill="FFFFFF"/>
        </w:rPr>
        <w:t xml:space="preserve"> an</w:t>
      </w:r>
      <w:r w:rsidR="00D02E07">
        <w:rPr>
          <w:rFonts w:ascii="Helvetica" w:hAnsi="Helvetica" w:cs="Times New Roman"/>
          <w:sz w:val="20"/>
          <w:szCs w:val="20"/>
          <w:shd w:val="clear" w:color="auto" w:fill="FFFFFF"/>
        </w:rPr>
        <w:t>d</w:t>
      </w:r>
      <w:r w:rsidR="00EA3AF3">
        <w:rPr>
          <w:rFonts w:ascii="Helvetica" w:hAnsi="Helvetica" w:cs="Times New Roman"/>
          <w:sz w:val="20"/>
          <w:szCs w:val="20"/>
          <w:shd w:val="clear" w:color="auto" w:fill="FFFFFF"/>
        </w:rPr>
        <w:t xml:space="preserve"> is associated </w:t>
      </w:r>
      <w:r w:rsidRPr="0091040C">
        <w:rPr>
          <w:rFonts w:ascii="Helvetica" w:hAnsi="Helvetica" w:cs="Times New Roman"/>
          <w:sz w:val="20"/>
          <w:szCs w:val="20"/>
          <w:shd w:val="clear" w:color="auto" w:fill="FFFFFF"/>
        </w:rPr>
        <w:t xml:space="preserve">with antibiotic use. </w:t>
      </w:r>
      <w:r w:rsidRPr="0091040C">
        <w:rPr>
          <w:rFonts w:ascii="Helvetica" w:hAnsi="Helvetica" w:cs="Times New Roman"/>
          <w:sz w:val="20"/>
          <w:szCs w:val="20"/>
          <w:shd w:val="clear" w:color="auto" w:fill="FFFFFF"/>
        </w:rPr>
        <w:fldChar w:fldCharType="begin" w:fldLock="1"/>
      </w:r>
      <w:r w:rsidR="00E12CED" w:rsidRPr="0091040C">
        <w:rPr>
          <w:rFonts w:ascii="Helvetica" w:hAnsi="Helvetica" w:cs="Times New Roman"/>
          <w:sz w:val="20"/>
          <w:szCs w:val="20"/>
          <w:shd w:val="clear" w:color="auto" w:fill="FFFFFF"/>
        </w:rPr>
        <w:instrText>ADDIN CSL_CITATION { "citationItems" : [ { "id" : "ITEM-1", "itemData" : { "DOI" : "10.2807/1560-7917.ES.2015.20.46.30068", "ISSN" : "1560-7917", "PMID" : "26607473", "container-title" : "Euro surveillance : bulletin Europe\u0301en sur les maladies transmissibles = European communicable disease bulletin", "id" : "ITEM-1", "issue" : "46", "issued" : { "date-parts" : [ [ "2015", "11", "19" ] ] }, "title" : "ECDC publishes 2014 surveillance data on antimicrobial resistance and antimicrobial consumption in Europe.", "type" : "article-journal", "volume" : "20" }, "uris" : [ "http://www.mendeley.com/documents/?uuid=3145f724-861e-4605-9160-537f61c2d767" ] } ], "mendeley" : { "formattedCitation" : "&lt;sup&gt;6&lt;/sup&gt;", "plainTextFormattedCitation" : "6", "previouslyFormattedCitation" : "&lt;sup&gt;6&lt;/sup&gt;" }, "properties" : { "noteIndex" : 0 }, "schema" : "https://github.com/citation-style-language/schema/raw/master/csl-citation.json" }</w:instrText>
      </w:r>
      <w:r w:rsidRPr="0091040C">
        <w:rPr>
          <w:rFonts w:ascii="Helvetica" w:hAnsi="Helvetica" w:cs="Times New Roman"/>
          <w:sz w:val="20"/>
          <w:szCs w:val="20"/>
          <w:shd w:val="clear" w:color="auto" w:fill="FFFFFF"/>
        </w:rPr>
        <w:fldChar w:fldCharType="separate"/>
      </w:r>
      <w:r w:rsidR="005642C4" w:rsidRPr="0091040C">
        <w:rPr>
          <w:rFonts w:ascii="Helvetica" w:hAnsi="Helvetica" w:cs="Times New Roman"/>
          <w:noProof/>
          <w:sz w:val="20"/>
          <w:szCs w:val="20"/>
          <w:shd w:val="clear" w:color="auto" w:fill="FFFFFF"/>
          <w:vertAlign w:val="superscript"/>
        </w:rPr>
        <w:t>6</w:t>
      </w:r>
      <w:r w:rsidRPr="0091040C">
        <w:rPr>
          <w:rFonts w:ascii="Helvetica" w:hAnsi="Helvetica" w:cs="Times New Roman"/>
          <w:sz w:val="20"/>
          <w:szCs w:val="20"/>
          <w:shd w:val="clear" w:color="auto" w:fill="FFFFFF"/>
        </w:rPr>
        <w:fldChar w:fldCharType="end"/>
      </w:r>
      <w:r w:rsidRPr="0091040C">
        <w:rPr>
          <w:rFonts w:ascii="Helvetica" w:hAnsi="Helvetica" w:cs="Times New Roman"/>
          <w:sz w:val="20"/>
          <w:szCs w:val="20"/>
          <w:shd w:val="clear" w:color="auto" w:fill="FFFFFF"/>
        </w:rPr>
        <w:t xml:space="preserve"> The World Health Organization considers antimicrobial resistance to be one of the three greatest threats to human health.</w:t>
      </w:r>
      <w:r w:rsidRPr="0091040C">
        <w:rPr>
          <w:rFonts w:ascii="Helvetica" w:hAnsi="Helvetica" w:cs="Times New Roman"/>
          <w:color w:val="000000"/>
          <w:sz w:val="20"/>
          <w:szCs w:val="20"/>
          <w:shd w:val="clear" w:color="auto" w:fill="FFFFFF"/>
        </w:rPr>
        <w:t xml:space="preserve"> </w:t>
      </w:r>
      <w:r w:rsidRPr="0091040C">
        <w:rPr>
          <w:rFonts w:ascii="Helvetica" w:hAnsi="Helvetica" w:cs="Times New Roman"/>
          <w:color w:val="000000"/>
          <w:sz w:val="20"/>
          <w:szCs w:val="20"/>
          <w:shd w:val="clear" w:color="auto" w:fill="FFFFFF"/>
        </w:rPr>
        <w:fldChar w:fldCharType="begin" w:fldLock="1"/>
      </w:r>
      <w:r w:rsidR="00E12CED" w:rsidRPr="0091040C">
        <w:rPr>
          <w:rFonts w:ascii="Helvetica" w:hAnsi="Helvetica" w:cs="Times New Roman"/>
          <w:color w:val="000000"/>
          <w:sz w:val="20"/>
          <w:szCs w:val="20"/>
          <w:shd w:val="clear" w:color="auto" w:fill="FFFFFF"/>
        </w:rPr>
        <w:instrText>ADDIN CSL_CITATION { "citationItems" : [ { "id" : "ITEM-1", "itemData" : { "URL" : "http://apps.who.int/iris/bitstream/10665/112642/1/9789241564748_eng.pdf", "accessed" : { "date-parts" : [ [ "2016", "1", "12" ] ] }, "id" : "ITEM-1", "issued" : { "date-parts" : [ [ "0" ] ] }, "title" : "WHO Antimicrobial resistance Global Report on Surveillance 2014", "type" : "webpage" }, "uris" : [ "http://www.mendeley.com/documents/?uuid=ca682dfa-b432-4a08-af61-b469557df400" ] } ], "mendeley" : { "formattedCitation" : "&lt;sup&gt;7&lt;/sup&gt;", "plainTextFormattedCitation" : "7", "previouslyFormattedCitation" : "&lt;sup&gt;7&lt;/sup&gt;" }, "properties" : { "noteIndex" : 0 }, "schema" : "https://github.com/citation-style-language/schema/raw/master/csl-citation.json" }</w:instrText>
      </w:r>
      <w:r w:rsidRPr="0091040C">
        <w:rPr>
          <w:rFonts w:ascii="Helvetica" w:hAnsi="Helvetica" w:cs="Times New Roman"/>
          <w:color w:val="000000"/>
          <w:sz w:val="20"/>
          <w:szCs w:val="20"/>
          <w:shd w:val="clear" w:color="auto" w:fill="FFFFFF"/>
        </w:rPr>
        <w:fldChar w:fldCharType="separate"/>
      </w:r>
      <w:r w:rsidR="005642C4" w:rsidRPr="0091040C">
        <w:rPr>
          <w:rFonts w:ascii="Helvetica" w:hAnsi="Helvetica" w:cs="Times New Roman"/>
          <w:noProof/>
          <w:color w:val="000000"/>
          <w:sz w:val="20"/>
          <w:szCs w:val="20"/>
          <w:shd w:val="clear" w:color="auto" w:fill="FFFFFF"/>
          <w:vertAlign w:val="superscript"/>
        </w:rPr>
        <w:t>7</w:t>
      </w:r>
      <w:r w:rsidRPr="0091040C">
        <w:rPr>
          <w:rFonts w:ascii="Helvetica" w:hAnsi="Helvetica" w:cs="Times New Roman"/>
          <w:color w:val="000000"/>
          <w:sz w:val="20"/>
          <w:szCs w:val="20"/>
          <w:shd w:val="clear" w:color="auto" w:fill="FFFFFF"/>
        </w:rPr>
        <w:fldChar w:fldCharType="end"/>
      </w:r>
      <w:r w:rsidRPr="0091040C">
        <w:rPr>
          <w:rFonts w:ascii="Helvetica" w:hAnsi="Helvetica" w:cs="Times New Roman"/>
          <w:color w:val="000000"/>
          <w:sz w:val="20"/>
          <w:szCs w:val="20"/>
          <w:shd w:val="clear" w:color="auto" w:fill="FFFFFF"/>
        </w:rPr>
        <w:t xml:space="preserve"> </w:t>
      </w:r>
      <w:r w:rsidR="00497B38" w:rsidRPr="0091040C">
        <w:rPr>
          <w:rFonts w:ascii="Helvetica" w:hAnsi="Helvetica" w:cs="Times New Roman"/>
          <w:sz w:val="20"/>
          <w:szCs w:val="20"/>
        </w:rPr>
        <w:t xml:space="preserve">Therefore, strategies to better target antibiotics to those who are most likely to benefit are needed. </w:t>
      </w:r>
    </w:p>
    <w:p w14:paraId="08C0C426" w14:textId="77777777" w:rsidR="00497B38" w:rsidRPr="0091040C" w:rsidRDefault="00497B38" w:rsidP="00497B38">
      <w:pPr>
        <w:spacing w:line="480" w:lineRule="auto"/>
        <w:rPr>
          <w:rFonts w:ascii="Helvetica" w:hAnsi="Helvetica" w:cs="Times New Roman"/>
          <w:sz w:val="20"/>
          <w:szCs w:val="20"/>
        </w:rPr>
      </w:pPr>
      <w:r w:rsidRPr="0091040C">
        <w:rPr>
          <w:rFonts w:ascii="Helvetica" w:hAnsi="Helvetica" w:cs="Times New Roman"/>
          <w:sz w:val="20"/>
          <w:szCs w:val="20"/>
        </w:rPr>
        <w:t xml:space="preserve">There is currently no </w:t>
      </w:r>
      <w:r w:rsidR="00B206EF" w:rsidRPr="0091040C">
        <w:rPr>
          <w:rFonts w:ascii="Helvetica" w:hAnsi="Helvetica" w:cs="Times New Roman"/>
          <w:sz w:val="20"/>
          <w:szCs w:val="20"/>
        </w:rPr>
        <w:t xml:space="preserve">international </w:t>
      </w:r>
      <w:r w:rsidRPr="0091040C">
        <w:rPr>
          <w:rFonts w:ascii="Helvetica" w:hAnsi="Helvetica" w:cs="Times New Roman"/>
          <w:sz w:val="20"/>
          <w:szCs w:val="20"/>
        </w:rPr>
        <w:t xml:space="preserve">gold standard for </w:t>
      </w:r>
      <w:r w:rsidR="00B206EF" w:rsidRPr="0091040C">
        <w:rPr>
          <w:rFonts w:ascii="Helvetica" w:hAnsi="Helvetica" w:cs="Times New Roman"/>
          <w:sz w:val="20"/>
          <w:szCs w:val="20"/>
        </w:rPr>
        <w:t xml:space="preserve">the microbiological diagnosis for </w:t>
      </w:r>
      <w:r w:rsidRPr="0091040C">
        <w:rPr>
          <w:rFonts w:ascii="Helvetica" w:hAnsi="Helvetica" w:cs="Times New Roman"/>
          <w:sz w:val="20"/>
          <w:szCs w:val="20"/>
        </w:rPr>
        <w:t>UTI</w:t>
      </w:r>
      <w:r w:rsidR="00B73C6D" w:rsidRPr="0091040C">
        <w:rPr>
          <w:rFonts w:ascii="Helvetica" w:hAnsi="Helvetica" w:cs="Times New Roman"/>
          <w:sz w:val="20"/>
          <w:szCs w:val="20"/>
        </w:rPr>
        <w:t>,</w:t>
      </w:r>
      <w:r w:rsidRPr="0091040C">
        <w:rPr>
          <w:rFonts w:ascii="Helvetica" w:hAnsi="Helvetica" w:cs="Times New Roman"/>
          <w:sz w:val="20"/>
          <w:szCs w:val="20"/>
        </w:rPr>
        <w:t xml:space="preserve"> </w:t>
      </w:r>
      <w:r w:rsidR="00B206EF" w:rsidRPr="0091040C">
        <w:rPr>
          <w:rFonts w:ascii="Helvetica" w:hAnsi="Helvetica" w:cs="Times New Roman"/>
          <w:sz w:val="20"/>
          <w:szCs w:val="20"/>
        </w:rPr>
        <w:t xml:space="preserve">including </w:t>
      </w:r>
      <w:r w:rsidRPr="0091040C">
        <w:rPr>
          <w:rFonts w:ascii="Helvetica" w:hAnsi="Helvetica" w:cs="Times New Roman"/>
          <w:sz w:val="20"/>
          <w:szCs w:val="20"/>
        </w:rPr>
        <w:t xml:space="preserve">no consensus about the </w:t>
      </w:r>
      <w:r w:rsidR="00605806" w:rsidRPr="0091040C">
        <w:rPr>
          <w:rFonts w:ascii="Helvetica" w:hAnsi="Helvetica" w:cs="Times New Roman"/>
          <w:sz w:val="20"/>
          <w:szCs w:val="20"/>
        </w:rPr>
        <w:t>quantification</w:t>
      </w:r>
      <w:r w:rsidRPr="0091040C">
        <w:rPr>
          <w:rFonts w:ascii="Helvetica" w:hAnsi="Helvetica" w:cs="Times New Roman"/>
          <w:sz w:val="20"/>
          <w:szCs w:val="20"/>
        </w:rPr>
        <w:t xml:space="preserve"> of </w:t>
      </w:r>
      <w:r w:rsidR="00605806" w:rsidRPr="0091040C">
        <w:rPr>
          <w:rFonts w:ascii="Helvetica" w:hAnsi="Helvetica" w:cs="Times New Roman"/>
          <w:sz w:val="20"/>
          <w:szCs w:val="20"/>
        </w:rPr>
        <w:t xml:space="preserve">bacteria </w:t>
      </w:r>
      <w:r w:rsidRPr="0091040C">
        <w:rPr>
          <w:rFonts w:ascii="Helvetica" w:hAnsi="Helvetica" w:cs="Times New Roman"/>
          <w:sz w:val="20"/>
          <w:szCs w:val="20"/>
        </w:rPr>
        <w:t>on urine culture that confirms a UTI.</w:t>
      </w:r>
      <w:r w:rsidRPr="0091040C">
        <w:rPr>
          <w:rFonts w:ascii="Helvetica" w:hAnsi="Helvetica" w:cs="Times New Roman"/>
          <w:sz w:val="20"/>
          <w:szCs w:val="20"/>
        </w:rPr>
        <w:fldChar w:fldCharType="begin" w:fldLock="1"/>
      </w:r>
      <w:r w:rsidR="00E12CED" w:rsidRPr="0091040C">
        <w:rPr>
          <w:rFonts w:ascii="Helvetica" w:hAnsi="Helvetica" w:cs="Times New Roman"/>
          <w:sz w:val="20"/>
          <w:szCs w:val="20"/>
        </w:rPr>
        <w:instrText>ADDIN CSL_CITATION { "citationItems" : [ { "id" : "ITEM-1", "itemData" : { "DOI" : "10.3238/arztebl.2010.0361", "ISSN" : "1866-0452", "PMID" : "20539810", "abstract" : "BACKGROUND: Urinary tract infections (UTI) are among the leading reasons for treatment in adult primary care medicine, accounting for a considerable percentage of antibiotic prescriptions. Because this problem is so common and so significant in routine clinical practice, a high level of diagnostic accuracy is essential. Antibiotics should not be prescribed excessively, particularly in view of the increasing prevalence of antibiotic resistance.\n\nMETHOD: Systematic review of relevant articles that were retrieved by a search of the Medline, Embase, and Cochrane Library databases. The recommendations of selected international guidelines were also taken into account, as were the German national quality standards for microbiological diagnosis.\n\nRESULTS: The diagnosis of UTI by clinical criteria alone has an error rate of approximately 33%. The use of refined diagnostic algorithms does not completely eliminate uncertainty.\n\nCONCLUSION: With the aid of a small number of additional diagnostic criteria, antibiotic treatment for UTI can be provided more specifically and thus more effectively. Differentiating UTI from asymptomatic bacteriuria, which usually requires no treatment, can lower the frequency of unnecessary antibiotic prescriptions.", "author" : [ { "dropping-particle" : "", "family" : "Schmiemann", "given" : "Guido", "non-dropping-particle" : "", "parse-names" : false, "suffix" : "" }, { "dropping-particle" : "", "family" : "Kniehl", "given" : "Eberhardt", "non-dropping-particle" : "", "parse-names" : false, "suffix" : "" }, { "dropping-particle" : "", "family" : "Gebhardt", "given" : "Klaus", "non-dropping-particle" : "", "parse-names" : false, "suffix" : "" }, { "dropping-particle" : "", "family" : "Matejczyk", "given" : "Martha M", "non-dropping-particle" : "", "parse-names" : false, "suffix" : "" }, { "dropping-particle" : "", "family" : "Hummers-Pradier", "given" : "Eva", "non-dropping-particle" : "", "parse-names" : false, "suffix" : "" } ], "container-title" : "Deutsches \u00c4rzteblatt international", "id" : "ITEM-1", "issue" : "21", "issued" : { "date-parts" : [ [ "2010", "5" ] ] }, "page" : "361-7", "title" : "The diagnosis of urinary tract infection: a systematic review.", "type" : "article-journal", "volume" : "107" }, "uris" : [ "http://www.mendeley.com/documents/?uuid=c405069a-a756-4c1d-b870-8fc970d23976" ] } ], "mendeley" : { "formattedCitation" : "&lt;sup&gt;8&lt;/sup&gt;", "plainTextFormattedCitation" : "8", "previouslyFormattedCitation" : "&lt;sup&gt;8&lt;/sup&gt;" }, "properties" : { "noteIndex" : 0 }, "schema" : "https://github.com/citation-style-language/schema/raw/master/csl-citation.json" }</w:instrText>
      </w:r>
      <w:r w:rsidRPr="0091040C">
        <w:rPr>
          <w:rFonts w:ascii="Helvetica" w:hAnsi="Helvetica" w:cs="Times New Roman"/>
          <w:sz w:val="20"/>
          <w:szCs w:val="20"/>
        </w:rPr>
        <w:fldChar w:fldCharType="separate"/>
      </w:r>
      <w:r w:rsidR="005642C4" w:rsidRPr="0091040C">
        <w:rPr>
          <w:rFonts w:ascii="Helvetica" w:hAnsi="Helvetica" w:cs="Times New Roman"/>
          <w:noProof/>
          <w:sz w:val="20"/>
          <w:szCs w:val="20"/>
          <w:vertAlign w:val="superscript"/>
        </w:rPr>
        <w:t>8</w:t>
      </w:r>
      <w:r w:rsidRPr="0091040C">
        <w:rPr>
          <w:rFonts w:ascii="Helvetica" w:hAnsi="Helvetica" w:cs="Times New Roman"/>
          <w:sz w:val="20"/>
          <w:szCs w:val="20"/>
        </w:rPr>
        <w:fldChar w:fldCharType="end"/>
      </w:r>
      <w:r w:rsidRPr="0091040C">
        <w:rPr>
          <w:rFonts w:ascii="Helvetica" w:hAnsi="Helvetica" w:cs="Times New Roman"/>
          <w:sz w:val="20"/>
          <w:szCs w:val="20"/>
        </w:rPr>
        <w:t xml:space="preserve">  </w:t>
      </w:r>
      <w:r w:rsidR="00605806" w:rsidRPr="0091040C">
        <w:rPr>
          <w:rFonts w:ascii="Helvetica" w:hAnsi="Helvetica" w:cs="Times New Roman"/>
          <w:sz w:val="20"/>
          <w:szCs w:val="20"/>
        </w:rPr>
        <w:t xml:space="preserve"> </w:t>
      </w:r>
      <w:r w:rsidR="005D4569" w:rsidRPr="0091040C">
        <w:rPr>
          <w:rFonts w:ascii="Helvetica" w:hAnsi="Helvetica" w:cs="Times New Roman"/>
          <w:sz w:val="20"/>
          <w:szCs w:val="20"/>
        </w:rPr>
        <w:t>General practitioners (</w:t>
      </w:r>
      <w:r w:rsidRPr="0091040C">
        <w:rPr>
          <w:rFonts w:ascii="Helvetica" w:hAnsi="Helvetica" w:cs="Times New Roman"/>
          <w:sz w:val="20"/>
          <w:szCs w:val="20"/>
        </w:rPr>
        <w:t>GPs</w:t>
      </w:r>
      <w:r w:rsidR="005D4569" w:rsidRPr="0091040C">
        <w:rPr>
          <w:rFonts w:ascii="Helvetica" w:hAnsi="Helvetica" w:cs="Times New Roman"/>
          <w:sz w:val="20"/>
          <w:szCs w:val="20"/>
        </w:rPr>
        <w:t>)</w:t>
      </w:r>
      <w:r w:rsidRPr="0091040C">
        <w:rPr>
          <w:rFonts w:ascii="Helvetica" w:hAnsi="Helvetica" w:cs="Times New Roman"/>
          <w:sz w:val="20"/>
          <w:szCs w:val="20"/>
        </w:rPr>
        <w:t xml:space="preserve"> frequently use </w:t>
      </w:r>
      <w:r w:rsidR="00605806" w:rsidRPr="0091040C">
        <w:rPr>
          <w:rFonts w:ascii="Helvetica" w:hAnsi="Helvetica" w:cs="Times New Roman"/>
          <w:sz w:val="20"/>
          <w:szCs w:val="20"/>
        </w:rPr>
        <w:t xml:space="preserve">a </w:t>
      </w:r>
      <w:r w:rsidR="003F2B07" w:rsidRPr="0091040C">
        <w:rPr>
          <w:rFonts w:ascii="Helvetica" w:hAnsi="Helvetica" w:cs="Times New Roman"/>
          <w:sz w:val="20"/>
          <w:szCs w:val="20"/>
        </w:rPr>
        <w:t>point of care test (</w:t>
      </w:r>
      <w:r w:rsidRPr="0091040C">
        <w:rPr>
          <w:rFonts w:ascii="Helvetica" w:hAnsi="Helvetica" w:cs="Times New Roman"/>
          <w:sz w:val="20"/>
          <w:szCs w:val="20"/>
        </w:rPr>
        <w:t>POCT</w:t>
      </w:r>
      <w:r w:rsidR="003F2B07" w:rsidRPr="0091040C">
        <w:rPr>
          <w:rFonts w:ascii="Helvetica" w:hAnsi="Helvetica" w:cs="Times New Roman"/>
          <w:sz w:val="20"/>
          <w:szCs w:val="20"/>
        </w:rPr>
        <w:t>)</w:t>
      </w:r>
      <w:r w:rsidRPr="0091040C">
        <w:rPr>
          <w:rFonts w:ascii="Helvetica" w:hAnsi="Helvetica" w:cs="Times New Roman"/>
          <w:sz w:val="20"/>
          <w:szCs w:val="20"/>
        </w:rPr>
        <w:t xml:space="preserve"> </w:t>
      </w:r>
      <w:r w:rsidR="005D4569" w:rsidRPr="0091040C">
        <w:rPr>
          <w:rFonts w:ascii="Helvetica" w:hAnsi="Helvetica" w:cs="Times New Roman"/>
          <w:sz w:val="20"/>
          <w:szCs w:val="20"/>
        </w:rPr>
        <w:t xml:space="preserve">such as </w:t>
      </w:r>
      <w:r w:rsidR="00605806" w:rsidRPr="0091040C">
        <w:rPr>
          <w:rFonts w:ascii="Helvetica" w:hAnsi="Helvetica" w:cs="Times New Roman"/>
          <w:sz w:val="20"/>
          <w:szCs w:val="20"/>
        </w:rPr>
        <w:t xml:space="preserve">urine </w:t>
      </w:r>
      <w:r w:rsidRPr="0091040C">
        <w:rPr>
          <w:rFonts w:ascii="Helvetica" w:hAnsi="Helvetica" w:cs="Times New Roman"/>
          <w:sz w:val="20"/>
          <w:szCs w:val="20"/>
        </w:rPr>
        <w:t>dipstick</w:t>
      </w:r>
      <w:r w:rsidR="0022480D" w:rsidRPr="0091040C">
        <w:rPr>
          <w:rFonts w:ascii="Helvetica" w:hAnsi="Helvetica" w:cs="Times New Roman"/>
          <w:sz w:val="20"/>
          <w:szCs w:val="20"/>
        </w:rPr>
        <w:t xml:space="preserve"> or d</w:t>
      </w:r>
      <w:r w:rsidR="006D719D" w:rsidRPr="0091040C">
        <w:rPr>
          <w:rFonts w:ascii="Helvetica" w:hAnsi="Helvetica" w:cs="Times New Roman"/>
          <w:sz w:val="20"/>
          <w:szCs w:val="20"/>
        </w:rPr>
        <w:t>ip</w:t>
      </w:r>
      <w:r w:rsidR="00F154B5" w:rsidRPr="0091040C">
        <w:rPr>
          <w:rFonts w:ascii="Helvetica" w:hAnsi="Helvetica" w:cs="Times New Roman"/>
          <w:sz w:val="20"/>
          <w:szCs w:val="20"/>
        </w:rPr>
        <w:t>-</w:t>
      </w:r>
      <w:r w:rsidR="006D719D" w:rsidRPr="0091040C">
        <w:rPr>
          <w:rFonts w:ascii="Helvetica" w:hAnsi="Helvetica" w:cs="Times New Roman"/>
          <w:sz w:val="20"/>
          <w:szCs w:val="20"/>
        </w:rPr>
        <w:t>slides</w:t>
      </w:r>
      <w:r w:rsidR="00B73C6D" w:rsidRPr="0091040C">
        <w:rPr>
          <w:rFonts w:ascii="Helvetica" w:hAnsi="Helvetica" w:cs="Times New Roman"/>
          <w:sz w:val="20"/>
          <w:szCs w:val="20"/>
        </w:rPr>
        <w:t>. H</w:t>
      </w:r>
      <w:r w:rsidRPr="0091040C">
        <w:rPr>
          <w:rFonts w:ascii="Helvetica" w:hAnsi="Helvetica" w:cs="Times New Roman"/>
          <w:sz w:val="20"/>
          <w:szCs w:val="20"/>
        </w:rPr>
        <w:t xml:space="preserve">owever, these approaches </w:t>
      </w:r>
      <w:r w:rsidR="0022480D" w:rsidRPr="0091040C">
        <w:rPr>
          <w:rFonts w:ascii="Helvetica" w:hAnsi="Helvetica" w:cs="Times New Roman"/>
          <w:sz w:val="20"/>
          <w:szCs w:val="20"/>
        </w:rPr>
        <w:t>neither</w:t>
      </w:r>
      <w:r w:rsidR="006D719D" w:rsidRPr="0091040C">
        <w:rPr>
          <w:rFonts w:ascii="Helvetica" w:hAnsi="Helvetica" w:cs="Times New Roman"/>
          <w:sz w:val="20"/>
          <w:szCs w:val="20"/>
        </w:rPr>
        <w:t xml:space="preserve"> </w:t>
      </w:r>
      <w:r w:rsidR="00C026C7" w:rsidRPr="0091040C">
        <w:rPr>
          <w:rFonts w:ascii="Helvetica" w:hAnsi="Helvetica" w:cs="Times New Roman"/>
          <w:sz w:val="20"/>
          <w:szCs w:val="20"/>
        </w:rPr>
        <w:t>predict</w:t>
      </w:r>
      <w:r w:rsidR="0022480D" w:rsidRPr="0091040C">
        <w:rPr>
          <w:rFonts w:ascii="Helvetica" w:hAnsi="Helvetica" w:cs="Times New Roman"/>
          <w:sz w:val="20"/>
          <w:szCs w:val="20"/>
        </w:rPr>
        <w:t xml:space="preserve"> antibiotic response nor</w:t>
      </w:r>
      <w:r w:rsidRPr="0091040C">
        <w:rPr>
          <w:rFonts w:ascii="Helvetica" w:hAnsi="Helvetica" w:cs="Times New Roman"/>
          <w:sz w:val="20"/>
          <w:szCs w:val="20"/>
        </w:rPr>
        <w:t xml:space="preserve"> indicate antibiotic susceptibility, which </w:t>
      </w:r>
      <w:r w:rsidR="005D4569" w:rsidRPr="0091040C">
        <w:rPr>
          <w:rFonts w:ascii="Helvetica" w:hAnsi="Helvetica" w:cs="Times New Roman"/>
          <w:sz w:val="20"/>
          <w:szCs w:val="20"/>
        </w:rPr>
        <w:t>are</w:t>
      </w:r>
      <w:r w:rsidRPr="0091040C">
        <w:rPr>
          <w:rFonts w:ascii="Helvetica" w:hAnsi="Helvetica" w:cs="Times New Roman"/>
          <w:sz w:val="20"/>
          <w:szCs w:val="20"/>
        </w:rPr>
        <w:t xml:space="preserve"> important to guide appropriate choice of antibiotic class. </w:t>
      </w:r>
    </w:p>
    <w:p w14:paraId="6631ADCF" w14:textId="77777777" w:rsidR="00497B38" w:rsidRPr="0091040C" w:rsidRDefault="00497B38" w:rsidP="00497B38">
      <w:pPr>
        <w:spacing w:line="480" w:lineRule="auto"/>
        <w:rPr>
          <w:rFonts w:ascii="Helvetica" w:hAnsi="Helvetica" w:cs="Times New Roman"/>
          <w:sz w:val="20"/>
          <w:szCs w:val="20"/>
          <w:shd w:val="clear" w:color="auto" w:fill="FFFFFF"/>
        </w:rPr>
      </w:pPr>
      <w:r w:rsidRPr="0091040C">
        <w:rPr>
          <w:rFonts w:ascii="Helvetica" w:hAnsi="Helvetica" w:cs="Times New Roman"/>
          <w:sz w:val="20"/>
          <w:szCs w:val="20"/>
        </w:rPr>
        <w:t xml:space="preserve">The </w:t>
      </w:r>
      <w:r w:rsidRPr="0091040C">
        <w:rPr>
          <w:rFonts w:ascii="Helvetica" w:hAnsi="Helvetica" w:cs="Times New Roman"/>
          <w:sz w:val="20"/>
          <w:szCs w:val="20"/>
          <w:shd w:val="clear" w:color="auto" w:fill="FFFFFF"/>
        </w:rPr>
        <w:t>Point of Care Testing for Urinary Tract Infection in Primary Care (POETIC)</w:t>
      </w:r>
      <w:r w:rsidRPr="0091040C">
        <w:rPr>
          <w:rFonts w:ascii="Helvetica" w:hAnsi="Helvetica" w:cs="Times New Roman"/>
          <w:sz w:val="20"/>
          <w:szCs w:val="20"/>
        </w:rPr>
        <w:t xml:space="preserve"> study</w:t>
      </w:r>
      <w:r w:rsidR="00FB40E5" w:rsidRPr="0091040C">
        <w:rPr>
          <w:rFonts w:ascii="Helvetica" w:hAnsi="Helvetica" w:cs="Times New Roman"/>
          <w:sz w:val="20"/>
          <w:szCs w:val="20"/>
        </w:rPr>
        <w:t xml:space="preserve"> </w:t>
      </w:r>
      <w:r w:rsidRPr="0091040C">
        <w:rPr>
          <w:rFonts w:ascii="Helvetica" w:hAnsi="Helvetica" w:cs="Times New Roman"/>
          <w:sz w:val="20"/>
          <w:szCs w:val="20"/>
        </w:rPr>
        <w:t xml:space="preserve">evaluated </w:t>
      </w:r>
      <w:r w:rsidR="00AE4B8B">
        <w:rPr>
          <w:rFonts w:ascii="Helvetica" w:hAnsi="Helvetica" w:cs="Times New Roman"/>
          <w:sz w:val="20"/>
          <w:szCs w:val="20"/>
        </w:rPr>
        <w:t>a modified version of the</w:t>
      </w:r>
      <w:r w:rsidRPr="0091040C">
        <w:rPr>
          <w:rFonts w:ascii="Helvetica" w:hAnsi="Helvetica" w:cs="Times New Roman"/>
          <w:sz w:val="20"/>
          <w:szCs w:val="20"/>
        </w:rPr>
        <w:t xml:space="preserve"> Flexicult</w:t>
      </w:r>
      <w:r w:rsidRPr="0091040C">
        <w:rPr>
          <w:rFonts w:ascii="Helvetica" w:hAnsi="Helvetica" w:cs="Times New Roman"/>
          <w:sz w:val="20"/>
          <w:szCs w:val="20"/>
          <w:vertAlign w:val="superscript"/>
        </w:rPr>
        <w:t>TM</w:t>
      </w:r>
      <w:r w:rsidRPr="0091040C">
        <w:rPr>
          <w:rFonts w:ascii="Helvetica" w:hAnsi="Helvetica" w:cs="Times New Roman"/>
          <w:sz w:val="20"/>
          <w:szCs w:val="20"/>
        </w:rPr>
        <w:t xml:space="preserve"> </w:t>
      </w:r>
      <w:r w:rsidR="00B10618" w:rsidRPr="0091040C">
        <w:rPr>
          <w:rFonts w:ascii="Helvetica" w:hAnsi="Helvetica" w:cs="Times New Roman"/>
          <w:sz w:val="20"/>
          <w:szCs w:val="20"/>
        </w:rPr>
        <w:t xml:space="preserve">SSI-urinary kit </w:t>
      </w:r>
      <w:r w:rsidRPr="0091040C">
        <w:rPr>
          <w:rFonts w:ascii="Helvetica" w:hAnsi="Helvetica" w:cs="Times New Roman"/>
          <w:sz w:val="20"/>
          <w:szCs w:val="20"/>
        </w:rPr>
        <w:t>a POC</w:t>
      </w:r>
      <w:r w:rsidR="007F3261" w:rsidRPr="0091040C">
        <w:rPr>
          <w:rFonts w:ascii="Helvetica" w:hAnsi="Helvetica" w:cs="Times New Roman"/>
          <w:sz w:val="20"/>
          <w:szCs w:val="20"/>
        </w:rPr>
        <w:t>T</w:t>
      </w:r>
      <w:r w:rsidRPr="0091040C">
        <w:rPr>
          <w:rFonts w:ascii="Helvetica" w:hAnsi="Helvetica" w:cs="Times New Roman"/>
          <w:sz w:val="20"/>
          <w:szCs w:val="20"/>
        </w:rPr>
        <w:t xml:space="preserve"> urine culture test that is already in wide use in Denmark. </w:t>
      </w:r>
      <w:r w:rsidRPr="0091040C">
        <w:rPr>
          <w:rFonts w:ascii="Helvetica" w:hAnsi="Helvetica" w:cs="Times New Roman"/>
          <w:sz w:val="20"/>
          <w:szCs w:val="20"/>
        </w:rPr>
        <w:fldChar w:fldCharType="begin" w:fldLock="1"/>
      </w:r>
      <w:r w:rsidR="00E12CED" w:rsidRPr="0091040C">
        <w:rPr>
          <w:rFonts w:ascii="Helvetica" w:hAnsi="Helvetica" w:cs="Times New Roman"/>
          <w:sz w:val="20"/>
          <w:szCs w:val="20"/>
        </w:rPr>
        <w:instrText>ADDIN CSL_CITATION { "citationItems" : [ { "id" : "ITEM-1", "itemData" : { "ISSN" : "0036-5548", "PMID" : "12160170", "abstract" : "The efficacy of the FLEXICULT SSI-Urinary Kit for point-of-care diagnosis and susceptibility testing of urinary tract pathogens was evaluated. The kit, which was exclusively developed for urine culture in the primary health care setting, is designed as an ordinary Petri dish divided into 6 compartments: I large one for quantitative analysis and 5 smaller ones for susceptibility testing. The agar in each small compartment contains 1 of 5 antimicrobials (trimethoprim, sulfamethoxazole, ampicillin, nitrofurantoin and mecillinam) at a concentration adjusted to the breakpoint, and growth in these compartments indicates resistance. The kit was tested in-house with 116 urinary tract pathogens and by 19 general practitioners in a field trial with 121 diagnostic urine specimens. The kit was flooded with the urine specimens for a couple of seconds, incubated overnight and read the following day. Quantitative readings were evaluated by comparing with standardized inoculi and the susceptibility tests were compared with the MIC value of the strain for each of the 5 antimicrobials. In the field trial, the quantitation had an overall error rate of 4% and correctly determined susceptibility in 93% of the tested bacteria. Although identification of the isolates is not a feature of this kit, it is suitable for point-of-care diagnosis and for susceptibility testing of uncomplicated urinary tract infections in the primary health care setting.", "author" : [ { "dropping-particle" : "", "family" : "Blom", "given" : "Marianne", "non-dropping-particle" : "", "parse-names" : false, "suffix" : "" }, { "dropping-particle" : "", "family" : "S\u00f8rensen", "given" : "Thomas Lund", "non-dropping-particle" : "", "parse-names" : false, "suffix" : "" }, { "dropping-particle" : "", "family" : "Espersen", "given" : "Frank", "non-dropping-particle" : "", "parse-names" : false, "suffix" : "" }, { "dropping-particle" : "", "family" : "Frimodt-M\u00f8ller", "given" : "Niels", "non-dropping-particle" : "", "parse-names" : false, "suffix" : "" } ], "container-title" : "Scandinavian journal of infectious diseases", "id" : "ITEM-1", "issue" : "6", "issued" : { "date-parts" : [ [ "2002", "1" ] ] }, "page" : "430-5", "title" : "Validation of FLEXICULT SSI-Urinary Kit for use in the primary health care setting.", "type" : "article-journal", "volume" : "34" }, "uris" : [ "http://www.mendeley.com/documents/?uuid=ef809376-d070-4ef7-b3af-b3252de935b6" ] }, { "id" : "ITEM-2", "itemData" : { "DOI" : "10.1186/s12875-014-0187-4", "ISSN" : "1471-2296 (Electronic)", "PMID" : "25425162", "abstract" : "BACKGROUND: Urinary tract infections (UTI) are the most frequent bacterial infection affecting women and account for about 15% of antibiotics prescribed in primary care. However, some women with a UTI are not prescribed antibiotics or are prescribed the wrong antibiotics, while many women who do not have a microbiologically confirmed UTI are prescribed antibiotics. Inappropriate antibiotic prescribing unnecessarily increases the risk of side effects and the development of antibiotic resistance, and wastes resources. METHODS/DESIGN: 614 adult female patients will be recruited from four primary care research networks (Wales, England, Spain, the Netherlands) and individually randomised to either POCT guided care or the guideline-informed 'standard care' arm. Urine and stool samples (where possible) will be obtained at presentation (day 1) and two weeks later for microbiological analysis. All participants will be followed up on the course of their illness and their quality of life, using a 2 week self-completed symptom diary. At 3 months, a primary care notes review will be conducted for evidence of further evidence of treatment failures, recurrence, complications, hospitalisations and health service costs. DISCUSSION: Although the Flexicult POCT is used in some countries in routine primary care, it's clinical and cost effectiveness has never been evaluated in a randomised clinical trial. If shown to be effective, the use of this POCT could benefit individual sufferers and provide evidence for health care authorities to develop evidence based policies to combat the spread and impact of the unprecedented rise of infections caused by antibiotic resistant bacteria in Europe. TRIAL REGISTRATION NUMBER: ISRCTN65200697 (Registered 10 September 2013).", "author" : [ { "dropping-particle" : "", "family" : "Bates", "given" : "Janine", "non-dropping-particle" : "", "parse-names" : false, "suffix" : "" }, { "dropping-particle" : "", "family" : "Thomas-Jones", "given" : "Emma", "non-dropping-particle" : "", "parse-names" : false, "suffix" : "" }, { "dropping-particle" : "", "family" : "Pickles", "given" : "Timothy", "non-dropping-particle" : "", "parse-names" : false, "suffix" : "" }, { "dropping-particle" : "", "family" : "Kirby", "given" : "Nigel", "non-dropping-particle" : "", "parse-names" : false, "suffix" : "" }, { "dropping-particle" : "", "family" : "Gal", "given" : "Micaela", "non-dropping-particle" : "", "parse-names" : false, "suffix" : "" }, { "dropping-particle" : "", "family" : "Bongard", "given" : "Emily", "non-dropping-particle" : "", "parse-names" : false, "suffix" : "" }, { "dropping-particle" : "", "family" : "Hood", "given" : "Kerenza", "non-dropping-particle" : "", "parse-names" : false, "suffix" : "" }, { "dropping-particle" : "", "family" : "Francis", "given" : "Nicolas", "non-dropping-particle" : "", "parse-names" : false, "suffix" : "" }, { "dropping-particle" : "", "family" : "Little", "given" : "Paul", "non-dropping-particle" : "", "parse-names" : false, "suffix" : "" }, { "dropping-particle" : "", "family" : "Moore", "given" : "Michael", "non-dropping-particle" : "", "parse-names" : false, "suffix" : "" }, { "dropping-particle" : "", "family" : "Rumsby", "given" : "Kate", "non-dropping-particle" : "", "parse-names" : false, "suffix" : "" }, { "dropping-particle" : "", "family" : "Llor", "given" : "Carlos", "non-dropping-particle" : "", "parse-names" : false, "suffix" : "" }, { "dropping-particle" : "", "family" : "Burgman", "given" : "Curt", "non-dropping-particle" : "", "parse-names" : false, "suffix" : "" }, { "dropping-particle" : "", "family" : "Verheij", "given" : "Theo", "non-dropping-particle" : "", "parse-names" : false, "suffix" : "" }, { "dropping-particle" : "", "family" : "Cohen", "given" : "David", "non-dropping-particle" : "", "parse-names" : false, "suffix" : "" }, { "dropping-particle" : "", "family" : "Wootton", "given" : "Mandy", "non-dropping-particle" : "", "parse-names" : false, "suffix" : "" }, { "dropping-particle" : "", "family" : "Howe", "given" : "Robin", "non-dropping-particle" : "", "parse-names" : false, "suffix" : "" }, { "dropping-particle" : "", "family" : "Butler", "given" : "Christopher C", "non-dropping-particle" : "", "parse-names" : false, "suffix" : "" } ], "container-title" : "BMC family practice", "id" : "ITEM-2", "issued" : { "date-parts" : [ [ "2014" ] ] }, "language" : "eng", "page" : "187", "publisher-place" : "England", "title" : "Point of care testing for urinary tract infection in primary care (POETIC): protocol for a randomised controlled trial of the clinical and cost effectiveness of FLEXICULT informed management of uncomplicated UTI in primary care.", "type" : "article-journal", "volume" : "15" }, "uris" : [ "http://www.mendeley.com/documents/?uuid=bc262b6a-c0ae-4286-9784-36e2d0a13b06" ] } ], "mendeley" : { "formattedCitation" : "&lt;sup&gt;9,10&lt;/sup&gt;", "plainTextFormattedCitation" : "9,10", "previouslyFormattedCitation" : "&lt;sup&gt;9,10&lt;/sup&gt;" }, "properties" : { "noteIndex" : 0 }, "schema" : "https://github.com/citation-style-language/schema/raw/master/csl-citation.json" }</w:instrText>
      </w:r>
      <w:r w:rsidRPr="0091040C">
        <w:rPr>
          <w:rFonts w:ascii="Helvetica" w:hAnsi="Helvetica" w:cs="Times New Roman"/>
          <w:sz w:val="20"/>
          <w:szCs w:val="20"/>
        </w:rPr>
        <w:fldChar w:fldCharType="separate"/>
      </w:r>
      <w:r w:rsidR="005642C4" w:rsidRPr="0091040C">
        <w:rPr>
          <w:rFonts w:ascii="Helvetica" w:hAnsi="Helvetica" w:cs="Times New Roman"/>
          <w:noProof/>
          <w:sz w:val="20"/>
          <w:szCs w:val="20"/>
          <w:vertAlign w:val="superscript"/>
        </w:rPr>
        <w:t>9,10</w:t>
      </w:r>
      <w:r w:rsidRPr="0091040C">
        <w:rPr>
          <w:rFonts w:ascii="Helvetica" w:hAnsi="Helvetica" w:cs="Times New Roman"/>
          <w:sz w:val="20"/>
          <w:szCs w:val="20"/>
        </w:rPr>
        <w:fldChar w:fldCharType="end"/>
      </w:r>
      <w:r w:rsidRPr="0091040C">
        <w:rPr>
          <w:rFonts w:ascii="Helvetica" w:hAnsi="Helvetica" w:cs="Times New Roman"/>
          <w:sz w:val="20"/>
          <w:szCs w:val="20"/>
        </w:rPr>
        <w:t xml:space="preserve"> </w:t>
      </w:r>
      <w:r w:rsidR="007C0933" w:rsidRPr="0091040C">
        <w:rPr>
          <w:rFonts w:ascii="Helvetica" w:hAnsi="Helvetica" w:cs="Times New Roman"/>
          <w:sz w:val="20"/>
          <w:szCs w:val="20"/>
        </w:rPr>
        <w:t>Flexicult</w:t>
      </w:r>
      <w:r w:rsidR="00FB40E5" w:rsidRPr="0091040C">
        <w:rPr>
          <w:rFonts w:ascii="Helvetica" w:hAnsi="Helvetica" w:cs="Times New Roman"/>
          <w:sz w:val="20"/>
          <w:szCs w:val="20"/>
          <w:vertAlign w:val="superscript"/>
        </w:rPr>
        <w:t>TM</w:t>
      </w:r>
      <w:r w:rsidRPr="0091040C">
        <w:rPr>
          <w:rFonts w:ascii="Helvetica" w:hAnsi="Helvetica" w:cs="Times New Roman"/>
          <w:sz w:val="20"/>
          <w:szCs w:val="20"/>
        </w:rPr>
        <w:t xml:space="preserve"> is an overnight point of care test (POCT), which can provide GPs </w:t>
      </w:r>
      <w:r w:rsidR="00314075" w:rsidRPr="0091040C">
        <w:rPr>
          <w:rFonts w:ascii="Helvetica" w:hAnsi="Helvetica" w:cs="Times New Roman"/>
          <w:sz w:val="20"/>
          <w:szCs w:val="20"/>
        </w:rPr>
        <w:t xml:space="preserve">with </w:t>
      </w:r>
      <w:r w:rsidR="005D4569" w:rsidRPr="0091040C">
        <w:rPr>
          <w:rFonts w:ascii="Helvetica" w:hAnsi="Helvetica" w:cs="Times New Roman"/>
          <w:sz w:val="20"/>
          <w:szCs w:val="20"/>
        </w:rPr>
        <w:t xml:space="preserve">organism </w:t>
      </w:r>
      <w:r w:rsidR="007C0933" w:rsidRPr="0091040C">
        <w:rPr>
          <w:rFonts w:ascii="Helvetica" w:hAnsi="Helvetica" w:cs="Times New Roman"/>
          <w:sz w:val="20"/>
          <w:szCs w:val="20"/>
        </w:rPr>
        <w:t xml:space="preserve">identification, </w:t>
      </w:r>
      <w:r w:rsidRPr="0091040C">
        <w:rPr>
          <w:rFonts w:ascii="Helvetica" w:hAnsi="Helvetica" w:cs="Times New Roman"/>
          <w:sz w:val="20"/>
          <w:szCs w:val="20"/>
        </w:rPr>
        <w:t xml:space="preserve">quantification and antibiotic sensitivities within 24 hours.  The POETIC </w:t>
      </w:r>
      <w:r w:rsidR="007C0933" w:rsidRPr="0091040C">
        <w:rPr>
          <w:rFonts w:ascii="Helvetica" w:hAnsi="Helvetica" w:cs="Times New Roman"/>
          <w:sz w:val="20"/>
          <w:szCs w:val="20"/>
        </w:rPr>
        <w:t xml:space="preserve">trial </w:t>
      </w:r>
      <w:r w:rsidRPr="0091040C">
        <w:rPr>
          <w:rFonts w:ascii="Helvetica" w:hAnsi="Helvetica" w:cs="Times New Roman"/>
          <w:sz w:val="20"/>
          <w:szCs w:val="20"/>
        </w:rPr>
        <w:t>aimed to determine whether a POCT</w:t>
      </w:r>
      <w:r w:rsidRPr="0091040C">
        <w:rPr>
          <w:rFonts w:ascii="Helvetica" w:hAnsi="Helvetica" w:cs="Times New Roman"/>
          <w:sz w:val="20"/>
          <w:szCs w:val="20"/>
          <w:shd w:val="clear" w:color="auto" w:fill="FFFFFF"/>
        </w:rPr>
        <w:t xml:space="preserve"> </w:t>
      </w:r>
      <w:r w:rsidR="007C0933" w:rsidRPr="0091040C">
        <w:rPr>
          <w:rFonts w:ascii="Helvetica" w:hAnsi="Helvetica" w:cs="Times New Roman"/>
          <w:sz w:val="20"/>
          <w:szCs w:val="20"/>
          <w:shd w:val="clear" w:color="auto" w:fill="FFFFFF"/>
        </w:rPr>
        <w:t xml:space="preserve">used at the point of care </w:t>
      </w:r>
      <w:r w:rsidRPr="0091040C">
        <w:rPr>
          <w:rFonts w:ascii="Helvetica" w:hAnsi="Helvetica" w:cs="Times New Roman"/>
          <w:sz w:val="20"/>
          <w:szCs w:val="20"/>
          <w:shd w:val="clear" w:color="auto" w:fill="FFFFFF"/>
        </w:rPr>
        <w:t>could improve targeting of antibiotic therapy and patient outcomes in uncomplicated UTI.</w:t>
      </w:r>
    </w:p>
    <w:p w14:paraId="1AE5CD65" w14:textId="77777777" w:rsidR="00497B38" w:rsidRPr="0091040C" w:rsidRDefault="00497B38" w:rsidP="00497B38">
      <w:pPr>
        <w:spacing w:line="480" w:lineRule="auto"/>
        <w:rPr>
          <w:rFonts w:ascii="Helvetica" w:hAnsi="Helvetica" w:cs="Times New Roman"/>
          <w:sz w:val="20"/>
          <w:szCs w:val="20"/>
          <w:shd w:val="clear" w:color="auto" w:fill="FFFFFF"/>
        </w:rPr>
      </w:pPr>
      <w:r w:rsidRPr="0091040C">
        <w:rPr>
          <w:rFonts w:ascii="Helvetica" w:hAnsi="Helvetica" w:cs="Times New Roman"/>
          <w:sz w:val="20"/>
          <w:szCs w:val="20"/>
          <w:shd w:val="clear" w:color="auto" w:fill="FFFFFF"/>
        </w:rPr>
        <w:t>Performing urine culture at the point of care reduces delay between obtaining the sample and agar inoculation</w:t>
      </w:r>
      <w:r w:rsidR="007C0933" w:rsidRPr="0091040C">
        <w:rPr>
          <w:rFonts w:ascii="Helvetica" w:hAnsi="Helvetica" w:cs="Times New Roman"/>
          <w:sz w:val="20"/>
          <w:szCs w:val="20"/>
          <w:shd w:val="clear" w:color="auto" w:fill="FFFFFF"/>
        </w:rPr>
        <w:t xml:space="preserve"> following receipt of urine in a laboratory</w:t>
      </w:r>
      <w:r w:rsidRPr="0091040C">
        <w:rPr>
          <w:rFonts w:ascii="Helvetica" w:hAnsi="Helvetica" w:cs="Times New Roman"/>
          <w:sz w:val="20"/>
          <w:szCs w:val="20"/>
          <w:shd w:val="clear" w:color="auto" w:fill="FFFFFF"/>
        </w:rPr>
        <w:t xml:space="preserve">, and </w:t>
      </w:r>
      <w:r w:rsidR="007C0933" w:rsidRPr="0091040C">
        <w:rPr>
          <w:rFonts w:ascii="Helvetica" w:hAnsi="Helvetica" w:cs="Times New Roman"/>
          <w:sz w:val="20"/>
          <w:szCs w:val="20"/>
          <w:shd w:val="clear" w:color="auto" w:fill="FFFFFF"/>
        </w:rPr>
        <w:t>obtaining a report of the identification,</w:t>
      </w:r>
      <w:r w:rsidRPr="0091040C">
        <w:rPr>
          <w:rFonts w:ascii="Helvetica" w:hAnsi="Helvetica" w:cs="Times New Roman"/>
          <w:sz w:val="20"/>
          <w:szCs w:val="20"/>
          <w:shd w:val="clear" w:color="auto" w:fill="FFFFFF"/>
        </w:rPr>
        <w:t xml:space="preserve"> quantification and sensitivity results </w:t>
      </w:r>
      <w:r w:rsidR="007C0933" w:rsidRPr="0091040C">
        <w:rPr>
          <w:rFonts w:ascii="Helvetica" w:hAnsi="Helvetica" w:cs="Times New Roman"/>
          <w:sz w:val="20"/>
          <w:szCs w:val="20"/>
          <w:shd w:val="clear" w:color="auto" w:fill="FFFFFF"/>
        </w:rPr>
        <w:t>from the laboratory</w:t>
      </w:r>
      <w:r w:rsidRPr="0091040C">
        <w:rPr>
          <w:rFonts w:ascii="Helvetica" w:hAnsi="Helvetica" w:cs="Times New Roman"/>
          <w:sz w:val="20"/>
          <w:szCs w:val="20"/>
          <w:shd w:val="clear" w:color="auto" w:fill="FFFFFF"/>
        </w:rPr>
        <w:t xml:space="preserve">. However, the degree to which GPs’ interpretations of the POCT agree with laboratory </w:t>
      </w:r>
      <w:r w:rsidR="007C0933" w:rsidRPr="0091040C">
        <w:rPr>
          <w:rFonts w:ascii="Helvetica" w:hAnsi="Helvetica" w:cs="Times New Roman"/>
          <w:sz w:val="20"/>
          <w:szCs w:val="20"/>
          <w:shd w:val="clear" w:color="auto" w:fill="FFFFFF"/>
        </w:rPr>
        <w:t xml:space="preserve">interpretation of the POCT results and routine laboratory </w:t>
      </w:r>
      <w:r w:rsidRPr="0091040C">
        <w:rPr>
          <w:rFonts w:ascii="Helvetica" w:hAnsi="Helvetica" w:cs="Times New Roman"/>
          <w:sz w:val="20"/>
          <w:szCs w:val="20"/>
          <w:shd w:val="clear" w:color="auto" w:fill="FFFFFF"/>
        </w:rPr>
        <w:t xml:space="preserve">culture is unknown. We used the opportunity of the POETIC Trial </w:t>
      </w:r>
      <w:r w:rsidR="00284A1A" w:rsidRPr="0091040C">
        <w:rPr>
          <w:rFonts w:ascii="Helvetica" w:hAnsi="Helvetica" w:cs="Times New Roman"/>
          <w:sz w:val="20"/>
          <w:szCs w:val="20"/>
          <w:shd w:val="clear" w:color="auto" w:fill="FFFFFF"/>
        </w:rPr>
        <w:t xml:space="preserve">of the effect of the </w:t>
      </w:r>
      <w:r w:rsidR="00284A1A" w:rsidRPr="0091040C">
        <w:rPr>
          <w:rFonts w:ascii="Helvetica" w:hAnsi="Helvetica" w:cs="Times New Roman"/>
          <w:sz w:val="20"/>
          <w:szCs w:val="20"/>
          <w:shd w:val="clear" w:color="auto" w:fill="FFFFFF"/>
        </w:rPr>
        <w:lastRenderedPageBreak/>
        <w:t>Flexicult</w:t>
      </w:r>
      <w:r w:rsidR="000B5EDA" w:rsidRPr="0091040C">
        <w:rPr>
          <w:rFonts w:ascii="Helvetica" w:hAnsi="Helvetica" w:cs="Times New Roman"/>
          <w:sz w:val="20"/>
          <w:szCs w:val="20"/>
          <w:shd w:val="clear" w:color="auto" w:fill="FFFFFF"/>
          <w:vertAlign w:val="superscript"/>
        </w:rPr>
        <w:t>TM</w:t>
      </w:r>
      <w:r w:rsidR="00284A1A" w:rsidRPr="0091040C">
        <w:rPr>
          <w:rFonts w:ascii="Helvetica" w:hAnsi="Helvetica" w:cs="Times New Roman"/>
          <w:sz w:val="20"/>
          <w:szCs w:val="20"/>
          <w:shd w:val="clear" w:color="auto" w:fill="FFFFFF"/>
        </w:rPr>
        <w:t xml:space="preserve"> POCT in routine care </w:t>
      </w:r>
      <w:r w:rsidRPr="0091040C">
        <w:rPr>
          <w:rFonts w:ascii="Helvetica" w:hAnsi="Helvetica" w:cs="Times New Roman"/>
          <w:sz w:val="20"/>
          <w:szCs w:val="20"/>
          <w:shd w:val="clear" w:color="auto" w:fill="FFFFFF"/>
        </w:rPr>
        <w:t xml:space="preserve">to identify discrepancies between </w:t>
      </w:r>
      <w:r w:rsidR="00284A1A" w:rsidRPr="0091040C">
        <w:rPr>
          <w:rFonts w:ascii="Helvetica" w:hAnsi="Helvetica" w:cs="Times New Roman"/>
          <w:sz w:val="20"/>
          <w:szCs w:val="20"/>
          <w:shd w:val="clear" w:color="auto" w:fill="FFFFFF"/>
        </w:rPr>
        <w:t xml:space="preserve">point of care and laboratory urine culture </w:t>
      </w:r>
      <w:r w:rsidR="00FB40E5" w:rsidRPr="0091040C">
        <w:rPr>
          <w:rFonts w:ascii="Helvetica" w:hAnsi="Helvetica" w:cs="Times New Roman"/>
          <w:sz w:val="20"/>
          <w:szCs w:val="20"/>
          <w:shd w:val="clear" w:color="auto" w:fill="FFFFFF"/>
        </w:rPr>
        <w:t>in women presenting to primary care with symptoms of uncomplicated UTI</w:t>
      </w:r>
      <w:r w:rsidRPr="0091040C">
        <w:rPr>
          <w:rFonts w:ascii="Helvetica" w:hAnsi="Helvetica" w:cs="Times New Roman"/>
          <w:sz w:val="20"/>
          <w:szCs w:val="20"/>
          <w:shd w:val="clear" w:color="auto" w:fill="FFFFFF"/>
        </w:rPr>
        <w:t>.</w:t>
      </w:r>
      <w:r w:rsidR="00F154B5" w:rsidRPr="0091040C">
        <w:rPr>
          <w:rFonts w:ascii="Helvetica" w:hAnsi="Helvetica" w:cs="Times New Roman"/>
          <w:sz w:val="20"/>
          <w:szCs w:val="20"/>
          <w:shd w:val="clear" w:color="auto" w:fill="FFFFFF"/>
        </w:rPr>
        <w:t xml:space="preserve"> </w:t>
      </w:r>
    </w:p>
    <w:p w14:paraId="7D056472" w14:textId="77777777" w:rsidR="00497B38" w:rsidRPr="0091040C" w:rsidRDefault="00497B38" w:rsidP="00497B38">
      <w:pPr>
        <w:spacing w:line="480" w:lineRule="auto"/>
        <w:rPr>
          <w:rFonts w:ascii="Helvetica" w:hAnsi="Helvetica" w:cs="Times New Roman"/>
          <w:sz w:val="20"/>
          <w:szCs w:val="20"/>
        </w:rPr>
      </w:pPr>
      <w:r w:rsidRPr="0091040C">
        <w:rPr>
          <w:rFonts w:ascii="Helvetica" w:hAnsi="Helvetica" w:cs="Times New Roman"/>
          <w:b/>
          <w:sz w:val="20"/>
          <w:szCs w:val="20"/>
        </w:rPr>
        <w:t xml:space="preserve">Methods </w:t>
      </w:r>
      <w:r w:rsidRPr="0091040C">
        <w:rPr>
          <w:rFonts w:ascii="Helvetica" w:hAnsi="Helvetica" w:cs="Times New Roman"/>
          <w:sz w:val="20"/>
          <w:szCs w:val="20"/>
        </w:rPr>
        <w:br/>
      </w:r>
      <w:r w:rsidRPr="0091040C">
        <w:rPr>
          <w:rFonts w:ascii="Helvetica" w:hAnsi="Helvetica" w:cs="Times New Roman"/>
          <w:i/>
          <w:sz w:val="20"/>
          <w:szCs w:val="20"/>
        </w:rPr>
        <w:t>Participants</w:t>
      </w:r>
      <w:r w:rsidRPr="0091040C">
        <w:rPr>
          <w:rFonts w:ascii="Helvetica" w:hAnsi="Helvetica" w:cs="Times New Roman"/>
          <w:sz w:val="20"/>
          <w:szCs w:val="20"/>
        </w:rPr>
        <w:br/>
        <w:t>All data came from participants</w:t>
      </w:r>
      <w:r w:rsidR="004952BC" w:rsidRPr="0091040C">
        <w:rPr>
          <w:rFonts w:ascii="Helvetica" w:hAnsi="Helvetica" w:cs="Times New Roman"/>
          <w:sz w:val="20"/>
          <w:szCs w:val="20"/>
        </w:rPr>
        <w:t xml:space="preserve"> </w:t>
      </w:r>
      <w:r w:rsidR="00AA505E" w:rsidRPr="0091040C">
        <w:rPr>
          <w:rFonts w:ascii="Helvetica" w:hAnsi="Helvetica" w:cs="Times New Roman"/>
          <w:sz w:val="20"/>
          <w:szCs w:val="20"/>
        </w:rPr>
        <w:t xml:space="preserve">of </w:t>
      </w:r>
      <w:r w:rsidR="00284A1A" w:rsidRPr="0091040C">
        <w:rPr>
          <w:rFonts w:ascii="Helvetica" w:hAnsi="Helvetica" w:cs="Times New Roman"/>
          <w:sz w:val="20"/>
          <w:szCs w:val="20"/>
        </w:rPr>
        <w:t>the</w:t>
      </w:r>
      <w:r w:rsidRPr="0091040C">
        <w:rPr>
          <w:rFonts w:ascii="Helvetica" w:hAnsi="Helvetica" w:cs="Times New Roman"/>
          <w:sz w:val="20"/>
          <w:szCs w:val="20"/>
        </w:rPr>
        <w:t xml:space="preserve"> POETIC </w:t>
      </w:r>
      <w:r w:rsidR="00284A1A" w:rsidRPr="0091040C">
        <w:rPr>
          <w:rFonts w:ascii="Helvetica" w:hAnsi="Helvetica" w:cs="Times New Roman"/>
          <w:sz w:val="20"/>
          <w:szCs w:val="20"/>
        </w:rPr>
        <w:t>randomised cont</w:t>
      </w:r>
      <w:r w:rsidR="00CB7B9A" w:rsidRPr="0091040C">
        <w:rPr>
          <w:rFonts w:ascii="Helvetica" w:hAnsi="Helvetica" w:cs="Times New Roman"/>
          <w:sz w:val="20"/>
          <w:szCs w:val="20"/>
        </w:rPr>
        <w:t>r</w:t>
      </w:r>
      <w:r w:rsidR="00284A1A" w:rsidRPr="0091040C">
        <w:rPr>
          <w:rFonts w:ascii="Helvetica" w:hAnsi="Helvetica" w:cs="Times New Roman"/>
          <w:sz w:val="20"/>
          <w:szCs w:val="20"/>
        </w:rPr>
        <w:t xml:space="preserve">olled </w:t>
      </w:r>
      <w:r w:rsidRPr="0091040C">
        <w:rPr>
          <w:rFonts w:ascii="Helvetica" w:hAnsi="Helvetica" w:cs="Times New Roman"/>
          <w:sz w:val="20"/>
          <w:szCs w:val="20"/>
        </w:rPr>
        <w:t>trial</w:t>
      </w:r>
      <w:r w:rsidR="00F154B5" w:rsidRPr="0091040C">
        <w:rPr>
          <w:rFonts w:ascii="Helvetica" w:hAnsi="Helvetica" w:cs="Times New Roman"/>
          <w:sz w:val="20"/>
          <w:szCs w:val="20"/>
        </w:rPr>
        <w:t>.</w:t>
      </w:r>
      <w:r w:rsidR="0068126F" w:rsidRPr="0091040C">
        <w:rPr>
          <w:rFonts w:ascii="Helvetica" w:hAnsi="Helvetica" w:cs="Times New Roman"/>
          <w:sz w:val="20"/>
          <w:szCs w:val="20"/>
        </w:rPr>
        <w:t xml:space="preserve"> </w:t>
      </w:r>
      <w:r w:rsidR="0068126F" w:rsidRPr="0091040C">
        <w:rPr>
          <w:rFonts w:ascii="Helvetica" w:hAnsi="Helvetica" w:cs="Times New Roman"/>
          <w:sz w:val="20"/>
          <w:szCs w:val="20"/>
        </w:rPr>
        <w:fldChar w:fldCharType="begin" w:fldLock="1"/>
      </w:r>
      <w:r w:rsidR="0068126F" w:rsidRPr="0091040C">
        <w:rPr>
          <w:rFonts w:ascii="Helvetica" w:hAnsi="Helvetica" w:cs="Times New Roman"/>
          <w:sz w:val="20"/>
          <w:szCs w:val="20"/>
        </w:rPr>
        <w:instrText>ADDIN CSL_CITATION { "citationItems" : [ { "id" : "ITEM-1", "itemData" : { "DOI" : "10.1186/s12875-014-0187-4", "ISSN" : "1471-2296 (Electronic)", "PMID" : "25425162", "abstract" : "BACKGROUND: Urinary tract infections (UTI) are the most frequent bacterial infection affecting women and account for about 15% of antibiotics prescribed in primary care. However, some women with a UTI are not prescribed antibiotics or are prescribed the wrong antibiotics, while many women who do not have a microbiologically confirmed UTI are prescribed antibiotics. Inappropriate antibiotic prescribing unnecessarily increases the risk of side effects and the development of antibiotic resistance, and wastes resources. METHODS/DESIGN: 614 adult female patients will be recruited from four primary care research networks (Wales, England, Spain, the Netherlands) and individually randomised to either POCT guided care or the guideline-informed 'standard care' arm. Urine and stool samples (where possible) will be obtained at presentation (day 1) and two weeks later for microbiological analysis. All participants will be followed up on the course of their illness and their quality of life, using a 2 week self-completed symptom diary. At 3 months, a primary care notes review will be conducted for evidence of further evidence of treatment failures, recurrence, complications, hospitalisations and health service costs. DISCUSSION: Although the Flexicult POCT is used in some countries in routine primary care, it's clinical and cost effectiveness has never been evaluated in a randomised clinical trial. If shown to be effective, the use of this POCT could benefit individual sufferers and provide evidence for health care authorities to develop evidence based policies to combat the spread and impact of the unprecedented rise of infections caused by antibiotic resistant bacteria in Europe. TRIAL REGISTRATION NUMBER: ISRCTN65200697 (Registered 10 September 2013).", "author" : [ { "dropping-particle" : "", "family" : "Bates", "given" : "Janine", "non-dropping-particle" : "", "parse-names" : false, "suffix" : "" }, { "dropping-particle" : "", "family" : "Thomas-Jones", "given" : "Emma", "non-dropping-particle" : "", "parse-names" : false, "suffix" : "" }, { "dropping-particle" : "", "family" : "Pickles", "given" : "Timothy", "non-dropping-particle" : "", "parse-names" : false, "suffix" : "" }, { "dropping-particle" : "", "family" : "Kirby", "given" : "Nigel", "non-dropping-particle" : "", "parse-names" : false, "suffix" : "" }, { "dropping-particle" : "", "family" : "Gal", "given" : "Micaela", "non-dropping-particle" : "", "parse-names" : false, "suffix" : "" }, { "dropping-particle" : "", "family" : "Bongard", "given" : "Emily", "non-dropping-particle" : "", "parse-names" : false, "suffix" : "" }, { "dropping-particle" : "", "family" : "Hood", "given" : "Kerenza", "non-dropping-particle" : "", "parse-names" : false, "suffix" : "" }, { "dropping-particle" : "", "family" : "Francis", "given" : "Nicolas", "non-dropping-particle" : "", "parse-names" : false, "suffix" : "" }, { "dropping-particle" : "", "family" : "Little", "given" : "Paul", "non-dropping-particle" : "", "parse-names" : false, "suffix" : "" }, { "dropping-particle" : "", "family" : "Moore", "given" : "Michael", "non-dropping-particle" : "", "parse-names" : false, "suffix" : "" }, { "dropping-particle" : "", "family" : "Rumsby", "given" : "Kate", "non-dropping-particle" : "", "parse-names" : false, "suffix" : "" }, { "dropping-particle" : "", "family" : "Llor", "given" : "Carlos", "non-dropping-particle" : "", "parse-names" : false, "suffix" : "" }, { "dropping-particle" : "", "family" : "Burgman", "given" : "Curt", "non-dropping-particle" : "", "parse-names" : false, "suffix" : "" }, { "dropping-particle" : "", "family" : "Verheij", "given" : "Theo", "non-dropping-particle" : "", "parse-names" : false, "suffix" : "" }, { "dropping-particle" : "", "family" : "Cohen", "given" : "David", "non-dropping-particle" : "", "parse-names" : false, "suffix" : "" }, { "dropping-particle" : "", "family" : "Wootton", "given" : "Mandy", "non-dropping-particle" : "", "parse-names" : false, "suffix" : "" }, { "dropping-particle" : "", "family" : "Howe", "given" : "Robin", "non-dropping-particle" : "", "parse-names" : false, "suffix" : "" }, { "dropping-particle" : "", "family" : "Butler", "given" : "Christopher C", "non-dropping-particle" : "", "parse-names" : false, "suffix" : "" } ], "container-title" : "BMC family practice", "id" : "ITEM-1", "issued" : { "date-parts" : [ [ "2014" ] ] }, "language" : "eng", "page" : "187", "publisher-place" : "England", "title" : "Point of care testing for urinary tract infection in primary care (POETIC): protocol for a randomised controlled trial of the clinical and cost effectiveness of FLEXICULT informed management of uncomplicated UTI in primary care.", "type" : "article-journal", "volume" : "15" }, "uris" : [ "http://www.mendeley.com/documents/?uuid=bc262b6a-c0ae-4286-9784-36e2d0a13b06" ] } ], "mendeley" : { "formattedCitation" : "&lt;sup&gt;10&lt;/sup&gt;", "plainTextFormattedCitation" : "10", "previouslyFormattedCitation" : "&lt;sup&gt;10&lt;/sup&gt;" }, "properties" : { "noteIndex" : 0 }, "schema" : "https://github.com/citation-style-language/schema/raw/master/csl-citation.json" }</w:instrText>
      </w:r>
      <w:r w:rsidR="0068126F" w:rsidRPr="0091040C">
        <w:rPr>
          <w:rFonts w:ascii="Helvetica" w:hAnsi="Helvetica" w:cs="Times New Roman"/>
          <w:sz w:val="20"/>
          <w:szCs w:val="20"/>
        </w:rPr>
        <w:fldChar w:fldCharType="separate"/>
      </w:r>
      <w:r w:rsidR="0068126F" w:rsidRPr="0091040C">
        <w:rPr>
          <w:rFonts w:ascii="Helvetica" w:hAnsi="Helvetica" w:cs="Times New Roman"/>
          <w:noProof/>
          <w:sz w:val="20"/>
          <w:szCs w:val="20"/>
          <w:vertAlign w:val="superscript"/>
        </w:rPr>
        <w:t>10</w:t>
      </w:r>
      <w:r w:rsidR="0068126F" w:rsidRPr="0091040C">
        <w:rPr>
          <w:rFonts w:ascii="Helvetica" w:hAnsi="Helvetica" w:cs="Times New Roman"/>
          <w:sz w:val="20"/>
          <w:szCs w:val="20"/>
        </w:rPr>
        <w:fldChar w:fldCharType="end"/>
      </w:r>
      <w:r w:rsidR="0068126F" w:rsidRPr="0091040C">
        <w:rPr>
          <w:rFonts w:ascii="Helvetica" w:hAnsi="Helvetica" w:cs="Times New Roman"/>
          <w:sz w:val="20"/>
          <w:szCs w:val="20"/>
        </w:rPr>
        <w:t xml:space="preserve"> </w:t>
      </w:r>
      <w:r w:rsidR="00F154B5" w:rsidRPr="0091040C">
        <w:rPr>
          <w:rFonts w:ascii="Helvetica" w:hAnsi="Helvetica" w:cs="Times New Roman"/>
          <w:sz w:val="20"/>
          <w:szCs w:val="20"/>
        </w:rPr>
        <w:t xml:space="preserve"> </w:t>
      </w:r>
      <w:r w:rsidRPr="0091040C">
        <w:rPr>
          <w:rFonts w:ascii="Helvetica" w:hAnsi="Helvetica" w:cs="Times New Roman"/>
          <w:sz w:val="20"/>
          <w:szCs w:val="20"/>
        </w:rPr>
        <w:t>Women were recruited from primary care research networks in four countries (Wales, England, Spain and the Netherlands) between June 2013 until September 2014. They were randomised to receive treatment guided by Flexicult</w:t>
      </w:r>
      <w:r w:rsidRPr="0091040C">
        <w:rPr>
          <w:rFonts w:ascii="Helvetica" w:hAnsi="Helvetica" w:cs="Times New Roman"/>
          <w:sz w:val="20"/>
          <w:szCs w:val="20"/>
          <w:vertAlign w:val="superscript"/>
        </w:rPr>
        <w:t>TM</w:t>
      </w:r>
      <w:r w:rsidR="00314075" w:rsidRPr="0091040C">
        <w:rPr>
          <w:rFonts w:ascii="Helvetica" w:hAnsi="Helvetica" w:cs="Times New Roman"/>
          <w:sz w:val="20"/>
          <w:szCs w:val="20"/>
        </w:rPr>
        <w:t xml:space="preserve">, </w:t>
      </w:r>
      <w:r w:rsidRPr="0091040C">
        <w:rPr>
          <w:rFonts w:ascii="Helvetica" w:hAnsi="Helvetica" w:cs="Times New Roman"/>
          <w:sz w:val="20"/>
          <w:szCs w:val="20"/>
        </w:rPr>
        <w:t xml:space="preserve">or standard care. Only </w:t>
      </w:r>
      <w:r w:rsidR="00D613F4" w:rsidRPr="0091040C">
        <w:rPr>
          <w:rFonts w:ascii="Helvetica" w:hAnsi="Helvetica" w:cs="Times New Roman"/>
          <w:sz w:val="20"/>
          <w:szCs w:val="20"/>
        </w:rPr>
        <w:t xml:space="preserve">data from </w:t>
      </w:r>
      <w:r w:rsidRPr="0091040C">
        <w:rPr>
          <w:rFonts w:ascii="Helvetica" w:hAnsi="Helvetica" w:cs="Times New Roman"/>
          <w:sz w:val="20"/>
          <w:szCs w:val="20"/>
        </w:rPr>
        <w:t>the participants randomised to the Flexicult</w:t>
      </w:r>
      <w:r w:rsidRPr="0091040C">
        <w:rPr>
          <w:rFonts w:ascii="Helvetica" w:hAnsi="Helvetica" w:cs="Times New Roman"/>
          <w:sz w:val="20"/>
          <w:szCs w:val="20"/>
          <w:vertAlign w:val="superscript"/>
        </w:rPr>
        <w:t>TM</w:t>
      </w:r>
      <w:r w:rsidRPr="0091040C">
        <w:rPr>
          <w:rFonts w:ascii="Helvetica" w:hAnsi="Helvetica" w:cs="Times New Roman"/>
          <w:sz w:val="20"/>
          <w:szCs w:val="20"/>
        </w:rPr>
        <w:t xml:space="preserve"> care arm </w:t>
      </w:r>
      <w:r w:rsidR="00314075" w:rsidRPr="0091040C">
        <w:rPr>
          <w:rFonts w:ascii="Helvetica" w:hAnsi="Helvetica" w:cs="Times New Roman"/>
          <w:sz w:val="20"/>
          <w:szCs w:val="20"/>
        </w:rPr>
        <w:t xml:space="preserve">are </w:t>
      </w:r>
      <w:r w:rsidRPr="0091040C">
        <w:rPr>
          <w:rFonts w:ascii="Helvetica" w:hAnsi="Helvetica" w:cs="Times New Roman"/>
          <w:sz w:val="20"/>
          <w:szCs w:val="20"/>
        </w:rPr>
        <w:t xml:space="preserve">included </w:t>
      </w:r>
      <w:r w:rsidR="00D613F4" w:rsidRPr="0091040C">
        <w:rPr>
          <w:rFonts w:ascii="Helvetica" w:hAnsi="Helvetica" w:cs="Times New Roman"/>
          <w:sz w:val="20"/>
          <w:szCs w:val="20"/>
        </w:rPr>
        <w:t>in t</w:t>
      </w:r>
      <w:r w:rsidR="005614E8" w:rsidRPr="0091040C">
        <w:rPr>
          <w:rFonts w:ascii="Helvetica" w:hAnsi="Helvetica" w:cs="Times New Roman"/>
          <w:sz w:val="20"/>
          <w:szCs w:val="20"/>
        </w:rPr>
        <w:t>h</w:t>
      </w:r>
      <w:r w:rsidR="00D613F4" w:rsidRPr="0091040C">
        <w:rPr>
          <w:rFonts w:ascii="Helvetica" w:hAnsi="Helvetica" w:cs="Times New Roman"/>
          <w:sz w:val="20"/>
          <w:szCs w:val="20"/>
        </w:rPr>
        <w:t>is analysis</w:t>
      </w:r>
      <w:r w:rsidRPr="0091040C">
        <w:rPr>
          <w:rFonts w:ascii="Helvetica" w:hAnsi="Helvetica" w:cs="Times New Roman"/>
          <w:sz w:val="20"/>
          <w:szCs w:val="20"/>
        </w:rPr>
        <w:t>. The design an</w:t>
      </w:r>
      <w:r w:rsidR="00D33B43" w:rsidRPr="0091040C">
        <w:rPr>
          <w:rFonts w:ascii="Helvetica" w:hAnsi="Helvetica" w:cs="Times New Roman"/>
          <w:sz w:val="20"/>
          <w:szCs w:val="20"/>
        </w:rPr>
        <w:t>d</w:t>
      </w:r>
      <w:r w:rsidRPr="0091040C">
        <w:rPr>
          <w:rFonts w:ascii="Helvetica" w:hAnsi="Helvetica" w:cs="Times New Roman"/>
          <w:sz w:val="20"/>
          <w:szCs w:val="20"/>
        </w:rPr>
        <w:t xml:space="preserve"> rationale of POETIC trial </w:t>
      </w:r>
      <w:r w:rsidR="00D33B43" w:rsidRPr="0091040C">
        <w:rPr>
          <w:rFonts w:ascii="Helvetica" w:hAnsi="Helvetica" w:cs="Times New Roman"/>
          <w:sz w:val="20"/>
          <w:szCs w:val="20"/>
        </w:rPr>
        <w:t>are</w:t>
      </w:r>
      <w:r w:rsidRPr="0091040C">
        <w:rPr>
          <w:rFonts w:ascii="Helvetica" w:hAnsi="Helvetica" w:cs="Times New Roman"/>
          <w:sz w:val="20"/>
          <w:szCs w:val="20"/>
        </w:rPr>
        <w:t xml:space="preserve"> described elsewhere.</w:t>
      </w:r>
      <w:r w:rsidRPr="0091040C">
        <w:rPr>
          <w:rFonts w:ascii="Helvetica" w:hAnsi="Helvetica" w:cs="Times New Roman"/>
          <w:sz w:val="20"/>
          <w:szCs w:val="20"/>
        </w:rPr>
        <w:fldChar w:fldCharType="begin" w:fldLock="1"/>
      </w:r>
      <w:r w:rsidR="00E12CED" w:rsidRPr="0091040C">
        <w:rPr>
          <w:rFonts w:ascii="Helvetica" w:hAnsi="Helvetica" w:cs="Times New Roman"/>
          <w:sz w:val="20"/>
          <w:szCs w:val="20"/>
        </w:rPr>
        <w:instrText>ADDIN CSL_CITATION { "citationItems" : [ { "id" : "ITEM-1", "itemData" : { "DOI" : "10.1186/s12875-014-0187-4", "ISSN" : "1471-2296 (Electronic)", "PMID" : "25425162", "abstract" : "BACKGROUND: Urinary tract infections (UTI) are the most frequent bacterial infection affecting women and account for about 15% of antibiotics prescribed in primary care. However, some women with a UTI are not prescribed antibiotics or are prescribed the wrong antibiotics, while many women who do not have a microbiologically confirmed UTI are prescribed antibiotics. Inappropriate antibiotic prescribing unnecessarily increases the risk of side effects and the development of antibiotic resistance, and wastes resources. METHODS/DESIGN: 614 adult female patients will be recruited from four primary care research networks (Wales, England, Spain, the Netherlands) and individually randomised to either POCT guided care or the guideline-informed 'standard care' arm. Urine and stool samples (where possible) will be obtained at presentation (day 1) and two weeks later for microbiological analysis. All participants will be followed up on the course of their illness and their quality of life, using a 2 week self-completed symptom diary. At 3 months, a primary care notes review will be conducted for evidence of further evidence of treatment failures, recurrence, complications, hospitalisations and health service costs. DISCUSSION: Although the Flexicult POCT is used in some countries in routine primary care, it's clinical and cost effectiveness has never been evaluated in a randomised clinical trial. If shown to be effective, the use of this POCT could benefit individual sufferers and provide evidence for health care authorities to develop evidence based policies to combat the spread and impact of the unprecedented rise of infections caused by antibiotic resistant bacteria in Europe. TRIAL REGISTRATION NUMBER: ISRCTN65200697 (Registered 10 September 2013).", "author" : [ { "dropping-particle" : "", "family" : "Bates", "given" : "Janine", "non-dropping-particle" : "", "parse-names" : false, "suffix" : "" }, { "dropping-particle" : "", "family" : "Thomas-Jones", "given" : "Emma", "non-dropping-particle" : "", "parse-names" : false, "suffix" : "" }, { "dropping-particle" : "", "family" : "Pickles", "given" : "Timothy", "non-dropping-particle" : "", "parse-names" : false, "suffix" : "" }, { "dropping-particle" : "", "family" : "Kirby", "given" : "Nigel", "non-dropping-particle" : "", "parse-names" : false, "suffix" : "" }, { "dropping-particle" : "", "family" : "Gal", "given" : "Micaela", "non-dropping-particle" : "", "parse-names" : false, "suffix" : "" }, { "dropping-particle" : "", "family" : "Bongard", "given" : "Emily", "non-dropping-particle" : "", "parse-names" : false, "suffix" : "" }, { "dropping-particle" : "", "family" : "Hood", "given" : "Kerenza", "non-dropping-particle" : "", "parse-names" : false, "suffix" : "" }, { "dropping-particle" : "", "family" : "Francis", "given" : "Nicolas", "non-dropping-particle" : "", "parse-names" : false, "suffix" : "" }, { "dropping-particle" : "", "family" : "Little", "given" : "Paul", "non-dropping-particle" : "", "parse-names" : false, "suffix" : "" }, { "dropping-particle" : "", "family" : "Moore", "given" : "Michael", "non-dropping-particle" : "", "parse-names" : false, "suffix" : "" }, { "dropping-particle" : "", "family" : "Rumsby", "given" : "Kate", "non-dropping-particle" : "", "parse-names" : false, "suffix" : "" }, { "dropping-particle" : "", "family" : "Llor", "given" : "Carlos", "non-dropping-particle" : "", "parse-names" : false, "suffix" : "" }, { "dropping-particle" : "", "family" : "Burgman", "given" : "Curt", "non-dropping-particle" : "", "parse-names" : false, "suffix" : "" }, { "dropping-particle" : "", "family" : "Verheij", "given" : "Theo", "non-dropping-particle" : "", "parse-names" : false, "suffix" : "" }, { "dropping-particle" : "", "family" : "Cohen", "given" : "David", "non-dropping-particle" : "", "parse-names" : false, "suffix" : "" }, { "dropping-particle" : "", "family" : "Wootton", "given" : "Mandy", "non-dropping-particle" : "", "parse-names" : false, "suffix" : "" }, { "dropping-particle" : "", "family" : "Howe", "given" : "Robin", "non-dropping-particle" : "", "parse-names" : false, "suffix" : "" }, { "dropping-particle" : "", "family" : "Butler", "given" : "Christopher C", "non-dropping-particle" : "", "parse-names" : false, "suffix" : "" } ], "container-title" : "BMC family practice", "id" : "ITEM-1", "issued" : { "date-parts" : [ [ "2014" ] ] }, "language" : "eng", "page" : "187", "publisher-place" : "England", "title" : "Point of care testing for urinary tract infection in primary care (POETIC): protocol for a randomised controlled trial of the clinical and cost effectiveness of FLEXICULT informed management of uncomplicated UTI in primary care.", "type" : "article-journal", "volume" : "15" }, "uris" : [ "http://www.mendeley.com/documents/?uuid=bc262b6a-c0ae-4286-9784-36e2d0a13b06" ] } ], "mendeley" : { "formattedCitation" : "&lt;sup&gt;10&lt;/sup&gt;", "plainTextFormattedCitation" : "10", "previouslyFormattedCitation" : "&lt;sup&gt;10&lt;/sup&gt;" }, "properties" : { "noteIndex" : 0 }, "schema" : "https://github.com/citation-style-language/schema/raw/master/csl-citation.json" }</w:instrText>
      </w:r>
      <w:r w:rsidRPr="0091040C">
        <w:rPr>
          <w:rFonts w:ascii="Helvetica" w:hAnsi="Helvetica" w:cs="Times New Roman"/>
          <w:sz w:val="20"/>
          <w:szCs w:val="20"/>
        </w:rPr>
        <w:fldChar w:fldCharType="separate"/>
      </w:r>
      <w:r w:rsidR="005642C4" w:rsidRPr="0091040C">
        <w:rPr>
          <w:rFonts w:ascii="Helvetica" w:hAnsi="Helvetica" w:cs="Times New Roman"/>
          <w:noProof/>
          <w:sz w:val="20"/>
          <w:szCs w:val="20"/>
          <w:vertAlign w:val="superscript"/>
        </w:rPr>
        <w:t>10</w:t>
      </w:r>
      <w:r w:rsidRPr="0091040C">
        <w:rPr>
          <w:rFonts w:ascii="Helvetica" w:hAnsi="Helvetica" w:cs="Times New Roman"/>
          <w:sz w:val="20"/>
          <w:szCs w:val="20"/>
        </w:rPr>
        <w:fldChar w:fldCharType="end"/>
      </w:r>
      <w:r w:rsidR="00AE4B8B">
        <w:rPr>
          <w:rFonts w:ascii="Helvetica" w:hAnsi="Helvetica" w:cs="Times New Roman"/>
          <w:sz w:val="20"/>
          <w:szCs w:val="20"/>
        </w:rPr>
        <w:t xml:space="preserve"> Briefly, </w:t>
      </w:r>
      <w:r w:rsidRPr="0091040C">
        <w:rPr>
          <w:rFonts w:ascii="Helvetica" w:hAnsi="Helvetica" w:cs="Times New Roman"/>
          <w:sz w:val="20"/>
          <w:szCs w:val="20"/>
        </w:rPr>
        <w:t xml:space="preserve">eligible patients were adult women aged 18 years and older presenting to primary care with at least one of three key urinary tract symptoms (dysuria, urgency and frequency) and where the GP suspected an uncomplicated UTI. Exclusion criteria at baseline were women who were either terminally ill, were receiving treatment for life-threating cancer, were having severe systemic symptoms or </w:t>
      </w:r>
      <w:r w:rsidR="00AA505E" w:rsidRPr="0091040C">
        <w:rPr>
          <w:rFonts w:ascii="Helvetica" w:hAnsi="Helvetica" w:cs="Times New Roman"/>
          <w:sz w:val="20"/>
          <w:szCs w:val="20"/>
        </w:rPr>
        <w:t xml:space="preserve">had </w:t>
      </w:r>
      <w:r w:rsidRPr="0091040C">
        <w:rPr>
          <w:rFonts w:ascii="Helvetica" w:hAnsi="Helvetica" w:cs="Times New Roman"/>
          <w:sz w:val="20"/>
          <w:szCs w:val="20"/>
        </w:rPr>
        <w:t>received antibiotics for UTI withi</w:t>
      </w:r>
      <w:r w:rsidR="00AE4B8B">
        <w:rPr>
          <w:rFonts w:ascii="Helvetica" w:hAnsi="Helvetica" w:cs="Times New Roman"/>
          <w:sz w:val="20"/>
          <w:szCs w:val="20"/>
        </w:rPr>
        <w:t>n the past four weeks.</w:t>
      </w:r>
      <w:r w:rsidRPr="0091040C">
        <w:rPr>
          <w:rFonts w:ascii="Helvetica" w:hAnsi="Helvetica" w:cs="Times New Roman"/>
          <w:sz w:val="20"/>
          <w:szCs w:val="20"/>
        </w:rPr>
        <w:t xml:space="preserve"> Informed</w:t>
      </w:r>
      <w:r w:rsidR="0068126F" w:rsidRPr="0091040C">
        <w:rPr>
          <w:rFonts w:ascii="Helvetica" w:hAnsi="Helvetica" w:cs="Times New Roman"/>
          <w:sz w:val="20"/>
          <w:szCs w:val="20"/>
        </w:rPr>
        <w:t>, written</w:t>
      </w:r>
      <w:r w:rsidRPr="0091040C">
        <w:rPr>
          <w:rFonts w:ascii="Helvetica" w:hAnsi="Helvetica" w:cs="Times New Roman"/>
          <w:sz w:val="20"/>
          <w:szCs w:val="20"/>
        </w:rPr>
        <w:t xml:space="preserve"> consent was obtained from all the participants. The trial was approved by the Research Ethics Committee for Wales recognised by the United Kingdom Ethics Committee Authority and also approved by the relevant local Governance Committees </w:t>
      </w:r>
      <w:r w:rsidR="0059247E" w:rsidRPr="0091040C">
        <w:rPr>
          <w:rFonts w:ascii="Helvetica" w:hAnsi="Helvetica" w:cs="Times New Roman"/>
          <w:sz w:val="20"/>
          <w:szCs w:val="20"/>
        </w:rPr>
        <w:t xml:space="preserve">in the Netherlands and Spain.  </w:t>
      </w:r>
    </w:p>
    <w:p w14:paraId="52EB5190" w14:textId="5BB3B54D" w:rsidR="00497B38" w:rsidRPr="0091040C" w:rsidRDefault="00497B38" w:rsidP="00497B38">
      <w:pPr>
        <w:spacing w:line="480" w:lineRule="auto"/>
        <w:rPr>
          <w:rFonts w:ascii="Helvetica" w:hAnsi="Helvetica" w:cs="Times New Roman"/>
          <w:sz w:val="20"/>
          <w:szCs w:val="20"/>
        </w:rPr>
      </w:pPr>
      <w:r w:rsidRPr="0091040C">
        <w:rPr>
          <w:rFonts w:ascii="Helvetica" w:hAnsi="Helvetica" w:cs="Times New Roman"/>
          <w:i/>
          <w:sz w:val="20"/>
          <w:szCs w:val="20"/>
        </w:rPr>
        <w:t>Primary objective of the present analysis</w:t>
      </w:r>
      <w:r w:rsidRPr="0091040C">
        <w:rPr>
          <w:rFonts w:ascii="Helvetica" w:hAnsi="Helvetica" w:cs="Times New Roman"/>
          <w:i/>
          <w:sz w:val="20"/>
          <w:szCs w:val="20"/>
        </w:rPr>
        <w:br/>
      </w:r>
      <w:r w:rsidRPr="0091040C">
        <w:rPr>
          <w:rFonts w:ascii="Helvetica" w:hAnsi="Helvetica" w:cs="Times New Roman"/>
          <w:sz w:val="20"/>
          <w:szCs w:val="20"/>
        </w:rPr>
        <w:t>Three assessments of urine cultur</w:t>
      </w:r>
      <w:r w:rsidR="00F2373A" w:rsidRPr="0091040C">
        <w:rPr>
          <w:rFonts w:ascii="Helvetica" w:hAnsi="Helvetica" w:cs="Times New Roman"/>
          <w:sz w:val="20"/>
          <w:szCs w:val="20"/>
        </w:rPr>
        <w:t>e results were available: 1) Primary care clinicians</w:t>
      </w:r>
      <w:r w:rsidRPr="0091040C">
        <w:rPr>
          <w:rFonts w:ascii="Helvetica" w:hAnsi="Helvetica" w:cs="Times New Roman"/>
          <w:sz w:val="20"/>
          <w:szCs w:val="20"/>
        </w:rPr>
        <w:t xml:space="preserve">’ </w:t>
      </w:r>
      <w:r w:rsidR="005D5B0A" w:rsidRPr="0091040C">
        <w:rPr>
          <w:rFonts w:ascii="Helvetica" w:hAnsi="Helvetica" w:cs="Times New Roman"/>
          <w:sz w:val="20"/>
          <w:szCs w:val="20"/>
        </w:rPr>
        <w:t xml:space="preserve">record of their </w:t>
      </w:r>
      <w:r w:rsidRPr="0091040C">
        <w:rPr>
          <w:rFonts w:ascii="Helvetica" w:hAnsi="Helvetica" w:cs="Times New Roman"/>
          <w:sz w:val="20"/>
          <w:szCs w:val="20"/>
        </w:rPr>
        <w:t>interpretation of Flexicult</w:t>
      </w:r>
      <w:r w:rsidRPr="0091040C">
        <w:rPr>
          <w:rFonts w:ascii="Helvetica" w:hAnsi="Helvetica" w:cs="Times New Roman"/>
          <w:sz w:val="20"/>
          <w:szCs w:val="20"/>
          <w:vertAlign w:val="superscript"/>
        </w:rPr>
        <w:t>TM</w:t>
      </w:r>
      <w:r w:rsidRPr="0091040C">
        <w:rPr>
          <w:rFonts w:ascii="Helvetica" w:hAnsi="Helvetica" w:cs="Times New Roman"/>
          <w:sz w:val="20"/>
          <w:szCs w:val="20"/>
        </w:rPr>
        <w:t xml:space="preserve"> resul</w:t>
      </w:r>
      <w:r w:rsidR="00786A6F" w:rsidRPr="0091040C">
        <w:rPr>
          <w:rFonts w:ascii="Helvetica" w:hAnsi="Helvetica" w:cs="Times New Roman"/>
          <w:sz w:val="20"/>
          <w:szCs w:val="20"/>
        </w:rPr>
        <w:t>ts</w:t>
      </w:r>
      <w:r w:rsidR="0059247E" w:rsidRPr="0091040C">
        <w:rPr>
          <w:rFonts w:ascii="Helvetica" w:hAnsi="Helvetica" w:cs="Times New Roman"/>
          <w:sz w:val="20"/>
          <w:szCs w:val="20"/>
        </w:rPr>
        <w:t>; 2) L</w:t>
      </w:r>
      <w:r w:rsidR="007C0933" w:rsidRPr="0091040C">
        <w:rPr>
          <w:rFonts w:ascii="Helvetica" w:hAnsi="Helvetica" w:cs="Times New Roman"/>
          <w:sz w:val="20"/>
          <w:szCs w:val="20"/>
        </w:rPr>
        <w:t>aboratory</w:t>
      </w:r>
      <w:r w:rsidR="00314075" w:rsidRPr="0091040C">
        <w:rPr>
          <w:rFonts w:ascii="Helvetica" w:hAnsi="Helvetica" w:cs="Times New Roman"/>
          <w:sz w:val="20"/>
          <w:szCs w:val="20"/>
        </w:rPr>
        <w:t xml:space="preserve"> </w:t>
      </w:r>
      <w:r w:rsidR="005614E8" w:rsidRPr="0091040C">
        <w:rPr>
          <w:rFonts w:ascii="Helvetica" w:hAnsi="Helvetica" w:cs="Times New Roman"/>
          <w:sz w:val="20"/>
          <w:szCs w:val="20"/>
        </w:rPr>
        <w:t xml:space="preserve">staff </w:t>
      </w:r>
      <w:r w:rsidRPr="0091040C">
        <w:rPr>
          <w:rFonts w:ascii="Helvetica" w:hAnsi="Helvetica" w:cs="Times New Roman"/>
          <w:sz w:val="20"/>
          <w:szCs w:val="20"/>
        </w:rPr>
        <w:t>interpretation</w:t>
      </w:r>
      <w:r w:rsidR="005614E8" w:rsidRPr="0091040C">
        <w:rPr>
          <w:rFonts w:ascii="Helvetica" w:hAnsi="Helvetica" w:cs="Times New Roman"/>
          <w:sz w:val="20"/>
          <w:szCs w:val="20"/>
        </w:rPr>
        <w:t>s</w:t>
      </w:r>
      <w:r w:rsidRPr="0091040C">
        <w:rPr>
          <w:rFonts w:ascii="Helvetica" w:hAnsi="Helvetica" w:cs="Times New Roman"/>
          <w:sz w:val="20"/>
          <w:szCs w:val="20"/>
        </w:rPr>
        <w:t xml:space="preserve"> of photographs of the Flexicult</w:t>
      </w:r>
      <w:r w:rsidRPr="0091040C">
        <w:rPr>
          <w:rFonts w:ascii="Helvetica" w:hAnsi="Helvetica" w:cs="Times New Roman"/>
          <w:sz w:val="20"/>
          <w:szCs w:val="20"/>
          <w:vertAlign w:val="superscript"/>
        </w:rPr>
        <w:t>TM</w:t>
      </w:r>
      <w:r w:rsidR="008B5BC9" w:rsidRPr="0091040C">
        <w:rPr>
          <w:rFonts w:ascii="Helvetica" w:hAnsi="Helvetica" w:cs="Times New Roman"/>
          <w:sz w:val="20"/>
          <w:szCs w:val="20"/>
        </w:rPr>
        <w:t xml:space="preserve"> </w:t>
      </w:r>
      <w:r w:rsidR="005A6466" w:rsidRPr="0091040C">
        <w:rPr>
          <w:rFonts w:ascii="Helvetica" w:hAnsi="Helvetica" w:cs="Times New Roman"/>
          <w:sz w:val="20"/>
          <w:szCs w:val="20"/>
        </w:rPr>
        <w:t xml:space="preserve">taken by </w:t>
      </w:r>
      <w:r w:rsidR="002123C5" w:rsidRPr="0091040C">
        <w:rPr>
          <w:rFonts w:ascii="Helvetica" w:hAnsi="Helvetica" w:cs="Times New Roman"/>
          <w:sz w:val="20"/>
          <w:szCs w:val="20"/>
        </w:rPr>
        <w:t>clinicians</w:t>
      </w:r>
      <w:r w:rsidR="005A6466" w:rsidRPr="0091040C">
        <w:rPr>
          <w:rFonts w:ascii="Helvetica" w:hAnsi="Helvetica" w:cs="Times New Roman"/>
          <w:sz w:val="20"/>
          <w:szCs w:val="20"/>
        </w:rPr>
        <w:t xml:space="preserve"> at the time of their interpretation</w:t>
      </w:r>
      <w:r w:rsidRPr="0091040C">
        <w:rPr>
          <w:rFonts w:ascii="Helvetica" w:hAnsi="Helvetica" w:cs="Times New Roman"/>
          <w:sz w:val="20"/>
          <w:szCs w:val="20"/>
        </w:rPr>
        <w:t xml:space="preserve">; and 3) routine </w:t>
      </w:r>
      <w:r w:rsidR="007C0933" w:rsidRPr="0091040C">
        <w:rPr>
          <w:rFonts w:ascii="Helvetica" w:hAnsi="Helvetica" w:cs="Times New Roman"/>
          <w:sz w:val="20"/>
          <w:szCs w:val="20"/>
        </w:rPr>
        <w:t xml:space="preserve">microbiology </w:t>
      </w:r>
      <w:r w:rsidRPr="0091040C">
        <w:rPr>
          <w:rFonts w:ascii="Helvetica" w:hAnsi="Helvetica" w:cs="Times New Roman"/>
          <w:sz w:val="20"/>
          <w:szCs w:val="20"/>
        </w:rPr>
        <w:t xml:space="preserve">laboratory culture results. The primary </w:t>
      </w:r>
      <w:r w:rsidR="00314075" w:rsidRPr="0091040C">
        <w:rPr>
          <w:rFonts w:ascii="Helvetica" w:hAnsi="Helvetica" w:cs="Times New Roman"/>
          <w:sz w:val="20"/>
          <w:szCs w:val="20"/>
        </w:rPr>
        <w:t xml:space="preserve">objective </w:t>
      </w:r>
      <w:r w:rsidRPr="0091040C">
        <w:rPr>
          <w:rFonts w:ascii="Helvetica" w:hAnsi="Helvetica" w:cs="Times New Roman"/>
          <w:sz w:val="20"/>
          <w:szCs w:val="20"/>
        </w:rPr>
        <w:t>of th</w:t>
      </w:r>
      <w:r w:rsidR="005D5B0A" w:rsidRPr="0091040C">
        <w:rPr>
          <w:rFonts w:ascii="Helvetica" w:hAnsi="Helvetica" w:cs="Times New Roman"/>
          <w:sz w:val="20"/>
          <w:szCs w:val="20"/>
        </w:rPr>
        <w:t xml:space="preserve">e current </w:t>
      </w:r>
      <w:r w:rsidRPr="0091040C">
        <w:rPr>
          <w:rFonts w:ascii="Helvetica" w:hAnsi="Helvetica" w:cs="Times New Roman"/>
          <w:sz w:val="20"/>
          <w:szCs w:val="20"/>
        </w:rPr>
        <w:t xml:space="preserve">analysis was </w:t>
      </w:r>
      <w:r w:rsidR="005D5B0A" w:rsidRPr="0091040C">
        <w:rPr>
          <w:rFonts w:ascii="Helvetica" w:hAnsi="Helvetica" w:cs="Times New Roman"/>
          <w:sz w:val="20"/>
          <w:szCs w:val="20"/>
        </w:rPr>
        <w:t xml:space="preserve">to identify </w:t>
      </w:r>
      <w:r w:rsidR="00B206EF" w:rsidRPr="0091040C">
        <w:rPr>
          <w:rFonts w:ascii="Helvetica" w:hAnsi="Helvetica" w:cs="Times New Roman"/>
          <w:sz w:val="20"/>
          <w:szCs w:val="20"/>
        </w:rPr>
        <w:t xml:space="preserve">potentially </w:t>
      </w:r>
      <w:r w:rsidRPr="0091040C">
        <w:rPr>
          <w:rFonts w:ascii="Helvetica" w:hAnsi="Helvetica" w:cs="Times New Roman"/>
          <w:sz w:val="20"/>
          <w:szCs w:val="20"/>
        </w:rPr>
        <w:t xml:space="preserve">clinically important differences in organism identification, quantification, sensitivity and culture growth between the </w:t>
      </w:r>
      <w:r w:rsidR="002123C5" w:rsidRPr="0091040C">
        <w:rPr>
          <w:rFonts w:ascii="Helvetica" w:hAnsi="Helvetica" w:cs="Times New Roman"/>
          <w:sz w:val="20"/>
          <w:szCs w:val="20"/>
        </w:rPr>
        <w:t xml:space="preserve">clinicians’ interpretation’ of </w:t>
      </w:r>
      <w:r w:rsidRPr="0091040C">
        <w:rPr>
          <w:rFonts w:ascii="Helvetica" w:hAnsi="Helvetica" w:cs="Times New Roman"/>
          <w:sz w:val="20"/>
          <w:szCs w:val="20"/>
        </w:rPr>
        <w:t>Flexicult</w:t>
      </w:r>
      <w:r w:rsidRPr="0091040C">
        <w:rPr>
          <w:rFonts w:ascii="Helvetica" w:hAnsi="Helvetica" w:cs="Times New Roman"/>
          <w:sz w:val="20"/>
          <w:szCs w:val="20"/>
          <w:vertAlign w:val="superscript"/>
        </w:rPr>
        <w:t>TM</w:t>
      </w:r>
      <w:r w:rsidRPr="0091040C">
        <w:rPr>
          <w:rFonts w:ascii="Helvetica" w:hAnsi="Helvetica" w:cs="Times New Roman"/>
          <w:sz w:val="20"/>
          <w:szCs w:val="20"/>
        </w:rPr>
        <w:t xml:space="preserve">, </w:t>
      </w:r>
      <w:r w:rsidR="00F2373A" w:rsidRPr="0091040C">
        <w:rPr>
          <w:rFonts w:ascii="Helvetica" w:hAnsi="Helvetica" w:cs="Times New Roman"/>
          <w:sz w:val="20"/>
          <w:szCs w:val="20"/>
        </w:rPr>
        <w:t>laboratory</w:t>
      </w:r>
      <w:r w:rsidR="00314075" w:rsidRPr="0091040C">
        <w:rPr>
          <w:rFonts w:ascii="Helvetica" w:hAnsi="Helvetica" w:cs="Times New Roman"/>
          <w:sz w:val="20"/>
          <w:szCs w:val="20"/>
        </w:rPr>
        <w:t xml:space="preserve"> </w:t>
      </w:r>
      <w:r w:rsidRPr="0091040C">
        <w:rPr>
          <w:rFonts w:ascii="Helvetica" w:hAnsi="Helvetica" w:cs="Times New Roman"/>
          <w:sz w:val="20"/>
          <w:szCs w:val="20"/>
        </w:rPr>
        <w:t>staff</w:t>
      </w:r>
      <w:r w:rsidR="00314075" w:rsidRPr="0091040C">
        <w:rPr>
          <w:rFonts w:ascii="Helvetica" w:hAnsi="Helvetica" w:cs="Times New Roman"/>
          <w:sz w:val="20"/>
          <w:szCs w:val="20"/>
        </w:rPr>
        <w:t>’</w:t>
      </w:r>
      <w:r w:rsidRPr="0091040C">
        <w:rPr>
          <w:rFonts w:ascii="Helvetica" w:hAnsi="Helvetica" w:cs="Times New Roman"/>
          <w:sz w:val="20"/>
          <w:szCs w:val="20"/>
        </w:rPr>
        <w:t xml:space="preserve"> inter</w:t>
      </w:r>
      <w:r w:rsidR="0059247E" w:rsidRPr="0091040C">
        <w:rPr>
          <w:rFonts w:ascii="Helvetica" w:hAnsi="Helvetica" w:cs="Times New Roman"/>
          <w:sz w:val="20"/>
          <w:szCs w:val="20"/>
        </w:rPr>
        <w:t xml:space="preserve">pretations of photographs of </w:t>
      </w:r>
      <w:r w:rsidRPr="0091040C">
        <w:rPr>
          <w:rFonts w:ascii="Helvetica" w:hAnsi="Helvetica" w:cs="Times New Roman"/>
          <w:sz w:val="20"/>
          <w:szCs w:val="20"/>
        </w:rPr>
        <w:t>Flexicult</w:t>
      </w:r>
      <w:r w:rsidRPr="0091040C">
        <w:rPr>
          <w:rFonts w:ascii="Helvetica" w:hAnsi="Helvetica" w:cs="Times New Roman"/>
          <w:sz w:val="20"/>
          <w:szCs w:val="20"/>
          <w:vertAlign w:val="superscript"/>
        </w:rPr>
        <w:t>TM</w:t>
      </w:r>
      <w:r w:rsidRPr="0091040C">
        <w:rPr>
          <w:rFonts w:ascii="Helvetica" w:hAnsi="Helvetica" w:cs="Times New Roman"/>
          <w:sz w:val="20"/>
          <w:szCs w:val="20"/>
        </w:rPr>
        <w:t>, and the laboratory culture results.</w:t>
      </w:r>
    </w:p>
    <w:p w14:paraId="28A4EDBC" w14:textId="77777777" w:rsidR="00497B38" w:rsidRPr="0091040C" w:rsidRDefault="00497B38" w:rsidP="00497B38">
      <w:pPr>
        <w:spacing w:line="480" w:lineRule="auto"/>
        <w:rPr>
          <w:rFonts w:ascii="Helvetica" w:hAnsi="Helvetica" w:cs="Times New Roman"/>
          <w:sz w:val="20"/>
          <w:szCs w:val="20"/>
        </w:rPr>
      </w:pPr>
      <w:r w:rsidRPr="0091040C">
        <w:rPr>
          <w:rFonts w:ascii="Helvetica" w:hAnsi="Helvetica" w:cs="Times New Roman"/>
          <w:i/>
          <w:sz w:val="20"/>
          <w:szCs w:val="20"/>
        </w:rPr>
        <w:t>Urine sampling procedures</w:t>
      </w:r>
      <w:r w:rsidRPr="0091040C">
        <w:rPr>
          <w:rFonts w:ascii="Helvetica" w:hAnsi="Helvetica" w:cs="Times New Roman"/>
          <w:b/>
          <w:i/>
          <w:sz w:val="20"/>
          <w:szCs w:val="20"/>
        </w:rPr>
        <w:br/>
      </w:r>
      <w:r w:rsidRPr="0091040C">
        <w:rPr>
          <w:rFonts w:ascii="Helvetica" w:hAnsi="Helvetica" w:cs="Times New Roman"/>
          <w:sz w:val="20"/>
          <w:szCs w:val="20"/>
        </w:rPr>
        <w:t>Flexicult</w:t>
      </w:r>
      <w:r w:rsidRPr="0091040C">
        <w:rPr>
          <w:rFonts w:ascii="Helvetica" w:hAnsi="Helvetica" w:cs="Times New Roman"/>
          <w:sz w:val="20"/>
          <w:szCs w:val="20"/>
          <w:vertAlign w:val="superscript"/>
        </w:rPr>
        <w:t>TM</w:t>
      </w:r>
      <w:r w:rsidRPr="0091040C">
        <w:rPr>
          <w:rFonts w:ascii="Helvetica" w:hAnsi="Helvetica" w:cs="Times New Roman"/>
          <w:sz w:val="20"/>
          <w:szCs w:val="20"/>
        </w:rPr>
        <w:t xml:space="preserve"> is </w:t>
      </w:r>
      <w:r w:rsidR="007C0933" w:rsidRPr="0091040C">
        <w:rPr>
          <w:rFonts w:ascii="Helvetica" w:hAnsi="Helvetica" w:cs="Times New Roman"/>
          <w:sz w:val="20"/>
          <w:szCs w:val="20"/>
        </w:rPr>
        <w:t xml:space="preserve">designed </w:t>
      </w:r>
      <w:r w:rsidR="00F4619C" w:rsidRPr="0091040C">
        <w:rPr>
          <w:rFonts w:ascii="Helvetica" w:hAnsi="Helvetica" w:cs="Times New Roman"/>
          <w:sz w:val="20"/>
          <w:szCs w:val="20"/>
        </w:rPr>
        <w:t>for use</w:t>
      </w:r>
      <w:r w:rsidR="007C0933" w:rsidRPr="0091040C">
        <w:rPr>
          <w:rFonts w:ascii="Helvetica" w:hAnsi="Helvetica" w:cs="Times New Roman"/>
          <w:sz w:val="20"/>
          <w:szCs w:val="20"/>
        </w:rPr>
        <w:t xml:space="preserve"> in primary care and is </w:t>
      </w:r>
      <w:r w:rsidRPr="0091040C">
        <w:rPr>
          <w:rFonts w:ascii="Helvetica" w:hAnsi="Helvetica" w:cs="Times New Roman"/>
          <w:sz w:val="20"/>
          <w:szCs w:val="20"/>
        </w:rPr>
        <w:t>essentially an agar plate with higher sides</w:t>
      </w:r>
      <w:r w:rsidR="00AA505E" w:rsidRPr="0091040C">
        <w:rPr>
          <w:rFonts w:ascii="Helvetica" w:hAnsi="Helvetica" w:cs="Times New Roman"/>
          <w:sz w:val="20"/>
          <w:szCs w:val="20"/>
        </w:rPr>
        <w:t xml:space="preserve">, divided into </w:t>
      </w:r>
      <w:r w:rsidR="00632098" w:rsidRPr="0091040C">
        <w:rPr>
          <w:rFonts w:ascii="Helvetica" w:hAnsi="Helvetica" w:cs="Times New Roman"/>
          <w:sz w:val="20"/>
          <w:szCs w:val="20"/>
        </w:rPr>
        <w:t xml:space="preserve">six </w:t>
      </w:r>
      <w:r w:rsidR="00AA505E" w:rsidRPr="0091040C">
        <w:rPr>
          <w:rFonts w:ascii="Helvetica" w:hAnsi="Helvetica" w:cs="Times New Roman"/>
          <w:sz w:val="20"/>
          <w:szCs w:val="20"/>
        </w:rPr>
        <w:t>sections and</w:t>
      </w:r>
      <w:r w:rsidRPr="0091040C">
        <w:rPr>
          <w:rFonts w:ascii="Helvetica" w:hAnsi="Helvetica" w:cs="Times New Roman"/>
          <w:sz w:val="20"/>
          <w:szCs w:val="20"/>
        </w:rPr>
        <w:t xml:space="preserve"> </w:t>
      </w:r>
      <w:r w:rsidR="007C0933" w:rsidRPr="0091040C">
        <w:rPr>
          <w:rFonts w:ascii="Helvetica" w:hAnsi="Helvetica" w:cs="Times New Roman"/>
          <w:sz w:val="20"/>
          <w:szCs w:val="20"/>
        </w:rPr>
        <w:t>containing chromogenic agar. In</w:t>
      </w:r>
      <w:r w:rsidRPr="0091040C">
        <w:rPr>
          <w:rFonts w:ascii="Helvetica" w:hAnsi="Helvetica" w:cs="Times New Roman"/>
          <w:sz w:val="20"/>
          <w:szCs w:val="20"/>
        </w:rPr>
        <w:t xml:space="preserve"> addition to culturing bacteria (</w:t>
      </w:r>
      <w:r w:rsidR="00F4619C" w:rsidRPr="0091040C">
        <w:rPr>
          <w:rFonts w:ascii="Helvetica" w:hAnsi="Helvetica" w:cs="Times New Roman"/>
          <w:sz w:val="20"/>
          <w:szCs w:val="20"/>
        </w:rPr>
        <w:t xml:space="preserve">for </w:t>
      </w:r>
      <w:r w:rsidRPr="0091040C">
        <w:rPr>
          <w:rFonts w:ascii="Helvetica" w:hAnsi="Helvetica" w:cs="Times New Roman"/>
          <w:sz w:val="20"/>
          <w:szCs w:val="20"/>
        </w:rPr>
        <w:lastRenderedPageBreak/>
        <w:t>bacteria</w:t>
      </w:r>
      <w:r w:rsidR="007C0933" w:rsidRPr="0091040C">
        <w:rPr>
          <w:rFonts w:ascii="Helvetica" w:hAnsi="Helvetica" w:cs="Times New Roman"/>
          <w:sz w:val="20"/>
          <w:szCs w:val="20"/>
        </w:rPr>
        <w:t>l</w:t>
      </w:r>
      <w:r w:rsidRPr="0091040C">
        <w:rPr>
          <w:rFonts w:ascii="Helvetica" w:hAnsi="Helvetica" w:cs="Times New Roman"/>
          <w:sz w:val="20"/>
          <w:szCs w:val="20"/>
        </w:rPr>
        <w:t xml:space="preserve"> </w:t>
      </w:r>
      <w:r w:rsidR="00CB7B9A" w:rsidRPr="0091040C">
        <w:rPr>
          <w:rFonts w:ascii="Helvetica" w:hAnsi="Helvetica" w:cs="Times New Roman"/>
          <w:sz w:val="20"/>
          <w:szCs w:val="20"/>
        </w:rPr>
        <w:t>quantific</w:t>
      </w:r>
      <w:r w:rsidR="00215325" w:rsidRPr="0091040C">
        <w:rPr>
          <w:rFonts w:ascii="Helvetica" w:hAnsi="Helvetica" w:cs="Times New Roman"/>
          <w:sz w:val="20"/>
          <w:szCs w:val="20"/>
        </w:rPr>
        <w:t>ation</w:t>
      </w:r>
      <w:r w:rsidRPr="0091040C">
        <w:rPr>
          <w:rFonts w:ascii="Helvetica" w:hAnsi="Helvetica" w:cs="Times New Roman"/>
          <w:sz w:val="20"/>
          <w:szCs w:val="20"/>
        </w:rPr>
        <w:t>)</w:t>
      </w:r>
      <w:r w:rsidR="007C0933" w:rsidRPr="0091040C">
        <w:rPr>
          <w:rFonts w:ascii="Helvetica" w:hAnsi="Helvetica" w:cs="Times New Roman"/>
          <w:sz w:val="20"/>
          <w:szCs w:val="20"/>
        </w:rPr>
        <w:t xml:space="preserve"> and identification</w:t>
      </w:r>
      <w:r w:rsidRPr="0091040C">
        <w:rPr>
          <w:rFonts w:ascii="Helvetica" w:hAnsi="Helvetica" w:cs="Times New Roman"/>
          <w:sz w:val="20"/>
          <w:szCs w:val="20"/>
        </w:rPr>
        <w:t xml:space="preserve">, antibiotic susceptibility of bacteria </w:t>
      </w:r>
      <w:r w:rsidR="00A40FE4" w:rsidRPr="0091040C">
        <w:rPr>
          <w:rFonts w:ascii="Helvetica" w:hAnsi="Helvetica" w:cs="Times New Roman"/>
          <w:sz w:val="20"/>
          <w:szCs w:val="20"/>
        </w:rPr>
        <w:t>is</w:t>
      </w:r>
      <w:r w:rsidRPr="0091040C">
        <w:rPr>
          <w:rFonts w:ascii="Helvetica" w:hAnsi="Helvetica" w:cs="Times New Roman"/>
          <w:sz w:val="20"/>
          <w:szCs w:val="20"/>
        </w:rPr>
        <w:t xml:space="preserve"> determined through observing growth in sections which are impregnated with commonly used antibiotics (figure 1</w:t>
      </w:r>
      <w:r w:rsidR="007F3261" w:rsidRPr="0091040C">
        <w:rPr>
          <w:rFonts w:ascii="Helvetica" w:hAnsi="Helvetica" w:cs="Times New Roman"/>
          <w:sz w:val="20"/>
          <w:szCs w:val="20"/>
        </w:rPr>
        <w:t>)</w:t>
      </w:r>
      <w:r w:rsidRPr="0091040C">
        <w:rPr>
          <w:rFonts w:ascii="Helvetica" w:hAnsi="Helvetica" w:cs="Times New Roman"/>
          <w:sz w:val="20"/>
          <w:szCs w:val="20"/>
        </w:rPr>
        <w:t xml:space="preserve">. </w:t>
      </w:r>
      <w:r w:rsidR="00F4619C" w:rsidRPr="0091040C">
        <w:rPr>
          <w:rFonts w:ascii="Helvetica" w:hAnsi="Helvetica" w:cs="Times New Roman"/>
          <w:sz w:val="20"/>
          <w:szCs w:val="20"/>
        </w:rPr>
        <w:t>The</w:t>
      </w:r>
      <w:r w:rsidRPr="0091040C">
        <w:rPr>
          <w:rFonts w:ascii="Helvetica" w:hAnsi="Helvetica" w:cs="Times New Roman"/>
          <w:sz w:val="20"/>
          <w:szCs w:val="20"/>
        </w:rPr>
        <w:t xml:space="preserve"> large</w:t>
      </w:r>
      <w:r w:rsidR="00A40FE4" w:rsidRPr="0091040C">
        <w:rPr>
          <w:rFonts w:ascii="Helvetica" w:hAnsi="Helvetica" w:cs="Times New Roman"/>
          <w:sz w:val="20"/>
          <w:szCs w:val="20"/>
        </w:rPr>
        <w:t>r</w:t>
      </w:r>
      <w:r w:rsidRPr="0091040C">
        <w:rPr>
          <w:rFonts w:ascii="Helvetica" w:hAnsi="Helvetica" w:cs="Times New Roman"/>
          <w:sz w:val="20"/>
          <w:szCs w:val="20"/>
        </w:rPr>
        <w:t xml:space="preserve"> section </w:t>
      </w:r>
      <w:r w:rsidR="00F4619C" w:rsidRPr="0091040C">
        <w:rPr>
          <w:rFonts w:ascii="Helvetica" w:hAnsi="Helvetica" w:cs="Times New Roman"/>
          <w:sz w:val="20"/>
          <w:szCs w:val="20"/>
        </w:rPr>
        <w:t xml:space="preserve">allows </w:t>
      </w:r>
      <w:r w:rsidRPr="0091040C">
        <w:rPr>
          <w:rFonts w:ascii="Helvetica" w:hAnsi="Helvetica" w:cs="Times New Roman"/>
          <w:sz w:val="20"/>
          <w:szCs w:val="20"/>
        </w:rPr>
        <w:t xml:space="preserve">for </w:t>
      </w:r>
      <w:r w:rsidR="007C0933" w:rsidRPr="0091040C">
        <w:rPr>
          <w:rFonts w:ascii="Helvetica" w:hAnsi="Helvetica" w:cs="Times New Roman"/>
          <w:sz w:val="20"/>
          <w:szCs w:val="20"/>
        </w:rPr>
        <w:t>identification and</w:t>
      </w:r>
      <w:r w:rsidRPr="0091040C">
        <w:rPr>
          <w:rFonts w:ascii="Helvetica" w:hAnsi="Helvetica" w:cs="Times New Roman"/>
          <w:sz w:val="20"/>
          <w:szCs w:val="20"/>
        </w:rPr>
        <w:t xml:space="preserve"> quantitative analysis</w:t>
      </w:r>
      <w:r w:rsidR="00A40FE4" w:rsidRPr="0091040C">
        <w:rPr>
          <w:rFonts w:ascii="Helvetica" w:hAnsi="Helvetica" w:cs="Times New Roman"/>
          <w:sz w:val="20"/>
          <w:szCs w:val="20"/>
        </w:rPr>
        <w:t>,</w:t>
      </w:r>
      <w:r w:rsidRPr="0091040C">
        <w:rPr>
          <w:rFonts w:ascii="Helvetica" w:hAnsi="Helvetica" w:cs="Times New Roman"/>
          <w:sz w:val="20"/>
          <w:szCs w:val="20"/>
        </w:rPr>
        <w:t xml:space="preserve"> and 5 smaller sections for anti</w:t>
      </w:r>
      <w:r w:rsidR="00AE4B8B">
        <w:rPr>
          <w:rFonts w:ascii="Helvetica" w:hAnsi="Helvetica" w:cs="Times New Roman"/>
          <w:sz w:val="20"/>
          <w:szCs w:val="20"/>
        </w:rPr>
        <w:t xml:space="preserve">biotic susceptibility testing. </w:t>
      </w:r>
      <w:r w:rsidRPr="0091040C">
        <w:rPr>
          <w:rFonts w:ascii="Helvetica" w:hAnsi="Helvetica" w:cs="Times New Roman"/>
          <w:sz w:val="20"/>
          <w:szCs w:val="20"/>
        </w:rPr>
        <w:t xml:space="preserve">There were differences in the antibiotics </w:t>
      </w:r>
      <w:r w:rsidR="007C0933" w:rsidRPr="0091040C">
        <w:rPr>
          <w:rFonts w:ascii="Helvetica" w:hAnsi="Helvetica" w:cs="Times New Roman"/>
          <w:sz w:val="20"/>
          <w:szCs w:val="20"/>
        </w:rPr>
        <w:t>incorporated into</w:t>
      </w:r>
      <w:r w:rsidR="0059247E" w:rsidRPr="0091040C">
        <w:rPr>
          <w:rFonts w:ascii="Helvetica" w:hAnsi="Helvetica" w:cs="Times New Roman"/>
          <w:sz w:val="20"/>
          <w:szCs w:val="20"/>
        </w:rPr>
        <w:t xml:space="preserve"> </w:t>
      </w:r>
      <w:r w:rsidR="00A40FE4" w:rsidRPr="0091040C">
        <w:rPr>
          <w:rFonts w:ascii="Helvetica" w:hAnsi="Helvetica" w:cs="Times New Roman"/>
          <w:sz w:val="20"/>
          <w:szCs w:val="20"/>
        </w:rPr>
        <w:t xml:space="preserve">the </w:t>
      </w:r>
      <w:r w:rsidRPr="0091040C">
        <w:rPr>
          <w:rFonts w:ascii="Helvetica" w:hAnsi="Helvetica" w:cs="Times New Roman"/>
          <w:sz w:val="20"/>
          <w:szCs w:val="20"/>
        </w:rPr>
        <w:t>Flexicult</w:t>
      </w:r>
      <w:r w:rsidRPr="0091040C">
        <w:rPr>
          <w:rFonts w:ascii="Helvetica" w:hAnsi="Helvetica" w:cs="Times New Roman"/>
          <w:sz w:val="20"/>
          <w:szCs w:val="20"/>
          <w:vertAlign w:val="superscript"/>
        </w:rPr>
        <w:t>TM</w:t>
      </w:r>
      <w:r w:rsidRPr="0091040C">
        <w:rPr>
          <w:rFonts w:ascii="Helvetica" w:hAnsi="Helvetica" w:cs="Times New Roman"/>
          <w:sz w:val="20"/>
          <w:szCs w:val="20"/>
        </w:rPr>
        <w:t xml:space="preserve"> </w:t>
      </w:r>
      <w:r w:rsidR="00A40FE4" w:rsidRPr="0091040C">
        <w:rPr>
          <w:rFonts w:ascii="Helvetica" w:hAnsi="Helvetica" w:cs="Times New Roman"/>
          <w:sz w:val="20"/>
          <w:szCs w:val="20"/>
        </w:rPr>
        <w:t xml:space="preserve">POCT to reflect local </w:t>
      </w:r>
      <w:r w:rsidRPr="0091040C">
        <w:rPr>
          <w:rFonts w:ascii="Helvetica" w:hAnsi="Helvetica" w:cs="Times New Roman"/>
          <w:sz w:val="20"/>
          <w:szCs w:val="20"/>
        </w:rPr>
        <w:t>differences in antibiot</w:t>
      </w:r>
      <w:r w:rsidR="00412225" w:rsidRPr="0091040C">
        <w:rPr>
          <w:rFonts w:ascii="Helvetica" w:hAnsi="Helvetica" w:cs="Times New Roman"/>
          <w:sz w:val="20"/>
          <w:szCs w:val="20"/>
        </w:rPr>
        <w:t xml:space="preserve">ics </w:t>
      </w:r>
      <w:r w:rsidR="00F03491" w:rsidRPr="0091040C">
        <w:rPr>
          <w:rFonts w:ascii="Helvetica" w:hAnsi="Helvetica" w:cs="Times New Roman"/>
          <w:sz w:val="20"/>
          <w:szCs w:val="20"/>
        </w:rPr>
        <w:t xml:space="preserve">commonly prescribed </w:t>
      </w:r>
      <w:r w:rsidR="00412225" w:rsidRPr="0091040C">
        <w:rPr>
          <w:rFonts w:ascii="Helvetica" w:hAnsi="Helvetica" w:cs="Times New Roman"/>
          <w:sz w:val="20"/>
          <w:szCs w:val="20"/>
        </w:rPr>
        <w:t xml:space="preserve">for UTI in each </w:t>
      </w:r>
      <w:r w:rsidR="00AA505E" w:rsidRPr="0091040C">
        <w:rPr>
          <w:rFonts w:ascii="Helvetica" w:hAnsi="Helvetica" w:cs="Times New Roman"/>
          <w:sz w:val="20"/>
          <w:szCs w:val="20"/>
        </w:rPr>
        <w:t xml:space="preserve">country </w:t>
      </w:r>
      <w:r w:rsidR="00412225" w:rsidRPr="0091040C">
        <w:rPr>
          <w:rFonts w:ascii="Helvetica" w:hAnsi="Helvetica" w:cs="Times New Roman"/>
          <w:sz w:val="20"/>
          <w:szCs w:val="20"/>
        </w:rPr>
        <w:t>(figure</w:t>
      </w:r>
      <w:r w:rsidR="00786A6F" w:rsidRPr="0091040C">
        <w:rPr>
          <w:rFonts w:ascii="Helvetica" w:hAnsi="Helvetica" w:cs="Times New Roman"/>
          <w:sz w:val="20"/>
          <w:szCs w:val="20"/>
        </w:rPr>
        <w:t xml:space="preserve"> 1</w:t>
      </w:r>
      <w:r w:rsidRPr="0091040C">
        <w:rPr>
          <w:rFonts w:ascii="Helvetica" w:hAnsi="Helvetica" w:cs="Times New Roman"/>
          <w:sz w:val="20"/>
          <w:szCs w:val="20"/>
        </w:rPr>
        <w:t xml:space="preserve">). </w:t>
      </w:r>
    </w:p>
    <w:p w14:paraId="5A4118C4" w14:textId="0D91FA98" w:rsidR="00632098" w:rsidRPr="0091040C" w:rsidRDefault="002B7BC5" w:rsidP="00497B38">
      <w:pPr>
        <w:spacing w:line="480" w:lineRule="auto"/>
        <w:rPr>
          <w:rFonts w:ascii="Helvetica" w:hAnsi="Helvetica" w:cs="Times New Roman"/>
          <w:sz w:val="20"/>
          <w:szCs w:val="20"/>
        </w:rPr>
      </w:pPr>
      <w:r w:rsidRPr="0091040C">
        <w:rPr>
          <w:rFonts w:ascii="Helvetica" w:hAnsi="Helvetica" w:cs="Times New Roman"/>
          <w:sz w:val="20"/>
          <w:szCs w:val="20"/>
        </w:rPr>
        <w:t xml:space="preserve">Clinicians </w:t>
      </w:r>
      <w:r w:rsidR="0059247E" w:rsidRPr="0091040C">
        <w:rPr>
          <w:rFonts w:ascii="Helvetica" w:hAnsi="Helvetica" w:cs="Times New Roman"/>
          <w:sz w:val="20"/>
          <w:szCs w:val="20"/>
        </w:rPr>
        <w:t>were provided with</w:t>
      </w:r>
      <w:r w:rsidRPr="0091040C">
        <w:rPr>
          <w:rFonts w:ascii="Helvetica" w:hAnsi="Helvetica" w:cs="Times New Roman"/>
          <w:sz w:val="20"/>
          <w:szCs w:val="20"/>
        </w:rPr>
        <w:t xml:space="preserve"> face to face training as part of POETIC, a </w:t>
      </w:r>
      <w:r w:rsidR="00A93E3B" w:rsidRPr="0091040C">
        <w:rPr>
          <w:rFonts w:ascii="Helvetica" w:hAnsi="Helvetica" w:cs="Times New Roman"/>
          <w:sz w:val="20"/>
          <w:szCs w:val="20"/>
        </w:rPr>
        <w:t xml:space="preserve">country specific </w:t>
      </w:r>
      <w:r w:rsidRPr="0091040C">
        <w:rPr>
          <w:rFonts w:ascii="Helvetica" w:hAnsi="Helvetica" w:cs="Times New Roman"/>
          <w:sz w:val="20"/>
          <w:szCs w:val="20"/>
        </w:rPr>
        <w:t>Flexicult</w:t>
      </w:r>
      <w:r w:rsidR="001E009F" w:rsidRPr="0091040C">
        <w:rPr>
          <w:rFonts w:ascii="Helvetica" w:hAnsi="Helvetica" w:cs="Times New Roman"/>
          <w:sz w:val="20"/>
          <w:szCs w:val="20"/>
          <w:vertAlign w:val="superscript"/>
        </w:rPr>
        <w:t>TM</w:t>
      </w:r>
      <w:r w:rsidRPr="0091040C">
        <w:rPr>
          <w:rFonts w:ascii="Helvetica" w:hAnsi="Helvetica" w:cs="Times New Roman"/>
          <w:sz w:val="20"/>
          <w:szCs w:val="20"/>
        </w:rPr>
        <w:t xml:space="preserve"> brochure, and a poster to aid interpretation of results</w:t>
      </w:r>
      <w:r w:rsidR="001E009F" w:rsidRPr="0091040C">
        <w:rPr>
          <w:rFonts w:ascii="Helvetica" w:hAnsi="Helvetica" w:cs="Times New Roman"/>
          <w:sz w:val="20"/>
          <w:szCs w:val="20"/>
        </w:rPr>
        <w:t>.</w:t>
      </w:r>
      <w:r w:rsidRPr="0091040C">
        <w:rPr>
          <w:rFonts w:ascii="Helvetica" w:hAnsi="Helvetica" w:cs="Times New Roman"/>
          <w:sz w:val="20"/>
          <w:szCs w:val="20"/>
        </w:rPr>
        <w:t xml:space="preserve"> </w:t>
      </w:r>
      <w:r w:rsidR="00497B38" w:rsidRPr="0091040C">
        <w:rPr>
          <w:rFonts w:ascii="Helvetica" w:hAnsi="Helvetica" w:cs="Times New Roman"/>
          <w:sz w:val="20"/>
          <w:szCs w:val="20"/>
        </w:rPr>
        <w:t>M</w:t>
      </w:r>
      <w:r w:rsidR="00786A6F" w:rsidRPr="0091040C">
        <w:rPr>
          <w:rFonts w:ascii="Helvetica" w:hAnsi="Helvetica" w:cs="Times New Roman"/>
          <w:sz w:val="20"/>
          <w:szCs w:val="20"/>
        </w:rPr>
        <w:t>id-stream urine</w:t>
      </w:r>
      <w:r w:rsidR="00497B38" w:rsidRPr="0091040C">
        <w:rPr>
          <w:rFonts w:ascii="Helvetica" w:hAnsi="Helvetica" w:cs="Times New Roman"/>
          <w:sz w:val="20"/>
          <w:szCs w:val="20"/>
        </w:rPr>
        <w:t xml:space="preserve"> samples were </w:t>
      </w:r>
      <w:r w:rsidR="007C0933" w:rsidRPr="0091040C">
        <w:rPr>
          <w:rFonts w:ascii="Helvetica" w:hAnsi="Helvetica" w:cs="Times New Roman"/>
          <w:sz w:val="20"/>
          <w:szCs w:val="20"/>
        </w:rPr>
        <w:t>collected using a urine collection device (</w:t>
      </w:r>
      <w:proofErr w:type="spellStart"/>
      <w:r w:rsidR="007C0933" w:rsidRPr="0091040C">
        <w:rPr>
          <w:rFonts w:ascii="Helvetica" w:hAnsi="Helvetica" w:cs="Times New Roman"/>
          <w:sz w:val="20"/>
          <w:szCs w:val="20"/>
        </w:rPr>
        <w:t>Peezy</w:t>
      </w:r>
      <w:proofErr w:type="spellEnd"/>
      <w:r w:rsidR="004277F8" w:rsidRPr="0091040C">
        <w:rPr>
          <w:rFonts w:ascii="Helvetica" w:hAnsi="Helvetica" w:cs="Times New Roman"/>
          <w:sz w:val="20"/>
          <w:szCs w:val="20"/>
        </w:rPr>
        <w:t xml:space="preserve"> Midstream</w:t>
      </w:r>
      <w:r w:rsidR="00632098" w:rsidRPr="0091040C">
        <w:rPr>
          <w:rFonts w:ascii="Helvetica" w:hAnsi="Helvetica" w:cs="Times New Roman"/>
          <w:sz w:val="20"/>
          <w:szCs w:val="20"/>
        </w:rPr>
        <w:t>,</w:t>
      </w:r>
      <w:r w:rsidR="004277F8" w:rsidRPr="0091040C">
        <w:rPr>
          <w:rFonts w:ascii="Helvetica" w:hAnsi="Helvetica" w:cs="Times New Roman"/>
          <w:sz w:val="20"/>
          <w:szCs w:val="20"/>
        </w:rPr>
        <w:t xml:space="preserve"> Forte Medical</w:t>
      </w:r>
      <w:r w:rsidR="007C0933" w:rsidRPr="0091040C">
        <w:rPr>
          <w:rFonts w:ascii="Helvetica" w:hAnsi="Helvetica" w:cs="Times New Roman"/>
          <w:sz w:val="20"/>
          <w:szCs w:val="20"/>
        </w:rPr>
        <w:t>)</w:t>
      </w:r>
      <w:r w:rsidRPr="0091040C">
        <w:rPr>
          <w:rFonts w:ascii="Helvetica" w:hAnsi="Helvetica" w:cs="Times New Roman"/>
          <w:sz w:val="20"/>
          <w:szCs w:val="20"/>
        </w:rPr>
        <w:t xml:space="preserve">. A fraction of this urine sample was sent </w:t>
      </w:r>
      <w:r w:rsidR="001A2792" w:rsidRPr="0091040C">
        <w:rPr>
          <w:rFonts w:ascii="Helvetica" w:hAnsi="Helvetica" w:cs="Times New Roman"/>
          <w:sz w:val="20"/>
          <w:szCs w:val="20"/>
        </w:rPr>
        <w:t>by post</w:t>
      </w:r>
      <w:r w:rsidR="00F03491" w:rsidRPr="0091040C">
        <w:rPr>
          <w:rFonts w:ascii="Helvetica" w:hAnsi="Helvetica" w:cs="Times New Roman"/>
          <w:sz w:val="20"/>
          <w:szCs w:val="20"/>
        </w:rPr>
        <w:t xml:space="preserve"> </w:t>
      </w:r>
      <w:r w:rsidRPr="0091040C">
        <w:rPr>
          <w:rFonts w:ascii="Helvetica" w:hAnsi="Helvetica" w:cs="Times New Roman"/>
          <w:sz w:val="20"/>
          <w:szCs w:val="20"/>
        </w:rPr>
        <w:t xml:space="preserve">in a </w:t>
      </w:r>
      <w:r w:rsidR="001E009F" w:rsidRPr="0091040C">
        <w:rPr>
          <w:rFonts w:ascii="Helvetica" w:hAnsi="Helvetica" w:cs="Times New Roman"/>
          <w:sz w:val="20"/>
          <w:szCs w:val="20"/>
        </w:rPr>
        <w:t>u</w:t>
      </w:r>
      <w:r w:rsidRPr="0091040C">
        <w:rPr>
          <w:rFonts w:ascii="Helvetica" w:hAnsi="Helvetica" w:cs="Times New Roman"/>
          <w:sz w:val="20"/>
          <w:szCs w:val="20"/>
        </w:rPr>
        <w:t xml:space="preserve">niversal tube </w:t>
      </w:r>
      <w:r w:rsidR="000505D0" w:rsidRPr="0091040C">
        <w:rPr>
          <w:rFonts w:ascii="Helvetica" w:hAnsi="Helvetica" w:cs="Times New Roman"/>
          <w:sz w:val="20"/>
          <w:szCs w:val="20"/>
        </w:rPr>
        <w:t>containing b</w:t>
      </w:r>
      <w:r w:rsidR="001A2792" w:rsidRPr="0091040C">
        <w:rPr>
          <w:rFonts w:ascii="Helvetica" w:hAnsi="Helvetica" w:cs="Times New Roman"/>
          <w:sz w:val="20"/>
          <w:szCs w:val="20"/>
        </w:rPr>
        <w:t>oric acid</w:t>
      </w:r>
      <w:r w:rsidRPr="0091040C">
        <w:rPr>
          <w:rFonts w:ascii="Helvetica" w:hAnsi="Helvetica" w:cs="Times New Roman"/>
          <w:sz w:val="20"/>
          <w:szCs w:val="20"/>
        </w:rPr>
        <w:t xml:space="preserve"> </w:t>
      </w:r>
      <w:r w:rsidR="00F03491" w:rsidRPr="0091040C">
        <w:rPr>
          <w:rFonts w:ascii="Helvetica" w:hAnsi="Helvetica" w:cs="Times New Roman"/>
          <w:sz w:val="20"/>
          <w:szCs w:val="20"/>
        </w:rPr>
        <w:t xml:space="preserve">to laboratories assigned to the POETIC study in each country, </w:t>
      </w:r>
      <w:r w:rsidRPr="0091040C">
        <w:rPr>
          <w:rFonts w:ascii="Helvetica" w:hAnsi="Helvetica" w:cs="Times New Roman"/>
          <w:sz w:val="20"/>
          <w:szCs w:val="20"/>
        </w:rPr>
        <w:t>and the rem</w:t>
      </w:r>
      <w:r w:rsidR="008B5BC9" w:rsidRPr="0091040C">
        <w:rPr>
          <w:rFonts w:ascii="Helvetica" w:hAnsi="Helvetica" w:cs="Times New Roman"/>
          <w:sz w:val="20"/>
          <w:szCs w:val="20"/>
        </w:rPr>
        <w:t>ainder was used to inoculate</w:t>
      </w:r>
      <w:r w:rsidRPr="0091040C">
        <w:rPr>
          <w:rFonts w:ascii="Helvetica" w:hAnsi="Helvetica" w:cs="Times New Roman"/>
          <w:sz w:val="20"/>
          <w:szCs w:val="20"/>
        </w:rPr>
        <w:t xml:space="preserve"> </w:t>
      </w:r>
      <w:r w:rsidR="00F03491" w:rsidRPr="0091040C">
        <w:rPr>
          <w:rFonts w:ascii="Helvetica" w:hAnsi="Helvetica" w:cs="Times New Roman"/>
          <w:sz w:val="20"/>
          <w:szCs w:val="20"/>
        </w:rPr>
        <w:t xml:space="preserve">the </w:t>
      </w:r>
      <w:proofErr w:type="gramStart"/>
      <w:r w:rsidRPr="0091040C">
        <w:rPr>
          <w:rFonts w:ascii="Helvetica" w:hAnsi="Helvetica" w:cs="Times New Roman"/>
          <w:sz w:val="20"/>
          <w:szCs w:val="20"/>
        </w:rPr>
        <w:t>Flexicult</w:t>
      </w:r>
      <w:r w:rsidR="001E009F" w:rsidRPr="0091040C">
        <w:rPr>
          <w:rFonts w:ascii="Helvetica" w:hAnsi="Helvetica" w:cs="Times New Roman"/>
          <w:sz w:val="20"/>
          <w:szCs w:val="20"/>
          <w:vertAlign w:val="superscript"/>
        </w:rPr>
        <w:t>TM</w:t>
      </w:r>
      <w:r w:rsidR="00F03491" w:rsidRPr="0091040C">
        <w:rPr>
          <w:rFonts w:ascii="Helvetica" w:hAnsi="Helvetica" w:cs="Times New Roman"/>
          <w:sz w:val="20"/>
          <w:szCs w:val="20"/>
          <w:vertAlign w:val="superscript"/>
        </w:rPr>
        <w:t xml:space="preserve">  </w:t>
      </w:r>
      <w:r w:rsidR="000953D4" w:rsidRPr="0091040C">
        <w:rPr>
          <w:rFonts w:ascii="Helvetica" w:hAnsi="Helvetica" w:cs="Times New Roman"/>
          <w:sz w:val="20"/>
          <w:szCs w:val="20"/>
        </w:rPr>
        <w:t>POCT</w:t>
      </w:r>
      <w:proofErr w:type="gramEnd"/>
      <w:r w:rsidR="000953D4" w:rsidRPr="0091040C">
        <w:rPr>
          <w:rFonts w:ascii="Helvetica" w:hAnsi="Helvetica" w:cs="Times New Roman"/>
          <w:sz w:val="20"/>
          <w:szCs w:val="20"/>
        </w:rPr>
        <w:t xml:space="preserve"> </w:t>
      </w:r>
      <w:r w:rsidR="00F03491" w:rsidRPr="0091040C">
        <w:rPr>
          <w:rFonts w:ascii="Helvetica" w:hAnsi="Helvetica" w:cs="Times New Roman"/>
          <w:sz w:val="20"/>
          <w:szCs w:val="20"/>
        </w:rPr>
        <w:t>culture plate</w:t>
      </w:r>
      <w:r w:rsidR="000505D0" w:rsidRPr="0091040C">
        <w:rPr>
          <w:rFonts w:ascii="Helvetica" w:hAnsi="Helvetica" w:cs="Times New Roman"/>
          <w:sz w:val="20"/>
          <w:szCs w:val="20"/>
        </w:rPr>
        <w:t>.</w:t>
      </w:r>
      <w:r w:rsidR="00497B38" w:rsidRPr="0091040C">
        <w:rPr>
          <w:rFonts w:ascii="Helvetica" w:hAnsi="Helvetica" w:cs="Times New Roman"/>
          <w:sz w:val="20"/>
          <w:szCs w:val="20"/>
        </w:rPr>
        <w:t xml:space="preserve"> </w:t>
      </w:r>
      <w:r w:rsidR="0059247E" w:rsidRPr="0091040C">
        <w:rPr>
          <w:rFonts w:ascii="Helvetica" w:hAnsi="Helvetica" w:cs="Times New Roman"/>
          <w:sz w:val="20"/>
          <w:szCs w:val="20"/>
        </w:rPr>
        <w:t>The results of</w:t>
      </w:r>
      <w:r w:rsidR="00497B38" w:rsidRPr="0091040C">
        <w:rPr>
          <w:rFonts w:ascii="Helvetica" w:hAnsi="Helvetica" w:cs="Times New Roman"/>
          <w:sz w:val="20"/>
          <w:szCs w:val="20"/>
        </w:rPr>
        <w:t xml:space="preserve"> Flexicult</w:t>
      </w:r>
      <w:r w:rsidR="00497B38" w:rsidRPr="0091040C">
        <w:rPr>
          <w:rFonts w:ascii="Helvetica" w:hAnsi="Helvetica" w:cs="Times New Roman"/>
          <w:sz w:val="20"/>
          <w:szCs w:val="20"/>
          <w:vertAlign w:val="superscript"/>
        </w:rPr>
        <w:t>TM</w:t>
      </w:r>
      <w:r w:rsidR="00497B38" w:rsidRPr="0091040C">
        <w:rPr>
          <w:rFonts w:ascii="Helvetica" w:hAnsi="Helvetica" w:cs="Times New Roman"/>
          <w:sz w:val="20"/>
          <w:szCs w:val="20"/>
        </w:rPr>
        <w:t xml:space="preserve"> were documented </w:t>
      </w:r>
      <w:r w:rsidRPr="0091040C">
        <w:rPr>
          <w:rFonts w:ascii="Helvetica" w:hAnsi="Helvetica" w:cs="Times New Roman"/>
          <w:sz w:val="20"/>
          <w:szCs w:val="20"/>
        </w:rPr>
        <w:t>by the clinician</w:t>
      </w:r>
      <w:r w:rsidR="002123C5" w:rsidRPr="0091040C">
        <w:rPr>
          <w:rFonts w:ascii="Helvetica" w:hAnsi="Helvetica" w:cs="Times New Roman"/>
          <w:sz w:val="20"/>
          <w:szCs w:val="20"/>
        </w:rPr>
        <w:t>s</w:t>
      </w:r>
      <w:r w:rsidRPr="0091040C">
        <w:rPr>
          <w:rFonts w:ascii="Helvetica" w:hAnsi="Helvetica" w:cs="Times New Roman"/>
          <w:sz w:val="20"/>
          <w:szCs w:val="20"/>
        </w:rPr>
        <w:t xml:space="preserve"> </w:t>
      </w:r>
      <w:r w:rsidR="00497B38" w:rsidRPr="0091040C">
        <w:rPr>
          <w:rFonts w:ascii="Helvetica" w:hAnsi="Helvetica" w:cs="Times New Roman"/>
          <w:sz w:val="20"/>
          <w:szCs w:val="20"/>
        </w:rPr>
        <w:t>after overnight (18-24 hours)</w:t>
      </w:r>
      <w:r w:rsidR="0059247E" w:rsidRPr="0091040C">
        <w:rPr>
          <w:rFonts w:ascii="Helvetica" w:hAnsi="Helvetica" w:cs="Times New Roman"/>
          <w:sz w:val="20"/>
          <w:szCs w:val="20"/>
        </w:rPr>
        <w:t xml:space="preserve"> incubation in a </w:t>
      </w:r>
      <w:r w:rsidRPr="0091040C">
        <w:rPr>
          <w:rFonts w:ascii="Helvetica" w:hAnsi="Helvetica" w:cs="Times New Roman"/>
          <w:sz w:val="20"/>
          <w:szCs w:val="20"/>
        </w:rPr>
        <w:t>benchtop</w:t>
      </w:r>
      <w:r w:rsidR="00497B38" w:rsidRPr="0091040C">
        <w:rPr>
          <w:rFonts w:ascii="Helvetica" w:hAnsi="Helvetica" w:cs="Times New Roman"/>
          <w:sz w:val="20"/>
          <w:szCs w:val="20"/>
        </w:rPr>
        <w:t xml:space="preserve"> incubator at a temperature of 35-37ºC. Bacterial growth was recorded (i.e. no growth, pure growth or mixed growth of an organism, and if mixed growth then presence of predominant growth). Bacterial quantification assessed the number of colonies (less than 15 colonies, 15-20 colonies corresponding to ≤10e3 CFU/mL, ≥20 colonies corresponding to 10e3-10e5 CFU/mL, semi confluent/confluent growth corresponding to ≥10e5 CFU/mL). </w:t>
      </w:r>
      <w:r w:rsidR="004E02D0">
        <w:rPr>
          <w:rFonts w:ascii="Helvetica" w:hAnsi="Helvetica" w:cs="Times New Roman"/>
          <w:sz w:val="20"/>
          <w:szCs w:val="20"/>
        </w:rPr>
        <w:t>Clinicians compared the c</w:t>
      </w:r>
      <w:r w:rsidR="00497B38" w:rsidRPr="0091040C">
        <w:rPr>
          <w:rFonts w:ascii="Helvetica" w:hAnsi="Helvetica" w:cs="Times New Roman"/>
          <w:sz w:val="20"/>
          <w:szCs w:val="20"/>
        </w:rPr>
        <w:t>olony colour and morphology</w:t>
      </w:r>
      <w:r w:rsidR="004E02D0">
        <w:rPr>
          <w:rFonts w:ascii="Helvetica" w:hAnsi="Helvetica" w:cs="Times New Roman"/>
          <w:sz w:val="20"/>
          <w:szCs w:val="20"/>
        </w:rPr>
        <w:t xml:space="preserve"> of their plate to </w:t>
      </w:r>
      <w:r w:rsidR="00DF4234">
        <w:rPr>
          <w:rFonts w:ascii="Helvetica" w:hAnsi="Helvetica" w:cs="Times New Roman"/>
          <w:sz w:val="20"/>
          <w:szCs w:val="20"/>
        </w:rPr>
        <w:t xml:space="preserve">example illustrations in </w:t>
      </w:r>
      <w:r w:rsidR="004E02D0">
        <w:rPr>
          <w:rFonts w:ascii="Helvetica" w:hAnsi="Helvetica" w:cs="Times New Roman"/>
          <w:sz w:val="20"/>
          <w:szCs w:val="20"/>
        </w:rPr>
        <w:t xml:space="preserve">the </w:t>
      </w:r>
      <w:r w:rsidR="004E02D0" w:rsidRPr="0091040C">
        <w:rPr>
          <w:rFonts w:ascii="Helvetica" w:hAnsi="Helvetica" w:cs="Times New Roman"/>
          <w:sz w:val="20"/>
          <w:szCs w:val="20"/>
        </w:rPr>
        <w:t>Flexicult</w:t>
      </w:r>
      <w:r w:rsidR="004E02D0" w:rsidRPr="0091040C">
        <w:rPr>
          <w:rFonts w:ascii="Helvetica" w:hAnsi="Helvetica" w:cs="Times New Roman"/>
          <w:sz w:val="20"/>
          <w:szCs w:val="20"/>
          <w:vertAlign w:val="superscript"/>
        </w:rPr>
        <w:t>TM</w:t>
      </w:r>
      <w:r w:rsidR="004E02D0" w:rsidRPr="0091040C">
        <w:rPr>
          <w:rFonts w:ascii="Helvetica" w:hAnsi="Helvetica" w:cs="Times New Roman"/>
          <w:sz w:val="20"/>
          <w:szCs w:val="20"/>
        </w:rPr>
        <w:t xml:space="preserve"> brochure</w:t>
      </w:r>
      <w:r w:rsidR="00DF4234">
        <w:rPr>
          <w:rFonts w:ascii="Helvetica" w:hAnsi="Helvetica" w:cs="Times New Roman"/>
          <w:sz w:val="20"/>
          <w:szCs w:val="20"/>
        </w:rPr>
        <w:t xml:space="preserve"> to identify </w:t>
      </w:r>
      <w:r w:rsidR="00497B38" w:rsidRPr="0091040C">
        <w:rPr>
          <w:rFonts w:ascii="Helvetica" w:hAnsi="Helvetica" w:cs="Times New Roman"/>
          <w:sz w:val="20"/>
          <w:szCs w:val="20"/>
        </w:rPr>
        <w:t>organism</w:t>
      </w:r>
      <w:r w:rsidR="00DF4234">
        <w:rPr>
          <w:rFonts w:ascii="Helvetica" w:hAnsi="Helvetica" w:cs="Times New Roman"/>
          <w:sz w:val="20"/>
          <w:szCs w:val="20"/>
        </w:rPr>
        <w:t xml:space="preserve">s. </w:t>
      </w:r>
      <w:r w:rsidR="00497B38" w:rsidRPr="0091040C">
        <w:rPr>
          <w:rFonts w:ascii="Helvetica" w:hAnsi="Helvetica" w:cs="Times New Roman"/>
          <w:sz w:val="20"/>
          <w:szCs w:val="20"/>
        </w:rPr>
        <w:t xml:space="preserve">If bacterial growth was assessed at ≥10e3 </w:t>
      </w:r>
      <w:r w:rsidR="00314075" w:rsidRPr="0091040C">
        <w:rPr>
          <w:rFonts w:ascii="Helvetica" w:hAnsi="Helvetica" w:cs="Times New Roman"/>
          <w:sz w:val="20"/>
          <w:szCs w:val="20"/>
        </w:rPr>
        <w:t>CFU/mL</w:t>
      </w:r>
      <w:r w:rsidR="00497B38" w:rsidRPr="0091040C">
        <w:rPr>
          <w:rFonts w:ascii="Helvetica" w:hAnsi="Helvetica" w:cs="Times New Roman"/>
          <w:sz w:val="20"/>
          <w:szCs w:val="20"/>
        </w:rPr>
        <w:t xml:space="preserve"> of a pure or predominant organism, </w:t>
      </w:r>
      <w:r w:rsidRPr="0091040C">
        <w:rPr>
          <w:rFonts w:ascii="Helvetica" w:hAnsi="Helvetica" w:cs="Times New Roman"/>
          <w:sz w:val="20"/>
          <w:szCs w:val="20"/>
        </w:rPr>
        <w:t xml:space="preserve">then clinicians were asked to record </w:t>
      </w:r>
      <w:r w:rsidR="00497B38" w:rsidRPr="0091040C">
        <w:rPr>
          <w:rFonts w:ascii="Helvetica" w:hAnsi="Helvetica" w:cs="Times New Roman"/>
          <w:sz w:val="20"/>
          <w:szCs w:val="20"/>
        </w:rPr>
        <w:t>antibiotic susceptibility</w:t>
      </w:r>
      <w:r w:rsidR="002123C5" w:rsidRPr="0091040C">
        <w:rPr>
          <w:rFonts w:ascii="Helvetica" w:hAnsi="Helvetica" w:cs="Times New Roman"/>
          <w:sz w:val="20"/>
          <w:szCs w:val="20"/>
        </w:rPr>
        <w:t>.</w:t>
      </w:r>
      <w:r w:rsidR="00497B38" w:rsidRPr="0091040C">
        <w:rPr>
          <w:rFonts w:ascii="Helvetica" w:hAnsi="Helvetica" w:cs="Times New Roman"/>
          <w:sz w:val="20"/>
          <w:szCs w:val="20"/>
        </w:rPr>
        <w:t xml:space="preserve"> </w:t>
      </w:r>
      <w:r w:rsidR="00AA505E" w:rsidRPr="0091040C">
        <w:rPr>
          <w:rFonts w:ascii="Helvetica" w:hAnsi="Helvetica" w:cs="Times New Roman"/>
          <w:sz w:val="20"/>
          <w:szCs w:val="20"/>
        </w:rPr>
        <w:t>Clinicians also photographed the Flexicult</w:t>
      </w:r>
      <w:r w:rsidR="00AA505E" w:rsidRPr="0091040C">
        <w:rPr>
          <w:rFonts w:ascii="Helvetica" w:hAnsi="Helvetica" w:cs="Times New Roman"/>
          <w:sz w:val="20"/>
          <w:szCs w:val="20"/>
          <w:vertAlign w:val="superscript"/>
        </w:rPr>
        <w:t>TM</w:t>
      </w:r>
      <w:r w:rsidR="00AA505E" w:rsidRPr="0091040C">
        <w:rPr>
          <w:rFonts w:ascii="Helvetica" w:hAnsi="Helvetica" w:cs="Times New Roman"/>
          <w:sz w:val="20"/>
          <w:szCs w:val="20"/>
        </w:rPr>
        <w:t xml:space="preserve"> plates</w:t>
      </w:r>
      <w:r w:rsidR="00F50CD4" w:rsidRPr="0091040C">
        <w:rPr>
          <w:rFonts w:ascii="Helvetica" w:hAnsi="Helvetica" w:cs="Times New Roman"/>
          <w:sz w:val="20"/>
          <w:szCs w:val="20"/>
        </w:rPr>
        <w:t xml:space="preserve"> at the time of their assessment</w:t>
      </w:r>
      <w:r w:rsidR="00AA505E" w:rsidRPr="0091040C">
        <w:rPr>
          <w:rFonts w:ascii="Helvetica" w:hAnsi="Helvetica" w:cs="Times New Roman"/>
          <w:sz w:val="20"/>
          <w:szCs w:val="20"/>
        </w:rPr>
        <w:t>.</w:t>
      </w:r>
    </w:p>
    <w:p w14:paraId="0E5FFE62" w14:textId="04FE4749" w:rsidR="00497B38" w:rsidRPr="0091040C" w:rsidRDefault="00497B38" w:rsidP="00497B38">
      <w:pPr>
        <w:spacing w:line="480" w:lineRule="auto"/>
        <w:rPr>
          <w:rFonts w:ascii="Helvetica" w:hAnsi="Helvetica" w:cs="Times New Roman"/>
          <w:sz w:val="20"/>
          <w:szCs w:val="20"/>
        </w:rPr>
      </w:pPr>
      <w:r w:rsidRPr="0091040C">
        <w:rPr>
          <w:rFonts w:ascii="Helvetica" w:hAnsi="Helvetica" w:cs="Times New Roman"/>
          <w:sz w:val="20"/>
          <w:szCs w:val="20"/>
        </w:rPr>
        <w:br/>
      </w:r>
      <w:r w:rsidR="00F50CD4" w:rsidRPr="0091040C">
        <w:rPr>
          <w:rFonts w:ascii="Helvetica" w:hAnsi="Helvetica" w:cs="Times New Roman"/>
          <w:sz w:val="20"/>
          <w:szCs w:val="20"/>
        </w:rPr>
        <w:t xml:space="preserve">The photographs </w:t>
      </w:r>
      <w:r w:rsidR="008B5BC9" w:rsidRPr="0091040C">
        <w:rPr>
          <w:rFonts w:ascii="Helvetica" w:hAnsi="Helvetica" w:cs="Times New Roman"/>
          <w:sz w:val="20"/>
          <w:szCs w:val="20"/>
        </w:rPr>
        <w:t xml:space="preserve">of </w:t>
      </w:r>
      <w:r w:rsidRPr="0091040C">
        <w:rPr>
          <w:rFonts w:ascii="Helvetica" w:hAnsi="Helvetica" w:cs="Times New Roman"/>
          <w:sz w:val="20"/>
          <w:szCs w:val="20"/>
        </w:rPr>
        <w:t>Flexicult</w:t>
      </w:r>
      <w:r w:rsidRPr="0091040C">
        <w:rPr>
          <w:rFonts w:ascii="Helvetica" w:hAnsi="Helvetica" w:cs="Times New Roman"/>
          <w:sz w:val="20"/>
          <w:szCs w:val="20"/>
          <w:vertAlign w:val="superscript"/>
        </w:rPr>
        <w:t>TM</w:t>
      </w:r>
      <w:r w:rsidRPr="0091040C">
        <w:rPr>
          <w:rFonts w:ascii="Helvetica" w:hAnsi="Helvetica" w:cs="Times New Roman"/>
          <w:sz w:val="20"/>
          <w:szCs w:val="20"/>
        </w:rPr>
        <w:t xml:space="preserve"> </w:t>
      </w:r>
      <w:r w:rsidR="008B5BC9" w:rsidRPr="0091040C">
        <w:rPr>
          <w:rFonts w:ascii="Helvetica" w:hAnsi="Helvetica" w:cs="Times New Roman"/>
          <w:sz w:val="20"/>
          <w:szCs w:val="20"/>
        </w:rPr>
        <w:t xml:space="preserve">plates </w:t>
      </w:r>
      <w:r w:rsidRPr="0091040C">
        <w:rPr>
          <w:rFonts w:ascii="Helvetica" w:hAnsi="Helvetica" w:cs="Times New Roman"/>
          <w:sz w:val="20"/>
          <w:szCs w:val="20"/>
        </w:rPr>
        <w:t xml:space="preserve">were interpreted </w:t>
      </w:r>
      <w:r w:rsidR="00A93E3B" w:rsidRPr="0091040C">
        <w:rPr>
          <w:rFonts w:ascii="Helvetica" w:hAnsi="Helvetica" w:cs="Times New Roman"/>
          <w:sz w:val="20"/>
          <w:szCs w:val="20"/>
        </w:rPr>
        <w:t xml:space="preserve">independently </w:t>
      </w:r>
      <w:r w:rsidRPr="0091040C">
        <w:rPr>
          <w:rFonts w:ascii="Helvetica" w:hAnsi="Helvetica" w:cs="Times New Roman"/>
          <w:sz w:val="20"/>
          <w:szCs w:val="20"/>
        </w:rPr>
        <w:t xml:space="preserve">by </w:t>
      </w:r>
      <w:r w:rsidR="00A93E3B" w:rsidRPr="0091040C">
        <w:rPr>
          <w:rFonts w:ascii="Helvetica" w:hAnsi="Helvetica" w:cs="Times New Roman"/>
          <w:sz w:val="20"/>
          <w:szCs w:val="20"/>
        </w:rPr>
        <w:t>two experienced UK microbiology</w:t>
      </w:r>
      <w:r w:rsidRPr="0091040C">
        <w:rPr>
          <w:rFonts w:ascii="Helvetica" w:hAnsi="Helvetica" w:cs="Times New Roman"/>
          <w:sz w:val="20"/>
          <w:szCs w:val="20"/>
        </w:rPr>
        <w:t xml:space="preserve"> laboratory staff </w:t>
      </w:r>
      <w:r w:rsidR="000505D0" w:rsidRPr="0091040C">
        <w:rPr>
          <w:rFonts w:ascii="Helvetica" w:hAnsi="Helvetica" w:cs="Times New Roman"/>
          <w:sz w:val="20"/>
          <w:szCs w:val="20"/>
        </w:rPr>
        <w:t>blind to clinicians</w:t>
      </w:r>
      <w:r w:rsidR="00D437B9">
        <w:rPr>
          <w:rFonts w:ascii="Helvetica" w:hAnsi="Helvetica" w:cs="Times New Roman"/>
          <w:sz w:val="20"/>
          <w:szCs w:val="20"/>
        </w:rPr>
        <w:t>’</w:t>
      </w:r>
      <w:r w:rsidRPr="0091040C">
        <w:rPr>
          <w:rFonts w:ascii="Helvetica" w:hAnsi="Helvetica" w:cs="Times New Roman"/>
          <w:sz w:val="20"/>
          <w:szCs w:val="20"/>
        </w:rPr>
        <w:t xml:space="preserve"> interpretations and laboratory culture findings.</w:t>
      </w:r>
      <w:r w:rsidR="003A15A4" w:rsidRPr="0091040C">
        <w:rPr>
          <w:rFonts w:ascii="Helvetica" w:hAnsi="Helvetica" w:cs="Times New Roman"/>
          <w:sz w:val="20"/>
          <w:szCs w:val="20"/>
        </w:rPr>
        <w:t xml:space="preserve"> The staff conferred </w:t>
      </w:r>
      <w:r w:rsidR="00354B35" w:rsidRPr="0091040C">
        <w:rPr>
          <w:rFonts w:ascii="Helvetica" w:hAnsi="Helvetica" w:cs="Times New Roman"/>
          <w:sz w:val="20"/>
          <w:szCs w:val="20"/>
        </w:rPr>
        <w:t xml:space="preserve">with a senior microbiologist </w:t>
      </w:r>
      <w:r w:rsidR="003A15A4" w:rsidRPr="0091040C">
        <w:rPr>
          <w:rFonts w:ascii="Helvetica" w:hAnsi="Helvetica" w:cs="Times New Roman"/>
          <w:sz w:val="20"/>
          <w:szCs w:val="20"/>
        </w:rPr>
        <w:t xml:space="preserve">when discrepancies occurred </w:t>
      </w:r>
      <w:r w:rsidR="00354B35" w:rsidRPr="0091040C">
        <w:rPr>
          <w:rFonts w:ascii="Helvetica" w:hAnsi="Helvetica" w:cs="Times New Roman"/>
          <w:sz w:val="20"/>
          <w:szCs w:val="20"/>
        </w:rPr>
        <w:t xml:space="preserve">(&lt;1%, usually due to poor resolution in pictures) </w:t>
      </w:r>
      <w:r w:rsidR="003A15A4" w:rsidRPr="0091040C">
        <w:rPr>
          <w:rFonts w:ascii="Helvetica" w:hAnsi="Helvetica" w:cs="Times New Roman"/>
          <w:sz w:val="20"/>
          <w:szCs w:val="20"/>
        </w:rPr>
        <w:t xml:space="preserve">and </w:t>
      </w:r>
      <w:r w:rsidR="00354B35" w:rsidRPr="0091040C">
        <w:rPr>
          <w:rFonts w:ascii="Helvetica" w:hAnsi="Helvetica" w:cs="Times New Roman"/>
          <w:sz w:val="20"/>
          <w:szCs w:val="20"/>
        </w:rPr>
        <w:t>provided a consensus result</w:t>
      </w:r>
      <w:r w:rsidRPr="0091040C">
        <w:rPr>
          <w:rFonts w:ascii="Helvetica" w:hAnsi="Helvetica" w:cs="Times New Roman"/>
          <w:sz w:val="20"/>
          <w:szCs w:val="20"/>
        </w:rPr>
        <w:t>.</w:t>
      </w:r>
      <w:r w:rsidR="005E0D5E" w:rsidRPr="0091040C">
        <w:rPr>
          <w:rFonts w:ascii="Helvetica" w:hAnsi="Helvetica" w:cs="Times New Roman"/>
          <w:sz w:val="20"/>
          <w:szCs w:val="20"/>
        </w:rPr>
        <w:t xml:space="preserve"> </w:t>
      </w:r>
    </w:p>
    <w:p w14:paraId="13AEADA7" w14:textId="77777777" w:rsidR="00354B35" w:rsidRPr="00744462" w:rsidRDefault="00354B35" w:rsidP="00497B38">
      <w:pPr>
        <w:spacing w:line="480" w:lineRule="auto"/>
        <w:rPr>
          <w:rFonts w:ascii="Helvetica" w:hAnsi="Helvetica" w:cs="Times New Roman"/>
          <w:color w:val="000000"/>
          <w:sz w:val="20"/>
          <w:szCs w:val="20"/>
        </w:rPr>
      </w:pPr>
      <w:r w:rsidRPr="00744462">
        <w:rPr>
          <w:rFonts w:ascii="Helvetica" w:hAnsi="Helvetica" w:cs="Times New Roman"/>
          <w:color w:val="000000"/>
          <w:sz w:val="20"/>
          <w:szCs w:val="20"/>
        </w:rPr>
        <w:t xml:space="preserve">Urine samples were processed </w:t>
      </w:r>
      <w:r w:rsidR="003F3CFF" w:rsidRPr="00744462">
        <w:rPr>
          <w:rFonts w:ascii="Helvetica" w:hAnsi="Helvetica" w:cs="Times New Roman"/>
          <w:color w:val="000000"/>
          <w:sz w:val="20"/>
          <w:szCs w:val="20"/>
        </w:rPr>
        <w:t>by culturing 50uL of urine onto chromogenic agar (</w:t>
      </w:r>
      <w:proofErr w:type="spellStart"/>
      <w:r w:rsidR="003F3CFF" w:rsidRPr="00744462">
        <w:rPr>
          <w:rFonts w:ascii="Helvetica" w:hAnsi="Helvetica" w:cs="Times New Roman"/>
          <w:color w:val="000000"/>
          <w:sz w:val="20"/>
          <w:szCs w:val="20"/>
        </w:rPr>
        <w:t>Oxoid</w:t>
      </w:r>
      <w:proofErr w:type="spellEnd"/>
      <w:r w:rsidR="003F3CFF" w:rsidRPr="00744462">
        <w:rPr>
          <w:rFonts w:ascii="Helvetica" w:hAnsi="Helvetica" w:cs="Times New Roman"/>
          <w:color w:val="000000"/>
          <w:sz w:val="20"/>
          <w:szCs w:val="20"/>
        </w:rPr>
        <w:t>, Poole, UK) using spiral plater (Don Whitley, UK).</w:t>
      </w:r>
      <w:r w:rsidR="00807C90" w:rsidRPr="00744462">
        <w:rPr>
          <w:rFonts w:ascii="Helvetica" w:hAnsi="Helvetica" w:cs="Times New Roman"/>
          <w:color w:val="000000"/>
          <w:sz w:val="20"/>
          <w:szCs w:val="20"/>
        </w:rPr>
        <w:t xml:space="preserve"> Plates were incubated for 20 hours</w:t>
      </w:r>
      <w:r w:rsidR="003F3CFF" w:rsidRPr="00744462">
        <w:rPr>
          <w:rFonts w:ascii="Helvetica" w:hAnsi="Helvetica" w:cs="Times New Roman"/>
          <w:color w:val="000000"/>
          <w:sz w:val="20"/>
          <w:szCs w:val="20"/>
        </w:rPr>
        <w:t xml:space="preserve"> then viable counts of all species present taken. Pure or predominant organisms were identified using MALDI-</w:t>
      </w:r>
      <w:proofErr w:type="spellStart"/>
      <w:r w:rsidR="003F3CFF" w:rsidRPr="00744462">
        <w:rPr>
          <w:rFonts w:ascii="Helvetica" w:hAnsi="Helvetica" w:cs="Times New Roman"/>
          <w:color w:val="000000"/>
          <w:sz w:val="20"/>
          <w:szCs w:val="20"/>
        </w:rPr>
        <w:t>ToF</w:t>
      </w:r>
      <w:proofErr w:type="spellEnd"/>
      <w:r w:rsidR="003F3CFF" w:rsidRPr="00744462">
        <w:rPr>
          <w:rFonts w:ascii="Helvetica" w:hAnsi="Helvetica" w:cs="Times New Roman"/>
          <w:color w:val="000000"/>
          <w:sz w:val="20"/>
          <w:szCs w:val="20"/>
        </w:rPr>
        <w:t xml:space="preserve"> (Bruker, </w:t>
      </w:r>
      <w:r w:rsidR="003F3CFF" w:rsidRPr="00744462">
        <w:rPr>
          <w:rFonts w:ascii="Helvetica" w:hAnsi="Helvetica" w:cs="Times New Roman"/>
          <w:color w:val="000000"/>
          <w:sz w:val="20"/>
          <w:szCs w:val="20"/>
        </w:rPr>
        <w:lastRenderedPageBreak/>
        <w:t xml:space="preserve">Germany) with the background organism identification estimated from the chromogenic agar. </w:t>
      </w:r>
      <w:r w:rsidR="00807C90" w:rsidRPr="00744462">
        <w:rPr>
          <w:rFonts w:ascii="Helvetica" w:hAnsi="Helvetica" w:cs="Times New Roman"/>
          <w:color w:val="000000"/>
          <w:sz w:val="20"/>
          <w:szCs w:val="20"/>
        </w:rPr>
        <w:t>Antibiotic s</w:t>
      </w:r>
      <w:r w:rsidR="003F3CFF" w:rsidRPr="00744462">
        <w:rPr>
          <w:rFonts w:ascii="Helvetica" w:hAnsi="Helvetica" w:cs="Times New Roman"/>
          <w:color w:val="000000"/>
          <w:sz w:val="20"/>
          <w:szCs w:val="20"/>
        </w:rPr>
        <w:t>usceptibilit</w:t>
      </w:r>
      <w:r w:rsidR="00807C90" w:rsidRPr="00744462">
        <w:rPr>
          <w:rFonts w:ascii="Helvetica" w:hAnsi="Helvetica" w:cs="Times New Roman"/>
          <w:color w:val="000000"/>
          <w:sz w:val="20"/>
          <w:szCs w:val="20"/>
        </w:rPr>
        <w:t xml:space="preserve">y </w:t>
      </w:r>
      <w:r w:rsidR="003F3CFF" w:rsidRPr="00744462">
        <w:rPr>
          <w:rFonts w:ascii="Helvetica" w:hAnsi="Helvetica" w:cs="Times New Roman"/>
          <w:color w:val="000000"/>
          <w:sz w:val="20"/>
          <w:szCs w:val="20"/>
        </w:rPr>
        <w:t>w</w:t>
      </w:r>
      <w:r w:rsidR="004C7548" w:rsidRPr="00744462">
        <w:rPr>
          <w:rFonts w:ascii="Helvetica" w:hAnsi="Helvetica" w:cs="Times New Roman"/>
          <w:color w:val="000000"/>
          <w:sz w:val="20"/>
          <w:szCs w:val="20"/>
        </w:rPr>
        <w:t>as</w:t>
      </w:r>
      <w:r w:rsidR="003F3CFF" w:rsidRPr="00744462">
        <w:rPr>
          <w:rFonts w:ascii="Helvetica" w:hAnsi="Helvetica" w:cs="Times New Roman"/>
          <w:color w:val="000000"/>
          <w:sz w:val="20"/>
          <w:szCs w:val="20"/>
        </w:rPr>
        <w:t xml:space="preserve"> determined by </w:t>
      </w:r>
      <w:r w:rsidR="00220DFE" w:rsidRPr="00744462">
        <w:rPr>
          <w:rFonts w:ascii="Helvetica" w:hAnsi="Helvetica" w:cs="Times New Roman"/>
          <w:color w:val="000000"/>
          <w:sz w:val="20"/>
          <w:szCs w:val="20"/>
        </w:rPr>
        <w:t>agar dilution</w:t>
      </w:r>
      <w:r w:rsidR="003F3CFF" w:rsidRPr="00744462">
        <w:rPr>
          <w:rFonts w:ascii="Helvetica" w:hAnsi="Helvetica" w:cs="Times New Roman"/>
          <w:color w:val="000000"/>
          <w:sz w:val="20"/>
          <w:szCs w:val="20"/>
        </w:rPr>
        <w:t xml:space="preserve"> using</w:t>
      </w:r>
      <w:r w:rsidR="00220DFE" w:rsidRPr="00744462">
        <w:rPr>
          <w:rFonts w:ascii="Helvetica" w:hAnsi="Helvetica" w:cs="Times New Roman"/>
          <w:color w:val="000000"/>
          <w:sz w:val="20"/>
          <w:szCs w:val="20"/>
        </w:rPr>
        <w:t xml:space="preserve"> EUCAST breakpoints.</w:t>
      </w:r>
      <w:r w:rsidR="003F3CFF" w:rsidRPr="00744462">
        <w:rPr>
          <w:rFonts w:ascii="Helvetica" w:hAnsi="Helvetica" w:cs="Times New Roman"/>
          <w:color w:val="000000"/>
          <w:sz w:val="20"/>
          <w:szCs w:val="20"/>
        </w:rPr>
        <w:t xml:space="preserve">    </w:t>
      </w:r>
      <w:r w:rsidRPr="00744462">
        <w:rPr>
          <w:rFonts w:ascii="Helvetica" w:hAnsi="Helvetica" w:cs="Times New Roman"/>
          <w:color w:val="000000"/>
          <w:sz w:val="20"/>
          <w:szCs w:val="20"/>
        </w:rPr>
        <w:t xml:space="preserve"> </w:t>
      </w:r>
    </w:p>
    <w:p w14:paraId="2F488E0D" w14:textId="77777777" w:rsidR="00796B01" w:rsidRPr="0091040C" w:rsidRDefault="00497B38" w:rsidP="00497B38">
      <w:pPr>
        <w:spacing w:line="480" w:lineRule="auto"/>
        <w:rPr>
          <w:rFonts w:ascii="Helvetica" w:hAnsi="Helvetica" w:cs="Times New Roman"/>
          <w:sz w:val="20"/>
          <w:szCs w:val="20"/>
        </w:rPr>
      </w:pPr>
      <w:r w:rsidRPr="0091040C">
        <w:rPr>
          <w:rFonts w:ascii="Helvetica" w:hAnsi="Helvetica" w:cs="Times New Roman"/>
          <w:i/>
          <w:sz w:val="20"/>
          <w:szCs w:val="20"/>
        </w:rPr>
        <w:t>Definition of positive UTIs</w:t>
      </w:r>
      <w:r w:rsidRPr="0091040C">
        <w:rPr>
          <w:rFonts w:ascii="Helvetica" w:hAnsi="Helvetica" w:cs="Times New Roman"/>
          <w:b/>
          <w:i/>
          <w:sz w:val="20"/>
          <w:szCs w:val="20"/>
        </w:rPr>
        <w:br/>
      </w:r>
      <w:r w:rsidRPr="0091040C">
        <w:rPr>
          <w:rFonts w:ascii="Helvetica" w:hAnsi="Helvetica" w:cs="Times New Roman"/>
          <w:sz w:val="20"/>
          <w:szCs w:val="20"/>
        </w:rPr>
        <w:t xml:space="preserve">There is currently no </w:t>
      </w:r>
      <w:r w:rsidR="00354B35" w:rsidRPr="0091040C">
        <w:rPr>
          <w:rFonts w:ascii="Helvetica" w:hAnsi="Helvetica" w:cs="Times New Roman"/>
          <w:sz w:val="20"/>
          <w:szCs w:val="20"/>
        </w:rPr>
        <w:t xml:space="preserve">strict </w:t>
      </w:r>
      <w:r w:rsidRPr="0091040C">
        <w:rPr>
          <w:rFonts w:ascii="Helvetica" w:hAnsi="Helvetica" w:cs="Times New Roman"/>
          <w:sz w:val="20"/>
          <w:szCs w:val="20"/>
        </w:rPr>
        <w:t>consensus concerning thresholds for a laboratory definition of a UTI. Therefore, several common definitions for a positive microbiological UTI diagnosis were considered</w:t>
      </w:r>
      <w:r w:rsidR="00F4619C" w:rsidRPr="0091040C">
        <w:rPr>
          <w:rFonts w:ascii="Helvetica" w:hAnsi="Helvetica" w:cs="Times New Roman"/>
          <w:sz w:val="20"/>
          <w:szCs w:val="20"/>
        </w:rPr>
        <w:t xml:space="preserve"> for this analysis</w:t>
      </w:r>
      <w:r w:rsidRPr="0091040C">
        <w:rPr>
          <w:rFonts w:ascii="Helvetica" w:hAnsi="Helvetica" w:cs="Times New Roman"/>
          <w:sz w:val="20"/>
          <w:szCs w:val="20"/>
        </w:rPr>
        <w:t>.</w:t>
      </w:r>
      <w:r w:rsidR="00796B01" w:rsidRPr="0091040C">
        <w:rPr>
          <w:rFonts w:ascii="Helvetica" w:hAnsi="Helvetica" w:cs="Times New Roman"/>
          <w:sz w:val="20"/>
          <w:szCs w:val="20"/>
        </w:rPr>
        <w:t xml:space="preserve"> </w:t>
      </w:r>
    </w:p>
    <w:p w14:paraId="0D7E4CE9" w14:textId="77777777" w:rsidR="00796B01" w:rsidRPr="0091040C" w:rsidRDefault="00796B01" w:rsidP="00530C36">
      <w:pPr>
        <w:spacing w:after="0" w:line="240" w:lineRule="auto"/>
        <w:jc w:val="both"/>
        <w:rPr>
          <w:rFonts w:ascii="Helvetica" w:hAnsi="Helvetica" w:cs="Times New Roman"/>
          <w:sz w:val="20"/>
          <w:szCs w:val="20"/>
          <w:u w:val="single"/>
        </w:rPr>
      </w:pPr>
      <w:r w:rsidRPr="0091040C">
        <w:rPr>
          <w:rFonts w:ascii="Helvetica" w:hAnsi="Helvetica" w:cs="Times New Roman"/>
          <w:sz w:val="20"/>
          <w:szCs w:val="20"/>
          <w:u w:val="single"/>
        </w:rPr>
        <w:t>Flexicult</w:t>
      </w:r>
      <w:r w:rsidRPr="0091040C">
        <w:rPr>
          <w:rFonts w:ascii="Helvetica" w:hAnsi="Helvetica" w:cs="Times New Roman"/>
          <w:sz w:val="20"/>
          <w:szCs w:val="20"/>
          <w:u w:val="single"/>
          <w:vertAlign w:val="superscript"/>
        </w:rPr>
        <w:t>TM</w:t>
      </w:r>
      <w:r w:rsidR="00860B63" w:rsidRPr="0091040C">
        <w:rPr>
          <w:rFonts w:ascii="Helvetica" w:hAnsi="Helvetica" w:cs="Times New Roman"/>
          <w:sz w:val="20"/>
          <w:szCs w:val="20"/>
          <w:u w:val="single"/>
          <w:vertAlign w:val="superscript"/>
        </w:rPr>
        <w:t xml:space="preserve"> </w:t>
      </w:r>
      <w:r w:rsidR="00860B63" w:rsidRPr="0091040C">
        <w:rPr>
          <w:rFonts w:ascii="Helvetica" w:hAnsi="Helvetica" w:cs="Times New Roman"/>
          <w:sz w:val="20"/>
          <w:szCs w:val="20"/>
          <w:u w:val="single"/>
        </w:rPr>
        <w:t>definition of a UTI</w:t>
      </w:r>
      <w:r w:rsidRPr="0091040C">
        <w:rPr>
          <w:rFonts w:ascii="Helvetica" w:hAnsi="Helvetica" w:cs="Times New Roman"/>
          <w:sz w:val="20"/>
          <w:szCs w:val="20"/>
          <w:u w:val="single"/>
          <w:vertAlign w:val="superscript"/>
        </w:rPr>
        <w:t xml:space="preserve">: </w:t>
      </w:r>
      <w:r w:rsidR="00497B38" w:rsidRPr="0091040C">
        <w:rPr>
          <w:rFonts w:ascii="Helvetica" w:hAnsi="Helvetica" w:cs="Times New Roman"/>
          <w:sz w:val="20"/>
          <w:szCs w:val="20"/>
          <w:u w:val="single"/>
        </w:rPr>
        <w:t xml:space="preserve"> </w:t>
      </w:r>
    </w:p>
    <w:p w14:paraId="4159455C" w14:textId="77777777" w:rsidR="00796B01" w:rsidRPr="0091040C" w:rsidRDefault="00796B01" w:rsidP="00796B01">
      <w:pPr>
        <w:pStyle w:val="Kleurrijkelijst-accent11"/>
        <w:numPr>
          <w:ilvl w:val="1"/>
          <w:numId w:val="20"/>
        </w:numPr>
        <w:spacing w:after="0" w:line="240" w:lineRule="auto"/>
        <w:jc w:val="both"/>
        <w:rPr>
          <w:rFonts w:ascii="Helvetica" w:hAnsi="Helvetica" w:cs="Times New Roman"/>
          <w:sz w:val="20"/>
          <w:szCs w:val="20"/>
        </w:rPr>
      </w:pPr>
      <w:r w:rsidRPr="0091040C">
        <w:rPr>
          <w:rFonts w:ascii="Helvetica" w:hAnsi="Helvetica" w:cs="Times New Roman"/>
          <w:sz w:val="20"/>
          <w:szCs w:val="20"/>
        </w:rPr>
        <w:t xml:space="preserve"> ≥10e3 CFU/mL, pure culture of a urinary tract pathogen</w:t>
      </w:r>
    </w:p>
    <w:p w14:paraId="18C6B58A" w14:textId="77777777" w:rsidR="00860B63" w:rsidRPr="0091040C" w:rsidRDefault="00796B01" w:rsidP="00860B63">
      <w:pPr>
        <w:pStyle w:val="Kleurrijkelijst-accent11"/>
        <w:numPr>
          <w:ilvl w:val="1"/>
          <w:numId w:val="20"/>
        </w:numPr>
        <w:rPr>
          <w:rFonts w:ascii="Helvetica" w:hAnsi="Helvetica" w:cs="Times New Roman"/>
          <w:sz w:val="20"/>
          <w:szCs w:val="20"/>
        </w:rPr>
      </w:pPr>
      <w:r w:rsidRPr="0091040C">
        <w:rPr>
          <w:rFonts w:ascii="Helvetica" w:hAnsi="Helvetica" w:cs="Times New Roman"/>
          <w:sz w:val="20"/>
          <w:szCs w:val="20"/>
        </w:rPr>
        <w:t>≥10e3 CFU/mL, predominant growth of urinary tract pathogen in mixture with normal flora</w:t>
      </w:r>
    </w:p>
    <w:p w14:paraId="1A2F1DD1" w14:textId="77777777" w:rsidR="00860B63" w:rsidRPr="0091040C" w:rsidRDefault="00F07C49" w:rsidP="00530C36">
      <w:pPr>
        <w:spacing w:after="0" w:line="240" w:lineRule="auto"/>
        <w:rPr>
          <w:rFonts w:ascii="Helvetica" w:hAnsi="Helvetica" w:cs="Times New Roman"/>
          <w:sz w:val="20"/>
          <w:szCs w:val="20"/>
          <w:u w:val="single"/>
          <w:lang w:val="en-US"/>
        </w:rPr>
      </w:pPr>
      <w:r w:rsidRPr="0091040C">
        <w:rPr>
          <w:rFonts w:ascii="Helvetica" w:hAnsi="Helvetica" w:cs="Times New Roman"/>
          <w:sz w:val="20"/>
          <w:szCs w:val="20"/>
          <w:u w:val="single"/>
        </w:rPr>
        <w:t xml:space="preserve">Three </w:t>
      </w:r>
      <w:r w:rsidR="00860B63" w:rsidRPr="0091040C">
        <w:rPr>
          <w:rFonts w:ascii="Helvetica" w:hAnsi="Helvetica" w:cs="Times New Roman"/>
          <w:sz w:val="20"/>
          <w:szCs w:val="20"/>
          <w:u w:val="single"/>
        </w:rPr>
        <w:t>Lab</w:t>
      </w:r>
      <w:r w:rsidRPr="0091040C">
        <w:rPr>
          <w:rFonts w:ascii="Helvetica" w:hAnsi="Helvetica" w:cs="Times New Roman"/>
          <w:sz w:val="20"/>
          <w:szCs w:val="20"/>
          <w:u w:val="single"/>
        </w:rPr>
        <w:t>oratory</w:t>
      </w:r>
      <w:r w:rsidR="00860B63" w:rsidRPr="0091040C">
        <w:rPr>
          <w:rFonts w:ascii="Helvetica" w:hAnsi="Helvetica" w:cs="Times New Roman"/>
          <w:sz w:val="20"/>
          <w:szCs w:val="20"/>
          <w:u w:val="single"/>
        </w:rPr>
        <w:t xml:space="preserve"> culture definition</w:t>
      </w:r>
      <w:r w:rsidR="005642C4" w:rsidRPr="0091040C">
        <w:rPr>
          <w:rFonts w:ascii="Helvetica" w:hAnsi="Helvetica" w:cs="Times New Roman"/>
          <w:sz w:val="20"/>
          <w:szCs w:val="20"/>
          <w:u w:val="single"/>
        </w:rPr>
        <w:t>s</w:t>
      </w:r>
      <w:r w:rsidR="00860B63" w:rsidRPr="0091040C">
        <w:rPr>
          <w:rFonts w:ascii="Helvetica" w:hAnsi="Helvetica" w:cs="Times New Roman"/>
          <w:sz w:val="20"/>
          <w:szCs w:val="20"/>
          <w:u w:val="single"/>
        </w:rPr>
        <w:t xml:space="preserve"> of a UTI:</w:t>
      </w:r>
    </w:p>
    <w:p w14:paraId="1C9794A0" w14:textId="77777777" w:rsidR="00860B63" w:rsidRPr="0091040C" w:rsidRDefault="00860B63" w:rsidP="00C15001">
      <w:pPr>
        <w:spacing w:after="0" w:line="240" w:lineRule="auto"/>
        <w:ind w:firstLine="720"/>
        <w:rPr>
          <w:rFonts w:ascii="Helvetica" w:hAnsi="Helvetica" w:cs="Times New Roman"/>
          <w:sz w:val="20"/>
          <w:szCs w:val="20"/>
          <w:lang w:val="en-US"/>
        </w:rPr>
      </w:pPr>
      <w:r w:rsidRPr="0091040C">
        <w:rPr>
          <w:rFonts w:ascii="Helvetica" w:hAnsi="Helvetica" w:cs="Times New Roman"/>
          <w:sz w:val="20"/>
          <w:szCs w:val="20"/>
        </w:rPr>
        <w:t>1. European guidelines definition of a UTI</w:t>
      </w:r>
      <w:r w:rsidR="005B6718" w:rsidRPr="0091040C">
        <w:rPr>
          <w:rFonts w:ascii="Helvetica" w:hAnsi="Helvetica" w:cs="Times New Roman"/>
          <w:sz w:val="20"/>
          <w:szCs w:val="20"/>
        </w:rPr>
        <w:fldChar w:fldCharType="begin" w:fldLock="1"/>
      </w:r>
      <w:r w:rsidR="00E12CED" w:rsidRPr="0091040C">
        <w:rPr>
          <w:rFonts w:ascii="Helvetica" w:hAnsi="Helvetica" w:cs="Times New Roman"/>
          <w:sz w:val="20"/>
          <w:szCs w:val="20"/>
        </w:rPr>
        <w:instrText>ADDIN CSL_CITATION { "citationItems" : [ { "id" : "ITEM-1", "itemData" : { "URL" : "http://uroweb.org/wp-content/uploads/EAU-Guidelines-Urological-Infections-v2.pdf", "accessed" : { "date-parts" : [ [ "2016", "2", "8" ] ] }, "id" : "ITEM-1", "issued" : { "date-parts" : [ [ "0" ] ] }, "note" : "http://uroweb.org/wp-content/uploads/EAU-Guidelines-Urological-Infections-v2.pdf, page 14", "title" : "Guidelines on Urological Infections", "type" : "webpage" }, "uris" : [ "http://www.mendeley.com/documents/?uuid=d685aed1-f847-4a74-86d2-782f6f96eda8" ] } ], "mendeley" : { "formattedCitation" : "&lt;sup&gt;11&lt;/sup&gt;", "plainTextFormattedCitation" : "11", "previouslyFormattedCitation" : "&lt;sup&gt;11&lt;/sup&gt;" }, "properties" : { "noteIndex" : 0 }, "schema" : "https://github.com/citation-style-language/schema/raw/master/csl-citation.json" }</w:instrText>
      </w:r>
      <w:r w:rsidR="005B6718" w:rsidRPr="0091040C">
        <w:rPr>
          <w:rFonts w:ascii="Helvetica" w:hAnsi="Helvetica" w:cs="Times New Roman"/>
          <w:sz w:val="20"/>
          <w:szCs w:val="20"/>
        </w:rPr>
        <w:fldChar w:fldCharType="separate"/>
      </w:r>
      <w:r w:rsidR="005642C4" w:rsidRPr="0091040C">
        <w:rPr>
          <w:rFonts w:ascii="Helvetica" w:hAnsi="Helvetica" w:cs="Times New Roman"/>
          <w:noProof/>
          <w:sz w:val="20"/>
          <w:szCs w:val="20"/>
          <w:vertAlign w:val="superscript"/>
        </w:rPr>
        <w:t>11</w:t>
      </w:r>
      <w:r w:rsidR="005B6718" w:rsidRPr="0091040C">
        <w:rPr>
          <w:rFonts w:ascii="Helvetica" w:hAnsi="Helvetica" w:cs="Times New Roman"/>
          <w:sz w:val="20"/>
          <w:szCs w:val="20"/>
        </w:rPr>
        <w:fldChar w:fldCharType="end"/>
      </w:r>
      <w:r w:rsidRPr="0091040C">
        <w:rPr>
          <w:rFonts w:ascii="Helvetica" w:hAnsi="Helvetica" w:cs="Times New Roman"/>
          <w:sz w:val="20"/>
          <w:szCs w:val="20"/>
        </w:rPr>
        <w:t>:</w:t>
      </w:r>
    </w:p>
    <w:p w14:paraId="7E2D6C5A" w14:textId="77777777" w:rsidR="00860B63" w:rsidRPr="0091040C" w:rsidRDefault="00860B63" w:rsidP="00C15001">
      <w:pPr>
        <w:pStyle w:val="Kleurrijkelijst-accent11"/>
        <w:numPr>
          <w:ilvl w:val="2"/>
          <w:numId w:val="20"/>
        </w:numPr>
        <w:spacing w:after="0" w:line="240" w:lineRule="auto"/>
        <w:rPr>
          <w:rFonts w:ascii="Helvetica" w:hAnsi="Helvetica" w:cs="Times New Roman"/>
          <w:sz w:val="20"/>
          <w:szCs w:val="20"/>
          <w:lang w:val="en-US"/>
        </w:rPr>
      </w:pPr>
      <w:r w:rsidRPr="0091040C">
        <w:rPr>
          <w:rFonts w:ascii="Helvetica" w:hAnsi="Helvetica" w:cs="Times New Roman"/>
          <w:sz w:val="20"/>
          <w:szCs w:val="20"/>
          <w:lang w:val="en-US"/>
        </w:rPr>
        <w:t>10e3 CFU/mL</w:t>
      </w:r>
      <w:r w:rsidR="00116427" w:rsidRPr="0091040C">
        <w:rPr>
          <w:rFonts w:ascii="Helvetica" w:hAnsi="Helvetica" w:cs="Times New Roman"/>
          <w:sz w:val="20"/>
          <w:szCs w:val="20"/>
          <w:lang w:val="en-US"/>
        </w:rPr>
        <w:t xml:space="preserve"> </w:t>
      </w:r>
      <w:r w:rsidRPr="0091040C">
        <w:rPr>
          <w:rFonts w:ascii="Helvetica" w:hAnsi="Helvetica" w:cs="Times New Roman"/>
          <w:sz w:val="20"/>
          <w:szCs w:val="20"/>
          <w:lang w:val="en-US"/>
        </w:rPr>
        <w:t xml:space="preserve">of a </w:t>
      </w:r>
      <w:proofErr w:type="spellStart"/>
      <w:r w:rsidRPr="0091040C">
        <w:rPr>
          <w:rFonts w:ascii="Helvetica" w:hAnsi="Helvetica" w:cs="Times New Roman"/>
          <w:sz w:val="20"/>
          <w:szCs w:val="20"/>
          <w:lang w:val="en-US"/>
        </w:rPr>
        <w:t>uropathogen</w:t>
      </w:r>
      <w:proofErr w:type="spellEnd"/>
      <w:r w:rsidRPr="0091040C">
        <w:rPr>
          <w:rFonts w:ascii="Helvetica" w:hAnsi="Helvetica" w:cs="Times New Roman"/>
          <w:sz w:val="20"/>
          <w:szCs w:val="20"/>
          <w:lang w:val="en-US"/>
        </w:rPr>
        <w:t xml:space="preserve"> is diagnostic in women who present with symptoms of acute uncomplicated cystitis</w:t>
      </w:r>
    </w:p>
    <w:p w14:paraId="2FA2BBAC" w14:textId="77777777" w:rsidR="00860B63" w:rsidRPr="0091040C" w:rsidRDefault="00860B63" w:rsidP="00C15001">
      <w:pPr>
        <w:spacing w:after="0" w:line="240" w:lineRule="auto"/>
        <w:ind w:firstLine="720"/>
        <w:rPr>
          <w:rFonts w:ascii="Helvetica" w:hAnsi="Helvetica" w:cs="Times New Roman"/>
          <w:sz w:val="20"/>
          <w:szCs w:val="20"/>
          <w:lang w:val="en-US"/>
        </w:rPr>
      </w:pPr>
      <w:r w:rsidRPr="0091040C">
        <w:rPr>
          <w:rFonts w:ascii="Helvetica" w:hAnsi="Helvetica" w:cs="Times New Roman"/>
          <w:sz w:val="20"/>
          <w:szCs w:val="20"/>
        </w:rPr>
        <w:t>2. Public Health England(PHE)/Health Protection Agency guidelines(HPA) definition</w:t>
      </w:r>
      <w:r w:rsidRPr="0091040C">
        <w:rPr>
          <w:rFonts w:ascii="Helvetica" w:hAnsi="Helvetica" w:cs="Times New Roman"/>
          <w:sz w:val="20"/>
          <w:szCs w:val="20"/>
          <w:vertAlign w:val="superscript"/>
        </w:rPr>
        <w:t>20</w:t>
      </w:r>
      <w:r w:rsidRPr="0091040C">
        <w:rPr>
          <w:rFonts w:ascii="Helvetica" w:hAnsi="Helvetica" w:cs="Times New Roman"/>
          <w:sz w:val="20"/>
          <w:szCs w:val="20"/>
        </w:rPr>
        <w:t xml:space="preserve"> </w:t>
      </w:r>
    </w:p>
    <w:p w14:paraId="11067C72" w14:textId="77777777" w:rsidR="00860B63" w:rsidRPr="0091040C" w:rsidRDefault="00860B63" w:rsidP="00C15001">
      <w:pPr>
        <w:pStyle w:val="Kleurrijkelijst-accent11"/>
        <w:numPr>
          <w:ilvl w:val="2"/>
          <w:numId w:val="20"/>
        </w:numPr>
        <w:spacing w:after="0" w:line="240" w:lineRule="auto"/>
        <w:rPr>
          <w:rFonts w:ascii="Helvetica" w:hAnsi="Helvetica"/>
          <w:sz w:val="20"/>
          <w:szCs w:val="20"/>
          <w:lang w:val="it-IT"/>
        </w:rPr>
      </w:pPr>
      <w:r w:rsidRPr="0091040C">
        <w:rPr>
          <w:rFonts w:ascii="Helvetica" w:hAnsi="Helvetica"/>
          <w:sz w:val="20"/>
          <w:szCs w:val="20"/>
          <w:lang w:val="it-IT"/>
        </w:rPr>
        <w:t>≥10e4 CFU/</w:t>
      </w:r>
      <w:proofErr w:type="spellStart"/>
      <w:r w:rsidRPr="0091040C">
        <w:rPr>
          <w:rFonts w:ascii="Helvetica" w:hAnsi="Helvetica"/>
          <w:sz w:val="20"/>
          <w:szCs w:val="20"/>
          <w:lang w:val="it-IT"/>
        </w:rPr>
        <w:t>mL</w:t>
      </w:r>
      <w:proofErr w:type="spellEnd"/>
      <w:r w:rsidRPr="0091040C">
        <w:rPr>
          <w:rFonts w:ascii="Helvetica" w:hAnsi="Helvetica"/>
          <w:sz w:val="20"/>
          <w:szCs w:val="20"/>
          <w:lang w:val="it-IT"/>
        </w:rPr>
        <w:t xml:space="preserve">, pure culture of a </w:t>
      </w:r>
      <w:proofErr w:type="spellStart"/>
      <w:r w:rsidRPr="0091040C">
        <w:rPr>
          <w:rFonts w:ascii="Helvetica" w:hAnsi="Helvetica"/>
          <w:sz w:val="20"/>
          <w:szCs w:val="20"/>
          <w:lang w:val="it-IT"/>
        </w:rPr>
        <w:t>pathogen</w:t>
      </w:r>
      <w:proofErr w:type="spellEnd"/>
      <w:r w:rsidR="009F728E">
        <w:rPr>
          <w:rFonts w:ascii="Helvetica" w:hAnsi="Helvetica" w:cs="Times New Roman"/>
          <w:sz w:val="20"/>
          <w:szCs w:val="20"/>
          <w:lang w:val="it-IT"/>
        </w:rPr>
        <w:t xml:space="preserve"> </w:t>
      </w:r>
      <w:r w:rsidR="009F728E" w:rsidRPr="009F728E">
        <w:rPr>
          <w:rFonts w:ascii="Helvetica" w:hAnsi="Helvetica" w:cs="Times New Roman"/>
          <w:i/>
          <w:sz w:val="20"/>
          <w:szCs w:val="20"/>
          <w:lang w:val="it-IT"/>
        </w:rPr>
        <w:tab/>
      </w:r>
      <w:r w:rsidR="000B5EDA" w:rsidRPr="009F728E">
        <w:rPr>
          <w:rFonts w:ascii="Helvetica" w:hAnsi="Helvetica" w:cs="Times New Roman"/>
          <w:i/>
          <w:sz w:val="20"/>
          <w:szCs w:val="20"/>
          <w:lang w:val="it-IT"/>
        </w:rPr>
        <w:t>OR</w:t>
      </w:r>
    </w:p>
    <w:p w14:paraId="40E0D56A" w14:textId="77777777" w:rsidR="00860B63" w:rsidRPr="0091040C" w:rsidRDefault="00860B63" w:rsidP="00C15001">
      <w:pPr>
        <w:pStyle w:val="Kleurrijkelijst-accent11"/>
        <w:numPr>
          <w:ilvl w:val="2"/>
          <w:numId w:val="20"/>
        </w:numPr>
        <w:spacing w:after="0" w:line="240" w:lineRule="auto"/>
        <w:rPr>
          <w:rFonts w:ascii="Helvetica" w:hAnsi="Helvetica" w:cs="Times New Roman"/>
          <w:sz w:val="20"/>
          <w:szCs w:val="20"/>
          <w:lang w:val="en-US"/>
        </w:rPr>
      </w:pPr>
      <w:r w:rsidRPr="0091040C">
        <w:rPr>
          <w:rFonts w:ascii="Helvetica" w:hAnsi="Helvetica" w:cs="Times New Roman"/>
          <w:sz w:val="20"/>
          <w:szCs w:val="20"/>
        </w:rPr>
        <w:t>≥10e5 CFU/mL, mixed growth with one predominant pathogen</w:t>
      </w:r>
      <w:r w:rsidR="009F728E">
        <w:rPr>
          <w:rFonts w:ascii="Helvetica" w:hAnsi="Helvetica" w:cs="Times New Roman"/>
          <w:sz w:val="20"/>
          <w:szCs w:val="20"/>
        </w:rPr>
        <w:t xml:space="preserve"> </w:t>
      </w:r>
      <w:r w:rsidR="000B5EDA" w:rsidRPr="009F728E">
        <w:rPr>
          <w:rFonts w:ascii="Helvetica" w:hAnsi="Helvetica" w:cs="Times New Roman"/>
          <w:i/>
          <w:sz w:val="20"/>
          <w:szCs w:val="20"/>
        </w:rPr>
        <w:t>OR</w:t>
      </w:r>
    </w:p>
    <w:p w14:paraId="0C681F99" w14:textId="77777777" w:rsidR="00860B63" w:rsidRPr="0091040C" w:rsidRDefault="00860B63" w:rsidP="00C15001">
      <w:pPr>
        <w:pStyle w:val="Kleurrijkelijst-accent11"/>
        <w:numPr>
          <w:ilvl w:val="2"/>
          <w:numId w:val="20"/>
        </w:numPr>
        <w:spacing w:after="0" w:line="240" w:lineRule="auto"/>
        <w:rPr>
          <w:rFonts w:ascii="Helvetica" w:hAnsi="Helvetica" w:cs="Times New Roman"/>
          <w:sz w:val="20"/>
          <w:szCs w:val="20"/>
          <w:lang w:val="en-US"/>
        </w:rPr>
      </w:pPr>
      <w:r w:rsidRPr="0091040C">
        <w:rPr>
          <w:rFonts w:ascii="Helvetica" w:hAnsi="Helvetica" w:cs="Times New Roman"/>
          <w:sz w:val="20"/>
          <w:szCs w:val="20"/>
        </w:rPr>
        <w:t xml:space="preserve">≥10e3 CFU/mL, growth of either </w:t>
      </w:r>
      <w:r w:rsidRPr="0091040C">
        <w:rPr>
          <w:rFonts w:ascii="Helvetica" w:hAnsi="Helvetica" w:cs="Times New Roman"/>
          <w:i/>
          <w:sz w:val="20"/>
          <w:szCs w:val="20"/>
        </w:rPr>
        <w:t xml:space="preserve">E. coli </w:t>
      </w:r>
      <w:r w:rsidRPr="0091040C">
        <w:rPr>
          <w:rFonts w:ascii="Helvetica" w:hAnsi="Helvetica" w:cs="Times New Roman"/>
          <w:sz w:val="20"/>
          <w:szCs w:val="20"/>
        </w:rPr>
        <w:t>or</w:t>
      </w:r>
      <w:r w:rsidRPr="0091040C">
        <w:rPr>
          <w:rFonts w:ascii="Helvetica" w:hAnsi="Helvetica" w:cs="Times New Roman"/>
          <w:i/>
          <w:sz w:val="20"/>
          <w:szCs w:val="20"/>
        </w:rPr>
        <w:t xml:space="preserve"> S. </w:t>
      </w:r>
      <w:proofErr w:type="spellStart"/>
      <w:r w:rsidRPr="0091040C">
        <w:rPr>
          <w:rFonts w:ascii="Helvetica" w:hAnsi="Helvetica" w:cs="Times New Roman"/>
          <w:i/>
          <w:sz w:val="20"/>
          <w:szCs w:val="20"/>
        </w:rPr>
        <w:t>saprophyticus</w:t>
      </w:r>
      <w:proofErr w:type="spellEnd"/>
    </w:p>
    <w:p w14:paraId="1190ED21" w14:textId="77777777" w:rsidR="00860B63" w:rsidRPr="0091040C" w:rsidRDefault="00860B63" w:rsidP="00C15001">
      <w:pPr>
        <w:pStyle w:val="Kleurrijkelijst-accent11"/>
        <w:numPr>
          <w:ilvl w:val="0"/>
          <w:numId w:val="21"/>
        </w:numPr>
        <w:spacing w:after="0" w:line="240" w:lineRule="auto"/>
        <w:rPr>
          <w:rFonts w:ascii="Helvetica" w:hAnsi="Helvetica" w:cs="Times New Roman"/>
          <w:sz w:val="20"/>
          <w:szCs w:val="20"/>
        </w:rPr>
      </w:pPr>
      <w:r w:rsidRPr="0091040C">
        <w:rPr>
          <w:rFonts w:ascii="Helvetica" w:hAnsi="Helvetica" w:cs="Times New Roman"/>
          <w:sz w:val="20"/>
          <w:szCs w:val="20"/>
        </w:rPr>
        <w:t>UK laboratory definition</w:t>
      </w:r>
    </w:p>
    <w:p w14:paraId="7FE5B578" w14:textId="77777777" w:rsidR="00860B63" w:rsidRPr="0091040C" w:rsidRDefault="00860B63" w:rsidP="00C15001">
      <w:pPr>
        <w:pStyle w:val="Kleurrijkelijst-accent11"/>
        <w:numPr>
          <w:ilvl w:val="2"/>
          <w:numId w:val="20"/>
        </w:numPr>
        <w:spacing w:after="0" w:line="240" w:lineRule="auto"/>
        <w:rPr>
          <w:rFonts w:ascii="Helvetica" w:hAnsi="Helvetica"/>
          <w:sz w:val="20"/>
          <w:szCs w:val="20"/>
          <w:lang w:val="it-IT"/>
        </w:rPr>
      </w:pPr>
      <w:r w:rsidRPr="0091040C">
        <w:rPr>
          <w:rFonts w:ascii="Helvetica" w:hAnsi="Helvetica"/>
          <w:sz w:val="20"/>
          <w:szCs w:val="20"/>
          <w:lang w:val="it-IT"/>
        </w:rPr>
        <w:t>≥ 10e5 CFU/</w:t>
      </w:r>
      <w:proofErr w:type="spellStart"/>
      <w:r w:rsidRPr="0091040C">
        <w:rPr>
          <w:rFonts w:ascii="Helvetica" w:hAnsi="Helvetica"/>
          <w:sz w:val="20"/>
          <w:szCs w:val="20"/>
          <w:lang w:val="it-IT"/>
        </w:rPr>
        <w:t>mL</w:t>
      </w:r>
      <w:proofErr w:type="spellEnd"/>
      <w:r w:rsidR="009F728E">
        <w:rPr>
          <w:rFonts w:ascii="Helvetica" w:hAnsi="Helvetica"/>
          <w:sz w:val="20"/>
          <w:szCs w:val="20"/>
          <w:lang w:val="it-IT"/>
        </w:rPr>
        <w:t xml:space="preserve">, pure culture of a </w:t>
      </w:r>
      <w:proofErr w:type="spellStart"/>
      <w:r w:rsidR="009F728E">
        <w:rPr>
          <w:rFonts w:ascii="Helvetica" w:hAnsi="Helvetica"/>
          <w:sz w:val="20"/>
          <w:szCs w:val="20"/>
          <w:lang w:val="it-IT"/>
        </w:rPr>
        <w:t>uropathogen</w:t>
      </w:r>
      <w:proofErr w:type="spellEnd"/>
      <w:r w:rsidR="009F728E" w:rsidRPr="009F728E">
        <w:rPr>
          <w:rFonts w:ascii="Helvetica" w:hAnsi="Helvetica" w:cs="Times New Roman"/>
          <w:i/>
          <w:sz w:val="20"/>
          <w:szCs w:val="20"/>
          <w:lang w:val="it-IT"/>
        </w:rPr>
        <w:t xml:space="preserve"> </w:t>
      </w:r>
      <w:r w:rsidR="000B5EDA" w:rsidRPr="009F728E">
        <w:rPr>
          <w:rFonts w:ascii="Helvetica" w:hAnsi="Helvetica" w:cs="Times New Roman"/>
          <w:i/>
          <w:sz w:val="20"/>
          <w:szCs w:val="20"/>
          <w:lang w:val="it-IT"/>
        </w:rPr>
        <w:t>OR</w:t>
      </w:r>
    </w:p>
    <w:p w14:paraId="2A6FBC6C" w14:textId="77777777" w:rsidR="00860B63" w:rsidRPr="0091040C" w:rsidRDefault="00860B63" w:rsidP="00C15001">
      <w:pPr>
        <w:pStyle w:val="Kleurrijkelijst-accent11"/>
        <w:numPr>
          <w:ilvl w:val="2"/>
          <w:numId w:val="20"/>
        </w:numPr>
        <w:spacing w:after="0" w:line="240" w:lineRule="auto"/>
        <w:rPr>
          <w:rFonts w:ascii="Helvetica" w:hAnsi="Helvetica" w:cs="Times New Roman"/>
          <w:sz w:val="20"/>
          <w:szCs w:val="20"/>
        </w:rPr>
      </w:pPr>
      <w:r w:rsidRPr="0091040C">
        <w:rPr>
          <w:rFonts w:ascii="Helvetica" w:hAnsi="Helvetica" w:cs="Times New Roman"/>
          <w:sz w:val="20"/>
          <w:szCs w:val="20"/>
        </w:rPr>
        <w:t xml:space="preserve">≥ 10e5 CFU/mL, predominant culture a </w:t>
      </w:r>
      <w:proofErr w:type="spellStart"/>
      <w:r w:rsidRPr="0091040C">
        <w:rPr>
          <w:rFonts w:ascii="Helvetica" w:hAnsi="Helvetica" w:cs="Times New Roman"/>
          <w:sz w:val="20"/>
          <w:szCs w:val="20"/>
        </w:rPr>
        <w:t>uropathogen</w:t>
      </w:r>
      <w:proofErr w:type="spellEnd"/>
      <w:r w:rsidRPr="0091040C">
        <w:rPr>
          <w:rFonts w:ascii="Helvetica" w:hAnsi="Helvetica" w:cs="Times New Roman"/>
          <w:sz w:val="20"/>
          <w:szCs w:val="20"/>
        </w:rPr>
        <w:t xml:space="preserve"> with 3 log difference between highest and next species</w:t>
      </w:r>
    </w:p>
    <w:p w14:paraId="1B9C5095" w14:textId="77777777" w:rsidR="00860B63" w:rsidRPr="0091040C" w:rsidRDefault="00860B63" w:rsidP="00860B63">
      <w:pPr>
        <w:pStyle w:val="Kleurrijkelijst-accent11"/>
        <w:spacing w:after="0" w:line="240" w:lineRule="auto"/>
        <w:ind w:left="1080"/>
        <w:jc w:val="both"/>
        <w:rPr>
          <w:rFonts w:ascii="Helvetica" w:hAnsi="Helvetica" w:cs="Times New Roman"/>
          <w:sz w:val="20"/>
          <w:szCs w:val="20"/>
        </w:rPr>
      </w:pPr>
    </w:p>
    <w:p w14:paraId="56CC1355" w14:textId="77777777" w:rsidR="00497B38" w:rsidRPr="0091040C" w:rsidRDefault="00497B38" w:rsidP="00497B38">
      <w:pPr>
        <w:spacing w:line="480" w:lineRule="auto"/>
        <w:rPr>
          <w:rFonts w:ascii="Helvetica" w:eastAsia="Times New Roman" w:hAnsi="Helvetica" w:cs="Times New Roman"/>
          <w:color w:val="0A0905"/>
          <w:sz w:val="20"/>
          <w:szCs w:val="20"/>
          <w:lang w:val="en-US"/>
        </w:rPr>
      </w:pPr>
      <w:r w:rsidRPr="0091040C">
        <w:rPr>
          <w:rFonts w:ascii="Helvetica" w:eastAsia="Times New Roman" w:hAnsi="Helvetica" w:cs="Times New Roman"/>
          <w:i/>
          <w:color w:val="0A0905"/>
          <w:sz w:val="20"/>
          <w:szCs w:val="20"/>
          <w:lang w:val="en-US"/>
        </w:rPr>
        <w:t>Statistical analysis</w:t>
      </w:r>
      <w:r w:rsidRPr="0091040C">
        <w:rPr>
          <w:rFonts w:ascii="Helvetica" w:eastAsia="Times New Roman" w:hAnsi="Helvetica" w:cs="Times New Roman"/>
          <w:i/>
          <w:color w:val="0A0905"/>
          <w:sz w:val="20"/>
          <w:szCs w:val="20"/>
          <w:lang w:val="en-US"/>
        </w:rPr>
        <w:br/>
      </w:r>
      <w:r w:rsidRPr="0091040C">
        <w:rPr>
          <w:rFonts w:ascii="Helvetica" w:eastAsia="Times New Roman" w:hAnsi="Helvetica" w:cs="Times New Roman"/>
          <w:color w:val="0A0905"/>
          <w:sz w:val="20"/>
          <w:szCs w:val="20"/>
          <w:lang w:val="en-US"/>
        </w:rPr>
        <w:t xml:space="preserve">Urine results were compared in three ways; </w:t>
      </w:r>
      <w:r w:rsidR="004277F8" w:rsidRPr="0091040C">
        <w:rPr>
          <w:rFonts w:ascii="Helvetica" w:eastAsia="Times New Roman" w:hAnsi="Helvetica" w:cs="Times New Roman"/>
          <w:color w:val="0A0905"/>
          <w:sz w:val="20"/>
          <w:szCs w:val="20"/>
          <w:lang w:val="en-US"/>
        </w:rPr>
        <w:t>1)</w:t>
      </w:r>
      <w:r w:rsidRPr="0091040C">
        <w:rPr>
          <w:rFonts w:ascii="Helvetica" w:eastAsia="Times New Roman" w:hAnsi="Helvetica" w:cs="Times New Roman"/>
          <w:color w:val="0A0905"/>
          <w:sz w:val="20"/>
          <w:szCs w:val="20"/>
          <w:lang w:val="en-US"/>
        </w:rPr>
        <w:t xml:space="preserve"> the routine laboratory culture results versus the </w:t>
      </w:r>
      <w:r w:rsidR="000505D0" w:rsidRPr="0091040C">
        <w:rPr>
          <w:rFonts w:ascii="Helvetica" w:hAnsi="Helvetica" w:cs="Times New Roman"/>
          <w:sz w:val="20"/>
          <w:szCs w:val="20"/>
        </w:rPr>
        <w:t>clinicians</w:t>
      </w:r>
      <w:r w:rsidRPr="0091040C">
        <w:rPr>
          <w:rFonts w:ascii="Helvetica" w:hAnsi="Helvetica" w:cs="Times New Roman"/>
          <w:sz w:val="20"/>
          <w:szCs w:val="20"/>
        </w:rPr>
        <w:t xml:space="preserve">’ interpretation of </w:t>
      </w:r>
      <w:r w:rsidRPr="0091040C">
        <w:rPr>
          <w:rFonts w:ascii="Helvetica" w:eastAsia="Times New Roman" w:hAnsi="Helvetica" w:cs="Times New Roman"/>
          <w:color w:val="0A0905"/>
          <w:sz w:val="20"/>
          <w:szCs w:val="20"/>
          <w:lang w:val="en-US"/>
        </w:rPr>
        <w:t>Flexicult</w:t>
      </w:r>
      <w:r w:rsidRPr="0091040C">
        <w:rPr>
          <w:rFonts w:ascii="Helvetica" w:eastAsia="Times New Roman" w:hAnsi="Helvetica" w:cs="Times New Roman"/>
          <w:color w:val="0A0905"/>
          <w:sz w:val="20"/>
          <w:szCs w:val="20"/>
          <w:vertAlign w:val="superscript"/>
          <w:lang w:val="en-US"/>
        </w:rPr>
        <w:t>TM</w:t>
      </w:r>
      <w:r w:rsidRPr="0091040C">
        <w:rPr>
          <w:rFonts w:ascii="Helvetica" w:eastAsia="Times New Roman" w:hAnsi="Helvetica" w:cs="Times New Roman"/>
          <w:color w:val="0A0905"/>
          <w:sz w:val="20"/>
          <w:szCs w:val="20"/>
          <w:lang w:val="en-US"/>
        </w:rPr>
        <w:t xml:space="preserve"> (‘Lab vs Flexicult</w:t>
      </w:r>
      <w:r w:rsidRPr="0091040C">
        <w:rPr>
          <w:rFonts w:ascii="Helvetica" w:eastAsia="Times New Roman" w:hAnsi="Helvetica" w:cs="Times New Roman"/>
          <w:color w:val="0A0905"/>
          <w:sz w:val="20"/>
          <w:szCs w:val="20"/>
          <w:vertAlign w:val="superscript"/>
          <w:lang w:val="en-US"/>
        </w:rPr>
        <w:t>TM</w:t>
      </w:r>
      <w:r w:rsidRPr="0091040C">
        <w:rPr>
          <w:rFonts w:ascii="Helvetica" w:eastAsia="Times New Roman" w:hAnsi="Helvetica" w:cs="Times New Roman"/>
          <w:color w:val="0A0905"/>
          <w:sz w:val="20"/>
          <w:szCs w:val="20"/>
          <w:lang w:val="en-US"/>
        </w:rPr>
        <w:t xml:space="preserve">’); </w:t>
      </w:r>
      <w:r w:rsidR="00F4619C" w:rsidRPr="0091040C">
        <w:rPr>
          <w:rFonts w:ascii="Helvetica" w:eastAsia="Times New Roman" w:hAnsi="Helvetica" w:cs="Times New Roman"/>
          <w:color w:val="0A0905"/>
          <w:sz w:val="20"/>
          <w:szCs w:val="20"/>
          <w:lang w:val="en-US"/>
        </w:rPr>
        <w:t xml:space="preserve">2) </w:t>
      </w:r>
      <w:r w:rsidRPr="0091040C">
        <w:rPr>
          <w:rFonts w:ascii="Helvetica" w:eastAsia="Times New Roman" w:hAnsi="Helvetica" w:cs="Times New Roman"/>
          <w:color w:val="0A0905"/>
          <w:sz w:val="20"/>
          <w:szCs w:val="20"/>
          <w:lang w:val="en-US"/>
        </w:rPr>
        <w:t xml:space="preserve">the </w:t>
      </w:r>
      <w:r w:rsidR="000505D0" w:rsidRPr="0091040C">
        <w:rPr>
          <w:rFonts w:ascii="Helvetica" w:hAnsi="Helvetica" w:cs="Times New Roman"/>
          <w:sz w:val="20"/>
          <w:szCs w:val="20"/>
        </w:rPr>
        <w:t>clinician</w:t>
      </w:r>
      <w:r w:rsidRPr="0091040C">
        <w:rPr>
          <w:rFonts w:ascii="Helvetica" w:hAnsi="Helvetica" w:cs="Times New Roman"/>
          <w:sz w:val="20"/>
          <w:szCs w:val="20"/>
        </w:rPr>
        <w:t>s’ interpretation of</w:t>
      </w:r>
      <w:r w:rsidRPr="0091040C">
        <w:rPr>
          <w:rFonts w:ascii="Helvetica" w:eastAsia="Times New Roman" w:hAnsi="Helvetica" w:cs="Times New Roman"/>
          <w:color w:val="0A0905"/>
          <w:sz w:val="20"/>
          <w:szCs w:val="20"/>
          <w:lang w:val="en-US"/>
        </w:rPr>
        <w:t xml:space="preserve"> Flexicult</w:t>
      </w:r>
      <w:r w:rsidRPr="0091040C">
        <w:rPr>
          <w:rFonts w:ascii="Helvetica" w:eastAsia="Times New Roman" w:hAnsi="Helvetica" w:cs="Times New Roman"/>
          <w:color w:val="0A0905"/>
          <w:sz w:val="20"/>
          <w:szCs w:val="20"/>
          <w:vertAlign w:val="superscript"/>
          <w:lang w:val="en-US"/>
        </w:rPr>
        <w:t>TM</w:t>
      </w:r>
      <w:r w:rsidR="008B5BC9" w:rsidRPr="0091040C">
        <w:rPr>
          <w:rFonts w:ascii="Helvetica" w:eastAsia="Times New Roman" w:hAnsi="Helvetica" w:cs="Times New Roman"/>
          <w:color w:val="0A0905"/>
          <w:sz w:val="20"/>
          <w:szCs w:val="20"/>
          <w:lang w:val="en-US"/>
        </w:rPr>
        <w:t xml:space="preserve"> </w:t>
      </w:r>
      <w:r w:rsidRPr="0091040C">
        <w:rPr>
          <w:rFonts w:ascii="Helvetica" w:eastAsia="Times New Roman" w:hAnsi="Helvetica" w:cs="Times New Roman"/>
          <w:color w:val="0A0905"/>
          <w:sz w:val="20"/>
          <w:szCs w:val="20"/>
          <w:lang w:val="en-US"/>
        </w:rPr>
        <w:t>versus the laboratory</w:t>
      </w:r>
      <w:r w:rsidR="00A74035" w:rsidRPr="0091040C">
        <w:rPr>
          <w:rFonts w:ascii="Helvetica" w:eastAsia="Times New Roman" w:hAnsi="Helvetica" w:cs="Times New Roman"/>
          <w:color w:val="0A0905"/>
          <w:sz w:val="20"/>
          <w:szCs w:val="20"/>
          <w:lang w:val="en-US"/>
        </w:rPr>
        <w:t xml:space="preserve"> </w:t>
      </w:r>
      <w:r w:rsidRPr="0091040C">
        <w:rPr>
          <w:rFonts w:ascii="Helvetica" w:eastAsia="Times New Roman" w:hAnsi="Helvetica" w:cs="Times New Roman"/>
          <w:color w:val="0A0905"/>
          <w:sz w:val="20"/>
          <w:szCs w:val="20"/>
          <w:lang w:val="en-US"/>
        </w:rPr>
        <w:t>staff’s interpretation of the Flexicult</w:t>
      </w:r>
      <w:r w:rsidRPr="0091040C">
        <w:rPr>
          <w:rFonts w:ascii="Helvetica" w:eastAsia="Times New Roman" w:hAnsi="Helvetica" w:cs="Times New Roman"/>
          <w:color w:val="0A0905"/>
          <w:sz w:val="20"/>
          <w:szCs w:val="20"/>
          <w:vertAlign w:val="superscript"/>
          <w:lang w:val="en-US"/>
        </w:rPr>
        <w:t>TM</w:t>
      </w:r>
      <w:r w:rsidRPr="0091040C">
        <w:rPr>
          <w:rFonts w:ascii="Helvetica" w:eastAsia="Times New Roman" w:hAnsi="Helvetica" w:cs="Times New Roman"/>
          <w:color w:val="0A0905"/>
          <w:sz w:val="20"/>
          <w:szCs w:val="20"/>
          <w:lang w:val="en-US"/>
        </w:rPr>
        <w:t xml:space="preserve"> photographs (‘Flexicult</w:t>
      </w:r>
      <w:r w:rsidRPr="0091040C">
        <w:rPr>
          <w:rFonts w:ascii="Helvetica" w:eastAsia="Times New Roman" w:hAnsi="Helvetica" w:cs="Times New Roman"/>
          <w:color w:val="0A0905"/>
          <w:sz w:val="20"/>
          <w:szCs w:val="20"/>
          <w:vertAlign w:val="superscript"/>
          <w:lang w:val="en-US"/>
        </w:rPr>
        <w:t>TM</w:t>
      </w:r>
      <w:r w:rsidRPr="0091040C">
        <w:rPr>
          <w:rFonts w:ascii="Helvetica" w:eastAsia="Times New Roman" w:hAnsi="Helvetica" w:cs="Times New Roman"/>
          <w:color w:val="0A0905"/>
          <w:sz w:val="20"/>
          <w:szCs w:val="20"/>
          <w:lang w:val="en-US"/>
        </w:rPr>
        <w:t xml:space="preserve"> vs Photo’); and</w:t>
      </w:r>
      <w:r w:rsidR="00FE7456" w:rsidRPr="0091040C">
        <w:rPr>
          <w:rFonts w:ascii="Helvetica" w:eastAsia="Times New Roman" w:hAnsi="Helvetica" w:cs="Times New Roman"/>
          <w:color w:val="0A0905"/>
          <w:sz w:val="20"/>
          <w:szCs w:val="20"/>
          <w:lang w:val="en-US"/>
        </w:rPr>
        <w:t>,</w:t>
      </w:r>
      <w:r w:rsidRPr="0091040C">
        <w:rPr>
          <w:rFonts w:ascii="Helvetica" w:eastAsia="Times New Roman" w:hAnsi="Helvetica" w:cs="Times New Roman"/>
          <w:color w:val="0A0905"/>
          <w:sz w:val="20"/>
          <w:szCs w:val="20"/>
          <w:lang w:val="en-US"/>
        </w:rPr>
        <w:t xml:space="preserve"> </w:t>
      </w:r>
      <w:r w:rsidR="00F4619C" w:rsidRPr="0091040C">
        <w:rPr>
          <w:rFonts w:ascii="Helvetica" w:eastAsia="Times New Roman" w:hAnsi="Helvetica" w:cs="Times New Roman"/>
          <w:color w:val="0A0905"/>
          <w:sz w:val="20"/>
          <w:szCs w:val="20"/>
          <w:lang w:val="en-US"/>
        </w:rPr>
        <w:t xml:space="preserve">3) </w:t>
      </w:r>
      <w:r w:rsidRPr="0091040C">
        <w:rPr>
          <w:rFonts w:ascii="Helvetica" w:eastAsia="Times New Roman" w:hAnsi="Helvetica" w:cs="Times New Roman"/>
          <w:color w:val="0A0905"/>
          <w:sz w:val="20"/>
          <w:szCs w:val="20"/>
          <w:lang w:val="en-US"/>
        </w:rPr>
        <w:t xml:space="preserve">the routine laboratory culture results versus the </w:t>
      </w:r>
      <w:r w:rsidR="0038426D" w:rsidRPr="0091040C">
        <w:rPr>
          <w:rFonts w:ascii="Helvetica" w:eastAsia="Times New Roman" w:hAnsi="Helvetica" w:cs="Times New Roman"/>
          <w:color w:val="0A0905"/>
          <w:sz w:val="20"/>
          <w:szCs w:val="20"/>
          <w:lang w:val="en-US"/>
        </w:rPr>
        <w:t xml:space="preserve">UK microbiology laboratory </w:t>
      </w:r>
      <w:r w:rsidRPr="0091040C">
        <w:rPr>
          <w:rFonts w:ascii="Helvetica" w:eastAsia="Times New Roman" w:hAnsi="Helvetica" w:cs="Times New Roman"/>
          <w:color w:val="0A0905"/>
          <w:sz w:val="20"/>
          <w:szCs w:val="20"/>
          <w:lang w:val="en-US"/>
        </w:rPr>
        <w:t>staff’s interpretation of the Flexicult</w:t>
      </w:r>
      <w:r w:rsidRPr="0091040C">
        <w:rPr>
          <w:rFonts w:ascii="Helvetica" w:eastAsia="Times New Roman" w:hAnsi="Helvetica" w:cs="Times New Roman"/>
          <w:color w:val="0A0905"/>
          <w:sz w:val="20"/>
          <w:szCs w:val="20"/>
          <w:vertAlign w:val="superscript"/>
          <w:lang w:val="en-US"/>
        </w:rPr>
        <w:t>TM</w:t>
      </w:r>
      <w:r w:rsidRPr="0091040C">
        <w:rPr>
          <w:rFonts w:ascii="Helvetica" w:eastAsia="Times New Roman" w:hAnsi="Helvetica" w:cs="Times New Roman"/>
          <w:color w:val="0A0905"/>
          <w:sz w:val="20"/>
          <w:szCs w:val="20"/>
          <w:lang w:val="en-US"/>
        </w:rPr>
        <w:t xml:space="preserve"> photographs (‘Lab vs Photo’). Further ex</w:t>
      </w:r>
      <w:r w:rsidR="0059247E" w:rsidRPr="0091040C">
        <w:rPr>
          <w:rFonts w:ascii="Helvetica" w:eastAsia="Times New Roman" w:hAnsi="Helvetica" w:cs="Times New Roman"/>
          <w:color w:val="0A0905"/>
          <w:sz w:val="20"/>
          <w:szCs w:val="20"/>
          <w:lang w:val="en-US"/>
        </w:rPr>
        <w:t>ploration focused on the</w:t>
      </w:r>
      <w:r w:rsidRPr="0091040C">
        <w:rPr>
          <w:rFonts w:ascii="Helvetica" w:eastAsia="Times New Roman" w:hAnsi="Helvetica" w:cs="Times New Roman"/>
          <w:color w:val="0A0905"/>
          <w:sz w:val="20"/>
          <w:szCs w:val="20"/>
          <w:lang w:val="en-US"/>
        </w:rPr>
        <w:t xml:space="preserve"> laboratory culture results and the </w:t>
      </w:r>
      <w:r w:rsidR="00530C36" w:rsidRPr="0091040C">
        <w:rPr>
          <w:rFonts w:ascii="Helvetica" w:hAnsi="Helvetica" w:cs="Times New Roman"/>
          <w:sz w:val="20"/>
          <w:szCs w:val="20"/>
        </w:rPr>
        <w:t>clinicians</w:t>
      </w:r>
      <w:r w:rsidRPr="0091040C">
        <w:rPr>
          <w:rFonts w:ascii="Helvetica" w:hAnsi="Helvetica" w:cs="Times New Roman"/>
          <w:sz w:val="20"/>
          <w:szCs w:val="20"/>
        </w:rPr>
        <w:t>’ interpretation of</w:t>
      </w:r>
      <w:r w:rsidRPr="0091040C">
        <w:rPr>
          <w:rFonts w:ascii="Helvetica" w:eastAsia="Times New Roman" w:hAnsi="Helvetica" w:cs="Times New Roman"/>
          <w:color w:val="0A0905"/>
          <w:sz w:val="20"/>
          <w:szCs w:val="20"/>
          <w:lang w:val="en-US"/>
        </w:rPr>
        <w:t xml:space="preserve"> Flexicult</w:t>
      </w:r>
      <w:r w:rsidRPr="0091040C">
        <w:rPr>
          <w:rFonts w:ascii="Helvetica" w:eastAsia="Times New Roman" w:hAnsi="Helvetica" w:cs="Times New Roman"/>
          <w:color w:val="0A0905"/>
          <w:sz w:val="20"/>
          <w:szCs w:val="20"/>
          <w:vertAlign w:val="superscript"/>
          <w:lang w:val="en-US"/>
        </w:rPr>
        <w:t>TM</w:t>
      </w:r>
      <w:r w:rsidRPr="0091040C">
        <w:rPr>
          <w:rFonts w:ascii="Helvetica" w:eastAsia="Times New Roman" w:hAnsi="Helvetica" w:cs="Times New Roman"/>
          <w:color w:val="0A0905"/>
          <w:sz w:val="20"/>
          <w:szCs w:val="20"/>
          <w:lang w:val="en-US"/>
        </w:rPr>
        <w:t xml:space="preserve"> results (‘Lab vs Flexicult</w:t>
      </w:r>
      <w:r w:rsidRPr="0091040C">
        <w:rPr>
          <w:rFonts w:ascii="Helvetica" w:eastAsia="Times New Roman" w:hAnsi="Helvetica" w:cs="Times New Roman"/>
          <w:color w:val="0A0905"/>
          <w:sz w:val="20"/>
          <w:szCs w:val="20"/>
          <w:vertAlign w:val="superscript"/>
          <w:lang w:val="en-US"/>
        </w:rPr>
        <w:t>TM</w:t>
      </w:r>
      <w:r w:rsidRPr="0091040C">
        <w:rPr>
          <w:rFonts w:ascii="Helvetica" w:eastAsia="Times New Roman" w:hAnsi="Helvetica" w:cs="Times New Roman"/>
          <w:color w:val="0A0905"/>
          <w:sz w:val="20"/>
          <w:szCs w:val="20"/>
          <w:lang w:val="en-US"/>
        </w:rPr>
        <w:t xml:space="preserve">’).  </w:t>
      </w:r>
      <w:r w:rsidR="00F07C49" w:rsidRPr="0091040C">
        <w:rPr>
          <w:rFonts w:ascii="Helvetica" w:eastAsia="Times New Roman" w:hAnsi="Helvetica" w:cs="Times New Roman"/>
          <w:color w:val="0A0905"/>
          <w:sz w:val="20"/>
          <w:szCs w:val="20"/>
          <w:lang w:val="en-US"/>
        </w:rPr>
        <w:t>O</w:t>
      </w:r>
      <w:r w:rsidRPr="0091040C">
        <w:rPr>
          <w:rFonts w:ascii="Helvetica" w:eastAsia="Times New Roman" w:hAnsi="Helvetica" w:cs="Times New Roman"/>
          <w:color w:val="0A0905"/>
          <w:sz w:val="20"/>
          <w:szCs w:val="20"/>
          <w:lang w:val="en-US"/>
        </w:rPr>
        <w:t xml:space="preserve">nly cases with complete data in both the groups for that specific variable (i.e. threshold growth, purity of bacterial growth) were used. </w:t>
      </w:r>
      <w:r w:rsidRPr="0091040C">
        <w:rPr>
          <w:rFonts w:ascii="Helvetica" w:hAnsi="Helvetica" w:cs="Times New Roman"/>
          <w:sz w:val="20"/>
          <w:szCs w:val="20"/>
        </w:rPr>
        <w:t>Flexicult</w:t>
      </w:r>
      <w:r w:rsidRPr="0091040C">
        <w:rPr>
          <w:rFonts w:ascii="Helvetica" w:hAnsi="Helvetica" w:cs="Times New Roman"/>
          <w:sz w:val="20"/>
          <w:szCs w:val="20"/>
          <w:vertAlign w:val="superscript"/>
        </w:rPr>
        <w:t>TM</w:t>
      </w:r>
      <w:r w:rsidRPr="0091040C">
        <w:rPr>
          <w:rFonts w:ascii="Helvetica" w:hAnsi="Helvetica" w:cs="Times New Roman"/>
          <w:sz w:val="20"/>
          <w:szCs w:val="20"/>
        </w:rPr>
        <w:t xml:space="preserve"> </w:t>
      </w:r>
      <w:r w:rsidR="00A75C3F" w:rsidRPr="0091040C">
        <w:rPr>
          <w:rFonts w:ascii="Helvetica" w:hAnsi="Helvetica" w:cs="Times New Roman"/>
          <w:sz w:val="20"/>
          <w:szCs w:val="20"/>
        </w:rPr>
        <w:t xml:space="preserve">defined </w:t>
      </w:r>
      <w:r w:rsidRPr="0091040C">
        <w:rPr>
          <w:rFonts w:ascii="Helvetica" w:hAnsi="Helvetica" w:cs="Times New Roman"/>
          <w:sz w:val="20"/>
          <w:szCs w:val="20"/>
        </w:rPr>
        <w:t>growth of one organ</w:t>
      </w:r>
      <w:r w:rsidR="008B5BC9" w:rsidRPr="0091040C">
        <w:rPr>
          <w:rFonts w:ascii="Helvetica" w:hAnsi="Helvetica" w:cs="Times New Roman"/>
          <w:sz w:val="20"/>
          <w:szCs w:val="20"/>
        </w:rPr>
        <w:t>ism 10</w:t>
      </w:r>
      <w:r w:rsidR="00A75C3F" w:rsidRPr="0091040C">
        <w:rPr>
          <w:rFonts w:ascii="Helvetica" w:hAnsi="Helvetica" w:cs="Times New Roman"/>
          <w:sz w:val="20"/>
          <w:szCs w:val="20"/>
        </w:rPr>
        <w:t xml:space="preserve"> times </w:t>
      </w:r>
      <w:r w:rsidR="008B5BC9" w:rsidRPr="0091040C">
        <w:rPr>
          <w:rFonts w:ascii="Helvetica" w:hAnsi="Helvetica" w:cs="Times New Roman"/>
          <w:sz w:val="20"/>
          <w:szCs w:val="20"/>
        </w:rPr>
        <w:t xml:space="preserve">greater than any other </w:t>
      </w:r>
      <w:r w:rsidRPr="0091040C">
        <w:rPr>
          <w:rFonts w:ascii="Helvetica" w:hAnsi="Helvetica" w:cs="Times New Roman"/>
          <w:sz w:val="20"/>
          <w:szCs w:val="20"/>
        </w:rPr>
        <w:t>as predominant, whereas the laboratory used 1000</w:t>
      </w:r>
      <w:r w:rsidR="00A74035" w:rsidRPr="0091040C">
        <w:rPr>
          <w:rFonts w:ascii="Helvetica" w:hAnsi="Helvetica" w:cs="Times New Roman"/>
          <w:sz w:val="20"/>
          <w:szCs w:val="20"/>
        </w:rPr>
        <w:t xml:space="preserve"> times </w:t>
      </w:r>
      <w:r w:rsidR="008B5BC9" w:rsidRPr="0091040C">
        <w:rPr>
          <w:rFonts w:ascii="Helvetica" w:hAnsi="Helvetica" w:cs="Times New Roman"/>
          <w:sz w:val="20"/>
          <w:szCs w:val="20"/>
        </w:rPr>
        <w:t>greater</w:t>
      </w:r>
      <w:r w:rsidRPr="0091040C">
        <w:rPr>
          <w:rFonts w:ascii="Helvetica" w:hAnsi="Helvetica" w:cs="Times New Roman"/>
          <w:sz w:val="20"/>
          <w:szCs w:val="20"/>
        </w:rPr>
        <w:t xml:space="preserve"> as predominant. </w:t>
      </w:r>
      <w:r w:rsidRPr="0091040C">
        <w:rPr>
          <w:rFonts w:ascii="Helvetica" w:eastAsia="Times New Roman" w:hAnsi="Helvetica" w:cs="Times New Roman"/>
          <w:color w:val="0A0905"/>
          <w:sz w:val="20"/>
          <w:szCs w:val="20"/>
          <w:lang w:val="en-US"/>
        </w:rPr>
        <w:t xml:space="preserve">Cross tabulation with Cohen’s </w:t>
      </w:r>
      <w:r w:rsidR="00074112" w:rsidRPr="0091040C">
        <w:rPr>
          <w:rFonts w:ascii="Helvetica" w:eastAsia="Times New Roman" w:hAnsi="Helvetica" w:cs="Times New Roman"/>
          <w:color w:val="0A0905"/>
          <w:sz w:val="20"/>
          <w:szCs w:val="20"/>
          <w:lang w:val="en-US"/>
        </w:rPr>
        <w:t>k</w:t>
      </w:r>
      <w:r w:rsidRPr="0091040C">
        <w:rPr>
          <w:rFonts w:ascii="Helvetica" w:eastAsia="Times New Roman" w:hAnsi="Helvetica" w:cs="Times New Roman"/>
          <w:color w:val="0A0905"/>
          <w:sz w:val="20"/>
          <w:szCs w:val="20"/>
          <w:lang w:val="en-US"/>
        </w:rPr>
        <w:t xml:space="preserve">appa </w:t>
      </w:r>
      <w:r w:rsidR="00B206EF" w:rsidRPr="0091040C">
        <w:rPr>
          <w:rFonts w:ascii="Helvetica" w:eastAsia="Times New Roman" w:hAnsi="Helvetica" w:cs="Times New Roman"/>
          <w:color w:val="0A0905"/>
          <w:sz w:val="20"/>
          <w:szCs w:val="20"/>
          <w:lang w:val="en-US"/>
        </w:rPr>
        <w:t>estimates</w:t>
      </w:r>
      <w:r w:rsidRPr="0091040C">
        <w:rPr>
          <w:rFonts w:ascii="Helvetica" w:eastAsia="Times New Roman" w:hAnsi="Helvetica" w:cs="Times New Roman"/>
          <w:color w:val="0A0905"/>
          <w:sz w:val="20"/>
          <w:szCs w:val="20"/>
          <w:lang w:val="en-US"/>
        </w:rPr>
        <w:t xml:space="preserve"> were </w:t>
      </w:r>
      <w:r w:rsidR="00D9248B" w:rsidRPr="0091040C">
        <w:rPr>
          <w:rFonts w:ascii="Helvetica" w:eastAsia="Times New Roman" w:hAnsi="Helvetica" w:cs="Times New Roman"/>
          <w:color w:val="0A0905"/>
          <w:sz w:val="20"/>
          <w:szCs w:val="20"/>
          <w:lang w:val="en-US"/>
        </w:rPr>
        <w:t xml:space="preserve">compared </w:t>
      </w:r>
      <w:r w:rsidRPr="0091040C">
        <w:rPr>
          <w:rFonts w:ascii="Helvetica" w:eastAsia="Times New Roman" w:hAnsi="Helvetica" w:cs="Times New Roman"/>
          <w:color w:val="0A0905"/>
          <w:sz w:val="20"/>
          <w:szCs w:val="20"/>
          <w:lang w:val="en-US"/>
        </w:rPr>
        <w:t xml:space="preserve">for the three groups. Concordance of the identified organisms, susceptibility results and agreement in the diagnosis of UTI were only </w:t>
      </w:r>
      <w:r w:rsidR="00215325" w:rsidRPr="0091040C">
        <w:rPr>
          <w:rFonts w:ascii="Helvetica" w:eastAsia="Times New Roman" w:hAnsi="Helvetica" w:cs="Times New Roman"/>
          <w:color w:val="0A0905"/>
          <w:sz w:val="20"/>
          <w:szCs w:val="20"/>
          <w:lang w:val="en-US"/>
        </w:rPr>
        <w:t>analyzed</w:t>
      </w:r>
      <w:r w:rsidRPr="0091040C">
        <w:rPr>
          <w:rFonts w:ascii="Helvetica" w:eastAsia="Times New Roman" w:hAnsi="Helvetica" w:cs="Times New Roman"/>
          <w:color w:val="0A0905"/>
          <w:sz w:val="20"/>
          <w:szCs w:val="20"/>
          <w:lang w:val="en-US"/>
        </w:rPr>
        <w:t xml:space="preserve"> between the laboratory cultures and the Flexicult</w:t>
      </w:r>
      <w:r w:rsidRPr="0091040C">
        <w:rPr>
          <w:rFonts w:ascii="Helvetica" w:eastAsia="Times New Roman" w:hAnsi="Helvetica" w:cs="Times New Roman"/>
          <w:color w:val="0A0905"/>
          <w:sz w:val="20"/>
          <w:szCs w:val="20"/>
          <w:vertAlign w:val="superscript"/>
          <w:lang w:val="en-US"/>
        </w:rPr>
        <w:t>TM</w:t>
      </w:r>
      <w:r w:rsidRPr="0091040C">
        <w:rPr>
          <w:rFonts w:ascii="Helvetica" w:eastAsia="Times New Roman" w:hAnsi="Helvetica" w:cs="Times New Roman"/>
          <w:color w:val="0A0905"/>
          <w:sz w:val="20"/>
          <w:szCs w:val="20"/>
          <w:lang w:val="en-US"/>
        </w:rPr>
        <w:t xml:space="preserve"> cultures. Prevalence Adjusted Bias Adjust </w:t>
      </w:r>
      <w:r w:rsidR="00074112" w:rsidRPr="0091040C">
        <w:rPr>
          <w:rFonts w:ascii="Helvetica" w:eastAsia="Times New Roman" w:hAnsi="Helvetica" w:cs="Times New Roman"/>
          <w:color w:val="0A0905"/>
          <w:sz w:val="20"/>
          <w:szCs w:val="20"/>
          <w:lang w:val="en-US"/>
        </w:rPr>
        <w:t>k</w:t>
      </w:r>
      <w:r w:rsidRPr="0091040C">
        <w:rPr>
          <w:rFonts w:ascii="Helvetica" w:eastAsia="Times New Roman" w:hAnsi="Helvetica" w:cs="Times New Roman"/>
          <w:color w:val="0A0905"/>
          <w:sz w:val="20"/>
          <w:szCs w:val="20"/>
          <w:lang w:val="en-US"/>
        </w:rPr>
        <w:t>appa (PABAK</w:t>
      </w:r>
      <w:r w:rsidRPr="0091040C">
        <w:rPr>
          <w:rFonts w:ascii="Helvetica" w:eastAsia="Times New Roman" w:hAnsi="Helvetica" w:cs="Times New Roman"/>
          <w:color w:val="0A0905"/>
          <w:sz w:val="20"/>
          <w:szCs w:val="20"/>
          <w:lang w:val="en-US"/>
        </w:rPr>
        <w:fldChar w:fldCharType="begin" w:fldLock="1"/>
      </w:r>
      <w:r w:rsidR="00E12CED" w:rsidRPr="0091040C">
        <w:rPr>
          <w:rFonts w:ascii="Helvetica" w:eastAsia="Times New Roman" w:hAnsi="Helvetica" w:cs="Times New Roman"/>
          <w:color w:val="0A0905"/>
          <w:sz w:val="20"/>
          <w:szCs w:val="20"/>
          <w:lang w:val="en-US"/>
        </w:rPr>
        <w:instrText>ADDIN CSL_CITATION { "citationItems" : [ { "id" : "ITEM-1", "itemData" : { "DOI" : "15733050", "ISBN" : "0031-9023 (Print)", "ISSN" : "0031-9023", "PMID" : "15733050", "abstract" : "Purpose. This article examines and illustrates the use and interpreta-tion of the kappa statistic in musculoskeletal research. Summary of Key Points. The reliability of clinicians' ratings is an important consider-ation in areas such as diagnosis and the interpretation of examination findings. Often, these ratings lie on a nominal or an ordinal scale. For such data, the kappa coefficient is an appropriate measure of reliabil-ity. Kappa is defined, in both weighted and unweighted forms, and its use is illustrated with examples from musculoskeletal research. Factors that can influence the magnitude of kappa (prevalence, bias, and nonindependent ratings) are discussed, and ways of evaluating the magnitude of an obtained kappa are considered. The issue of statistical testing of kappa is considered, including the use of confidence intervals, and appropriate sample sizes for reliability studies using kappa are tabulated. Conclusions. The article concludes with recom-mendations for the use and interpretation of kappa. [Sim J, Wright CC. The kappa statistic in reliability studies: use, interpretation, and sample size requirements. Phys Ther. 2005;85:257\u2013268.]", "author" : [ { "dropping-particle" : "", "family" : "Sim", "given" : "Julius", "non-dropping-particle" : "", "parse-names" : false, "suffix" : "" }, { "dropping-particle" : "", "family" : "Wright", "given" : "Chris C", "non-dropping-particle" : "", "parse-names" : false, "suffix" : "" } ], "container-title" : "PHYS THER. Physical Therapy", "id" : "ITEM-1", "issue" : "3", "issued" : { "date-parts" : [ [ "2005" ] ] }, "page" : "257-268", "title" : "Interpretation, and Sample Size Requirements The Kappa Statistic in Reliability Studies: Use, Interpretation, and Sample Size Requirements", "type" : "article-journal", "volume" : "85" }, "uris" : [ "http://www.mendeley.com/documents/?uuid=218baeaf-ee98-47dd-8b6f-646e9e15f728" ] } ], "mendeley" : { "formattedCitation" : "&lt;sup&gt;12&lt;/sup&gt;", "plainTextFormattedCitation" : "12", "previouslyFormattedCitation" : "&lt;sup&gt;12&lt;/sup&gt;" }, "properties" : { "noteIndex" : 0 }, "schema" : "https://github.com/citation-style-language/schema/raw/master/csl-citation.json" }</w:instrText>
      </w:r>
      <w:r w:rsidRPr="0091040C">
        <w:rPr>
          <w:rFonts w:ascii="Helvetica" w:eastAsia="Times New Roman" w:hAnsi="Helvetica" w:cs="Times New Roman"/>
          <w:color w:val="0A0905"/>
          <w:sz w:val="20"/>
          <w:szCs w:val="20"/>
          <w:lang w:val="en-US"/>
        </w:rPr>
        <w:fldChar w:fldCharType="separate"/>
      </w:r>
      <w:r w:rsidR="005642C4" w:rsidRPr="0091040C">
        <w:rPr>
          <w:rFonts w:ascii="Helvetica" w:eastAsia="Times New Roman" w:hAnsi="Helvetica" w:cs="Times New Roman"/>
          <w:noProof/>
          <w:color w:val="0A0905"/>
          <w:sz w:val="20"/>
          <w:szCs w:val="20"/>
          <w:vertAlign w:val="superscript"/>
          <w:lang w:val="en-US"/>
        </w:rPr>
        <w:t>12</w:t>
      </w:r>
      <w:r w:rsidRPr="0091040C">
        <w:rPr>
          <w:rFonts w:ascii="Helvetica" w:eastAsia="Times New Roman" w:hAnsi="Helvetica" w:cs="Times New Roman"/>
          <w:color w:val="0A0905"/>
          <w:sz w:val="20"/>
          <w:szCs w:val="20"/>
          <w:lang w:val="en-US"/>
        </w:rPr>
        <w:fldChar w:fldCharType="end"/>
      </w:r>
      <w:r w:rsidRPr="0091040C">
        <w:rPr>
          <w:rFonts w:ascii="Helvetica" w:eastAsia="Times New Roman" w:hAnsi="Helvetica" w:cs="Times New Roman"/>
          <w:color w:val="0A0905"/>
          <w:sz w:val="20"/>
          <w:szCs w:val="20"/>
          <w:lang w:val="en-US"/>
        </w:rPr>
        <w:t xml:space="preserve">) </w:t>
      </w:r>
      <w:r w:rsidR="00074112" w:rsidRPr="0091040C">
        <w:rPr>
          <w:rFonts w:ascii="Helvetica" w:eastAsia="Times New Roman" w:hAnsi="Helvetica" w:cs="Times New Roman"/>
          <w:color w:val="0A0905"/>
          <w:sz w:val="20"/>
          <w:szCs w:val="20"/>
          <w:lang w:val="en-US"/>
        </w:rPr>
        <w:t>values</w:t>
      </w:r>
      <w:r w:rsidRPr="0091040C">
        <w:rPr>
          <w:rFonts w:ascii="Helvetica" w:eastAsia="Times New Roman" w:hAnsi="Helvetica" w:cs="Times New Roman"/>
          <w:color w:val="0A0905"/>
          <w:sz w:val="20"/>
          <w:szCs w:val="20"/>
          <w:lang w:val="en-US"/>
        </w:rPr>
        <w:t xml:space="preserve"> were </w:t>
      </w:r>
      <w:r w:rsidR="00D9248B" w:rsidRPr="0091040C">
        <w:rPr>
          <w:rFonts w:ascii="Helvetica" w:eastAsia="Times New Roman" w:hAnsi="Helvetica" w:cs="Times New Roman"/>
          <w:color w:val="0A0905"/>
          <w:sz w:val="20"/>
          <w:szCs w:val="20"/>
          <w:lang w:val="en-US"/>
        </w:rPr>
        <w:t>estimated</w:t>
      </w:r>
      <w:r w:rsidRPr="0091040C">
        <w:rPr>
          <w:rFonts w:ascii="Helvetica" w:eastAsia="Times New Roman" w:hAnsi="Helvetica" w:cs="Times New Roman"/>
          <w:color w:val="0A0905"/>
          <w:sz w:val="20"/>
          <w:szCs w:val="20"/>
          <w:lang w:val="en-US"/>
        </w:rPr>
        <w:t xml:space="preserve">. When </w:t>
      </w:r>
      <w:r w:rsidR="00D9248B" w:rsidRPr="0091040C">
        <w:rPr>
          <w:rFonts w:ascii="Helvetica" w:eastAsia="Times New Roman" w:hAnsi="Helvetica" w:cs="Times New Roman"/>
          <w:color w:val="0A0905"/>
          <w:sz w:val="20"/>
          <w:szCs w:val="20"/>
          <w:lang w:val="en-US"/>
        </w:rPr>
        <w:t xml:space="preserve">only small numbers </w:t>
      </w:r>
      <w:r w:rsidR="00D9248B" w:rsidRPr="0091040C">
        <w:rPr>
          <w:rFonts w:ascii="Helvetica" w:hAnsi="Helvetica" w:cs="Times New Roman"/>
          <w:sz w:val="20"/>
          <w:szCs w:val="20"/>
        </w:rPr>
        <w:t xml:space="preserve">were </w:t>
      </w:r>
      <w:r w:rsidRPr="0091040C">
        <w:rPr>
          <w:rFonts w:ascii="Helvetica" w:hAnsi="Helvetica" w:cs="Times New Roman"/>
          <w:sz w:val="20"/>
          <w:szCs w:val="20"/>
        </w:rPr>
        <w:t>available (</w:t>
      </w:r>
      <w:r w:rsidR="00074112" w:rsidRPr="0091040C">
        <w:rPr>
          <w:rFonts w:ascii="Helvetica" w:hAnsi="Helvetica" w:cs="Times New Roman"/>
          <w:sz w:val="20"/>
          <w:szCs w:val="20"/>
        </w:rPr>
        <w:t xml:space="preserve">i.e., </w:t>
      </w:r>
      <w:r w:rsidRPr="0091040C">
        <w:rPr>
          <w:rFonts w:ascii="Helvetica" w:hAnsi="Helvetica" w:cs="Times New Roman"/>
          <w:sz w:val="20"/>
          <w:szCs w:val="20"/>
        </w:rPr>
        <w:t xml:space="preserve">n≤10) for a </w:t>
      </w:r>
      <w:r w:rsidR="00D9248B" w:rsidRPr="0091040C">
        <w:rPr>
          <w:rFonts w:ascii="Helvetica" w:hAnsi="Helvetica" w:cs="Times New Roman"/>
          <w:sz w:val="20"/>
          <w:szCs w:val="20"/>
        </w:rPr>
        <w:lastRenderedPageBreak/>
        <w:t xml:space="preserve">susceptibility testing results for </w:t>
      </w:r>
      <w:r w:rsidR="00F50CD4" w:rsidRPr="0091040C">
        <w:rPr>
          <w:rFonts w:ascii="Helvetica" w:hAnsi="Helvetica" w:cs="Times New Roman"/>
          <w:sz w:val="20"/>
          <w:szCs w:val="20"/>
        </w:rPr>
        <w:t xml:space="preserve">a </w:t>
      </w:r>
      <w:r w:rsidRPr="0091040C">
        <w:rPr>
          <w:rFonts w:ascii="Helvetica" w:hAnsi="Helvetica" w:cs="Times New Roman"/>
          <w:sz w:val="20"/>
          <w:szCs w:val="20"/>
        </w:rPr>
        <w:t>particular antibiotic, this antibiotic was excluded for further analysis.  To assess significant discrepancies in resistance rate</w:t>
      </w:r>
      <w:r w:rsidR="00521212" w:rsidRPr="0091040C">
        <w:rPr>
          <w:rFonts w:ascii="Helvetica" w:hAnsi="Helvetica" w:cs="Times New Roman"/>
          <w:sz w:val="20"/>
          <w:szCs w:val="20"/>
        </w:rPr>
        <w:t>s</w:t>
      </w:r>
      <w:r w:rsidRPr="0091040C">
        <w:rPr>
          <w:rFonts w:ascii="Helvetica" w:hAnsi="Helvetica" w:cs="Times New Roman"/>
          <w:sz w:val="20"/>
          <w:szCs w:val="20"/>
        </w:rPr>
        <w:t>, p-values</w:t>
      </w:r>
      <w:r w:rsidRPr="0091040C">
        <w:rPr>
          <w:rFonts w:ascii="Helvetica" w:eastAsia="Times New Roman" w:hAnsi="Helvetica" w:cs="Times New Roman"/>
          <w:color w:val="0A0905"/>
          <w:sz w:val="20"/>
          <w:szCs w:val="20"/>
          <w:lang w:val="en-US"/>
        </w:rPr>
        <w:t xml:space="preserve"> were </w:t>
      </w:r>
      <w:r w:rsidR="00074112" w:rsidRPr="0091040C">
        <w:rPr>
          <w:rFonts w:ascii="Helvetica" w:eastAsia="Times New Roman" w:hAnsi="Helvetica" w:cs="Times New Roman"/>
          <w:color w:val="0A0905"/>
          <w:sz w:val="20"/>
          <w:szCs w:val="20"/>
          <w:lang w:val="en-US"/>
        </w:rPr>
        <w:t xml:space="preserve">calculated </w:t>
      </w:r>
      <w:r w:rsidRPr="0091040C">
        <w:rPr>
          <w:rFonts w:ascii="Helvetica" w:eastAsia="Times New Roman" w:hAnsi="Helvetica" w:cs="Times New Roman"/>
          <w:color w:val="0A0905"/>
          <w:sz w:val="20"/>
          <w:szCs w:val="20"/>
          <w:lang w:val="en-US"/>
        </w:rPr>
        <w:t xml:space="preserve">using </w:t>
      </w:r>
      <w:proofErr w:type="spellStart"/>
      <w:r w:rsidRPr="0091040C">
        <w:rPr>
          <w:rFonts w:ascii="Helvetica" w:eastAsia="Times New Roman" w:hAnsi="Helvetica" w:cs="Times New Roman"/>
          <w:color w:val="0A0905"/>
          <w:sz w:val="20"/>
          <w:szCs w:val="20"/>
          <w:lang w:val="en-US"/>
        </w:rPr>
        <w:t>McNemar</w:t>
      </w:r>
      <w:r w:rsidR="00445FC5" w:rsidRPr="0091040C">
        <w:rPr>
          <w:rFonts w:ascii="Helvetica" w:eastAsia="Times New Roman" w:hAnsi="Helvetica" w:cs="Times New Roman"/>
          <w:color w:val="0A0905"/>
          <w:sz w:val="20"/>
          <w:szCs w:val="20"/>
          <w:lang w:val="en-US"/>
        </w:rPr>
        <w:t>’s</w:t>
      </w:r>
      <w:proofErr w:type="spellEnd"/>
      <w:r w:rsidRPr="0091040C">
        <w:rPr>
          <w:rFonts w:ascii="Helvetica" w:eastAsia="Times New Roman" w:hAnsi="Helvetica" w:cs="Times New Roman"/>
          <w:color w:val="0A0905"/>
          <w:sz w:val="20"/>
          <w:szCs w:val="20"/>
          <w:lang w:val="en-US"/>
        </w:rPr>
        <w:t xml:space="preserve"> test and Bonferroni adjustments were made.</w:t>
      </w:r>
      <w:r w:rsidRPr="0091040C">
        <w:rPr>
          <w:rFonts w:ascii="Helvetica" w:hAnsi="Helvetica" w:cs="Times New Roman"/>
          <w:sz w:val="20"/>
          <w:szCs w:val="20"/>
        </w:rPr>
        <w:t xml:space="preserve"> Statistical analyses were performed with SPSS version 22.0 (SPSS </w:t>
      </w:r>
      <w:proofErr w:type="spellStart"/>
      <w:r w:rsidRPr="0091040C">
        <w:rPr>
          <w:rFonts w:ascii="Helvetica" w:hAnsi="Helvetica" w:cs="Times New Roman"/>
          <w:sz w:val="20"/>
          <w:szCs w:val="20"/>
        </w:rPr>
        <w:t>Inc</w:t>
      </w:r>
      <w:proofErr w:type="spellEnd"/>
      <w:r w:rsidRPr="0091040C">
        <w:rPr>
          <w:rFonts w:ascii="Helvetica" w:hAnsi="Helvetica" w:cs="Times New Roman"/>
          <w:sz w:val="20"/>
          <w:szCs w:val="20"/>
        </w:rPr>
        <w:t>, Chicago, ILL, USA).</w:t>
      </w:r>
      <w:r w:rsidR="00EE30FB" w:rsidRPr="0091040C">
        <w:rPr>
          <w:rFonts w:ascii="Helvetica" w:hAnsi="Helvetica" w:cs="Times New Roman"/>
          <w:sz w:val="20"/>
          <w:szCs w:val="20"/>
        </w:rPr>
        <w:t xml:space="preserve"> </w:t>
      </w:r>
    </w:p>
    <w:p w14:paraId="3F77F0CE" w14:textId="27FAF631" w:rsidR="00AE4B8B" w:rsidRDefault="00497B38" w:rsidP="00497B38">
      <w:pPr>
        <w:spacing w:line="480" w:lineRule="auto"/>
        <w:rPr>
          <w:rFonts w:ascii="Helvetica" w:hAnsi="Helvetica" w:cs="Times New Roman"/>
          <w:sz w:val="20"/>
          <w:szCs w:val="20"/>
        </w:rPr>
      </w:pPr>
      <w:r w:rsidRPr="0091040C">
        <w:rPr>
          <w:rFonts w:ascii="Helvetica" w:hAnsi="Helvetica" w:cs="Times New Roman"/>
          <w:b/>
          <w:sz w:val="20"/>
          <w:szCs w:val="20"/>
        </w:rPr>
        <w:t>Results</w:t>
      </w:r>
      <w:r w:rsidRPr="0091040C">
        <w:rPr>
          <w:rFonts w:ascii="Helvetica" w:hAnsi="Helvetica" w:cs="Times New Roman"/>
          <w:b/>
          <w:sz w:val="20"/>
          <w:szCs w:val="20"/>
        </w:rPr>
        <w:br/>
      </w:r>
      <w:r w:rsidRPr="0091040C">
        <w:rPr>
          <w:rFonts w:ascii="Helvetica" w:hAnsi="Helvetica" w:cs="Times New Roman"/>
          <w:sz w:val="20"/>
          <w:szCs w:val="20"/>
        </w:rPr>
        <w:t>In all, 6</w:t>
      </w:r>
      <w:r w:rsidR="00074112" w:rsidRPr="0091040C">
        <w:rPr>
          <w:rFonts w:ascii="Helvetica" w:hAnsi="Helvetica" w:cs="Times New Roman"/>
          <w:sz w:val="20"/>
          <w:szCs w:val="20"/>
        </w:rPr>
        <w:t>4</w:t>
      </w:r>
      <w:r w:rsidRPr="0091040C">
        <w:rPr>
          <w:rFonts w:ascii="Helvetica" w:hAnsi="Helvetica" w:cs="Times New Roman"/>
          <w:sz w:val="20"/>
          <w:szCs w:val="20"/>
        </w:rPr>
        <w:t>3 patients were recruited into the POETIC Trial, and 325 patients were randomised to the Flexicult</w:t>
      </w:r>
      <w:r w:rsidRPr="0091040C">
        <w:rPr>
          <w:rFonts w:ascii="Helvetica" w:hAnsi="Helvetica" w:cs="Times New Roman"/>
          <w:sz w:val="20"/>
          <w:szCs w:val="20"/>
          <w:vertAlign w:val="superscript"/>
        </w:rPr>
        <w:t>TM</w:t>
      </w:r>
      <w:r w:rsidR="008B5BC9" w:rsidRPr="0091040C">
        <w:rPr>
          <w:rFonts w:ascii="Helvetica" w:hAnsi="Helvetica" w:cs="Times New Roman"/>
          <w:sz w:val="20"/>
          <w:szCs w:val="20"/>
        </w:rPr>
        <w:t xml:space="preserve"> arm. </w:t>
      </w:r>
      <w:r w:rsidR="00F4619C" w:rsidRPr="0091040C">
        <w:rPr>
          <w:rFonts w:ascii="Helvetica" w:hAnsi="Helvetica" w:cs="Times New Roman"/>
          <w:sz w:val="20"/>
          <w:szCs w:val="20"/>
        </w:rPr>
        <w:t xml:space="preserve">Results from the </w:t>
      </w:r>
      <w:r w:rsidRPr="0091040C">
        <w:rPr>
          <w:rFonts w:ascii="Helvetica" w:hAnsi="Helvetica" w:cs="Times New Roman"/>
          <w:sz w:val="20"/>
          <w:szCs w:val="20"/>
        </w:rPr>
        <w:t>Flexicult</w:t>
      </w:r>
      <w:r w:rsidRPr="0091040C">
        <w:rPr>
          <w:rFonts w:ascii="Helvetica" w:hAnsi="Helvetica" w:cs="Times New Roman"/>
          <w:sz w:val="20"/>
          <w:szCs w:val="20"/>
          <w:vertAlign w:val="superscript"/>
        </w:rPr>
        <w:t>TM</w:t>
      </w:r>
      <w:r w:rsidRPr="0091040C">
        <w:rPr>
          <w:rFonts w:ascii="Helvetica" w:hAnsi="Helvetica" w:cs="Times New Roman"/>
          <w:sz w:val="20"/>
          <w:szCs w:val="20"/>
        </w:rPr>
        <w:t xml:space="preserve"> were recorded for 312 (9</w:t>
      </w:r>
      <w:r w:rsidR="00D42499" w:rsidRPr="0091040C">
        <w:rPr>
          <w:rFonts w:ascii="Helvetica" w:hAnsi="Helvetica" w:cs="Times New Roman"/>
          <w:sz w:val="20"/>
          <w:szCs w:val="20"/>
        </w:rPr>
        <w:t>6.0</w:t>
      </w:r>
      <w:r w:rsidRPr="0091040C">
        <w:rPr>
          <w:rFonts w:ascii="Helvetica" w:hAnsi="Helvetica" w:cs="Times New Roman"/>
          <w:sz w:val="20"/>
          <w:szCs w:val="20"/>
        </w:rPr>
        <w:t xml:space="preserve">%) </w:t>
      </w:r>
      <w:r w:rsidR="004100F4" w:rsidRPr="0091040C">
        <w:rPr>
          <w:rFonts w:ascii="Helvetica" w:hAnsi="Helvetica" w:cs="Times New Roman"/>
          <w:sz w:val="20"/>
          <w:szCs w:val="20"/>
        </w:rPr>
        <w:t xml:space="preserve">participants </w:t>
      </w:r>
      <w:r w:rsidR="00F112E3">
        <w:rPr>
          <w:rFonts w:ascii="Helvetica" w:hAnsi="Helvetica" w:cs="Times New Roman"/>
          <w:sz w:val="20"/>
          <w:szCs w:val="20"/>
        </w:rPr>
        <w:t>(Figure 2</w:t>
      </w:r>
      <w:r w:rsidRPr="0091040C">
        <w:rPr>
          <w:rFonts w:ascii="Helvetica" w:hAnsi="Helvetica" w:cs="Times New Roman"/>
          <w:sz w:val="20"/>
          <w:szCs w:val="20"/>
        </w:rPr>
        <w:t>). All included participants were female</w:t>
      </w:r>
      <w:r w:rsidR="00786A6F" w:rsidRPr="0091040C">
        <w:rPr>
          <w:rFonts w:ascii="Helvetica" w:hAnsi="Helvetica" w:cs="Times New Roman"/>
          <w:sz w:val="20"/>
          <w:szCs w:val="20"/>
        </w:rPr>
        <w:t>,</w:t>
      </w:r>
      <w:r w:rsidR="00445FC5" w:rsidRPr="0091040C">
        <w:rPr>
          <w:rFonts w:ascii="Helvetica" w:hAnsi="Helvetica" w:cs="Times New Roman"/>
          <w:sz w:val="20"/>
          <w:szCs w:val="20"/>
        </w:rPr>
        <w:t xml:space="preserve"> </w:t>
      </w:r>
      <w:r w:rsidR="00074112" w:rsidRPr="0091040C">
        <w:rPr>
          <w:rFonts w:ascii="Helvetica" w:hAnsi="Helvetica" w:cs="Times New Roman"/>
          <w:sz w:val="20"/>
          <w:szCs w:val="20"/>
        </w:rPr>
        <w:t>the</w:t>
      </w:r>
      <w:r w:rsidR="004100F4" w:rsidRPr="0091040C">
        <w:rPr>
          <w:rFonts w:ascii="Helvetica" w:hAnsi="Helvetica" w:cs="Times New Roman"/>
          <w:sz w:val="20"/>
          <w:szCs w:val="20"/>
        </w:rPr>
        <w:t xml:space="preserve">ir </w:t>
      </w:r>
      <w:r w:rsidRPr="0091040C">
        <w:rPr>
          <w:rFonts w:ascii="Helvetica" w:hAnsi="Helvetica" w:cs="Times New Roman"/>
          <w:sz w:val="20"/>
          <w:szCs w:val="20"/>
        </w:rPr>
        <w:t>mean age was 49 years, 8</w:t>
      </w:r>
      <w:r w:rsidR="00556FE7" w:rsidRPr="0091040C">
        <w:rPr>
          <w:rFonts w:ascii="Helvetica" w:hAnsi="Helvetica" w:cs="Times New Roman"/>
          <w:sz w:val="20"/>
          <w:szCs w:val="20"/>
        </w:rPr>
        <w:t>5.</w:t>
      </w:r>
      <w:r w:rsidR="00D42499" w:rsidRPr="0091040C">
        <w:rPr>
          <w:rFonts w:ascii="Helvetica" w:hAnsi="Helvetica" w:cs="Times New Roman"/>
          <w:sz w:val="20"/>
          <w:szCs w:val="20"/>
        </w:rPr>
        <w:t>4</w:t>
      </w:r>
      <w:r w:rsidR="00786A6F" w:rsidRPr="0091040C">
        <w:rPr>
          <w:rFonts w:ascii="Helvetica" w:hAnsi="Helvetica" w:cs="Times New Roman"/>
          <w:sz w:val="20"/>
          <w:szCs w:val="20"/>
        </w:rPr>
        <w:t>% had a history of UTI,</w:t>
      </w:r>
      <w:r w:rsidRPr="0091040C">
        <w:rPr>
          <w:rFonts w:ascii="Helvetica" w:hAnsi="Helvetica" w:cs="Times New Roman"/>
          <w:sz w:val="20"/>
          <w:szCs w:val="20"/>
        </w:rPr>
        <w:t xml:space="preserve"> 6</w:t>
      </w:r>
      <w:r w:rsidR="00556FE7" w:rsidRPr="0091040C">
        <w:rPr>
          <w:rFonts w:ascii="Helvetica" w:hAnsi="Helvetica" w:cs="Times New Roman"/>
          <w:sz w:val="20"/>
          <w:szCs w:val="20"/>
        </w:rPr>
        <w:t>8.6</w:t>
      </w:r>
      <w:r w:rsidRPr="0091040C">
        <w:rPr>
          <w:rFonts w:ascii="Helvetica" w:hAnsi="Helvetica" w:cs="Times New Roman"/>
          <w:sz w:val="20"/>
          <w:szCs w:val="20"/>
        </w:rPr>
        <w:t>% were from the UK, 27</w:t>
      </w:r>
      <w:r w:rsidR="00556FE7" w:rsidRPr="0091040C">
        <w:rPr>
          <w:rFonts w:ascii="Helvetica" w:hAnsi="Helvetica" w:cs="Times New Roman"/>
          <w:sz w:val="20"/>
          <w:szCs w:val="20"/>
        </w:rPr>
        <w:t>.1</w:t>
      </w:r>
      <w:r w:rsidRPr="0091040C">
        <w:rPr>
          <w:rFonts w:ascii="Helvetica" w:hAnsi="Helvetica" w:cs="Times New Roman"/>
          <w:sz w:val="20"/>
          <w:szCs w:val="20"/>
        </w:rPr>
        <w:t>% from Spain, and 4</w:t>
      </w:r>
      <w:r w:rsidR="00556FE7" w:rsidRPr="0091040C">
        <w:rPr>
          <w:rFonts w:ascii="Helvetica" w:hAnsi="Helvetica" w:cs="Times New Roman"/>
          <w:sz w:val="20"/>
          <w:szCs w:val="20"/>
        </w:rPr>
        <w:t>.2</w:t>
      </w:r>
      <w:r w:rsidRPr="0091040C">
        <w:rPr>
          <w:rFonts w:ascii="Helvetica" w:hAnsi="Helvetica" w:cs="Times New Roman"/>
          <w:sz w:val="20"/>
          <w:szCs w:val="20"/>
        </w:rPr>
        <w:t xml:space="preserve">% from the Netherlands. In the UK and the </w:t>
      </w:r>
      <w:r w:rsidR="00116427" w:rsidRPr="0091040C">
        <w:rPr>
          <w:rFonts w:ascii="Helvetica" w:hAnsi="Helvetica" w:cs="Times New Roman"/>
          <w:sz w:val="20"/>
          <w:szCs w:val="20"/>
        </w:rPr>
        <w:t>Netherlands,</w:t>
      </w:r>
      <w:r w:rsidRPr="0091040C">
        <w:rPr>
          <w:rFonts w:ascii="Helvetica" w:hAnsi="Helvetica" w:cs="Times New Roman"/>
          <w:sz w:val="20"/>
          <w:szCs w:val="20"/>
        </w:rPr>
        <w:t xml:space="preserve"> the Flexicult</w:t>
      </w:r>
      <w:r w:rsidRPr="0091040C">
        <w:rPr>
          <w:rFonts w:ascii="Helvetica" w:hAnsi="Helvetica" w:cs="Times New Roman"/>
          <w:sz w:val="20"/>
          <w:szCs w:val="20"/>
          <w:vertAlign w:val="superscript"/>
        </w:rPr>
        <w:t xml:space="preserve">TM </w:t>
      </w:r>
      <w:r w:rsidRPr="0091040C">
        <w:rPr>
          <w:rFonts w:ascii="Helvetica" w:hAnsi="Helvetica" w:cs="Times New Roman"/>
          <w:sz w:val="20"/>
          <w:szCs w:val="20"/>
        </w:rPr>
        <w:t>plates were read by either GPs, nurses or other health care professionals. In Spain</w:t>
      </w:r>
      <w:r w:rsidR="00074112" w:rsidRPr="0091040C">
        <w:rPr>
          <w:rFonts w:ascii="Helvetica" w:hAnsi="Helvetica" w:cs="Times New Roman"/>
          <w:sz w:val="20"/>
          <w:szCs w:val="20"/>
        </w:rPr>
        <w:t>,</w:t>
      </w:r>
      <w:r w:rsidRPr="0091040C">
        <w:rPr>
          <w:rFonts w:ascii="Helvetica" w:hAnsi="Helvetica" w:cs="Times New Roman"/>
          <w:sz w:val="20"/>
          <w:szCs w:val="20"/>
        </w:rPr>
        <w:t xml:space="preserve"> the Flexicult</w:t>
      </w:r>
      <w:r w:rsidRPr="0091040C">
        <w:rPr>
          <w:rFonts w:ascii="Helvetica" w:hAnsi="Helvetica" w:cs="Times New Roman"/>
          <w:sz w:val="20"/>
          <w:szCs w:val="20"/>
          <w:vertAlign w:val="superscript"/>
        </w:rPr>
        <w:t>TM</w:t>
      </w:r>
      <w:r w:rsidRPr="0091040C">
        <w:rPr>
          <w:rFonts w:ascii="Helvetica" w:hAnsi="Helvetica" w:cs="Times New Roman"/>
          <w:sz w:val="20"/>
          <w:szCs w:val="20"/>
        </w:rPr>
        <w:t xml:space="preserve"> plates were read </w:t>
      </w:r>
      <w:r w:rsidR="004100F4" w:rsidRPr="0091040C">
        <w:rPr>
          <w:rFonts w:ascii="Helvetica" w:hAnsi="Helvetica" w:cs="Times New Roman"/>
          <w:sz w:val="20"/>
          <w:szCs w:val="20"/>
        </w:rPr>
        <w:t xml:space="preserve">only </w:t>
      </w:r>
      <w:r w:rsidRPr="0091040C">
        <w:rPr>
          <w:rFonts w:ascii="Helvetica" w:hAnsi="Helvetica" w:cs="Times New Roman"/>
          <w:sz w:val="20"/>
          <w:szCs w:val="20"/>
        </w:rPr>
        <w:t>by GPs.</w:t>
      </w:r>
    </w:p>
    <w:p w14:paraId="775DEE11" w14:textId="77777777" w:rsidR="00497B38" w:rsidRPr="00744462" w:rsidRDefault="00497B38" w:rsidP="00497B38">
      <w:pPr>
        <w:spacing w:line="480" w:lineRule="auto"/>
        <w:rPr>
          <w:rFonts w:ascii="Helvetica" w:hAnsi="Helvetica" w:cs="Times New Roman"/>
          <w:color w:val="000000"/>
          <w:sz w:val="20"/>
          <w:szCs w:val="20"/>
        </w:rPr>
      </w:pPr>
      <w:r w:rsidRPr="0091040C">
        <w:rPr>
          <w:rFonts w:ascii="Helvetica" w:hAnsi="Helvetica" w:cs="Times New Roman"/>
          <w:i/>
          <w:sz w:val="20"/>
          <w:szCs w:val="20"/>
        </w:rPr>
        <w:t xml:space="preserve">Purity of growth and </w:t>
      </w:r>
      <w:r w:rsidR="00F50CD4" w:rsidRPr="0091040C">
        <w:rPr>
          <w:rFonts w:ascii="Helvetica" w:hAnsi="Helvetica" w:cs="Times New Roman"/>
          <w:i/>
          <w:sz w:val="20"/>
          <w:szCs w:val="20"/>
        </w:rPr>
        <w:t xml:space="preserve">bacterial </w:t>
      </w:r>
      <w:r w:rsidRPr="0091040C">
        <w:rPr>
          <w:rFonts w:ascii="Helvetica" w:hAnsi="Helvetica" w:cs="Times New Roman"/>
          <w:i/>
          <w:sz w:val="20"/>
          <w:szCs w:val="20"/>
        </w:rPr>
        <w:t>quantification</w:t>
      </w:r>
      <w:r w:rsidRPr="0091040C">
        <w:rPr>
          <w:rFonts w:ascii="Helvetica" w:hAnsi="Helvetica" w:cs="Times New Roman"/>
          <w:sz w:val="20"/>
          <w:szCs w:val="20"/>
        </w:rPr>
        <w:t xml:space="preserve"> </w:t>
      </w:r>
      <w:r w:rsidR="0091040C" w:rsidRPr="00744462">
        <w:rPr>
          <w:rFonts w:ascii="Helvetica" w:hAnsi="Helvetica" w:cs="Times New Roman"/>
          <w:color w:val="000000"/>
          <w:sz w:val="20"/>
          <w:szCs w:val="20"/>
        </w:rPr>
        <w:br/>
      </w:r>
      <w:r w:rsidR="008B5BC9" w:rsidRPr="0091040C">
        <w:rPr>
          <w:rFonts w:ascii="Helvetica" w:hAnsi="Helvetica" w:cs="Times New Roman"/>
          <w:sz w:val="20"/>
          <w:szCs w:val="20"/>
        </w:rPr>
        <w:t xml:space="preserve">The purity of </w:t>
      </w:r>
      <w:r w:rsidR="00F50CD4" w:rsidRPr="0091040C">
        <w:rPr>
          <w:rFonts w:ascii="Helvetica" w:hAnsi="Helvetica" w:cs="Times New Roman"/>
          <w:sz w:val="20"/>
          <w:szCs w:val="20"/>
        </w:rPr>
        <w:t xml:space="preserve">bacterial </w:t>
      </w:r>
      <w:r w:rsidR="008B5BC9" w:rsidRPr="0091040C">
        <w:rPr>
          <w:rFonts w:ascii="Helvetica" w:hAnsi="Helvetica" w:cs="Times New Roman"/>
          <w:sz w:val="20"/>
          <w:szCs w:val="20"/>
        </w:rPr>
        <w:t xml:space="preserve">growth </w:t>
      </w:r>
      <w:r w:rsidR="00215325" w:rsidRPr="0091040C">
        <w:rPr>
          <w:rFonts w:ascii="Helvetica" w:hAnsi="Helvetica" w:cs="Times New Roman"/>
          <w:sz w:val="20"/>
          <w:szCs w:val="20"/>
        </w:rPr>
        <w:t xml:space="preserve">in </w:t>
      </w:r>
      <w:r w:rsidR="00891175" w:rsidRPr="0091040C">
        <w:rPr>
          <w:rFonts w:ascii="Helvetica" w:hAnsi="Helvetica" w:cs="Times New Roman"/>
          <w:sz w:val="20"/>
          <w:szCs w:val="20"/>
        </w:rPr>
        <w:t>Flexicult</w:t>
      </w:r>
      <w:r w:rsidR="00891175" w:rsidRPr="0091040C">
        <w:rPr>
          <w:rFonts w:ascii="Helvetica" w:hAnsi="Helvetica" w:cs="Times New Roman"/>
          <w:sz w:val="20"/>
          <w:szCs w:val="20"/>
          <w:vertAlign w:val="superscript"/>
        </w:rPr>
        <w:t>TM</w:t>
      </w:r>
      <w:r w:rsidR="004277F8" w:rsidRPr="0091040C">
        <w:rPr>
          <w:rFonts w:ascii="Helvetica" w:hAnsi="Helvetica" w:cs="Times New Roman"/>
          <w:sz w:val="20"/>
          <w:szCs w:val="20"/>
          <w:vertAlign w:val="superscript"/>
        </w:rPr>
        <w:t xml:space="preserve"> </w:t>
      </w:r>
      <w:r w:rsidRPr="0091040C">
        <w:rPr>
          <w:rFonts w:ascii="Helvetica" w:hAnsi="Helvetica" w:cs="Times New Roman"/>
          <w:sz w:val="20"/>
          <w:szCs w:val="20"/>
        </w:rPr>
        <w:t>was compared with the purity of growth on routine culture media in the laboratory for 294 corresponding urine samples</w:t>
      </w:r>
      <w:r w:rsidR="001177C6" w:rsidRPr="0091040C">
        <w:rPr>
          <w:rFonts w:ascii="Helvetica" w:hAnsi="Helvetica" w:cs="Times New Roman"/>
          <w:sz w:val="20"/>
          <w:szCs w:val="20"/>
        </w:rPr>
        <w:t xml:space="preserve"> (Table 1)</w:t>
      </w:r>
      <w:r w:rsidRPr="0091040C">
        <w:rPr>
          <w:rFonts w:ascii="Helvetica" w:hAnsi="Helvetica" w:cs="Times New Roman"/>
          <w:sz w:val="20"/>
          <w:szCs w:val="20"/>
        </w:rPr>
        <w:t xml:space="preserve">.  Overall, </w:t>
      </w:r>
      <w:r w:rsidR="000953D4" w:rsidRPr="0091040C">
        <w:rPr>
          <w:rFonts w:ascii="Helvetica" w:hAnsi="Helvetica" w:cs="Times New Roman"/>
          <w:sz w:val="20"/>
          <w:szCs w:val="20"/>
        </w:rPr>
        <w:t xml:space="preserve">there </w:t>
      </w:r>
      <w:r w:rsidR="001177C6" w:rsidRPr="0091040C">
        <w:rPr>
          <w:rFonts w:ascii="Helvetica" w:hAnsi="Helvetica" w:cs="Times New Roman"/>
          <w:sz w:val="20"/>
          <w:szCs w:val="20"/>
        </w:rPr>
        <w:t xml:space="preserve">was </w:t>
      </w:r>
      <w:r w:rsidRPr="0091040C">
        <w:rPr>
          <w:rFonts w:ascii="Helvetica" w:hAnsi="Helvetica" w:cs="Times New Roman"/>
          <w:sz w:val="20"/>
          <w:szCs w:val="20"/>
        </w:rPr>
        <w:t xml:space="preserve">a very low level of inter-rater agreement (Kappa = 0.06 (95%CI 0.000-0.122)).  </w:t>
      </w:r>
      <w:r w:rsidR="00C148F2" w:rsidRPr="0091040C">
        <w:rPr>
          <w:rFonts w:ascii="Helvetica" w:hAnsi="Helvetica" w:cs="Times New Roman"/>
          <w:sz w:val="20"/>
          <w:szCs w:val="20"/>
        </w:rPr>
        <w:t xml:space="preserve">There were particularly marked discrepancies </w:t>
      </w:r>
      <w:r w:rsidRPr="0091040C">
        <w:rPr>
          <w:rFonts w:ascii="Helvetica" w:hAnsi="Helvetica" w:cs="Times New Roman"/>
          <w:sz w:val="20"/>
          <w:szCs w:val="20"/>
        </w:rPr>
        <w:t>within the mixed growth categories</w:t>
      </w:r>
      <w:r w:rsidR="00C148F2" w:rsidRPr="0091040C">
        <w:rPr>
          <w:rFonts w:ascii="Helvetica" w:hAnsi="Helvetica" w:cs="Times New Roman"/>
          <w:sz w:val="20"/>
          <w:szCs w:val="20"/>
        </w:rPr>
        <w:t>.</w:t>
      </w:r>
    </w:p>
    <w:p w14:paraId="38A66A9B" w14:textId="77777777" w:rsidR="00251BC3" w:rsidRDefault="00DA4C6E" w:rsidP="00497B38">
      <w:pPr>
        <w:spacing w:line="480" w:lineRule="auto"/>
        <w:rPr>
          <w:rFonts w:ascii="Helvetica" w:hAnsi="Helvetica" w:cs="Times New Roman"/>
          <w:sz w:val="20"/>
          <w:szCs w:val="20"/>
        </w:rPr>
      </w:pPr>
      <w:r w:rsidRPr="0091040C">
        <w:rPr>
          <w:rFonts w:ascii="Helvetica" w:hAnsi="Helvetica" w:cs="Times New Roman"/>
          <w:sz w:val="20"/>
          <w:szCs w:val="20"/>
        </w:rPr>
        <w:t>There</w:t>
      </w:r>
      <w:r w:rsidR="00497B38" w:rsidRPr="0091040C">
        <w:rPr>
          <w:rFonts w:ascii="Helvetica" w:hAnsi="Helvetica" w:cs="Times New Roman"/>
          <w:sz w:val="20"/>
          <w:szCs w:val="20"/>
        </w:rPr>
        <w:t xml:space="preserve"> were fewer sam</w:t>
      </w:r>
      <w:r w:rsidR="008D0152" w:rsidRPr="0091040C">
        <w:rPr>
          <w:rFonts w:ascii="Helvetica" w:hAnsi="Helvetica" w:cs="Times New Roman"/>
          <w:sz w:val="20"/>
          <w:szCs w:val="20"/>
        </w:rPr>
        <w:t xml:space="preserve">ples with bacterial </w:t>
      </w:r>
      <w:r w:rsidR="00A5476A" w:rsidRPr="0091040C">
        <w:rPr>
          <w:rFonts w:ascii="Helvetica" w:hAnsi="Helvetica" w:cs="Times New Roman"/>
          <w:sz w:val="20"/>
          <w:szCs w:val="20"/>
        </w:rPr>
        <w:t xml:space="preserve">counts of </w:t>
      </w:r>
      <w:r w:rsidR="008D0152" w:rsidRPr="0091040C">
        <w:rPr>
          <w:rFonts w:ascii="Helvetica" w:hAnsi="Helvetica" w:cs="Times New Roman"/>
          <w:sz w:val="20"/>
          <w:szCs w:val="20"/>
        </w:rPr>
        <w:t xml:space="preserve">≥10e3 </w:t>
      </w:r>
      <w:r w:rsidR="00497B38" w:rsidRPr="0091040C">
        <w:rPr>
          <w:rFonts w:ascii="Helvetica" w:hAnsi="Helvetica" w:cs="Times New Roman"/>
          <w:sz w:val="20"/>
          <w:szCs w:val="20"/>
        </w:rPr>
        <w:t>CFU/mL in the laborato</w:t>
      </w:r>
      <w:r w:rsidR="008B5BC9" w:rsidRPr="0091040C">
        <w:rPr>
          <w:rFonts w:ascii="Helvetica" w:hAnsi="Helvetica" w:cs="Times New Roman"/>
          <w:sz w:val="20"/>
          <w:szCs w:val="20"/>
        </w:rPr>
        <w:t xml:space="preserve">ry culture (182/276) </w:t>
      </w:r>
      <w:r w:rsidR="00215325" w:rsidRPr="0091040C">
        <w:rPr>
          <w:rFonts w:ascii="Helvetica" w:hAnsi="Helvetica" w:cs="Times New Roman"/>
          <w:sz w:val="20"/>
          <w:szCs w:val="20"/>
        </w:rPr>
        <w:t>compared</w:t>
      </w:r>
      <w:r w:rsidRPr="0091040C">
        <w:rPr>
          <w:rFonts w:ascii="Helvetica" w:hAnsi="Helvetica" w:cs="Times New Roman"/>
          <w:sz w:val="20"/>
          <w:szCs w:val="20"/>
        </w:rPr>
        <w:t xml:space="preserve"> to </w:t>
      </w:r>
      <w:r w:rsidR="00497B38" w:rsidRPr="0091040C">
        <w:rPr>
          <w:rFonts w:ascii="Helvetica" w:hAnsi="Helvetica" w:cs="Times New Roman"/>
          <w:sz w:val="20"/>
          <w:szCs w:val="20"/>
        </w:rPr>
        <w:t>Flexicult</w:t>
      </w:r>
      <w:r w:rsidR="00497B38" w:rsidRPr="0091040C">
        <w:rPr>
          <w:rFonts w:ascii="Helvetica" w:hAnsi="Helvetica" w:cs="Times New Roman"/>
          <w:sz w:val="20"/>
          <w:szCs w:val="20"/>
          <w:vertAlign w:val="superscript"/>
        </w:rPr>
        <w:t>TM</w:t>
      </w:r>
      <w:r w:rsidR="00497B38" w:rsidRPr="0091040C">
        <w:rPr>
          <w:rFonts w:ascii="Helvetica" w:hAnsi="Helvetica" w:cs="Times New Roman"/>
          <w:sz w:val="20"/>
          <w:szCs w:val="20"/>
        </w:rPr>
        <w:t xml:space="preserve"> (204/276). The concordance between the labo</w:t>
      </w:r>
      <w:r w:rsidR="008B5BC9" w:rsidRPr="0091040C">
        <w:rPr>
          <w:rFonts w:ascii="Helvetica" w:hAnsi="Helvetica" w:cs="Times New Roman"/>
          <w:sz w:val="20"/>
          <w:szCs w:val="20"/>
        </w:rPr>
        <w:t xml:space="preserve">ratory culture and </w:t>
      </w:r>
      <w:r w:rsidR="00497B38" w:rsidRPr="0091040C">
        <w:rPr>
          <w:rFonts w:ascii="Helvetica" w:hAnsi="Helvetica" w:cs="Times New Roman"/>
          <w:sz w:val="20"/>
          <w:szCs w:val="20"/>
        </w:rPr>
        <w:t>Flexicult</w:t>
      </w:r>
      <w:r w:rsidR="00497B38" w:rsidRPr="0091040C">
        <w:rPr>
          <w:rFonts w:ascii="Helvetica" w:hAnsi="Helvetica" w:cs="Times New Roman"/>
          <w:sz w:val="20"/>
          <w:szCs w:val="20"/>
          <w:vertAlign w:val="superscript"/>
        </w:rPr>
        <w:t>TM</w:t>
      </w:r>
      <w:r w:rsidR="00497B38" w:rsidRPr="0091040C">
        <w:rPr>
          <w:rFonts w:ascii="Helvetica" w:hAnsi="Helvetica" w:cs="Times New Roman"/>
          <w:sz w:val="20"/>
          <w:szCs w:val="20"/>
        </w:rPr>
        <w:t xml:space="preserve"> was similar for the urine samples with colon</w:t>
      </w:r>
      <w:r w:rsidR="00FE7456" w:rsidRPr="0091040C">
        <w:rPr>
          <w:rFonts w:ascii="Helvetica" w:hAnsi="Helvetica" w:cs="Times New Roman"/>
          <w:sz w:val="20"/>
          <w:szCs w:val="20"/>
        </w:rPr>
        <w:t xml:space="preserve">y counts </w:t>
      </w:r>
      <w:proofErr w:type="gramStart"/>
      <w:r w:rsidR="00FE7456" w:rsidRPr="0091040C">
        <w:rPr>
          <w:rFonts w:ascii="Helvetica" w:hAnsi="Helvetica" w:cs="Times New Roman"/>
          <w:sz w:val="20"/>
          <w:szCs w:val="20"/>
        </w:rPr>
        <w:t xml:space="preserve">of </w:t>
      </w:r>
      <w:r w:rsidR="00497B38" w:rsidRPr="0091040C">
        <w:rPr>
          <w:rFonts w:ascii="Helvetica" w:hAnsi="Helvetica" w:cs="Times New Roman"/>
          <w:sz w:val="20"/>
          <w:szCs w:val="20"/>
        </w:rPr>
        <w:t xml:space="preserve"> ≤</w:t>
      </w:r>
      <w:proofErr w:type="gramEnd"/>
      <w:r w:rsidR="00497B38" w:rsidRPr="0091040C">
        <w:rPr>
          <w:rFonts w:ascii="Helvetica" w:hAnsi="Helvetica" w:cs="Times New Roman"/>
          <w:sz w:val="20"/>
          <w:szCs w:val="20"/>
        </w:rPr>
        <w:t>10e3 CFU/mL (34</w:t>
      </w:r>
      <w:r w:rsidR="00556FE7" w:rsidRPr="0091040C">
        <w:rPr>
          <w:rFonts w:ascii="Helvetica" w:hAnsi="Helvetica" w:cs="Times New Roman"/>
          <w:sz w:val="20"/>
          <w:szCs w:val="20"/>
        </w:rPr>
        <w:t>.0</w:t>
      </w:r>
      <w:r w:rsidR="00497B38" w:rsidRPr="0091040C">
        <w:rPr>
          <w:rFonts w:ascii="Helvetica" w:hAnsi="Helvetica" w:cs="Times New Roman"/>
          <w:sz w:val="20"/>
          <w:szCs w:val="20"/>
        </w:rPr>
        <w:t>%) and colon</w:t>
      </w:r>
      <w:r w:rsidR="00FE7456" w:rsidRPr="0091040C">
        <w:rPr>
          <w:rFonts w:ascii="Helvetica" w:hAnsi="Helvetica" w:cs="Times New Roman"/>
          <w:sz w:val="20"/>
          <w:szCs w:val="20"/>
        </w:rPr>
        <w:t xml:space="preserve">y counts of </w:t>
      </w:r>
      <w:r w:rsidR="00497B38" w:rsidRPr="0091040C">
        <w:rPr>
          <w:rFonts w:ascii="Helvetica" w:hAnsi="Helvetica" w:cs="Times New Roman"/>
          <w:sz w:val="20"/>
          <w:szCs w:val="20"/>
        </w:rPr>
        <w:t xml:space="preserve"> 10e3-10e5 </w:t>
      </w:r>
      <w:r w:rsidR="00074112" w:rsidRPr="0091040C">
        <w:rPr>
          <w:rFonts w:ascii="Helvetica" w:hAnsi="Helvetica" w:cs="Times New Roman"/>
          <w:sz w:val="20"/>
          <w:szCs w:val="20"/>
        </w:rPr>
        <w:t xml:space="preserve">CFU/mL </w:t>
      </w:r>
      <w:r w:rsidR="00497B38" w:rsidRPr="0091040C">
        <w:rPr>
          <w:rFonts w:ascii="Helvetica" w:hAnsi="Helvetica" w:cs="Times New Roman"/>
          <w:sz w:val="20"/>
          <w:szCs w:val="20"/>
        </w:rPr>
        <w:t>(3</w:t>
      </w:r>
      <w:r w:rsidR="00556FE7" w:rsidRPr="0091040C">
        <w:rPr>
          <w:rFonts w:ascii="Helvetica" w:hAnsi="Helvetica" w:cs="Times New Roman"/>
          <w:sz w:val="20"/>
          <w:szCs w:val="20"/>
        </w:rPr>
        <w:t>4.6</w:t>
      </w:r>
      <w:r w:rsidR="00497B38" w:rsidRPr="0091040C">
        <w:rPr>
          <w:rFonts w:ascii="Helvetica" w:hAnsi="Helvetica" w:cs="Times New Roman"/>
          <w:sz w:val="20"/>
          <w:szCs w:val="20"/>
        </w:rPr>
        <w:t xml:space="preserve">%), </w:t>
      </w:r>
      <w:r w:rsidR="00FE7456" w:rsidRPr="0091040C">
        <w:rPr>
          <w:rFonts w:ascii="Helvetica" w:hAnsi="Helvetica" w:cs="Times New Roman"/>
          <w:sz w:val="20"/>
          <w:szCs w:val="20"/>
        </w:rPr>
        <w:t xml:space="preserve">but concordance was only  </w:t>
      </w:r>
      <w:r w:rsidR="00497B38" w:rsidRPr="0091040C">
        <w:rPr>
          <w:rFonts w:ascii="Helvetica" w:hAnsi="Helvetica" w:cs="Times New Roman"/>
          <w:sz w:val="20"/>
          <w:szCs w:val="20"/>
        </w:rPr>
        <w:t>5</w:t>
      </w:r>
      <w:r w:rsidR="00556FE7" w:rsidRPr="0091040C">
        <w:rPr>
          <w:rFonts w:ascii="Helvetica" w:hAnsi="Helvetica" w:cs="Times New Roman"/>
          <w:sz w:val="20"/>
          <w:szCs w:val="20"/>
        </w:rPr>
        <w:t>8.7</w:t>
      </w:r>
      <w:r w:rsidR="00497B38" w:rsidRPr="0091040C">
        <w:rPr>
          <w:rFonts w:ascii="Helvetica" w:hAnsi="Helvetica" w:cs="Times New Roman"/>
          <w:sz w:val="20"/>
          <w:szCs w:val="20"/>
        </w:rPr>
        <w:t>% for th</w:t>
      </w:r>
      <w:r w:rsidR="008D0152" w:rsidRPr="0091040C">
        <w:rPr>
          <w:rFonts w:ascii="Helvetica" w:hAnsi="Helvetica" w:cs="Times New Roman"/>
          <w:sz w:val="20"/>
          <w:szCs w:val="20"/>
        </w:rPr>
        <w:t>e urine samples with colon</w:t>
      </w:r>
      <w:r w:rsidR="00FE7456" w:rsidRPr="0091040C">
        <w:rPr>
          <w:rFonts w:ascii="Helvetica" w:hAnsi="Helvetica" w:cs="Times New Roman"/>
          <w:sz w:val="20"/>
          <w:szCs w:val="20"/>
        </w:rPr>
        <w:t xml:space="preserve">y counts of </w:t>
      </w:r>
      <w:r w:rsidR="008D0152" w:rsidRPr="0091040C">
        <w:rPr>
          <w:rFonts w:ascii="Helvetica" w:hAnsi="Helvetica" w:cs="Times New Roman"/>
          <w:sz w:val="20"/>
          <w:szCs w:val="20"/>
        </w:rPr>
        <w:t xml:space="preserve"> ≥</w:t>
      </w:r>
      <w:r w:rsidR="00497B38" w:rsidRPr="0091040C">
        <w:rPr>
          <w:rFonts w:ascii="Helvetica" w:hAnsi="Helvetica" w:cs="Times New Roman"/>
          <w:sz w:val="20"/>
          <w:szCs w:val="20"/>
        </w:rPr>
        <w:t>10e5 CFU/</w:t>
      </w:r>
      <w:proofErr w:type="spellStart"/>
      <w:r w:rsidR="00AE4B8B">
        <w:rPr>
          <w:rFonts w:ascii="Helvetica" w:hAnsi="Helvetica" w:cs="Times New Roman"/>
          <w:sz w:val="20"/>
          <w:szCs w:val="20"/>
        </w:rPr>
        <w:t>mL.</w:t>
      </w:r>
      <w:proofErr w:type="spellEnd"/>
    </w:p>
    <w:p w14:paraId="6982FD35" w14:textId="3447420E" w:rsidR="00497B38" w:rsidRPr="0091040C" w:rsidRDefault="00497B38" w:rsidP="00497B38">
      <w:pPr>
        <w:spacing w:line="480" w:lineRule="auto"/>
        <w:rPr>
          <w:rFonts w:ascii="Helvetica" w:hAnsi="Helvetica" w:cs="Times New Roman"/>
          <w:sz w:val="20"/>
          <w:szCs w:val="20"/>
        </w:rPr>
      </w:pPr>
      <w:r w:rsidRPr="0091040C">
        <w:rPr>
          <w:rFonts w:ascii="Helvetica" w:hAnsi="Helvetica" w:cs="Times New Roman"/>
          <w:sz w:val="20"/>
          <w:szCs w:val="20"/>
        </w:rPr>
        <w:br/>
        <w:t xml:space="preserve"> There were important discrepancies in laboratory staff interpretation of the photographs of</w:t>
      </w:r>
      <w:r w:rsidR="008B5BC9" w:rsidRPr="0091040C">
        <w:rPr>
          <w:rFonts w:ascii="Helvetica" w:hAnsi="Helvetica" w:cs="Times New Roman"/>
          <w:sz w:val="20"/>
          <w:szCs w:val="20"/>
        </w:rPr>
        <w:t xml:space="preserve"> </w:t>
      </w:r>
      <w:r w:rsidRPr="0091040C">
        <w:rPr>
          <w:rFonts w:ascii="Helvetica" w:hAnsi="Helvetica" w:cs="Times New Roman"/>
          <w:sz w:val="20"/>
          <w:szCs w:val="20"/>
        </w:rPr>
        <w:t>Flexicult</w:t>
      </w:r>
      <w:r w:rsidRPr="0091040C">
        <w:rPr>
          <w:rFonts w:ascii="Helvetica" w:hAnsi="Helvetica" w:cs="Times New Roman"/>
          <w:sz w:val="20"/>
          <w:szCs w:val="20"/>
          <w:vertAlign w:val="superscript"/>
        </w:rPr>
        <w:t>TM</w:t>
      </w:r>
      <w:r w:rsidRPr="0091040C">
        <w:rPr>
          <w:rFonts w:ascii="Helvetica" w:hAnsi="Helvetica" w:cs="Times New Roman"/>
          <w:sz w:val="20"/>
          <w:szCs w:val="20"/>
        </w:rPr>
        <w:t xml:space="preserve"> </w:t>
      </w:r>
      <w:r w:rsidR="008B5BC9" w:rsidRPr="0091040C">
        <w:rPr>
          <w:rFonts w:ascii="Helvetica" w:hAnsi="Helvetica" w:cs="Times New Roman"/>
          <w:sz w:val="20"/>
          <w:szCs w:val="20"/>
        </w:rPr>
        <w:t xml:space="preserve">plates compared to clinicians’ interpretation of </w:t>
      </w:r>
      <w:r w:rsidRPr="0091040C">
        <w:rPr>
          <w:rFonts w:ascii="Helvetica" w:hAnsi="Helvetica" w:cs="Times New Roman"/>
          <w:sz w:val="20"/>
          <w:szCs w:val="20"/>
        </w:rPr>
        <w:t>Flexicult</w:t>
      </w:r>
      <w:r w:rsidRPr="0091040C">
        <w:rPr>
          <w:rFonts w:ascii="Helvetica" w:hAnsi="Helvetica" w:cs="Times New Roman"/>
          <w:sz w:val="20"/>
          <w:szCs w:val="20"/>
          <w:vertAlign w:val="superscript"/>
        </w:rPr>
        <w:t>TM</w:t>
      </w:r>
      <w:r w:rsidRPr="0091040C">
        <w:rPr>
          <w:rFonts w:ascii="Helvetica" w:hAnsi="Helvetica" w:cs="Times New Roman"/>
          <w:sz w:val="20"/>
          <w:szCs w:val="20"/>
        </w:rPr>
        <w:t xml:space="preserve"> and compared to routine culture results with respect to both purity of growth and b</w:t>
      </w:r>
      <w:r w:rsidR="00EE30FB" w:rsidRPr="0091040C">
        <w:rPr>
          <w:rFonts w:ascii="Helvetica" w:hAnsi="Helvetica" w:cs="Times New Roman"/>
          <w:sz w:val="20"/>
          <w:szCs w:val="20"/>
        </w:rPr>
        <w:t>acterial quantification (Supplementary</w:t>
      </w:r>
      <w:r w:rsidR="005B6718" w:rsidRPr="0091040C">
        <w:rPr>
          <w:rFonts w:ascii="Helvetica" w:hAnsi="Helvetica" w:cs="Times New Roman"/>
          <w:sz w:val="20"/>
          <w:szCs w:val="20"/>
        </w:rPr>
        <w:t xml:space="preserve"> t</w:t>
      </w:r>
      <w:r w:rsidR="00F112E3">
        <w:rPr>
          <w:rFonts w:ascii="Helvetica" w:hAnsi="Helvetica" w:cs="Times New Roman"/>
          <w:sz w:val="20"/>
          <w:szCs w:val="20"/>
        </w:rPr>
        <w:t xml:space="preserve">able </w:t>
      </w:r>
      <w:r w:rsidR="00D022B0">
        <w:rPr>
          <w:rFonts w:ascii="Helvetica" w:hAnsi="Helvetica" w:cs="Times New Roman"/>
          <w:sz w:val="20"/>
          <w:szCs w:val="20"/>
        </w:rPr>
        <w:t>S1</w:t>
      </w:r>
      <w:r w:rsidRPr="0091040C">
        <w:rPr>
          <w:rFonts w:ascii="Helvetica" w:hAnsi="Helvetica" w:cs="Times New Roman"/>
          <w:sz w:val="20"/>
          <w:szCs w:val="20"/>
        </w:rPr>
        <w:t>).</w:t>
      </w:r>
    </w:p>
    <w:p w14:paraId="6138BDFB" w14:textId="77777777" w:rsidR="004277F8" w:rsidRPr="0091040C" w:rsidRDefault="004277F8" w:rsidP="00497B38">
      <w:pPr>
        <w:spacing w:line="480" w:lineRule="auto"/>
        <w:rPr>
          <w:rFonts w:ascii="Helvetica" w:eastAsia="Times New Roman" w:hAnsi="Helvetica" w:cs="Times New Roman"/>
          <w:color w:val="0A0905"/>
          <w:sz w:val="20"/>
          <w:szCs w:val="20"/>
          <w:lang w:val="en-US"/>
        </w:rPr>
      </w:pPr>
      <w:r w:rsidRPr="0091040C">
        <w:rPr>
          <w:rFonts w:ascii="Helvetica" w:eastAsia="Times New Roman" w:hAnsi="Helvetica" w:cs="Times New Roman"/>
          <w:color w:val="0A0905"/>
          <w:sz w:val="20"/>
          <w:szCs w:val="20"/>
          <w:lang w:val="en-US"/>
        </w:rPr>
        <w:t xml:space="preserve">The </w:t>
      </w:r>
      <w:r w:rsidR="00FE7456" w:rsidRPr="0091040C">
        <w:rPr>
          <w:rFonts w:ascii="Helvetica" w:eastAsia="Times New Roman" w:hAnsi="Helvetica" w:cs="Times New Roman"/>
          <w:color w:val="0A0905"/>
          <w:sz w:val="20"/>
          <w:szCs w:val="20"/>
          <w:lang w:val="en-US"/>
        </w:rPr>
        <w:t xml:space="preserve">subsequent </w:t>
      </w:r>
      <w:r w:rsidRPr="0091040C">
        <w:rPr>
          <w:rFonts w:ascii="Helvetica" w:eastAsia="Times New Roman" w:hAnsi="Helvetica" w:cs="Times New Roman"/>
          <w:color w:val="0A0905"/>
          <w:sz w:val="20"/>
          <w:szCs w:val="20"/>
          <w:lang w:val="en-US"/>
        </w:rPr>
        <w:t>analys</w:t>
      </w:r>
      <w:r w:rsidR="00FE7456" w:rsidRPr="0091040C">
        <w:rPr>
          <w:rFonts w:ascii="Helvetica" w:eastAsia="Times New Roman" w:hAnsi="Helvetica" w:cs="Times New Roman"/>
          <w:color w:val="0A0905"/>
          <w:sz w:val="20"/>
          <w:szCs w:val="20"/>
          <w:lang w:val="en-US"/>
        </w:rPr>
        <w:t>e</w:t>
      </w:r>
      <w:r w:rsidRPr="0091040C">
        <w:rPr>
          <w:rFonts w:ascii="Helvetica" w:eastAsia="Times New Roman" w:hAnsi="Helvetica" w:cs="Times New Roman"/>
          <w:color w:val="0A0905"/>
          <w:sz w:val="20"/>
          <w:szCs w:val="20"/>
          <w:lang w:val="en-US"/>
        </w:rPr>
        <w:t xml:space="preserve">s </w:t>
      </w:r>
      <w:proofErr w:type="gramStart"/>
      <w:r w:rsidRPr="0091040C">
        <w:rPr>
          <w:rFonts w:ascii="Helvetica" w:eastAsia="Times New Roman" w:hAnsi="Helvetica" w:cs="Times New Roman"/>
          <w:color w:val="0A0905"/>
          <w:sz w:val="20"/>
          <w:szCs w:val="20"/>
          <w:lang w:val="en-US"/>
        </w:rPr>
        <w:t>focuse</w:t>
      </w:r>
      <w:r w:rsidR="00FE7456" w:rsidRPr="0091040C">
        <w:rPr>
          <w:rFonts w:ascii="Helvetica" w:eastAsia="Times New Roman" w:hAnsi="Helvetica" w:cs="Times New Roman"/>
          <w:color w:val="0A0905"/>
          <w:sz w:val="20"/>
          <w:szCs w:val="20"/>
          <w:lang w:val="en-US"/>
        </w:rPr>
        <w:t>s</w:t>
      </w:r>
      <w:proofErr w:type="gramEnd"/>
      <w:r w:rsidRPr="0091040C">
        <w:rPr>
          <w:rFonts w:ascii="Helvetica" w:eastAsia="Times New Roman" w:hAnsi="Helvetica" w:cs="Times New Roman"/>
          <w:color w:val="0A0905"/>
          <w:sz w:val="20"/>
          <w:szCs w:val="20"/>
          <w:lang w:val="en-US"/>
        </w:rPr>
        <w:t xml:space="preserve"> only on the comparison of the laboratory culture results and the </w:t>
      </w:r>
      <w:r w:rsidRPr="0091040C">
        <w:rPr>
          <w:rFonts w:ascii="Helvetica" w:hAnsi="Helvetica" w:cs="Times New Roman"/>
          <w:sz w:val="20"/>
          <w:szCs w:val="20"/>
        </w:rPr>
        <w:t>clinicians’ interpretation of</w:t>
      </w:r>
      <w:r w:rsidRPr="0091040C">
        <w:rPr>
          <w:rFonts w:ascii="Helvetica" w:eastAsia="Times New Roman" w:hAnsi="Helvetica" w:cs="Times New Roman"/>
          <w:color w:val="0A0905"/>
          <w:sz w:val="20"/>
          <w:szCs w:val="20"/>
          <w:lang w:val="en-US"/>
        </w:rPr>
        <w:t xml:space="preserve"> Flexicult</w:t>
      </w:r>
      <w:r w:rsidRPr="0091040C">
        <w:rPr>
          <w:rFonts w:ascii="Helvetica" w:eastAsia="Times New Roman" w:hAnsi="Helvetica" w:cs="Times New Roman"/>
          <w:color w:val="0A0905"/>
          <w:sz w:val="20"/>
          <w:szCs w:val="20"/>
          <w:vertAlign w:val="superscript"/>
          <w:lang w:val="en-US"/>
        </w:rPr>
        <w:t>TM</w:t>
      </w:r>
      <w:r w:rsidRPr="0091040C">
        <w:rPr>
          <w:rFonts w:ascii="Helvetica" w:eastAsia="Times New Roman" w:hAnsi="Helvetica" w:cs="Times New Roman"/>
          <w:color w:val="0A0905"/>
          <w:sz w:val="20"/>
          <w:szCs w:val="20"/>
          <w:lang w:val="en-US"/>
        </w:rPr>
        <w:t xml:space="preserve"> results (‘Lab vs Flexicult</w:t>
      </w:r>
      <w:r w:rsidRPr="0091040C">
        <w:rPr>
          <w:rFonts w:ascii="Helvetica" w:eastAsia="Times New Roman" w:hAnsi="Helvetica" w:cs="Times New Roman"/>
          <w:color w:val="0A0905"/>
          <w:sz w:val="20"/>
          <w:szCs w:val="20"/>
          <w:vertAlign w:val="superscript"/>
          <w:lang w:val="en-US"/>
        </w:rPr>
        <w:t>TM</w:t>
      </w:r>
      <w:r w:rsidRPr="0091040C">
        <w:rPr>
          <w:rFonts w:ascii="Helvetica" w:eastAsia="Times New Roman" w:hAnsi="Helvetica" w:cs="Times New Roman"/>
          <w:color w:val="0A0905"/>
          <w:sz w:val="20"/>
          <w:szCs w:val="20"/>
          <w:lang w:val="en-US"/>
        </w:rPr>
        <w:t xml:space="preserve">’).  </w:t>
      </w:r>
    </w:p>
    <w:p w14:paraId="58DD3D52" w14:textId="77777777" w:rsidR="00497B38" w:rsidRPr="0091040C" w:rsidRDefault="00497B38" w:rsidP="00497B38">
      <w:pPr>
        <w:spacing w:line="480" w:lineRule="auto"/>
        <w:rPr>
          <w:rFonts w:ascii="Helvetica" w:hAnsi="Helvetica" w:cs="Times New Roman"/>
          <w:i/>
          <w:sz w:val="20"/>
          <w:szCs w:val="20"/>
        </w:rPr>
      </w:pPr>
      <w:r w:rsidRPr="0091040C">
        <w:rPr>
          <w:rFonts w:ascii="Helvetica" w:hAnsi="Helvetica" w:cs="Times New Roman"/>
          <w:i/>
          <w:sz w:val="20"/>
          <w:szCs w:val="20"/>
        </w:rPr>
        <w:lastRenderedPageBreak/>
        <w:t>Organism identification</w:t>
      </w:r>
      <w:r w:rsidR="001866E6" w:rsidRPr="0091040C">
        <w:rPr>
          <w:rFonts w:ascii="Helvetica" w:hAnsi="Helvetica" w:cs="Times New Roman"/>
          <w:i/>
          <w:sz w:val="20"/>
          <w:szCs w:val="20"/>
        </w:rPr>
        <w:t xml:space="preserve"> </w:t>
      </w:r>
      <w:r w:rsidRPr="0091040C">
        <w:rPr>
          <w:rFonts w:ascii="Helvetica" w:hAnsi="Helvetica" w:cs="Times New Roman"/>
          <w:b/>
          <w:sz w:val="20"/>
          <w:szCs w:val="20"/>
        </w:rPr>
        <w:br/>
      </w:r>
      <w:r w:rsidR="00074112" w:rsidRPr="0091040C">
        <w:rPr>
          <w:rFonts w:ascii="Helvetica" w:hAnsi="Helvetica" w:cs="Times New Roman"/>
          <w:sz w:val="20"/>
          <w:szCs w:val="20"/>
        </w:rPr>
        <w:t>I</w:t>
      </w:r>
      <w:r w:rsidRPr="0091040C">
        <w:rPr>
          <w:rFonts w:ascii="Helvetica" w:hAnsi="Helvetica" w:cs="Times New Roman"/>
          <w:sz w:val="20"/>
          <w:szCs w:val="20"/>
        </w:rPr>
        <w:t xml:space="preserve">n routine laboratory culture, pure or predominant uropathogens were isolated with quantitative counts </w:t>
      </w:r>
      <w:r w:rsidR="00FE7456" w:rsidRPr="0091040C">
        <w:rPr>
          <w:rFonts w:ascii="Helvetica" w:hAnsi="Helvetica" w:cs="Times New Roman"/>
          <w:sz w:val="20"/>
          <w:szCs w:val="20"/>
        </w:rPr>
        <w:t xml:space="preserve">of </w:t>
      </w:r>
      <w:r w:rsidRPr="0091040C">
        <w:rPr>
          <w:rFonts w:ascii="Helvetica" w:hAnsi="Helvetica" w:cs="Times New Roman"/>
          <w:sz w:val="20"/>
          <w:szCs w:val="20"/>
        </w:rPr>
        <w:t>≥10e3 CFU/mL in 124/287</w:t>
      </w:r>
      <w:r w:rsidR="00074112" w:rsidRPr="0091040C">
        <w:rPr>
          <w:rFonts w:ascii="Helvetica" w:hAnsi="Helvetica" w:cs="Times New Roman"/>
          <w:sz w:val="20"/>
          <w:szCs w:val="20"/>
        </w:rPr>
        <w:t xml:space="preserve"> </w:t>
      </w:r>
      <w:r w:rsidRPr="0091040C">
        <w:rPr>
          <w:rFonts w:ascii="Helvetica" w:hAnsi="Helvetica" w:cs="Times New Roman"/>
          <w:sz w:val="20"/>
          <w:szCs w:val="20"/>
        </w:rPr>
        <w:t xml:space="preserve">samples. The most commonly isolated </w:t>
      </w:r>
      <w:r w:rsidR="00FE7456" w:rsidRPr="0091040C">
        <w:rPr>
          <w:rFonts w:ascii="Helvetica" w:hAnsi="Helvetica" w:cs="Times New Roman"/>
          <w:sz w:val="20"/>
          <w:szCs w:val="20"/>
        </w:rPr>
        <w:t>species</w:t>
      </w:r>
      <w:r w:rsidRPr="0091040C">
        <w:rPr>
          <w:rFonts w:ascii="Helvetica" w:hAnsi="Helvetica" w:cs="Times New Roman"/>
          <w:sz w:val="20"/>
          <w:szCs w:val="20"/>
        </w:rPr>
        <w:t xml:space="preserve"> was </w:t>
      </w:r>
      <w:r w:rsidR="001866E6" w:rsidRPr="0091040C">
        <w:rPr>
          <w:rFonts w:ascii="Helvetica" w:hAnsi="Helvetica" w:cs="Times New Roman"/>
          <w:i/>
          <w:sz w:val="20"/>
          <w:szCs w:val="20"/>
          <w:shd w:val="clear" w:color="auto" w:fill="FFFFFF"/>
        </w:rPr>
        <w:t>E.</w:t>
      </w:r>
      <w:r w:rsidR="00F50CD4" w:rsidRPr="0091040C">
        <w:rPr>
          <w:rFonts w:ascii="Helvetica" w:hAnsi="Helvetica" w:cs="Times New Roman"/>
          <w:i/>
          <w:sz w:val="20"/>
          <w:szCs w:val="20"/>
          <w:shd w:val="clear" w:color="auto" w:fill="FFFFFF"/>
        </w:rPr>
        <w:t xml:space="preserve"> </w:t>
      </w:r>
      <w:r w:rsidRPr="0091040C">
        <w:rPr>
          <w:rFonts w:ascii="Helvetica" w:hAnsi="Helvetica" w:cs="Times New Roman"/>
          <w:i/>
          <w:sz w:val="20"/>
          <w:szCs w:val="20"/>
          <w:shd w:val="clear" w:color="auto" w:fill="FFFFFF"/>
        </w:rPr>
        <w:t>coli</w:t>
      </w:r>
      <w:r w:rsidRPr="0091040C">
        <w:rPr>
          <w:rFonts w:ascii="Helvetica" w:hAnsi="Helvetica" w:cs="Times New Roman"/>
          <w:sz w:val="20"/>
          <w:szCs w:val="20"/>
          <w:shd w:val="clear" w:color="auto" w:fill="FFFFFF"/>
        </w:rPr>
        <w:t xml:space="preserve"> </w:t>
      </w:r>
      <w:r w:rsidRPr="0091040C">
        <w:rPr>
          <w:rFonts w:ascii="Helvetica" w:hAnsi="Helvetica" w:cs="Times New Roman"/>
          <w:sz w:val="20"/>
          <w:szCs w:val="20"/>
        </w:rPr>
        <w:t>(7</w:t>
      </w:r>
      <w:r w:rsidR="00175B7A" w:rsidRPr="0091040C">
        <w:rPr>
          <w:rFonts w:ascii="Helvetica" w:hAnsi="Helvetica" w:cs="Times New Roman"/>
          <w:sz w:val="20"/>
          <w:szCs w:val="20"/>
        </w:rPr>
        <w:t>5.8</w:t>
      </w:r>
      <w:r w:rsidRPr="0091040C">
        <w:rPr>
          <w:rFonts w:ascii="Helvetica" w:hAnsi="Helvetica" w:cs="Times New Roman"/>
          <w:sz w:val="20"/>
          <w:szCs w:val="20"/>
        </w:rPr>
        <w:t xml:space="preserve">%), followed by </w:t>
      </w:r>
      <w:r w:rsidRPr="0091040C">
        <w:rPr>
          <w:rFonts w:ascii="Helvetica" w:hAnsi="Helvetica" w:cs="Times New Roman"/>
          <w:i/>
          <w:sz w:val="20"/>
          <w:szCs w:val="20"/>
        </w:rPr>
        <w:t xml:space="preserve">S. </w:t>
      </w:r>
      <w:proofErr w:type="spellStart"/>
      <w:r w:rsidR="00215325" w:rsidRPr="0091040C">
        <w:rPr>
          <w:rFonts w:ascii="Helvetica" w:hAnsi="Helvetica" w:cs="Times New Roman"/>
          <w:i/>
          <w:sz w:val="20"/>
          <w:szCs w:val="20"/>
        </w:rPr>
        <w:t>saprophyticus</w:t>
      </w:r>
      <w:proofErr w:type="spellEnd"/>
      <w:r w:rsidRPr="0091040C">
        <w:rPr>
          <w:rFonts w:ascii="Helvetica" w:hAnsi="Helvetica" w:cs="Times New Roman"/>
          <w:i/>
          <w:sz w:val="20"/>
          <w:szCs w:val="20"/>
        </w:rPr>
        <w:t xml:space="preserve"> </w:t>
      </w:r>
      <w:r w:rsidRPr="0091040C">
        <w:rPr>
          <w:rFonts w:ascii="Helvetica" w:hAnsi="Helvetica" w:cs="Times New Roman"/>
          <w:sz w:val="20"/>
          <w:szCs w:val="20"/>
        </w:rPr>
        <w:t>(</w:t>
      </w:r>
      <w:r w:rsidR="00175B7A" w:rsidRPr="0091040C">
        <w:rPr>
          <w:rFonts w:ascii="Helvetica" w:hAnsi="Helvetica" w:cs="Times New Roman"/>
          <w:sz w:val="20"/>
          <w:szCs w:val="20"/>
        </w:rPr>
        <w:t>5.</w:t>
      </w:r>
      <w:r w:rsidRPr="0091040C">
        <w:rPr>
          <w:rFonts w:ascii="Helvetica" w:hAnsi="Helvetica" w:cs="Times New Roman"/>
          <w:sz w:val="20"/>
          <w:szCs w:val="20"/>
        </w:rPr>
        <w:t xml:space="preserve">6%). </w:t>
      </w:r>
      <w:r w:rsidR="00BB0199" w:rsidRPr="0091040C">
        <w:rPr>
          <w:rFonts w:ascii="Helvetica" w:hAnsi="Helvetica" w:cs="Times New Roman"/>
          <w:sz w:val="20"/>
          <w:szCs w:val="20"/>
        </w:rPr>
        <w:t xml:space="preserve">In contrast, </w:t>
      </w:r>
      <w:r w:rsidRPr="0091040C">
        <w:rPr>
          <w:rFonts w:ascii="Helvetica" w:hAnsi="Helvetica" w:cs="Times New Roman"/>
          <w:sz w:val="20"/>
          <w:szCs w:val="20"/>
        </w:rPr>
        <w:t>Flexicult</w:t>
      </w:r>
      <w:r w:rsidRPr="0091040C">
        <w:rPr>
          <w:rFonts w:ascii="Helvetica" w:hAnsi="Helvetica" w:cs="Times New Roman"/>
          <w:sz w:val="20"/>
          <w:szCs w:val="20"/>
          <w:vertAlign w:val="superscript"/>
        </w:rPr>
        <w:t>TM</w:t>
      </w:r>
      <w:r w:rsidRPr="0091040C">
        <w:rPr>
          <w:rFonts w:ascii="Helvetica" w:hAnsi="Helvetica" w:cs="Times New Roman"/>
          <w:sz w:val="20"/>
          <w:szCs w:val="20"/>
        </w:rPr>
        <w:t xml:space="preserve"> identified 200</w:t>
      </w:r>
      <w:r w:rsidR="005B6718" w:rsidRPr="0091040C">
        <w:rPr>
          <w:rFonts w:ascii="Helvetica" w:hAnsi="Helvetica" w:cs="Times New Roman"/>
          <w:sz w:val="20"/>
          <w:szCs w:val="20"/>
        </w:rPr>
        <w:t>/287</w:t>
      </w:r>
      <w:r w:rsidRPr="0091040C">
        <w:rPr>
          <w:rFonts w:ascii="Helvetica" w:hAnsi="Helvetica" w:cs="Times New Roman"/>
          <w:sz w:val="20"/>
          <w:szCs w:val="20"/>
        </w:rPr>
        <w:t xml:space="preserve"> </w:t>
      </w:r>
      <w:r w:rsidR="00BB0199" w:rsidRPr="0091040C">
        <w:rPr>
          <w:rFonts w:ascii="Helvetica" w:hAnsi="Helvetica" w:cs="Times New Roman"/>
          <w:sz w:val="20"/>
          <w:szCs w:val="20"/>
        </w:rPr>
        <w:t>(</w:t>
      </w:r>
      <w:r w:rsidR="002A3E40" w:rsidRPr="0091040C">
        <w:rPr>
          <w:rFonts w:ascii="Helvetica" w:hAnsi="Helvetica" w:cs="Times New Roman"/>
          <w:sz w:val="20"/>
          <w:szCs w:val="20"/>
        </w:rPr>
        <w:t>69.7%</w:t>
      </w:r>
      <w:r w:rsidR="00BB0199" w:rsidRPr="0091040C">
        <w:rPr>
          <w:rFonts w:ascii="Helvetica" w:hAnsi="Helvetica" w:cs="Times New Roman"/>
          <w:sz w:val="20"/>
          <w:szCs w:val="20"/>
        </w:rPr>
        <w:t xml:space="preserve">) </w:t>
      </w:r>
      <w:r w:rsidRPr="0091040C">
        <w:rPr>
          <w:rFonts w:ascii="Helvetica" w:hAnsi="Helvetica" w:cs="Times New Roman"/>
          <w:sz w:val="20"/>
          <w:szCs w:val="20"/>
        </w:rPr>
        <w:t>pure or predominant uropathogen</w:t>
      </w:r>
      <w:r w:rsidR="001866E6" w:rsidRPr="0091040C">
        <w:rPr>
          <w:rFonts w:ascii="Helvetica" w:hAnsi="Helvetica" w:cs="Times New Roman"/>
          <w:sz w:val="20"/>
          <w:szCs w:val="20"/>
        </w:rPr>
        <w:t>s</w:t>
      </w:r>
      <w:r w:rsidRPr="0091040C">
        <w:rPr>
          <w:rFonts w:ascii="Helvetica" w:hAnsi="Helvetica" w:cs="Times New Roman"/>
          <w:sz w:val="20"/>
          <w:szCs w:val="20"/>
        </w:rPr>
        <w:t xml:space="preserve"> with quantitative counts</w:t>
      </w:r>
      <w:r w:rsidR="00FE7456" w:rsidRPr="0091040C">
        <w:rPr>
          <w:rFonts w:ascii="Helvetica" w:hAnsi="Helvetica" w:cs="Times New Roman"/>
          <w:sz w:val="20"/>
          <w:szCs w:val="20"/>
        </w:rPr>
        <w:t xml:space="preserve"> </w:t>
      </w:r>
      <w:proofErr w:type="gramStart"/>
      <w:r w:rsidR="00FE7456" w:rsidRPr="0091040C">
        <w:rPr>
          <w:rFonts w:ascii="Helvetica" w:hAnsi="Helvetica" w:cs="Times New Roman"/>
          <w:sz w:val="20"/>
          <w:szCs w:val="20"/>
        </w:rPr>
        <w:t xml:space="preserve">of </w:t>
      </w:r>
      <w:r w:rsidRPr="0091040C">
        <w:rPr>
          <w:rFonts w:ascii="Helvetica" w:hAnsi="Helvetica" w:cs="Times New Roman"/>
          <w:sz w:val="20"/>
          <w:szCs w:val="20"/>
        </w:rPr>
        <w:t xml:space="preserve"> ≥</w:t>
      </w:r>
      <w:proofErr w:type="gramEnd"/>
      <w:r w:rsidR="005B6718" w:rsidRPr="0091040C">
        <w:rPr>
          <w:rFonts w:ascii="Helvetica" w:hAnsi="Helvetica" w:cs="Times New Roman"/>
          <w:sz w:val="20"/>
          <w:szCs w:val="20"/>
        </w:rPr>
        <w:t>10e3 CFU/</w:t>
      </w:r>
      <w:proofErr w:type="spellStart"/>
      <w:r w:rsidR="005B6718" w:rsidRPr="0091040C">
        <w:rPr>
          <w:rFonts w:ascii="Helvetica" w:hAnsi="Helvetica" w:cs="Times New Roman"/>
          <w:sz w:val="20"/>
          <w:szCs w:val="20"/>
        </w:rPr>
        <w:t>mL</w:t>
      </w:r>
      <w:r w:rsidRPr="0091040C">
        <w:rPr>
          <w:rFonts w:ascii="Helvetica" w:hAnsi="Helvetica" w:cs="Times New Roman"/>
          <w:sz w:val="20"/>
          <w:szCs w:val="20"/>
        </w:rPr>
        <w:t>.</w:t>
      </w:r>
      <w:proofErr w:type="spellEnd"/>
      <w:r w:rsidRPr="0091040C">
        <w:rPr>
          <w:rFonts w:ascii="Helvetica" w:hAnsi="Helvetica" w:cs="Times New Roman"/>
          <w:sz w:val="20"/>
          <w:szCs w:val="20"/>
        </w:rPr>
        <w:t xml:space="preserve"> </w:t>
      </w:r>
      <w:r w:rsidR="001866E6" w:rsidRPr="0091040C">
        <w:rPr>
          <w:rFonts w:ascii="Helvetica" w:hAnsi="Helvetica" w:cs="Times New Roman"/>
          <w:i/>
          <w:sz w:val="20"/>
          <w:szCs w:val="20"/>
          <w:shd w:val="clear" w:color="auto" w:fill="FFFFFF"/>
        </w:rPr>
        <w:t xml:space="preserve">E. </w:t>
      </w:r>
      <w:r w:rsidRPr="0091040C">
        <w:rPr>
          <w:rFonts w:ascii="Helvetica" w:hAnsi="Helvetica" w:cs="Times New Roman"/>
          <w:i/>
          <w:sz w:val="20"/>
          <w:szCs w:val="20"/>
          <w:shd w:val="clear" w:color="auto" w:fill="FFFFFF"/>
        </w:rPr>
        <w:t>coli</w:t>
      </w:r>
      <w:r w:rsidRPr="0091040C">
        <w:rPr>
          <w:rFonts w:ascii="Helvetica" w:hAnsi="Helvetica" w:cs="Times New Roman"/>
          <w:sz w:val="20"/>
          <w:szCs w:val="20"/>
          <w:shd w:val="clear" w:color="auto" w:fill="FFFFFF"/>
        </w:rPr>
        <w:t xml:space="preserve"> </w:t>
      </w:r>
      <w:r w:rsidRPr="0091040C">
        <w:rPr>
          <w:rFonts w:ascii="Helvetica" w:hAnsi="Helvetica" w:cs="Times New Roman"/>
          <w:sz w:val="20"/>
          <w:szCs w:val="20"/>
        </w:rPr>
        <w:t>accounted for 58</w:t>
      </w:r>
      <w:r w:rsidR="00175B7A" w:rsidRPr="0091040C">
        <w:rPr>
          <w:rFonts w:ascii="Helvetica" w:hAnsi="Helvetica" w:cs="Times New Roman"/>
          <w:sz w:val="20"/>
          <w:szCs w:val="20"/>
        </w:rPr>
        <w:t>.0</w:t>
      </w:r>
      <w:r w:rsidR="008B5BC9" w:rsidRPr="0091040C">
        <w:rPr>
          <w:rFonts w:ascii="Helvetica" w:hAnsi="Helvetica" w:cs="Times New Roman"/>
          <w:sz w:val="20"/>
          <w:szCs w:val="20"/>
        </w:rPr>
        <w:t>% of bacteria</w:t>
      </w:r>
      <w:r w:rsidR="00FE7456" w:rsidRPr="0091040C">
        <w:rPr>
          <w:rFonts w:ascii="Helvetica" w:hAnsi="Helvetica" w:cs="Times New Roman"/>
          <w:sz w:val="20"/>
          <w:szCs w:val="20"/>
        </w:rPr>
        <w:t>l species</w:t>
      </w:r>
      <w:r w:rsidR="008B5BC9" w:rsidRPr="0091040C">
        <w:rPr>
          <w:rFonts w:ascii="Helvetica" w:hAnsi="Helvetica" w:cs="Times New Roman"/>
          <w:sz w:val="20"/>
          <w:szCs w:val="20"/>
        </w:rPr>
        <w:t xml:space="preserve"> isolated with </w:t>
      </w:r>
      <w:r w:rsidRPr="0091040C">
        <w:rPr>
          <w:rFonts w:ascii="Helvetica" w:hAnsi="Helvetica" w:cs="Times New Roman"/>
          <w:sz w:val="20"/>
          <w:szCs w:val="20"/>
        </w:rPr>
        <w:t>Flexicult</w:t>
      </w:r>
      <w:r w:rsidRPr="0091040C">
        <w:rPr>
          <w:rFonts w:ascii="Helvetica" w:hAnsi="Helvetica" w:cs="Times New Roman"/>
          <w:sz w:val="20"/>
          <w:szCs w:val="20"/>
          <w:vertAlign w:val="superscript"/>
        </w:rPr>
        <w:t>TM</w:t>
      </w:r>
      <w:r w:rsidRPr="0091040C">
        <w:rPr>
          <w:rFonts w:ascii="Helvetica" w:hAnsi="Helvetica" w:cs="Times New Roman"/>
          <w:sz w:val="20"/>
          <w:szCs w:val="20"/>
        </w:rPr>
        <w:t xml:space="preserve">, followed by </w:t>
      </w:r>
      <w:r w:rsidRPr="0091040C">
        <w:rPr>
          <w:rFonts w:ascii="Helvetica" w:hAnsi="Helvetica" w:cs="Times New Roman"/>
          <w:i/>
          <w:sz w:val="20"/>
          <w:szCs w:val="20"/>
        </w:rPr>
        <w:t>Enterococcus</w:t>
      </w:r>
      <w:r w:rsidRPr="0091040C">
        <w:rPr>
          <w:rFonts w:ascii="Helvetica" w:hAnsi="Helvetica" w:cs="Times New Roman"/>
          <w:sz w:val="20"/>
          <w:szCs w:val="20"/>
        </w:rPr>
        <w:t xml:space="preserve"> (20</w:t>
      </w:r>
      <w:r w:rsidR="00175B7A" w:rsidRPr="0091040C">
        <w:rPr>
          <w:rFonts w:ascii="Helvetica" w:hAnsi="Helvetica" w:cs="Times New Roman"/>
          <w:sz w:val="20"/>
          <w:szCs w:val="20"/>
        </w:rPr>
        <w:t>.0</w:t>
      </w:r>
      <w:r w:rsidRPr="0091040C">
        <w:rPr>
          <w:rFonts w:ascii="Helvetica" w:hAnsi="Helvetica" w:cs="Times New Roman"/>
          <w:sz w:val="20"/>
          <w:szCs w:val="20"/>
        </w:rPr>
        <w:t>%). Overall, 8</w:t>
      </w:r>
      <w:r w:rsidR="00175B7A" w:rsidRPr="0091040C">
        <w:rPr>
          <w:rFonts w:ascii="Helvetica" w:hAnsi="Helvetica" w:cs="Times New Roman"/>
          <w:sz w:val="20"/>
          <w:szCs w:val="20"/>
        </w:rPr>
        <w:t>2.9</w:t>
      </w:r>
      <w:r w:rsidRPr="0091040C">
        <w:rPr>
          <w:rFonts w:ascii="Helvetica" w:hAnsi="Helvetica" w:cs="Times New Roman"/>
          <w:sz w:val="20"/>
          <w:szCs w:val="20"/>
        </w:rPr>
        <w:t xml:space="preserve">% of pure/predominant </w:t>
      </w:r>
      <w:r w:rsidR="001866E6" w:rsidRPr="0091040C">
        <w:rPr>
          <w:rFonts w:ascii="Helvetica" w:hAnsi="Helvetica" w:cs="Times New Roman"/>
          <w:i/>
          <w:sz w:val="20"/>
          <w:szCs w:val="20"/>
          <w:shd w:val="clear" w:color="auto" w:fill="FFFFFF"/>
        </w:rPr>
        <w:t xml:space="preserve">E. </w:t>
      </w:r>
      <w:r w:rsidRPr="0091040C">
        <w:rPr>
          <w:rFonts w:ascii="Helvetica" w:hAnsi="Helvetica" w:cs="Times New Roman"/>
          <w:i/>
          <w:sz w:val="20"/>
          <w:szCs w:val="20"/>
          <w:shd w:val="clear" w:color="auto" w:fill="FFFFFF"/>
        </w:rPr>
        <w:t>coli</w:t>
      </w:r>
      <w:r w:rsidRPr="0091040C">
        <w:rPr>
          <w:rFonts w:ascii="Helvetica" w:hAnsi="Helvetica"/>
          <w:sz w:val="20"/>
          <w:szCs w:val="20"/>
          <w:shd w:val="clear" w:color="auto" w:fill="FFFFFF"/>
        </w:rPr>
        <w:t xml:space="preserve"> </w:t>
      </w:r>
      <w:r w:rsidRPr="0091040C">
        <w:rPr>
          <w:rFonts w:ascii="Helvetica" w:hAnsi="Helvetica" w:cs="Times New Roman"/>
          <w:sz w:val="20"/>
          <w:szCs w:val="20"/>
        </w:rPr>
        <w:t xml:space="preserve">with quantitative counts </w:t>
      </w:r>
      <w:r w:rsidR="00FE7456" w:rsidRPr="0091040C">
        <w:rPr>
          <w:rFonts w:ascii="Helvetica" w:hAnsi="Helvetica" w:cs="Times New Roman"/>
          <w:sz w:val="20"/>
          <w:szCs w:val="20"/>
        </w:rPr>
        <w:t xml:space="preserve">of </w:t>
      </w:r>
      <w:r w:rsidRPr="0091040C">
        <w:rPr>
          <w:rFonts w:ascii="Helvetica" w:hAnsi="Helvetica" w:cs="Times New Roman"/>
          <w:sz w:val="20"/>
          <w:szCs w:val="20"/>
        </w:rPr>
        <w:t xml:space="preserve">≥10e3 isolated by routine culture (reference test) were </w:t>
      </w:r>
      <w:r w:rsidR="00BB0199" w:rsidRPr="0091040C">
        <w:rPr>
          <w:rFonts w:ascii="Helvetica" w:hAnsi="Helvetica" w:cs="Times New Roman"/>
          <w:sz w:val="20"/>
          <w:szCs w:val="20"/>
        </w:rPr>
        <w:t xml:space="preserve">also </w:t>
      </w:r>
      <w:r w:rsidRPr="0091040C">
        <w:rPr>
          <w:rFonts w:ascii="Helvetica" w:hAnsi="Helvetica" w:cs="Times New Roman"/>
          <w:sz w:val="20"/>
          <w:szCs w:val="20"/>
        </w:rPr>
        <w:t xml:space="preserve">identified </w:t>
      </w:r>
      <w:r w:rsidR="008B5BC9" w:rsidRPr="0091040C">
        <w:rPr>
          <w:rFonts w:ascii="Helvetica" w:hAnsi="Helvetica" w:cs="Times New Roman"/>
          <w:sz w:val="20"/>
          <w:szCs w:val="20"/>
        </w:rPr>
        <w:t xml:space="preserve">by </w:t>
      </w:r>
      <w:r w:rsidRPr="0091040C">
        <w:rPr>
          <w:rFonts w:ascii="Helvetica" w:hAnsi="Helvetica" w:cs="Times New Roman"/>
          <w:sz w:val="20"/>
          <w:szCs w:val="20"/>
        </w:rPr>
        <w:t>Flexicult</w:t>
      </w:r>
      <w:r w:rsidRPr="0091040C">
        <w:rPr>
          <w:rFonts w:ascii="Helvetica" w:hAnsi="Helvetica" w:cs="Times New Roman"/>
          <w:sz w:val="20"/>
          <w:szCs w:val="20"/>
          <w:vertAlign w:val="superscript"/>
        </w:rPr>
        <w:t>TM</w:t>
      </w:r>
      <w:r w:rsidRPr="0091040C">
        <w:rPr>
          <w:rFonts w:ascii="Helvetica" w:hAnsi="Helvetica" w:cs="Times New Roman"/>
          <w:sz w:val="20"/>
          <w:szCs w:val="20"/>
        </w:rPr>
        <w:t xml:space="preserve">. </w:t>
      </w:r>
    </w:p>
    <w:p w14:paraId="3A864549" w14:textId="2CBDECB4" w:rsidR="00FE7456" w:rsidRPr="0091040C" w:rsidRDefault="0091040C" w:rsidP="00497B38">
      <w:pPr>
        <w:spacing w:line="480" w:lineRule="auto"/>
        <w:rPr>
          <w:rFonts w:ascii="Helvetica" w:hAnsi="Helvetica" w:cs="Times New Roman"/>
          <w:sz w:val="20"/>
          <w:szCs w:val="20"/>
        </w:rPr>
      </w:pPr>
      <w:r>
        <w:rPr>
          <w:rFonts w:ascii="Helvetica" w:hAnsi="Helvetica" w:cs="Times New Roman"/>
          <w:i/>
          <w:sz w:val="20"/>
          <w:szCs w:val="20"/>
        </w:rPr>
        <w:br/>
      </w:r>
      <w:r w:rsidR="002F4E44" w:rsidRPr="0091040C">
        <w:rPr>
          <w:rFonts w:ascii="Helvetica" w:hAnsi="Helvetica" w:cs="Times New Roman"/>
          <w:i/>
          <w:sz w:val="20"/>
          <w:szCs w:val="20"/>
        </w:rPr>
        <w:t>Antimicrobial s</w:t>
      </w:r>
      <w:r w:rsidR="00497B38" w:rsidRPr="0091040C">
        <w:rPr>
          <w:rFonts w:ascii="Helvetica" w:hAnsi="Helvetica" w:cs="Times New Roman"/>
          <w:i/>
          <w:sz w:val="20"/>
          <w:szCs w:val="20"/>
        </w:rPr>
        <w:t>usceptibility results</w:t>
      </w:r>
      <w:r w:rsidR="00497B38" w:rsidRPr="0091040C">
        <w:rPr>
          <w:rFonts w:ascii="Helvetica" w:hAnsi="Helvetica" w:cs="Times New Roman"/>
          <w:sz w:val="20"/>
          <w:szCs w:val="20"/>
        </w:rPr>
        <w:t xml:space="preserve">. </w:t>
      </w:r>
      <w:r w:rsidR="00497B38" w:rsidRPr="0091040C">
        <w:rPr>
          <w:rFonts w:ascii="Helvetica" w:hAnsi="Helvetica" w:cs="Times New Roman"/>
          <w:sz w:val="20"/>
          <w:szCs w:val="20"/>
        </w:rPr>
        <w:br/>
        <w:t>Flexicult</w:t>
      </w:r>
      <w:r w:rsidR="00497B38" w:rsidRPr="0091040C">
        <w:rPr>
          <w:rFonts w:ascii="Helvetica" w:hAnsi="Helvetica" w:cs="Times New Roman"/>
          <w:sz w:val="20"/>
          <w:szCs w:val="20"/>
          <w:vertAlign w:val="superscript"/>
        </w:rPr>
        <w:t>TM</w:t>
      </w:r>
      <w:r w:rsidR="005B6718" w:rsidRPr="0091040C">
        <w:rPr>
          <w:rFonts w:ascii="Helvetica" w:hAnsi="Helvetica" w:cs="Times New Roman"/>
          <w:sz w:val="20"/>
          <w:szCs w:val="20"/>
        </w:rPr>
        <w:t xml:space="preserve"> identified</w:t>
      </w:r>
      <w:r w:rsidR="00497B38" w:rsidRPr="0091040C">
        <w:rPr>
          <w:rFonts w:ascii="Helvetica" w:hAnsi="Helvetica" w:cs="Times New Roman"/>
          <w:sz w:val="20"/>
          <w:szCs w:val="20"/>
        </w:rPr>
        <w:t xml:space="preserve"> </w:t>
      </w:r>
      <w:r w:rsidR="00497B38" w:rsidRPr="0091040C">
        <w:rPr>
          <w:rFonts w:ascii="Helvetica" w:hAnsi="Helvetica" w:cs="Times New Roman"/>
          <w:i/>
          <w:sz w:val="20"/>
          <w:szCs w:val="20"/>
          <w:shd w:val="clear" w:color="auto" w:fill="FFFFFF"/>
        </w:rPr>
        <w:t>E</w:t>
      </w:r>
      <w:r w:rsidR="00445FC5" w:rsidRPr="0091040C">
        <w:rPr>
          <w:rFonts w:ascii="Helvetica" w:hAnsi="Helvetica" w:cs="Times New Roman"/>
          <w:i/>
          <w:sz w:val="20"/>
          <w:szCs w:val="20"/>
          <w:shd w:val="clear" w:color="auto" w:fill="FFFFFF"/>
        </w:rPr>
        <w:t>.</w:t>
      </w:r>
      <w:r w:rsidR="00497B38" w:rsidRPr="0091040C">
        <w:rPr>
          <w:rFonts w:ascii="Helvetica" w:hAnsi="Helvetica" w:cs="Times New Roman"/>
          <w:i/>
          <w:sz w:val="20"/>
          <w:szCs w:val="20"/>
          <w:shd w:val="clear" w:color="auto" w:fill="FFFFFF"/>
        </w:rPr>
        <w:t xml:space="preserve"> coli </w:t>
      </w:r>
      <w:r w:rsidR="00497B38" w:rsidRPr="0091040C">
        <w:rPr>
          <w:rFonts w:ascii="Helvetica" w:hAnsi="Helvetica" w:cs="Times New Roman"/>
          <w:sz w:val="20"/>
          <w:szCs w:val="20"/>
          <w:shd w:val="clear" w:color="auto" w:fill="FFFFFF"/>
        </w:rPr>
        <w:t>in 63 urine</w:t>
      </w:r>
      <w:r w:rsidR="00497B38" w:rsidRPr="0091040C">
        <w:rPr>
          <w:rFonts w:ascii="Helvetica" w:hAnsi="Helvetica" w:cs="Times New Roman"/>
          <w:sz w:val="20"/>
          <w:szCs w:val="20"/>
        </w:rPr>
        <w:t xml:space="preserve"> samples</w:t>
      </w:r>
      <w:r w:rsidR="00061AB9" w:rsidRPr="0091040C">
        <w:rPr>
          <w:rFonts w:ascii="Helvetica" w:hAnsi="Helvetica" w:cs="Times New Roman"/>
          <w:sz w:val="20"/>
          <w:szCs w:val="20"/>
        </w:rPr>
        <w:t xml:space="preserve"> (</w:t>
      </w:r>
      <w:r w:rsidR="00074112" w:rsidRPr="0091040C">
        <w:rPr>
          <w:rFonts w:ascii="Helvetica" w:hAnsi="Helvetica" w:cs="Times New Roman"/>
          <w:sz w:val="20"/>
          <w:szCs w:val="20"/>
        </w:rPr>
        <w:t xml:space="preserve">Table </w:t>
      </w:r>
      <w:r w:rsidR="00D022B0">
        <w:rPr>
          <w:rFonts w:ascii="Helvetica" w:hAnsi="Helvetica" w:cs="Times New Roman"/>
          <w:sz w:val="20"/>
          <w:szCs w:val="20"/>
        </w:rPr>
        <w:t>2</w:t>
      </w:r>
      <w:r w:rsidR="00061AB9" w:rsidRPr="0091040C">
        <w:rPr>
          <w:rFonts w:ascii="Helvetica" w:hAnsi="Helvetica" w:cs="Times New Roman"/>
          <w:sz w:val="20"/>
          <w:szCs w:val="20"/>
        </w:rPr>
        <w:t>)</w:t>
      </w:r>
      <w:r w:rsidR="00497B38" w:rsidRPr="0091040C">
        <w:rPr>
          <w:rFonts w:ascii="Helvetica" w:hAnsi="Helvetica" w:cs="Times New Roman"/>
          <w:sz w:val="20"/>
          <w:szCs w:val="20"/>
        </w:rPr>
        <w:t xml:space="preserve">. </w:t>
      </w:r>
      <w:r w:rsidR="00061AB9" w:rsidRPr="0091040C">
        <w:rPr>
          <w:rFonts w:ascii="Helvetica" w:hAnsi="Helvetica" w:cs="Times New Roman"/>
          <w:sz w:val="20"/>
          <w:szCs w:val="20"/>
        </w:rPr>
        <w:t>L</w:t>
      </w:r>
      <w:r w:rsidR="00497B38" w:rsidRPr="0091040C">
        <w:rPr>
          <w:rFonts w:ascii="Helvetica" w:hAnsi="Helvetica" w:cs="Times New Roman"/>
          <w:sz w:val="20"/>
          <w:szCs w:val="20"/>
        </w:rPr>
        <w:t xml:space="preserve">aboratory culture </w:t>
      </w:r>
      <w:r w:rsidR="00061AB9" w:rsidRPr="0091040C">
        <w:rPr>
          <w:rFonts w:ascii="Helvetica" w:hAnsi="Helvetica" w:cs="Times New Roman"/>
          <w:sz w:val="20"/>
          <w:szCs w:val="20"/>
        </w:rPr>
        <w:t xml:space="preserve">found </w:t>
      </w:r>
      <w:r w:rsidR="00497B38" w:rsidRPr="0091040C">
        <w:rPr>
          <w:rFonts w:ascii="Helvetica" w:hAnsi="Helvetica" w:cs="Times New Roman"/>
          <w:sz w:val="20"/>
          <w:szCs w:val="20"/>
        </w:rPr>
        <w:t xml:space="preserve">no resistance to nitrofurantoin, </w:t>
      </w:r>
      <w:proofErr w:type="spellStart"/>
      <w:r w:rsidR="00497B38" w:rsidRPr="0091040C">
        <w:rPr>
          <w:rFonts w:ascii="Helvetica" w:hAnsi="Helvetica" w:cs="Times New Roman"/>
          <w:sz w:val="20"/>
          <w:szCs w:val="20"/>
        </w:rPr>
        <w:t>fosfomycin</w:t>
      </w:r>
      <w:proofErr w:type="spellEnd"/>
      <w:r w:rsidR="00497B38" w:rsidRPr="0091040C">
        <w:rPr>
          <w:rFonts w:ascii="Helvetica" w:hAnsi="Helvetica" w:cs="Times New Roman"/>
          <w:sz w:val="20"/>
          <w:szCs w:val="20"/>
        </w:rPr>
        <w:t xml:space="preserve"> </w:t>
      </w:r>
      <w:r w:rsidR="00074112" w:rsidRPr="0091040C">
        <w:rPr>
          <w:rFonts w:ascii="Helvetica" w:hAnsi="Helvetica" w:cs="Times New Roman"/>
          <w:sz w:val="20"/>
          <w:szCs w:val="20"/>
        </w:rPr>
        <w:t xml:space="preserve">or </w:t>
      </w:r>
      <w:r w:rsidR="00497B38" w:rsidRPr="0091040C">
        <w:rPr>
          <w:rFonts w:ascii="Helvetica" w:hAnsi="Helvetica" w:cs="Times New Roman"/>
          <w:sz w:val="20"/>
          <w:szCs w:val="20"/>
        </w:rPr>
        <w:t xml:space="preserve">cefuroxime. Therefore, statistical </w:t>
      </w:r>
      <w:r w:rsidR="00074112" w:rsidRPr="0091040C">
        <w:rPr>
          <w:rFonts w:ascii="Helvetica" w:hAnsi="Helvetica" w:cs="Times New Roman"/>
          <w:sz w:val="20"/>
          <w:szCs w:val="20"/>
        </w:rPr>
        <w:t>analysis for</w:t>
      </w:r>
      <w:r w:rsidR="008B5BC9" w:rsidRPr="0091040C">
        <w:rPr>
          <w:rFonts w:ascii="Helvetica" w:hAnsi="Helvetica" w:cs="Times New Roman"/>
          <w:sz w:val="20"/>
          <w:szCs w:val="20"/>
        </w:rPr>
        <w:t xml:space="preserve"> laboratory culture and</w:t>
      </w:r>
      <w:r w:rsidR="00497B38" w:rsidRPr="0091040C">
        <w:rPr>
          <w:rFonts w:ascii="Helvetica" w:hAnsi="Helvetica" w:cs="Times New Roman"/>
          <w:sz w:val="20"/>
          <w:szCs w:val="20"/>
        </w:rPr>
        <w:t xml:space="preserve"> Flexicult</w:t>
      </w:r>
      <w:r w:rsidR="00497B38" w:rsidRPr="0091040C">
        <w:rPr>
          <w:rFonts w:ascii="Helvetica" w:hAnsi="Helvetica" w:cs="Times New Roman"/>
          <w:sz w:val="20"/>
          <w:szCs w:val="20"/>
          <w:vertAlign w:val="superscript"/>
        </w:rPr>
        <w:t>TM</w:t>
      </w:r>
      <w:r w:rsidR="00497B38" w:rsidRPr="0091040C">
        <w:rPr>
          <w:rFonts w:ascii="Helvetica" w:hAnsi="Helvetica" w:cs="Times New Roman"/>
          <w:sz w:val="20"/>
          <w:szCs w:val="20"/>
        </w:rPr>
        <w:t xml:space="preserve"> could not be</w:t>
      </w:r>
      <w:r w:rsidR="00074112" w:rsidRPr="0091040C">
        <w:rPr>
          <w:rFonts w:ascii="Helvetica" w:hAnsi="Helvetica" w:cs="Times New Roman"/>
          <w:sz w:val="20"/>
          <w:szCs w:val="20"/>
        </w:rPr>
        <w:t xml:space="preserve"> </w:t>
      </w:r>
      <w:r w:rsidR="00061AB9" w:rsidRPr="0091040C">
        <w:rPr>
          <w:rFonts w:ascii="Helvetica" w:hAnsi="Helvetica" w:cs="Times New Roman"/>
          <w:sz w:val="20"/>
          <w:szCs w:val="20"/>
        </w:rPr>
        <w:t>done</w:t>
      </w:r>
      <w:r w:rsidR="00497B38" w:rsidRPr="0091040C">
        <w:rPr>
          <w:rFonts w:ascii="Helvetica" w:hAnsi="Helvetica" w:cs="Times New Roman"/>
          <w:sz w:val="20"/>
          <w:szCs w:val="20"/>
        </w:rPr>
        <w:t xml:space="preserve">. </w:t>
      </w:r>
      <w:r w:rsidR="00061AB9" w:rsidRPr="0091040C">
        <w:rPr>
          <w:rFonts w:ascii="Helvetica" w:hAnsi="Helvetica" w:cs="Times New Roman"/>
          <w:sz w:val="20"/>
          <w:szCs w:val="20"/>
        </w:rPr>
        <w:t xml:space="preserve">Resistant </w:t>
      </w:r>
      <w:r w:rsidR="002F4E44" w:rsidRPr="0091040C">
        <w:rPr>
          <w:rFonts w:ascii="Helvetica" w:hAnsi="Helvetica" w:cs="Times New Roman"/>
          <w:sz w:val="20"/>
          <w:szCs w:val="20"/>
        </w:rPr>
        <w:t xml:space="preserve">pathogens </w:t>
      </w:r>
      <w:r w:rsidR="00061AB9" w:rsidRPr="0091040C">
        <w:rPr>
          <w:rFonts w:ascii="Helvetica" w:hAnsi="Helvetica" w:cs="Times New Roman"/>
          <w:sz w:val="20"/>
          <w:szCs w:val="20"/>
        </w:rPr>
        <w:t xml:space="preserve">were more common </w:t>
      </w:r>
      <w:r w:rsidR="00A5476A" w:rsidRPr="0091040C">
        <w:rPr>
          <w:rFonts w:ascii="Helvetica" w:hAnsi="Helvetica" w:cs="Times New Roman"/>
          <w:sz w:val="20"/>
          <w:szCs w:val="20"/>
        </w:rPr>
        <w:t>according to</w:t>
      </w:r>
      <w:r w:rsidR="00497B38" w:rsidRPr="0091040C">
        <w:rPr>
          <w:rFonts w:ascii="Helvetica" w:hAnsi="Helvetica" w:cs="Times New Roman"/>
          <w:sz w:val="20"/>
          <w:szCs w:val="20"/>
        </w:rPr>
        <w:t xml:space="preserve"> Flexicult</w:t>
      </w:r>
      <w:r w:rsidR="00497B38" w:rsidRPr="0091040C">
        <w:rPr>
          <w:rFonts w:ascii="Helvetica" w:hAnsi="Helvetica" w:cs="Times New Roman"/>
          <w:sz w:val="20"/>
          <w:szCs w:val="20"/>
          <w:vertAlign w:val="superscript"/>
        </w:rPr>
        <w:t>TM</w:t>
      </w:r>
      <w:r w:rsidR="008B5BC9" w:rsidRPr="0091040C">
        <w:rPr>
          <w:rFonts w:ascii="Helvetica" w:hAnsi="Helvetica" w:cs="Times New Roman"/>
          <w:sz w:val="20"/>
          <w:szCs w:val="20"/>
        </w:rPr>
        <w:t xml:space="preserve"> </w:t>
      </w:r>
      <w:r w:rsidR="005B6718" w:rsidRPr="0091040C">
        <w:rPr>
          <w:rFonts w:ascii="Helvetica" w:hAnsi="Helvetica" w:cs="Times New Roman"/>
          <w:sz w:val="20"/>
          <w:szCs w:val="20"/>
        </w:rPr>
        <w:t xml:space="preserve">compared </w:t>
      </w:r>
      <w:r w:rsidR="00A564DC" w:rsidRPr="0091040C">
        <w:rPr>
          <w:rFonts w:ascii="Helvetica" w:hAnsi="Helvetica" w:cs="Times New Roman"/>
          <w:sz w:val="20"/>
          <w:szCs w:val="20"/>
        </w:rPr>
        <w:t xml:space="preserve">to </w:t>
      </w:r>
      <w:r w:rsidR="005B6718" w:rsidRPr="0091040C">
        <w:rPr>
          <w:rFonts w:ascii="Helvetica" w:hAnsi="Helvetica" w:cs="Times New Roman"/>
          <w:sz w:val="20"/>
          <w:szCs w:val="20"/>
        </w:rPr>
        <w:t>laboratory culture</w:t>
      </w:r>
      <w:r w:rsidR="00497B38" w:rsidRPr="0091040C">
        <w:rPr>
          <w:rFonts w:ascii="Helvetica" w:hAnsi="Helvetica" w:cs="Times New Roman"/>
          <w:sz w:val="20"/>
          <w:szCs w:val="20"/>
        </w:rPr>
        <w:t>. The accuracy of t</w:t>
      </w:r>
      <w:r w:rsidR="008B5BC9" w:rsidRPr="0091040C">
        <w:rPr>
          <w:rFonts w:ascii="Helvetica" w:hAnsi="Helvetica" w:cs="Times New Roman"/>
          <w:sz w:val="20"/>
          <w:szCs w:val="20"/>
        </w:rPr>
        <w:t>he susceptibility testing in</w:t>
      </w:r>
      <w:r w:rsidR="00497B38" w:rsidRPr="0091040C">
        <w:rPr>
          <w:rFonts w:ascii="Helvetica" w:hAnsi="Helvetica" w:cs="Times New Roman"/>
          <w:sz w:val="20"/>
          <w:szCs w:val="20"/>
        </w:rPr>
        <w:t xml:space="preserve"> Flexicult</w:t>
      </w:r>
      <w:r w:rsidR="00497B38" w:rsidRPr="0091040C">
        <w:rPr>
          <w:rFonts w:ascii="Helvetica" w:hAnsi="Helvetica" w:cs="Times New Roman"/>
          <w:sz w:val="20"/>
          <w:szCs w:val="20"/>
          <w:vertAlign w:val="superscript"/>
        </w:rPr>
        <w:t>TM</w:t>
      </w:r>
      <w:r w:rsidR="00497B38" w:rsidRPr="0091040C">
        <w:rPr>
          <w:rFonts w:ascii="Helvetica" w:hAnsi="Helvetica" w:cs="Times New Roman"/>
          <w:sz w:val="20"/>
          <w:szCs w:val="20"/>
        </w:rPr>
        <w:t xml:space="preserve"> varied from 81</w:t>
      </w:r>
      <w:r w:rsidR="00175B7A" w:rsidRPr="0091040C">
        <w:rPr>
          <w:rFonts w:ascii="Helvetica" w:hAnsi="Helvetica" w:cs="Times New Roman"/>
          <w:sz w:val="20"/>
          <w:szCs w:val="20"/>
        </w:rPr>
        <w:t>.0</w:t>
      </w:r>
      <w:r w:rsidR="00497B38" w:rsidRPr="0091040C">
        <w:rPr>
          <w:rFonts w:ascii="Helvetica" w:hAnsi="Helvetica" w:cs="Times New Roman"/>
          <w:sz w:val="20"/>
          <w:szCs w:val="20"/>
        </w:rPr>
        <w:t xml:space="preserve"> % for </w:t>
      </w:r>
      <w:r w:rsidR="00497B38" w:rsidRPr="0091040C">
        <w:rPr>
          <w:rFonts w:ascii="Helvetica" w:hAnsi="Helvetica"/>
          <w:color w:val="1C1C1C"/>
          <w:kern w:val="24"/>
          <w:sz w:val="20"/>
          <w:szCs w:val="20"/>
          <w:lang w:val="en-US"/>
        </w:rPr>
        <w:t>amoxicillin/</w:t>
      </w:r>
      <w:proofErr w:type="spellStart"/>
      <w:r w:rsidR="00497B38" w:rsidRPr="0091040C">
        <w:rPr>
          <w:rFonts w:ascii="Helvetica" w:hAnsi="Helvetica"/>
          <w:color w:val="1C1C1C"/>
          <w:kern w:val="24"/>
          <w:sz w:val="20"/>
          <w:szCs w:val="20"/>
          <w:lang w:val="en-US"/>
        </w:rPr>
        <w:t>clavulanate</w:t>
      </w:r>
      <w:proofErr w:type="spellEnd"/>
      <w:r w:rsidR="00497B38" w:rsidRPr="0091040C">
        <w:rPr>
          <w:rFonts w:ascii="Helvetica" w:hAnsi="Helvetica" w:cs="Times New Roman"/>
          <w:sz w:val="20"/>
          <w:szCs w:val="20"/>
        </w:rPr>
        <w:t xml:space="preserve"> to 9</w:t>
      </w:r>
      <w:r w:rsidR="00175B7A" w:rsidRPr="0091040C">
        <w:rPr>
          <w:rFonts w:ascii="Helvetica" w:hAnsi="Helvetica" w:cs="Times New Roman"/>
          <w:sz w:val="20"/>
          <w:szCs w:val="20"/>
        </w:rPr>
        <w:t>6.6</w:t>
      </w:r>
      <w:r w:rsidR="00497B38" w:rsidRPr="0091040C">
        <w:rPr>
          <w:rFonts w:ascii="Helvetica" w:hAnsi="Helvetica" w:cs="Times New Roman"/>
          <w:sz w:val="20"/>
          <w:szCs w:val="20"/>
        </w:rPr>
        <w:t>% for ciprofloxacin using laboratory susceptibility analysis as the reference standard. Kappa scores ranged from 0.49 to 0.60, which indicates a</w:t>
      </w:r>
      <w:r w:rsidR="00D17B5E" w:rsidRPr="0091040C">
        <w:rPr>
          <w:rFonts w:ascii="Helvetica" w:hAnsi="Helvetica" w:cs="Times New Roman"/>
          <w:sz w:val="20"/>
          <w:szCs w:val="20"/>
        </w:rPr>
        <w:t xml:space="preserve"> ‘moderate’ level of agreement</w:t>
      </w:r>
      <w:r w:rsidR="00497B38" w:rsidRPr="0091040C">
        <w:rPr>
          <w:rFonts w:ascii="Helvetica" w:hAnsi="Helvetica" w:cs="Times New Roman"/>
          <w:sz w:val="20"/>
          <w:szCs w:val="20"/>
        </w:rPr>
        <w:t>.</w:t>
      </w:r>
      <w:r w:rsidR="00D17B5E" w:rsidRPr="0091040C">
        <w:rPr>
          <w:rFonts w:ascii="Helvetica" w:hAnsi="Helvetica" w:cs="Times New Roman"/>
          <w:sz w:val="20"/>
          <w:szCs w:val="20"/>
        </w:rPr>
        <w:t xml:space="preserve"> PABAK scores</w:t>
      </w:r>
      <w:r w:rsidR="00915AAC" w:rsidRPr="0091040C">
        <w:rPr>
          <w:rFonts w:ascii="Helvetica" w:hAnsi="Helvetica" w:cs="Times New Roman"/>
          <w:sz w:val="20"/>
          <w:szCs w:val="20"/>
        </w:rPr>
        <w:t>,</w:t>
      </w:r>
      <w:r w:rsidR="00D17B5E" w:rsidRPr="0091040C">
        <w:rPr>
          <w:rFonts w:ascii="Helvetica" w:hAnsi="Helvetica" w:cs="Times New Roman"/>
          <w:sz w:val="20"/>
          <w:szCs w:val="20"/>
        </w:rPr>
        <w:t xml:space="preserve"> </w:t>
      </w:r>
      <w:r w:rsidR="00497B38" w:rsidRPr="0091040C">
        <w:rPr>
          <w:rFonts w:ascii="Helvetica" w:hAnsi="Helvetica" w:cs="Times New Roman"/>
          <w:sz w:val="20"/>
          <w:szCs w:val="20"/>
        </w:rPr>
        <w:t>calculated to adjust for the prevalence and bias, showed ‘good’ to ‘very good’ agreement (0.</w:t>
      </w:r>
      <w:r w:rsidR="008B5BC9" w:rsidRPr="0091040C">
        <w:rPr>
          <w:rFonts w:ascii="Helvetica" w:hAnsi="Helvetica" w:cs="Times New Roman"/>
          <w:sz w:val="20"/>
          <w:szCs w:val="20"/>
        </w:rPr>
        <w:t xml:space="preserve">60-0.94) between </w:t>
      </w:r>
      <w:r w:rsidR="00497B38" w:rsidRPr="0091040C">
        <w:rPr>
          <w:rFonts w:ascii="Helvetica" w:hAnsi="Helvetica" w:cs="Times New Roman"/>
          <w:sz w:val="20"/>
          <w:szCs w:val="20"/>
        </w:rPr>
        <w:t>Flexicult</w:t>
      </w:r>
      <w:r w:rsidR="00497B38" w:rsidRPr="0091040C">
        <w:rPr>
          <w:rFonts w:ascii="Helvetica" w:hAnsi="Helvetica" w:cs="Times New Roman"/>
          <w:sz w:val="20"/>
          <w:szCs w:val="20"/>
          <w:vertAlign w:val="superscript"/>
        </w:rPr>
        <w:t>TM</w:t>
      </w:r>
      <w:r w:rsidR="008B5BC9" w:rsidRPr="0091040C">
        <w:rPr>
          <w:rFonts w:ascii="Helvetica" w:hAnsi="Helvetica" w:cs="Times New Roman"/>
          <w:sz w:val="20"/>
          <w:szCs w:val="20"/>
        </w:rPr>
        <w:t xml:space="preserve"> </w:t>
      </w:r>
      <w:r w:rsidR="00497B38" w:rsidRPr="0091040C">
        <w:rPr>
          <w:rFonts w:ascii="Helvetica" w:hAnsi="Helvetica" w:cs="Times New Roman"/>
          <w:sz w:val="20"/>
          <w:szCs w:val="20"/>
        </w:rPr>
        <w:t xml:space="preserve">and laboratory </w:t>
      </w:r>
      <w:r w:rsidR="00915AAC" w:rsidRPr="0091040C">
        <w:rPr>
          <w:rFonts w:ascii="Helvetica" w:hAnsi="Helvetica" w:cs="Times New Roman"/>
          <w:sz w:val="20"/>
          <w:szCs w:val="20"/>
        </w:rPr>
        <w:t xml:space="preserve">culture </w:t>
      </w:r>
      <w:r w:rsidR="00497B38" w:rsidRPr="0091040C">
        <w:rPr>
          <w:rFonts w:ascii="Helvetica" w:hAnsi="Helvetica" w:cs="Times New Roman"/>
          <w:sz w:val="20"/>
          <w:szCs w:val="20"/>
        </w:rPr>
        <w:t>for all the analysed antibiotics.</w:t>
      </w:r>
      <w:r w:rsidR="00F4619C" w:rsidRPr="0091040C">
        <w:rPr>
          <w:rFonts w:ascii="Helvetica" w:hAnsi="Helvetica" w:cs="Times New Roman"/>
          <w:sz w:val="20"/>
          <w:szCs w:val="20"/>
        </w:rPr>
        <w:t xml:space="preserve"> </w:t>
      </w:r>
    </w:p>
    <w:p w14:paraId="4C1CDAD5" w14:textId="77777777" w:rsidR="00497B38" w:rsidRPr="0091040C" w:rsidRDefault="00F4619C" w:rsidP="00497B38">
      <w:pPr>
        <w:spacing w:line="480" w:lineRule="auto"/>
        <w:rPr>
          <w:rFonts w:ascii="Helvetica" w:hAnsi="Helvetica" w:cs="Times New Roman"/>
          <w:sz w:val="20"/>
          <w:szCs w:val="20"/>
        </w:rPr>
      </w:pPr>
      <w:r w:rsidRPr="0091040C">
        <w:rPr>
          <w:rFonts w:ascii="Helvetica" w:hAnsi="Helvetica" w:cs="Times New Roman"/>
          <w:sz w:val="20"/>
          <w:szCs w:val="20"/>
        </w:rPr>
        <w:t xml:space="preserve">Amoxicillin and </w:t>
      </w:r>
      <w:proofErr w:type="spellStart"/>
      <w:r w:rsidRPr="0091040C">
        <w:rPr>
          <w:rFonts w:ascii="Helvetica" w:hAnsi="Helvetica" w:cs="Times New Roman"/>
          <w:sz w:val="20"/>
          <w:szCs w:val="20"/>
        </w:rPr>
        <w:t>cephalothin</w:t>
      </w:r>
      <w:proofErr w:type="spellEnd"/>
      <w:r w:rsidRPr="0091040C">
        <w:rPr>
          <w:rFonts w:ascii="Helvetica" w:hAnsi="Helvetica" w:cs="Times New Roman"/>
          <w:sz w:val="20"/>
          <w:szCs w:val="20"/>
        </w:rPr>
        <w:t xml:space="preserve"> susceptibility results were excluded from analysis due to small numbers (n≤10).</w:t>
      </w:r>
    </w:p>
    <w:p w14:paraId="0A040B01" w14:textId="49DE4E49" w:rsidR="00497B38" w:rsidRPr="0091040C" w:rsidRDefault="0091040C" w:rsidP="00497B38">
      <w:pPr>
        <w:spacing w:line="480" w:lineRule="auto"/>
        <w:rPr>
          <w:rFonts w:ascii="Helvetica" w:hAnsi="Helvetica" w:cs="Times New Roman"/>
          <w:sz w:val="20"/>
          <w:szCs w:val="20"/>
        </w:rPr>
      </w:pPr>
      <w:r>
        <w:rPr>
          <w:rFonts w:ascii="Helvetica" w:hAnsi="Helvetica" w:cs="Times New Roman"/>
          <w:i/>
          <w:sz w:val="20"/>
          <w:szCs w:val="20"/>
        </w:rPr>
        <w:br/>
      </w:r>
      <w:r w:rsidR="00497B38" w:rsidRPr="0091040C">
        <w:rPr>
          <w:rFonts w:ascii="Helvetica" w:hAnsi="Helvetica" w:cs="Times New Roman"/>
          <w:i/>
          <w:sz w:val="20"/>
          <w:szCs w:val="20"/>
        </w:rPr>
        <w:t>UTI diagnosis</w:t>
      </w:r>
      <w:r w:rsidR="00497B38" w:rsidRPr="0091040C">
        <w:rPr>
          <w:rFonts w:ascii="Helvetica" w:hAnsi="Helvetica" w:cs="Times New Roman"/>
          <w:b/>
          <w:sz w:val="20"/>
          <w:szCs w:val="20"/>
        </w:rPr>
        <w:br/>
      </w:r>
      <w:r w:rsidR="00497B38" w:rsidRPr="0091040C">
        <w:rPr>
          <w:rFonts w:ascii="Helvetica" w:hAnsi="Helvetica" w:cs="Times New Roman"/>
          <w:sz w:val="20"/>
          <w:szCs w:val="20"/>
        </w:rPr>
        <w:t>Flexicult</w:t>
      </w:r>
      <w:r w:rsidR="00497B38" w:rsidRPr="0091040C">
        <w:rPr>
          <w:rFonts w:ascii="Helvetica" w:hAnsi="Helvetica" w:cs="Times New Roman"/>
          <w:sz w:val="20"/>
          <w:szCs w:val="20"/>
          <w:vertAlign w:val="superscript"/>
        </w:rPr>
        <w:t>TM</w:t>
      </w:r>
      <w:r w:rsidR="008B5BC9" w:rsidRPr="0091040C">
        <w:rPr>
          <w:rFonts w:ascii="Helvetica" w:hAnsi="Helvetica" w:cs="Times New Roman"/>
          <w:sz w:val="20"/>
          <w:szCs w:val="20"/>
        </w:rPr>
        <w:t xml:space="preserve"> </w:t>
      </w:r>
      <w:r w:rsidR="00497B38" w:rsidRPr="0091040C">
        <w:rPr>
          <w:rFonts w:ascii="Helvetica" w:hAnsi="Helvetica" w:cs="Times New Roman"/>
          <w:sz w:val="20"/>
          <w:szCs w:val="20"/>
        </w:rPr>
        <w:t>resulted in 202 samples (</w:t>
      </w:r>
      <w:r w:rsidR="00175B7A" w:rsidRPr="0091040C">
        <w:rPr>
          <w:rFonts w:ascii="Helvetica" w:hAnsi="Helvetica" w:cs="Times New Roman"/>
          <w:sz w:val="20"/>
          <w:szCs w:val="20"/>
        </w:rPr>
        <w:t>69.9</w:t>
      </w:r>
      <w:r w:rsidR="00497B38" w:rsidRPr="0091040C">
        <w:rPr>
          <w:rFonts w:ascii="Helvetica" w:hAnsi="Helvetica" w:cs="Times New Roman"/>
          <w:sz w:val="20"/>
          <w:szCs w:val="20"/>
        </w:rPr>
        <w:t>%) being classified as positive for a UTI</w:t>
      </w:r>
      <w:r w:rsidR="00445FC5" w:rsidRPr="0091040C">
        <w:rPr>
          <w:rFonts w:ascii="Helvetica" w:hAnsi="Helvetica" w:cs="Times New Roman"/>
          <w:sz w:val="20"/>
          <w:szCs w:val="20"/>
        </w:rPr>
        <w:t xml:space="preserve">. </w:t>
      </w:r>
      <w:r w:rsidR="00497B38" w:rsidRPr="0091040C">
        <w:rPr>
          <w:rFonts w:ascii="Helvetica" w:hAnsi="Helvetica" w:cs="Times New Roman"/>
          <w:sz w:val="20"/>
          <w:szCs w:val="20"/>
        </w:rPr>
        <w:t xml:space="preserve">The proportion of positive samples </w:t>
      </w:r>
      <w:r w:rsidR="0010028C" w:rsidRPr="0091040C">
        <w:rPr>
          <w:rFonts w:ascii="Helvetica" w:hAnsi="Helvetica" w:cs="Times New Roman"/>
          <w:sz w:val="20"/>
          <w:szCs w:val="20"/>
        </w:rPr>
        <w:t>on</w:t>
      </w:r>
      <w:r w:rsidR="00460EEF" w:rsidRPr="0091040C">
        <w:rPr>
          <w:rFonts w:ascii="Helvetica" w:hAnsi="Helvetica" w:cs="Times New Roman"/>
          <w:sz w:val="20"/>
          <w:szCs w:val="20"/>
        </w:rPr>
        <w:t xml:space="preserve"> laboratory </w:t>
      </w:r>
      <w:r w:rsidR="0010028C" w:rsidRPr="0091040C">
        <w:rPr>
          <w:rFonts w:ascii="Helvetica" w:hAnsi="Helvetica" w:cs="Times New Roman"/>
          <w:sz w:val="20"/>
          <w:szCs w:val="20"/>
        </w:rPr>
        <w:t xml:space="preserve">culture </w:t>
      </w:r>
      <w:r w:rsidR="00497B38" w:rsidRPr="0091040C">
        <w:rPr>
          <w:rFonts w:ascii="Helvetica" w:hAnsi="Helvetica" w:cs="Times New Roman"/>
          <w:sz w:val="20"/>
          <w:szCs w:val="20"/>
        </w:rPr>
        <w:t>varied accordin</w:t>
      </w:r>
      <w:r w:rsidR="00460EEF" w:rsidRPr="0091040C">
        <w:rPr>
          <w:rFonts w:ascii="Helvetica" w:hAnsi="Helvetica" w:cs="Times New Roman"/>
          <w:sz w:val="20"/>
          <w:szCs w:val="20"/>
        </w:rPr>
        <w:t>g to the definition used</w:t>
      </w:r>
      <w:r w:rsidR="00521212" w:rsidRPr="0091040C">
        <w:rPr>
          <w:rFonts w:ascii="Helvetica" w:hAnsi="Helvetica" w:cs="Times New Roman"/>
          <w:sz w:val="20"/>
          <w:szCs w:val="20"/>
        </w:rPr>
        <w:t>, but all definitions resulted in a lower proportion than was identified using Flexicult</w:t>
      </w:r>
      <w:r w:rsidR="00EE30FB" w:rsidRPr="0091040C">
        <w:rPr>
          <w:rFonts w:ascii="Helvetica" w:hAnsi="Helvetica" w:cs="Times New Roman"/>
          <w:sz w:val="20"/>
          <w:szCs w:val="20"/>
          <w:vertAlign w:val="superscript"/>
        </w:rPr>
        <w:t>TM</w:t>
      </w:r>
      <w:r w:rsidR="00497B38" w:rsidRPr="0091040C">
        <w:rPr>
          <w:rFonts w:ascii="Helvetica" w:hAnsi="Helvetica" w:cs="Times New Roman"/>
          <w:sz w:val="20"/>
          <w:szCs w:val="20"/>
        </w:rPr>
        <w:t>. The European guidelines definition</w:t>
      </w:r>
      <w:r w:rsidR="00497B38" w:rsidRPr="0091040C">
        <w:rPr>
          <w:rFonts w:ascii="Helvetica" w:hAnsi="Helvetica" w:cs="Times New Roman"/>
          <w:sz w:val="20"/>
          <w:szCs w:val="20"/>
        </w:rPr>
        <w:fldChar w:fldCharType="begin" w:fldLock="1"/>
      </w:r>
      <w:r w:rsidR="00E12CED" w:rsidRPr="0091040C">
        <w:rPr>
          <w:rFonts w:ascii="Helvetica" w:hAnsi="Helvetica" w:cs="Times New Roman"/>
          <w:sz w:val="20"/>
          <w:szCs w:val="20"/>
        </w:rPr>
        <w:instrText>ADDIN CSL_CITATION { "citationItems" : [ { "id" : "ITEM-1", "itemData" : { "URL" : "http://uroweb.org/wp-content/uploads/EAU-Guidelines-Urological-Infections-v2.pdf", "accessed" : { "date-parts" : [ [ "2016", "2", "8" ] ] }, "id" : "ITEM-1", "issued" : { "date-parts" : [ [ "0" ] ] }, "note" : "http://uroweb.org/wp-content/uploads/EAU-Guidelines-Urological-Infections-v2.pdf, page 14", "title" : "Guidelines on Urological Infections", "type" : "webpage" }, "uris" : [ "http://www.mendeley.com/documents/?uuid=d685aed1-f847-4a74-86d2-782f6f96eda8" ] } ], "mendeley" : { "formattedCitation" : "&lt;sup&gt;11&lt;/sup&gt;", "plainTextFormattedCitation" : "11", "previouslyFormattedCitation" : "&lt;sup&gt;11&lt;/sup&gt;" }, "properties" : { "noteIndex" : 0 }, "schema" : "https://github.com/citation-style-language/schema/raw/master/csl-citation.json" }</w:instrText>
      </w:r>
      <w:r w:rsidR="00497B38" w:rsidRPr="0091040C">
        <w:rPr>
          <w:rFonts w:ascii="Helvetica" w:hAnsi="Helvetica" w:cs="Times New Roman"/>
          <w:sz w:val="20"/>
          <w:szCs w:val="20"/>
        </w:rPr>
        <w:fldChar w:fldCharType="separate"/>
      </w:r>
      <w:r w:rsidR="005642C4" w:rsidRPr="0091040C">
        <w:rPr>
          <w:rFonts w:ascii="Helvetica" w:hAnsi="Helvetica" w:cs="Times New Roman"/>
          <w:noProof/>
          <w:sz w:val="20"/>
          <w:szCs w:val="20"/>
          <w:vertAlign w:val="superscript"/>
        </w:rPr>
        <w:t>11</w:t>
      </w:r>
      <w:r w:rsidR="00497B38" w:rsidRPr="0091040C">
        <w:rPr>
          <w:rFonts w:ascii="Helvetica" w:hAnsi="Helvetica" w:cs="Times New Roman"/>
          <w:sz w:val="20"/>
          <w:szCs w:val="20"/>
        </w:rPr>
        <w:fldChar w:fldCharType="end"/>
      </w:r>
      <w:r w:rsidR="00EE30FB" w:rsidRPr="0091040C">
        <w:rPr>
          <w:rFonts w:ascii="Helvetica" w:hAnsi="Helvetica" w:cs="Times New Roman"/>
          <w:sz w:val="20"/>
          <w:szCs w:val="20"/>
        </w:rPr>
        <w:t xml:space="preserve"> </w:t>
      </w:r>
      <w:r w:rsidR="00497B38" w:rsidRPr="0091040C">
        <w:rPr>
          <w:rFonts w:ascii="Helvetica" w:hAnsi="Helvetica" w:cs="Times New Roman"/>
          <w:sz w:val="20"/>
          <w:szCs w:val="20"/>
        </w:rPr>
        <w:t xml:space="preserve"> identified </w:t>
      </w:r>
      <w:r w:rsidR="00521212" w:rsidRPr="0091040C">
        <w:rPr>
          <w:rFonts w:ascii="Helvetica" w:hAnsi="Helvetica" w:cs="Times New Roman"/>
          <w:sz w:val="20"/>
          <w:szCs w:val="20"/>
        </w:rPr>
        <w:t xml:space="preserve">190 </w:t>
      </w:r>
      <w:r w:rsidR="00497B38" w:rsidRPr="0091040C">
        <w:rPr>
          <w:rFonts w:ascii="Helvetica" w:hAnsi="Helvetica" w:cs="Times New Roman"/>
          <w:sz w:val="20"/>
          <w:szCs w:val="20"/>
        </w:rPr>
        <w:t>positive samples (6</w:t>
      </w:r>
      <w:r w:rsidR="00175B7A" w:rsidRPr="0091040C">
        <w:rPr>
          <w:rFonts w:ascii="Helvetica" w:hAnsi="Helvetica" w:cs="Times New Roman"/>
          <w:sz w:val="20"/>
          <w:szCs w:val="20"/>
        </w:rPr>
        <w:t>5.7</w:t>
      </w:r>
      <w:r w:rsidR="00497B38" w:rsidRPr="0091040C">
        <w:rPr>
          <w:rFonts w:ascii="Helvetica" w:hAnsi="Helvetica" w:cs="Times New Roman"/>
          <w:sz w:val="20"/>
          <w:szCs w:val="20"/>
        </w:rPr>
        <w:t xml:space="preserve">%) </w:t>
      </w:r>
      <w:r w:rsidR="001866E6" w:rsidRPr="0091040C">
        <w:rPr>
          <w:rFonts w:ascii="Helvetica" w:hAnsi="Helvetica" w:cs="Times New Roman"/>
          <w:sz w:val="20"/>
          <w:szCs w:val="20"/>
        </w:rPr>
        <w:t>as UTI</w:t>
      </w:r>
      <w:r w:rsidR="003B71B7" w:rsidRPr="0091040C">
        <w:rPr>
          <w:rFonts w:ascii="Helvetica" w:hAnsi="Helvetica" w:cs="Times New Roman"/>
          <w:sz w:val="20"/>
          <w:szCs w:val="20"/>
        </w:rPr>
        <w:t xml:space="preserve">, </w:t>
      </w:r>
      <w:r w:rsidR="005B6718" w:rsidRPr="0091040C">
        <w:rPr>
          <w:rFonts w:ascii="Helvetica" w:hAnsi="Helvetica" w:cs="Times New Roman"/>
          <w:sz w:val="20"/>
          <w:szCs w:val="20"/>
        </w:rPr>
        <w:t xml:space="preserve">HPA/PHE </w:t>
      </w:r>
      <w:r w:rsidR="00497B38" w:rsidRPr="0091040C">
        <w:rPr>
          <w:rFonts w:ascii="Helvetica" w:hAnsi="Helvetica" w:cs="Times New Roman"/>
          <w:sz w:val="20"/>
          <w:szCs w:val="20"/>
        </w:rPr>
        <w:t>definition</w:t>
      </w:r>
      <w:r w:rsidR="00497B38" w:rsidRPr="0091040C">
        <w:rPr>
          <w:rFonts w:ascii="Helvetica" w:hAnsi="Helvetica" w:cs="Times New Roman"/>
          <w:sz w:val="20"/>
          <w:szCs w:val="20"/>
        </w:rPr>
        <w:fldChar w:fldCharType="begin" w:fldLock="1"/>
      </w:r>
      <w:r w:rsidR="00E12CED" w:rsidRPr="0091040C">
        <w:rPr>
          <w:rFonts w:ascii="Helvetica" w:hAnsi="Helvetica" w:cs="Times New Roman"/>
          <w:sz w:val="20"/>
          <w:szCs w:val="20"/>
        </w:rPr>
        <w:instrText>ADDIN CSL_CITATION { "citationItems" : [ { "id" : "ITEM-1", "itemData" : { "URL" : "https://www.gov.uk/government/uploads/system/uploads/attachment_data/file/323398/UTI_guidelines_with_RCGP_logo.pdf", "accessed" : { "date-parts" : [ [ "2016", "2", "7" ] ] }, "id" : "ITEM-1", "issued" : { "date-parts" : [ [ "0" ] ] }, "title" : "Diagnosis of UTI Quick Reference Guide for Primary Care", "type" : "webpage" }, "uris" : [ "http://www.mendeley.com/documents/?uuid=ee8d2c94-1393-4e63-ace3-cc506e2f5195" ] } ], "mendeley" : { "formattedCitation" : "&lt;sup&gt;13&lt;/sup&gt;", "plainTextFormattedCitation" : "13", "previouslyFormattedCitation" : "&lt;sup&gt;13&lt;/sup&gt;" }, "properties" : { "noteIndex" : 0 }, "schema" : "https://github.com/citation-style-language/schema/raw/master/csl-citation.json" }</w:instrText>
      </w:r>
      <w:r w:rsidR="00497B38" w:rsidRPr="0091040C">
        <w:rPr>
          <w:rFonts w:ascii="Helvetica" w:hAnsi="Helvetica" w:cs="Times New Roman"/>
          <w:sz w:val="20"/>
          <w:szCs w:val="20"/>
        </w:rPr>
        <w:fldChar w:fldCharType="separate"/>
      </w:r>
      <w:r w:rsidR="005642C4" w:rsidRPr="0091040C">
        <w:rPr>
          <w:rFonts w:ascii="Helvetica" w:hAnsi="Helvetica" w:cs="Times New Roman"/>
          <w:noProof/>
          <w:sz w:val="20"/>
          <w:szCs w:val="20"/>
          <w:vertAlign w:val="superscript"/>
        </w:rPr>
        <w:t>13</w:t>
      </w:r>
      <w:r w:rsidR="00497B38" w:rsidRPr="0091040C">
        <w:rPr>
          <w:rFonts w:ascii="Helvetica" w:hAnsi="Helvetica" w:cs="Times New Roman"/>
          <w:sz w:val="20"/>
          <w:szCs w:val="20"/>
        </w:rPr>
        <w:fldChar w:fldCharType="end"/>
      </w:r>
      <w:r w:rsidR="00521212" w:rsidRPr="0091040C">
        <w:rPr>
          <w:rFonts w:ascii="Helvetica" w:hAnsi="Helvetica" w:cs="Times New Roman"/>
          <w:sz w:val="20"/>
          <w:szCs w:val="20"/>
        </w:rPr>
        <w:t xml:space="preserve"> resulted in 137 (47</w:t>
      </w:r>
      <w:r w:rsidR="00175B7A" w:rsidRPr="0091040C">
        <w:rPr>
          <w:rFonts w:ascii="Helvetica" w:hAnsi="Helvetica" w:cs="Times New Roman"/>
          <w:sz w:val="20"/>
          <w:szCs w:val="20"/>
        </w:rPr>
        <w:t>.4</w:t>
      </w:r>
      <w:r w:rsidR="00521212" w:rsidRPr="0091040C">
        <w:rPr>
          <w:rFonts w:ascii="Helvetica" w:hAnsi="Helvetica" w:cs="Times New Roman"/>
          <w:sz w:val="20"/>
          <w:szCs w:val="20"/>
        </w:rPr>
        <w:t>%) positive samples</w:t>
      </w:r>
      <w:r w:rsidR="00883A65" w:rsidRPr="0091040C">
        <w:rPr>
          <w:rFonts w:ascii="Helvetica" w:hAnsi="Helvetica" w:cs="Times New Roman"/>
          <w:sz w:val="20"/>
          <w:szCs w:val="20"/>
        </w:rPr>
        <w:t>,</w:t>
      </w:r>
      <w:r w:rsidR="00497B38" w:rsidRPr="0091040C">
        <w:rPr>
          <w:rFonts w:ascii="Helvetica" w:hAnsi="Helvetica" w:cs="Times New Roman"/>
          <w:sz w:val="20"/>
          <w:szCs w:val="20"/>
        </w:rPr>
        <w:t xml:space="preserve"> and </w:t>
      </w:r>
      <w:r w:rsidR="00521212" w:rsidRPr="0091040C">
        <w:rPr>
          <w:rFonts w:ascii="Helvetica" w:hAnsi="Helvetica" w:cs="Times New Roman"/>
          <w:sz w:val="20"/>
          <w:szCs w:val="20"/>
        </w:rPr>
        <w:t>the UK laboratory definition resulted in</w:t>
      </w:r>
      <w:r w:rsidR="00497B38" w:rsidRPr="0091040C">
        <w:rPr>
          <w:rFonts w:ascii="Helvetica" w:hAnsi="Helvetica" w:cs="Times New Roman"/>
          <w:sz w:val="20"/>
          <w:szCs w:val="20"/>
        </w:rPr>
        <w:t xml:space="preserve"> 94 (3</w:t>
      </w:r>
      <w:r w:rsidR="00175B7A" w:rsidRPr="0091040C">
        <w:rPr>
          <w:rFonts w:ascii="Helvetica" w:hAnsi="Helvetica" w:cs="Times New Roman"/>
          <w:sz w:val="20"/>
          <w:szCs w:val="20"/>
        </w:rPr>
        <w:t>2.5</w:t>
      </w:r>
      <w:r w:rsidR="00497B38" w:rsidRPr="0091040C">
        <w:rPr>
          <w:rFonts w:ascii="Helvetica" w:hAnsi="Helvetica" w:cs="Times New Roman"/>
          <w:sz w:val="20"/>
          <w:szCs w:val="20"/>
        </w:rPr>
        <w:t xml:space="preserve">%) positive </w:t>
      </w:r>
      <w:r w:rsidR="00883A65" w:rsidRPr="0091040C">
        <w:rPr>
          <w:rFonts w:ascii="Helvetica" w:hAnsi="Helvetica" w:cs="Times New Roman"/>
          <w:sz w:val="20"/>
          <w:szCs w:val="20"/>
        </w:rPr>
        <w:t>samples</w:t>
      </w:r>
      <w:r w:rsidR="00F112E3">
        <w:rPr>
          <w:rFonts w:ascii="Helvetica" w:hAnsi="Helvetica" w:cs="Times New Roman"/>
          <w:sz w:val="20"/>
          <w:szCs w:val="20"/>
        </w:rPr>
        <w:t xml:space="preserve">. Table </w:t>
      </w:r>
      <w:r w:rsidR="00D022B0">
        <w:rPr>
          <w:rFonts w:ascii="Helvetica" w:hAnsi="Helvetica" w:cs="Times New Roman"/>
          <w:sz w:val="20"/>
          <w:szCs w:val="20"/>
        </w:rPr>
        <w:t>3</w:t>
      </w:r>
      <w:r w:rsidR="00497B38" w:rsidRPr="0091040C">
        <w:rPr>
          <w:rFonts w:ascii="Helvetica" w:hAnsi="Helvetica" w:cs="Times New Roman"/>
          <w:sz w:val="20"/>
          <w:szCs w:val="20"/>
        </w:rPr>
        <w:t xml:space="preserve"> shows the number of concordant and discordant samples along</w:t>
      </w:r>
      <w:r w:rsidR="0010028C" w:rsidRPr="0091040C">
        <w:rPr>
          <w:rFonts w:ascii="Helvetica" w:hAnsi="Helvetica" w:cs="Times New Roman"/>
          <w:sz w:val="20"/>
          <w:szCs w:val="20"/>
        </w:rPr>
        <w:t>,</w:t>
      </w:r>
      <w:r w:rsidR="00497B38" w:rsidRPr="0091040C">
        <w:rPr>
          <w:rFonts w:ascii="Helvetica" w:hAnsi="Helvetica" w:cs="Times New Roman"/>
          <w:sz w:val="20"/>
          <w:szCs w:val="20"/>
        </w:rPr>
        <w:t xml:space="preserve"> with </w:t>
      </w:r>
      <w:r w:rsidR="00074112" w:rsidRPr="0091040C">
        <w:rPr>
          <w:rFonts w:ascii="Helvetica" w:hAnsi="Helvetica" w:cs="Times New Roman"/>
          <w:sz w:val="20"/>
          <w:szCs w:val="20"/>
        </w:rPr>
        <w:t>agreement</w:t>
      </w:r>
      <w:r w:rsidR="00497B38" w:rsidRPr="0091040C">
        <w:rPr>
          <w:rFonts w:ascii="Helvetica" w:hAnsi="Helvetica" w:cs="Times New Roman"/>
          <w:sz w:val="20"/>
          <w:szCs w:val="20"/>
        </w:rPr>
        <w:t xml:space="preserve"> measures</w:t>
      </w:r>
      <w:r w:rsidR="00FB4E34" w:rsidRPr="0091040C">
        <w:rPr>
          <w:rFonts w:ascii="Helvetica" w:hAnsi="Helvetica" w:cs="Times New Roman"/>
          <w:sz w:val="20"/>
          <w:szCs w:val="20"/>
        </w:rPr>
        <w:t>.</w:t>
      </w:r>
      <w:r w:rsidR="005B6718" w:rsidRPr="0091040C">
        <w:rPr>
          <w:rFonts w:ascii="Helvetica" w:hAnsi="Helvetica" w:cs="Times New Roman"/>
          <w:sz w:val="20"/>
          <w:szCs w:val="20"/>
        </w:rPr>
        <w:t xml:space="preserve"> </w:t>
      </w:r>
      <w:r w:rsidR="00497B38" w:rsidRPr="0091040C">
        <w:rPr>
          <w:rFonts w:ascii="Helvetica" w:hAnsi="Helvetica" w:cs="Times New Roman"/>
          <w:sz w:val="20"/>
          <w:szCs w:val="20"/>
        </w:rPr>
        <w:lastRenderedPageBreak/>
        <w:t>Flexicult</w:t>
      </w:r>
      <w:r w:rsidR="00497B38" w:rsidRPr="0091040C">
        <w:rPr>
          <w:rFonts w:ascii="Helvetica" w:hAnsi="Helvetica" w:cs="Times New Roman"/>
          <w:sz w:val="20"/>
          <w:szCs w:val="20"/>
          <w:vertAlign w:val="superscript"/>
        </w:rPr>
        <w:t>TM</w:t>
      </w:r>
      <w:r w:rsidR="00497B38" w:rsidRPr="0091040C">
        <w:rPr>
          <w:rFonts w:ascii="Helvetica" w:hAnsi="Helvetica" w:cs="Times New Roman"/>
          <w:sz w:val="20"/>
          <w:szCs w:val="20"/>
        </w:rPr>
        <w:t xml:space="preserve"> </w:t>
      </w:r>
      <w:r w:rsidR="003314F4" w:rsidRPr="0091040C">
        <w:rPr>
          <w:rFonts w:ascii="Helvetica" w:hAnsi="Helvetica" w:cs="Times New Roman"/>
          <w:sz w:val="20"/>
          <w:szCs w:val="20"/>
        </w:rPr>
        <w:t>identified</w:t>
      </w:r>
      <w:r w:rsidR="0010028C" w:rsidRPr="0091040C">
        <w:rPr>
          <w:rFonts w:ascii="Helvetica" w:hAnsi="Helvetica" w:cs="Times New Roman"/>
          <w:sz w:val="20"/>
          <w:szCs w:val="20"/>
        </w:rPr>
        <w:t xml:space="preserve"> </w:t>
      </w:r>
      <w:r w:rsidR="00FF1E0D" w:rsidRPr="0091040C">
        <w:rPr>
          <w:rFonts w:ascii="Helvetica" w:hAnsi="Helvetica" w:cs="Times New Roman"/>
          <w:sz w:val="20"/>
          <w:szCs w:val="20"/>
        </w:rPr>
        <w:t>false positive</w:t>
      </w:r>
      <w:r w:rsidR="003314F4" w:rsidRPr="0091040C">
        <w:rPr>
          <w:rFonts w:ascii="Helvetica" w:hAnsi="Helvetica" w:cs="Times New Roman"/>
          <w:sz w:val="20"/>
          <w:szCs w:val="20"/>
        </w:rPr>
        <w:t xml:space="preserve">s for UTI of </w:t>
      </w:r>
      <w:r w:rsidR="00497B38" w:rsidRPr="0091040C">
        <w:rPr>
          <w:rFonts w:ascii="Helvetica" w:hAnsi="Helvetica" w:cs="Times New Roman"/>
          <w:sz w:val="20"/>
          <w:szCs w:val="20"/>
        </w:rPr>
        <w:t>between 21</w:t>
      </w:r>
      <w:r w:rsidR="00175B7A" w:rsidRPr="0091040C">
        <w:rPr>
          <w:rFonts w:ascii="Helvetica" w:hAnsi="Helvetica" w:cs="Times New Roman"/>
          <w:sz w:val="20"/>
          <w:szCs w:val="20"/>
        </w:rPr>
        <w:t>.4</w:t>
      </w:r>
      <w:r w:rsidR="00497B38" w:rsidRPr="0091040C">
        <w:rPr>
          <w:rFonts w:ascii="Helvetica" w:hAnsi="Helvetica" w:cs="Times New Roman"/>
          <w:sz w:val="20"/>
          <w:szCs w:val="20"/>
        </w:rPr>
        <w:t>-44</w:t>
      </w:r>
      <w:r w:rsidR="00175B7A" w:rsidRPr="0091040C">
        <w:rPr>
          <w:rFonts w:ascii="Helvetica" w:hAnsi="Helvetica" w:cs="Times New Roman"/>
          <w:sz w:val="20"/>
          <w:szCs w:val="20"/>
        </w:rPr>
        <w:t>.3</w:t>
      </w:r>
      <w:r w:rsidR="00497B38" w:rsidRPr="0091040C">
        <w:rPr>
          <w:rFonts w:ascii="Helvetica" w:hAnsi="Helvetica" w:cs="Times New Roman"/>
          <w:sz w:val="20"/>
          <w:szCs w:val="20"/>
        </w:rPr>
        <w:t>%, a</w:t>
      </w:r>
      <w:r w:rsidR="003314F4" w:rsidRPr="0091040C">
        <w:rPr>
          <w:rFonts w:ascii="Helvetica" w:hAnsi="Helvetica" w:cs="Times New Roman"/>
          <w:sz w:val="20"/>
          <w:szCs w:val="20"/>
        </w:rPr>
        <w:t xml:space="preserve">nd false </w:t>
      </w:r>
      <w:r w:rsidR="00215325" w:rsidRPr="0091040C">
        <w:rPr>
          <w:rFonts w:ascii="Helvetica" w:hAnsi="Helvetica" w:cs="Times New Roman"/>
          <w:sz w:val="20"/>
          <w:szCs w:val="20"/>
        </w:rPr>
        <w:t>negatives</w:t>
      </w:r>
      <w:r w:rsidR="003314F4" w:rsidRPr="0091040C">
        <w:rPr>
          <w:rFonts w:ascii="Helvetica" w:hAnsi="Helvetica" w:cs="Times New Roman"/>
          <w:sz w:val="20"/>
          <w:szCs w:val="20"/>
        </w:rPr>
        <w:t xml:space="preserve"> of between </w:t>
      </w:r>
      <w:r w:rsidR="00175B7A" w:rsidRPr="0091040C">
        <w:rPr>
          <w:rFonts w:ascii="Helvetica" w:hAnsi="Helvetica" w:cs="Times New Roman"/>
          <w:sz w:val="20"/>
          <w:szCs w:val="20"/>
        </w:rPr>
        <w:t>6.9</w:t>
      </w:r>
      <w:r w:rsidR="00497B38" w:rsidRPr="0091040C">
        <w:rPr>
          <w:rFonts w:ascii="Helvetica" w:hAnsi="Helvetica" w:cs="Times New Roman"/>
          <w:sz w:val="20"/>
          <w:szCs w:val="20"/>
        </w:rPr>
        <w:t>-17</w:t>
      </w:r>
      <w:r w:rsidR="00A00D5C" w:rsidRPr="0091040C">
        <w:rPr>
          <w:rFonts w:ascii="Helvetica" w:hAnsi="Helvetica" w:cs="Times New Roman"/>
          <w:sz w:val="20"/>
          <w:szCs w:val="20"/>
        </w:rPr>
        <w:t>.3</w:t>
      </w:r>
      <w:r w:rsidR="00460EEF" w:rsidRPr="0091040C">
        <w:rPr>
          <w:rFonts w:ascii="Helvetica" w:hAnsi="Helvetica" w:cs="Times New Roman"/>
          <w:sz w:val="20"/>
          <w:szCs w:val="20"/>
        </w:rPr>
        <w:t>%</w:t>
      </w:r>
      <w:r w:rsidR="00497B38" w:rsidRPr="0091040C">
        <w:rPr>
          <w:rFonts w:ascii="Helvetica" w:hAnsi="Helvetica" w:cs="Times New Roman"/>
          <w:sz w:val="20"/>
          <w:szCs w:val="20"/>
        </w:rPr>
        <w:t xml:space="preserve">, sensitivity </w:t>
      </w:r>
      <w:r w:rsidR="003314F4" w:rsidRPr="0091040C">
        <w:rPr>
          <w:rFonts w:ascii="Helvetica" w:hAnsi="Helvetica" w:cs="Times New Roman"/>
          <w:sz w:val="20"/>
          <w:szCs w:val="20"/>
        </w:rPr>
        <w:t xml:space="preserve">of </w:t>
      </w:r>
      <w:r w:rsidR="00497B38" w:rsidRPr="0091040C">
        <w:rPr>
          <w:rFonts w:ascii="Helvetica" w:hAnsi="Helvetica" w:cs="Times New Roman"/>
          <w:sz w:val="20"/>
          <w:szCs w:val="20"/>
        </w:rPr>
        <w:t>between 7</w:t>
      </w:r>
      <w:r w:rsidR="00A00D5C" w:rsidRPr="0091040C">
        <w:rPr>
          <w:rFonts w:ascii="Helvetica" w:hAnsi="Helvetica" w:cs="Times New Roman"/>
          <w:sz w:val="20"/>
          <w:szCs w:val="20"/>
        </w:rPr>
        <w:t>3.7</w:t>
      </w:r>
      <w:r w:rsidR="00497B38" w:rsidRPr="0091040C">
        <w:rPr>
          <w:rFonts w:ascii="Helvetica" w:hAnsi="Helvetica" w:cs="Times New Roman"/>
          <w:sz w:val="20"/>
          <w:szCs w:val="20"/>
        </w:rPr>
        <w:t>% -7</w:t>
      </w:r>
      <w:r w:rsidR="00A00D5C" w:rsidRPr="0091040C">
        <w:rPr>
          <w:rFonts w:ascii="Helvetica" w:hAnsi="Helvetica" w:cs="Times New Roman"/>
          <w:sz w:val="20"/>
          <w:szCs w:val="20"/>
        </w:rPr>
        <w:t>8.8</w:t>
      </w:r>
      <w:r w:rsidR="00497B38" w:rsidRPr="0091040C">
        <w:rPr>
          <w:rFonts w:ascii="Helvetica" w:hAnsi="Helvetica" w:cs="Times New Roman"/>
          <w:sz w:val="20"/>
          <w:szCs w:val="20"/>
        </w:rPr>
        <w:t xml:space="preserve">% (95%CI 66.8-79.8, 95% CI 71.0-85.3) and specificity </w:t>
      </w:r>
      <w:r w:rsidR="003314F4" w:rsidRPr="0091040C">
        <w:rPr>
          <w:rFonts w:ascii="Helvetica" w:hAnsi="Helvetica" w:cs="Times New Roman"/>
          <w:sz w:val="20"/>
          <w:szCs w:val="20"/>
        </w:rPr>
        <w:t xml:space="preserve">of </w:t>
      </w:r>
      <w:r w:rsidR="00497B38" w:rsidRPr="0091040C">
        <w:rPr>
          <w:rFonts w:ascii="Helvetica" w:hAnsi="Helvetica" w:cs="Times New Roman"/>
          <w:sz w:val="20"/>
          <w:szCs w:val="20"/>
        </w:rPr>
        <w:t>between 34</w:t>
      </w:r>
      <w:r w:rsidR="00A00D5C" w:rsidRPr="0091040C">
        <w:rPr>
          <w:rFonts w:ascii="Helvetica" w:hAnsi="Helvetica" w:cs="Times New Roman"/>
          <w:sz w:val="20"/>
          <w:szCs w:val="20"/>
        </w:rPr>
        <w:t>.4</w:t>
      </w:r>
      <w:r w:rsidR="00497B38" w:rsidRPr="0091040C">
        <w:rPr>
          <w:rFonts w:ascii="Helvetica" w:hAnsi="Helvetica" w:cs="Times New Roman"/>
          <w:sz w:val="20"/>
          <w:szCs w:val="20"/>
        </w:rPr>
        <w:t>-38</w:t>
      </w:r>
      <w:r w:rsidR="00A00D5C" w:rsidRPr="0091040C">
        <w:rPr>
          <w:rFonts w:ascii="Helvetica" w:hAnsi="Helvetica" w:cs="Times New Roman"/>
          <w:sz w:val="20"/>
          <w:szCs w:val="20"/>
        </w:rPr>
        <w:t>.1</w:t>
      </w:r>
      <w:r w:rsidR="00497B38" w:rsidRPr="0091040C">
        <w:rPr>
          <w:rFonts w:ascii="Helvetica" w:hAnsi="Helvetica" w:cs="Times New Roman"/>
          <w:sz w:val="20"/>
          <w:szCs w:val="20"/>
        </w:rPr>
        <w:t>% (95%CI 27.7-41.5, 95%CI 30.4-46.4)</w:t>
      </w:r>
      <w:r w:rsidR="003314F4" w:rsidRPr="0091040C">
        <w:rPr>
          <w:rFonts w:ascii="Helvetica" w:hAnsi="Helvetica" w:cs="Times New Roman"/>
          <w:sz w:val="20"/>
          <w:szCs w:val="20"/>
        </w:rPr>
        <w:t xml:space="preserve"> when compared to the various laboratory thresholds for UTI</w:t>
      </w:r>
      <w:r w:rsidR="00497B38" w:rsidRPr="0091040C">
        <w:rPr>
          <w:rFonts w:ascii="Helvetica" w:hAnsi="Helvetica" w:cs="Times New Roman"/>
          <w:sz w:val="20"/>
          <w:szCs w:val="20"/>
        </w:rPr>
        <w:t xml:space="preserve">. The agreement </w:t>
      </w:r>
      <w:r w:rsidR="00FB4E34" w:rsidRPr="0091040C">
        <w:rPr>
          <w:rFonts w:ascii="Helvetica" w:hAnsi="Helvetica" w:cs="Times New Roman"/>
          <w:sz w:val="20"/>
          <w:szCs w:val="20"/>
        </w:rPr>
        <w:t>values</w:t>
      </w:r>
      <w:r w:rsidR="00F112E3">
        <w:rPr>
          <w:rFonts w:ascii="Helvetica" w:hAnsi="Helvetica" w:cs="Times New Roman"/>
          <w:sz w:val="20"/>
          <w:szCs w:val="20"/>
        </w:rPr>
        <w:t xml:space="preserve"> were all poor (Table </w:t>
      </w:r>
      <w:r w:rsidR="00D022B0">
        <w:rPr>
          <w:rFonts w:ascii="Helvetica" w:hAnsi="Helvetica" w:cs="Times New Roman"/>
          <w:sz w:val="20"/>
          <w:szCs w:val="20"/>
        </w:rPr>
        <w:t>3</w:t>
      </w:r>
      <w:r w:rsidR="00497B38" w:rsidRPr="0091040C">
        <w:rPr>
          <w:rFonts w:ascii="Helvetica" w:hAnsi="Helvetica" w:cs="Times New Roman"/>
          <w:sz w:val="20"/>
          <w:szCs w:val="20"/>
        </w:rPr>
        <w:t>).</w:t>
      </w:r>
      <w:r w:rsidR="005B6718" w:rsidRPr="0091040C">
        <w:rPr>
          <w:rFonts w:ascii="Helvetica" w:hAnsi="Helvetica" w:cs="Times New Roman"/>
          <w:sz w:val="20"/>
          <w:szCs w:val="20"/>
        </w:rPr>
        <w:t xml:space="preserve"> </w:t>
      </w:r>
    </w:p>
    <w:p w14:paraId="5826CEDF" w14:textId="77777777" w:rsidR="00FE7456" w:rsidRPr="0091040C" w:rsidRDefault="00FE7456" w:rsidP="001326DE">
      <w:pPr>
        <w:spacing w:line="480" w:lineRule="auto"/>
        <w:rPr>
          <w:rFonts w:ascii="Helvetica" w:hAnsi="Helvetica" w:cs="Times New Roman"/>
          <w:sz w:val="20"/>
          <w:szCs w:val="20"/>
        </w:rPr>
      </w:pPr>
    </w:p>
    <w:p w14:paraId="63DB32FA" w14:textId="1350D8A1" w:rsidR="00DB5EAA" w:rsidRDefault="00497B38" w:rsidP="001326DE">
      <w:pPr>
        <w:spacing w:line="480" w:lineRule="auto"/>
        <w:rPr>
          <w:rFonts w:ascii="Helvetica" w:hAnsi="Helvetica" w:cs="Times New Roman"/>
          <w:sz w:val="20"/>
          <w:szCs w:val="20"/>
        </w:rPr>
      </w:pPr>
      <w:r w:rsidRPr="0091040C">
        <w:rPr>
          <w:rFonts w:ascii="Helvetica" w:hAnsi="Helvetica" w:cs="Times New Roman"/>
          <w:b/>
          <w:sz w:val="20"/>
          <w:szCs w:val="20"/>
        </w:rPr>
        <w:t>Discussion</w:t>
      </w:r>
      <w:r w:rsidR="00DD1DAE">
        <w:rPr>
          <w:rFonts w:ascii="Helvetica" w:hAnsi="Helvetica" w:cs="Times New Roman"/>
          <w:sz w:val="20"/>
          <w:szCs w:val="20"/>
        </w:rPr>
        <w:t xml:space="preserve"> </w:t>
      </w:r>
      <w:r w:rsidR="00DB5EAA">
        <w:rPr>
          <w:rFonts w:ascii="Helvetica" w:hAnsi="Helvetica" w:cs="Times New Roman"/>
          <w:sz w:val="20"/>
          <w:szCs w:val="20"/>
        </w:rPr>
        <w:br/>
      </w:r>
      <w:r w:rsidR="00502518" w:rsidRPr="0091040C">
        <w:rPr>
          <w:rFonts w:ascii="Helvetica" w:hAnsi="Helvetica" w:cs="Times New Roman"/>
          <w:sz w:val="20"/>
          <w:szCs w:val="20"/>
        </w:rPr>
        <w:t>The aim of this study was to describe potentially important discrepancies between Flexicult</w:t>
      </w:r>
      <w:r w:rsidR="00502518" w:rsidRPr="0091040C">
        <w:rPr>
          <w:rFonts w:ascii="Helvetica" w:hAnsi="Helvetica" w:cs="Times New Roman"/>
          <w:sz w:val="20"/>
          <w:szCs w:val="20"/>
          <w:vertAlign w:val="superscript"/>
        </w:rPr>
        <w:t>TM</w:t>
      </w:r>
      <w:r w:rsidR="00502518" w:rsidRPr="0091040C">
        <w:rPr>
          <w:rFonts w:ascii="Helvetica" w:hAnsi="Helvetica" w:cs="Times New Roman"/>
          <w:sz w:val="20"/>
          <w:szCs w:val="20"/>
        </w:rPr>
        <w:t xml:space="preserve"> POCT urine culture results, their corresponding photograph, and the corresponding laboratory urine culture results for urine samples obtained from women presenting to their primary care practice with symptoms of a UTI. We found that Flexicult</w:t>
      </w:r>
      <w:r w:rsidR="00502518" w:rsidRPr="0091040C">
        <w:rPr>
          <w:rFonts w:ascii="Helvetica" w:hAnsi="Helvetica" w:cs="Times New Roman"/>
          <w:sz w:val="20"/>
          <w:szCs w:val="20"/>
          <w:vertAlign w:val="superscript"/>
        </w:rPr>
        <w:t>TM</w:t>
      </w:r>
      <w:r w:rsidR="00502518" w:rsidRPr="0091040C">
        <w:rPr>
          <w:rFonts w:ascii="Helvetica" w:hAnsi="Helvetica" w:cs="Times New Roman"/>
          <w:sz w:val="20"/>
          <w:szCs w:val="20"/>
        </w:rPr>
        <w:t xml:space="preserve"> POCT and laboratory urine routine culture had poor levels of agreement in identifying microbiologically positive urine samples. Flexicult</w:t>
      </w:r>
      <w:r w:rsidR="00502518" w:rsidRPr="0091040C">
        <w:rPr>
          <w:rFonts w:ascii="Helvetica" w:hAnsi="Helvetica" w:cs="Times New Roman"/>
          <w:sz w:val="20"/>
          <w:szCs w:val="20"/>
          <w:vertAlign w:val="superscript"/>
        </w:rPr>
        <w:t>TM</w:t>
      </w:r>
      <w:r w:rsidR="00502518" w:rsidRPr="0091040C">
        <w:rPr>
          <w:rFonts w:ascii="Helvetica" w:hAnsi="Helvetica" w:cs="Times New Roman"/>
          <w:sz w:val="20"/>
          <w:szCs w:val="20"/>
        </w:rPr>
        <w:t xml:space="preserve"> tended to overestimate the positivity rate for a urine sample taken for UTI when laboratory culture was used as reference standard</w:t>
      </w:r>
      <w:r w:rsidR="00502518">
        <w:rPr>
          <w:rFonts w:ascii="Helvetica" w:hAnsi="Helvetica" w:cs="Times New Roman"/>
          <w:sz w:val="20"/>
          <w:szCs w:val="20"/>
        </w:rPr>
        <w:t xml:space="preserve">. </w:t>
      </w:r>
      <w:r w:rsidR="009C3CCA">
        <w:rPr>
          <w:rFonts w:ascii="Helvetica" w:hAnsi="Helvetica" w:cs="Times New Roman"/>
          <w:sz w:val="20"/>
          <w:szCs w:val="20"/>
        </w:rPr>
        <w:t xml:space="preserve"> Moreover, w</w:t>
      </w:r>
      <w:r w:rsidR="00502518" w:rsidRPr="0091040C">
        <w:rPr>
          <w:rFonts w:ascii="Helvetica" w:hAnsi="Helvetica" w:cs="Times New Roman"/>
          <w:sz w:val="20"/>
          <w:szCs w:val="20"/>
        </w:rPr>
        <w:t>e identified important discrepancies regarding bacterial quantification and purity of growth between Flexicult</w:t>
      </w:r>
      <w:r w:rsidR="00502518" w:rsidRPr="0091040C">
        <w:rPr>
          <w:rFonts w:ascii="Helvetica" w:hAnsi="Helvetica" w:cs="Times New Roman"/>
          <w:sz w:val="20"/>
          <w:szCs w:val="20"/>
          <w:vertAlign w:val="superscript"/>
        </w:rPr>
        <w:t>TM</w:t>
      </w:r>
      <w:r w:rsidR="00502518" w:rsidRPr="0091040C">
        <w:rPr>
          <w:rFonts w:ascii="Helvetica" w:hAnsi="Helvetica" w:cs="Times New Roman"/>
          <w:sz w:val="20"/>
          <w:szCs w:val="20"/>
        </w:rPr>
        <w:t xml:space="preserve"> and laboratory culture, especially for determining predominant growth.  However, Flexicult</w:t>
      </w:r>
      <w:r w:rsidR="00502518" w:rsidRPr="0091040C">
        <w:rPr>
          <w:rFonts w:ascii="Helvetica" w:hAnsi="Helvetica" w:cs="Times New Roman"/>
          <w:sz w:val="20"/>
          <w:szCs w:val="20"/>
          <w:vertAlign w:val="superscript"/>
        </w:rPr>
        <w:t>TM</w:t>
      </w:r>
      <w:r w:rsidR="00502518" w:rsidRPr="0091040C">
        <w:rPr>
          <w:rFonts w:ascii="Helvetica" w:hAnsi="Helvetica" w:cs="Times New Roman"/>
          <w:sz w:val="20"/>
          <w:szCs w:val="20"/>
        </w:rPr>
        <w:t xml:space="preserve"> compared to laboratory culture identified the vast majority (82.9%) of E. coli correctly and the susceptibility testing results were reasonably concordant for ciprofloxacin, amoxicillin/</w:t>
      </w:r>
      <w:proofErr w:type="spellStart"/>
      <w:r w:rsidR="00502518" w:rsidRPr="0091040C">
        <w:rPr>
          <w:rFonts w:ascii="Helvetica" w:hAnsi="Helvetica" w:cs="Times New Roman"/>
          <w:sz w:val="20"/>
          <w:szCs w:val="20"/>
        </w:rPr>
        <w:t>clavulanate</w:t>
      </w:r>
      <w:proofErr w:type="spellEnd"/>
      <w:r w:rsidR="00502518" w:rsidRPr="0091040C">
        <w:rPr>
          <w:rFonts w:ascii="Helvetica" w:hAnsi="Helvetica" w:cs="Times New Roman"/>
          <w:sz w:val="20"/>
          <w:szCs w:val="20"/>
        </w:rPr>
        <w:t xml:space="preserve"> and trimethoprim. GPs were more likely to overcall the “no growth” result, mainly to denote no significant growth. This did not impact upon diagnosis of UTI.</w:t>
      </w:r>
    </w:p>
    <w:p w14:paraId="6B3F8539" w14:textId="706E139E" w:rsidR="00DB5EAA" w:rsidRPr="0091040C" w:rsidRDefault="00DB5EAA" w:rsidP="00DB5EAA">
      <w:pPr>
        <w:spacing w:line="480" w:lineRule="auto"/>
        <w:rPr>
          <w:rFonts w:ascii="Helvetica" w:hAnsi="Helvetica" w:cs="Times New Roman"/>
          <w:sz w:val="20"/>
          <w:szCs w:val="20"/>
          <w:shd w:val="clear" w:color="auto" w:fill="FFFFFF"/>
        </w:rPr>
      </w:pPr>
      <w:r>
        <w:rPr>
          <w:rFonts w:ascii="Helvetica" w:hAnsi="Helvetica" w:cs="Times New Roman"/>
          <w:sz w:val="20"/>
          <w:szCs w:val="20"/>
        </w:rPr>
        <w:br/>
      </w:r>
      <w:proofErr w:type="spellStart"/>
      <w:r w:rsidRPr="0091040C">
        <w:rPr>
          <w:rFonts w:ascii="Helvetica" w:hAnsi="Helvetica" w:cs="Times New Roman"/>
          <w:sz w:val="20"/>
          <w:szCs w:val="20"/>
          <w:shd w:val="clear" w:color="auto" w:fill="FFFFFF"/>
        </w:rPr>
        <w:t>Blom</w:t>
      </w:r>
      <w:proofErr w:type="spellEnd"/>
      <w:r w:rsidRPr="0091040C">
        <w:rPr>
          <w:rFonts w:ascii="Helvetica" w:hAnsi="Helvetica" w:cs="Times New Roman"/>
          <w:sz w:val="20"/>
          <w:szCs w:val="20"/>
          <w:shd w:val="clear" w:color="auto" w:fill="FFFFFF"/>
        </w:rPr>
        <w:t xml:space="preserve"> </w:t>
      </w:r>
      <w:r w:rsidRPr="0091040C">
        <w:rPr>
          <w:rFonts w:ascii="Helvetica" w:hAnsi="Helvetica" w:cs="Times New Roman"/>
          <w:i/>
          <w:sz w:val="20"/>
          <w:szCs w:val="20"/>
          <w:shd w:val="clear" w:color="auto" w:fill="FFFFFF"/>
        </w:rPr>
        <w:t>et al</w:t>
      </w:r>
      <w:r w:rsidRPr="0091040C">
        <w:rPr>
          <w:rFonts w:ascii="Helvetica" w:hAnsi="Helvetica" w:cs="Times New Roman"/>
          <w:sz w:val="20"/>
          <w:szCs w:val="20"/>
          <w:shd w:val="clear" w:color="auto" w:fill="FFFFFF"/>
        </w:rPr>
        <w:t>.</w:t>
      </w:r>
      <w:r w:rsidRPr="0091040C">
        <w:rPr>
          <w:rFonts w:ascii="Helvetica" w:hAnsi="Helvetica" w:cs="Times New Roman"/>
          <w:sz w:val="20"/>
          <w:szCs w:val="20"/>
          <w:shd w:val="clear" w:color="auto" w:fill="FFFFFF"/>
        </w:rPr>
        <w:fldChar w:fldCharType="begin" w:fldLock="1"/>
      </w:r>
      <w:r w:rsidRPr="0091040C">
        <w:rPr>
          <w:rFonts w:ascii="Helvetica" w:hAnsi="Helvetica" w:cs="Times New Roman"/>
          <w:sz w:val="20"/>
          <w:szCs w:val="20"/>
          <w:shd w:val="clear" w:color="auto" w:fill="FFFFFF"/>
        </w:rPr>
        <w:instrText>ADDIN CSL_CITATION { "citationItems" : [ { "id" : "ITEM-1", "itemData" : { "ISSN" : "0036-5548", "PMID" : "12160170", "abstract" : "The efficacy of the FLEXICULT SSI-Urinary Kit for point-of-care diagnosis and susceptibility testing of urinary tract pathogens was evaluated. The kit, which was exclusively developed for urine culture in the primary health care setting, is designed as an ordinary Petri dish divided into 6 compartments: I large one for quantitative analysis and 5 smaller ones for susceptibility testing. The agar in each small compartment contains 1 of 5 antimicrobials (trimethoprim, sulfamethoxazole, ampicillin, nitrofurantoin and mecillinam) at a concentration adjusted to the breakpoint, and growth in these compartments indicates resistance. The kit was tested in-house with 116 urinary tract pathogens and by 19 general practitioners in a field trial with 121 diagnostic urine specimens. The kit was flooded with the urine specimens for a couple of seconds, incubated overnight and read the following day. Quantitative readings were evaluated by comparing with standardized inoculi and the susceptibility tests were compared with the MIC value of the strain for each of the 5 antimicrobials. In the field trial, the quantitation had an overall error rate of 4% and correctly determined susceptibility in 93% of the tested bacteria. Although identification of the isolates is not a feature of this kit, it is suitable for point-of-care diagnosis and for susceptibility testing of uncomplicated urinary tract infections in the primary health care setting.", "author" : [ { "dropping-particle" : "", "family" : "Blom", "given" : "Marianne", "non-dropping-particle" : "", "parse-names" : false, "suffix" : "" }, { "dropping-particle" : "", "family" : "S\u00f8rensen", "given" : "Thomas Lund", "non-dropping-particle" : "", "parse-names" : false, "suffix" : "" }, { "dropping-particle" : "", "family" : "Espersen", "given" : "Frank", "non-dropping-particle" : "", "parse-names" : false, "suffix" : "" }, { "dropping-particle" : "", "family" : "Frimodt-M\u00f8ller", "given" : "Niels", "non-dropping-particle" : "", "parse-names" : false, "suffix" : "" } ], "container-title" : "Scandinavian journal of infectious diseases", "id" : "ITEM-1", "issue" : "6", "issued" : { "date-parts" : [ [ "2002", "1" ] ] }, "page" : "430-5", "title" : "Validation of FLEXICULT SSI-Urinary Kit for use in the primary health care setting.", "type" : "article-journal", "volume" : "34" }, "uris" : [ "http://www.mendeley.com/documents/?uuid=ef809376-d070-4ef7-b3af-b3252de935b6" ] } ], "mendeley" : { "formattedCitation" : "&lt;sup&gt;9&lt;/sup&gt;", "plainTextFormattedCitation" : "9", "previouslyFormattedCitation" : "&lt;sup&gt;9&lt;/sup&gt;" }, "properties" : { "noteIndex" : 0 }, "schema" : "https://github.com/citation-style-language/schema/raw/master/csl-citation.json" }</w:instrText>
      </w:r>
      <w:r w:rsidRPr="0091040C">
        <w:rPr>
          <w:rFonts w:ascii="Helvetica" w:hAnsi="Helvetica" w:cs="Times New Roman"/>
          <w:sz w:val="20"/>
          <w:szCs w:val="20"/>
          <w:shd w:val="clear" w:color="auto" w:fill="FFFFFF"/>
        </w:rPr>
        <w:fldChar w:fldCharType="separate"/>
      </w:r>
      <w:r w:rsidRPr="0091040C">
        <w:rPr>
          <w:rFonts w:ascii="Helvetica" w:hAnsi="Helvetica" w:cs="Times New Roman"/>
          <w:noProof/>
          <w:sz w:val="20"/>
          <w:szCs w:val="20"/>
          <w:shd w:val="clear" w:color="auto" w:fill="FFFFFF"/>
          <w:vertAlign w:val="superscript"/>
        </w:rPr>
        <w:t>9</w:t>
      </w:r>
      <w:r w:rsidRPr="0091040C">
        <w:rPr>
          <w:rFonts w:ascii="Helvetica" w:hAnsi="Helvetica" w:cs="Times New Roman"/>
          <w:sz w:val="20"/>
          <w:szCs w:val="20"/>
          <w:shd w:val="clear" w:color="auto" w:fill="FFFFFF"/>
        </w:rPr>
        <w:fldChar w:fldCharType="end"/>
      </w:r>
      <w:r w:rsidRPr="0091040C">
        <w:rPr>
          <w:rFonts w:ascii="Helvetica" w:hAnsi="Helvetica" w:cs="Times New Roman"/>
          <w:sz w:val="20"/>
          <w:szCs w:val="20"/>
          <w:shd w:val="clear" w:color="auto" w:fill="FFFFFF"/>
        </w:rPr>
        <w:t xml:space="preserve"> analysed results from Flexicult</w:t>
      </w:r>
      <w:r w:rsidRPr="0091040C">
        <w:rPr>
          <w:rFonts w:ascii="Helvetica" w:hAnsi="Helvetica" w:cs="Times New Roman"/>
          <w:sz w:val="20"/>
          <w:szCs w:val="20"/>
          <w:shd w:val="clear" w:color="auto" w:fill="FFFFFF"/>
          <w:vertAlign w:val="superscript"/>
        </w:rPr>
        <w:t>TM</w:t>
      </w:r>
      <w:r w:rsidRPr="0091040C">
        <w:rPr>
          <w:rFonts w:ascii="Helvetica" w:hAnsi="Helvetica" w:cs="Times New Roman"/>
          <w:sz w:val="20"/>
          <w:szCs w:val="20"/>
          <w:shd w:val="clear" w:color="auto" w:fill="FFFFFF"/>
        </w:rPr>
        <w:t xml:space="preserve"> plates compared to laboratory cultures from 121 patients in Danish primary care with suspected UTI, and found an error rate of 16% for quantification and an error rate of &lt;7% for antibiotic susceptibilities. However, purity of growth was not analysed.  </w:t>
      </w:r>
      <w:proofErr w:type="spellStart"/>
      <w:r w:rsidRPr="0091040C">
        <w:rPr>
          <w:rFonts w:ascii="Helvetica" w:hAnsi="Helvetica" w:cs="Times New Roman"/>
          <w:sz w:val="20"/>
          <w:szCs w:val="20"/>
          <w:shd w:val="clear" w:color="auto" w:fill="FFFFFF"/>
        </w:rPr>
        <w:t>Bongard</w:t>
      </w:r>
      <w:proofErr w:type="spellEnd"/>
      <w:r w:rsidRPr="0091040C">
        <w:rPr>
          <w:rFonts w:ascii="Helvetica" w:hAnsi="Helvetica" w:cs="Times New Roman"/>
          <w:sz w:val="20"/>
          <w:szCs w:val="20"/>
          <w:shd w:val="clear" w:color="auto" w:fill="FFFFFF"/>
        </w:rPr>
        <w:t xml:space="preserve"> </w:t>
      </w:r>
      <w:r w:rsidRPr="0091040C">
        <w:rPr>
          <w:rFonts w:ascii="Helvetica" w:hAnsi="Helvetica" w:cs="Times New Roman"/>
          <w:i/>
          <w:sz w:val="20"/>
          <w:szCs w:val="20"/>
          <w:shd w:val="clear" w:color="auto" w:fill="FFFFFF"/>
        </w:rPr>
        <w:t>et al</w:t>
      </w:r>
      <w:r w:rsidRPr="0091040C">
        <w:rPr>
          <w:rFonts w:ascii="Helvetica" w:hAnsi="Helvetica" w:cs="Times New Roman"/>
          <w:sz w:val="20"/>
          <w:szCs w:val="20"/>
          <w:shd w:val="clear" w:color="auto" w:fill="FFFFFF"/>
        </w:rPr>
        <w:t>.</w:t>
      </w:r>
      <w:r w:rsidRPr="0091040C">
        <w:rPr>
          <w:rFonts w:ascii="Helvetica" w:hAnsi="Helvetica" w:cs="Times New Roman"/>
          <w:sz w:val="20"/>
          <w:szCs w:val="20"/>
          <w:shd w:val="clear" w:color="auto" w:fill="FFFFFF"/>
        </w:rPr>
        <w:fldChar w:fldCharType="begin" w:fldLock="1"/>
      </w:r>
      <w:r w:rsidR="000E7B1B">
        <w:rPr>
          <w:rFonts w:ascii="Helvetica" w:hAnsi="Helvetica" w:cs="Times New Roman"/>
          <w:sz w:val="20"/>
          <w:szCs w:val="20"/>
          <w:shd w:val="clear" w:color="auto" w:fill="FFFFFF"/>
        </w:rPr>
        <w:instrText>ADDIN CSL_CITATION { "citationItems" : [ { "id" : "ITEM-1", "itemData" : { "DOI" : "10.1007/s10096-015-2460-4", "ISSN" : "1435-4373", "PMID" : "26245946", "abstract" : "Currently available point-of-care (POC) diagnostic tests for managing urinary tract infections (UTIs) in general practice are limited by poor performance characteristics, and laboratory culture generally provides results only after a few days. This laboratory evaluation compared the analytic performance of the POC UK Flexicult(\u2122) (Statens Serum Institut) (SSI) urinary kit for quantification, identification and antibiotic susceptibility testing and routine UK National Health Service (NHS) urine processing to an advanced urine culture method. Two hundred urine samples routinely submitted to the Public Health Wales Microbiology Laboratory were divided and: (1) analysed by routine NHS microbiological tests as per local laboratory standard operating procedures, (2) inoculated onto the UK Flexicult(\u2122) SSI urinary kit and (3) spiral plated onto Colorex Orientation UTI medium (E&amp;O Laboratories Ltd). The results were evaluated between the NHS and Flexicult(\u2122 )methods, and discordant results were compared to the spiral plating method. The UK Flexicult(\u2122) SSI urinary kit was compared to routine NHS culture for identification of a pure or predominant uropathogen at \u2265 10(5) cfu/mL, with a positive discordancy rate of 13.5% and a negative discordancy rate of 3%. The sensitivity and specificity were 86.7% [95% confidence interval (CI) 73.8-93.7] and 82.6% (95% CI 75.8-87.7), respectively. The UK Flexicult(\u2122) SSI urinary kit was comparable to routine NHS urine processing in identifying microbiologically positive UTIs in this laboratory evaluation. However, the number of false-positive samples could lead to over-prescribing of antibiotics in clinical practice. The Flexicult(\u2122) SSI kit could be useful as a POC test for UTIs in primary care but further pragmatic evaluations are necessary.", "author" : [ { "dropping-particle" : "", "family" : "Bongard", "given" : "E", "non-dropping-particle" : "", "parse-names" : false, "suffix" : "" }, { "dropping-particle" : "", "family" : "Frimodt-M\u00f8ller", "given" : "N", "non-dropping-particle" : "", "parse-names" : false, "suffix" : "" }, { "dropping-particle" : "", "family" : "Gal", "given" : "M", "non-dropping-particle" : "", "parse-names" : false, "suffix" : "" }, { "dropping-particle" : "", "family" : "Wootton", "given" : "M", "non-dropping-particle" : "", "parse-names" : false, "suffix" : "" }, { "dropping-particle" : "", "family" : "Howe", "given" : "R", "non-dropping-particle" : "", "parse-names" : false, "suffix" : "" }, { "dropping-particle" : "", "family" : "Francis", "given" : "N", "non-dropping-particle" : "", "parse-names" : false, "suffix" : "" }, { "dropping-particle" : "", "family" : "Goossens", "given" : "H", "non-dropping-particle" : "", "parse-names" : false, "suffix" : "" }, { "dropping-particle" : "", "family" : "Butler", "given" : "C C", "non-dropping-particle" : "", "parse-names" : false, "suffix" : "" } ], "container-title" : "European journal of clinical microbiology &amp; infectious diseases : official publication of the European Society of Clinical Microbiology", "id" : "ITEM-1", "issue" : "10", "issued" : { "date-parts" : [ [ "2015", "10" ] ] }, "page" : "2111-9", "title" : "Analytic laboratory performance of a point of care urine culture kit for diagnosis and antibiotic susceptibility testing.", "type" : "article-journal", "volume" : "34" }, "uris" : [ "http://www.mendeley.com/documents/?uuid=366df5b7-e09a-48c1-93b9-95e881a481cf" ] } ], "mendeley" : { "formattedCitation" : "&lt;sup&gt;14&lt;/sup&gt;", "plainTextFormattedCitation" : "14", "previouslyFormattedCitation" : "&lt;sup&gt;14&lt;/sup&gt;" }, "properties" : { "noteIndex" : 0 }, "schema" : "https://github.com/citation-style-language/schema/raw/master/csl-citation.json" }</w:instrText>
      </w:r>
      <w:r w:rsidRPr="0091040C">
        <w:rPr>
          <w:rFonts w:ascii="Helvetica" w:hAnsi="Helvetica" w:cs="Times New Roman"/>
          <w:sz w:val="20"/>
          <w:szCs w:val="20"/>
          <w:shd w:val="clear" w:color="auto" w:fill="FFFFFF"/>
        </w:rPr>
        <w:fldChar w:fldCharType="separate"/>
      </w:r>
      <w:r w:rsidR="000E7B1B" w:rsidRPr="000E7B1B">
        <w:rPr>
          <w:rFonts w:ascii="Helvetica" w:hAnsi="Helvetica" w:cs="Times New Roman"/>
          <w:noProof/>
          <w:sz w:val="20"/>
          <w:szCs w:val="20"/>
          <w:shd w:val="clear" w:color="auto" w:fill="FFFFFF"/>
          <w:vertAlign w:val="superscript"/>
        </w:rPr>
        <w:t>14</w:t>
      </w:r>
      <w:r w:rsidRPr="0091040C">
        <w:rPr>
          <w:rFonts w:ascii="Helvetica" w:hAnsi="Helvetica" w:cs="Times New Roman"/>
          <w:sz w:val="20"/>
          <w:szCs w:val="20"/>
          <w:shd w:val="clear" w:color="auto" w:fill="FFFFFF"/>
        </w:rPr>
        <w:fldChar w:fldCharType="end"/>
      </w:r>
      <w:r w:rsidRPr="0091040C">
        <w:rPr>
          <w:rFonts w:ascii="Helvetica" w:hAnsi="Helvetica" w:cs="Times New Roman"/>
          <w:sz w:val="20"/>
          <w:szCs w:val="20"/>
          <w:shd w:val="clear" w:color="auto" w:fill="FFFFFF"/>
        </w:rPr>
        <w:t xml:space="preserve"> compared laboratory urine microscopy and culture with findings from UK Flexicult</w:t>
      </w:r>
      <w:r w:rsidRPr="0091040C">
        <w:rPr>
          <w:rFonts w:ascii="Helvetica" w:hAnsi="Helvetica" w:cs="Times New Roman"/>
          <w:sz w:val="20"/>
          <w:szCs w:val="20"/>
          <w:shd w:val="clear" w:color="auto" w:fill="FFFFFF"/>
          <w:vertAlign w:val="superscript"/>
        </w:rPr>
        <w:t>TM</w:t>
      </w:r>
      <w:r w:rsidRPr="0091040C">
        <w:rPr>
          <w:rFonts w:ascii="Helvetica" w:hAnsi="Helvetica" w:cs="Times New Roman"/>
          <w:sz w:val="20"/>
          <w:szCs w:val="20"/>
          <w:shd w:val="clear" w:color="auto" w:fill="FFFFFF"/>
        </w:rPr>
        <w:t xml:space="preserve"> plates for 200 urine samples submitted routinely from hospital and primary care patients to a hospital microbiology laboratory. There was an error rate of 16.5% in defining a urine sample UTI positive.</w:t>
      </w:r>
      <w:r w:rsidRPr="0091040C">
        <w:rPr>
          <w:rFonts w:ascii="Helvetica" w:hAnsi="Helvetica" w:cs="Times New Roman"/>
          <w:sz w:val="20"/>
          <w:szCs w:val="20"/>
          <w:shd w:val="clear" w:color="auto" w:fill="FFFFFF"/>
        </w:rPr>
        <w:fldChar w:fldCharType="begin" w:fldLock="1"/>
      </w:r>
      <w:r w:rsidR="000E7B1B">
        <w:rPr>
          <w:rFonts w:ascii="Helvetica" w:hAnsi="Helvetica" w:cs="Times New Roman"/>
          <w:sz w:val="20"/>
          <w:szCs w:val="20"/>
          <w:shd w:val="clear" w:color="auto" w:fill="FFFFFF"/>
        </w:rPr>
        <w:instrText>ADDIN CSL_CITATION { "citationItems" : [ { "id" : "ITEM-1", "itemData" : { "DOI" : "10.1007/s10096-015-2460-4", "ISSN" : "1435-4373", "PMID" : "26245946", "abstract" : "Currently available point-of-care (POC) diagnostic tests for managing urinary tract infections (UTIs) in general practice are limited by poor performance characteristics, and laboratory culture generally provides results only after a few days. This laboratory evaluation compared the analytic performance of the POC UK Flexicult(\u2122) (Statens Serum Institut) (SSI) urinary kit for quantification, identification and antibiotic susceptibility testing and routine UK National Health Service (NHS) urine processing to an advanced urine culture method. Two hundred urine samples routinely submitted to the Public Health Wales Microbiology Laboratory were divided and: (1) analysed by routine NHS microbiological tests as per local laboratory standard operating procedures, (2) inoculated onto the UK Flexicult(\u2122) SSI urinary kit and (3) spiral plated onto Colorex Orientation UTI medium (E&amp;O Laboratories Ltd). The results were evaluated between the NHS and Flexicult(\u2122 )methods, and discordant results were compared to the spiral plating method. The UK Flexicult(\u2122) SSI urinary kit was compared to routine NHS culture for identification of a pure or predominant uropathogen at \u2265 10(5) cfu/mL, with a positive discordancy rate of 13.5% and a negative discordancy rate of 3%. The sensitivity and specificity were 86.7% [95% confidence interval (CI) 73.8-93.7] and 82.6% (95% CI 75.8-87.7), respectively. The UK Flexicult(\u2122) SSI urinary kit was comparable to routine NHS urine processing in identifying microbiologically positive UTIs in this laboratory evaluation. However, the number of false-positive samples could lead to over-prescribing of antibiotics in clinical practice. The Flexicult(\u2122) SSI kit could be useful as a POC test for UTIs in primary care but further pragmatic evaluations are necessary.", "author" : [ { "dropping-particle" : "", "family" : "Bongard", "given" : "E", "non-dropping-particle" : "", "parse-names" : false, "suffix" : "" }, { "dropping-particle" : "", "family" : "Frimodt-M\u00f8ller", "given" : "N", "non-dropping-particle" : "", "parse-names" : false, "suffix" : "" }, { "dropping-particle" : "", "family" : "Gal", "given" : "M", "non-dropping-particle" : "", "parse-names" : false, "suffix" : "" }, { "dropping-particle" : "", "family" : "Wootton", "given" : "M", "non-dropping-particle" : "", "parse-names" : false, "suffix" : "" }, { "dropping-particle" : "", "family" : "Howe", "given" : "R", "non-dropping-particle" : "", "parse-names" : false, "suffix" : "" }, { "dropping-particle" : "", "family" : "Francis", "given" : "N", "non-dropping-particle" : "", "parse-names" : false, "suffix" : "" }, { "dropping-particle" : "", "family" : "Goossens", "given" : "H", "non-dropping-particle" : "", "parse-names" : false, "suffix" : "" }, { "dropping-particle" : "", "family" : "Butler", "given" : "C C", "non-dropping-particle" : "", "parse-names" : false, "suffix" : "" } ], "container-title" : "European journal of clinical microbiology &amp; infectious diseases : official publication of the European Society of Clinical Microbiology", "id" : "ITEM-1", "issue" : "10", "issued" : { "date-parts" : [ [ "2015", "10" ] ] }, "page" : "2111-9", "title" : "Analytic laboratory performance of a point of care urine culture kit for diagnosis and antibiotic susceptibility testing.", "type" : "article-journal", "volume" : "34" }, "uris" : [ "http://www.mendeley.com/documents/?uuid=366df5b7-e09a-48c1-93b9-95e881a481cf" ] } ], "mendeley" : { "formattedCitation" : "&lt;sup&gt;14&lt;/sup&gt;", "plainTextFormattedCitation" : "14", "previouslyFormattedCitation" : "&lt;sup&gt;14&lt;/sup&gt;" }, "properties" : { "noteIndex" : 0 }, "schema" : "https://github.com/citation-style-language/schema/raw/master/csl-citation.json" }</w:instrText>
      </w:r>
      <w:r w:rsidRPr="0091040C">
        <w:rPr>
          <w:rFonts w:ascii="Helvetica" w:hAnsi="Helvetica" w:cs="Times New Roman"/>
          <w:sz w:val="20"/>
          <w:szCs w:val="20"/>
          <w:shd w:val="clear" w:color="auto" w:fill="FFFFFF"/>
        </w:rPr>
        <w:fldChar w:fldCharType="separate"/>
      </w:r>
      <w:r w:rsidR="000E7B1B" w:rsidRPr="000E7B1B">
        <w:rPr>
          <w:rFonts w:ascii="Helvetica" w:hAnsi="Helvetica" w:cs="Times New Roman"/>
          <w:noProof/>
          <w:sz w:val="20"/>
          <w:szCs w:val="20"/>
          <w:shd w:val="clear" w:color="auto" w:fill="FFFFFF"/>
          <w:vertAlign w:val="superscript"/>
        </w:rPr>
        <w:t>14</w:t>
      </w:r>
      <w:r w:rsidRPr="0091040C">
        <w:rPr>
          <w:rFonts w:ascii="Helvetica" w:hAnsi="Helvetica" w:cs="Times New Roman"/>
          <w:sz w:val="20"/>
          <w:szCs w:val="20"/>
          <w:shd w:val="clear" w:color="auto" w:fill="FFFFFF"/>
        </w:rPr>
        <w:fldChar w:fldCharType="end"/>
      </w:r>
      <w:r w:rsidRPr="0091040C">
        <w:rPr>
          <w:rFonts w:ascii="Helvetica" w:hAnsi="Helvetica" w:cs="Times New Roman"/>
          <w:sz w:val="20"/>
          <w:szCs w:val="20"/>
          <w:shd w:val="clear" w:color="auto" w:fill="FFFFFF"/>
        </w:rPr>
        <w:t xml:space="preserve"> This compares to the error of 38.8%-51.2% that we found, which may have arisen because only one observer read all of the plates in the </w:t>
      </w:r>
      <w:proofErr w:type="spellStart"/>
      <w:r w:rsidRPr="0091040C">
        <w:rPr>
          <w:rFonts w:ascii="Helvetica" w:hAnsi="Helvetica" w:cs="Times New Roman"/>
          <w:sz w:val="20"/>
          <w:szCs w:val="20"/>
          <w:shd w:val="clear" w:color="auto" w:fill="FFFFFF"/>
        </w:rPr>
        <w:t>Bongard</w:t>
      </w:r>
      <w:proofErr w:type="spellEnd"/>
      <w:r w:rsidRPr="0091040C">
        <w:rPr>
          <w:rFonts w:ascii="Helvetica" w:hAnsi="Helvetica" w:cs="Times New Roman"/>
          <w:sz w:val="20"/>
          <w:szCs w:val="20"/>
          <w:shd w:val="clear" w:color="auto" w:fill="FFFFFF"/>
        </w:rPr>
        <w:t xml:space="preserve"> study compared to many clinicians reading only a small number of plates each in the less controlled environment of clinical practice. Moreover, different </w:t>
      </w:r>
      <w:r w:rsidRPr="0091040C">
        <w:rPr>
          <w:rFonts w:ascii="Helvetica" w:hAnsi="Helvetica" w:cs="Times New Roman"/>
          <w:sz w:val="20"/>
          <w:szCs w:val="20"/>
          <w:shd w:val="clear" w:color="auto" w:fill="FFFFFF"/>
        </w:rPr>
        <w:lastRenderedPageBreak/>
        <w:t>criteria for the laboratory definition of UTI were used. The Danish Flexicult</w:t>
      </w:r>
      <w:r w:rsidRPr="0091040C">
        <w:rPr>
          <w:rFonts w:ascii="Helvetica" w:hAnsi="Helvetica" w:cs="Times New Roman"/>
          <w:sz w:val="20"/>
          <w:szCs w:val="20"/>
          <w:shd w:val="clear" w:color="auto" w:fill="FFFFFF"/>
          <w:vertAlign w:val="superscript"/>
        </w:rPr>
        <w:t>TM</w:t>
      </w:r>
      <w:r w:rsidRPr="0091040C">
        <w:rPr>
          <w:rFonts w:ascii="Helvetica" w:hAnsi="Helvetica" w:cs="Times New Roman"/>
          <w:sz w:val="20"/>
          <w:szCs w:val="20"/>
          <w:shd w:val="clear" w:color="auto" w:fill="FFFFFF"/>
        </w:rPr>
        <w:t xml:space="preserve"> study based their definition only on bacterial quantification ≥10e3 CFU/mL, whereas </w:t>
      </w:r>
      <w:proofErr w:type="spellStart"/>
      <w:r w:rsidRPr="0091040C">
        <w:rPr>
          <w:rFonts w:ascii="Helvetica" w:hAnsi="Helvetica" w:cs="Times New Roman"/>
          <w:sz w:val="20"/>
          <w:szCs w:val="20"/>
          <w:shd w:val="clear" w:color="auto" w:fill="FFFFFF"/>
        </w:rPr>
        <w:t>Bongard</w:t>
      </w:r>
      <w:proofErr w:type="spellEnd"/>
      <w:r w:rsidRPr="0091040C">
        <w:rPr>
          <w:rFonts w:ascii="Helvetica" w:hAnsi="Helvetica" w:cs="Times New Roman"/>
          <w:sz w:val="20"/>
          <w:szCs w:val="20"/>
          <w:shd w:val="clear" w:color="auto" w:fill="FFFFFF"/>
        </w:rPr>
        <w:t xml:space="preserve"> </w:t>
      </w:r>
      <w:r w:rsidRPr="0091040C">
        <w:rPr>
          <w:rFonts w:ascii="Helvetica" w:hAnsi="Helvetica" w:cs="Times New Roman"/>
          <w:i/>
          <w:sz w:val="20"/>
          <w:szCs w:val="20"/>
          <w:shd w:val="clear" w:color="auto" w:fill="FFFFFF"/>
        </w:rPr>
        <w:t>et al</w:t>
      </w:r>
      <w:r w:rsidRPr="0091040C">
        <w:rPr>
          <w:rFonts w:ascii="Helvetica" w:hAnsi="Helvetica" w:cs="Times New Roman"/>
          <w:sz w:val="20"/>
          <w:szCs w:val="20"/>
          <w:shd w:val="clear" w:color="auto" w:fill="FFFFFF"/>
        </w:rPr>
        <w:t>. used a bacterial quantification threshold ≥10e5 CFU/mL and also took the purity of the organisms (i.e. pure/predominant) into account. This is in line with our findings that changing the definitions influences the numbers of apparent false negative or false positive results by Flexicult</w:t>
      </w:r>
      <w:r w:rsidRPr="0091040C">
        <w:rPr>
          <w:rFonts w:ascii="Helvetica" w:hAnsi="Helvetica" w:cs="Times New Roman"/>
          <w:sz w:val="20"/>
          <w:szCs w:val="20"/>
          <w:shd w:val="clear" w:color="auto" w:fill="FFFFFF"/>
          <w:vertAlign w:val="superscript"/>
        </w:rPr>
        <w:t>TM</w:t>
      </w:r>
      <w:r w:rsidRPr="0091040C">
        <w:rPr>
          <w:rFonts w:ascii="Helvetica" w:hAnsi="Helvetica" w:cs="Times New Roman"/>
          <w:sz w:val="20"/>
          <w:szCs w:val="20"/>
          <w:shd w:val="clear" w:color="auto" w:fill="FFFFFF"/>
        </w:rPr>
        <w:t xml:space="preserve">. </w:t>
      </w:r>
    </w:p>
    <w:p w14:paraId="7EE6C4D4" w14:textId="07835A36" w:rsidR="00DB5EAA" w:rsidRDefault="00DB5EAA" w:rsidP="00DB5EAA">
      <w:pPr>
        <w:spacing w:line="480" w:lineRule="auto"/>
        <w:rPr>
          <w:rFonts w:ascii="Helvetica" w:hAnsi="Helvetica" w:cs="Times New Roman"/>
          <w:sz w:val="20"/>
          <w:szCs w:val="20"/>
          <w:shd w:val="clear" w:color="auto" w:fill="FFFFFF"/>
        </w:rPr>
      </w:pPr>
      <w:r w:rsidRPr="0091040C">
        <w:rPr>
          <w:rFonts w:ascii="Helvetica" w:hAnsi="Helvetica" w:cs="Times New Roman"/>
          <w:sz w:val="20"/>
          <w:szCs w:val="20"/>
        </w:rPr>
        <w:t>Traditionally, growth of ≥10e5 CFU/mL of uropathogens from urine has been considered to indicate a microbiologically defined UTI. However, previous studies demonstrated that urine samples from symptomatic women with pyuria often contain bacterial growth of ≤10e5 CFU/mL.</w:t>
      </w:r>
      <w:r w:rsidRPr="0091040C">
        <w:rPr>
          <w:rFonts w:ascii="Helvetica" w:hAnsi="Helvetica" w:cs="Times New Roman"/>
          <w:sz w:val="20"/>
          <w:szCs w:val="20"/>
        </w:rPr>
        <w:fldChar w:fldCharType="begin" w:fldLock="1"/>
      </w:r>
      <w:r w:rsidR="000E7B1B">
        <w:rPr>
          <w:rFonts w:ascii="Helvetica" w:hAnsi="Helvetica" w:cs="Times New Roman"/>
          <w:sz w:val="20"/>
          <w:szCs w:val="20"/>
        </w:rPr>
        <w:instrText>ADDIN CSL_CITATION { "citationItems" : [ { "id" : "ITEM-1", "itemData" : { "ISSN" : "0003-4819", "PMID" : "8357110", "abstract" : "OBJECTIVE: To determine whether a statistical association exists between \"low-count\" bacteriuria (&gt; 10(2) to 10(4) colony-forming units/mL) and acute urinary symptoms in young women.\n\nDESIGN: Prospective, case-control study.\n\nSETTING: Gynecology clinic at a student health center.\n\nPATIENTS: Women with or without urinary or vaginal symptoms.\n\nMEASUREMENTS: History of urinary infections and sexual activity. Quantitative determination of bacteriuria and pyuria and bacterial species; urine leukocyte esterase test; specific gravity; creatinine levels; vaginal leukocytes; and in-vitro culture of urine.\n\nRESULTS: The frequency of recent sexual activity, pregnancies, and contraceptive practices was not statistically different between women with acute urinary symptoms and asymptomatic controls. Escherichia coli and Staphylococcus saprophyticus were the only microorganisms statistically associated with urinary symptoms and pyuria (P &lt; 0.001). Low counts of these organisms were found in 10.2% of asymptomatic women. As the bacterial count increased, the association between these organisms and symptoms increased, and a step-wise increase occurred in the frequency and magnitude of pyuria, but the specific gravity and urine creatinine levels remained unchanged. Escherichia coli, even at low counts, grew well in the patients' own urine. Pyuria (&gt; 20 leukocytes/mm3) was present in 19.6% of asymptomatic women and was associated with vaginal leukorrhea.\n\nCONCLUSIONS: \"Low-count\" bacteriuria was statistically more frequent among young women with urinary symptoms than among asymptomatic controls. The low counts could not be explained by dilution of the urine or failure of the bacteria to grow well in the patients' urine. These findings suggest that the infection was not established in the bladder urine and that \"low-count\" bacteriuria might be an early phase of urinary tract infection.", "author" : [ { "dropping-particle" : "", "family" : "Kunin", "given" : "C M", "non-dropping-particle" : "", "parse-names" : false, "suffix" : "" }, { "dropping-particle" : "V", "family" : "White", "given" : "L", "non-dropping-particle" : "", "parse-names" : false, "suffix" : "" }, { "dropping-particle" : "", "family" : "Hua", "given" : "T H", "non-dropping-particle" : "", "parse-names" : false, "suffix" : "" } ], "container-title" : "Annals of internal medicine", "id" : "ITEM-1", "issue" : "6", "issued" : { "date-parts" : [ [ "1993", "9", "15" ] ] }, "page" : "454-60", "title" : "A reassessment of the importance of \"low-count\" bacteriuria in young women with acute urinary symptoms.", "type" : "article-journal", "volume" : "119" }, "uris" : [ "http://www.mendeley.com/documents/?uuid=f1c7b8e9-0a97-4835-be18-8edba5a69f4b" ] } ], "mendeley" : { "formattedCitation" : "&lt;sup&gt;15&lt;/sup&gt;", "plainTextFormattedCitation" : "15", "previouslyFormattedCitation" : "&lt;sup&gt;15&lt;/sup&gt;" }, "properties" : { "noteIndex" : 0 }, "schema" : "https://github.com/citation-style-language/schema/raw/master/csl-citation.json" }</w:instrText>
      </w:r>
      <w:r w:rsidRPr="0091040C">
        <w:rPr>
          <w:rFonts w:ascii="Helvetica" w:hAnsi="Helvetica" w:cs="Times New Roman"/>
          <w:sz w:val="20"/>
          <w:szCs w:val="20"/>
        </w:rPr>
        <w:fldChar w:fldCharType="separate"/>
      </w:r>
      <w:r w:rsidR="000E7B1B" w:rsidRPr="000E7B1B">
        <w:rPr>
          <w:rFonts w:ascii="Helvetica" w:hAnsi="Helvetica" w:cs="Times New Roman"/>
          <w:noProof/>
          <w:sz w:val="20"/>
          <w:szCs w:val="20"/>
          <w:vertAlign w:val="superscript"/>
        </w:rPr>
        <w:t>15</w:t>
      </w:r>
      <w:r w:rsidRPr="0091040C">
        <w:rPr>
          <w:rFonts w:ascii="Helvetica" w:hAnsi="Helvetica" w:cs="Times New Roman"/>
          <w:sz w:val="20"/>
          <w:szCs w:val="20"/>
        </w:rPr>
        <w:fldChar w:fldCharType="end"/>
      </w:r>
      <w:r w:rsidRPr="0091040C">
        <w:rPr>
          <w:rFonts w:ascii="Helvetica" w:hAnsi="Helvetica" w:cs="Times New Roman"/>
          <w:sz w:val="20"/>
          <w:szCs w:val="20"/>
          <w:vertAlign w:val="superscript"/>
        </w:rPr>
        <w:t>,</w:t>
      </w:r>
      <w:r w:rsidRPr="0091040C">
        <w:rPr>
          <w:rFonts w:ascii="Helvetica" w:hAnsi="Helvetica" w:cs="Times New Roman"/>
          <w:sz w:val="20"/>
          <w:szCs w:val="20"/>
        </w:rPr>
        <w:fldChar w:fldCharType="begin" w:fldLock="1"/>
      </w:r>
      <w:r w:rsidR="000E7B1B">
        <w:rPr>
          <w:rFonts w:ascii="Helvetica" w:hAnsi="Helvetica" w:cs="Times New Roman"/>
          <w:sz w:val="20"/>
          <w:szCs w:val="20"/>
        </w:rPr>
        <w:instrText>ADDIN CSL_CITATION { "citationItems" : [ { "id" : "ITEM-1", "itemData" : { "DOI" : "10.1093/ndt/14.11.2746", "ISSN" : "14602385", "author" : [ { "dropping-particle" : "", "family" : "Franz", "given" : "M.", "non-dropping-particle" : "", "parse-names" : false, "suffix" : "" } ], "container-title" : "Nephrology Dialysis Transplantation", "id" : "ITEM-1", "issue" : "11", "issued" : { "date-parts" : [ [ "1999", "11", "1" ] ] }, "page" : "2746-2753", "title" : "Common errors in diagnosis and management of urinary tract infection. I: Pathophysiology and diagnostic techniques", "type" : "article-journal", "volume" : "14" }, "uris" : [ "http://www.mendeley.com/documents/?uuid=56fc4cde-4f02-442a-a182-9118306e14a4" ] } ], "mendeley" : { "formattedCitation" : "&lt;sup&gt;16&lt;/sup&gt;", "plainTextFormattedCitation" : "16", "previouslyFormattedCitation" : "&lt;sup&gt;16&lt;/sup&gt;" }, "properties" : { "noteIndex" : 0 }, "schema" : "https://github.com/citation-style-language/schema/raw/master/csl-citation.json" }</w:instrText>
      </w:r>
      <w:r w:rsidRPr="0091040C">
        <w:rPr>
          <w:rFonts w:ascii="Helvetica" w:hAnsi="Helvetica" w:cs="Times New Roman"/>
          <w:sz w:val="20"/>
          <w:szCs w:val="20"/>
        </w:rPr>
        <w:fldChar w:fldCharType="separate"/>
      </w:r>
      <w:r w:rsidR="000E7B1B" w:rsidRPr="000E7B1B">
        <w:rPr>
          <w:rFonts w:ascii="Helvetica" w:hAnsi="Helvetica" w:cs="Times New Roman"/>
          <w:noProof/>
          <w:sz w:val="20"/>
          <w:szCs w:val="20"/>
          <w:vertAlign w:val="superscript"/>
        </w:rPr>
        <w:t>16</w:t>
      </w:r>
      <w:r w:rsidRPr="0091040C">
        <w:rPr>
          <w:rFonts w:ascii="Helvetica" w:hAnsi="Helvetica" w:cs="Times New Roman"/>
          <w:sz w:val="20"/>
          <w:szCs w:val="20"/>
        </w:rPr>
        <w:fldChar w:fldCharType="end"/>
      </w:r>
      <w:r w:rsidRPr="0091040C">
        <w:rPr>
          <w:rFonts w:ascii="Helvetica" w:hAnsi="Helvetica" w:cs="Times New Roman"/>
          <w:sz w:val="20"/>
          <w:szCs w:val="20"/>
          <w:shd w:val="clear" w:color="auto" w:fill="FFFFFF"/>
        </w:rPr>
        <w:t xml:space="preserve"> </w:t>
      </w:r>
    </w:p>
    <w:p w14:paraId="7619F338" w14:textId="44886556" w:rsidR="00655769" w:rsidRPr="0091040C" w:rsidRDefault="00655769" w:rsidP="00655769">
      <w:pPr>
        <w:spacing w:line="480" w:lineRule="auto"/>
        <w:rPr>
          <w:rFonts w:ascii="Helvetica" w:hAnsi="Helvetica" w:cs="Times New Roman"/>
          <w:sz w:val="20"/>
          <w:szCs w:val="20"/>
          <w:shd w:val="clear" w:color="auto" w:fill="FFFFFF"/>
        </w:rPr>
      </w:pPr>
      <w:r w:rsidRPr="0091040C">
        <w:rPr>
          <w:rFonts w:ascii="Helvetica" w:hAnsi="Helvetica" w:cs="Times New Roman"/>
          <w:sz w:val="20"/>
          <w:szCs w:val="20"/>
        </w:rPr>
        <w:t xml:space="preserve">Three other culture based POC UTI diagnostic tests have been assessed (i.e. </w:t>
      </w:r>
      <w:proofErr w:type="spellStart"/>
      <w:r w:rsidRPr="0091040C">
        <w:rPr>
          <w:rFonts w:ascii="Helvetica" w:hAnsi="Helvetica" w:cs="Times New Roman"/>
          <w:sz w:val="20"/>
          <w:szCs w:val="20"/>
        </w:rPr>
        <w:t>Uricult</w:t>
      </w:r>
      <w:proofErr w:type="spellEnd"/>
      <w:r w:rsidRPr="0091040C">
        <w:rPr>
          <w:rFonts w:ascii="Helvetica" w:hAnsi="Helvetica" w:cs="Times New Roman"/>
          <w:sz w:val="20"/>
          <w:szCs w:val="20"/>
        </w:rPr>
        <w:t xml:space="preserve"> Trio</w:t>
      </w:r>
      <w:r w:rsidRPr="0091040C">
        <w:rPr>
          <w:rFonts w:ascii="Helvetica" w:hAnsi="Helvetica" w:cs="Times New Roman"/>
          <w:sz w:val="20"/>
          <w:szCs w:val="20"/>
        </w:rPr>
        <w:fldChar w:fldCharType="begin" w:fldLock="1"/>
      </w:r>
      <w:r w:rsidR="000E7B1B">
        <w:rPr>
          <w:rFonts w:ascii="Helvetica" w:hAnsi="Helvetica" w:cs="Times New Roman"/>
          <w:sz w:val="20"/>
          <w:szCs w:val="20"/>
        </w:rPr>
        <w:instrText>ADDIN CSL_CITATION { "citationItems" : [ { "id" : "ITEM-1", "itemData" : { "ISSN" : "0281-3432", "PMID" : "2587859", "abstract" : "Uricult dipslide as an indicator of bacteriuria yielded acceptable results in primary health care (PHC), and readings by local staffs were similar to those by laboratory technicians. Sensicult dipslide detected somewhat fewer bacteriurias and predicted bacterial drug sensitivity better than resistance (predictive values 93% and 50%, respectively). The mean risk of bacterial drug resistance against seven common urinary tract infection (UTI) antibiotics in PHC was 17%. The use of Sensicult for targeting UTI therapy resulted in an average risk of 7% for prescribing drugs to which the organism was resistant. The corresponding risk with Uricult for classification of UTI bacteria by Gram grouping, lactose and catalase reactions, and local guidelines for therapy of different bacterial groups, was also 7%. The latter method is simple, offers qualitative, and thus prognostic information, but can be further improved.", "author" : [ { "dropping-particle" : "", "family" : "Ferry", "given" : "S", "non-dropping-particle" : "", "parse-names" : false, "suffix" : "" }, { "dropping-particle" : "", "family" : "Burman", "given" : "L G", "non-dropping-particle" : "", "parse-names" : false, "suffix" : "" }, { "dropping-particle" : "", "family" : "Holm", "given" : "S E", "non-dropping-particle" : "", "parse-names" : false, "suffix" : "" } ], "container-title" : "Scandinavian journal of primary health care", "id" : "ITEM-1", "issue" : "2", "issued" : { "date-parts" : [ [ "1989", "6" ] ] }, "page" : "123-8", "title" : "Uricult and Sensicult dipslides for diagnosis of bacteriuria and prediction of drug resistance in primary health care.", "type" : "article-journal", "volume" : "7" }, "uris" : [ "http://www.mendeley.com/documents/?uuid=69cf63b5-685c-4a7a-a70d-5c880ca34fec" ] } ], "mendeley" : { "formattedCitation" : "&lt;sup&gt;17&lt;/sup&gt;", "plainTextFormattedCitation" : "17", "previouslyFormattedCitation" : "&lt;sup&gt;17&lt;/sup&gt;" }, "properties" : { "noteIndex" : 0 }, "schema" : "https://github.com/citation-style-language/schema/raw/master/csl-citation.json" }</w:instrText>
      </w:r>
      <w:r w:rsidRPr="0091040C">
        <w:rPr>
          <w:rFonts w:ascii="Helvetica" w:hAnsi="Helvetica" w:cs="Times New Roman"/>
          <w:sz w:val="20"/>
          <w:szCs w:val="20"/>
        </w:rPr>
        <w:fldChar w:fldCharType="separate"/>
      </w:r>
      <w:r w:rsidR="000E7B1B" w:rsidRPr="000E7B1B">
        <w:rPr>
          <w:rFonts w:ascii="Helvetica" w:hAnsi="Helvetica" w:cs="Times New Roman"/>
          <w:noProof/>
          <w:sz w:val="20"/>
          <w:szCs w:val="20"/>
          <w:vertAlign w:val="superscript"/>
        </w:rPr>
        <w:t>17</w:t>
      </w:r>
      <w:r w:rsidRPr="0091040C">
        <w:rPr>
          <w:rFonts w:ascii="Helvetica" w:hAnsi="Helvetica" w:cs="Times New Roman"/>
          <w:sz w:val="20"/>
          <w:szCs w:val="20"/>
        </w:rPr>
        <w:fldChar w:fldCharType="end"/>
      </w:r>
      <w:r w:rsidRPr="0091040C">
        <w:rPr>
          <w:rFonts w:ascii="Helvetica" w:hAnsi="Helvetica" w:cs="Times New Roman"/>
          <w:sz w:val="20"/>
          <w:szCs w:val="20"/>
        </w:rPr>
        <w:t>, DipStreak</w:t>
      </w:r>
      <w:r w:rsidRPr="0091040C">
        <w:rPr>
          <w:rFonts w:ascii="Helvetica" w:hAnsi="Helvetica" w:cs="Times New Roman"/>
          <w:sz w:val="20"/>
          <w:szCs w:val="20"/>
        </w:rPr>
        <w:fldChar w:fldCharType="begin" w:fldLock="1"/>
      </w:r>
      <w:r w:rsidR="000E7B1B">
        <w:rPr>
          <w:rFonts w:ascii="Helvetica" w:hAnsi="Helvetica" w:cs="Times New Roman"/>
          <w:sz w:val="20"/>
          <w:szCs w:val="20"/>
        </w:rPr>
        <w:instrText>ADDIN CSL_CITATION { "citationItems" : [ { "id" : "ITEM-1", "itemData" : { "ISSN" : "0934-9723", "PMID" : "11057503", "abstract" : "The performance of a novel dipslide (DipStreak; Novamed, Israel) consisting of chromogenic agar (Uriselect 3; Sanofi Pasteur, France) and blood agar media was evaluated prospectively and compared to that of conventional urine culture for the diagnosis of urinary tract infection. A total of 1070 clean-catch urine specimens obtained from 251 hospitalized patients and 819 outpatients were processed. The overall performance of the DipStreak was as follows: sensitivity, 95.7%; specificity, 99.2%; agreement, 89.8%; accuracy, 98%; positive predictive value, 98.5%; and negative predictive value, 97.7%. A total of 270 urine specimens were positive by both DipStreak and conventional culture. The chromogenic agar allowed rapid identification of organisms in 211 (78.1%) cultures, while isolates in the other 59 (21.9%) cultures remained unidentified. The results indicate that the DipStreak device coupled with the Uriselect 3 agar represents a convenient and accurate method for inoculation of urine specimens, quantitation of bacteria, diagnosis of significant bacteriuria, and presumptive identification of isolates.", "author" : [ { "dropping-particle" : "", "family" : "Yagupsky", "given" : "P", "non-dropping-particle" : "", "parse-names" : false, "suffix" : "" }, { "dropping-particle" : "", "family" : "Rider", "given" : "M", "non-dropping-particle" : "", "parse-names" : false, "suffix" : "" }, { "dropping-particle" : "", "family" : "Peled", "given" : "N", "non-dropping-particle" : "", "parse-names" : false, "suffix" : "" } ], "container-title" : "European journal of clinical microbiology &amp; infectious diseases : official publication of the European Society of Clinical Microbiology", "id" : "ITEM-1", "issue" : "9", "issued" : { "date-parts" : [ [ "2000", "9" ] ] }, "page" : "694-8", "title" : "Clinical evaluation of a novel chromogenic agar dipslide for diagnosis of urinary tract infections.", "type" : "article-journal", "volume" : "19" }, "uris" : [ "http://www.mendeley.com/documents/?uuid=49c7c74f-7872-4d08-8334-40239b9dc8c6" ] } ], "mendeley" : { "formattedCitation" : "&lt;sup&gt;18&lt;/sup&gt;", "plainTextFormattedCitation" : "18", "previouslyFormattedCitation" : "&lt;sup&gt;18&lt;/sup&gt;" }, "properties" : { "noteIndex" : 0 }, "schema" : "https://github.com/citation-style-language/schema/raw/master/csl-citation.json" }</w:instrText>
      </w:r>
      <w:r w:rsidRPr="0091040C">
        <w:rPr>
          <w:rFonts w:ascii="Helvetica" w:hAnsi="Helvetica" w:cs="Times New Roman"/>
          <w:sz w:val="20"/>
          <w:szCs w:val="20"/>
        </w:rPr>
        <w:fldChar w:fldCharType="separate"/>
      </w:r>
      <w:r w:rsidR="000E7B1B" w:rsidRPr="000E7B1B">
        <w:rPr>
          <w:rFonts w:ascii="Helvetica" w:hAnsi="Helvetica" w:cs="Times New Roman"/>
          <w:noProof/>
          <w:sz w:val="20"/>
          <w:szCs w:val="20"/>
          <w:vertAlign w:val="superscript"/>
        </w:rPr>
        <w:t>18</w:t>
      </w:r>
      <w:r w:rsidRPr="0091040C">
        <w:rPr>
          <w:rFonts w:ascii="Helvetica" w:hAnsi="Helvetica" w:cs="Times New Roman"/>
          <w:sz w:val="20"/>
          <w:szCs w:val="20"/>
        </w:rPr>
        <w:fldChar w:fldCharType="end"/>
      </w:r>
      <w:r w:rsidRPr="0091040C">
        <w:rPr>
          <w:rFonts w:ascii="Helvetica" w:hAnsi="Helvetica" w:cs="Times New Roman"/>
          <w:sz w:val="20"/>
          <w:szCs w:val="20"/>
        </w:rPr>
        <w:t>, Diaslide</w:t>
      </w:r>
      <w:r w:rsidRPr="0091040C">
        <w:rPr>
          <w:rFonts w:ascii="Helvetica" w:hAnsi="Helvetica" w:cs="Times New Roman"/>
          <w:sz w:val="20"/>
          <w:szCs w:val="20"/>
        </w:rPr>
        <w:fldChar w:fldCharType="begin" w:fldLock="1"/>
      </w:r>
      <w:r w:rsidR="000E7B1B">
        <w:rPr>
          <w:rFonts w:ascii="Helvetica" w:hAnsi="Helvetica" w:cs="Times New Roman"/>
          <w:sz w:val="20"/>
          <w:szCs w:val="20"/>
        </w:rPr>
        <w:instrText>ADDIN CSL_CITATION { "citationItems" : [ { "id" : "ITEM-1", "itemData" : { "ISSN" : "0095-1137", "PMID" : "1400968", "abstract" : "The Diaslide urine culture device consists of a hinged case containing two opposing agar media separated by a sampler with a handle at one end and two bent sampler tips at the opposite end. The tips of the sampler are first dipped into the urine. The sampler is then pulled out through the casing, simultaneously inoculating both agar surfaces with a streaking dilution. As a result, individual colonies can be observed even when bacterial concentrations exceed 10(6) CFU/ml. The number of colonies on the Diaslide correlated linearly with CFU per milliliter as determined by dilution plating. The clinical performance of the Diaslide was compared with those of ordinary dipslides and conventional cultures with a sample of 473 prescreened hospital urine specimens. The sensitivity, specificity, and positive predictive value of Diaslide versus those of culture at the 10(4)-CFU/ml cutoff level were 97.5, 98.3, and 98.3%, respectively, compared with 98.8, 95.7, and 97.2%, respectively, for dipslide versus culture. Similar results were found at the 10(5)-CFU/ml cutoff level. Only 5.5% of the Diaslides required subculturing, compared with 14.7 and 9.4% of the dipslides and conventional cultures, respectively. The Diaslide proved more convenient than an ordinary dipslide for sampling low volumes of urine. These data suggest that the Diaslide is a simple, effective device for culturing of urine specimens.", "author" : [ { "dropping-particle" : "", "family" : "Rosenberg", "given" : "M", "non-dropping-particle" : "", "parse-names" : false, "suffix" : "" }, { "dropping-particle" : "", "family" : "Berger", "given" : "S A", "non-dropping-particle" : "", "parse-names" : false, "suffix" : "" }, { "dropping-particle" : "", "family" : "Barki", "given" : "M", "non-dropping-particle" : "", "parse-names" : false, "suffix" : "" }, { "dropping-particle" : "", "family" : "Goldberg", "given" : "S", "non-dropping-particle" : "", "parse-names" : false, "suffix" : "" }, { "dropping-particle" : "", "family" : "Fink", "given" : "A", "non-dropping-particle" : "", "parse-names" : false, "suffix" : "" }, { "dropping-particle" : "", "family" : "Miskin", "given" : "A", "non-dropping-particle" : "", "parse-names" : false, "suffix" : "" } ], "container-title" : "Journal of clinical microbiology", "id" : "ITEM-1", "issue" : "10", "issued" : { "date-parts" : [ [ "1992", "10" ] ] }, "page" : "2686-91", "title" : "Initial testing of a novel urine culture device.", "type" : "article-journal", "volume" : "30" }, "uris" : [ "http://www.mendeley.com/documents/?uuid=e2c63ce9-330b-4c31-9b4d-015f1ca52d9c" ] } ], "mendeley" : { "formattedCitation" : "&lt;sup&gt;19&lt;/sup&gt;", "plainTextFormattedCitation" : "19", "previouslyFormattedCitation" : "&lt;sup&gt;19&lt;/sup&gt;" }, "properties" : { "noteIndex" : 0 }, "schema" : "https://github.com/citation-style-language/schema/raw/master/csl-citation.json" }</w:instrText>
      </w:r>
      <w:r w:rsidRPr="0091040C">
        <w:rPr>
          <w:rFonts w:ascii="Helvetica" w:hAnsi="Helvetica" w:cs="Times New Roman"/>
          <w:sz w:val="20"/>
          <w:szCs w:val="20"/>
        </w:rPr>
        <w:fldChar w:fldCharType="separate"/>
      </w:r>
      <w:r w:rsidR="000E7B1B" w:rsidRPr="000E7B1B">
        <w:rPr>
          <w:rFonts w:ascii="Helvetica" w:hAnsi="Helvetica" w:cs="Times New Roman"/>
          <w:noProof/>
          <w:sz w:val="20"/>
          <w:szCs w:val="20"/>
          <w:vertAlign w:val="superscript"/>
        </w:rPr>
        <w:t>19</w:t>
      </w:r>
      <w:r w:rsidRPr="0091040C">
        <w:rPr>
          <w:rFonts w:ascii="Helvetica" w:hAnsi="Helvetica" w:cs="Times New Roman"/>
          <w:sz w:val="20"/>
          <w:szCs w:val="20"/>
        </w:rPr>
        <w:fldChar w:fldCharType="end"/>
      </w:r>
      <w:r w:rsidRPr="0091040C">
        <w:rPr>
          <w:rFonts w:ascii="Helvetica" w:hAnsi="Helvetica" w:cs="Times New Roman"/>
          <w:sz w:val="20"/>
          <w:szCs w:val="20"/>
        </w:rPr>
        <w:t>), which have be shown to have high sensitivity (≥88%) and specific (≥90%) for diagnosing a UTI when compared to laboratory culture, although confidence intervals were not reported and antibiotic susceptibility was not analysed.</w:t>
      </w:r>
    </w:p>
    <w:p w14:paraId="50015A89" w14:textId="437296C4" w:rsidR="00502518" w:rsidRPr="000E7B1B" w:rsidRDefault="00DB5EAA" w:rsidP="001326DE">
      <w:pPr>
        <w:spacing w:line="480" w:lineRule="auto"/>
        <w:rPr>
          <w:rFonts w:ascii="Helvetica" w:hAnsi="Helvetica"/>
          <w:sz w:val="20"/>
          <w:szCs w:val="20"/>
          <w:u w:val="single"/>
        </w:rPr>
      </w:pPr>
      <w:r w:rsidRPr="0091040C">
        <w:rPr>
          <w:rFonts w:ascii="Helvetica" w:hAnsi="Helvetica" w:cs="Times New Roman"/>
          <w:sz w:val="20"/>
          <w:szCs w:val="20"/>
        </w:rPr>
        <w:t xml:space="preserve"> Since all patients included in the POETIC trial had symptoms attributable to UTI, the low prevalence of urine samples meeting the HPA/PHE and UK laboratory criteria for UTI is unexpected, and may indicate that laboratory culture results in high false negative rates or that there were other (non-infectious) causes of the symptoms. UTI prevalence similar to Flexicult</w:t>
      </w:r>
      <w:r w:rsidRPr="0091040C">
        <w:rPr>
          <w:rFonts w:ascii="Helvetica" w:hAnsi="Helvetica" w:cs="Times New Roman"/>
          <w:sz w:val="20"/>
          <w:szCs w:val="20"/>
          <w:vertAlign w:val="superscript"/>
        </w:rPr>
        <w:t>TM</w:t>
      </w:r>
      <w:r w:rsidRPr="0091040C">
        <w:rPr>
          <w:rFonts w:ascii="Helvetica" w:hAnsi="Helvetica" w:cs="Times New Roman"/>
          <w:sz w:val="20"/>
          <w:szCs w:val="20"/>
        </w:rPr>
        <w:t xml:space="preserve"> was found when a lower threshold, for example the European guideline definition, was used.  Concordance between the laboratory cultures and Flexicult</w:t>
      </w:r>
      <w:r w:rsidRPr="0091040C">
        <w:rPr>
          <w:rFonts w:ascii="Helvetica" w:hAnsi="Helvetica" w:cs="Times New Roman"/>
          <w:sz w:val="20"/>
          <w:szCs w:val="20"/>
          <w:vertAlign w:val="superscript"/>
        </w:rPr>
        <w:t>TM</w:t>
      </w:r>
      <w:r w:rsidRPr="0091040C" w:rsidDel="0051398C">
        <w:rPr>
          <w:rFonts w:ascii="Helvetica" w:hAnsi="Helvetica" w:cs="Times New Roman"/>
          <w:sz w:val="20"/>
          <w:szCs w:val="20"/>
        </w:rPr>
        <w:t xml:space="preserve"> </w:t>
      </w:r>
      <w:r w:rsidRPr="0091040C">
        <w:rPr>
          <w:rFonts w:ascii="Helvetica" w:hAnsi="Helvetica" w:cs="Times New Roman"/>
          <w:sz w:val="20"/>
          <w:szCs w:val="20"/>
        </w:rPr>
        <w:t xml:space="preserve">for no growth was low (18%), which could be explained by changes in viable bacteria in urine samples between the time the sample was taken and when it was analysed in the laboratory.  </w:t>
      </w:r>
      <w:r w:rsidR="000E7B1B">
        <w:rPr>
          <w:rFonts w:ascii="Helvetica" w:hAnsi="Helvetica"/>
          <w:sz w:val="20"/>
          <w:szCs w:val="20"/>
          <w:u w:val="single"/>
        </w:rPr>
        <w:br/>
      </w:r>
      <w:r w:rsidR="00655769">
        <w:rPr>
          <w:rFonts w:ascii="Helvetica" w:hAnsi="Helvetica" w:cs="Times New Roman"/>
          <w:sz w:val="20"/>
          <w:szCs w:val="20"/>
        </w:rPr>
        <w:br/>
      </w:r>
      <w:r w:rsidR="000E7B1B">
        <w:rPr>
          <w:rFonts w:ascii="Helvetica" w:hAnsi="Helvetica" w:cs="Times New Roman"/>
          <w:sz w:val="20"/>
          <w:szCs w:val="20"/>
        </w:rPr>
        <w:t>Strengths</w:t>
      </w:r>
      <w:r w:rsidR="00655769">
        <w:rPr>
          <w:rFonts w:ascii="Helvetica" w:hAnsi="Helvetica" w:cs="Times New Roman"/>
          <w:sz w:val="20"/>
          <w:szCs w:val="20"/>
        </w:rPr>
        <w:t xml:space="preserve"> of our study </w:t>
      </w:r>
      <w:r w:rsidR="00251BC3">
        <w:rPr>
          <w:rFonts w:ascii="Helvetica" w:hAnsi="Helvetica" w:cs="Times New Roman"/>
          <w:sz w:val="20"/>
          <w:szCs w:val="20"/>
        </w:rPr>
        <w:t xml:space="preserve">include </w:t>
      </w:r>
      <w:r w:rsidR="00290F2F">
        <w:rPr>
          <w:rFonts w:ascii="Helvetica" w:hAnsi="Helvetica" w:cs="Times New Roman"/>
          <w:sz w:val="20"/>
          <w:szCs w:val="20"/>
        </w:rPr>
        <w:t>the sample size,</w:t>
      </w:r>
      <w:r w:rsidR="00A30EC2">
        <w:rPr>
          <w:rFonts w:ascii="Helvetica" w:hAnsi="Helvetica" w:cs="Times New Roman"/>
          <w:sz w:val="20"/>
          <w:szCs w:val="20"/>
        </w:rPr>
        <w:t xml:space="preserve"> </w:t>
      </w:r>
      <w:r w:rsidR="00251BC3">
        <w:rPr>
          <w:rFonts w:ascii="Helvetica" w:hAnsi="Helvetica" w:cs="Times New Roman"/>
          <w:sz w:val="20"/>
          <w:szCs w:val="20"/>
        </w:rPr>
        <w:t>the ability to com</w:t>
      </w:r>
      <w:r w:rsidR="00DD1DAE">
        <w:rPr>
          <w:rFonts w:ascii="Helvetica" w:hAnsi="Helvetica" w:cs="Times New Roman"/>
          <w:sz w:val="20"/>
          <w:szCs w:val="20"/>
        </w:rPr>
        <w:t>p</w:t>
      </w:r>
      <w:r w:rsidR="00251BC3">
        <w:rPr>
          <w:rFonts w:ascii="Helvetica" w:hAnsi="Helvetica" w:cs="Times New Roman"/>
          <w:sz w:val="20"/>
          <w:szCs w:val="20"/>
        </w:rPr>
        <w:t xml:space="preserve">are results by various </w:t>
      </w:r>
      <w:r w:rsidR="00290F2F">
        <w:rPr>
          <w:rFonts w:ascii="Helvetica" w:hAnsi="Helvetica" w:cs="Times New Roman"/>
          <w:sz w:val="20"/>
          <w:szCs w:val="20"/>
        </w:rPr>
        <w:t>definitions</w:t>
      </w:r>
      <w:r w:rsidR="00251BC3">
        <w:rPr>
          <w:rFonts w:ascii="Helvetica" w:hAnsi="Helvetica" w:cs="Times New Roman"/>
          <w:sz w:val="20"/>
          <w:szCs w:val="20"/>
        </w:rPr>
        <w:t xml:space="preserve"> of a UTI on culture, </w:t>
      </w:r>
      <w:r w:rsidR="009070B5">
        <w:rPr>
          <w:rFonts w:ascii="Helvetica" w:hAnsi="Helvetica" w:cs="Times New Roman"/>
          <w:sz w:val="20"/>
          <w:szCs w:val="20"/>
        </w:rPr>
        <w:t>and</w:t>
      </w:r>
      <w:r w:rsidR="00A30EC2">
        <w:rPr>
          <w:rFonts w:ascii="Helvetica" w:hAnsi="Helvetica" w:cs="Times New Roman"/>
          <w:sz w:val="20"/>
          <w:szCs w:val="20"/>
        </w:rPr>
        <w:t xml:space="preserve"> the independentl</w:t>
      </w:r>
      <w:r w:rsidR="00DD1DAE">
        <w:rPr>
          <w:rFonts w:ascii="Helvetica" w:hAnsi="Helvetica" w:cs="Times New Roman"/>
          <w:sz w:val="20"/>
          <w:szCs w:val="20"/>
        </w:rPr>
        <w:t>y</w:t>
      </w:r>
      <w:r w:rsidR="00A30EC2">
        <w:rPr>
          <w:rFonts w:ascii="Helvetica" w:hAnsi="Helvetica" w:cs="Times New Roman"/>
          <w:sz w:val="20"/>
          <w:szCs w:val="20"/>
        </w:rPr>
        <w:t xml:space="preserve"> interpretation of the </w:t>
      </w:r>
      <w:r w:rsidR="009070B5">
        <w:rPr>
          <w:rFonts w:ascii="Helvetica" w:hAnsi="Helvetica" w:cs="Times New Roman"/>
          <w:sz w:val="20"/>
          <w:szCs w:val="20"/>
        </w:rPr>
        <w:t>photographs</w:t>
      </w:r>
      <w:r w:rsidR="00251BC3">
        <w:rPr>
          <w:rFonts w:ascii="Helvetica" w:hAnsi="Helvetica" w:cs="Times New Roman"/>
          <w:sz w:val="20"/>
          <w:szCs w:val="20"/>
        </w:rPr>
        <w:t xml:space="preserve">. </w:t>
      </w:r>
      <w:r w:rsidR="008B3906">
        <w:rPr>
          <w:rFonts w:ascii="Helvetica" w:hAnsi="Helvetica" w:cs="Times New Roman"/>
          <w:sz w:val="20"/>
          <w:szCs w:val="20"/>
        </w:rPr>
        <w:t xml:space="preserve">There are also several limitations. </w:t>
      </w:r>
      <w:r w:rsidR="009070B5">
        <w:rPr>
          <w:rFonts w:ascii="Helvetica" w:hAnsi="Helvetica" w:cs="Times New Roman"/>
          <w:sz w:val="20"/>
          <w:szCs w:val="20"/>
        </w:rPr>
        <w:t xml:space="preserve"> First, t</w:t>
      </w:r>
      <w:r w:rsidR="00A30EC2" w:rsidRPr="0091040C">
        <w:rPr>
          <w:rFonts w:ascii="Helvetica" w:hAnsi="Helvetica" w:cs="Times New Roman"/>
          <w:sz w:val="20"/>
          <w:szCs w:val="20"/>
        </w:rPr>
        <w:t>he photographs of Flexicult</w:t>
      </w:r>
      <w:r w:rsidR="00A30EC2" w:rsidRPr="0091040C">
        <w:rPr>
          <w:rFonts w:ascii="Helvetica" w:hAnsi="Helvetica" w:cs="Times New Roman"/>
          <w:sz w:val="20"/>
          <w:szCs w:val="20"/>
          <w:vertAlign w:val="superscript"/>
        </w:rPr>
        <w:t>TM</w:t>
      </w:r>
      <w:r w:rsidR="00A30EC2" w:rsidRPr="0091040C">
        <w:rPr>
          <w:rFonts w:ascii="Helvetica" w:hAnsi="Helvetica" w:cs="Times New Roman"/>
          <w:sz w:val="20"/>
          <w:szCs w:val="20"/>
        </w:rPr>
        <w:t xml:space="preserve"> plates were interpreted independently by two experienced UK microbiology laboratory staff blind to </w:t>
      </w:r>
      <w:r w:rsidR="000E7B1B" w:rsidRPr="0091040C">
        <w:rPr>
          <w:rFonts w:ascii="Helvetica" w:hAnsi="Helvetica" w:cs="Times New Roman"/>
          <w:sz w:val="20"/>
          <w:szCs w:val="20"/>
        </w:rPr>
        <w:t>clinician’s</w:t>
      </w:r>
      <w:r w:rsidR="00A30EC2" w:rsidRPr="0091040C">
        <w:rPr>
          <w:rFonts w:ascii="Helvetica" w:hAnsi="Helvetica" w:cs="Times New Roman"/>
          <w:sz w:val="20"/>
          <w:szCs w:val="20"/>
        </w:rPr>
        <w:t xml:space="preserve"> interpretations and laboratory culture finding</w:t>
      </w:r>
      <w:r w:rsidR="00B55E4A">
        <w:rPr>
          <w:rFonts w:ascii="Helvetica" w:hAnsi="Helvetica" w:cs="Times New Roman"/>
          <w:sz w:val="20"/>
          <w:szCs w:val="20"/>
        </w:rPr>
        <w:t>s.</w:t>
      </w:r>
      <w:r w:rsidR="00A30EC2">
        <w:rPr>
          <w:rFonts w:ascii="Helvetica" w:hAnsi="Helvetica" w:cs="Times New Roman"/>
          <w:sz w:val="20"/>
          <w:szCs w:val="20"/>
        </w:rPr>
        <w:t xml:space="preserve"> </w:t>
      </w:r>
      <w:r w:rsidR="00655769">
        <w:rPr>
          <w:rFonts w:ascii="Helvetica" w:hAnsi="Helvetica" w:cs="Times New Roman"/>
          <w:sz w:val="20"/>
          <w:szCs w:val="20"/>
        </w:rPr>
        <w:t xml:space="preserve"> </w:t>
      </w:r>
      <w:r w:rsidR="00655769" w:rsidRPr="0091040C">
        <w:rPr>
          <w:rFonts w:ascii="Helvetica" w:hAnsi="Helvetica" w:cs="Times New Roman"/>
          <w:sz w:val="20"/>
          <w:szCs w:val="20"/>
        </w:rPr>
        <w:t xml:space="preserve">However, the GPs were more likely to overcall pure or predominant growth – they were less likely to note the presence of other bacteria in the culture. Microbiologists are trained to look for this and so may </w:t>
      </w:r>
      <w:r w:rsidR="00B55E4A">
        <w:rPr>
          <w:rFonts w:ascii="Helvetica" w:hAnsi="Helvetica" w:cs="Times New Roman"/>
          <w:sz w:val="20"/>
          <w:szCs w:val="20"/>
        </w:rPr>
        <w:t xml:space="preserve">have </w:t>
      </w:r>
      <w:r w:rsidR="00655769" w:rsidRPr="0091040C">
        <w:rPr>
          <w:rFonts w:ascii="Helvetica" w:hAnsi="Helvetica" w:cs="Times New Roman"/>
          <w:sz w:val="20"/>
          <w:szCs w:val="20"/>
        </w:rPr>
        <w:t>be</w:t>
      </w:r>
      <w:r w:rsidR="00B55E4A">
        <w:rPr>
          <w:rFonts w:ascii="Helvetica" w:hAnsi="Helvetica" w:cs="Times New Roman"/>
          <w:sz w:val="20"/>
          <w:szCs w:val="20"/>
        </w:rPr>
        <w:t>en</w:t>
      </w:r>
      <w:r w:rsidR="00655769" w:rsidRPr="0091040C">
        <w:rPr>
          <w:rFonts w:ascii="Helvetica" w:hAnsi="Helvetica" w:cs="Times New Roman"/>
          <w:sz w:val="20"/>
          <w:szCs w:val="20"/>
        </w:rPr>
        <w:t xml:space="preserve"> more ad</w:t>
      </w:r>
      <w:r w:rsidR="00B55E4A">
        <w:rPr>
          <w:rFonts w:ascii="Helvetica" w:hAnsi="Helvetica" w:cs="Times New Roman"/>
          <w:sz w:val="20"/>
          <w:szCs w:val="20"/>
        </w:rPr>
        <w:t>e</w:t>
      </w:r>
      <w:r w:rsidR="00655769" w:rsidRPr="0091040C">
        <w:rPr>
          <w:rFonts w:ascii="Helvetica" w:hAnsi="Helvetica" w:cs="Times New Roman"/>
          <w:sz w:val="20"/>
          <w:szCs w:val="20"/>
        </w:rPr>
        <w:t xml:space="preserve">pt at </w:t>
      </w:r>
      <w:r w:rsidR="00B55E4A">
        <w:rPr>
          <w:rFonts w:ascii="Helvetica" w:hAnsi="Helvetica" w:cs="Times New Roman"/>
          <w:sz w:val="20"/>
          <w:szCs w:val="20"/>
        </w:rPr>
        <w:t>identifying</w:t>
      </w:r>
      <w:r w:rsidR="00655769" w:rsidRPr="0091040C">
        <w:rPr>
          <w:rFonts w:ascii="Helvetica" w:hAnsi="Helvetica" w:cs="Times New Roman"/>
          <w:sz w:val="20"/>
          <w:szCs w:val="20"/>
        </w:rPr>
        <w:t xml:space="preserve"> mixed cultures. Overcalling pure and predominant </w:t>
      </w:r>
      <w:r w:rsidR="00655769" w:rsidRPr="0091040C">
        <w:rPr>
          <w:rFonts w:ascii="Helvetica" w:hAnsi="Helvetica" w:cs="Times New Roman"/>
          <w:sz w:val="20"/>
          <w:szCs w:val="20"/>
        </w:rPr>
        <w:lastRenderedPageBreak/>
        <w:t>growth would account for the higher UTI prevalenc</w:t>
      </w:r>
      <w:r w:rsidR="00655769">
        <w:rPr>
          <w:rFonts w:ascii="Helvetica" w:hAnsi="Helvetica" w:cs="Times New Roman"/>
          <w:sz w:val="20"/>
          <w:szCs w:val="20"/>
        </w:rPr>
        <w:t xml:space="preserve">e within the GP interpretations. </w:t>
      </w:r>
      <w:r w:rsidR="00655769" w:rsidRPr="0091040C">
        <w:rPr>
          <w:rFonts w:ascii="Helvetica" w:hAnsi="Helvetica" w:cs="Times New Roman"/>
          <w:sz w:val="20"/>
          <w:szCs w:val="20"/>
        </w:rPr>
        <w:t xml:space="preserve">This could lead to over-prescribing of antibiotics in primary care if one assumes that the laboratory results more often both correctly identifies and correctly rules out UTIs. </w:t>
      </w:r>
      <w:r w:rsidR="004C725F">
        <w:rPr>
          <w:rFonts w:ascii="Helvetica" w:hAnsi="Helvetica" w:cs="Times New Roman"/>
          <w:sz w:val="20"/>
          <w:szCs w:val="20"/>
        </w:rPr>
        <w:t>On the other hand</w:t>
      </w:r>
      <w:r w:rsidR="00655769" w:rsidRPr="0091040C">
        <w:rPr>
          <w:rFonts w:ascii="Helvetica" w:hAnsi="Helvetica" w:cs="Times New Roman"/>
          <w:sz w:val="20"/>
          <w:szCs w:val="20"/>
        </w:rPr>
        <w:t>, because Flexicult</w:t>
      </w:r>
      <w:r w:rsidR="00655769" w:rsidRPr="0091040C">
        <w:rPr>
          <w:rFonts w:ascii="Helvetica" w:hAnsi="Helvetica" w:cs="Times New Roman"/>
          <w:sz w:val="20"/>
          <w:szCs w:val="20"/>
          <w:vertAlign w:val="superscript"/>
        </w:rPr>
        <w:t>TM</w:t>
      </w:r>
      <w:r w:rsidR="00655769" w:rsidRPr="0091040C">
        <w:rPr>
          <w:rFonts w:ascii="Helvetica" w:hAnsi="Helvetica" w:cs="Times New Roman"/>
          <w:sz w:val="20"/>
          <w:szCs w:val="20"/>
        </w:rPr>
        <w:t xml:space="preserve"> is based on fresher urine samples and may be interpreted in conjunction with clinical findings, it may provide a more accurate estimate of true positive and true negative UTIs.</w:t>
      </w:r>
      <w:r w:rsidR="003608AD">
        <w:rPr>
          <w:rFonts w:ascii="Helvetica" w:hAnsi="Helvetica" w:cs="Times New Roman"/>
          <w:sz w:val="20"/>
          <w:szCs w:val="20"/>
        </w:rPr>
        <w:fldChar w:fldCharType="begin" w:fldLock="1"/>
      </w:r>
      <w:r w:rsidR="003608AD">
        <w:rPr>
          <w:rFonts w:ascii="Helvetica" w:hAnsi="Helvetica" w:cs="Times New Roman"/>
          <w:sz w:val="20"/>
          <w:szCs w:val="20"/>
        </w:rPr>
        <w:instrText>ADDIN CSL_CITATION { "citationItems" : [ { "id" : "ITEM-1", "itemData" : { "DOI" : "10.1128/CMR.00030-15", "ISSN" : "1098-6618", "PMID" : "26598386", "abstract" : "BACKGROUND Urinary tract infection (UTI) in the United States is the most common bacterial infection, and urine cultures often make up the largest portion of workload for a hospital-based microbiology laboratory. Appropriately managing the factors affecting the preanalytic phase of urine culture contributes significantly to the generation of meaningful culture results that ultimately affect patient diagnosis and management. Urine culture contamination can be reduced with proper techniques for urine collection, preservation, storage, and transport, the major factors affecting the preanalytic phase of urine culture. OBJECTIVES The purposes of this review were to identify and evaluate preanalytic practices associated with urine specimens and to assess their impact on the accuracy of urine culture microbiology. Specific practices included collection methods for men, women, and children; preservation of urine samples in boric acid solutions; and the effect of refrigeration on stored urine. Practice efficacy and effectiveness were measured by two parameters: reduction of urine culture contamination and increased accuracy of patient diagnosis. The CDC Laboratory Medicine Best Practices (LMBP) initiative's systematic review method for assessment of quality improvement (QI) practices was employed. Results were then translated into evidence-based practice guidelines. SEARCH STRATEGY A search of three electronic bibliographic databases (PubMed, SCOPUS, and CINAHL), as well as hand searching of bibliographies from relevant information sources, for English-language articles published between 1965 and 2014 was conducted. SELECTION CRITERIA The search contained the following medical subject headings and key text words: urinary tract infections, UTI, urine/analysis, urine/microbiology, urinalysis, specimen handling, preservation, biological, preservation, boric acid, boric acid/borate, refrigeration, storage, time factors, transportation, transport time, time delay, time factor, timing, urine specimen collection, catheters, indwelling, urinary reservoirs, continent, urinary catheterization, intermittent urethral catheterization, clean voided, midstream, Foley, suprapubic, bacteriological techniques, and microbiological techniques. MAIN RESULTS Both boric acid and refrigeration adequately preserved urine specimens prior to their processing for up to 24 h. Urine held at room temperature for more than 4 h showed overgrowth of both clinically significant and contaminating \u2026", "author" : [ { "dropping-particle" : "", "family" : "LaRocco", "given" : "Mark T", "non-dropping-particle" : "", "parse-names" : false, "suffix" : "" }, { "dropping-particle" : "", "family" : "Franek", "given" : "Jacob", "non-dropping-particle" : "", "parse-names" : false, "suffix" : "" }, { "dropping-particle" : "", "family" : "Leibach", "given" : "Elizabeth K", "non-dropping-particle" : "", "parse-names" : false, "suffix" : "" }, { "dropping-particle" : "", "family" : "Weissfeld", "given" : "Alice S", "non-dropping-particle" : "", "parse-names" : false, "suffix" : "" }, { "dropping-particle" : "", "family" : "Kraft", "given" : "Colleen S", "non-dropping-particle" : "", "parse-names" : false, "suffix" : "" }, { "dropping-particle" : "", "family" : "Sautter", "given" : "Robert L", "non-dropping-particle" : "", "parse-names" : false, "suffix" : "" }, { "dropping-particle" : "", "family" : "Baselski", "given" : "Vickie", "non-dropping-particle" : "", "parse-names" : false, "suffix" : "" }, { "dropping-particle" : "", "family" : "Rodahl", "given" : "Debra", "non-dropping-particle" : "", "parse-names" : false, "suffix" : "" }, { "dropping-particle" : "", "family" : "Peterson", "given" : "Edward J", "non-dropping-particle" : "", "parse-names" : false, "suffix" : "" }, { "dropping-particle" : "", "family" : "Cornish", "given" : "Nancy E", "non-dropping-particle" : "", "parse-names" : false, "suffix" : "" } ], "container-title" : "Clinical microbiology reviews", "id" : "ITEM-1", "issue" : "1", "issued" : { "date-parts" : [ [ "2016", "1" ] ] }, "page" : "105-47", "publisher" : "American Society for Microbiology (ASM)", "title" : "Effectiveness of Preanalytic Practices on Contamination and Diagnostic Accuracy of Urine Cultures: a Laboratory Medicine Best Practices Systematic Review and Meta-analysis.", "type" : "article-journal", "volume" : "29" }, "uris" : [ "http://www.mendeley.com/documents/?uuid=7b2ac9eb-f236-373d-bfbf-7f16ffb36065" ] } ], "mendeley" : { "formattedCitation" : "&lt;sup&gt;20&lt;/sup&gt;", "plainTextFormattedCitation" : "20", "previouslyFormattedCitation" : "&lt;sup&gt;20&lt;/sup&gt;" }, "properties" : { "noteIndex" : 0 }, "schema" : "https://github.com/citation-style-language/schema/raw/master/csl-citation.json" }</w:instrText>
      </w:r>
      <w:r w:rsidR="003608AD">
        <w:rPr>
          <w:rFonts w:ascii="Helvetica" w:hAnsi="Helvetica" w:cs="Times New Roman"/>
          <w:sz w:val="20"/>
          <w:szCs w:val="20"/>
        </w:rPr>
        <w:fldChar w:fldCharType="separate"/>
      </w:r>
      <w:r w:rsidR="003608AD" w:rsidRPr="003608AD">
        <w:rPr>
          <w:rFonts w:ascii="Helvetica" w:hAnsi="Helvetica" w:cs="Times New Roman"/>
          <w:noProof/>
          <w:sz w:val="20"/>
          <w:szCs w:val="20"/>
          <w:vertAlign w:val="superscript"/>
        </w:rPr>
        <w:t>20</w:t>
      </w:r>
      <w:r w:rsidR="003608AD">
        <w:rPr>
          <w:rFonts w:ascii="Helvetica" w:hAnsi="Helvetica" w:cs="Times New Roman"/>
          <w:sz w:val="20"/>
          <w:szCs w:val="20"/>
        </w:rPr>
        <w:fldChar w:fldCharType="end"/>
      </w:r>
      <w:r w:rsidR="009070B5">
        <w:rPr>
          <w:rFonts w:ascii="Helvetica" w:hAnsi="Helvetica" w:cs="Times New Roman"/>
          <w:sz w:val="20"/>
          <w:szCs w:val="20"/>
          <w:vertAlign w:val="superscript"/>
        </w:rPr>
        <w:t xml:space="preserve">  </w:t>
      </w:r>
      <w:r w:rsidR="009070B5">
        <w:rPr>
          <w:rFonts w:ascii="Helvetica" w:hAnsi="Helvetica" w:cs="Times New Roman"/>
          <w:sz w:val="20"/>
          <w:szCs w:val="20"/>
        </w:rPr>
        <w:t xml:space="preserve"> Secondly, t</w:t>
      </w:r>
      <w:r w:rsidR="00655769" w:rsidRPr="0091040C">
        <w:rPr>
          <w:rFonts w:ascii="Helvetica" w:hAnsi="Helvetica" w:cs="Times New Roman"/>
          <w:sz w:val="20"/>
          <w:szCs w:val="20"/>
        </w:rPr>
        <w:t>here were major disagreements between laboratory staff interpretation of Flexicult</w:t>
      </w:r>
      <w:r w:rsidR="00655769" w:rsidRPr="0091040C">
        <w:rPr>
          <w:rFonts w:ascii="Helvetica" w:hAnsi="Helvetica" w:cs="Times New Roman"/>
          <w:sz w:val="20"/>
          <w:szCs w:val="20"/>
          <w:vertAlign w:val="superscript"/>
        </w:rPr>
        <w:t>TM</w:t>
      </w:r>
      <w:r w:rsidR="00655769" w:rsidRPr="0091040C">
        <w:rPr>
          <w:rFonts w:ascii="Helvetica" w:hAnsi="Helvetica" w:cs="Times New Roman"/>
          <w:sz w:val="20"/>
          <w:szCs w:val="20"/>
        </w:rPr>
        <w:t xml:space="preserve"> photographs compared to clinicians’ interpretation of Flexicult</w:t>
      </w:r>
      <w:r w:rsidR="00655769" w:rsidRPr="0091040C">
        <w:rPr>
          <w:rFonts w:ascii="Helvetica" w:hAnsi="Helvetica" w:cs="Times New Roman"/>
          <w:sz w:val="20"/>
          <w:szCs w:val="20"/>
          <w:vertAlign w:val="superscript"/>
        </w:rPr>
        <w:t>TM</w:t>
      </w:r>
      <w:r w:rsidR="00655769" w:rsidRPr="0091040C">
        <w:rPr>
          <w:rFonts w:ascii="Helvetica" w:hAnsi="Helvetica" w:cs="Times New Roman"/>
          <w:sz w:val="20"/>
          <w:szCs w:val="20"/>
        </w:rPr>
        <w:t xml:space="preserve"> and routine culture results. Whilst the reasons for these differences are not clear, </w:t>
      </w:r>
      <w:r w:rsidR="004C725F">
        <w:rPr>
          <w:rFonts w:ascii="Helvetica" w:hAnsi="Helvetica" w:cs="Times New Roman"/>
          <w:sz w:val="20"/>
          <w:szCs w:val="20"/>
        </w:rPr>
        <w:t xml:space="preserve">they </w:t>
      </w:r>
      <w:r w:rsidR="00655769" w:rsidRPr="0091040C">
        <w:rPr>
          <w:rFonts w:ascii="Helvetica" w:hAnsi="Helvetica" w:cs="Times New Roman"/>
          <w:sz w:val="20"/>
          <w:szCs w:val="20"/>
        </w:rPr>
        <w:t>may</w:t>
      </w:r>
      <w:r w:rsidR="004C725F">
        <w:rPr>
          <w:rFonts w:ascii="Helvetica" w:hAnsi="Helvetica" w:cs="Times New Roman"/>
          <w:sz w:val="20"/>
          <w:szCs w:val="20"/>
        </w:rPr>
        <w:t xml:space="preserve"> relate </w:t>
      </w:r>
      <w:proofErr w:type="gramStart"/>
      <w:r w:rsidR="004C725F">
        <w:rPr>
          <w:rFonts w:ascii="Helvetica" w:hAnsi="Helvetica" w:cs="Times New Roman"/>
          <w:sz w:val="20"/>
          <w:szCs w:val="20"/>
        </w:rPr>
        <w:t xml:space="preserve">to </w:t>
      </w:r>
      <w:r w:rsidR="00655769" w:rsidRPr="0091040C">
        <w:rPr>
          <w:rFonts w:ascii="Helvetica" w:hAnsi="Helvetica" w:cs="Times New Roman"/>
          <w:sz w:val="20"/>
          <w:szCs w:val="20"/>
        </w:rPr>
        <w:t xml:space="preserve"> errors</w:t>
      </w:r>
      <w:proofErr w:type="gramEnd"/>
      <w:r w:rsidR="00655769" w:rsidRPr="0091040C">
        <w:rPr>
          <w:rFonts w:ascii="Helvetica" w:hAnsi="Helvetica" w:cs="Times New Roman"/>
          <w:sz w:val="20"/>
          <w:szCs w:val="20"/>
        </w:rPr>
        <w:t xml:space="preserve"> in the clinicians understanding or interpretation</w:t>
      </w:r>
      <w:r w:rsidR="004C725F">
        <w:rPr>
          <w:rFonts w:ascii="Helvetica" w:hAnsi="Helvetica" w:cs="Times New Roman"/>
          <w:sz w:val="20"/>
          <w:szCs w:val="20"/>
        </w:rPr>
        <w:t xml:space="preserve"> as well as </w:t>
      </w:r>
      <w:r w:rsidR="00655769" w:rsidRPr="0091040C">
        <w:rPr>
          <w:rFonts w:ascii="Helvetica" w:hAnsi="Helvetica" w:cs="Times New Roman"/>
          <w:sz w:val="20"/>
          <w:szCs w:val="20"/>
        </w:rPr>
        <w:t>the quality of the photographs. Until the reason</w:t>
      </w:r>
      <w:r w:rsidR="009C3619">
        <w:rPr>
          <w:rFonts w:ascii="Helvetica" w:hAnsi="Helvetica" w:cs="Times New Roman"/>
          <w:sz w:val="20"/>
          <w:szCs w:val="20"/>
        </w:rPr>
        <w:t>s</w:t>
      </w:r>
      <w:r w:rsidR="00655769" w:rsidRPr="0091040C">
        <w:rPr>
          <w:rFonts w:ascii="Helvetica" w:hAnsi="Helvetica" w:cs="Times New Roman"/>
          <w:sz w:val="20"/>
          <w:szCs w:val="20"/>
        </w:rPr>
        <w:t xml:space="preserve"> for such discrepancies are clearer, photographs of Flexicult</w:t>
      </w:r>
      <w:r w:rsidR="00655769" w:rsidRPr="0091040C">
        <w:rPr>
          <w:rFonts w:ascii="Helvetica" w:hAnsi="Helvetica" w:cs="Times New Roman"/>
          <w:sz w:val="20"/>
          <w:szCs w:val="20"/>
          <w:vertAlign w:val="superscript"/>
        </w:rPr>
        <w:t>TM</w:t>
      </w:r>
      <w:r w:rsidR="00655769" w:rsidRPr="0091040C">
        <w:rPr>
          <w:rFonts w:ascii="Helvetica" w:hAnsi="Helvetica" w:cs="Times New Roman"/>
          <w:sz w:val="20"/>
          <w:szCs w:val="20"/>
        </w:rPr>
        <w:t xml:space="preserve"> plates should neither be considered as a reliable diagnostic device nor as a useful tool for quality assurance. </w:t>
      </w:r>
      <w:r w:rsidR="009070B5">
        <w:rPr>
          <w:rFonts w:ascii="Helvetica" w:hAnsi="Helvetica" w:cs="Times New Roman"/>
          <w:sz w:val="20"/>
          <w:szCs w:val="20"/>
        </w:rPr>
        <w:t xml:space="preserve"> Thirdly, p</w:t>
      </w:r>
      <w:r w:rsidR="009070B5" w:rsidRPr="0091040C">
        <w:rPr>
          <w:rFonts w:ascii="Helvetica" w:hAnsi="Helvetica" w:cs="Times New Roman"/>
          <w:sz w:val="20"/>
          <w:szCs w:val="20"/>
        </w:rPr>
        <w:t>redominant growth of uropathogens differed markedly between findings from Flexicult</w:t>
      </w:r>
      <w:r w:rsidR="009070B5" w:rsidRPr="0091040C">
        <w:rPr>
          <w:rFonts w:ascii="Helvetica" w:hAnsi="Helvetica" w:cs="Times New Roman"/>
          <w:sz w:val="20"/>
          <w:szCs w:val="20"/>
          <w:vertAlign w:val="superscript"/>
        </w:rPr>
        <w:t>TM</w:t>
      </w:r>
      <w:r w:rsidR="009070B5" w:rsidRPr="0091040C">
        <w:rPr>
          <w:rFonts w:ascii="Helvetica" w:hAnsi="Helvetica" w:cs="Times New Roman"/>
          <w:sz w:val="20"/>
          <w:szCs w:val="20"/>
        </w:rPr>
        <w:t xml:space="preserve"> and laboratory culture, which may be due the different criteria used for determining predominant growth. F</w:t>
      </w:r>
      <w:r w:rsidR="009070B5">
        <w:rPr>
          <w:rFonts w:ascii="Helvetica" w:hAnsi="Helvetica" w:cs="Times New Roman"/>
          <w:sz w:val="20"/>
          <w:szCs w:val="20"/>
        </w:rPr>
        <w:t>urthermore</w:t>
      </w:r>
      <w:r w:rsidR="009070B5" w:rsidRPr="0091040C">
        <w:rPr>
          <w:rFonts w:ascii="Helvetica" w:hAnsi="Helvetica" w:cs="Times New Roman"/>
          <w:sz w:val="20"/>
          <w:szCs w:val="20"/>
        </w:rPr>
        <w:t>, Flexicult</w:t>
      </w:r>
      <w:r w:rsidR="009070B5" w:rsidRPr="0091040C">
        <w:rPr>
          <w:rFonts w:ascii="Helvetica" w:hAnsi="Helvetica" w:cs="Times New Roman"/>
          <w:sz w:val="20"/>
          <w:szCs w:val="20"/>
          <w:vertAlign w:val="superscript"/>
        </w:rPr>
        <w:t xml:space="preserve">TM </w:t>
      </w:r>
      <w:r w:rsidR="009070B5" w:rsidRPr="0091040C">
        <w:rPr>
          <w:rFonts w:ascii="Helvetica" w:hAnsi="Helvetica" w:cs="Times New Roman"/>
          <w:sz w:val="20"/>
          <w:szCs w:val="20"/>
        </w:rPr>
        <w:t>tended to overestimate antibiotic resistance, which could lead to GPs prescribing more broad spectrum antibiotics. However, the differences were not significant and prescribing a broad</w:t>
      </w:r>
      <w:r w:rsidR="00B22087">
        <w:rPr>
          <w:rFonts w:ascii="Helvetica" w:hAnsi="Helvetica" w:cs="Times New Roman"/>
          <w:sz w:val="20"/>
          <w:szCs w:val="20"/>
        </w:rPr>
        <w:t>-</w:t>
      </w:r>
      <w:r w:rsidR="009070B5" w:rsidRPr="0091040C">
        <w:rPr>
          <w:rFonts w:ascii="Helvetica" w:hAnsi="Helvetica" w:cs="Times New Roman"/>
          <w:sz w:val="20"/>
          <w:szCs w:val="20"/>
        </w:rPr>
        <w:t xml:space="preserve">spectrum antibiotic instead of a narrow spectrum antibiotic when organisms are resistant could benefit patients in the short term. However, over prescribing of broad spectrum antimicrobials is the most common cause of resistance development.  </w:t>
      </w:r>
      <w:r w:rsidR="009070B5">
        <w:rPr>
          <w:rFonts w:ascii="Helvetica" w:hAnsi="Helvetica" w:cs="Times New Roman"/>
          <w:sz w:val="20"/>
          <w:szCs w:val="20"/>
        </w:rPr>
        <w:t>Finally, d</w:t>
      </w:r>
      <w:r w:rsidR="009070B5" w:rsidRPr="0091040C">
        <w:rPr>
          <w:rFonts w:ascii="Helvetica" w:hAnsi="Helvetica" w:cs="Times New Roman"/>
          <w:sz w:val="20"/>
          <w:szCs w:val="20"/>
        </w:rPr>
        <w:t>iscrepancies between laboratory culture in five different laboratories may have contributed to the overall lack of concordance. Clinicians who interpreted Flexicult</w:t>
      </w:r>
      <w:r w:rsidR="009070B5" w:rsidRPr="0091040C">
        <w:rPr>
          <w:rFonts w:ascii="Helvetica" w:hAnsi="Helvetica" w:cs="Times New Roman"/>
          <w:sz w:val="20"/>
          <w:szCs w:val="20"/>
          <w:vertAlign w:val="superscript"/>
        </w:rPr>
        <w:t>TM</w:t>
      </w:r>
      <w:r w:rsidR="009070B5" w:rsidRPr="0091040C">
        <w:rPr>
          <w:rFonts w:ascii="Helvetica" w:hAnsi="Helvetica" w:cs="Times New Roman"/>
          <w:sz w:val="20"/>
          <w:szCs w:val="20"/>
        </w:rPr>
        <w:t xml:space="preserve"> plates would have had limited experience in doing so, and clinicians only had approximately an hour of training in Flexicult</w:t>
      </w:r>
      <w:r w:rsidR="009070B5" w:rsidRPr="0091040C">
        <w:rPr>
          <w:rFonts w:ascii="Helvetica" w:hAnsi="Helvetica" w:cs="Times New Roman"/>
          <w:sz w:val="20"/>
          <w:szCs w:val="20"/>
          <w:vertAlign w:val="superscript"/>
        </w:rPr>
        <w:t>TM</w:t>
      </w:r>
      <w:r w:rsidR="009070B5" w:rsidRPr="0091040C">
        <w:rPr>
          <w:rFonts w:ascii="Helvetica" w:hAnsi="Helvetica" w:cs="Times New Roman"/>
          <w:sz w:val="20"/>
          <w:szCs w:val="20"/>
        </w:rPr>
        <w:t xml:space="preserve"> interpretation</w:t>
      </w:r>
    </w:p>
    <w:p w14:paraId="5EFB133B" w14:textId="2354D80C" w:rsidR="009070B5" w:rsidRPr="00412B93" w:rsidRDefault="00502518" w:rsidP="009070B5">
      <w:pPr>
        <w:spacing w:line="480" w:lineRule="auto"/>
        <w:rPr>
          <w:rFonts w:ascii="Helvetica" w:hAnsi="Helvetica" w:cs="Times New Roman"/>
          <w:sz w:val="20"/>
          <w:szCs w:val="20"/>
        </w:rPr>
      </w:pPr>
      <w:r>
        <w:rPr>
          <w:rFonts w:ascii="Helvetica" w:hAnsi="Helvetica" w:cs="Times New Roman"/>
          <w:sz w:val="20"/>
          <w:szCs w:val="20"/>
        </w:rPr>
        <w:t>Conclusion and clinical implications</w:t>
      </w:r>
      <w:r w:rsidR="009070B5">
        <w:rPr>
          <w:rFonts w:ascii="Helvetica" w:hAnsi="Helvetica" w:cs="Times New Roman"/>
          <w:b/>
          <w:sz w:val="20"/>
          <w:szCs w:val="20"/>
        </w:rPr>
        <w:br/>
      </w:r>
      <w:r w:rsidR="009070B5" w:rsidRPr="0091040C">
        <w:rPr>
          <w:rFonts w:ascii="Helvetica" w:hAnsi="Helvetica" w:cs="Times New Roman"/>
          <w:sz w:val="20"/>
          <w:szCs w:val="20"/>
        </w:rPr>
        <w:t>Overall, our findings</w:t>
      </w:r>
      <w:r w:rsidR="009070B5" w:rsidRPr="0091040C">
        <w:rPr>
          <w:rFonts w:ascii="Helvetica" w:hAnsi="Helvetica" w:cs="Times New Roman"/>
          <w:sz w:val="20"/>
          <w:szCs w:val="20"/>
          <w:lang w:val="en-US"/>
        </w:rPr>
        <w:t xml:space="preserve"> suggest Flexicult</w:t>
      </w:r>
      <w:r w:rsidR="009070B5" w:rsidRPr="0091040C">
        <w:rPr>
          <w:rFonts w:ascii="Helvetica" w:hAnsi="Helvetica" w:cs="Times New Roman"/>
          <w:sz w:val="20"/>
          <w:szCs w:val="20"/>
          <w:vertAlign w:val="superscript"/>
          <w:lang w:val="en-US"/>
        </w:rPr>
        <w:t xml:space="preserve">TM </w:t>
      </w:r>
      <w:r w:rsidR="009070B5" w:rsidRPr="0091040C">
        <w:rPr>
          <w:rFonts w:ascii="Helvetica" w:hAnsi="Helvetica" w:cs="Times New Roman"/>
          <w:sz w:val="20"/>
          <w:szCs w:val="20"/>
          <w:lang w:val="en-US"/>
        </w:rPr>
        <w:t>used in the context for routine primary care, provides information that differs in important ways from laboratory culture especially regarding quantification. The value of Flexicult</w:t>
      </w:r>
      <w:r w:rsidR="009070B5" w:rsidRPr="0091040C">
        <w:rPr>
          <w:rFonts w:ascii="Helvetica" w:hAnsi="Helvetica" w:cs="Times New Roman"/>
          <w:sz w:val="20"/>
          <w:szCs w:val="20"/>
          <w:vertAlign w:val="superscript"/>
          <w:lang w:val="en-US"/>
        </w:rPr>
        <w:t>TM</w:t>
      </w:r>
      <w:r w:rsidR="009070B5" w:rsidRPr="0091040C">
        <w:rPr>
          <w:rFonts w:ascii="Helvetica" w:hAnsi="Helvetica" w:cs="Times New Roman"/>
          <w:sz w:val="20"/>
          <w:szCs w:val="20"/>
          <w:lang w:val="en-US"/>
        </w:rPr>
        <w:t xml:space="preserve"> in diagnosing UTI remains unclear, but we found reasonable evidence for its value in antibiotic susceptibility testing, and this could be used before prescribing antibiotics, for example in deciding on which antibiotic to use for either an immediate or delayed prescription once a decision has been made to consider antibiotics. Future studies </w:t>
      </w:r>
      <w:r w:rsidR="009070B5" w:rsidRPr="0091040C">
        <w:rPr>
          <w:rFonts w:ascii="Helvetica" w:hAnsi="Helvetica" w:cs="Times New Roman"/>
          <w:sz w:val="20"/>
          <w:szCs w:val="20"/>
        </w:rPr>
        <w:t xml:space="preserve">that correlate diagnostic test results (at various thresholds) with symptoms and response to treatment are urgently required in order to </w:t>
      </w:r>
      <w:r w:rsidR="009070B5" w:rsidRPr="0091040C">
        <w:rPr>
          <w:rFonts w:ascii="Helvetica" w:hAnsi="Helvetica" w:cs="Times New Roman"/>
          <w:sz w:val="20"/>
          <w:szCs w:val="20"/>
        </w:rPr>
        <w:lastRenderedPageBreak/>
        <w:t xml:space="preserve">determine </w:t>
      </w:r>
      <w:r w:rsidR="009070B5" w:rsidRPr="0091040C">
        <w:rPr>
          <w:rFonts w:ascii="Helvetica" w:hAnsi="Helvetica" w:cs="Times New Roman"/>
          <w:sz w:val="20"/>
          <w:szCs w:val="20"/>
          <w:lang w:val="en-US"/>
        </w:rPr>
        <w:t xml:space="preserve">both the most accurate criteria for defining a positive UTI </w:t>
      </w:r>
      <w:r w:rsidR="00552D91">
        <w:rPr>
          <w:rFonts w:ascii="Helvetica" w:hAnsi="Helvetica" w:cs="Times New Roman"/>
          <w:sz w:val="20"/>
          <w:szCs w:val="20"/>
          <w:lang w:val="en-US"/>
        </w:rPr>
        <w:t xml:space="preserve">on urine culture, </w:t>
      </w:r>
      <w:r w:rsidR="009070B5" w:rsidRPr="0091040C">
        <w:rPr>
          <w:rFonts w:ascii="Helvetica" w:hAnsi="Helvetica" w:cs="Times New Roman"/>
          <w:sz w:val="20"/>
          <w:szCs w:val="20"/>
          <w:lang w:val="en-US"/>
        </w:rPr>
        <w:t xml:space="preserve">and to determine whether near patient tests provide a more accurate guide to symptomatic benefit from antibiotic treatment. </w:t>
      </w:r>
    </w:p>
    <w:p w14:paraId="611DB9FD" w14:textId="77777777" w:rsidR="009070B5" w:rsidRPr="00F64918" w:rsidRDefault="009070B5" w:rsidP="001326DE">
      <w:pPr>
        <w:spacing w:line="480" w:lineRule="auto"/>
        <w:rPr>
          <w:rFonts w:ascii="Helvetica" w:hAnsi="Helvetica" w:cs="Times New Roman"/>
          <w:sz w:val="20"/>
          <w:szCs w:val="20"/>
          <w:lang w:val="en-US"/>
        </w:rPr>
      </w:pPr>
    </w:p>
    <w:p w14:paraId="4C750CE8" w14:textId="2323248B" w:rsidR="000C722A" w:rsidRPr="0091040C" w:rsidRDefault="00F4619C" w:rsidP="001326DE">
      <w:pPr>
        <w:spacing w:line="480" w:lineRule="auto"/>
        <w:rPr>
          <w:rFonts w:ascii="Helvetica" w:hAnsi="Helvetica" w:cs="Times New Roman"/>
          <w:sz w:val="20"/>
          <w:szCs w:val="20"/>
        </w:rPr>
      </w:pPr>
      <w:r w:rsidRPr="0091040C">
        <w:rPr>
          <w:rFonts w:ascii="Helvetica" w:hAnsi="Helvetica" w:cs="Times New Roman"/>
          <w:sz w:val="20"/>
          <w:szCs w:val="20"/>
        </w:rPr>
        <w:t xml:space="preserve">. </w:t>
      </w:r>
    </w:p>
    <w:p w14:paraId="2C2FA670" w14:textId="141D0B0B" w:rsidR="00497B38" w:rsidRPr="0091040C" w:rsidRDefault="00497B38" w:rsidP="00497B38">
      <w:pPr>
        <w:spacing w:line="480" w:lineRule="auto"/>
        <w:rPr>
          <w:rFonts w:ascii="Helvetica" w:hAnsi="Helvetica" w:cs="Times New Roman"/>
          <w:sz w:val="20"/>
          <w:szCs w:val="20"/>
          <w:lang w:val="en-US"/>
        </w:rPr>
      </w:pPr>
      <w:r w:rsidRPr="0091040C">
        <w:rPr>
          <w:rFonts w:ascii="Helvetica" w:hAnsi="Helvetica" w:cs="Times New Roman"/>
          <w:sz w:val="20"/>
          <w:szCs w:val="20"/>
        </w:rPr>
        <w:t xml:space="preserve">. </w:t>
      </w:r>
    </w:p>
    <w:p w14:paraId="107E6408" w14:textId="77777777" w:rsidR="009F728E" w:rsidRDefault="009F728E">
      <w:pPr>
        <w:rPr>
          <w:rFonts w:ascii="Helvetica" w:hAnsi="Helvetica" w:cs="Times New Roman"/>
          <w:b/>
          <w:sz w:val="20"/>
          <w:szCs w:val="20"/>
          <w:lang w:val="en-US"/>
        </w:rPr>
      </w:pPr>
    </w:p>
    <w:p w14:paraId="5BD0531B" w14:textId="77777777" w:rsidR="00F112E3" w:rsidRDefault="00F112E3">
      <w:pPr>
        <w:rPr>
          <w:rFonts w:ascii="Helvetica" w:hAnsi="Helvetica" w:cs="Times New Roman"/>
          <w:b/>
          <w:sz w:val="20"/>
          <w:szCs w:val="20"/>
          <w:lang w:val="en-US"/>
        </w:rPr>
      </w:pPr>
    </w:p>
    <w:p w14:paraId="62112898" w14:textId="77777777" w:rsidR="00F112E3" w:rsidRDefault="00F112E3">
      <w:pPr>
        <w:rPr>
          <w:rFonts w:ascii="Helvetica" w:hAnsi="Helvetica" w:cs="Times New Roman"/>
          <w:b/>
          <w:sz w:val="20"/>
          <w:szCs w:val="20"/>
          <w:lang w:val="en-US"/>
        </w:rPr>
      </w:pPr>
    </w:p>
    <w:p w14:paraId="474F3DBD" w14:textId="77777777" w:rsidR="00F112E3" w:rsidRDefault="00F112E3">
      <w:pPr>
        <w:rPr>
          <w:rFonts w:ascii="Helvetica" w:hAnsi="Helvetica" w:cs="Times New Roman"/>
          <w:b/>
          <w:sz w:val="20"/>
          <w:szCs w:val="20"/>
          <w:lang w:val="en-US"/>
        </w:rPr>
      </w:pPr>
    </w:p>
    <w:p w14:paraId="4600526D" w14:textId="77777777" w:rsidR="00090546" w:rsidRDefault="00090546">
      <w:pPr>
        <w:rPr>
          <w:rFonts w:ascii="Helvetica" w:hAnsi="Helvetica" w:cs="Times New Roman"/>
          <w:b/>
          <w:sz w:val="20"/>
          <w:szCs w:val="20"/>
          <w:lang w:val="en-US"/>
        </w:rPr>
      </w:pPr>
    </w:p>
    <w:p w14:paraId="1567067A" w14:textId="77777777" w:rsidR="00F112E3" w:rsidRDefault="00F112E3">
      <w:pPr>
        <w:rPr>
          <w:rFonts w:ascii="Helvetica" w:hAnsi="Helvetica" w:cs="Times New Roman"/>
          <w:b/>
          <w:sz w:val="20"/>
          <w:szCs w:val="20"/>
          <w:lang w:val="en-US"/>
        </w:rPr>
      </w:pPr>
    </w:p>
    <w:p w14:paraId="2C7038DC" w14:textId="77777777" w:rsidR="00F112E3" w:rsidRDefault="00F112E3">
      <w:pPr>
        <w:rPr>
          <w:rFonts w:ascii="Helvetica" w:hAnsi="Helvetica" w:cs="Times New Roman"/>
          <w:b/>
          <w:sz w:val="20"/>
          <w:szCs w:val="20"/>
          <w:lang w:val="en-US"/>
        </w:rPr>
      </w:pPr>
    </w:p>
    <w:p w14:paraId="68420EC9" w14:textId="77777777" w:rsidR="00F112E3" w:rsidRDefault="00F112E3">
      <w:pPr>
        <w:rPr>
          <w:rFonts w:ascii="Helvetica" w:hAnsi="Helvetica" w:cs="Times New Roman"/>
          <w:b/>
          <w:sz w:val="20"/>
          <w:szCs w:val="20"/>
          <w:lang w:val="en-US"/>
        </w:rPr>
      </w:pPr>
    </w:p>
    <w:p w14:paraId="493E1E12" w14:textId="77777777" w:rsidR="00F112E3" w:rsidRDefault="00F112E3">
      <w:pPr>
        <w:rPr>
          <w:rFonts w:ascii="Helvetica" w:hAnsi="Helvetica" w:cs="Times New Roman"/>
          <w:b/>
          <w:sz w:val="20"/>
          <w:szCs w:val="20"/>
          <w:lang w:val="en-US"/>
        </w:rPr>
      </w:pPr>
    </w:p>
    <w:p w14:paraId="6F146557" w14:textId="3739BFBB" w:rsidR="00F112E3" w:rsidRDefault="00F112E3">
      <w:pPr>
        <w:rPr>
          <w:rFonts w:ascii="Helvetica" w:hAnsi="Helvetica" w:cs="Times New Roman"/>
          <w:b/>
          <w:sz w:val="20"/>
          <w:szCs w:val="20"/>
          <w:lang w:val="en-US"/>
        </w:rPr>
      </w:pPr>
    </w:p>
    <w:p w14:paraId="3D7D392F" w14:textId="08078829" w:rsidR="0010738A" w:rsidRDefault="0010738A">
      <w:pPr>
        <w:rPr>
          <w:rFonts w:ascii="Helvetica" w:hAnsi="Helvetica" w:cs="Times New Roman"/>
          <w:b/>
          <w:sz w:val="20"/>
          <w:szCs w:val="20"/>
          <w:lang w:val="en-US"/>
        </w:rPr>
      </w:pPr>
    </w:p>
    <w:p w14:paraId="23FF3655" w14:textId="77777777" w:rsidR="0010738A" w:rsidRDefault="0010738A">
      <w:pPr>
        <w:rPr>
          <w:rFonts w:ascii="Helvetica" w:hAnsi="Helvetica" w:cs="Times New Roman"/>
          <w:b/>
          <w:sz w:val="20"/>
          <w:szCs w:val="20"/>
          <w:lang w:val="en-US"/>
        </w:rPr>
      </w:pPr>
    </w:p>
    <w:p w14:paraId="7C809B69" w14:textId="77777777" w:rsidR="00F112E3" w:rsidRDefault="00F112E3">
      <w:pPr>
        <w:rPr>
          <w:rFonts w:ascii="Helvetica" w:hAnsi="Helvetica" w:cs="Times New Roman"/>
          <w:b/>
          <w:sz w:val="20"/>
          <w:szCs w:val="20"/>
          <w:lang w:val="en-US"/>
        </w:rPr>
      </w:pPr>
    </w:p>
    <w:p w14:paraId="6CD6FF0E" w14:textId="77777777" w:rsidR="00F112E3" w:rsidRDefault="00F112E3">
      <w:pPr>
        <w:rPr>
          <w:rFonts w:ascii="Helvetica" w:hAnsi="Helvetica" w:cs="Times New Roman"/>
          <w:b/>
          <w:sz w:val="20"/>
          <w:szCs w:val="20"/>
          <w:lang w:val="en-US"/>
        </w:rPr>
      </w:pPr>
    </w:p>
    <w:p w14:paraId="359D0966" w14:textId="77777777" w:rsidR="00874321" w:rsidRDefault="00874321">
      <w:pPr>
        <w:rPr>
          <w:rFonts w:ascii="Helvetica" w:hAnsi="Helvetica" w:cs="Times New Roman"/>
          <w:b/>
          <w:sz w:val="20"/>
          <w:szCs w:val="20"/>
          <w:lang w:val="en-US"/>
        </w:rPr>
      </w:pPr>
    </w:p>
    <w:p w14:paraId="647E61F9" w14:textId="77777777" w:rsidR="00874321" w:rsidRDefault="00874321">
      <w:pPr>
        <w:rPr>
          <w:rFonts w:ascii="Helvetica" w:hAnsi="Helvetica" w:cs="Times New Roman"/>
          <w:b/>
          <w:sz w:val="20"/>
          <w:szCs w:val="20"/>
          <w:lang w:val="en-US"/>
        </w:rPr>
      </w:pPr>
    </w:p>
    <w:p w14:paraId="5824E003" w14:textId="77777777" w:rsidR="00A91520" w:rsidRDefault="00A91520">
      <w:pPr>
        <w:rPr>
          <w:rFonts w:ascii="Helvetica" w:hAnsi="Helvetica" w:cs="Times New Roman"/>
          <w:b/>
          <w:sz w:val="20"/>
          <w:szCs w:val="20"/>
          <w:lang w:val="en-US"/>
        </w:rPr>
      </w:pPr>
    </w:p>
    <w:p w14:paraId="19B2BB51" w14:textId="77777777" w:rsidR="00A91520" w:rsidRDefault="00A91520">
      <w:pPr>
        <w:rPr>
          <w:rFonts w:ascii="Helvetica" w:hAnsi="Helvetica" w:cs="Times New Roman"/>
          <w:b/>
          <w:sz w:val="20"/>
          <w:szCs w:val="20"/>
          <w:lang w:val="en-US"/>
        </w:rPr>
      </w:pPr>
    </w:p>
    <w:p w14:paraId="6E25F688" w14:textId="77777777" w:rsidR="000E7B1B" w:rsidRDefault="000E7B1B">
      <w:pPr>
        <w:rPr>
          <w:rFonts w:ascii="Helvetica" w:hAnsi="Helvetica" w:cs="Times New Roman"/>
          <w:b/>
          <w:sz w:val="20"/>
          <w:szCs w:val="20"/>
          <w:lang w:val="en-US"/>
        </w:rPr>
      </w:pPr>
    </w:p>
    <w:p w14:paraId="78C8DF4D" w14:textId="77777777" w:rsidR="00A91520" w:rsidRDefault="00A91520">
      <w:pPr>
        <w:rPr>
          <w:rFonts w:ascii="Helvetica" w:hAnsi="Helvetica" w:cs="Times New Roman"/>
          <w:b/>
          <w:sz w:val="20"/>
          <w:szCs w:val="20"/>
          <w:lang w:val="en-US"/>
        </w:rPr>
      </w:pPr>
    </w:p>
    <w:p w14:paraId="5F817814" w14:textId="77777777" w:rsidR="00874321" w:rsidRDefault="00874321">
      <w:pPr>
        <w:rPr>
          <w:rFonts w:ascii="Helvetica" w:hAnsi="Helvetica" w:cs="Times New Roman"/>
          <w:b/>
          <w:sz w:val="20"/>
          <w:szCs w:val="20"/>
          <w:lang w:val="en-US"/>
        </w:rPr>
      </w:pPr>
    </w:p>
    <w:p w14:paraId="0F03BC4B" w14:textId="3D440E10" w:rsidR="00116427" w:rsidRPr="00744462" w:rsidRDefault="00116427">
      <w:pPr>
        <w:rPr>
          <w:rFonts w:ascii="Helvetica" w:hAnsi="Helvetica" w:cs="Times New Roman"/>
          <w:color w:val="000000"/>
          <w:sz w:val="20"/>
          <w:szCs w:val="20"/>
          <w:shd w:val="clear" w:color="auto" w:fill="FFFFFF"/>
        </w:rPr>
      </w:pPr>
      <w:r w:rsidRPr="00744462">
        <w:rPr>
          <w:rFonts w:ascii="Helvetica" w:hAnsi="Helvetica" w:cs="Times New Roman"/>
          <w:b/>
          <w:color w:val="000000"/>
          <w:sz w:val="20"/>
          <w:szCs w:val="20"/>
          <w:shd w:val="clear" w:color="auto" w:fill="FFFFFF"/>
        </w:rPr>
        <w:lastRenderedPageBreak/>
        <w:t>Supplementary material</w:t>
      </w:r>
      <w:r w:rsidRPr="00744462">
        <w:rPr>
          <w:rFonts w:ascii="Helvetica" w:hAnsi="Helvetica" w:cs="Times New Roman"/>
          <w:b/>
          <w:color w:val="000000"/>
          <w:sz w:val="20"/>
          <w:szCs w:val="20"/>
          <w:shd w:val="clear" w:color="auto" w:fill="FFFFFF"/>
        </w:rPr>
        <w:br/>
      </w:r>
      <w:r w:rsidR="00D022B0">
        <w:rPr>
          <w:rFonts w:ascii="Helvetica" w:hAnsi="Helvetica" w:cs="Times New Roman"/>
          <w:color w:val="000000"/>
          <w:sz w:val="20"/>
          <w:szCs w:val="20"/>
          <w:shd w:val="clear" w:color="auto" w:fill="FFFFFF"/>
        </w:rPr>
        <w:t xml:space="preserve">Supplementary </w:t>
      </w:r>
      <w:r w:rsidR="00F112E3">
        <w:rPr>
          <w:rFonts w:ascii="Helvetica" w:hAnsi="Helvetica" w:cs="Times New Roman"/>
          <w:color w:val="000000"/>
          <w:sz w:val="20"/>
          <w:szCs w:val="20"/>
          <w:shd w:val="clear" w:color="auto" w:fill="FFFFFF"/>
        </w:rPr>
        <w:t xml:space="preserve">Table </w:t>
      </w:r>
      <w:r w:rsidR="00D022B0">
        <w:rPr>
          <w:rFonts w:ascii="Helvetica" w:hAnsi="Helvetica" w:cs="Times New Roman"/>
          <w:color w:val="000000"/>
          <w:sz w:val="20"/>
          <w:szCs w:val="20"/>
          <w:shd w:val="clear" w:color="auto" w:fill="FFFFFF"/>
        </w:rPr>
        <w:t>S1</w:t>
      </w:r>
    </w:p>
    <w:p w14:paraId="1D5B34A2" w14:textId="3EDC8624" w:rsidR="00BA7D02" w:rsidRPr="00744462" w:rsidRDefault="00BA7D02">
      <w:pPr>
        <w:rPr>
          <w:rFonts w:ascii="Helvetica" w:hAnsi="Helvetica" w:cs="Times New Roman"/>
          <w:b/>
          <w:color w:val="000000"/>
          <w:sz w:val="20"/>
          <w:szCs w:val="20"/>
          <w:shd w:val="clear" w:color="auto" w:fill="FFFFFF"/>
        </w:rPr>
      </w:pPr>
      <w:r w:rsidRPr="00744462">
        <w:rPr>
          <w:rFonts w:ascii="Helvetica" w:hAnsi="Helvetica" w:cs="Times New Roman"/>
          <w:b/>
          <w:color w:val="000000"/>
          <w:sz w:val="20"/>
          <w:szCs w:val="20"/>
          <w:shd w:val="clear" w:color="auto" w:fill="FFFFFF"/>
        </w:rPr>
        <w:t>Author contribution</w:t>
      </w:r>
      <w:r w:rsidR="005642C4" w:rsidRPr="00744462">
        <w:rPr>
          <w:rFonts w:ascii="Helvetica" w:hAnsi="Helvetica" w:cs="Times New Roman"/>
          <w:b/>
          <w:color w:val="000000"/>
          <w:sz w:val="20"/>
          <w:szCs w:val="20"/>
          <w:shd w:val="clear" w:color="auto" w:fill="FFFFFF"/>
        </w:rPr>
        <w:br/>
      </w:r>
      <w:r w:rsidR="00116427" w:rsidRPr="00744462">
        <w:rPr>
          <w:rFonts w:ascii="Helvetica" w:hAnsi="Helvetica" w:cs="Times New Roman"/>
          <w:color w:val="000000"/>
          <w:sz w:val="20"/>
          <w:szCs w:val="20"/>
          <w:shd w:val="clear" w:color="auto" w:fill="FFFFFF"/>
        </w:rPr>
        <w:t>CCB led the funding application</w:t>
      </w:r>
      <w:r w:rsidR="009B2A1E" w:rsidRPr="00744462">
        <w:rPr>
          <w:rFonts w:ascii="Helvetica" w:hAnsi="Helvetica" w:cs="Times New Roman"/>
          <w:color w:val="000000"/>
          <w:sz w:val="20"/>
          <w:szCs w:val="20"/>
          <w:shd w:val="clear" w:color="auto" w:fill="FFFFFF"/>
        </w:rPr>
        <w:t xml:space="preserve">, study design and </w:t>
      </w:r>
      <w:r w:rsidR="0059269B">
        <w:rPr>
          <w:rFonts w:ascii="Helvetica" w:hAnsi="Helvetica" w:cs="Times New Roman"/>
          <w:color w:val="000000"/>
          <w:sz w:val="20"/>
          <w:szCs w:val="20"/>
          <w:shd w:val="clear" w:color="auto" w:fill="FFFFFF"/>
        </w:rPr>
        <w:t xml:space="preserve">study </w:t>
      </w:r>
      <w:r w:rsidR="009B2A1E" w:rsidRPr="00744462">
        <w:rPr>
          <w:rFonts w:ascii="Helvetica" w:hAnsi="Helvetica" w:cs="Times New Roman"/>
          <w:color w:val="000000"/>
          <w:sz w:val="20"/>
          <w:szCs w:val="20"/>
          <w:shd w:val="clear" w:color="auto" w:fill="FFFFFF"/>
        </w:rPr>
        <w:t xml:space="preserve">implementation. </w:t>
      </w:r>
      <w:r w:rsidR="00116427" w:rsidRPr="00744462">
        <w:rPr>
          <w:rFonts w:ascii="Helvetica" w:hAnsi="Helvetica" w:cs="Times New Roman"/>
          <w:color w:val="000000"/>
          <w:sz w:val="20"/>
          <w:szCs w:val="20"/>
          <w:shd w:val="clear" w:color="auto" w:fill="FFFFFF"/>
        </w:rPr>
        <w:t xml:space="preserve">SH and CCB led the drafting of this manuscript and all authors contributed to the </w:t>
      </w:r>
      <w:r w:rsidR="00565681" w:rsidRPr="00744462">
        <w:rPr>
          <w:rFonts w:ascii="Helvetica" w:hAnsi="Helvetica" w:cs="Times New Roman"/>
          <w:color w:val="000000"/>
          <w:sz w:val="20"/>
          <w:szCs w:val="20"/>
          <w:shd w:val="clear" w:color="auto" w:fill="FFFFFF"/>
        </w:rPr>
        <w:t>analysis and interpretation of the findings</w:t>
      </w:r>
      <w:r w:rsidR="00762F8D" w:rsidRPr="00744462">
        <w:rPr>
          <w:rFonts w:ascii="Helvetica" w:hAnsi="Helvetica" w:cs="Times New Roman"/>
          <w:color w:val="000000"/>
          <w:sz w:val="20"/>
          <w:szCs w:val="20"/>
          <w:shd w:val="clear" w:color="auto" w:fill="FFFFFF"/>
        </w:rPr>
        <w:t>, and to the drafting of the final paper</w:t>
      </w:r>
      <w:r w:rsidR="00565681" w:rsidRPr="00744462">
        <w:rPr>
          <w:rFonts w:ascii="Helvetica" w:hAnsi="Helvetica" w:cs="Times New Roman"/>
          <w:color w:val="000000"/>
          <w:sz w:val="20"/>
          <w:szCs w:val="20"/>
          <w:shd w:val="clear" w:color="auto" w:fill="FFFFFF"/>
        </w:rPr>
        <w:t xml:space="preserve">. </w:t>
      </w:r>
    </w:p>
    <w:p w14:paraId="4EFEE4D8" w14:textId="77777777" w:rsidR="00BA7D02" w:rsidRPr="00744462" w:rsidRDefault="00BA7D02">
      <w:pPr>
        <w:rPr>
          <w:rFonts w:ascii="Helvetica" w:hAnsi="Helvetica" w:cs="Times New Roman"/>
          <w:b/>
          <w:color w:val="000000"/>
          <w:sz w:val="20"/>
          <w:szCs w:val="20"/>
        </w:rPr>
      </w:pPr>
      <w:r w:rsidRPr="00744462">
        <w:rPr>
          <w:rFonts w:ascii="Helvetica" w:hAnsi="Helvetica" w:cs="Times New Roman"/>
          <w:b/>
          <w:color w:val="000000"/>
          <w:sz w:val="20"/>
          <w:szCs w:val="20"/>
        </w:rPr>
        <w:t>Declaration</w:t>
      </w:r>
      <w:r w:rsidRPr="00744462">
        <w:rPr>
          <w:rFonts w:ascii="Helvetica" w:hAnsi="Helvetica" w:cs="Times New Roman"/>
          <w:b/>
          <w:color w:val="000000"/>
          <w:sz w:val="20"/>
          <w:szCs w:val="20"/>
        </w:rPr>
        <w:br/>
      </w:r>
      <w:r w:rsidRPr="00744462">
        <w:rPr>
          <w:rFonts w:ascii="Helvetica" w:hAnsi="Helvetica" w:cs="Times New Roman"/>
          <w:color w:val="000000"/>
          <w:sz w:val="20"/>
          <w:szCs w:val="20"/>
        </w:rPr>
        <w:t>Funding: European Community’s Se</w:t>
      </w:r>
      <w:r w:rsidR="00EF444C" w:rsidRPr="00744462">
        <w:rPr>
          <w:rFonts w:ascii="Helvetica" w:hAnsi="Helvetica" w:cs="Times New Roman"/>
          <w:color w:val="000000"/>
          <w:sz w:val="20"/>
          <w:szCs w:val="20"/>
        </w:rPr>
        <w:t>venth Framework Programme and R</w:t>
      </w:r>
      <w:r w:rsidRPr="00744462">
        <w:rPr>
          <w:rFonts w:ascii="Helvetica" w:hAnsi="Helvetica" w:cs="Times New Roman"/>
          <w:color w:val="000000"/>
          <w:sz w:val="20"/>
          <w:szCs w:val="20"/>
        </w:rPr>
        <w:t>-</w:t>
      </w:r>
      <w:r w:rsidR="00EF444C" w:rsidRPr="00744462">
        <w:rPr>
          <w:rFonts w:ascii="Helvetica" w:hAnsi="Helvetica" w:cs="Times New Roman"/>
          <w:color w:val="000000"/>
          <w:sz w:val="20"/>
          <w:szCs w:val="20"/>
        </w:rPr>
        <w:t>G</w:t>
      </w:r>
      <w:r w:rsidRPr="00744462">
        <w:rPr>
          <w:rFonts w:ascii="Helvetica" w:hAnsi="Helvetica" w:cs="Times New Roman"/>
          <w:color w:val="000000"/>
          <w:sz w:val="20"/>
          <w:szCs w:val="20"/>
        </w:rPr>
        <w:t>NOSIS consortium.</w:t>
      </w:r>
      <w:r w:rsidRPr="00744462">
        <w:rPr>
          <w:rFonts w:ascii="Helvetica" w:hAnsi="Helvetica" w:cs="Times New Roman"/>
          <w:color w:val="000000"/>
          <w:sz w:val="20"/>
          <w:szCs w:val="20"/>
        </w:rPr>
        <w:br/>
        <w:t>Ethical approval:</w:t>
      </w:r>
      <w:r w:rsidR="00116427" w:rsidRPr="00744462">
        <w:rPr>
          <w:rFonts w:ascii="Helvetica" w:hAnsi="Helvetica" w:cs="Times New Roman"/>
          <w:color w:val="000000"/>
          <w:sz w:val="20"/>
          <w:szCs w:val="20"/>
        </w:rPr>
        <w:t xml:space="preserve"> The trial was approved by the Research Ethics Committee for Wales recognised by the United Kingdom Ethics Committee Authority and also approved by the relevant local Governance Committees in the Netherlands and Spain</w:t>
      </w:r>
      <w:r w:rsidRPr="00744462">
        <w:rPr>
          <w:rFonts w:ascii="Helvetica" w:hAnsi="Helvetica" w:cs="Times New Roman"/>
          <w:color w:val="000000"/>
          <w:sz w:val="20"/>
          <w:szCs w:val="20"/>
        </w:rPr>
        <w:br/>
        <w:t>Conflict of interest: The authors declare that they have no competing interests</w:t>
      </w:r>
      <w:r w:rsidR="005642C4" w:rsidRPr="00744462">
        <w:rPr>
          <w:rFonts w:ascii="Helvetica" w:hAnsi="Helvetica" w:cs="Times New Roman"/>
          <w:b/>
          <w:color w:val="000000"/>
          <w:sz w:val="20"/>
          <w:szCs w:val="20"/>
        </w:rPr>
        <w:t>.</w:t>
      </w:r>
    </w:p>
    <w:p w14:paraId="239E22F0" w14:textId="77777777" w:rsidR="0011568D" w:rsidRPr="0091040C" w:rsidRDefault="0011568D" w:rsidP="00F112E3">
      <w:pPr>
        <w:tabs>
          <w:tab w:val="left" w:pos="960"/>
        </w:tabs>
        <w:rPr>
          <w:rFonts w:ascii="Helvetica" w:hAnsi="Helvetica" w:cs="Times New Roman"/>
          <w:b/>
          <w:sz w:val="20"/>
          <w:szCs w:val="20"/>
        </w:rPr>
      </w:pPr>
      <w:r w:rsidRPr="0091040C">
        <w:rPr>
          <w:rFonts w:ascii="Helvetica" w:hAnsi="Helvetica" w:cs="Times New Roman"/>
          <w:b/>
          <w:sz w:val="20"/>
          <w:szCs w:val="20"/>
        </w:rPr>
        <w:br w:type="page"/>
      </w:r>
      <w:r w:rsidR="00F112E3">
        <w:rPr>
          <w:rFonts w:ascii="Helvetica" w:hAnsi="Helvetica" w:cs="Times New Roman"/>
          <w:b/>
          <w:sz w:val="20"/>
          <w:szCs w:val="20"/>
        </w:rPr>
        <w:lastRenderedPageBreak/>
        <w:tab/>
      </w:r>
    </w:p>
    <w:p w14:paraId="04AF1D52" w14:textId="77777777" w:rsidR="00C76E34" w:rsidRPr="0091040C" w:rsidRDefault="00C76E34" w:rsidP="00C76E34">
      <w:pPr>
        <w:widowControl w:val="0"/>
        <w:autoSpaceDE w:val="0"/>
        <w:autoSpaceDN w:val="0"/>
        <w:adjustRightInd w:val="0"/>
        <w:spacing w:line="240" w:lineRule="auto"/>
        <w:ind w:left="640" w:hanging="640"/>
        <w:rPr>
          <w:rFonts w:ascii="Helvetica" w:hAnsi="Helvetica" w:cs="Times New Roman"/>
          <w:b/>
          <w:sz w:val="20"/>
          <w:szCs w:val="20"/>
        </w:rPr>
      </w:pPr>
      <w:r w:rsidRPr="0091040C">
        <w:rPr>
          <w:rFonts w:ascii="Helvetica" w:hAnsi="Helvetica" w:cs="Times New Roman"/>
          <w:b/>
          <w:sz w:val="20"/>
          <w:szCs w:val="20"/>
        </w:rPr>
        <w:t>References</w:t>
      </w:r>
    </w:p>
    <w:p w14:paraId="65563E50" w14:textId="2AE8A420" w:rsidR="00862CC3" w:rsidRPr="00DA7AAA" w:rsidRDefault="00C76E34" w:rsidP="00862CC3">
      <w:pPr>
        <w:widowControl w:val="0"/>
        <w:autoSpaceDE w:val="0"/>
        <w:autoSpaceDN w:val="0"/>
        <w:adjustRightInd w:val="0"/>
        <w:spacing w:before="100" w:after="100" w:line="240" w:lineRule="auto"/>
        <w:ind w:left="640" w:hanging="640"/>
        <w:rPr>
          <w:rFonts w:ascii="Helvetica" w:eastAsia="Times New Roman" w:hAnsi="Helvetica" w:cs="Times New Roman"/>
          <w:noProof/>
          <w:sz w:val="20"/>
          <w:lang w:val="en-US"/>
        </w:rPr>
      </w:pPr>
      <w:r w:rsidRPr="0091040C">
        <w:rPr>
          <w:rFonts w:ascii="Helvetica" w:eastAsia="MS Mincho" w:hAnsi="Helvetica"/>
          <w:sz w:val="20"/>
          <w:szCs w:val="20"/>
          <w:lang w:val="nl-NL" w:eastAsia="nl-NL"/>
        </w:rPr>
        <w:fldChar w:fldCharType="begin" w:fldLock="1"/>
      </w:r>
      <w:r w:rsidRPr="0091040C">
        <w:rPr>
          <w:rFonts w:ascii="Helvetica" w:hAnsi="Helvetica"/>
          <w:sz w:val="20"/>
          <w:szCs w:val="20"/>
        </w:rPr>
        <w:instrText xml:space="preserve">ADDIN Mendeley Bibliography CSL_BIBLIOGRAPHY </w:instrText>
      </w:r>
      <w:r w:rsidRPr="0091040C">
        <w:rPr>
          <w:rFonts w:ascii="Helvetica" w:eastAsia="MS Mincho" w:hAnsi="Helvetica"/>
          <w:sz w:val="20"/>
          <w:szCs w:val="20"/>
          <w:lang w:val="nl-NL" w:eastAsia="nl-NL"/>
        </w:rPr>
        <w:fldChar w:fldCharType="separate"/>
      </w:r>
      <w:r w:rsidR="00862CC3" w:rsidRPr="00862CC3">
        <w:rPr>
          <w:rFonts w:ascii="Helvetica" w:eastAsia="Times New Roman" w:hAnsi="Helvetica" w:cs="Times New Roman"/>
          <w:noProof/>
          <w:sz w:val="20"/>
        </w:rPr>
        <w:t xml:space="preserve">1. </w:t>
      </w:r>
      <w:r w:rsidR="00862CC3" w:rsidRPr="00862CC3">
        <w:rPr>
          <w:rFonts w:ascii="Helvetica" w:eastAsia="Times New Roman" w:hAnsi="Helvetica" w:cs="Times New Roman"/>
          <w:noProof/>
          <w:sz w:val="20"/>
        </w:rPr>
        <w:tab/>
        <w:t xml:space="preserve">C.C. B, M.K.D. H, A. Q, C.A.M. M. Incidence, severity, help seeking, and management of uncomplicated urinary tract infection: A population-based survey. </w:t>
      </w:r>
      <w:r w:rsidR="00862CC3" w:rsidRPr="00514AD8">
        <w:rPr>
          <w:rFonts w:ascii="Helvetica" w:eastAsia="Times New Roman" w:hAnsi="Helvetica" w:cs="Times New Roman"/>
          <w:i/>
          <w:iCs/>
          <w:noProof/>
          <w:sz w:val="20"/>
          <w:lang w:val="nl-NL"/>
        </w:rPr>
        <w:t>Br J Gen Pract</w:t>
      </w:r>
      <w:r w:rsidR="00862CC3" w:rsidRPr="00514AD8">
        <w:rPr>
          <w:rFonts w:ascii="Helvetica" w:eastAsia="Times New Roman" w:hAnsi="Helvetica" w:cs="Times New Roman"/>
          <w:noProof/>
          <w:sz w:val="20"/>
          <w:lang w:val="nl-NL"/>
        </w:rPr>
        <w:t xml:space="preserve">. </w:t>
      </w:r>
      <w:r w:rsidR="00862CC3" w:rsidRPr="00DA7AAA">
        <w:rPr>
          <w:rFonts w:ascii="Helvetica" w:eastAsia="Times New Roman" w:hAnsi="Helvetica" w:cs="Times New Roman"/>
          <w:noProof/>
          <w:sz w:val="20"/>
          <w:lang w:val="en-US"/>
        </w:rPr>
        <w:t>2015;65(639):e702-e707. http://www.embase.com/search/results?subaction=viewrecord&amp;from=export&amp;id=L606298309.</w:t>
      </w:r>
      <w:r w:rsidR="00DA7AAA" w:rsidRPr="00DA7AAA">
        <w:rPr>
          <w:rFonts w:ascii="Helvetica" w:eastAsia="Times New Roman" w:hAnsi="Helvetica" w:cs="Times New Roman"/>
          <w:noProof/>
          <w:sz w:val="20"/>
          <w:lang w:val="en-US"/>
        </w:rPr>
        <w:t xml:space="preserve"> Accesses January 11,2016.</w:t>
      </w:r>
    </w:p>
    <w:p w14:paraId="38A17867" w14:textId="77777777" w:rsidR="00862CC3" w:rsidRPr="00862CC3" w:rsidRDefault="00862CC3" w:rsidP="00862CC3">
      <w:pPr>
        <w:widowControl w:val="0"/>
        <w:autoSpaceDE w:val="0"/>
        <w:autoSpaceDN w:val="0"/>
        <w:adjustRightInd w:val="0"/>
        <w:spacing w:before="100" w:after="100" w:line="240" w:lineRule="auto"/>
        <w:ind w:left="640" w:hanging="640"/>
        <w:rPr>
          <w:rFonts w:ascii="Helvetica" w:eastAsia="Times New Roman" w:hAnsi="Helvetica" w:cs="Times New Roman"/>
          <w:noProof/>
          <w:sz w:val="20"/>
        </w:rPr>
      </w:pPr>
      <w:r w:rsidRPr="00862CC3">
        <w:rPr>
          <w:rFonts w:ascii="Helvetica" w:eastAsia="Times New Roman" w:hAnsi="Helvetica" w:cs="Times New Roman"/>
          <w:noProof/>
          <w:sz w:val="20"/>
        </w:rPr>
        <w:t xml:space="preserve">2. </w:t>
      </w:r>
      <w:r w:rsidRPr="00862CC3">
        <w:rPr>
          <w:rFonts w:ascii="Helvetica" w:eastAsia="Times New Roman" w:hAnsi="Helvetica" w:cs="Times New Roman"/>
          <w:noProof/>
          <w:sz w:val="20"/>
        </w:rPr>
        <w:tab/>
        <w:t xml:space="preserve">Salvatore S, Salvatore S, Cattoni E, et al. Urinary tract infections in women. </w:t>
      </w:r>
      <w:r w:rsidRPr="00862CC3">
        <w:rPr>
          <w:rFonts w:ascii="Helvetica" w:eastAsia="Times New Roman" w:hAnsi="Helvetica" w:cs="Times New Roman"/>
          <w:i/>
          <w:iCs/>
          <w:noProof/>
          <w:sz w:val="20"/>
        </w:rPr>
        <w:t>Eur J Obstet Gynecol Reprod Biol</w:t>
      </w:r>
      <w:r w:rsidRPr="00862CC3">
        <w:rPr>
          <w:rFonts w:ascii="Helvetica" w:eastAsia="Times New Roman" w:hAnsi="Helvetica" w:cs="Times New Roman"/>
          <w:noProof/>
          <w:sz w:val="20"/>
        </w:rPr>
        <w:t>. 2011;156(2):131-136. doi:10.1016/j.ejogrb.2011.01.028.</w:t>
      </w:r>
    </w:p>
    <w:p w14:paraId="2594CC21" w14:textId="77777777" w:rsidR="00862CC3" w:rsidRPr="00862CC3" w:rsidRDefault="00862CC3" w:rsidP="00862CC3">
      <w:pPr>
        <w:widowControl w:val="0"/>
        <w:autoSpaceDE w:val="0"/>
        <w:autoSpaceDN w:val="0"/>
        <w:adjustRightInd w:val="0"/>
        <w:spacing w:before="100" w:after="100" w:line="240" w:lineRule="auto"/>
        <w:ind w:left="640" w:hanging="640"/>
        <w:rPr>
          <w:rFonts w:ascii="Helvetica" w:eastAsia="Times New Roman" w:hAnsi="Helvetica" w:cs="Times New Roman"/>
          <w:noProof/>
          <w:sz w:val="20"/>
        </w:rPr>
      </w:pPr>
      <w:r w:rsidRPr="00862CC3">
        <w:rPr>
          <w:rFonts w:ascii="Helvetica" w:eastAsia="Times New Roman" w:hAnsi="Helvetica" w:cs="Times New Roman"/>
          <w:noProof/>
          <w:sz w:val="20"/>
        </w:rPr>
        <w:t xml:space="preserve">3. </w:t>
      </w:r>
      <w:r w:rsidRPr="00862CC3">
        <w:rPr>
          <w:rFonts w:ascii="Helvetica" w:eastAsia="Times New Roman" w:hAnsi="Helvetica" w:cs="Times New Roman"/>
          <w:noProof/>
          <w:sz w:val="20"/>
        </w:rPr>
        <w:tab/>
        <w:t xml:space="preserve">Ellis AK, Verma S. Quality of life in women with urinary tract infections: is benign disease a misnomer? </w:t>
      </w:r>
      <w:r w:rsidRPr="00862CC3">
        <w:rPr>
          <w:rFonts w:ascii="Helvetica" w:eastAsia="Times New Roman" w:hAnsi="Helvetica" w:cs="Times New Roman"/>
          <w:i/>
          <w:iCs/>
          <w:noProof/>
          <w:sz w:val="20"/>
        </w:rPr>
        <w:t>J Am Board Fam Pract</w:t>
      </w:r>
      <w:r w:rsidRPr="00862CC3">
        <w:rPr>
          <w:rFonts w:ascii="Helvetica" w:eastAsia="Times New Roman" w:hAnsi="Helvetica" w:cs="Times New Roman"/>
          <w:noProof/>
          <w:sz w:val="20"/>
        </w:rPr>
        <w:t>. 13(6):392-397. http://www.ncbi.nlm.nih.gov/pubmed/11117334. Accessed January 11, 2016.</w:t>
      </w:r>
    </w:p>
    <w:p w14:paraId="5867D71E" w14:textId="3F603411" w:rsidR="00862CC3" w:rsidRPr="00514AD8" w:rsidRDefault="00862CC3" w:rsidP="00862CC3">
      <w:pPr>
        <w:widowControl w:val="0"/>
        <w:autoSpaceDE w:val="0"/>
        <w:autoSpaceDN w:val="0"/>
        <w:adjustRightInd w:val="0"/>
        <w:spacing w:before="100" w:after="100" w:line="240" w:lineRule="auto"/>
        <w:ind w:left="640" w:hanging="640"/>
        <w:rPr>
          <w:rFonts w:ascii="Helvetica" w:eastAsia="Times New Roman" w:hAnsi="Helvetica" w:cs="Times New Roman"/>
          <w:noProof/>
          <w:sz w:val="20"/>
          <w:lang w:val="nl-NL"/>
        </w:rPr>
      </w:pPr>
      <w:r w:rsidRPr="00862CC3">
        <w:rPr>
          <w:rFonts w:ascii="Helvetica" w:eastAsia="Times New Roman" w:hAnsi="Helvetica" w:cs="Times New Roman"/>
          <w:noProof/>
          <w:sz w:val="20"/>
        </w:rPr>
        <w:t xml:space="preserve">4. </w:t>
      </w:r>
      <w:r w:rsidRPr="00862CC3">
        <w:rPr>
          <w:rFonts w:ascii="Helvetica" w:eastAsia="Times New Roman" w:hAnsi="Helvetica" w:cs="Times New Roman"/>
          <w:noProof/>
          <w:sz w:val="20"/>
        </w:rPr>
        <w:tab/>
        <w:t xml:space="preserve">B. VP, S.M. VV, Tj. W, A.N. G. Summary of the practice guideline “Urinary-tract infections” (second revision) from the Dutch College of General Practitioners. </w:t>
      </w:r>
      <w:r w:rsidRPr="00514AD8">
        <w:rPr>
          <w:rFonts w:ascii="Helvetica" w:eastAsia="Times New Roman" w:hAnsi="Helvetica" w:cs="Times New Roman"/>
          <w:i/>
          <w:iCs/>
          <w:noProof/>
          <w:sz w:val="20"/>
          <w:lang w:val="nl-NL"/>
        </w:rPr>
        <w:t>Ned Tijdschr Geneeskd</w:t>
      </w:r>
      <w:r w:rsidRPr="00514AD8">
        <w:rPr>
          <w:rFonts w:ascii="Helvetica" w:eastAsia="Times New Roman" w:hAnsi="Helvetica" w:cs="Times New Roman"/>
          <w:noProof/>
          <w:sz w:val="20"/>
          <w:lang w:val="nl-NL"/>
        </w:rPr>
        <w:t>. 2006;150(13):718-722. http://www.embase.com/search/results?subaction=viewrecord&amp;from=export&amp;id=L43531892.</w:t>
      </w:r>
      <w:r w:rsidR="00DA7AAA">
        <w:rPr>
          <w:rFonts w:ascii="Helvetica" w:eastAsia="Times New Roman" w:hAnsi="Helvetica" w:cs="Times New Roman"/>
          <w:noProof/>
          <w:sz w:val="20"/>
          <w:lang w:val="nl-NL"/>
        </w:rPr>
        <w:t xml:space="preserve"> Accesses February 8, </w:t>
      </w:r>
      <w:bookmarkStart w:id="0" w:name="_GoBack"/>
      <w:bookmarkEnd w:id="0"/>
      <w:r w:rsidR="00DA7AAA">
        <w:rPr>
          <w:rFonts w:ascii="Helvetica" w:eastAsia="Times New Roman" w:hAnsi="Helvetica" w:cs="Times New Roman"/>
          <w:noProof/>
          <w:sz w:val="20"/>
          <w:lang w:val="nl-NL"/>
        </w:rPr>
        <w:t>2016.</w:t>
      </w:r>
    </w:p>
    <w:p w14:paraId="22B47E87" w14:textId="77777777" w:rsidR="00862CC3" w:rsidRPr="00862CC3" w:rsidRDefault="00862CC3" w:rsidP="00862CC3">
      <w:pPr>
        <w:widowControl w:val="0"/>
        <w:autoSpaceDE w:val="0"/>
        <w:autoSpaceDN w:val="0"/>
        <w:adjustRightInd w:val="0"/>
        <w:spacing w:before="100" w:after="100" w:line="240" w:lineRule="auto"/>
        <w:ind w:left="640" w:hanging="640"/>
        <w:rPr>
          <w:rFonts w:ascii="Helvetica" w:eastAsia="Times New Roman" w:hAnsi="Helvetica" w:cs="Times New Roman"/>
          <w:noProof/>
          <w:sz w:val="20"/>
        </w:rPr>
      </w:pPr>
      <w:r w:rsidRPr="00514AD8">
        <w:rPr>
          <w:rFonts w:ascii="Helvetica" w:eastAsia="Times New Roman" w:hAnsi="Helvetica" w:cs="Times New Roman"/>
          <w:noProof/>
          <w:sz w:val="20"/>
          <w:lang w:val="nl-NL"/>
        </w:rPr>
        <w:t xml:space="preserve">5. </w:t>
      </w:r>
      <w:r w:rsidRPr="00514AD8">
        <w:rPr>
          <w:rFonts w:ascii="Helvetica" w:eastAsia="Times New Roman" w:hAnsi="Helvetica" w:cs="Times New Roman"/>
          <w:noProof/>
          <w:sz w:val="20"/>
          <w:lang w:val="nl-NL"/>
        </w:rPr>
        <w:tab/>
        <w:t xml:space="preserve">Naber KG, Bergman B, Bishop MC, et al. </w:t>
      </w:r>
      <w:r w:rsidRPr="00862CC3">
        <w:rPr>
          <w:rFonts w:ascii="Helvetica" w:eastAsia="Times New Roman" w:hAnsi="Helvetica" w:cs="Times New Roman"/>
          <w:noProof/>
          <w:sz w:val="20"/>
        </w:rPr>
        <w:t xml:space="preserve">EAU guidelines for the management of urinary and male genital tract infections. Urinary Tract Infection (UTI) Working Group of the Health Care Office (HCO) of the European Association of Urology (EAU). </w:t>
      </w:r>
      <w:r w:rsidRPr="00862CC3">
        <w:rPr>
          <w:rFonts w:ascii="Helvetica" w:eastAsia="Times New Roman" w:hAnsi="Helvetica" w:cs="Times New Roman"/>
          <w:i/>
          <w:iCs/>
          <w:noProof/>
          <w:sz w:val="20"/>
        </w:rPr>
        <w:t>Eur Urol</w:t>
      </w:r>
      <w:r w:rsidRPr="00862CC3">
        <w:rPr>
          <w:rFonts w:ascii="Helvetica" w:eastAsia="Times New Roman" w:hAnsi="Helvetica" w:cs="Times New Roman"/>
          <w:noProof/>
          <w:sz w:val="20"/>
        </w:rPr>
        <w:t>. 2001;40(5):576-588.</w:t>
      </w:r>
    </w:p>
    <w:p w14:paraId="0166D8B7" w14:textId="77777777" w:rsidR="00862CC3" w:rsidRPr="00862CC3" w:rsidRDefault="00862CC3" w:rsidP="00862CC3">
      <w:pPr>
        <w:widowControl w:val="0"/>
        <w:autoSpaceDE w:val="0"/>
        <w:autoSpaceDN w:val="0"/>
        <w:adjustRightInd w:val="0"/>
        <w:spacing w:before="100" w:after="100" w:line="240" w:lineRule="auto"/>
        <w:ind w:left="640" w:hanging="640"/>
        <w:rPr>
          <w:rFonts w:ascii="Helvetica" w:eastAsia="Times New Roman" w:hAnsi="Helvetica" w:cs="Times New Roman"/>
          <w:noProof/>
          <w:sz w:val="20"/>
        </w:rPr>
      </w:pPr>
      <w:r w:rsidRPr="00862CC3">
        <w:rPr>
          <w:rFonts w:ascii="Helvetica" w:eastAsia="Times New Roman" w:hAnsi="Helvetica" w:cs="Times New Roman"/>
          <w:noProof/>
          <w:sz w:val="20"/>
        </w:rPr>
        <w:t xml:space="preserve">6. </w:t>
      </w:r>
      <w:r w:rsidRPr="00862CC3">
        <w:rPr>
          <w:rFonts w:ascii="Helvetica" w:eastAsia="Times New Roman" w:hAnsi="Helvetica" w:cs="Times New Roman"/>
          <w:noProof/>
          <w:sz w:val="20"/>
        </w:rPr>
        <w:tab/>
        <w:t xml:space="preserve">ECDC publishes 2014 surveillance data on antimicrobial resistance and antimicrobial consumption in Europe. </w:t>
      </w:r>
      <w:r w:rsidRPr="00862CC3">
        <w:rPr>
          <w:rFonts w:ascii="Helvetica" w:eastAsia="Times New Roman" w:hAnsi="Helvetica" w:cs="Times New Roman"/>
          <w:i/>
          <w:iCs/>
          <w:noProof/>
          <w:sz w:val="20"/>
        </w:rPr>
        <w:t>Euro Surveill  Bull Eur sur les Mal Transm = Eur Commun Dis Bull</w:t>
      </w:r>
      <w:r w:rsidRPr="00862CC3">
        <w:rPr>
          <w:rFonts w:ascii="Helvetica" w:eastAsia="Times New Roman" w:hAnsi="Helvetica" w:cs="Times New Roman"/>
          <w:noProof/>
          <w:sz w:val="20"/>
        </w:rPr>
        <w:t>. 2015;20(46). doi:10.2807/1560-7917.ES.2015.20.46.30068.</w:t>
      </w:r>
    </w:p>
    <w:p w14:paraId="61948586" w14:textId="77777777" w:rsidR="00862CC3" w:rsidRPr="00862CC3" w:rsidRDefault="00862CC3" w:rsidP="00862CC3">
      <w:pPr>
        <w:widowControl w:val="0"/>
        <w:autoSpaceDE w:val="0"/>
        <w:autoSpaceDN w:val="0"/>
        <w:adjustRightInd w:val="0"/>
        <w:spacing w:before="100" w:after="100" w:line="240" w:lineRule="auto"/>
        <w:ind w:left="640" w:hanging="640"/>
        <w:rPr>
          <w:rFonts w:ascii="Helvetica" w:eastAsia="Times New Roman" w:hAnsi="Helvetica" w:cs="Times New Roman"/>
          <w:noProof/>
          <w:sz w:val="20"/>
        </w:rPr>
      </w:pPr>
      <w:r w:rsidRPr="00862CC3">
        <w:rPr>
          <w:rFonts w:ascii="Helvetica" w:eastAsia="Times New Roman" w:hAnsi="Helvetica" w:cs="Times New Roman"/>
          <w:noProof/>
          <w:sz w:val="20"/>
        </w:rPr>
        <w:t xml:space="preserve">7. </w:t>
      </w:r>
      <w:r w:rsidRPr="00862CC3">
        <w:rPr>
          <w:rFonts w:ascii="Helvetica" w:eastAsia="Times New Roman" w:hAnsi="Helvetica" w:cs="Times New Roman"/>
          <w:noProof/>
          <w:sz w:val="20"/>
        </w:rPr>
        <w:tab/>
        <w:t>WHO Antimicrobial resistance Global Report on Surveillance 2014. http://apps.who.int/iris/bitstream/10665/112642/1/9789241564748_eng.pdf. Accessed January 12, 2016.</w:t>
      </w:r>
    </w:p>
    <w:p w14:paraId="19D3437E" w14:textId="77777777" w:rsidR="00862CC3" w:rsidRPr="00862CC3" w:rsidRDefault="00862CC3" w:rsidP="00862CC3">
      <w:pPr>
        <w:widowControl w:val="0"/>
        <w:autoSpaceDE w:val="0"/>
        <w:autoSpaceDN w:val="0"/>
        <w:adjustRightInd w:val="0"/>
        <w:spacing w:before="100" w:after="100" w:line="240" w:lineRule="auto"/>
        <w:ind w:left="640" w:hanging="640"/>
        <w:rPr>
          <w:rFonts w:ascii="Helvetica" w:eastAsia="Times New Roman" w:hAnsi="Helvetica" w:cs="Times New Roman"/>
          <w:noProof/>
          <w:sz w:val="20"/>
        </w:rPr>
      </w:pPr>
      <w:r w:rsidRPr="00862CC3">
        <w:rPr>
          <w:rFonts w:ascii="Helvetica" w:eastAsia="Times New Roman" w:hAnsi="Helvetica" w:cs="Times New Roman"/>
          <w:noProof/>
          <w:sz w:val="20"/>
        </w:rPr>
        <w:t xml:space="preserve">8. </w:t>
      </w:r>
      <w:r w:rsidRPr="00862CC3">
        <w:rPr>
          <w:rFonts w:ascii="Helvetica" w:eastAsia="Times New Roman" w:hAnsi="Helvetica" w:cs="Times New Roman"/>
          <w:noProof/>
          <w:sz w:val="20"/>
        </w:rPr>
        <w:tab/>
        <w:t xml:space="preserve">Schmiemann G, Kniehl E, Gebhardt K, Matejczyk MM, Hummers-Pradier E. The diagnosis of urinary tract infection: a systematic review. </w:t>
      </w:r>
      <w:r w:rsidRPr="00862CC3">
        <w:rPr>
          <w:rFonts w:ascii="Helvetica" w:eastAsia="Times New Roman" w:hAnsi="Helvetica" w:cs="Times New Roman"/>
          <w:i/>
          <w:iCs/>
          <w:noProof/>
          <w:sz w:val="20"/>
        </w:rPr>
        <w:t>Dtsch Arztebl Int</w:t>
      </w:r>
      <w:r w:rsidRPr="00862CC3">
        <w:rPr>
          <w:rFonts w:ascii="Helvetica" w:eastAsia="Times New Roman" w:hAnsi="Helvetica" w:cs="Times New Roman"/>
          <w:noProof/>
          <w:sz w:val="20"/>
        </w:rPr>
        <w:t>. 2010;107(21):361-367. doi:10.3238/arztebl.2010.0361.</w:t>
      </w:r>
    </w:p>
    <w:p w14:paraId="58D10799" w14:textId="77777777" w:rsidR="00862CC3" w:rsidRPr="00862CC3" w:rsidRDefault="00862CC3" w:rsidP="00862CC3">
      <w:pPr>
        <w:widowControl w:val="0"/>
        <w:autoSpaceDE w:val="0"/>
        <w:autoSpaceDN w:val="0"/>
        <w:adjustRightInd w:val="0"/>
        <w:spacing w:before="100" w:after="100" w:line="240" w:lineRule="auto"/>
        <w:ind w:left="640" w:hanging="640"/>
        <w:rPr>
          <w:rFonts w:ascii="Helvetica" w:eastAsia="Times New Roman" w:hAnsi="Helvetica" w:cs="Times New Roman"/>
          <w:noProof/>
          <w:sz w:val="20"/>
        </w:rPr>
      </w:pPr>
      <w:r w:rsidRPr="00862CC3">
        <w:rPr>
          <w:rFonts w:ascii="Helvetica" w:eastAsia="Times New Roman" w:hAnsi="Helvetica" w:cs="Times New Roman"/>
          <w:noProof/>
          <w:sz w:val="20"/>
        </w:rPr>
        <w:t xml:space="preserve">9. </w:t>
      </w:r>
      <w:r w:rsidRPr="00862CC3">
        <w:rPr>
          <w:rFonts w:ascii="Helvetica" w:eastAsia="Times New Roman" w:hAnsi="Helvetica" w:cs="Times New Roman"/>
          <w:noProof/>
          <w:sz w:val="20"/>
        </w:rPr>
        <w:tab/>
        <w:t xml:space="preserve">Blom M, Sørensen TL, Espersen F, Frimodt-Møller N. Validation of FLEXICULT SSI-Urinary Kit for use in the primary health care setting. </w:t>
      </w:r>
      <w:r w:rsidRPr="00862CC3">
        <w:rPr>
          <w:rFonts w:ascii="Helvetica" w:eastAsia="Times New Roman" w:hAnsi="Helvetica" w:cs="Times New Roman"/>
          <w:i/>
          <w:iCs/>
          <w:noProof/>
          <w:sz w:val="20"/>
        </w:rPr>
        <w:t>Scand J Infect Dis</w:t>
      </w:r>
      <w:r w:rsidRPr="00862CC3">
        <w:rPr>
          <w:rFonts w:ascii="Helvetica" w:eastAsia="Times New Roman" w:hAnsi="Helvetica" w:cs="Times New Roman"/>
          <w:noProof/>
          <w:sz w:val="20"/>
        </w:rPr>
        <w:t>. 2002;34(6):430-435. http://www.ncbi.nlm.nih.gov/pubmed/12160170. Accessed January 12, 2016.</w:t>
      </w:r>
    </w:p>
    <w:p w14:paraId="661D55B7" w14:textId="77777777" w:rsidR="00862CC3" w:rsidRPr="00862CC3" w:rsidRDefault="00862CC3" w:rsidP="00862CC3">
      <w:pPr>
        <w:widowControl w:val="0"/>
        <w:autoSpaceDE w:val="0"/>
        <w:autoSpaceDN w:val="0"/>
        <w:adjustRightInd w:val="0"/>
        <w:spacing w:before="100" w:after="100" w:line="240" w:lineRule="auto"/>
        <w:ind w:left="640" w:hanging="640"/>
        <w:rPr>
          <w:rFonts w:ascii="Helvetica" w:eastAsia="Times New Roman" w:hAnsi="Helvetica" w:cs="Times New Roman"/>
          <w:noProof/>
          <w:sz w:val="20"/>
        </w:rPr>
      </w:pPr>
      <w:r w:rsidRPr="00862CC3">
        <w:rPr>
          <w:rFonts w:ascii="Helvetica" w:eastAsia="Times New Roman" w:hAnsi="Helvetica" w:cs="Times New Roman"/>
          <w:noProof/>
          <w:sz w:val="20"/>
        </w:rPr>
        <w:t xml:space="preserve">10. </w:t>
      </w:r>
      <w:r w:rsidRPr="00862CC3">
        <w:rPr>
          <w:rFonts w:ascii="Helvetica" w:eastAsia="Times New Roman" w:hAnsi="Helvetica" w:cs="Times New Roman"/>
          <w:noProof/>
          <w:sz w:val="20"/>
        </w:rPr>
        <w:tab/>
        <w:t xml:space="preserve">Bates J, Thomas-Jones E, Pickles T, et al. Point of care testing for urinary tract infection in primary care (POETIC): protocol for a randomised controlled trial of the clinical and cost effectiveness of FLEXICULT informed management of uncomplicated UTI in primary care. </w:t>
      </w:r>
      <w:r w:rsidRPr="00862CC3">
        <w:rPr>
          <w:rFonts w:ascii="Helvetica" w:eastAsia="Times New Roman" w:hAnsi="Helvetica" w:cs="Times New Roman"/>
          <w:i/>
          <w:iCs/>
          <w:noProof/>
          <w:sz w:val="20"/>
        </w:rPr>
        <w:t>BMC Fam Pract</w:t>
      </w:r>
      <w:r w:rsidRPr="00862CC3">
        <w:rPr>
          <w:rFonts w:ascii="Helvetica" w:eastAsia="Times New Roman" w:hAnsi="Helvetica" w:cs="Times New Roman"/>
          <w:noProof/>
          <w:sz w:val="20"/>
        </w:rPr>
        <w:t>. 2014;15:187. doi:10.1186/s12875-014-0187-4.</w:t>
      </w:r>
    </w:p>
    <w:p w14:paraId="0E6E4538" w14:textId="77777777" w:rsidR="00862CC3" w:rsidRPr="00862CC3" w:rsidRDefault="00862CC3" w:rsidP="00862CC3">
      <w:pPr>
        <w:widowControl w:val="0"/>
        <w:autoSpaceDE w:val="0"/>
        <w:autoSpaceDN w:val="0"/>
        <w:adjustRightInd w:val="0"/>
        <w:spacing w:before="100" w:after="100" w:line="240" w:lineRule="auto"/>
        <w:ind w:left="640" w:hanging="640"/>
        <w:rPr>
          <w:rFonts w:ascii="Helvetica" w:eastAsia="Times New Roman" w:hAnsi="Helvetica" w:cs="Times New Roman"/>
          <w:noProof/>
          <w:sz w:val="20"/>
        </w:rPr>
      </w:pPr>
      <w:r w:rsidRPr="00862CC3">
        <w:rPr>
          <w:rFonts w:ascii="Helvetica" w:eastAsia="Times New Roman" w:hAnsi="Helvetica" w:cs="Times New Roman"/>
          <w:noProof/>
          <w:sz w:val="20"/>
        </w:rPr>
        <w:t xml:space="preserve">11. </w:t>
      </w:r>
      <w:r w:rsidRPr="00862CC3">
        <w:rPr>
          <w:rFonts w:ascii="Helvetica" w:eastAsia="Times New Roman" w:hAnsi="Helvetica" w:cs="Times New Roman"/>
          <w:noProof/>
          <w:sz w:val="20"/>
        </w:rPr>
        <w:tab/>
        <w:t>Guidelines on Urological Infections. http://uroweb.org/wp-content/uploads/EAU-Guidelines-Urological-Infections-v2.pdf. Accessed February 8, 2016.</w:t>
      </w:r>
    </w:p>
    <w:p w14:paraId="376232DC" w14:textId="77777777" w:rsidR="00862CC3" w:rsidRPr="00862CC3" w:rsidRDefault="00862CC3" w:rsidP="00862CC3">
      <w:pPr>
        <w:widowControl w:val="0"/>
        <w:autoSpaceDE w:val="0"/>
        <w:autoSpaceDN w:val="0"/>
        <w:adjustRightInd w:val="0"/>
        <w:spacing w:before="100" w:after="100" w:line="240" w:lineRule="auto"/>
        <w:ind w:left="640" w:hanging="640"/>
        <w:rPr>
          <w:rFonts w:ascii="Helvetica" w:eastAsia="Times New Roman" w:hAnsi="Helvetica" w:cs="Times New Roman"/>
          <w:noProof/>
          <w:sz w:val="20"/>
        </w:rPr>
      </w:pPr>
      <w:r w:rsidRPr="00862CC3">
        <w:rPr>
          <w:rFonts w:ascii="Helvetica" w:eastAsia="Times New Roman" w:hAnsi="Helvetica" w:cs="Times New Roman"/>
          <w:noProof/>
          <w:sz w:val="20"/>
        </w:rPr>
        <w:t xml:space="preserve">12. </w:t>
      </w:r>
      <w:r w:rsidRPr="00862CC3">
        <w:rPr>
          <w:rFonts w:ascii="Helvetica" w:eastAsia="Times New Roman" w:hAnsi="Helvetica" w:cs="Times New Roman"/>
          <w:noProof/>
          <w:sz w:val="20"/>
        </w:rPr>
        <w:tab/>
        <w:t xml:space="preserve">Sim J, Wright CC. Interpretation, and Sample Size Requirements The Kappa Statistic in Reliability Studies: Use, Interpretation, and Sample Size Requirements. </w:t>
      </w:r>
      <w:r w:rsidRPr="00862CC3">
        <w:rPr>
          <w:rFonts w:ascii="Helvetica" w:eastAsia="Times New Roman" w:hAnsi="Helvetica" w:cs="Times New Roman"/>
          <w:i/>
          <w:iCs/>
          <w:noProof/>
          <w:sz w:val="20"/>
        </w:rPr>
        <w:t>PHYS THER Phys Ther</w:t>
      </w:r>
      <w:r w:rsidRPr="00862CC3">
        <w:rPr>
          <w:rFonts w:ascii="Helvetica" w:eastAsia="Times New Roman" w:hAnsi="Helvetica" w:cs="Times New Roman"/>
          <w:noProof/>
          <w:sz w:val="20"/>
        </w:rPr>
        <w:t>. 2005;85(3):257-268. doi:15733050.</w:t>
      </w:r>
    </w:p>
    <w:p w14:paraId="4D4600A1" w14:textId="77777777" w:rsidR="00862CC3" w:rsidRPr="00862CC3" w:rsidRDefault="00862CC3" w:rsidP="00862CC3">
      <w:pPr>
        <w:widowControl w:val="0"/>
        <w:autoSpaceDE w:val="0"/>
        <w:autoSpaceDN w:val="0"/>
        <w:adjustRightInd w:val="0"/>
        <w:spacing w:before="100" w:after="100" w:line="240" w:lineRule="auto"/>
        <w:ind w:left="640" w:hanging="640"/>
        <w:rPr>
          <w:rFonts w:ascii="Helvetica" w:eastAsia="Times New Roman" w:hAnsi="Helvetica" w:cs="Times New Roman"/>
          <w:noProof/>
          <w:sz w:val="20"/>
        </w:rPr>
      </w:pPr>
      <w:r w:rsidRPr="00862CC3">
        <w:rPr>
          <w:rFonts w:ascii="Helvetica" w:eastAsia="Times New Roman" w:hAnsi="Helvetica" w:cs="Times New Roman"/>
          <w:noProof/>
          <w:sz w:val="20"/>
        </w:rPr>
        <w:t xml:space="preserve">13. </w:t>
      </w:r>
      <w:r w:rsidRPr="00862CC3">
        <w:rPr>
          <w:rFonts w:ascii="Helvetica" w:eastAsia="Times New Roman" w:hAnsi="Helvetica" w:cs="Times New Roman"/>
          <w:noProof/>
          <w:sz w:val="20"/>
        </w:rPr>
        <w:tab/>
        <w:t>Diagnosis of UTI Quick Reference Guide for Primary Care. https://www.gov.uk/government/uploads/system/uploads/attachment_data/file/323398/UTI_guidelines_with_RCGP_logo.pdf. Accessed February 7, 2016.</w:t>
      </w:r>
    </w:p>
    <w:p w14:paraId="1193111C" w14:textId="77777777" w:rsidR="00862CC3" w:rsidRPr="00862CC3" w:rsidRDefault="00862CC3" w:rsidP="00862CC3">
      <w:pPr>
        <w:widowControl w:val="0"/>
        <w:autoSpaceDE w:val="0"/>
        <w:autoSpaceDN w:val="0"/>
        <w:adjustRightInd w:val="0"/>
        <w:spacing w:before="100" w:after="100" w:line="240" w:lineRule="auto"/>
        <w:ind w:left="640" w:hanging="640"/>
        <w:rPr>
          <w:rFonts w:ascii="Helvetica" w:eastAsia="Times New Roman" w:hAnsi="Helvetica" w:cs="Times New Roman"/>
          <w:noProof/>
          <w:sz w:val="20"/>
        </w:rPr>
      </w:pPr>
      <w:r w:rsidRPr="00514AD8">
        <w:rPr>
          <w:rFonts w:ascii="Helvetica" w:eastAsia="Times New Roman" w:hAnsi="Helvetica" w:cs="Times New Roman"/>
          <w:noProof/>
          <w:sz w:val="20"/>
          <w:lang w:val="nl-NL"/>
        </w:rPr>
        <w:t xml:space="preserve">14. </w:t>
      </w:r>
      <w:r w:rsidRPr="00514AD8">
        <w:rPr>
          <w:rFonts w:ascii="Helvetica" w:eastAsia="Times New Roman" w:hAnsi="Helvetica" w:cs="Times New Roman"/>
          <w:noProof/>
          <w:sz w:val="20"/>
          <w:lang w:val="nl-NL"/>
        </w:rPr>
        <w:tab/>
        <w:t xml:space="preserve">Bongard E, Frimodt-Møller N, Gal M, et al. </w:t>
      </w:r>
      <w:r w:rsidRPr="00862CC3">
        <w:rPr>
          <w:rFonts w:ascii="Helvetica" w:eastAsia="Times New Roman" w:hAnsi="Helvetica" w:cs="Times New Roman"/>
          <w:noProof/>
          <w:sz w:val="20"/>
        </w:rPr>
        <w:t xml:space="preserve">Analytic laboratory performance of a point of care urine culture kit for diagnosis and antibiotic susceptibility testing. </w:t>
      </w:r>
      <w:r w:rsidRPr="00862CC3">
        <w:rPr>
          <w:rFonts w:ascii="Helvetica" w:eastAsia="Times New Roman" w:hAnsi="Helvetica" w:cs="Times New Roman"/>
          <w:i/>
          <w:iCs/>
          <w:noProof/>
          <w:sz w:val="20"/>
        </w:rPr>
        <w:t>Eur J Clin Microbiol Infect Dis</w:t>
      </w:r>
      <w:r w:rsidRPr="00862CC3">
        <w:rPr>
          <w:rFonts w:ascii="Helvetica" w:eastAsia="Times New Roman" w:hAnsi="Helvetica" w:cs="Times New Roman"/>
          <w:noProof/>
          <w:sz w:val="20"/>
        </w:rPr>
        <w:t>. 2015;34(10):2111-2119. doi:10.1007/s10096-015-2460-4.</w:t>
      </w:r>
    </w:p>
    <w:p w14:paraId="520412DF" w14:textId="77777777" w:rsidR="00862CC3" w:rsidRPr="00862CC3" w:rsidRDefault="00862CC3" w:rsidP="00862CC3">
      <w:pPr>
        <w:widowControl w:val="0"/>
        <w:autoSpaceDE w:val="0"/>
        <w:autoSpaceDN w:val="0"/>
        <w:adjustRightInd w:val="0"/>
        <w:spacing w:before="100" w:after="100" w:line="240" w:lineRule="auto"/>
        <w:ind w:left="640" w:hanging="640"/>
        <w:rPr>
          <w:rFonts w:ascii="Helvetica" w:eastAsia="Times New Roman" w:hAnsi="Helvetica" w:cs="Times New Roman"/>
          <w:noProof/>
          <w:sz w:val="20"/>
        </w:rPr>
      </w:pPr>
      <w:r w:rsidRPr="00862CC3">
        <w:rPr>
          <w:rFonts w:ascii="Helvetica" w:eastAsia="Times New Roman" w:hAnsi="Helvetica" w:cs="Times New Roman"/>
          <w:noProof/>
          <w:sz w:val="20"/>
        </w:rPr>
        <w:t xml:space="preserve">15. </w:t>
      </w:r>
      <w:r w:rsidRPr="00862CC3">
        <w:rPr>
          <w:rFonts w:ascii="Helvetica" w:eastAsia="Times New Roman" w:hAnsi="Helvetica" w:cs="Times New Roman"/>
          <w:noProof/>
          <w:sz w:val="20"/>
        </w:rPr>
        <w:tab/>
        <w:t xml:space="preserve">Kunin CM, White L V, Hua TH. A reassessment of the importance of “low-count” bacteriuria in young women with acute urinary symptoms. </w:t>
      </w:r>
      <w:r w:rsidRPr="00862CC3">
        <w:rPr>
          <w:rFonts w:ascii="Helvetica" w:eastAsia="Times New Roman" w:hAnsi="Helvetica" w:cs="Times New Roman"/>
          <w:i/>
          <w:iCs/>
          <w:noProof/>
          <w:sz w:val="20"/>
        </w:rPr>
        <w:t>Ann Intern Med</w:t>
      </w:r>
      <w:r w:rsidRPr="00862CC3">
        <w:rPr>
          <w:rFonts w:ascii="Helvetica" w:eastAsia="Times New Roman" w:hAnsi="Helvetica" w:cs="Times New Roman"/>
          <w:noProof/>
          <w:sz w:val="20"/>
        </w:rPr>
        <w:t>. 1993;119(6):454-460. http://www.ncbi.nlm.nih.gov/pubmed/8357110. Accessed February 9, 2016.</w:t>
      </w:r>
    </w:p>
    <w:p w14:paraId="0154DB98" w14:textId="77777777" w:rsidR="00862CC3" w:rsidRPr="00862CC3" w:rsidRDefault="00862CC3" w:rsidP="00862CC3">
      <w:pPr>
        <w:widowControl w:val="0"/>
        <w:autoSpaceDE w:val="0"/>
        <w:autoSpaceDN w:val="0"/>
        <w:adjustRightInd w:val="0"/>
        <w:spacing w:before="100" w:after="100" w:line="240" w:lineRule="auto"/>
        <w:ind w:left="640" w:hanging="640"/>
        <w:rPr>
          <w:rFonts w:ascii="Helvetica" w:eastAsia="Times New Roman" w:hAnsi="Helvetica" w:cs="Times New Roman"/>
          <w:noProof/>
          <w:sz w:val="20"/>
        </w:rPr>
      </w:pPr>
      <w:r w:rsidRPr="00862CC3">
        <w:rPr>
          <w:rFonts w:ascii="Helvetica" w:eastAsia="Times New Roman" w:hAnsi="Helvetica" w:cs="Times New Roman"/>
          <w:noProof/>
          <w:sz w:val="20"/>
        </w:rPr>
        <w:lastRenderedPageBreak/>
        <w:t xml:space="preserve">16. </w:t>
      </w:r>
      <w:r w:rsidRPr="00862CC3">
        <w:rPr>
          <w:rFonts w:ascii="Helvetica" w:eastAsia="Times New Roman" w:hAnsi="Helvetica" w:cs="Times New Roman"/>
          <w:noProof/>
          <w:sz w:val="20"/>
        </w:rPr>
        <w:tab/>
        <w:t xml:space="preserve">Franz M. Common errors in diagnosis and management of urinary tract infection. I: Pathophysiology and diagnostic techniques. </w:t>
      </w:r>
      <w:r w:rsidRPr="00862CC3">
        <w:rPr>
          <w:rFonts w:ascii="Helvetica" w:eastAsia="Times New Roman" w:hAnsi="Helvetica" w:cs="Times New Roman"/>
          <w:i/>
          <w:iCs/>
          <w:noProof/>
          <w:sz w:val="20"/>
        </w:rPr>
        <w:t>Nephrol Dial Transplant</w:t>
      </w:r>
      <w:r w:rsidRPr="00862CC3">
        <w:rPr>
          <w:rFonts w:ascii="Helvetica" w:eastAsia="Times New Roman" w:hAnsi="Helvetica" w:cs="Times New Roman"/>
          <w:noProof/>
          <w:sz w:val="20"/>
        </w:rPr>
        <w:t>. 1999;14(11):2746-2753. doi:10.1093/ndt/14.11.2746.</w:t>
      </w:r>
    </w:p>
    <w:p w14:paraId="2F78FCE2" w14:textId="77777777" w:rsidR="00862CC3" w:rsidRPr="00862CC3" w:rsidRDefault="00862CC3" w:rsidP="00862CC3">
      <w:pPr>
        <w:widowControl w:val="0"/>
        <w:autoSpaceDE w:val="0"/>
        <w:autoSpaceDN w:val="0"/>
        <w:adjustRightInd w:val="0"/>
        <w:spacing w:before="100" w:after="100" w:line="240" w:lineRule="auto"/>
        <w:ind w:left="640" w:hanging="640"/>
        <w:rPr>
          <w:rFonts w:ascii="Helvetica" w:eastAsia="Times New Roman" w:hAnsi="Helvetica" w:cs="Times New Roman"/>
          <w:noProof/>
          <w:sz w:val="20"/>
        </w:rPr>
      </w:pPr>
      <w:r w:rsidRPr="00862CC3">
        <w:rPr>
          <w:rFonts w:ascii="Helvetica" w:eastAsia="Times New Roman" w:hAnsi="Helvetica" w:cs="Times New Roman"/>
          <w:noProof/>
          <w:sz w:val="20"/>
        </w:rPr>
        <w:t xml:space="preserve">17. </w:t>
      </w:r>
      <w:r w:rsidRPr="00862CC3">
        <w:rPr>
          <w:rFonts w:ascii="Helvetica" w:eastAsia="Times New Roman" w:hAnsi="Helvetica" w:cs="Times New Roman"/>
          <w:noProof/>
          <w:sz w:val="20"/>
        </w:rPr>
        <w:tab/>
        <w:t xml:space="preserve">Ferry S, Burman LG, Holm SE. Uricult and Sensicult dipslides for diagnosis of bacteriuria and prediction of drug resistance in primary health care. </w:t>
      </w:r>
      <w:r w:rsidRPr="00862CC3">
        <w:rPr>
          <w:rFonts w:ascii="Helvetica" w:eastAsia="Times New Roman" w:hAnsi="Helvetica" w:cs="Times New Roman"/>
          <w:i/>
          <w:iCs/>
          <w:noProof/>
          <w:sz w:val="20"/>
        </w:rPr>
        <w:t>Scand J Prim Health Care</w:t>
      </w:r>
      <w:r w:rsidRPr="00862CC3">
        <w:rPr>
          <w:rFonts w:ascii="Helvetica" w:eastAsia="Times New Roman" w:hAnsi="Helvetica" w:cs="Times New Roman"/>
          <w:noProof/>
          <w:sz w:val="20"/>
        </w:rPr>
        <w:t>. 1989;7(2):123-128. http://www.ncbi.nlm.nih.gov/pubmed/2587859. Accessed February 9, 2016.</w:t>
      </w:r>
    </w:p>
    <w:p w14:paraId="4F8A3974" w14:textId="77777777" w:rsidR="00862CC3" w:rsidRPr="00862CC3" w:rsidRDefault="00862CC3" w:rsidP="00862CC3">
      <w:pPr>
        <w:widowControl w:val="0"/>
        <w:autoSpaceDE w:val="0"/>
        <w:autoSpaceDN w:val="0"/>
        <w:adjustRightInd w:val="0"/>
        <w:spacing w:before="100" w:after="100" w:line="240" w:lineRule="auto"/>
        <w:ind w:left="640" w:hanging="640"/>
        <w:rPr>
          <w:rFonts w:ascii="Helvetica" w:eastAsia="Times New Roman" w:hAnsi="Helvetica" w:cs="Times New Roman"/>
          <w:noProof/>
          <w:sz w:val="20"/>
        </w:rPr>
      </w:pPr>
      <w:r w:rsidRPr="00862CC3">
        <w:rPr>
          <w:rFonts w:ascii="Helvetica" w:eastAsia="Times New Roman" w:hAnsi="Helvetica" w:cs="Times New Roman"/>
          <w:noProof/>
          <w:sz w:val="20"/>
        </w:rPr>
        <w:t xml:space="preserve">18. </w:t>
      </w:r>
      <w:r w:rsidRPr="00862CC3">
        <w:rPr>
          <w:rFonts w:ascii="Helvetica" w:eastAsia="Times New Roman" w:hAnsi="Helvetica" w:cs="Times New Roman"/>
          <w:noProof/>
          <w:sz w:val="20"/>
        </w:rPr>
        <w:tab/>
        <w:t xml:space="preserve">Yagupsky P, Rider M, Peled N. Clinical evaluation of a novel chromogenic agar dipslide for diagnosis of urinary tract infections. </w:t>
      </w:r>
      <w:r w:rsidRPr="00514AD8">
        <w:rPr>
          <w:rFonts w:ascii="Helvetica" w:eastAsia="Times New Roman" w:hAnsi="Helvetica" w:cs="Times New Roman"/>
          <w:i/>
          <w:iCs/>
          <w:noProof/>
          <w:sz w:val="20"/>
          <w:lang w:val="nl-NL"/>
        </w:rPr>
        <w:t>Eur J Clin Microbiol Infect Dis</w:t>
      </w:r>
      <w:r w:rsidRPr="00514AD8">
        <w:rPr>
          <w:rFonts w:ascii="Helvetica" w:eastAsia="Times New Roman" w:hAnsi="Helvetica" w:cs="Times New Roman"/>
          <w:noProof/>
          <w:sz w:val="20"/>
          <w:lang w:val="nl-NL"/>
        </w:rPr>
        <w:t xml:space="preserve">. 2000;19(9):694-698. http://www.ncbi.nlm.nih.gov/pubmed/11057503. </w:t>
      </w:r>
      <w:r w:rsidRPr="00862CC3">
        <w:rPr>
          <w:rFonts w:ascii="Helvetica" w:eastAsia="Times New Roman" w:hAnsi="Helvetica" w:cs="Times New Roman"/>
          <w:noProof/>
          <w:sz w:val="20"/>
        </w:rPr>
        <w:t>Accessed February 9, 2016.</w:t>
      </w:r>
    </w:p>
    <w:p w14:paraId="04CAE3D5" w14:textId="77777777" w:rsidR="00862CC3" w:rsidRPr="00862CC3" w:rsidRDefault="00862CC3" w:rsidP="00862CC3">
      <w:pPr>
        <w:widowControl w:val="0"/>
        <w:autoSpaceDE w:val="0"/>
        <w:autoSpaceDN w:val="0"/>
        <w:adjustRightInd w:val="0"/>
        <w:spacing w:before="100" w:after="100" w:line="240" w:lineRule="auto"/>
        <w:ind w:left="640" w:hanging="640"/>
        <w:rPr>
          <w:rFonts w:ascii="Helvetica" w:eastAsia="Times New Roman" w:hAnsi="Helvetica" w:cs="Times New Roman"/>
          <w:noProof/>
          <w:sz w:val="20"/>
        </w:rPr>
      </w:pPr>
      <w:r w:rsidRPr="00862CC3">
        <w:rPr>
          <w:rFonts w:ascii="Helvetica" w:eastAsia="Times New Roman" w:hAnsi="Helvetica" w:cs="Times New Roman"/>
          <w:noProof/>
          <w:sz w:val="20"/>
        </w:rPr>
        <w:t xml:space="preserve">19. </w:t>
      </w:r>
      <w:r w:rsidRPr="00862CC3">
        <w:rPr>
          <w:rFonts w:ascii="Helvetica" w:eastAsia="Times New Roman" w:hAnsi="Helvetica" w:cs="Times New Roman"/>
          <w:noProof/>
          <w:sz w:val="20"/>
        </w:rPr>
        <w:tab/>
        <w:t xml:space="preserve">Rosenberg M, Berger SA, Barki M, Goldberg S, Fink A, Miskin A. Initial testing of a novel urine culture device. </w:t>
      </w:r>
      <w:r w:rsidRPr="00514AD8">
        <w:rPr>
          <w:rFonts w:ascii="Helvetica" w:eastAsia="Times New Roman" w:hAnsi="Helvetica" w:cs="Times New Roman"/>
          <w:i/>
          <w:iCs/>
          <w:noProof/>
          <w:sz w:val="20"/>
          <w:lang w:val="nl-NL"/>
        </w:rPr>
        <w:t>J Clin Microbiol</w:t>
      </w:r>
      <w:r w:rsidRPr="00514AD8">
        <w:rPr>
          <w:rFonts w:ascii="Helvetica" w:eastAsia="Times New Roman" w:hAnsi="Helvetica" w:cs="Times New Roman"/>
          <w:noProof/>
          <w:sz w:val="20"/>
          <w:lang w:val="nl-NL"/>
        </w:rPr>
        <w:t xml:space="preserve">. 1992;30(10):2686-2691. http://www.pubmedcentral.nih.gov/articlerender.fcgi?artid=270499&amp;tool=pmcentrez&amp;rendertype=abstract. </w:t>
      </w:r>
      <w:r w:rsidRPr="00862CC3">
        <w:rPr>
          <w:rFonts w:ascii="Helvetica" w:eastAsia="Times New Roman" w:hAnsi="Helvetica" w:cs="Times New Roman"/>
          <w:noProof/>
          <w:sz w:val="20"/>
        </w:rPr>
        <w:t>Accessed February 9, 2016.</w:t>
      </w:r>
    </w:p>
    <w:p w14:paraId="76932583" w14:textId="77777777" w:rsidR="00862CC3" w:rsidRPr="00862CC3" w:rsidRDefault="00862CC3" w:rsidP="00862CC3">
      <w:pPr>
        <w:widowControl w:val="0"/>
        <w:autoSpaceDE w:val="0"/>
        <w:autoSpaceDN w:val="0"/>
        <w:adjustRightInd w:val="0"/>
        <w:spacing w:before="100" w:after="100" w:line="240" w:lineRule="auto"/>
        <w:ind w:left="640" w:hanging="640"/>
        <w:rPr>
          <w:rFonts w:ascii="Helvetica" w:hAnsi="Helvetica"/>
          <w:noProof/>
          <w:sz w:val="20"/>
        </w:rPr>
      </w:pPr>
      <w:r w:rsidRPr="00862CC3">
        <w:rPr>
          <w:rFonts w:ascii="Helvetica" w:eastAsia="Times New Roman" w:hAnsi="Helvetica" w:cs="Times New Roman"/>
          <w:noProof/>
          <w:sz w:val="20"/>
        </w:rPr>
        <w:t xml:space="preserve">20. </w:t>
      </w:r>
      <w:r w:rsidRPr="00862CC3">
        <w:rPr>
          <w:rFonts w:ascii="Helvetica" w:eastAsia="Times New Roman" w:hAnsi="Helvetica" w:cs="Times New Roman"/>
          <w:noProof/>
          <w:sz w:val="20"/>
        </w:rPr>
        <w:tab/>
        <w:t xml:space="preserve">LaRocco MT, Franek J, Leibach EK, et al. Effectiveness of Preanalytic Practices on Contamination and Diagnostic Accuracy of Urine Cultures: a Laboratory Medicine Best Practices Systematic Review and Meta-analysis. </w:t>
      </w:r>
      <w:r w:rsidRPr="00862CC3">
        <w:rPr>
          <w:rFonts w:ascii="Helvetica" w:eastAsia="Times New Roman" w:hAnsi="Helvetica" w:cs="Times New Roman"/>
          <w:i/>
          <w:iCs/>
          <w:noProof/>
          <w:sz w:val="20"/>
        </w:rPr>
        <w:t>Clin Microbiol Rev</w:t>
      </w:r>
      <w:r w:rsidRPr="00862CC3">
        <w:rPr>
          <w:rFonts w:ascii="Helvetica" w:eastAsia="Times New Roman" w:hAnsi="Helvetica" w:cs="Times New Roman"/>
          <w:noProof/>
          <w:sz w:val="20"/>
        </w:rPr>
        <w:t>. 2016;29(1):105-147. doi:10.1128/CMR.00030-15.</w:t>
      </w:r>
    </w:p>
    <w:p w14:paraId="72722EF8" w14:textId="1553F8A1" w:rsidR="0011568D" w:rsidRPr="0091040C" w:rsidRDefault="00C76E34" w:rsidP="00862CC3">
      <w:pPr>
        <w:widowControl w:val="0"/>
        <w:autoSpaceDE w:val="0"/>
        <w:autoSpaceDN w:val="0"/>
        <w:adjustRightInd w:val="0"/>
        <w:spacing w:before="100" w:after="100" w:line="240" w:lineRule="auto"/>
        <w:ind w:left="640" w:hanging="640"/>
        <w:rPr>
          <w:rFonts w:ascii="Helvetica" w:hAnsi="Helvetica" w:cs="Times New Roman"/>
          <w:sz w:val="20"/>
          <w:szCs w:val="20"/>
        </w:rPr>
      </w:pPr>
      <w:r w:rsidRPr="0091040C">
        <w:rPr>
          <w:rFonts w:ascii="Helvetica" w:hAnsi="Helvetica" w:cs="Times New Roman"/>
          <w:sz w:val="20"/>
          <w:szCs w:val="20"/>
        </w:rPr>
        <w:fldChar w:fldCharType="end"/>
      </w:r>
    </w:p>
    <w:p w14:paraId="2180D715" w14:textId="77777777" w:rsidR="0011568D" w:rsidRPr="0091040C" w:rsidRDefault="0011568D">
      <w:pPr>
        <w:rPr>
          <w:rFonts w:ascii="Helvetica" w:hAnsi="Helvetica" w:cs="Times New Roman"/>
          <w:sz w:val="20"/>
          <w:szCs w:val="20"/>
        </w:rPr>
      </w:pPr>
      <w:r w:rsidRPr="0091040C">
        <w:rPr>
          <w:rFonts w:ascii="Helvetica" w:hAnsi="Helvetica" w:cs="Times New Roman"/>
          <w:sz w:val="20"/>
          <w:szCs w:val="20"/>
        </w:rPr>
        <w:br w:type="page"/>
      </w:r>
    </w:p>
    <w:p w14:paraId="227BE3FF" w14:textId="77777777" w:rsidR="00116427" w:rsidRPr="0091040C" w:rsidRDefault="00116427" w:rsidP="00116427">
      <w:pPr>
        <w:spacing w:after="160" w:line="259" w:lineRule="auto"/>
        <w:rPr>
          <w:rFonts w:ascii="Helvetica" w:hAnsi="Helvetica"/>
          <w:b/>
          <w:bCs/>
          <w:sz w:val="20"/>
          <w:szCs w:val="20"/>
        </w:rPr>
      </w:pPr>
    </w:p>
    <w:p w14:paraId="3C11C663" w14:textId="77777777" w:rsidR="000F63F9" w:rsidRPr="0091040C" w:rsidRDefault="000F63F9" w:rsidP="000F63F9">
      <w:pPr>
        <w:pStyle w:val="Bijschrift"/>
        <w:keepNext/>
        <w:spacing w:after="0"/>
        <w:rPr>
          <w:rFonts w:ascii="Helvetica" w:hAnsi="Helvetica"/>
          <w:color w:val="auto"/>
          <w:sz w:val="20"/>
          <w:szCs w:val="20"/>
        </w:rPr>
      </w:pPr>
      <w:r w:rsidRPr="0091040C">
        <w:rPr>
          <w:rFonts w:ascii="Helvetica" w:hAnsi="Helvetica"/>
          <w:color w:val="auto"/>
          <w:sz w:val="20"/>
          <w:szCs w:val="20"/>
        </w:rPr>
        <w:t>Table 1 Cross tabulation of GP interpretation of Flexicult</w:t>
      </w:r>
      <w:r w:rsidRPr="0091040C">
        <w:rPr>
          <w:rFonts w:ascii="Helvetica" w:hAnsi="Helvetica"/>
          <w:color w:val="auto"/>
          <w:sz w:val="20"/>
          <w:szCs w:val="20"/>
          <w:vertAlign w:val="superscript"/>
        </w:rPr>
        <w:t>TM</w:t>
      </w:r>
      <w:r w:rsidRPr="0091040C">
        <w:rPr>
          <w:rFonts w:ascii="Helvetica" w:hAnsi="Helvetica"/>
          <w:color w:val="auto"/>
          <w:sz w:val="20"/>
          <w:szCs w:val="20"/>
        </w:rPr>
        <w:t xml:space="preserve"> plate (</w:t>
      </w:r>
      <w:proofErr w:type="spellStart"/>
      <w:proofErr w:type="gramStart"/>
      <w:r w:rsidRPr="0091040C">
        <w:rPr>
          <w:rFonts w:ascii="Helvetica" w:hAnsi="Helvetica"/>
          <w:color w:val="auto"/>
          <w:sz w:val="20"/>
          <w:szCs w:val="20"/>
        </w:rPr>
        <w:t>Flexicult</w:t>
      </w:r>
      <w:r w:rsidRPr="0091040C">
        <w:rPr>
          <w:rFonts w:ascii="Helvetica" w:hAnsi="Helvetica"/>
          <w:color w:val="auto"/>
          <w:sz w:val="20"/>
          <w:szCs w:val="20"/>
          <w:vertAlign w:val="superscript"/>
        </w:rPr>
        <w:t>tm</w:t>
      </w:r>
      <w:proofErr w:type="spellEnd"/>
      <w:r w:rsidRPr="0091040C">
        <w:rPr>
          <w:rFonts w:ascii="Helvetica" w:hAnsi="Helvetica"/>
          <w:color w:val="auto"/>
          <w:sz w:val="20"/>
          <w:szCs w:val="20"/>
          <w:vertAlign w:val="superscript"/>
        </w:rPr>
        <w:t xml:space="preserve">) </w:t>
      </w:r>
      <w:r w:rsidRPr="0091040C">
        <w:rPr>
          <w:rFonts w:ascii="Helvetica" w:hAnsi="Helvetica"/>
          <w:color w:val="auto"/>
          <w:sz w:val="20"/>
          <w:szCs w:val="20"/>
        </w:rPr>
        <w:t xml:space="preserve"> versus</w:t>
      </w:r>
      <w:proofErr w:type="gramEnd"/>
      <w:r w:rsidRPr="0091040C">
        <w:rPr>
          <w:rFonts w:ascii="Helvetica" w:hAnsi="Helvetica"/>
          <w:color w:val="auto"/>
          <w:sz w:val="20"/>
          <w:szCs w:val="20"/>
        </w:rPr>
        <w:t xml:space="preserve"> laboratory culture  in respect with the bacterial quantification and purity of growth (either no growth, pure growth or mixed growth)).</w:t>
      </w:r>
      <w:r w:rsidRPr="0091040C">
        <w:rPr>
          <w:rFonts w:ascii="Helvetica" w:hAnsi="Helvetica"/>
          <w:color w:val="auto"/>
          <w:sz w:val="20"/>
          <w:szCs w:val="20"/>
        </w:rPr>
        <w:br/>
      </w:r>
      <w:r w:rsidRPr="0091040C">
        <w:rPr>
          <w:rFonts w:ascii="Helvetica" w:hAnsi="Helvetica"/>
          <w:b w:val="0"/>
          <w:i/>
          <w:color w:val="auto"/>
          <w:sz w:val="20"/>
          <w:szCs w:val="20"/>
        </w:rPr>
        <w:t xml:space="preserve">Abbreviations : </w:t>
      </w:r>
      <w:proofErr w:type="spellStart"/>
      <w:r w:rsidRPr="0091040C">
        <w:rPr>
          <w:rFonts w:ascii="Helvetica" w:hAnsi="Helvetica"/>
          <w:b w:val="0"/>
          <w:i/>
          <w:color w:val="auto"/>
          <w:sz w:val="20"/>
          <w:szCs w:val="20"/>
        </w:rPr>
        <w:t>pred</w:t>
      </w:r>
      <w:proofErr w:type="spellEnd"/>
      <w:r w:rsidRPr="0091040C">
        <w:rPr>
          <w:rFonts w:ascii="Helvetica" w:hAnsi="Helvetica"/>
          <w:b w:val="0"/>
          <w:i/>
          <w:color w:val="auto"/>
          <w:sz w:val="20"/>
          <w:szCs w:val="20"/>
        </w:rPr>
        <w:t>, predominant</w:t>
      </w:r>
    </w:p>
    <w:tbl>
      <w:tblPr>
        <w:tblpPr w:leftFromText="180" w:rightFromText="180" w:vertAnchor="text" w:horzAnchor="page" w:tblpX="6430" w:tblpY="687"/>
        <w:tblW w:w="5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200"/>
        <w:gridCol w:w="1133"/>
        <w:gridCol w:w="923"/>
        <w:gridCol w:w="709"/>
      </w:tblGrid>
      <w:tr w:rsidR="000F63F9" w:rsidRPr="00744462" w14:paraId="7418D884" w14:textId="77777777" w:rsidTr="008255B1">
        <w:trPr>
          <w:trHeight w:val="15"/>
        </w:trPr>
        <w:tc>
          <w:tcPr>
            <w:tcW w:w="1421" w:type="dxa"/>
            <w:vMerge w:val="restart"/>
            <w:tcBorders>
              <w:top w:val="single" w:sz="4" w:space="0" w:color="auto"/>
              <w:left w:val="single" w:sz="4" w:space="0" w:color="auto"/>
              <w:right w:val="nil"/>
            </w:tcBorders>
            <w:shd w:val="clear" w:color="auto" w:fill="auto"/>
          </w:tcPr>
          <w:p w14:paraId="10F49125" w14:textId="77777777" w:rsidR="000F63F9" w:rsidRPr="00744462" w:rsidRDefault="000F63F9" w:rsidP="008255B1">
            <w:pPr>
              <w:spacing w:after="0" w:line="240" w:lineRule="auto"/>
              <w:rPr>
                <w:rFonts w:ascii="Helvetica" w:hAnsi="Helvetica" w:cs="Times New Roman"/>
                <w:i/>
                <w:sz w:val="20"/>
                <w:szCs w:val="20"/>
              </w:rPr>
            </w:pPr>
            <w:r w:rsidRPr="00744462">
              <w:rPr>
                <w:rFonts w:ascii="Helvetica" w:hAnsi="Helvetica" w:cs="Times New Roman"/>
                <w:b/>
                <w:sz w:val="20"/>
                <w:szCs w:val="20"/>
              </w:rPr>
              <w:t>Threshold growth</w:t>
            </w:r>
            <w:r w:rsidRPr="00744462">
              <w:rPr>
                <w:rFonts w:ascii="Helvetica" w:hAnsi="Helvetica" w:cs="Times New Roman"/>
                <w:b/>
                <w:sz w:val="20"/>
                <w:szCs w:val="20"/>
              </w:rPr>
              <w:br/>
            </w:r>
            <w:r w:rsidRPr="00744462">
              <w:rPr>
                <w:rFonts w:ascii="Helvetica" w:hAnsi="Helvetica" w:cs="Times New Roman"/>
                <w:i/>
                <w:sz w:val="20"/>
                <w:szCs w:val="20"/>
              </w:rPr>
              <w:t>n=276</w:t>
            </w:r>
          </w:p>
        </w:tc>
        <w:tc>
          <w:tcPr>
            <w:tcW w:w="2333" w:type="dxa"/>
            <w:gridSpan w:val="2"/>
            <w:tcBorders>
              <w:top w:val="single" w:sz="4" w:space="0" w:color="auto"/>
              <w:left w:val="nil"/>
              <w:bottom w:val="nil"/>
              <w:right w:val="nil"/>
            </w:tcBorders>
            <w:shd w:val="clear" w:color="auto" w:fill="auto"/>
          </w:tcPr>
          <w:p w14:paraId="1170EF5E" w14:textId="77777777" w:rsidR="000F63F9" w:rsidRPr="00744462" w:rsidRDefault="000F63F9" w:rsidP="008255B1">
            <w:pPr>
              <w:spacing w:after="0" w:line="240" w:lineRule="auto"/>
              <w:rPr>
                <w:rFonts w:ascii="Helvetica" w:hAnsi="Helvetica" w:cs="Times New Roman"/>
                <w:sz w:val="20"/>
                <w:szCs w:val="20"/>
                <w:u w:val="single"/>
              </w:rPr>
            </w:pPr>
            <w:r w:rsidRPr="00744462">
              <w:rPr>
                <w:rFonts w:ascii="Helvetica" w:hAnsi="Helvetica" w:cs="Times New Roman"/>
                <w:b/>
                <w:sz w:val="20"/>
                <w:szCs w:val="20"/>
                <w:u w:val="single"/>
              </w:rPr>
              <w:t>Laboratory</w:t>
            </w:r>
          </w:p>
        </w:tc>
        <w:tc>
          <w:tcPr>
            <w:tcW w:w="923" w:type="dxa"/>
            <w:tcBorders>
              <w:top w:val="single" w:sz="4" w:space="0" w:color="auto"/>
              <w:left w:val="nil"/>
              <w:bottom w:val="nil"/>
              <w:right w:val="nil"/>
            </w:tcBorders>
            <w:shd w:val="clear" w:color="auto" w:fill="auto"/>
          </w:tcPr>
          <w:p w14:paraId="349BA218" w14:textId="77777777" w:rsidR="000F63F9" w:rsidRPr="00744462" w:rsidRDefault="000F63F9" w:rsidP="008255B1">
            <w:pPr>
              <w:spacing w:after="0" w:line="240" w:lineRule="auto"/>
              <w:rPr>
                <w:rFonts w:ascii="Helvetica" w:hAnsi="Helvetica" w:cs="Times New Roman"/>
                <w:sz w:val="20"/>
                <w:szCs w:val="20"/>
                <w:u w:val="single"/>
              </w:rPr>
            </w:pPr>
          </w:p>
        </w:tc>
        <w:tc>
          <w:tcPr>
            <w:tcW w:w="709" w:type="dxa"/>
            <w:tcBorders>
              <w:top w:val="single" w:sz="4" w:space="0" w:color="auto"/>
              <w:left w:val="nil"/>
              <w:bottom w:val="nil"/>
              <w:right w:val="single" w:sz="4" w:space="0" w:color="auto"/>
            </w:tcBorders>
            <w:shd w:val="clear" w:color="auto" w:fill="auto"/>
          </w:tcPr>
          <w:p w14:paraId="51A64E5B" w14:textId="77777777" w:rsidR="000F63F9" w:rsidRPr="00744462" w:rsidRDefault="000F63F9" w:rsidP="008255B1">
            <w:pPr>
              <w:spacing w:after="0" w:line="240" w:lineRule="auto"/>
              <w:rPr>
                <w:rFonts w:ascii="Helvetica" w:hAnsi="Helvetica" w:cs="Times New Roman"/>
                <w:sz w:val="20"/>
                <w:szCs w:val="20"/>
                <w:u w:val="single"/>
              </w:rPr>
            </w:pPr>
          </w:p>
        </w:tc>
      </w:tr>
      <w:tr w:rsidR="000F63F9" w:rsidRPr="00744462" w14:paraId="0E605DC2" w14:textId="77777777" w:rsidTr="008255B1">
        <w:trPr>
          <w:trHeight w:val="15"/>
        </w:trPr>
        <w:tc>
          <w:tcPr>
            <w:tcW w:w="1421" w:type="dxa"/>
            <w:vMerge/>
            <w:tcBorders>
              <w:left w:val="single" w:sz="4" w:space="0" w:color="auto"/>
              <w:right w:val="nil"/>
            </w:tcBorders>
            <w:shd w:val="clear" w:color="auto" w:fill="auto"/>
          </w:tcPr>
          <w:p w14:paraId="78372986" w14:textId="77777777" w:rsidR="000F63F9" w:rsidRPr="00744462" w:rsidRDefault="000F63F9" w:rsidP="008255B1">
            <w:pPr>
              <w:spacing w:after="0" w:line="240" w:lineRule="auto"/>
              <w:rPr>
                <w:rFonts w:ascii="Helvetica" w:hAnsi="Helvetica" w:cs="Times New Roman"/>
                <w:sz w:val="20"/>
                <w:szCs w:val="20"/>
              </w:rPr>
            </w:pPr>
          </w:p>
        </w:tc>
        <w:tc>
          <w:tcPr>
            <w:tcW w:w="1200" w:type="dxa"/>
            <w:tcBorders>
              <w:top w:val="nil"/>
              <w:left w:val="nil"/>
              <w:right w:val="nil"/>
            </w:tcBorders>
            <w:shd w:val="clear" w:color="auto" w:fill="auto"/>
            <w:vAlign w:val="center"/>
          </w:tcPr>
          <w:p w14:paraId="7740F755"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bCs/>
                <w:sz w:val="20"/>
                <w:szCs w:val="20"/>
                <w:lang w:val="en-US"/>
              </w:rPr>
              <w:t>&lt;10e3 CFU/mL</w:t>
            </w:r>
          </w:p>
        </w:tc>
        <w:tc>
          <w:tcPr>
            <w:tcW w:w="1133" w:type="dxa"/>
            <w:tcBorders>
              <w:top w:val="nil"/>
              <w:left w:val="nil"/>
              <w:right w:val="nil"/>
            </w:tcBorders>
            <w:shd w:val="clear" w:color="auto" w:fill="auto"/>
            <w:vAlign w:val="center"/>
          </w:tcPr>
          <w:p w14:paraId="125D6940"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bCs/>
                <w:sz w:val="20"/>
                <w:szCs w:val="20"/>
                <w:lang w:val="en-US"/>
              </w:rPr>
              <w:t>10e3-10e5 CFU/mL</w:t>
            </w:r>
          </w:p>
        </w:tc>
        <w:tc>
          <w:tcPr>
            <w:tcW w:w="923" w:type="dxa"/>
            <w:tcBorders>
              <w:top w:val="nil"/>
              <w:left w:val="nil"/>
              <w:right w:val="nil"/>
            </w:tcBorders>
            <w:shd w:val="clear" w:color="auto" w:fill="auto"/>
            <w:vAlign w:val="center"/>
          </w:tcPr>
          <w:p w14:paraId="249B68FC"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bCs/>
                <w:sz w:val="20"/>
                <w:szCs w:val="20"/>
                <w:lang w:val="en-US"/>
              </w:rPr>
              <w:t>&gt;10e5 CFU/mL</w:t>
            </w:r>
          </w:p>
        </w:tc>
        <w:tc>
          <w:tcPr>
            <w:tcW w:w="709" w:type="dxa"/>
            <w:tcBorders>
              <w:top w:val="nil"/>
              <w:left w:val="nil"/>
              <w:right w:val="single" w:sz="4" w:space="0" w:color="auto"/>
            </w:tcBorders>
            <w:shd w:val="clear" w:color="auto" w:fill="auto"/>
            <w:vAlign w:val="center"/>
          </w:tcPr>
          <w:p w14:paraId="79174FE1"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Total</w:t>
            </w:r>
          </w:p>
        </w:tc>
      </w:tr>
      <w:tr w:rsidR="000F63F9" w:rsidRPr="00744462" w14:paraId="7CE58435" w14:textId="77777777" w:rsidTr="008255B1">
        <w:trPr>
          <w:trHeight w:val="280"/>
        </w:trPr>
        <w:tc>
          <w:tcPr>
            <w:tcW w:w="5386" w:type="dxa"/>
            <w:gridSpan w:val="5"/>
            <w:tcBorders>
              <w:left w:val="single" w:sz="4" w:space="0" w:color="auto"/>
              <w:bottom w:val="nil"/>
              <w:right w:val="single" w:sz="4" w:space="0" w:color="auto"/>
            </w:tcBorders>
            <w:shd w:val="clear" w:color="auto" w:fill="auto"/>
          </w:tcPr>
          <w:p w14:paraId="21F98810" w14:textId="77777777" w:rsidR="000F63F9" w:rsidRPr="00677F3A" w:rsidRDefault="000F63F9" w:rsidP="008255B1">
            <w:pPr>
              <w:spacing w:after="0" w:line="240" w:lineRule="auto"/>
              <w:rPr>
                <w:rFonts w:ascii="Helvetica" w:hAnsi="Helvetica" w:cs="Times New Roman"/>
                <w:sz w:val="20"/>
                <w:szCs w:val="20"/>
                <w:u w:val="single"/>
              </w:rPr>
            </w:pPr>
            <w:r w:rsidRPr="00677F3A">
              <w:rPr>
                <w:rFonts w:ascii="Helvetica" w:hAnsi="Helvetica" w:cs="Times New Roman"/>
                <w:b/>
                <w:sz w:val="20"/>
                <w:szCs w:val="20"/>
                <w:u w:val="single"/>
              </w:rPr>
              <w:t>Flexicult</w:t>
            </w:r>
            <w:r w:rsidRPr="00677F3A">
              <w:rPr>
                <w:rFonts w:ascii="Helvetica" w:hAnsi="Helvetica" w:cs="Times New Roman"/>
                <w:b/>
                <w:sz w:val="20"/>
                <w:szCs w:val="20"/>
                <w:u w:val="single"/>
                <w:vertAlign w:val="superscript"/>
              </w:rPr>
              <w:t>TM</w:t>
            </w:r>
          </w:p>
        </w:tc>
      </w:tr>
      <w:tr w:rsidR="000F63F9" w:rsidRPr="00744462" w14:paraId="4184E5DD" w14:textId="77777777" w:rsidTr="008255B1">
        <w:trPr>
          <w:trHeight w:val="518"/>
        </w:trPr>
        <w:tc>
          <w:tcPr>
            <w:tcW w:w="1421" w:type="dxa"/>
            <w:tcBorders>
              <w:top w:val="nil"/>
              <w:left w:val="single" w:sz="4" w:space="0" w:color="auto"/>
              <w:bottom w:val="nil"/>
              <w:right w:val="nil"/>
            </w:tcBorders>
            <w:shd w:val="clear" w:color="auto" w:fill="auto"/>
          </w:tcPr>
          <w:p w14:paraId="0C0DE084"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bCs/>
                <w:sz w:val="20"/>
                <w:szCs w:val="20"/>
                <w:lang w:val="en-US"/>
              </w:rPr>
              <w:t>&lt;10e3 CFU/mL</w:t>
            </w:r>
          </w:p>
        </w:tc>
        <w:tc>
          <w:tcPr>
            <w:tcW w:w="1200" w:type="dxa"/>
            <w:tcBorders>
              <w:top w:val="nil"/>
              <w:left w:val="nil"/>
              <w:bottom w:val="nil"/>
              <w:right w:val="nil"/>
            </w:tcBorders>
            <w:shd w:val="clear" w:color="auto" w:fill="auto"/>
          </w:tcPr>
          <w:p w14:paraId="0B6AD3CA"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32</w:t>
            </w:r>
          </w:p>
        </w:tc>
        <w:tc>
          <w:tcPr>
            <w:tcW w:w="1133" w:type="dxa"/>
            <w:tcBorders>
              <w:top w:val="nil"/>
              <w:left w:val="nil"/>
              <w:bottom w:val="nil"/>
              <w:right w:val="nil"/>
            </w:tcBorders>
            <w:shd w:val="clear" w:color="auto" w:fill="auto"/>
          </w:tcPr>
          <w:p w14:paraId="1C4BA9D4"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20</w:t>
            </w:r>
          </w:p>
        </w:tc>
        <w:tc>
          <w:tcPr>
            <w:tcW w:w="923" w:type="dxa"/>
            <w:tcBorders>
              <w:top w:val="nil"/>
              <w:left w:val="nil"/>
              <w:bottom w:val="nil"/>
              <w:right w:val="nil"/>
            </w:tcBorders>
            <w:shd w:val="clear" w:color="auto" w:fill="auto"/>
          </w:tcPr>
          <w:p w14:paraId="1DBEDB65"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20</w:t>
            </w:r>
          </w:p>
        </w:tc>
        <w:tc>
          <w:tcPr>
            <w:tcW w:w="709" w:type="dxa"/>
            <w:tcBorders>
              <w:top w:val="nil"/>
              <w:left w:val="nil"/>
              <w:bottom w:val="nil"/>
              <w:right w:val="single" w:sz="4" w:space="0" w:color="auto"/>
            </w:tcBorders>
            <w:shd w:val="clear" w:color="auto" w:fill="auto"/>
          </w:tcPr>
          <w:p w14:paraId="3DF38011"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72</w:t>
            </w:r>
          </w:p>
        </w:tc>
      </w:tr>
      <w:tr w:rsidR="000F63F9" w:rsidRPr="00744462" w14:paraId="469B3E54" w14:textId="77777777" w:rsidTr="008255B1">
        <w:trPr>
          <w:trHeight w:val="583"/>
        </w:trPr>
        <w:tc>
          <w:tcPr>
            <w:tcW w:w="1421" w:type="dxa"/>
            <w:tcBorders>
              <w:top w:val="nil"/>
              <w:left w:val="single" w:sz="4" w:space="0" w:color="auto"/>
              <w:bottom w:val="nil"/>
              <w:right w:val="nil"/>
            </w:tcBorders>
            <w:shd w:val="clear" w:color="auto" w:fill="auto"/>
          </w:tcPr>
          <w:p w14:paraId="22733963"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bCs/>
                <w:sz w:val="20"/>
                <w:szCs w:val="20"/>
                <w:lang w:val="en-US"/>
              </w:rPr>
              <w:t>10e3-10e5 CFU/mL</w:t>
            </w:r>
          </w:p>
        </w:tc>
        <w:tc>
          <w:tcPr>
            <w:tcW w:w="1200" w:type="dxa"/>
            <w:tcBorders>
              <w:top w:val="nil"/>
              <w:left w:val="nil"/>
              <w:bottom w:val="nil"/>
              <w:right w:val="nil"/>
            </w:tcBorders>
            <w:shd w:val="clear" w:color="auto" w:fill="auto"/>
          </w:tcPr>
          <w:p w14:paraId="396D463C"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38</w:t>
            </w:r>
          </w:p>
        </w:tc>
        <w:tc>
          <w:tcPr>
            <w:tcW w:w="1133" w:type="dxa"/>
            <w:tcBorders>
              <w:top w:val="nil"/>
              <w:left w:val="nil"/>
              <w:bottom w:val="nil"/>
              <w:right w:val="nil"/>
            </w:tcBorders>
            <w:shd w:val="clear" w:color="auto" w:fill="auto"/>
          </w:tcPr>
          <w:p w14:paraId="302C3946"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27</w:t>
            </w:r>
          </w:p>
        </w:tc>
        <w:tc>
          <w:tcPr>
            <w:tcW w:w="923" w:type="dxa"/>
            <w:tcBorders>
              <w:top w:val="nil"/>
              <w:left w:val="nil"/>
              <w:bottom w:val="nil"/>
              <w:right w:val="nil"/>
            </w:tcBorders>
            <w:shd w:val="clear" w:color="auto" w:fill="auto"/>
          </w:tcPr>
          <w:p w14:paraId="2B9E053A"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23</w:t>
            </w:r>
          </w:p>
        </w:tc>
        <w:tc>
          <w:tcPr>
            <w:tcW w:w="709" w:type="dxa"/>
            <w:tcBorders>
              <w:top w:val="nil"/>
              <w:left w:val="nil"/>
              <w:bottom w:val="nil"/>
              <w:right w:val="single" w:sz="4" w:space="0" w:color="auto"/>
            </w:tcBorders>
            <w:shd w:val="clear" w:color="auto" w:fill="auto"/>
          </w:tcPr>
          <w:p w14:paraId="683B50E5"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88</w:t>
            </w:r>
          </w:p>
        </w:tc>
      </w:tr>
      <w:tr w:rsidR="000F63F9" w:rsidRPr="00744462" w14:paraId="63AB52D3" w14:textId="77777777" w:rsidTr="008255B1">
        <w:trPr>
          <w:trHeight w:val="500"/>
        </w:trPr>
        <w:tc>
          <w:tcPr>
            <w:tcW w:w="1421" w:type="dxa"/>
            <w:tcBorders>
              <w:top w:val="nil"/>
              <w:left w:val="single" w:sz="4" w:space="0" w:color="auto"/>
              <w:bottom w:val="nil"/>
              <w:right w:val="nil"/>
            </w:tcBorders>
            <w:shd w:val="clear" w:color="auto" w:fill="auto"/>
          </w:tcPr>
          <w:p w14:paraId="4CB2EDE3"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bCs/>
                <w:sz w:val="20"/>
                <w:szCs w:val="20"/>
                <w:lang w:val="en-US"/>
              </w:rPr>
              <w:t>≥10e5 CFU/mL</w:t>
            </w:r>
          </w:p>
        </w:tc>
        <w:tc>
          <w:tcPr>
            <w:tcW w:w="1200" w:type="dxa"/>
            <w:tcBorders>
              <w:top w:val="nil"/>
              <w:left w:val="nil"/>
              <w:bottom w:val="nil"/>
              <w:right w:val="nil"/>
            </w:tcBorders>
            <w:shd w:val="clear" w:color="auto" w:fill="auto"/>
          </w:tcPr>
          <w:p w14:paraId="075D0159"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24</w:t>
            </w:r>
          </w:p>
        </w:tc>
        <w:tc>
          <w:tcPr>
            <w:tcW w:w="1133" w:type="dxa"/>
            <w:tcBorders>
              <w:top w:val="nil"/>
              <w:left w:val="nil"/>
              <w:bottom w:val="nil"/>
              <w:right w:val="nil"/>
            </w:tcBorders>
            <w:shd w:val="clear" w:color="auto" w:fill="auto"/>
          </w:tcPr>
          <w:p w14:paraId="16096BAE"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31</w:t>
            </w:r>
          </w:p>
        </w:tc>
        <w:tc>
          <w:tcPr>
            <w:tcW w:w="923" w:type="dxa"/>
            <w:tcBorders>
              <w:top w:val="nil"/>
              <w:left w:val="nil"/>
              <w:bottom w:val="nil"/>
              <w:right w:val="nil"/>
            </w:tcBorders>
            <w:shd w:val="clear" w:color="auto" w:fill="auto"/>
          </w:tcPr>
          <w:p w14:paraId="0274BC78"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61</w:t>
            </w:r>
          </w:p>
        </w:tc>
        <w:tc>
          <w:tcPr>
            <w:tcW w:w="709" w:type="dxa"/>
            <w:tcBorders>
              <w:top w:val="nil"/>
              <w:left w:val="nil"/>
              <w:bottom w:val="nil"/>
              <w:right w:val="single" w:sz="4" w:space="0" w:color="auto"/>
            </w:tcBorders>
            <w:shd w:val="clear" w:color="auto" w:fill="auto"/>
          </w:tcPr>
          <w:p w14:paraId="536EFB4B"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116</w:t>
            </w:r>
          </w:p>
        </w:tc>
      </w:tr>
      <w:tr w:rsidR="000F63F9" w:rsidRPr="00744462" w14:paraId="120E6325" w14:textId="77777777" w:rsidTr="008255B1">
        <w:trPr>
          <w:trHeight w:val="388"/>
        </w:trPr>
        <w:tc>
          <w:tcPr>
            <w:tcW w:w="1421" w:type="dxa"/>
            <w:tcBorders>
              <w:top w:val="nil"/>
              <w:left w:val="single" w:sz="4" w:space="0" w:color="auto"/>
              <w:bottom w:val="single" w:sz="4" w:space="0" w:color="auto"/>
              <w:right w:val="nil"/>
            </w:tcBorders>
            <w:shd w:val="clear" w:color="auto" w:fill="auto"/>
          </w:tcPr>
          <w:p w14:paraId="3E954CAF"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bCs/>
                <w:sz w:val="20"/>
                <w:szCs w:val="20"/>
                <w:lang w:val="en-US"/>
              </w:rPr>
              <w:t>Total</w:t>
            </w:r>
          </w:p>
        </w:tc>
        <w:tc>
          <w:tcPr>
            <w:tcW w:w="1200" w:type="dxa"/>
            <w:tcBorders>
              <w:top w:val="nil"/>
              <w:left w:val="nil"/>
              <w:bottom w:val="single" w:sz="4" w:space="0" w:color="auto"/>
              <w:right w:val="nil"/>
            </w:tcBorders>
            <w:shd w:val="clear" w:color="auto" w:fill="auto"/>
          </w:tcPr>
          <w:p w14:paraId="00AB9BDC"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94</w:t>
            </w:r>
          </w:p>
        </w:tc>
        <w:tc>
          <w:tcPr>
            <w:tcW w:w="1133" w:type="dxa"/>
            <w:tcBorders>
              <w:top w:val="nil"/>
              <w:left w:val="nil"/>
              <w:bottom w:val="single" w:sz="4" w:space="0" w:color="auto"/>
              <w:right w:val="nil"/>
            </w:tcBorders>
            <w:shd w:val="clear" w:color="auto" w:fill="auto"/>
          </w:tcPr>
          <w:p w14:paraId="528708EF"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78</w:t>
            </w:r>
          </w:p>
        </w:tc>
        <w:tc>
          <w:tcPr>
            <w:tcW w:w="923" w:type="dxa"/>
            <w:tcBorders>
              <w:top w:val="nil"/>
              <w:left w:val="nil"/>
              <w:bottom w:val="single" w:sz="4" w:space="0" w:color="auto"/>
              <w:right w:val="nil"/>
            </w:tcBorders>
            <w:shd w:val="clear" w:color="auto" w:fill="auto"/>
          </w:tcPr>
          <w:p w14:paraId="216E93A4"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104</w:t>
            </w:r>
          </w:p>
        </w:tc>
        <w:tc>
          <w:tcPr>
            <w:tcW w:w="709" w:type="dxa"/>
            <w:tcBorders>
              <w:top w:val="nil"/>
              <w:left w:val="nil"/>
              <w:bottom w:val="single" w:sz="4" w:space="0" w:color="auto"/>
              <w:right w:val="single" w:sz="4" w:space="0" w:color="auto"/>
            </w:tcBorders>
            <w:shd w:val="clear" w:color="auto" w:fill="auto"/>
          </w:tcPr>
          <w:p w14:paraId="2A22BF37"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276</w:t>
            </w:r>
          </w:p>
        </w:tc>
      </w:tr>
      <w:tr w:rsidR="000F63F9" w:rsidRPr="00744462" w14:paraId="7647398A" w14:textId="77777777" w:rsidTr="008255B1">
        <w:trPr>
          <w:trHeight w:val="279"/>
        </w:trPr>
        <w:tc>
          <w:tcPr>
            <w:tcW w:w="3754" w:type="dxa"/>
            <w:gridSpan w:val="3"/>
            <w:tcBorders>
              <w:top w:val="nil"/>
              <w:left w:val="single" w:sz="4" w:space="0" w:color="auto"/>
              <w:bottom w:val="nil"/>
              <w:right w:val="nil"/>
            </w:tcBorders>
            <w:shd w:val="clear" w:color="auto" w:fill="auto"/>
          </w:tcPr>
          <w:p w14:paraId="4CFE44D4"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b/>
                <w:sz w:val="20"/>
                <w:szCs w:val="20"/>
              </w:rPr>
              <w:t>Statistical measurements</w:t>
            </w:r>
          </w:p>
        </w:tc>
        <w:tc>
          <w:tcPr>
            <w:tcW w:w="923" w:type="dxa"/>
            <w:tcBorders>
              <w:top w:val="nil"/>
              <w:left w:val="nil"/>
              <w:bottom w:val="nil"/>
              <w:right w:val="nil"/>
            </w:tcBorders>
            <w:shd w:val="clear" w:color="auto" w:fill="auto"/>
          </w:tcPr>
          <w:p w14:paraId="51A3504E" w14:textId="77777777" w:rsidR="000F63F9" w:rsidRPr="00744462" w:rsidRDefault="000F63F9" w:rsidP="008255B1">
            <w:pPr>
              <w:spacing w:after="0" w:line="240" w:lineRule="auto"/>
              <w:rPr>
                <w:rFonts w:ascii="Helvetica" w:hAnsi="Helvetica" w:cs="Times New Roman"/>
                <w:sz w:val="20"/>
                <w:szCs w:val="20"/>
              </w:rPr>
            </w:pPr>
          </w:p>
        </w:tc>
        <w:tc>
          <w:tcPr>
            <w:tcW w:w="709" w:type="dxa"/>
            <w:tcBorders>
              <w:top w:val="nil"/>
              <w:left w:val="nil"/>
              <w:bottom w:val="nil"/>
              <w:right w:val="single" w:sz="4" w:space="0" w:color="auto"/>
            </w:tcBorders>
            <w:shd w:val="clear" w:color="auto" w:fill="auto"/>
          </w:tcPr>
          <w:p w14:paraId="014CB1A2" w14:textId="77777777" w:rsidR="000F63F9" w:rsidRPr="00744462" w:rsidRDefault="000F63F9" w:rsidP="008255B1">
            <w:pPr>
              <w:spacing w:after="0" w:line="240" w:lineRule="auto"/>
              <w:rPr>
                <w:rFonts w:ascii="Helvetica" w:hAnsi="Helvetica" w:cs="Times New Roman"/>
                <w:sz w:val="20"/>
                <w:szCs w:val="20"/>
              </w:rPr>
            </w:pPr>
          </w:p>
        </w:tc>
      </w:tr>
      <w:tr w:rsidR="000F63F9" w:rsidRPr="00744462" w14:paraId="6C84817B" w14:textId="77777777" w:rsidTr="008255B1">
        <w:trPr>
          <w:trHeight w:val="15"/>
        </w:trPr>
        <w:tc>
          <w:tcPr>
            <w:tcW w:w="5386" w:type="dxa"/>
            <w:gridSpan w:val="5"/>
            <w:tcBorders>
              <w:top w:val="nil"/>
              <w:left w:val="single" w:sz="4" w:space="0" w:color="auto"/>
              <w:bottom w:val="nil"/>
              <w:right w:val="single" w:sz="4" w:space="0" w:color="auto"/>
            </w:tcBorders>
            <w:shd w:val="clear" w:color="auto" w:fill="auto"/>
          </w:tcPr>
          <w:p w14:paraId="25774AFD"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 xml:space="preserve">Kappa </w:t>
            </w:r>
            <w:r w:rsidRPr="00744462">
              <w:rPr>
                <w:rFonts w:ascii="Helvetica" w:hAnsi="Helvetica" w:cs="Times New Roman"/>
                <w:i/>
                <w:sz w:val="20"/>
                <w:szCs w:val="20"/>
              </w:rPr>
              <w:t>(95%CI)</w:t>
            </w:r>
            <w:r>
              <w:rPr>
                <w:rFonts w:ascii="Helvetica" w:hAnsi="Helvetica" w:cs="Times New Roman"/>
                <w:i/>
                <w:sz w:val="20"/>
                <w:szCs w:val="20"/>
              </w:rPr>
              <w:t xml:space="preserve">    </w:t>
            </w:r>
            <w:r w:rsidRPr="00744462">
              <w:rPr>
                <w:rFonts w:ascii="Helvetica" w:hAnsi="Helvetica" w:cs="Times New Roman"/>
                <w:sz w:val="20"/>
                <w:szCs w:val="20"/>
              </w:rPr>
              <w:t>0.147 (0.061-0.233)</w:t>
            </w:r>
          </w:p>
        </w:tc>
      </w:tr>
      <w:tr w:rsidR="000F63F9" w:rsidRPr="00744462" w14:paraId="4BA48984" w14:textId="77777777" w:rsidTr="008255B1">
        <w:trPr>
          <w:trHeight w:val="247"/>
        </w:trPr>
        <w:tc>
          <w:tcPr>
            <w:tcW w:w="1421" w:type="dxa"/>
            <w:tcBorders>
              <w:top w:val="nil"/>
              <w:left w:val="single" w:sz="4" w:space="0" w:color="auto"/>
              <w:bottom w:val="single" w:sz="4" w:space="0" w:color="auto"/>
              <w:right w:val="nil"/>
            </w:tcBorders>
            <w:shd w:val="clear" w:color="auto" w:fill="auto"/>
          </w:tcPr>
          <w:p w14:paraId="32684704"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Error rate</w:t>
            </w:r>
          </w:p>
        </w:tc>
        <w:tc>
          <w:tcPr>
            <w:tcW w:w="2333" w:type="dxa"/>
            <w:gridSpan w:val="2"/>
            <w:tcBorders>
              <w:top w:val="nil"/>
              <w:left w:val="nil"/>
              <w:bottom w:val="single" w:sz="4" w:space="0" w:color="auto"/>
              <w:right w:val="nil"/>
            </w:tcBorders>
            <w:shd w:val="clear" w:color="auto" w:fill="auto"/>
          </w:tcPr>
          <w:p w14:paraId="65793DB1" w14:textId="77777777" w:rsidR="000F63F9" w:rsidRPr="00744462" w:rsidRDefault="000F63F9" w:rsidP="008255B1">
            <w:pPr>
              <w:spacing w:after="0" w:line="240" w:lineRule="auto"/>
              <w:rPr>
                <w:rFonts w:ascii="Helvetica" w:hAnsi="Helvetica" w:cs="Times New Roman"/>
                <w:sz w:val="20"/>
                <w:szCs w:val="20"/>
              </w:rPr>
            </w:pPr>
            <w:r>
              <w:rPr>
                <w:rFonts w:ascii="Helvetica" w:hAnsi="Helvetica" w:cs="Times New Roman"/>
                <w:sz w:val="20"/>
                <w:szCs w:val="20"/>
              </w:rPr>
              <w:t xml:space="preserve">      </w:t>
            </w:r>
            <w:r w:rsidRPr="00744462">
              <w:rPr>
                <w:rFonts w:ascii="Helvetica" w:hAnsi="Helvetica" w:cs="Times New Roman"/>
                <w:sz w:val="20"/>
                <w:szCs w:val="20"/>
              </w:rPr>
              <w:t>57%</w:t>
            </w:r>
          </w:p>
        </w:tc>
        <w:tc>
          <w:tcPr>
            <w:tcW w:w="923" w:type="dxa"/>
            <w:tcBorders>
              <w:top w:val="nil"/>
              <w:left w:val="nil"/>
              <w:bottom w:val="single" w:sz="4" w:space="0" w:color="auto"/>
              <w:right w:val="nil"/>
            </w:tcBorders>
            <w:shd w:val="clear" w:color="auto" w:fill="auto"/>
          </w:tcPr>
          <w:p w14:paraId="774095F3" w14:textId="77777777" w:rsidR="000F63F9" w:rsidRPr="00744462" w:rsidRDefault="000F63F9" w:rsidP="008255B1">
            <w:pPr>
              <w:spacing w:after="0" w:line="240" w:lineRule="auto"/>
              <w:rPr>
                <w:rFonts w:ascii="Helvetica" w:hAnsi="Helvetica" w:cs="Times New Roman"/>
                <w:sz w:val="20"/>
                <w:szCs w:val="20"/>
              </w:rPr>
            </w:pPr>
          </w:p>
        </w:tc>
        <w:tc>
          <w:tcPr>
            <w:tcW w:w="709" w:type="dxa"/>
            <w:tcBorders>
              <w:top w:val="nil"/>
              <w:left w:val="nil"/>
              <w:bottom w:val="single" w:sz="4" w:space="0" w:color="auto"/>
              <w:right w:val="single" w:sz="4" w:space="0" w:color="auto"/>
            </w:tcBorders>
            <w:shd w:val="clear" w:color="auto" w:fill="auto"/>
          </w:tcPr>
          <w:p w14:paraId="03C585A4" w14:textId="77777777" w:rsidR="000F63F9" w:rsidRPr="00744462" w:rsidRDefault="000F63F9" w:rsidP="008255B1">
            <w:pPr>
              <w:spacing w:after="0" w:line="240" w:lineRule="auto"/>
              <w:rPr>
                <w:rFonts w:ascii="Helvetica" w:hAnsi="Helvetica" w:cs="Times New Roman"/>
                <w:sz w:val="20"/>
                <w:szCs w:val="20"/>
              </w:rPr>
            </w:pPr>
          </w:p>
        </w:tc>
      </w:tr>
    </w:tbl>
    <w:p w14:paraId="023C7BDA" w14:textId="77777777" w:rsidR="000F63F9" w:rsidRPr="0091040C" w:rsidRDefault="000F63F9" w:rsidP="000F63F9">
      <w:pPr>
        <w:rPr>
          <w:rFonts w:ascii="Helvetica" w:hAnsi="Helvetica"/>
          <w:sz w:val="20"/>
          <w:szCs w:val="20"/>
        </w:rPr>
      </w:pPr>
    </w:p>
    <w:tbl>
      <w:tblPr>
        <w:tblpPr w:leftFromText="180" w:rightFromText="180" w:vertAnchor="text" w:horzAnchor="page" w:tblpX="490" w:tblpY="210"/>
        <w:tblW w:w="5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108"/>
        <w:gridCol w:w="117"/>
        <w:gridCol w:w="739"/>
        <w:gridCol w:w="142"/>
        <w:gridCol w:w="50"/>
        <w:gridCol w:w="663"/>
        <w:gridCol w:w="143"/>
        <w:gridCol w:w="50"/>
        <w:gridCol w:w="570"/>
        <w:gridCol w:w="121"/>
        <w:gridCol w:w="684"/>
        <w:gridCol w:w="50"/>
        <w:gridCol w:w="637"/>
      </w:tblGrid>
      <w:tr w:rsidR="000F63F9" w:rsidRPr="00744462" w14:paraId="51DEC66A" w14:textId="77777777" w:rsidTr="008255B1">
        <w:trPr>
          <w:trHeight w:val="20"/>
        </w:trPr>
        <w:tc>
          <w:tcPr>
            <w:tcW w:w="1737" w:type="dxa"/>
            <w:gridSpan w:val="2"/>
            <w:vMerge w:val="restart"/>
            <w:tcBorders>
              <w:top w:val="single" w:sz="4" w:space="0" w:color="auto"/>
              <w:left w:val="single" w:sz="4" w:space="0" w:color="auto"/>
              <w:right w:val="nil"/>
            </w:tcBorders>
            <w:shd w:val="clear" w:color="auto" w:fill="auto"/>
          </w:tcPr>
          <w:p w14:paraId="65680713" w14:textId="77777777" w:rsidR="000F63F9" w:rsidRPr="00744462" w:rsidRDefault="000F63F9" w:rsidP="008255B1">
            <w:pPr>
              <w:spacing w:after="0" w:line="240" w:lineRule="auto"/>
              <w:rPr>
                <w:rFonts w:ascii="Helvetica" w:hAnsi="Helvetica" w:cs="Times New Roman"/>
                <w:i/>
                <w:sz w:val="20"/>
                <w:szCs w:val="20"/>
              </w:rPr>
            </w:pPr>
            <w:r w:rsidRPr="00744462">
              <w:rPr>
                <w:rFonts w:ascii="Helvetica" w:hAnsi="Helvetica" w:cs="Times New Roman"/>
                <w:b/>
                <w:sz w:val="20"/>
                <w:szCs w:val="20"/>
              </w:rPr>
              <w:t>Bacterial growth</w:t>
            </w:r>
            <w:r w:rsidRPr="00744462">
              <w:rPr>
                <w:rFonts w:ascii="Helvetica" w:hAnsi="Helvetica" w:cs="Times New Roman"/>
                <w:b/>
                <w:sz w:val="20"/>
                <w:szCs w:val="20"/>
              </w:rPr>
              <w:br/>
            </w:r>
            <w:r w:rsidRPr="00744462">
              <w:rPr>
                <w:rFonts w:ascii="Helvetica" w:hAnsi="Helvetica" w:cs="Times New Roman"/>
                <w:i/>
                <w:sz w:val="20"/>
                <w:szCs w:val="20"/>
              </w:rPr>
              <w:t>n=294</w:t>
            </w:r>
          </w:p>
        </w:tc>
        <w:tc>
          <w:tcPr>
            <w:tcW w:w="1711" w:type="dxa"/>
            <w:gridSpan w:val="5"/>
            <w:tcBorders>
              <w:top w:val="single" w:sz="4" w:space="0" w:color="auto"/>
              <w:left w:val="nil"/>
              <w:bottom w:val="nil"/>
              <w:right w:val="nil"/>
            </w:tcBorders>
            <w:shd w:val="clear" w:color="auto" w:fill="auto"/>
          </w:tcPr>
          <w:p w14:paraId="62E45C8A" w14:textId="77777777" w:rsidR="000F63F9" w:rsidRPr="00744462" w:rsidRDefault="000F63F9" w:rsidP="008255B1">
            <w:pPr>
              <w:spacing w:after="0" w:line="240" w:lineRule="auto"/>
              <w:rPr>
                <w:rFonts w:ascii="Helvetica" w:hAnsi="Helvetica" w:cs="Times New Roman"/>
                <w:sz w:val="20"/>
                <w:szCs w:val="20"/>
                <w:u w:val="single"/>
                <w:vertAlign w:val="superscript"/>
              </w:rPr>
            </w:pPr>
            <w:r w:rsidRPr="00744462">
              <w:rPr>
                <w:rFonts w:ascii="Helvetica" w:hAnsi="Helvetica" w:cs="Times New Roman"/>
                <w:b/>
                <w:sz w:val="20"/>
                <w:szCs w:val="20"/>
                <w:u w:val="single"/>
              </w:rPr>
              <w:t>Laboratory</w:t>
            </w:r>
          </w:p>
        </w:tc>
        <w:tc>
          <w:tcPr>
            <w:tcW w:w="2255" w:type="dxa"/>
            <w:gridSpan w:val="7"/>
            <w:tcBorders>
              <w:top w:val="single" w:sz="4" w:space="0" w:color="auto"/>
              <w:left w:val="nil"/>
              <w:bottom w:val="nil"/>
              <w:right w:val="single" w:sz="4" w:space="0" w:color="auto"/>
            </w:tcBorders>
            <w:shd w:val="clear" w:color="auto" w:fill="auto"/>
          </w:tcPr>
          <w:p w14:paraId="6DBEF58B" w14:textId="77777777" w:rsidR="000F63F9" w:rsidRPr="00744462" w:rsidRDefault="000F63F9" w:rsidP="008255B1">
            <w:pPr>
              <w:spacing w:after="0" w:line="240" w:lineRule="auto"/>
              <w:rPr>
                <w:rFonts w:ascii="Helvetica" w:hAnsi="Helvetica" w:cs="Times New Roman"/>
                <w:sz w:val="20"/>
                <w:szCs w:val="20"/>
                <w:u w:val="single"/>
              </w:rPr>
            </w:pPr>
          </w:p>
        </w:tc>
      </w:tr>
      <w:tr w:rsidR="000F63F9" w:rsidRPr="00744462" w14:paraId="0440E5EF" w14:textId="77777777" w:rsidTr="008255B1">
        <w:trPr>
          <w:trHeight w:val="20"/>
        </w:trPr>
        <w:tc>
          <w:tcPr>
            <w:tcW w:w="1737" w:type="dxa"/>
            <w:gridSpan w:val="2"/>
            <w:vMerge/>
            <w:tcBorders>
              <w:left w:val="single" w:sz="4" w:space="0" w:color="auto"/>
              <w:bottom w:val="single" w:sz="4" w:space="0" w:color="auto"/>
              <w:right w:val="nil"/>
            </w:tcBorders>
            <w:shd w:val="clear" w:color="auto" w:fill="auto"/>
          </w:tcPr>
          <w:p w14:paraId="6A6EA028" w14:textId="77777777" w:rsidR="000F63F9" w:rsidRPr="00744462" w:rsidRDefault="000F63F9" w:rsidP="008255B1">
            <w:pPr>
              <w:spacing w:after="0" w:line="240" w:lineRule="auto"/>
              <w:rPr>
                <w:rFonts w:ascii="Helvetica" w:hAnsi="Helvetica" w:cs="Times New Roman"/>
                <w:sz w:val="20"/>
                <w:szCs w:val="20"/>
              </w:rPr>
            </w:pPr>
          </w:p>
        </w:tc>
        <w:tc>
          <w:tcPr>
            <w:tcW w:w="856" w:type="dxa"/>
            <w:gridSpan w:val="2"/>
            <w:tcBorders>
              <w:top w:val="nil"/>
              <w:left w:val="nil"/>
              <w:right w:val="nil"/>
            </w:tcBorders>
            <w:shd w:val="clear" w:color="auto" w:fill="auto"/>
            <w:vAlign w:val="center"/>
          </w:tcPr>
          <w:p w14:paraId="3102FB98"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bCs/>
                <w:sz w:val="20"/>
                <w:szCs w:val="20"/>
                <w:lang w:val="en-US"/>
              </w:rPr>
              <w:t>No growth</w:t>
            </w:r>
          </w:p>
        </w:tc>
        <w:tc>
          <w:tcPr>
            <w:tcW w:w="855" w:type="dxa"/>
            <w:gridSpan w:val="3"/>
            <w:tcBorders>
              <w:top w:val="nil"/>
              <w:left w:val="nil"/>
              <w:right w:val="nil"/>
            </w:tcBorders>
            <w:shd w:val="clear" w:color="auto" w:fill="auto"/>
            <w:vAlign w:val="center"/>
          </w:tcPr>
          <w:p w14:paraId="5A7AC09F"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bCs/>
                <w:sz w:val="20"/>
                <w:szCs w:val="20"/>
                <w:lang w:val="en-US"/>
              </w:rPr>
              <w:t>Mixed</w:t>
            </w:r>
            <w:r w:rsidRPr="00744462">
              <w:rPr>
                <w:rFonts w:ascii="Helvetica" w:hAnsi="Helvetica" w:cs="Times New Roman"/>
                <w:bCs/>
                <w:i/>
                <w:sz w:val="20"/>
                <w:szCs w:val="20"/>
                <w:lang w:val="en-US"/>
              </w:rPr>
              <w:br/>
              <w:t xml:space="preserve">not pred.  </w:t>
            </w:r>
          </w:p>
        </w:tc>
        <w:tc>
          <w:tcPr>
            <w:tcW w:w="884" w:type="dxa"/>
            <w:gridSpan w:val="4"/>
            <w:tcBorders>
              <w:top w:val="nil"/>
              <w:left w:val="nil"/>
              <w:right w:val="nil"/>
            </w:tcBorders>
            <w:shd w:val="clear" w:color="auto" w:fill="auto"/>
            <w:vAlign w:val="center"/>
          </w:tcPr>
          <w:p w14:paraId="323C7BC3"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Mixed</w:t>
            </w:r>
            <w:r w:rsidRPr="00744462">
              <w:rPr>
                <w:rFonts w:ascii="Helvetica" w:hAnsi="Helvetica" w:cs="Times New Roman"/>
                <w:sz w:val="20"/>
                <w:szCs w:val="20"/>
              </w:rPr>
              <w:br/>
            </w:r>
            <w:r w:rsidRPr="00744462">
              <w:rPr>
                <w:rFonts w:ascii="Helvetica" w:hAnsi="Helvetica" w:cs="Times New Roman"/>
                <w:i/>
                <w:sz w:val="20"/>
                <w:szCs w:val="20"/>
              </w:rPr>
              <w:t>pred.</w:t>
            </w:r>
          </w:p>
        </w:tc>
        <w:tc>
          <w:tcPr>
            <w:tcW w:w="684" w:type="dxa"/>
            <w:tcBorders>
              <w:top w:val="nil"/>
              <w:left w:val="nil"/>
              <w:right w:val="nil"/>
            </w:tcBorders>
            <w:shd w:val="clear" w:color="auto" w:fill="auto"/>
          </w:tcPr>
          <w:p w14:paraId="5564C62C"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bCs/>
                <w:sz w:val="20"/>
                <w:szCs w:val="20"/>
                <w:lang w:val="en-US"/>
              </w:rPr>
              <w:t>Pure growth</w:t>
            </w:r>
          </w:p>
        </w:tc>
        <w:tc>
          <w:tcPr>
            <w:tcW w:w="687" w:type="dxa"/>
            <w:gridSpan w:val="2"/>
            <w:tcBorders>
              <w:top w:val="nil"/>
              <w:left w:val="nil"/>
              <w:right w:val="single" w:sz="4" w:space="0" w:color="auto"/>
            </w:tcBorders>
            <w:shd w:val="clear" w:color="auto" w:fill="auto"/>
            <w:vAlign w:val="center"/>
          </w:tcPr>
          <w:p w14:paraId="16137A20"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Total</w:t>
            </w:r>
          </w:p>
        </w:tc>
      </w:tr>
      <w:tr w:rsidR="000F63F9" w:rsidRPr="00744462" w14:paraId="43173EBA" w14:textId="77777777" w:rsidTr="008255B1">
        <w:trPr>
          <w:trHeight w:val="285"/>
        </w:trPr>
        <w:tc>
          <w:tcPr>
            <w:tcW w:w="1629" w:type="dxa"/>
            <w:tcBorders>
              <w:top w:val="single" w:sz="4" w:space="0" w:color="auto"/>
              <w:left w:val="single" w:sz="4" w:space="0" w:color="auto"/>
              <w:bottom w:val="nil"/>
              <w:right w:val="nil"/>
            </w:tcBorders>
            <w:shd w:val="clear" w:color="auto" w:fill="auto"/>
            <w:vAlign w:val="center"/>
          </w:tcPr>
          <w:p w14:paraId="48C1C02A" w14:textId="77777777" w:rsidR="000F63F9" w:rsidRPr="00744462" w:rsidRDefault="000F63F9" w:rsidP="008255B1">
            <w:pPr>
              <w:spacing w:after="0" w:line="240" w:lineRule="auto"/>
              <w:rPr>
                <w:rFonts w:ascii="Helvetica" w:hAnsi="Helvetica" w:cs="Times New Roman"/>
                <w:b/>
                <w:sz w:val="20"/>
                <w:szCs w:val="20"/>
                <w:u w:val="single"/>
              </w:rPr>
            </w:pPr>
            <w:r w:rsidRPr="00744462">
              <w:rPr>
                <w:rFonts w:ascii="Helvetica" w:hAnsi="Helvetica" w:cs="Times New Roman"/>
                <w:b/>
                <w:sz w:val="20"/>
                <w:szCs w:val="20"/>
                <w:u w:val="single"/>
              </w:rPr>
              <w:t>Flexicult</w:t>
            </w:r>
            <w:r w:rsidRPr="00744462">
              <w:rPr>
                <w:rFonts w:ascii="Helvetica" w:hAnsi="Helvetica" w:cs="Times New Roman"/>
                <w:b/>
                <w:sz w:val="20"/>
                <w:szCs w:val="20"/>
                <w:u w:val="single"/>
                <w:vertAlign w:val="superscript"/>
              </w:rPr>
              <w:t>TM</w:t>
            </w:r>
          </w:p>
        </w:tc>
        <w:tc>
          <w:tcPr>
            <w:tcW w:w="1962" w:type="dxa"/>
            <w:gridSpan w:val="7"/>
            <w:tcBorders>
              <w:top w:val="single" w:sz="4" w:space="0" w:color="auto"/>
              <w:left w:val="nil"/>
              <w:bottom w:val="nil"/>
              <w:right w:val="nil"/>
            </w:tcBorders>
            <w:shd w:val="clear" w:color="auto" w:fill="auto"/>
            <w:vAlign w:val="center"/>
          </w:tcPr>
          <w:p w14:paraId="4BF5E9E4" w14:textId="77777777" w:rsidR="000F63F9" w:rsidRPr="00744462" w:rsidRDefault="000F63F9" w:rsidP="008255B1">
            <w:pPr>
              <w:spacing w:after="0" w:line="240" w:lineRule="auto"/>
              <w:rPr>
                <w:rFonts w:ascii="Helvetica" w:hAnsi="Helvetica" w:cs="Times New Roman"/>
                <w:sz w:val="20"/>
                <w:szCs w:val="20"/>
              </w:rPr>
            </w:pPr>
          </w:p>
        </w:tc>
        <w:tc>
          <w:tcPr>
            <w:tcW w:w="741" w:type="dxa"/>
            <w:gridSpan w:val="3"/>
            <w:tcBorders>
              <w:left w:val="nil"/>
              <w:bottom w:val="nil"/>
              <w:right w:val="nil"/>
            </w:tcBorders>
            <w:shd w:val="clear" w:color="auto" w:fill="auto"/>
            <w:vAlign w:val="center"/>
          </w:tcPr>
          <w:p w14:paraId="341AB97A" w14:textId="77777777" w:rsidR="000F63F9" w:rsidRPr="00744462" w:rsidRDefault="000F63F9" w:rsidP="008255B1">
            <w:pPr>
              <w:spacing w:after="0" w:line="240" w:lineRule="auto"/>
              <w:rPr>
                <w:rFonts w:ascii="Helvetica" w:hAnsi="Helvetica" w:cs="Times New Roman"/>
                <w:sz w:val="20"/>
                <w:szCs w:val="20"/>
              </w:rPr>
            </w:pPr>
          </w:p>
        </w:tc>
        <w:tc>
          <w:tcPr>
            <w:tcW w:w="684" w:type="dxa"/>
            <w:tcBorders>
              <w:left w:val="nil"/>
              <w:bottom w:val="nil"/>
              <w:right w:val="nil"/>
            </w:tcBorders>
            <w:shd w:val="clear" w:color="auto" w:fill="auto"/>
            <w:vAlign w:val="center"/>
          </w:tcPr>
          <w:p w14:paraId="004A5B82" w14:textId="77777777" w:rsidR="000F63F9" w:rsidRPr="00744462" w:rsidRDefault="000F63F9" w:rsidP="008255B1">
            <w:pPr>
              <w:spacing w:after="0" w:line="240" w:lineRule="auto"/>
              <w:rPr>
                <w:rFonts w:ascii="Helvetica" w:hAnsi="Helvetica" w:cs="Times New Roman"/>
                <w:sz w:val="20"/>
                <w:szCs w:val="20"/>
              </w:rPr>
            </w:pPr>
          </w:p>
        </w:tc>
        <w:tc>
          <w:tcPr>
            <w:tcW w:w="687" w:type="dxa"/>
            <w:gridSpan w:val="2"/>
            <w:tcBorders>
              <w:left w:val="nil"/>
              <w:bottom w:val="nil"/>
              <w:right w:val="single" w:sz="4" w:space="0" w:color="auto"/>
            </w:tcBorders>
            <w:shd w:val="clear" w:color="auto" w:fill="auto"/>
            <w:vAlign w:val="center"/>
          </w:tcPr>
          <w:p w14:paraId="3FA54A11" w14:textId="77777777" w:rsidR="000F63F9" w:rsidRPr="00744462" w:rsidRDefault="000F63F9" w:rsidP="008255B1">
            <w:pPr>
              <w:spacing w:after="0" w:line="240" w:lineRule="auto"/>
              <w:rPr>
                <w:rFonts w:ascii="Helvetica" w:hAnsi="Helvetica" w:cs="Times New Roman"/>
                <w:sz w:val="20"/>
                <w:szCs w:val="20"/>
              </w:rPr>
            </w:pPr>
          </w:p>
        </w:tc>
      </w:tr>
      <w:tr w:rsidR="000F63F9" w:rsidRPr="00744462" w14:paraId="2AAB844C" w14:textId="77777777" w:rsidTr="008255B1">
        <w:trPr>
          <w:trHeight w:val="50"/>
        </w:trPr>
        <w:tc>
          <w:tcPr>
            <w:tcW w:w="1854" w:type="dxa"/>
            <w:gridSpan w:val="3"/>
            <w:tcBorders>
              <w:top w:val="nil"/>
              <w:left w:val="single" w:sz="4" w:space="0" w:color="auto"/>
              <w:bottom w:val="nil"/>
              <w:right w:val="nil"/>
            </w:tcBorders>
            <w:shd w:val="clear" w:color="auto" w:fill="auto"/>
            <w:vAlign w:val="center"/>
          </w:tcPr>
          <w:p w14:paraId="6DCE318C" w14:textId="77777777" w:rsidR="000F63F9" w:rsidRPr="00744462" w:rsidRDefault="000F63F9" w:rsidP="008255B1">
            <w:pPr>
              <w:spacing w:after="0" w:line="240" w:lineRule="auto"/>
              <w:rPr>
                <w:rFonts w:ascii="Helvetica" w:hAnsi="Helvetica" w:cs="Times New Roman"/>
                <w:bCs/>
                <w:sz w:val="20"/>
                <w:szCs w:val="20"/>
                <w:lang w:val="en-US"/>
              </w:rPr>
            </w:pPr>
            <w:r w:rsidRPr="00744462">
              <w:rPr>
                <w:rFonts w:ascii="Helvetica" w:hAnsi="Helvetica" w:cs="Times New Roman"/>
                <w:bCs/>
                <w:sz w:val="20"/>
                <w:szCs w:val="20"/>
                <w:lang w:val="en-US"/>
              </w:rPr>
              <w:t>No growth</w:t>
            </w:r>
          </w:p>
        </w:tc>
        <w:tc>
          <w:tcPr>
            <w:tcW w:w="881" w:type="dxa"/>
            <w:gridSpan w:val="2"/>
            <w:tcBorders>
              <w:top w:val="nil"/>
              <w:left w:val="nil"/>
              <w:bottom w:val="nil"/>
              <w:right w:val="nil"/>
            </w:tcBorders>
            <w:shd w:val="clear" w:color="auto" w:fill="auto"/>
            <w:vAlign w:val="center"/>
          </w:tcPr>
          <w:p w14:paraId="1A4FA8BF"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8</w:t>
            </w:r>
          </w:p>
        </w:tc>
        <w:tc>
          <w:tcPr>
            <w:tcW w:w="856" w:type="dxa"/>
            <w:gridSpan w:val="3"/>
            <w:tcBorders>
              <w:top w:val="nil"/>
              <w:left w:val="nil"/>
              <w:bottom w:val="nil"/>
              <w:right w:val="nil"/>
            </w:tcBorders>
            <w:shd w:val="clear" w:color="auto" w:fill="auto"/>
            <w:vAlign w:val="center"/>
          </w:tcPr>
          <w:p w14:paraId="7D09559D"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9</w:t>
            </w:r>
          </w:p>
        </w:tc>
        <w:tc>
          <w:tcPr>
            <w:tcW w:w="741" w:type="dxa"/>
            <w:gridSpan w:val="3"/>
            <w:tcBorders>
              <w:top w:val="nil"/>
              <w:left w:val="nil"/>
              <w:bottom w:val="nil"/>
              <w:right w:val="nil"/>
            </w:tcBorders>
            <w:shd w:val="clear" w:color="auto" w:fill="auto"/>
            <w:vAlign w:val="center"/>
          </w:tcPr>
          <w:p w14:paraId="6A266B02"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3</w:t>
            </w:r>
          </w:p>
        </w:tc>
        <w:tc>
          <w:tcPr>
            <w:tcW w:w="684" w:type="dxa"/>
            <w:tcBorders>
              <w:top w:val="nil"/>
              <w:left w:val="nil"/>
              <w:bottom w:val="nil"/>
              <w:right w:val="nil"/>
            </w:tcBorders>
            <w:shd w:val="clear" w:color="auto" w:fill="auto"/>
            <w:vAlign w:val="center"/>
          </w:tcPr>
          <w:p w14:paraId="5EE4190C"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15</w:t>
            </w:r>
          </w:p>
        </w:tc>
        <w:tc>
          <w:tcPr>
            <w:tcW w:w="687" w:type="dxa"/>
            <w:gridSpan w:val="2"/>
            <w:tcBorders>
              <w:top w:val="nil"/>
              <w:left w:val="nil"/>
              <w:bottom w:val="nil"/>
              <w:right w:val="single" w:sz="4" w:space="0" w:color="auto"/>
            </w:tcBorders>
            <w:shd w:val="clear" w:color="auto" w:fill="auto"/>
            <w:vAlign w:val="center"/>
          </w:tcPr>
          <w:p w14:paraId="6FA1BBB8"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35</w:t>
            </w:r>
          </w:p>
        </w:tc>
      </w:tr>
      <w:tr w:rsidR="000F63F9" w:rsidRPr="00744462" w14:paraId="000E903E" w14:textId="77777777" w:rsidTr="008255B1">
        <w:trPr>
          <w:trHeight w:val="599"/>
        </w:trPr>
        <w:tc>
          <w:tcPr>
            <w:tcW w:w="1854" w:type="dxa"/>
            <w:gridSpan w:val="3"/>
            <w:tcBorders>
              <w:top w:val="nil"/>
              <w:left w:val="single" w:sz="4" w:space="0" w:color="auto"/>
              <w:bottom w:val="nil"/>
              <w:right w:val="nil"/>
            </w:tcBorders>
            <w:shd w:val="clear" w:color="auto" w:fill="auto"/>
            <w:vAlign w:val="center"/>
          </w:tcPr>
          <w:p w14:paraId="10FF143B" w14:textId="77777777" w:rsidR="000F63F9" w:rsidRPr="00744462" w:rsidRDefault="000F63F9" w:rsidP="008255B1">
            <w:pPr>
              <w:spacing w:after="0" w:line="240" w:lineRule="auto"/>
              <w:rPr>
                <w:rFonts w:ascii="Helvetica" w:hAnsi="Helvetica" w:cs="Times New Roman"/>
                <w:bCs/>
                <w:sz w:val="20"/>
                <w:szCs w:val="20"/>
                <w:lang w:val="en-US"/>
              </w:rPr>
            </w:pPr>
            <w:r w:rsidRPr="00744462">
              <w:rPr>
                <w:rFonts w:ascii="Helvetica" w:hAnsi="Helvetica" w:cs="Times New Roman"/>
                <w:bCs/>
                <w:sz w:val="20"/>
                <w:szCs w:val="20"/>
                <w:lang w:val="en-US"/>
              </w:rPr>
              <w:t>Mixed growth</w:t>
            </w:r>
            <w:r w:rsidRPr="00744462">
              <w:rPr>
                <w:rFonts w:ascii="Helvetica" w:hAnsi="Helvetica" w:cs="Times New Roman"/>
                <w:bCs/>
                <w:sz w:val="20"/>
                <w:szCs w:val="20"/>
                <w:lang w:val="en-US"/>
              </w:rPr>
              <w:br/>
            </w:r>
            <w:r>
              <w:rPr>
                <w:rFonts w:ascii="Helvetica" w:hAnsi="Helvetica" w:cs="Times New Roman"/>
                <w:bCs/>
                <w:i/>
                <w:sz w:val="18"/>
                <w:szCs w:val="18"/>
                <w:lang w:val="en-US"/>
              </w:rPr>
              <w:t xml:space="preserve">(Not </w:t>
            </w:r>
            <w:r w:rsidRPr="00412B93">
              <w:rPr>
                <w:rFonts w:ascii="Helvetica" w:hAnsi="Helvetica" w:cs="Times New Roman"/>
                <w:bCs/>
                <w:i/>
                <w:sz w:val="18"/>
                <w:szCs w:val="18"/>
                <w:lang w:val="en-US"/>
              </w:rPr>
              <w:t>predominant)</w:t>
            </w:r>
          </w:p>
        </w:tc>
        <w:tc>
          <w:tcPr>
            <w:tcW w:w="881" w:type="dxa"/>
            <w:gridSpan w:val="2"/>
            <w:tcBorders>
              <w:top w:val="nil"/>
              <w:left w:val="nil"/>
              <w:bottom w:val="nil"/>
              <w:right w:val="nil"/>
            </w:tcBorders>
            <w:shd w:val="clear" w:color="auto" w:fill="auto"/>
            <w:vAlign w:val="center"/>
          </w:tcPr>
          <w:p w14:paraId="24B7CCE3"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3</w:t>
            </w:r>
          </w:p>
        </w:tc>
        <w:tc>
          <w:tcPr>
            <w:tcW w:w="856" w:type="dxa"/>
            <w:gridSpan w:val="3"/>
            <w:tcBorders>
              <w:top w:val="nil"/>
              <w:left w:val="nil"/>
              <w:bottom w:val="nil"/>
              <w:right w:val="nil"/>
            </w:tcBorders>
            <w:shd w:val="clear" w:color="auto" w:fill="auto"/>
            <w:vAlign w:val="center"/>
          </w:tcPr>
          <w:p w14:paraId="3A3BF5CF"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4</w:t>
            </w:r>
          </w:p>
        </w:tc>
        <w:tc>
          <w:tcPr>
            <w:tcW w:w="741" w:type="dxa"/>
            <w:gridSpan w:val="3"/>
            <w:tcBorders>
              <w:top w:val="nil"/>
              <w:left w:val="nil"/>
              <w:bottom w:val="nil"/>
              <w:right w:val="nil"/>
            </w:tcBorders>
            <w:shd w:val="clear" w:color="auto" w:fill="auto"/>
            <w:vAlign w:val="center"/>
          </w:tcPr>
          <w:p w14:paraId="2951DBC5"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3</w:t>
            </w:r>
          </w:p>
        </w:tc>
        <w:tc>
          <w:tcPr>
            <w:tcW w:w="684" w:type="dxa"/>
            <w:tcBorders>
              <w:top w:val="nil"/>
              <w:left w:val="nil"/>
              <w:bottom w:val="nil"/>
              <w:right w:val="nil"/>
            </w:tcBorders>
            <w:shd w:val="clear" w:color="auto" w:fill="auto"/>
            <w:vAlign w:val="center"/>
          </w:tcPr>
          <w:p w14:paraId="4468D8AD"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6</w:t>
            </w:r>
          </w:p>
        </w:tc>
        <w:tc>
          <w:tcPr>
            <w:tcW w:w="687" w:type="dxa"/>
            <w:gridSpan w:val="2"/>
            <w:tcBorders>
              <w:top w:val="nil"/>
              <w:left w:val="nil"/>
              <w:bottom w:val="nil"/>
              <w:right w:val="single" w:sz="4" w:space="0" w:color="auto"/>
            </w:tcBorders>
            <w:shd w:val="clear" w:color="auto" w:fill="auto"/>
            <w:vAlign w:val="center"/>
          </w:tcPr>
          <w:p w14:paraId="054D42F6"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16</w:t>
            </w:r>
          </w:p>
        </w:tc>
      </w:tr>
      <w:tr w:rsidR="000F63F9" w:rsidRPr="00744462" w14:paraId="355A58E5" w14:textId="77777777" w:rsidTr="008255B1">
        <w:trPr>
          <w:trHeight w:val="391"/>
        </w:trPr>
        <w:tc>
          <w:tcPr>
            <w:tcW w:w="1854" w:type="dxa"/>
            <w:gridSpan w:val="3"/>
            <w:tcBorders>
              <w:top w:val="nil"/>
              <w:left w:val="single" w:sz="4" w:space="0" w:color="auto"/>
              <w:bottom w:val="nil"/>
              <w:right w:val="nil"/>
            </w:tcBorders>
            <w:shd w:val="clear" w:color="auto" w:fill="auto"/>
            <w:vAlign w:val="center"/>
          </w:tcPr>
          <w:p w14:paraId="49C048D4"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bCs/>
                <w:sz w:val="20"/>
                <w:szCs w:val="20"/>
                <w:lang w:val="en-US"/>
              </w:rPr>
              <w:t>Mixed growth (</w:t>
            </w:r>
            <w:r w:rsidRPr="00744462">
              <w:rPr>
                <w:rFonts w:ascii="Helvetica" w:hAnsi="Helvetica" w:cs="Times New Roman"/>
                <w:bCs/>
                <w:i/>
                <w:sz w:val="20"/>
                <w:szCs w:val="20"/>
                <w:lang w:val="en-US"/>
              </w:rPr>
              <w:t>Predominant</w:t>
            </w:r>
            <w:r w:rsidRPr="00744462">
              <w:rPr>
                <w:rFonts w:ascii="Helvetica" w:hAnsi="Helvetica" w:cs="Times New Roman"/>
                <w:bCs/>
                <w:sz w:val="20"/>
                <w:szCs w:val="20"/>
                <w:lang w:val="en-US"/>
              </w:rPr>
              <w:t>)</w:t>
            </w:r>
          </w:p>
        </w:tc>
        <w:tc>
          <w:tcPr>
            <w:tcW w:w="881" w:type="dxa"/>
            <w:gridSpan w:val="2"/>
            <w:tcBorders>
              <w:top w:val="nil"/>
              <w:left w:val="nil"/>
              <w:bottom w:val="nil"/>
              <w:right w:val="nil"/>
            </w:tcBorders>
            <w:shd w:val="clear" w:color="auto" w:fill="auto"/>
            <w:vAlign w:val="center"/>
          </w:tcPr>
          <w:p w14:paraId="70B6D098"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10</w:t>
            </w:r>
          </w:p>
        </w:tc>
        <w:tc>
          <w:tcPr>
            <w:tcW w:w="856" w:type="dxa"/>
            <w:gridSpan w:val="3"/>
            <w:tcBorders>
              <w:top w:val="nil"/>
              <w:left w:val="nil"/>
              <w:bottom w:val="nil"/>
              <w:right w:val="nil"/>
            </w:tcBorders>
            <w:shd w:val="clear" w:color="auto" w:fill="auto"/>
            <w:vAlign w:val="center"/>
          </w:tcPr>
          <w:p w14:paraId="306D4E0E"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37</w:t>
            </w:r>
          </w:p>
        </w:tc>
        <w:tc>
          <w:tcPr>
            <w:tcW w:w="741" w:type="dxa"/>
            <w:gridSpan w:val="3"/>
            <w:tcBorders>
              <w:top w:val="nil"/>
              <w:left w:val="nil"/>
              <w:bottom w:val="nil"/>
              <w:right w:val="nil"/>
            </w:tcBorders>
            <w:shd w:val="clear" w:color="auto" w:fill="auto"/>
            <w:vAlign w:val="center"/>
          </w:tcPr>
          <w:p w14:paraId="6C584C38"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7</w:t>
            </w:r>
          </w:p>
        </w:tc>
        <w:tc>
          <w:tcPr>
            <w:tcW w:w="684" w:type="dxa"/>
            <w:tcBorders>
              <w:top w:val="nil"/>
              <w:left w:val="nil"/>
              <w:bottom w:val="nil"/>
              <w:right w:val="nil"/>
            </w:tcBorders>
            <w:shd w:val="clear" w:color="auto" w:fill="auto"/>
            <w:vAlign w:val="center"/>
          </w:tcPr>
          <w:p w14:paraId="1270F815"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37</w:t>
            </w:r>
          </w:p>
        </w:tc>
        <w:tc>
          <w:tcPr>
            <w:tcW w:w="687" w:type="dxa"/>
            <w:gridSpan w:val="2"/>
            <w:tcBorders>
              <w:top w:val="nil"/>
              <w:left w:val="nil"/>
              <w:bottom w:val="nil"/>
              <w:right w:val="single" w:sz="4" w:space="0" w:color="auto"/>
            </w:tcBorders>
            <w:shd w:val="clear" w:color="auto" w:fill="auto"/>
            <w:vAlign w:val="center"/>
          </w:tcPr>
          <w:p w14:paraId="12E9FB4C"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91</w:t>
            </w:r>
          </w:p>
        </w:tc>
      </w:tr>
      <w:tr w:rsidR="000F63F9" w:rsidRPr="00744462" w14:paraId="1BE416B1" w14:textId="77777777" w:rsidTr="008255B1">
        <w:trPr>
          <w:trHeight w:val="391"/>
        </w:trPr>
        <w:tc>
          <w:tcPr>
            <w:tcW w:w="1854" w:type="dxa"/>
            <w:gridSpan w:val="3"/>
            <w:tcBorders>
              <w:top w:val="nil"/>
              <w:left w:val="single" w:sz="4" w:space="0" w:color="auto"/>
              <w:bottom w:val="nil"/>
              <w:right w:val="nil"/>
            </w:tcBorders>
            <w:shd w:val="clear" w:color="auto" w:fill="auto"/>
            <w:vAlign w:val="center"/>
          </w:tcPr>
          <w:p w14:paraId="66110B34"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bCs/>
                <w:sz w:val="20"/>
                <w:szCs w:val="20"/>
                <w:lang w:val="en-US"/>
              </w:rPr>
              <w:t>Pure growth</w:t>
            </w:r>
          </w:p>
        </w:tc>
        <w:tc>
          <w:tcPr>
            <w:tcW w:w="881" w:type="dxa"/>
            <w:gridSpan w:val="2"/>
            <w:tcBorders>
              <w:top w:val="nil"/>
              <w:left w:val="nil"/>
              <w:bottom w:val="nil"/>
              <w:right w:val="nil"/>
            </w:tcBorders>
            <w:shd w:val="clear" w:color="auto" w:fill="auto"/>
            <w:vAlign w:val="center"/>
          </w:tcPr>
          <w:p w14:paraId="36E7A4B4"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23</w:t>
            </w:r>
          </w:p>
        </w:tc>
        <w:tc>
          <w:tcPr>
            <w:tcW w:w="856" w:type="dxa"/>
            <w:gridSpan w:val="3"/>
            <w:tcBorders>
              <w:top w:val="nil"/>
              <w:left w:val="nil"/>
              <w:bottom w:val="nil"/>
              <w:right w:val="nil"/>
            </w:tcBorders>
            <w:shd w:val="clear" w:color="auto" w:fill="auto"/>
            <w:vAlign w:val="center"/>
          </w:tcPr>
          <w:p w14:paraId="6FA66CEC"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34</w:t>
            </w:r>
          </w:p>
        </w:tc>
        <w:tc>
          <w:tcPr>
            <w:tcW w:w="741" w:type="dxa"/>
            <w:gridSpan w:val="3"/>
            <w:tcBorders>
              <w:top w:val="nil"/>
              <w:left w:val="nil"/>
              <w:bottom w:val="nil"/>
              <w:right w:val="nil"/>
            </w:tcBorders>
            <w:shd w:val="clear" w:color="auto" w:fill="auto"/>
            <w:vAlign w:val="center"/>
          </w:tcPr>
          <w:p w14:paraId="5EAD8A46"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11</w:t>
            </w:r>
          </w:p>
        </w:tc>
        <w:tc>
          <w:tcPr>
            <w:tcW w:w="684" w:type="dxa"/>
            <w:tcBorders>
              <w:top w:val="nil"/>
              <w:left w:val="nil"/>
              <w:bottom w:val="nil"/>
              <w:right w:val="nil"/>
            </w:tcBorders>
            <w:shd w:val="clear" w:color="auto" w:fill="auto"/>
            <w:vAlign w:val="center"/>
          </w:tcPr>
          <w:p w14:paraId="429E990A"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84</w:t>
            </w:r>
          </w:p>
        </w:tc>
        <w:tc>
          <w:tcPr>
            <w:tcW w:w="687" w:type="dxa"/>
            <w:gridSpan w:val="2"/>
            <w:tcBorders>
              <w:top w:val="nil"/>
              <w:left w:val="nil"/>
              <w:bottom w:val="nil"/>
              <w:right w:val="single" w:sz="4" w:space="0" w:color="auto"/>
            </w:tcBorders>
            <w:shd w:val="clear" w:color="auto" w:fill="auto"/>
            <w:vAlign w:val="center"/>
          </w:tcPr>
          <w:p w14:paraId="5961E6E7"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152</w:t>
            </w:r>
          </w:p>
        </w:tc>
      </w:tr>
      <w:tr w:rsidR="000F63F9" w:rsidRPr="00744462" w14:paraId="38422CF1" w14:textId="77777777" w:rsidTr="008255B1">
        <w:trPr>
          <w:trHeight w:val="267"/>
        </w:trPr>
        <w:tc>
          <w:tcPr>
            <w:tcW w:w="1854" w:type="dxa"/>
            <w:gridSpan w:val="3"/>
            <w:tcBorders>
              <w:top w:val="nil"/>
              <w:left w:val="single" w:sz="4" w:space="0" w:color="auto"/>
              <w:bottom w:val="single" w:sz="4" w:space="0" w:color="auto"/>
              <w:right w:val="nil"/>
            </w:tcBorders>
            <w:shd w:val="clear" w:color="auto" w:fill="auto"/>
            <w:vAlign w:val="center"/>
          </w:tcPr>
          <w:p w14:paraId="184757EC" w14:textId="77777777" w:rsidR="000F63F9" w:rsidRPr="00744462" w:rsidRDefault="000F63F9" w:rsidP="008255B1">
            <w:pPr>
              <w:spacing w:after="0" w:line="240" w:lineRule="auto"/>
              <w:rPr>
                <w:rFonts w:ascii="Helvetica" w:hAnsi="Helvetica" w:cs="Times New Roman"/>
                <w:bCs/>
                <w:sz w:val="20"/>
                <w:szCs w:val="20"/>
                <w:lang w:val="en-US"/>
              </w:rPr>
            </w:pPr>
            <w:r w:rsidRPr="00744462">
              <w:rPr>
                <w:rFonts w:ascii="Helvetica" w:hAnsi="Helvetica" w:cs="Times New Roman"/>
                <w:bCs/>
                <w:sz w:val="20"/>
                <w:szCs w:val="20"/>
                <w:lang w:val="en-US"/>
              </w:rPr>
              <w:t>Total</w:t>
            </w:r>
          </w:p>
        </w:tc>
        <w:tc>
          <w:tcPr>
            <w:tcW w:w="881" w:type="dxa"/>
            <w:gridSpan w:val="2"/>
            <w:tcBorders>
              <w:top w:val="nil"/>
              <w:left w:val="nil"/>
              <w:bottom w:val="single" w:sz="4" w:space="0" w:color="auto"/>
              <w:right w:val="nil"/>
            </w:tcBorders>
            <w:shd w:val="clear" w:color="auto" w:fill="auto"/>
            <w:vAlign w:val="center"/>
          </w:tcPr>
          <w:p w14:paraId="0404C77D"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44</w:t>
            </w:r>
          </w:p>
        </w:tc>
        <w:tc>
          <w:tcPr>
            <w:tcW w:w="856" w:type="dxa"/>
            <w:gridSpan w:val="3"/>
            <w:tcBorders>
              <w:top w:val="nil"/>
              <w:left w:val="nil"/>
              <w:bottom w:val="single" w:sz="4" w:space="0" w:color="auto"/>
              <w:right w:val="nil"/>
            </w:tcBorders>
            <w:shd w:val="clear" w:color="auto" w:fill="auto"/>
            <w:vAlign w:val="center"/>
          </w:tcPr>
          <w:p w14:paraId="4665B637"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84</w:t>
            </w:r>
          </w:p>
        </w:tc>
        <w:tc>
          <w:tcPr>
            <w:tcW w:w="741" w:type="dxa"/>
            <w:gridSpan w:val="3"/>
            <w:tcBorders>
              <w:top w:val="nil"/>
              <w:left w:val="nil"/>
              <w:bottom w:val="single" w:sz="4" w:space="0" w:color="auto"/>
              <w:right w:val="nil"/>
            </w:tcBorders>
            <w:shd w:val="clear" w:color="auto" w:fill="auto"/>
            <w:vAlign w:val="center"/>
          </w:tcPr>
          <w:p w14:paraId="470C3179"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24</w:t>
            </w:r>
          </w:p>
        </w:tc>
        <w:tc>
          <w:tcPr>
            <w:tcW w:w="684" w:type="dxa"/>
            <w:tcBorders>
              <w:top w:val="nil"/>
              <w:left w:val="nil"/>
              <w:bottom w:val="single" w:sz="4" w:space="0" w:color="auto"/>
              <w:right w:val="nil"/>
            </w:tcBorders>
            <w:shd w:val="clear" w:color="auto" w:fill="auto"/>
            <w:vAlign w:val="center"/>
          </w:tcPr>
          <w:p w14:paraId="39D2D276"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142</w:t>
            </w:r>
          </w:p>
        </w:tc>
        <w:tc>
          <w:tcPr>
            <w:tcW w:w="687" w:type="dxa"/>
            <w:gridSpan w:val="2"/>
            <w:tcBorders>
              <w:top w:val="nil"/>
              <w:left w:val="nil"/>
              <w:bottom w:val="single" w:sz="4" w:space="0" w:color="auto"/>
              <w:right w:val="single" w:sz="4" w:space="0" w:color="auto"/>
            </w:tcBorders>
            <w:shd w:val="clear" w:color="auto" w:fill="auto"/>
            <w:vAlign w:val="center"/>
          </w:tcPr>
          <w:p w14:paraId="67E0DB19"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294</w:t>
            </w:r>
          </w:p>
        </w:tc>
      </w:tr>
      <w:tr w:rsidR="000F63F9" w:rsidRPr="00744462" w14:paraId="7BFF3817" w14:textId="77777777" w:rsidTr="008255B1">
        <w:trPr>
          <w:trHeight w:val="280"/>
        </w:trPr>
        <w:tc>
          <w:tcPr>
            <w:tcW w:w="4211" w:type="dxa"/>
            <w:gridSpan w:val="10"/>
            <w:tcBorders>
              <w:top w:val="single" w:sz="4" w:space="0" w:color="auto"/>
              <w:left w:val="single" w:sz="4" w:space="0" w:color="auto"/>
              <w:bottom w:val="nil"/>
              <w:right w:val="nil"/>
            </w:tcBorders>
            <w:shd w:val="clear" w:color="auto" w:fill="auto"/>
          </w:tcPr>
          <w:p w14:paraId="5DC2F1BD"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b/>
                <w:sz w:val="20"/>
                <w:szCs w:val="20"/>
              </w:rPr>
              <w:t>Statistical measurements</w:t>
            </w:r>
          </w:p>
        </w:tc>
        <w:tc>
          <w:tcPr>
            <w:tcW w:w="855" w:type="dxa"/>
            <w:gridSpan w:val="3"/>
            <w:tcBorders>
              <w:top w:val="single" w:sz="4" w:space="0" w:color="auto"/>
              <w:left w:val="nil"/>
              <w:bottom w:val="nil"/>
              <w:right w:val="nil"/>
            </w:tcBorders>
            <w:shd w:val="clear" w:color="auto" w:fill="auto"/>
          </w:tcPr>
          <w:p w14:paraId="1AC0D7D9" w14:textId="77777777" w:rsidR="000F63F9" w:rsidRPr="00744462" w:rsidRDefault="000F63F9" w:rsidP="008255B1">
            <w:pPr>
              <w:spacing w:after="0" w:line="240" w:lineRule="auto"/>
              <w:rPr>
                <w:rFonts w:ascii="Helvetica" w:hAnsi="Helvetica" w:cs="Times New Roman"/>
                <w:sz w:val="20"/>
                <w:szCs w:val="20"/>
              </w:rPr>
            </w:pPr>
          </w:p>
        </w:tc>
        <w:tc>
          <w:tcPr>
            <w:tcW w:w="637" w:type="dxa"/>
            <w:tcBorders>
              <w:top w:val="nil"/>
              <w:left w:val="nil"/>
              <w:bottom w:val="nil"/>
              <w:right w:val="single" w:sz="4" w:space="0" w:color="auto"/>
            </w:tcBorders>
            <w:shd w:val="clear" w:color="auto" w:fill="auto"/>
            <w:vAlign w:val="center"/>
          </w:tcPr>
          <w:p w14:paraId="732560CB" w14:textId="77777777" w:rsidR="000F63F9" w:rsidRPr="00744462" w:rsidRDefault="000F63F9" w:rsidP="008255B1">
            <w:pPr>
              <w:spacing w:after="0" w:line="240" w:lineRule="auto"/>
              <w:rPr>
                <w:rFonts w:ascii="Helvetica" w:hAnsi="Helvetica" w:cs="Times New Roman"/>
                <w:sz w:val="20"/>
                <w:szCs w:val="20"/>
              </w:rPr>
            </w:pPr>
          </w:p>
        </w:tc>
      </w:tr>
      <w:tr w:rsidR="000F63F9" w:rsidRPr="00744462" w14:paraId="155E3573" w14:textId="77777777" w:rsidTr="008255B1">
        <w:trPr>
          <w:trHeight w:val="20"/>
        </w:trPr>
        <w:tc>
          <w:tcPr>
            <w:tcW w:w="1854" w:type="dxa"/>
            <w:gridSpan w:val="3"/>
            <w:tcBorders>
              <w:top w:val="nil"/>
              <w:left w:val="single" w:sz="4" w:space="0" w:color="auto"/>
              <w:bottom w:val="nil"/>
              <w:right w:val="nil"/>
            </w:tcBorders>
            <w:shd w:val="clear" w:color="auto" w:fill="auto"/>
          </w:tcPr>
          <w:p w14:paraId="0917BD60" w14:textId="77777777" w:rsidR="000F63F9" w:rsidRPr="00744462" w:rsidRDefault="000F63F9" w:rsidP="008255B1">
            <w:pPr>
              <w:spacing w:after="0" w:line="240" w:lineRule="auto"/>
              <w:rPr>
                <w:rFonts w:ascii="Helvetica" w:hAnsi="Helvetica" w:cs="Times New Roman"/>
                <w:b/>
                <w:sz w:val="20"/>
                <w:szCs w:val="20"/>
              </w:rPr>
            </w:pPr>
            <w:r w:rsidRPr="00744462">
              <w:rPr>
                <w:rFonts w:ascii="Helvetica" w:hAnsi="Helvetica" w:cs="Times New Roman"/>
                <w:sz w:val="20"/>
                <w:szCs w:val="20"/>
              </w:rPr>
              <w:t xml:space="preserve">Kappa </w:t>
            </w:r>
            <w:r w:rsidRPr="00744462">
              <w:rPr>
                <w:rFonts w:ascii="Helvetica" w:hAnsi="Helvetica" w:cs="Times New Roman"/>
                <w:i/>
                <w:sz w:val="20"/>
                <w:szCs w:val="20"/>
              </w:rPr>
              <w:t>(95%CI)</w:t>
            </w:r>
          </w:p>
        </w:tc>
        <w:tc>
          <w:tcPr>
            <w:tcW w:w="2357" w:type="dxa"/>
            <w:gridSpan w:val="7"/>
            <w:tcBorders>
              <w:top w:val="nil"/>
              <w:left w:val="nil"/>
              <w:bottom w:val="nil"/>
              <w:right w:val="nil"/>
            </w:tcBorders>
            <w:shd w:val="clear" w:color="auto" w:fill="auto"/>
          </w:tcPr>
          <w:p w14:paraId="6EC8B874"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0.06 (0.000-0.122)</w:t>
            </w:r>
          </w:p>
        </w:tc>
        <w:tc>
          <w:tcPr>
            <w:tcW w:w="855" w:type="dxa"/>
            <w:gridSpan w:val="3"/>
            <w:tcBorders>
              <w:top w:val="nil"/>
              <w:left w:val="nil"/>
              <w:bottom w:val="nil"/>
              <w:right w:val="nil"/>
            </w:tcBorders>
            <w:shd w:val="clear" w:color="auto" w:fill="auto"/>
          </w:tcPr>
          <w:p w14:paraId="25593D44" w14:textId="77777777" w:rsidR="000F63F9" w:rsidRPr="00744462" w:rsidRDefault="000F63F9" w:rsidP="008255B1">
            <w:pPr>
              <w:spacing w:after="0" w:line="240" w:lineRule="auto"/>
              <w:rPr>
                <w:rFonts w:ascii="Helvetica" w:hAnsi="Helvetica" w:cs="Times New Roman"/>
                <w:sz w:val="20"/>
                <w:szCs w:val="20"/>
              </w:rPr>
            </w:pPr>
          </w:p>
        </w:tc>
        <w:tc>
          <w:tcPr>
            <w:tcW w:w="637" w:type="dxa"/>
            <w:tcBorders>
              <w:top w:val="nil"/>
              <w:left w:val="nil"/>
              <w:bottom w:val="nil"/>
              <w:right w:val="single" w:sz="4" w:space="0" w:color="auto"/>
            </w:tcBorders>
            <w:shd w:val="clear" w:color="auto" w:fill="auto"/>
            <w:vAlign w:val="center"/>
          </w:tcPr>
          <w:p w14:paraId="6B902EBF" w14:textId="77777777" w:rsidR="000F63F9" w:rsidRPr="00744462" w:rsidRDefault="000F63F9" w:rsidP="008255B1">
            <w:pPr>
              <w:spacing w:after="0" w:line="240" w:lineRule="auto"/>
              <w:rPr>
                <w:rFonts w:ascii="Helvetica" w:hAnsi="Helvetica" w:cs="Times New Roman"/>
                <w:sz w:val="20"/>
                <w:szCs w:val="20"/>
              </w:rPr>
            </w:pPr>
          </w:p>
        </w:tc>
      </w:tr>
      <w:tr w:rsidR="000F63F9" w:rsidRPr="00744462" w14:paraId="5E7B8417" w14:textId="77777777" w:rsidTr="008255B1">
        <w:trPr>
          <w:trHeight w:val="20"/>
        </w:trPr>
        <w:tc>
          <w:tcPr>
            <w:tcW w:w="1854" w:type="dxa"/>
            <w:gridSpan w:val="3"/>
            <w:tcBorders>
              <w:top w:val="nil"/>
              <w:left w:val="single" w:sz="4" w:space="0" w:color="auto"/>
              <w:bottom w:val="single" w:sz="4" w:space="0" w:color="auto"/>
              <w:right w:val="nil"/>
            </w:tcBorders>
            <w:shd w:val="clear" w:color="auto" w:fill="auto"/>
          </w:tcPr>
          <w:p w14:paraId="5A352B28" w14:textId="77777777" w:rsidR="000F63F9" w:rsidRPr="00744462" w:rsidRDefault="000F63F9" w:rsidP="008255B1">
            <w:pPr>
              <w:spacing w:after="0" w:line="240" w:lineRule="auto"/>
              <w:rPr>
                <w:rFonts w:ascii="Helvetica" w:hAnsi="Helvetica" w:cs="Times New Roman"/>
                <w:sz w:val="20"/>
                <w:szCs w:val="20"/>
              </w:rPr>
            </w:pPr>
            <w:r>
              <w:rPr>
                <w:rFonts w:ascii="Helvetica" w:hAnsi="Helvetica" w:cs="Times New Roman"/>
                <w:sz w:val="20"/>
                <w:szCs w:val="20"/>
              </w:rPr>
              <w:t xml:space="preserve"> </w:t>
            </w:r>
            <w:r w:rsidRPr="00744462">
              <w:rPr>
                <w:rFonts w:ascii="Helvetica" w:hAnsi="Helvetica" w:cs="Times New Roman"/>
                <w:sz w:val="20"/>
                <w:szCs w:val="20"/>
              </w:rPr>
              <w:t xml:space="preserve"> Error rate</w:t>
            </w:r>
          </w:p>
        </w:tc>
        <w:tc>
          <w:tcPr>
            <w:tcW w:w="931" w:type="dxa"/>
            <w:gridSpan w:val="3"/>
            <w:tcBorders>
              <w:top w:val="nil"/>
              <w:left w:val="nil"/>
              <w:bottom w:val="single" w:sz="4" w:space="0" w:color="auto"/>
              <w:right w:val="nil"/>
            </w:tcBorders>
            <w:shd w:val="clear" w:color="auto" w:fill="auto"/>
          </w:tcPr>
          <w:p w14:paraId="44C58814" w14:textId="77777777" w:rsidR="000F63F9" w:rsidRPr="00744462" w:rsidRDefault="000F63F9" w:rsidP="008255B1">
            <w:pPr>
              <w:spacing w:after="0" w:line="240" w:lineRule="auto"/>
              <w:rPr>
                <w:rFonts w:ascii="Helvetica" w:hAnsi="Helvetica" w:cs="Times New Roman"/>
                <w:sz w:val="20"/>
                <w:szCs w:val="20"/>
              </w:rPr>
            </w:pPr>
            <w:r w:rsidRPr="00744462">
              <w:rPr>
                <w:rFonts w:ascii="Helvetica" w:hAnsi="Helvetica" w:cs="Times New Roman"/>
                <w:sz w:val="20"/>
                <w:szCs w:val="20"/>
              </w:rPr>
              <w:t>65%</w:t>
            </w:r>
          </w:p>
        </w:tc>
        <w:tc>
          <w:tcPr>
            <w:tcW w:w="856" w:type="dxa"/>
            <w:gridSpan w:val="3"/>
            <w:tcBorders>
              <w:top w:val="nil"/>
              <w:left w:val="nil"/>
              <w:bottom w:val="single" w:sz="4" w:space="0" w:color="auto"/>
              <w:right w:val="nil"/>
            </w:tcBorders>
            <w:shd w:val="clear" w:color="auto" w:fill="auto"/>
          </w:tcPr>
          <w:p w14:paraId="69024C57" w14:textId="77777777" w:rsidR="000F63F9" w:rsidRPr="00744462" w:rsidRDefault="000F63F9" w:rsidP="008255B1">
            <w:pPr>
              <w:spacing w:after="0" w:line="240" w:lineRule="auto"/>
              <w:rPr>
                <w:rFonts w:ascii="Helvetica" w:hAnsi="Helvetica" w:cs="Times New Roman"/>
                <w:sz w:val="20"/>
                <w:szCs w:val="20"/>
              </w:rPr>
            </w:pPr>
          </w:p>
        </w:tc>
        <w:tc>
          <w:tcPr>
            <w:tcW w:w="570" w:type="dxa"/>
            <w:tcBorders>
              <w:top w:val="nil"/>
              <w:left w:val="nil"/>
              <w:bottom w:val="single" w:sz="4" w:space="0" w:color="auto"/>
              <w:right w:val="nil"/>
            </w:tcBorders>
            <w:shd w:val="clear" w:color="auto" w:fill="auto"/>
          </w:tcPr>
          <w:p w14:paraId="1837A716" w14:textId="77777777" w:rsidR="000F63F9" w:rsidRPr="00744462" w:rsidRDefault="000F63F9" w:rsidP="008255B1">
            <w:pPr>
              <w:spacing w:after="0" w:line="240" w:lineRule="auto"/>
              <w:rPr>
                <w:rFonts w:ascii="Helvetica" w:hAnsi="Helvetica" w:cs="Times New Roman"/>
                <w:sz w:val="20"/>
                <w:szCs w:val="20"/>
              </w:rPr>
            </w:pPr>
          </w:p>
        </w:tc>
        <w:tc>
          <w:tcPr>
            <w:tcW w:w="855" w:type="dxa"/>
            <w:gridSpan w:val="3"/>
            <w:tcBorders>
              <w:top w:val="nil"/>
              <w:left w:val="nil"/>
              <w:bottom w:val="single" w:sz="4" w:space="0" w:color="auto"/>
              <w:right w:val="nil"/>
            </w:tcBorders>
            <w:shd w:val="clear" w:color="auto" w:fill="auto"/>
          </w:tcPr>
          <w:p w14:paraId="2A11A5AD" w14:textId="77777777" w:rsidR="000F63F9" w:rsidRPr="00744462" w:rsidRDefault="000F63F9" w:rsidP="008255B1">
            <w:pPr>
              <w:spacing w:after="0" w:line="240" w:lineRule="auto"/>
              <w:rPr>
                <w:rFonts w:ascii="Helvetica" w:hAnsi="Helvetica" w:cs="Times New Roman"/>
                <w:sz w:val="20"/>
                <w:szCs w:val="20"/>
              </w:rPr>
            </w:pPr>
          </w:p>
        </w:tc>
        <w:tc>
          <w:tcPr>
            <w:tcW w:w="637" w:type="dxa"/>
            <w:tcBorders>
              <w:top w:val="nil"/>
              <w:left w:val="nil"/>
              <w:bottom w:val="single" w:sz="4" w:space="0" w:color="auto"/>
              <w:right w:val="single" w:sz="4" w:space="0" w:color="auto"/>
            </w:tcBorders>
            <w:shd w:val="clear" w:color="auto" w:fill="auto"/>
            <w:vAlign w:val="center"/>
          </w:tcPr>
          <w:p w14:paraId="020D978C" w14:textId="77777777" w:rsidR="000F63F9" w:rsidRPr="00744462" w:rsidRDefault="000F63F9" w:rsidP="008255B1">
            <w:pPr>
              <w:spacing w:after="0" w:line="240" w:lineRule="auto"/>
              <w:rPr>
                <w:rFonts w:ascii="Helvetica" w:hAnsi="Helvetica" w:cs="Times New Roman"/>
                <w:sz w:val="20"/>
                <w:szCs w:val="20"/>
              </w:rPr>
            </w:pPr>
          </w:p>
        </w:tc>
      </w:tr>
    </w:tbl>
    <w:p w14:paraId="438742F8" w14:textId="77777777" w:rsidR="000F63F9" w:rsidRPr="0091040C" w:rsidRDefault="000F63F9" w:rsidP="000F63F9">
      <w:pPr>
        <w:rPr>
          <w:rFonts w:ascii="Helvetica" w:hAnsi="Helvetica"/>
          <w:sz w:val="20"/>
          <w:szCs w:val="20"/>
        </w:rPr>
      </w:pPr>
    </w:p>
    <w:p w14:paraId="561CBFFD" w14:textId="77777777" w:rsidR="00116427" w:rsidRPr="0091040C" w:rsidRDefault="00116427" w:rsidP="00116427">
      <w:pPr>
        <w:rPr>
          <w:rFonts w:ascii="Helvetica" w:hAnsi="Helvetica"/>
          <w:sz w:val="20"/>
          <w:szCs w:val="20"/>
        </w:rPr>
      </w:pPr>
    </w:p>
    <w:p w14:paraId="27FE321A" w14:textId="77777777" w:rsidR="00116427" w:rsidRPr="0091040C" w:rsidRDefault="00116427" w:rsidP="00116427">
      <w:pPr>
        <w:rPr>
          <w:rFonts w:ascii="Helvetica" w:hAnsi="Helvetica"/>
          <w:sz w:val="20"/>
          <w:szCs w:val="20"/>
        </w:rPr>
      </w:pPr>
    </w:p>
    <w:p w14:paraId="5DD4E1DD" w14:textId="77777777" w:rsidR="00116427" w:rsidRPr="0091040C" w:rsidRDefault="00116427" w:rsidP="00116427">
      <w:pPr>
        <w:rPr>
          <w:rFonts w:ascii="Helvetica" w:hAnsi="Helvetica"/>
          <w:sz w:val="20"/>
          <w:szCs w:val="20"/>
        </w:rPr>
      </w:pPr>
    </w:p>
    <w:p w14:paraId="4AE9D3FF" w14:textId="77777777" w:rsidR="00116427" w:rsidRPr="0091040C" w:rsidRDefault="00116427" w:rsidP="00116427">
      <w:pPr>
        <w:rPr>
          <w:rFonts w:ascii="Helvetica" w:hAnsi="Helvetica"/>
          <w:sz w:val="20"/>
          <w:szCs w:val="20"/>
        </w:rPr>
      </w:pPr>
    </w:p>
    <w:p w14:paraId="0776A905" w14:textId="77777777" w:rsidR="00116427" w:rsidRPr="0091040C" w:rsidRDefault="00116427" w:rsidP="00116427">
      <w:pPr>
        <w:rPr>
          <w:rFonts w:ascii="Helvetica" w:hAnsi="Helvetica"/>
          <w:sz w:val="20"/>
          <w:szCs w:val="20"/>
        </w:rPr>
      </w:pPr>
    </w:p>
    <w:p w14:paraId="6E3ECDF3" w14:textId="77777777" w:rsidR="00116427" w:rsidRPr="0091040C" w:rsidRDefault="00116427" w:rsidP="00116427">
      <w:pPr>
        <w:rPr>
          <w:rFonts w:ascii="Helvetica" w:hAnsi="Helvetica"/>
          <w:sz w:val="20"/>
          <w:szCs w:val="20"/>
        </w:rPr>
      </w:pPr>
    </w:p>
    <w:p w14:paraId="7A6FD8C3" w14:textId="77777777" w:rsidR="00116427" w:rsidRPr="0091040C" w:rsidRDefault="00CD111E" w:rsidP="00424004">
      <w:pPr>
        <w:tabs>
          <w:tab w:val="left" w:pos="8185"/>
        </w:tabs>
        <w:rPr>
          <w:rFonts w:ascii="Helvetica" w:hAnsi="Helvetica"/>
          <w:sz w:val="20"/>
          <w:szCs w:val="20"/>
        </w:rPr>
      </w:pPr>
      <w:r w:rsidRPr="0091040C">
        <w:rPr>
          <w:rFonts w:ascii="Helvetica" w:hAnsi="Helvetica"/>
          <w:sz w:val="20"/>
          <w:szCs w:val="20"/>
        </w:rPr>
        <w:tab/>
      </w:r>
    </w:p>
    <w:p w14:paraId="2FDBA9DA" w14:textId="77777777" w:rsidR="00116427" w:rsidRPr="0091040C" w:rsidRDefault="00116427" w:rsidP="00116427">
      <w:pPr>
        <w:rPr>
          <w:rFonts w:ascii="Helvetica" w:hAnsi="Helvetica"/>
          <w:sz w:val="20"/>
          <w:szCs w:val="20"/>
        </w:rPr>
      </w:pPr>
    </w:p>
    <w:p w14:paraId="190FD129" w14:textId="77777777" w:rsidR="00116427" w:rsidRPr="0091040C" w:rsidRDefault="00116427" w:rsidP="00116427">
      <w:pPr>
        <w:rPr>
          <w:rFonts w:ascii="Helvetica" w:hAnsi="Helvetica"/>
          <w:sz w:val="20"/>
          <w:szCs w:val="20"/>
        </w:rPr>
      </w:pPr>
    </w:p>
    <w:p w14:paraId="0ED7D7E2" w14:textId="77777777" w:rsidR="00116427" w:rsidRPr="0091040C" w:rsidRDefault="00116427" w:rsidP="00116427">
      <w:pPr>
        <w:rPr>
          <w:rFonts w:ascii="Helvetica" w:hAnsi="Helvetica"/>
          <w:sz w:val="20"/>
          <w:szCs w:val="20"/>
        </w:rPr>
      </w:pPr>
    </w:p>
    <w:p w14:paraId="09819F3E" w14:textId="77777777" w:rsidR="00116427" w:rsidRPr="0091040C" w:rsidRDefault="00116427" w:rsidP="00116427">
      <w:pPr>
        <w:rPr>
          <w:rFonts w:ascii="Helvetica" w:hAnsi="Helvetica"/>
          <w:sz w:val="20"/>
          <w:szCs w:val="20"/>
        </w:rPr>
      </w:pPr>
    </w:p>
    <w:p w14:paraId="4CC6D275" w14:textId="77777777" w:rsidR="00116427" w:rsidRPr="0091040C" w:rsidRDefault="00116427" w:rsidP="00116427">
      <w:pPr>
        <w:rPr>
          <w:rFonts w:ascii="Helvetica" w:hAnsi="Helvetica"/>
          <w:sz w:val="20"/>
          <w:szCs w:val="20"/>
        </w:rPr>
      </w:pPr>
    </w:p>
    <w:p w14:paraId="0284B08B" w14:textId="77777777" w:rsidR="00116427" w:rsidRPr="0091040C" w:rsidRDefault="00116427" w:rsidP="00116427">
      <w:pPr>
        <w:rPr>
          <w:rFonts w:ascii="Helvetica" w:hAnsi="Helvetica"/>
          <w:sz w:val="20"/>
          <w:szCs w:val="20"/>
        </w:rPr>
      </w:pPr>
    </w:p>
    <w:p w14:paraId="37757666" w14:textId="77777777" w:rsidR="00116427" w:rsidRPr="0091040C" w:rsidRDefault="00116427" w:rsidP="00116427">
      <w:pPr>
        <w:rPr>
          <w:rFonts w:ascii="Helvetica" w:hAnsi="Helvetica"/>
          <w:sz w:val="20"/>
          <w:szCs w:val="20"/>
        </w:rPr>
      </w:pPr>
    </w:p>
    <w:p w14:paraId="304BFFD9" w14:textId="77777777" w:rsidR="00116427" w:rsidRPr="0091040C" w:rsidRDefault="00116427" w:rsidP="00116427">
      <w:pPr>
        <w:rPr>
          <w:rFonts w:ascii="Helvetica" w:hAnsi="Helvetica"/>
          <w:sz w:val="20"/>
          <w:szCs w:val="20"/>
        </w:rPr>
      </w:pPr>
    </w:p>
    <w:p w14:paraId="75872A8A" w14:textId="76DC4730" w:rsidR="00116427" w:rsidRDefault="00F112E3" w:rsidP="00116427">
      <w:pPr>
        <w:spacing w:after="160" w:line="259" w:lineRule="auto"/>
        <w:rPr>
          <w:rFonts w:ascii="Helvetica" w:hAnsi="Helvetica"/>
          <w:b/>
          <w:sz w:val="20"/>
          <w:szCs w:val="20"/>
        </w:rPr>
      </w:pPr>
      <w:r>
        <w:rPr>
          <w:rFonts w:ascii="Helvetica" w:hAnsi="Helvetica"/>
          <w:b/>
          <w:sz w:val="20"/>
          <w:szCs w:val="20"/>
        </w:rPr>
        <w:lastRenderedPageBreak/>
        <w:t xml:space="preserve">Table </w:t>
      </w:r>
      <w:r w:rsidR="00D022B0">
        <w:rPr>
          <w:rFonts w:ascii="Helvetica" w:hAnsi="Helvetica"/>
          <w:b/>
          <w:sz w:val="20"/>
          <w:szCs w:val="20"/>
        </w:rPr>
        <w:t>2</w:t>
      </w:r>
      <w:r w:rsidR="00116427" w:rsidRPr="0091040C">
        <w:rPr>
          <w:rFonts w:ascii="Helvetica" w:hAnsi="Helvetica"/>
          <w:b/>
          <w:sz w:val="20"/>
          <w:szCs w:val="20"/>
        </w:rPr>
        <w:t xml:space="preserve"> Susceptibility results for both the </w:t>
      </w:r>
      <w:proofErr w:type="gramStart"/>
      <w:r w:rsidR="00116427" w:rsidRPr="0091040C">
        <w:rPr>
          <w:rFonts w:ascii="Helvetica" w:hAnsi="Helvetica"/>
          <w:b/>
          <w:sz w:val="20"/>
          <w:szCs w:val="20"/>
        </w:rPr>
        <w:t>Flexicult</w:t>
      </w:r>
      <w:r w:rsidR="00116427" w:rsidRPr="0091040C">
        <w:rPr>
          <w:rFonts w:ascii="Helvetica" w:hAnsi="Helvetica"/>
          <w:b/>
          <w:sz w:val="20"/>
          <w:szCs w:val="20"/>
          <w:vertAlign w:val="superscript"/>
        </w:rPr>
        <w:t xml:space="preserve">TM </w:t>
      </w:r>
      <w:r w:rsidR="00116427" w:rsidRPr="0091040C">
        <w:rPr>
          <w:rFonts w:ascii="Helvetica" w:hAnsi="Helvetica"/>
          <w:b/>
          <w:sz w:val="20"/>
          <w:szCs w:val="20"/>
        </w:rPr>
        <w:t xml:space="preserve"> test</w:t>
      </w:r>
      <w:proofErr w:type="gramEnd"/>
      <w:r w:rsidR="00116427" w:rsidRPr="0091040C">
        <w:rPr>
          <w:rFonts w:ascii="Helvetica" w:hAnsi="Helvetica"/>
          <w:b/>
          <w:sz w:val="20"/>
          <w:szCs w:val="20"/>
        </w:rPr>
        <w:t xml:space="preserve"> and the laboratory cultures for the cases  in which </w:t>
      </w:r>
      <w:r w:rsidR="00116427" w:rsidRPr="0091040C">
        <w:rPr>
          <w:rFonts w:ascii="Helvetica" w:hAnsi="Helvetica" w:cs="Times New Roman"/>
          <w:b/>
          <w:i/>
          <w:sz w:val="20"/>
          <w:szCs w:val="20"/>
          <w:shd w:val="clear" w:color="auto" w:fill="FFFFFF"/>
        </w:rPr>
        <w:t>Escherichia coli</w:t>
      </w:r>
      <w:r w:rsidR="00116427" w:rsidRPr="0091040C">
        <w:rPr>
          <w:rFonts w:ascii="Helvetica" w:hAnsi="Helvetica"/>
          <w:b/>
          <w:sz w:val="20"/>
          <w:szCs w:val="20"/>
        </w:rPr>
        <w:t xml:space="preserve"> was correctly identified by the Flexicult</w:t>
      </w:r>
      <w:r w:rsidR="00116427" w:rsidRPr="0091040C">
        <w:rPr>
          <w:rFonts w:ascii="Helvetica" w:hAnsi="Helvetica"/>
          <w:b/>
          <w:sz w:val="20"/>
          <w:szCs w:val="20"/>
          <w:vertAlign w:val="superscript"/>
        </w:rPr>
        <w:t xml:space="preserve">TM </w:t>
      </w:r>
      <w:r w:rsidR="00116427" w:rsidRPr="0091040C">
        <w:rPr>
          <w:rFonts w:ascii="Helvetica" w:hAnsi="Helvetica"/>
          <w:b/>
          <w:sz w:val="20"/>
          <w:szCs w:val="20"/>
        </w:rPr>
        <w:t>.</w:t>
      </w:r>
      <w:r w:rsidR="00116427" w:rsidRPr="0091040C">
        <w:rPr>
          <w:rFonts w:ascii="Helvetica" w:hAnsi="Helvetica"/>
          <w:b/>
          <w:sz w:val="20"/>
          <w:szCs w:val="20"/>
        </w:rPr>
        <w:br/>
      </w:r>
    </w:p>
    <w:tbl>
      <w:tblPr>
        <w:tblStyle w:val="Tabelraster"/>
        <w:tblW w:w="8920" w:type="dxa"/>
        <w:tblLook w:val="04A0" w:firstRow="1" w:lastRow="0" w:firstColumn="1" w:lastColumn="0" w:noHBand="0" w:noVBand="1"/>
      </w:tblPr>
      <w:tblGrid>
        <w:gridCol w:w="1527"/>
        <w:gridCol w:w="916"/>
        <w:gridCol w:w="686"/>
        <w:gridCol w:w="1110"/>
        <w:gridCol w:w="449"/>
        <w:gridCol w:w="1528"/>
        <w:gridCol w:w="893"/>
        <w:gridCol w:w="734"/>
        <w:gridCol w:w="1077"/>
      </w:tblGrid>
      <w:tr w:rsidR="00B81ED3" w14:paraId="6DB5361A" w14:textId="77777777" w:rsidTr="003B3881">
        <w:trPr>
          <w:trHeight w:val="501"/>
          <w:tblHeader/>
        </w:trPr>
        <w:tc>
          <w:tcPr>
            <w:tcW w:w="1527" w:type="dxa"/>
            <w:tcBorders>
              <w:right w:val="single" w:sz="4" w:space="0" w:color="FFFFFF" w:themeColor="background1"/>
            </w:tcBorders>
            <w:shd w:val="clear" w:color="auto" w:fill="auto"/>
          </w:tcPr>
          <w:p w14:paraId="23F8540E" w14:textId="77777777" w:rsidR="00B81ED3" w:rsidRPr="008C150B" w:rsidRDefault="00B81ED3" w:rsidP="00514AD8">
            <w:pPr>
              <w:spacing w:after="0" w:line="240" w:lineRule="auto"/>
              <w:rPr>
                <w:rFonts w:ascii="Helvetica" w:hAnsi="Helvetica"/>
                <w:b/>
                <w:sz w:val="20"/>
                <w:szCs w:val="20"/>
              </w:rPr>
            </w:pPr>
            <w:r>
              <w:rPr>
                <w:rFonts w:ascii="Helvetica" w:hAnsi="Helvetica"/>
                <w:b/>
                <w:sz w:val="20"/>
                <w:szCs w:val="20"/>
              </w:rPr>
              <w:t>ciprofloxacin</w:t>
            </w:r>
            <w:r>
              <w:rPr>
                <w:rFonts w:ascii="Helvetica" w:hAnsi="Helvetica"/>
                <w:b/>
                <w:sz w:val="20"/>
                <w:szCs w:val="20"/>
              </w:rPr>
              <w:br/>
            </w:r>
            <w:r w:rsidRPr="00744462">
              <w:rPr>
                <w:rFonts w:ascii="Helvetica" w:hAnsi="Helvetica"/>
                <w:b/>
                <w:sz w:val="20"/>
                <w:szCs w:val="20"/>
              </w:rPr>
              <w:t>n=58</w:t>
            </w:r>
          </w:p>
        </w:tc>
        <w:tc>
          <w:tcPr>
            <w:tcW w:w="2712" w:type="dxa"/>
            <w:gridSpan w:val="3"/>
            <w:tcBorders>
              <w:left w:val="single" w:sz="4" w:space="0" w:color="FFFFFF" w:themeColor="background1"/>
              <w:right w:val="single" w:sz="4" w:space="0" w:color="auto"/>
            </w:tcBorders>
          </w:tcPr>
          <w:p w14:paraId="08BD653F" w14:textId="77777777" w:rsidR="00B81ED3" w:rsidRPr="00744462" w:rsidRDefault="00B81ED3" w:rsidP="00514AD8">
            <w:pPr>
              <w:spacing w:after="0" w:line="240" w:lineRule="auto"/>
              <w:rPr>
                <w:rFonts w:ascii="Helvetica" w:eastAsia="Times New Roman" w:hAnsi="Helvetica"/>
                <w:sz w:val="20"/>
                <w:szCs w:val="20"/>
                <w:lang w:eastAsia="en-GB"/>
              </w:rPr>
            </w:pPr>
            <w:r w:rsidRPr="00744462">
              <w:rPr>
                <w:rFonts w:ascii="Helvetica" w:hAnsi="Helvetica"/>
                <w:b/>
                <w:sz w:val="20"/>
                <w:szCs w:val="20"/>
              </w:rPr>
              <w:t>Laboratory culture</w:t>
            </w:r>
            <w:r>
              <w:rPr>
                <w:rFonts w:ascii="Helvetica" w:hAnsi="Helvetica"/>
                <w:b/>
                <w:sz w:val="20"/>
                <w:szCs w:val="20"/>
              </w:rPr>
              <w:br/>
            </w:r>
            <w:r w:rsidRPr="00744462">
              <w:rPr>
                <w:rFonts w:ascii="Helvetica" w:eastAsia="Times New Roman" w:hAnsi="Helvetica"/>
                <w:sz w:val="18"/>
                <w:szCs w:val="18"/>
                <w:lang w:eastAsia="en-GB"/>
              </w:rPr>
              <w:t>Sensitive</w:t>
            </w:r>
            <w:r>
              <w:rPr>
                <w:rFonts w:ascii="Helvetica" w:eastAsia="Times New Roman" w:hAnsi="Helvetica"/>
                <w:sz w:val="18"/>
                <w:szCs w:val="18"/>
                <w:lang w:eastAsia="en-GB"/>
              </w:rPr>
              <w:t xml:space="preserve">    </w:t>
            </w:r>
            <w:r w:rsidRPr="00744462">
              <w:rPr>
                <w:rFonts w:ascii="Helvetica" w:eastAsia="Times New Roman" w:hAnsi="Helvetica"/>
                <w:sz w:val="18"/>
                <w:szCs w:val="18"/>
                <w:lang w:eastAsia="en-GB"/>
              </w:rPr>
              <w:t>Resistant</w:t>
            </w:r>
            <w:r>
              <w:rPr>
                <w:rFonts w:ascii="Helvetica" w:eastAsia="Times New Roman" w:hAnsi="Helvetica"/>
                <w:sz w:val="18"/>
                <w:szCs w:val="18"/>
                <w:lang w:eastAsia="en-GB"/>
              </w:rPr>
              <w:t xml:space="preserve">     T</w:t>
            </w:r>
            <w:r w:rsidRPr="00744462">
              <w:rPr>
                <w:rFonts w:ascii="Helvetica" w:eastAsia="Times New Roman" w:hAnsi="Helvetica"/>
                <w:sz w:val="18"/>
                <w:szCs w:val="18"/>
                <w:lang w:eastAsia="en-GB"/>
              </w:rPr>
              <w:t>otal</w:t>
            </w:r>
          </w:p>
        </w:tc>
        <w:tc>
          <w:tcPr>
            <w:tcW w:w="449" w:type="dxa"/>
            <w:vMerge w:val="restart"/>
            <w:tcBorders>
              <w:top w:val="nil"/>
              <w:left w:val="single" w:sz="4" w:space="0" w:color="auto"/>
              <w:bottom w:val="nil"/>
              <w:right w:val="single" w:sz="4" w:space="0" w:color="auto"/>
            </w:tcBorders>
          </w:tcPr>
          <w:p w14:paraId="64E1D24A" w14:textId="77777777" w:rsidR="00B81ED3" w:rsidRPr="00744462" w:rsidRDefault="00B81ED3" w:rsidP="00514AD8">
            <w:pPr>
              <w:spacing w:after="0" w:line="240" w:lineRule="auto"/>
              <w:rPr>
                <w:rFonts w:ascii="Helvetica" w:hAnsi="Helvetica"/>
                <w:b/>
                <w:sz w:val="20"/>
                <w:szCs w:val="20"/>
              </w:rPr>
            </w:pPr>
          </w:p>
        </w:tc>
        <w:tc>
          <w:tcPr>
            <w:tcW w:w="1528" w:type="dxa"/>
            <w:tcBorders>
              <w:left w:val="single" w:sz="4" w:space="0" w:color="auto"/>
              <w:right w:val="single" w:sz="4" w:space="0" w:color="FFFFFF" w:themeColor="background1"/>
            </w:tcBorders>
          </w:tcPr>
          <w:p w14:paraId="464D47C2" w14:textId="77777777" w:rsidR="00B81ED3" w:rsidRPr="00744462" w:rsidRDefault="00B81ED3" w:rsidP="00514AD8">
            <w:pPr>
              <w:spacing w:after="0" w:line="240" w:lineRule="auto"/>
              <w:rPr>
                <w:rFonts w:ascii="Helvetica" w:hAnsi="Helvetica"/>
                <w:b/>
                <w:sz w:val="20"/>
                <w:szCs w:val="20"/>
              </w:rPr>
            </w:pPr>
            <w:proofErr w:type="spellStart"/>
            <w:r>
              <w:rPr>
                <w:rFonts w:ascii="Helvetica" w:hAnsi="Helvetica"/>
                <w:b/>
                <w:sz w:val="20"/>
                <w:szCs w:val="20"/>
              </w:rPr>
              <w:t>amoxi</w:t>
            </w:r>
            <w:proofErr w:type="spellEnd"/>
            <w:r>
              <w:rPr>
                <w:rFonts w:ascii="Helvetica" w:hAnsi="Helvetica"/>
                <w:b/>
                <w:sz w:val="20"/>
                <w:szCs w:val="20"/>
              </w:rPr>
              <w:t>/</w:t>
            </w:r>
            <w:proofErr w:type="spellStart"/>
            <w:r>
              <w:rPr>
                <w:rFonts w:ascii="Helvetica" w:hAnsi="Helvetica"/>
                <w:b/>
                <w:sz w:val="20"/>
                <w:szCs w:val="20"/>
              </w:rPr>
              <w:t>clavula</w:t>
            </w:r>
            <w:proofErr w:type="spellEnd"/>
            <w:r>
              <w:rPr>
                <w:rFonts w:ascii="Helvetica" w:hAnsi="Helvetica"/>
                <w:b/>
                <w:sz w:val="20"/>
                <w:szCs w:val="20"/>
              </w:rPr>
              <w:br/>
            </w:r>
            <w:r w:rsidRPr="00744462">
              <w:rPr>
                <w:rFonts w:ascii="Helvetica" w:hAnsi="Helvetica"/>
                <w:b/>
                <w:sz w:val="20"/>
                <w:szCs w:val="20"/>
              </w:rPr>
              <w:t>n=58</w:t>
            </w:r>
          </w:p>
        </w:tc>
        <w:tc>
          <w:tcPr>
            <w:tcW w:w="2704" w:type="dxa"/>
            <w:gridSpan w:val="3"/>
            <w:tcBorders>
              <w:left w:val="single" w:sz="4" w:space="0" w:color="FFFFFF" w:themeColor="background1"/>
            </w:tcBorders>
          </w:tcPr>
          <w:p w14:paraId="1DC6C661" w14:textId="77777777" w:rsidR="00B81ED3" w:rsidRDefault="00B81ED3" w:rsidP="00514AD8">
            <w:pPr>
              <w:spacing w:after="0" w:line="240" w:lineRule="auto"/>
            </w:pPr>
            <w:r w:rsidRPr="00744462">
              <w:rPr>
                <w:rFonts w:ascii="Helvetica" w:hAnsi="Helvetica"/>
                <w:b/>
                <w:sz w:val="20"/>
                <w:szCs w:val="20"/>
              </w:rPr>
              <w:t>Laboratory culture</w:t>
            </w:r>
            <w:r>
              <w:rPr>
                <w:rFonts w:ascii="Helvetica" w:hAnsi="Helvetica"/>
                <w:b/>
                <w:sz w:val="20"/>
                <w:szCs w:val="20"/>
              </w:rPr>
              <w:br/>
            </w:r>
            <w:r w:rsidRPr="00744462">
              <w:rPr>
                <w:rFonts w:ascii="Helvetica" w:eastAsia="Times New Roman" w:hAnsi="Helvetica"/>
                <w:sz w:val="18"/>
                <w:szCs w:val="18"/>
                <w:lang w:eastAsia="en-GB"/>
              </w:rPr>
              <w:t>Sensitive</w:t>
            </w:r>
            <w:r>
              <w:rPr>
                <w:rFonts w:ascii="Helvetica" w:eastAsia="Times New Roman" w:hAnsi="Helvetica"/>
                <w:sz w:val="18"/>
                <w:szCs w:val="18"/>
                <w:lang w:eastAsia="en-GB"/>
              </w:rPr>
              <w:t xml:space="preserve">    </w:t>
            </w:r>
            <w:r w:rsidRPr="00744462">
              <w:rPr>
                <w:rFonts w:ascii="Helvetica" w:eastAsia="Times New Roman" w:hAnsi="Helvetica"/>
                <w:sz w:val="18"/>
                <w:szCs w:val="18"/>
                <w:lang w:eastAsia="en-GB"/>
              </w:rPr>
              <w:t>Resistant</w:t>
            </w:r>
            <w:r>
              <w:rPr>
                <w:rFonts w:ascii="Helvetica" w:eastAsia="Times New Roman" w:hAnsi="Helvetica"/>
                <w:sz w:val="18"/>
                <w:szCs w:val="18"/>
                <w:lang w:eastAsia="en-GB"/>
              </w:rPr>
              <w:t xml:space="preserve">     T</w:t>
            </w:r>
            <w:r w:rsidRPr="00744462">
              <w:rPr>
                <w:rFonts w:ascii="Helvetica" w:eastAsia="Times New Roman" w:hAnsi="Helvetica"/>
                <w:sz w:val="18"/>
                <w:szCs w:val="18"/>
                <w:lang w:eastAsia="en-GB"/>
              </w:rPr>
              <w:t>otal</w:t>
            </w:r>
          </w:p>
        </w:tc>
      </w:tr>
      <w:tr w:rsidR="003B3881" w14:paraId="7BA879A0" w14:textId="77777777" w:rsidTr="003B3881">
        <w:trPr>
          <w:trHeight w:val="445"/>
          <w:tblHeader/>
        </w:trPr>
        <w:tc>
          <w:tcPr>
            <w:tcW w:w="1527" w:type="dxa"/>
            <w:tcBorders>
              <w:bottom w:val="single" w:sz="4" w:space="0" w:color="FFFFFF" w:themeColor="background1"/>
              <w:right w:val="single" w:sz="4" w:space="0" w:color="FFFFFF" w:themeColor="background1"/>
            </w:tcBorders>
          </w:tcPr>
          <w:p w14:paraId="5BE96C7E" w14:textId="77777777" w:rsidR="00B81ED3" w:rsidRPr="008C150B" w:rsidRDefault="00B81ED3" w:rsidP="00514AD8">
            <w:pPr>
              <w:spacing w:after="0" w:line="240" w:lineRule="auto"/>
              <w:rPr>
                <w:rFonts w:ascii="Helvetica" w:hAnsi="Helvetica"/>
                <w:sz w:val="20"/>
                <w:szCs w:val="20"/>
              </w:rPr>
            </w:pPr>
            <w:r>
              <w:rPr>
                <w:rFonts w:ascii="Helvetica" w:hAnsi="Helvetica"/>
                <w:b/>
                <w:sz w:val="20"/>
                <w:szCs w:val="20"/>
              </w:rPr>
              <w:t>Flexicult</w:t>
            </w:r>
            <w:r>
              <w:rPr>
                <w:rFonts w:ascii="Helvetica" w:hAnsi="Helvetica"/>
                <w:b/>
                <w:sz w:val="20"/>
                <w:szCs w:val="20"/>
                <w:vertAlign w:val="superscript"/>
              </w:rPr>
              <w:t>TM</w:t>
            </w:r>
            <w:r>
              <w:rPr>
                <w:rFonts w:ascii="Helvetica" w:hAnsi="Helvetica"/>
                <w:b/>
                <w:sz w:val="20"/>
                <w:szCs w:val="20"/>
                <w:vertAlign w:val="superscript"/>
              </w:rPr>
              <w:br/>
            </w:r>
            <w:r>
              <w:rPr>
                <w:rFonts w:ascii="Helvetica" w:hAnsi="Helvetica"/>
                <w:sz w:val="20"/>
                <w:szCs w:val="20"/>
              </w:rPr>
              <w:t xml:space="preserve">     Sensitive</w:t>
            </w:r>
          </w:p>
        </w:tc>
        <w:tc>
          <w:tcPr>
            <w:tcW w:w="916" w:type="dxa"/>
            <w:tcBorders>
              <w:left w:val="single" w:sz="4" w:space="0" w:color="FFFFFF" w:themeColor="background1"/>
              <w:bottom w:val="single" w:sz="4" w:space="0" w:color="FFFFFF" w:themeColor="background1"/>
              <w:right w:val="single" w:sz="4" w:space="0" w:color="FFFFFF" w:themeColor="background1"/>
            </w:tcBorders>
            <w:vAlign w:val="bottom"/>
          </w:tcPr>
          <w:p w14:paraId="24F41117" w14:textId="77777777" w:rsidR="00B81ED3" w:rsidRPr="00F36480" w:rsidRDefault="00B81ED3" w:rsidP="00514AD8">
            <w:pPr>
              <w:spacing w:after="0" w:line="240" w:lineRule="auto"/>
              <w:jc w:val="center"/>
              <w:rPr>
                <w:rFonts w:ascii="Helvetica" w:hAnsi="Helvetica"/>
                <w:sz w:val="20"/>
                <w:szCs w:val="20"/>
              </w:rPr>
            </w:pPr>
            <w:r>
              <w:rPr>
                <w:rFonts w:ascii="Helvetica" w:hAnsi="Helvetica"/>
                <w:sz w:val="20"/>
                <w:szCs w:val="20"/>
              </w:rPr>
              <w:t>55</w:t>
            </w:r>
          </w:p>
        </w:tc>
        <w:tc>
          <w:tcPr>
            <w:tcW w:w="686" w:type="dxa"/>
            <w:tcBorders>
              <w:left w:val="single" w:sz="4" w:space="0" w:color="FFFFFF" w:themeColor="background1"/>
              <w:bottom w:val="single" w:sz="4" w:space="0" w:color="FFFFFF" w:themeColor="background1"/>
              <w:right w:val="single" w:sz="4" w:space="0" w:color="FFFFFF" w:themeColor="background1"/>
            </w:tcBorders>
            <w:vAlign w:val="bottom"/>
          </w:tcPr>
          <w:p w14:paraId="424067BD" w14:textId="77777777" w:rsidR="00B81ED3" w:rsidRPr="00F36480" w:rsidRDefault="00B81ED3" w:rsidP="00514AD8">
            <w:pPr>
              <w:spacing w:after="0" w:line="240" w:lineRule="auto"/>
              <w:jc w:val="center"/>
              <w:rPr>
                <w:rFonts w:ascii="Helvetica" w:hAnsi="Helvetica"/>
                <w:sz w:val="20"/>
                <w:szCs w:val="20"/>
              </w:rPr>
            </w:pPr>
            <w:r>
              <w:rPr>
                <w:rFonts w:ascii="Helvetica" w:hAnsi="Helvetica"/>
                <w:sz w:val="20"/>
                <w:szCs w:val="20"/>
              </w:rPr>
              <w:t>0</w:t>
            </w:r>
          </w:p>
        </w:tc>
        <w:tc>
          <w:tcPr>
            <w:tcW w:w="1110" w:type="dxa"/>
            <w:tcBorders>
              <w:left w:val="single" w:sz="4" w:space="0" w:color="FFFFFF" w:themeColor="background1"/>
              <w:bottom w:val="single" w:sz="4" w:space="0" w:color="FFFFFF" w:themeColor="background1"/>
              <w:right w:val="single" w:sz="4" w:space="0" w:color="auto"/>
            </w:tcBorders>
            <w:vAlign w:val="bottom"/>
          </w:tcPr>
          <w:p w14:paraId="3BD882F8" w14:textId="77777777" w:rsidR="00B81ED3" w:rsidRPr="00F36480" w:rsidRDefault="00B81ED3" w:rsidP="00514AD8">
            <w:pPr>
              <w:spacing w:after="0" w:line="240" w:lineRule="auto"/>
              <w:jc w:val="center"/>
              <w:rPr>
                <w:rFonts w:ascii="Helvetica" w:hAnsi="Helvetica"/>
                <w:sz w:val="20"/>
                <w:szCs w:val="20"/>
              </w:rPr>
            </w:pPr>
            <w:r w:rsidRPr="00F36480">
              <w:rPr>
                <w:rFonts w:ascii="Helvetica" w:hAnsi="Helvetica"/>
                <w:sz w:val="20"/>
                <w:szCs w:val="20"/>
              </w:rPr>
              <w:t>55</w:t>
            </w:r>
          </w:p>
        </w:tc>
        <w:tc>
          <w:tcPr>
            <w:tcW w:w="449" w:type="dxa"/>
            <w:vMerge/>
            <w:tcBorders>
              <w:top w:val="nil"/>
              <w:left w:val="single" w:sz="4" w:space="0" w:color="auto"/>
              <w:bottom w:val="nil"/>
              <w:right w:val="single" w:sz="4" w:space="0" w:color="auto"/>
            </w:tcBorders>
          </w:tcPr>
          <w:p w14:paraId="7C253E9B" w14:textId="77777777" w:rsidR="00B81ED3" w:rsidRPr="00F36480" w:rsidRDefault="00B81ED3" w:rsidP="00514AD8">
            <w:pPr>
              <w:spacing w:after="0" w:line="240" w:lineRule="auto"/>
              <w:jc w:val="center"/>
              <w:rPr>
                <w:rFonts w:ascii="Helvetica" w:hAnsi="Helvetica"/>
                <w:sz w:val="20"/>
                <w:szCs w:val="20"/>
              </w:rPr>
            </w:pPr>
          </w:p>
        </w:tc>
        <w:tc>
          <w:tcPr>
            <w:tcW w:w="1528" w:type="dxa"/>
            <w:tcBorders>
              <w:left w:val="single" w:sz="4" w:space="0" w:color="auto"/>
              <w:bottom w:val="single" w:sz="4" w:space="0" w:color="FFFFFF" w:themeColor="background1"/>
              <w:right w:val="single" w:sz="4" w:space="0" w:color="FFFFFF" w:themeColor="background1"/>
            </w:tcBorders>
          </w:tcPr>
          <w:p w14:paraId="3BDFAA55" w14:textId="77777777" w:rsidR="00B81ED3" w:rsidRPr="00F36480" w:rsidRDefault="00B81ED3" w:rsidP="00514AD8">
            <w:pPr>
              <w:spacing w:after="0" w:line="240" w:lineRule="auto"/>
              <w:jc w:val="center"/>
              <w:rPr>
                <w:rFonts w:ascii="Helvetica" w:hAnsi="Helvetica"/>
                <w:sz w:val="20"/>
                <w:szCs w:val="20"/>
              </w:rPr>
            </w:pPr>
            <w:r>
              <w:rPr>
                <w:rFonts w:ascii="Helvetica" w:hAnsi="Helvetica"/>
                <w:b/>
                <w:sz w:val="20"/>
                <w:szCs w:val="20"/>
              </w:rPr>
              <w:t>Flexicult</w:t>
            </w:r>
            <w:r>
              <w:rPr>
                <w:rFonts w:ascii="Helvetica" w:hAnsi="Helvetica"/>
                <w:b/>
                <w:sz w:val="20"/>
                <w:szCs w:val="20"/>
                <w:vertAlign w:val="superscript"/>
              </w:rPr>
              <w:t>TM</w:t>
            </w:r>
            <w:r>
              <w:rPr>
                <w:rFonts w:ascii="Helvetica" w:hAnsi="Helvetica"/>
                <w:b/>
                <w:sz w:val="20"/>
                <w:szCs w:val="20"/>
                <w:vertAlign w:val="superscript"/>
              </w:rPr>
              <w:br/>
            </w:r>
            <w:r>
              <w:rPr>
                <w:rFonts w:ascii="Helvetica" w:hAnsi="Helvetica"/>
                <w:sz w:val="20"/>
                <w:szCs w:val="20"/>
              </w:rPr>
              <w:t xml:space="preserve">     Sensitive</w:t>
            </w:r>
          </w:p>
        </w:tc>
        <w:tc>
          <w:tcPr>
            <w:tcW w:w="893" w:type="dxa"/>
            <w:tcBorders>
              <w:left w:val="single" w:sz="4" w:space="0" w:color="FFFFFF" w:themeColor="background1"/>
              <w:bottom w:val="single" w:sz="4" w:space="0" w:color="FFFFFF" w:themeColor="background1"/>
              <w:right w:val="single" w:sz="4" w:space="0" w:color="FFFFFF" w:themeColor="background1"/>
            </w:tcBorders>
            <w:vAlign w:val="bottom"/>
          </w:tcPr>
          <w:p w14:paraId="0E96599F" w14:textId="77777777" w:rsidR="00B81ED3" w:rsidRDefault="00B81ED3" w:rsidP="00514AD8">
            <w:pPr>
              <w:spacing w:after="0" w:line="240" w:lineRule="auto"/>
              <w:jc w:val="center"/>
            </w:pPr>
            <w:r>
              <w:rPr>
                <w:rFonts w:ascii="Helvetica" w:hAnsi="Helvetica"/>
                <w:sz w:val="20"/>
                <w:szCs w:val="20"/>
              </w:rPr>
              <w:t>39</w:t>
            </w:r>
          </w:p>
        </w:tc>
        <w:tc>
          <w:tcPr>
            <w:tcW w:w="734" w:type="dxa"/>
            <w:tcBorders>
              <w:left w:val="single" w:sz="4" w:space="0" w:color="FFFFFF" w:themeColor="background1"/>
              <w:bottom w:val="single" w:sz="4" w:space="0" w:color="FFFFFF" w:themeColor="background1"/>
              <w:right w:val="single" w:sz="4" w:space="0" w:color="FFFFFF" w:themeColor="background1"/>
            </w:tcBorders>
            <w:vAlign w:val="bottom"/>
          </w:tcPr>
          <w:p w14:paraId="38F8DAF7" w14:textId="77777777" w:rsidR="00B81ED3" w:rsidRDefault="00B81ED3" w:rsidP="00514AD8">
            <w:pPr>
              <w:spacing w:after="0" w:line="240" w:lineRule="auto"/>
              <w:jc w:val="center"/>
            </w:pPr>
            <w:r>
              <w:rPr>
                <w:rFonts w:ascii="Helvetica" w:hAnsi="Helvetica"/>
                <w:sz w:val="20"/>
                <w:szCs w:val="20"/>
              </w:rPr>
              <w:t>2</w:t>
            </w:r>
          </w:p>
        </w:tc>
        <w:tc>
          <w:tcPr>
            <w:tcW w:w="1077" w:type="dxa"/>
            <w:tcBorders>
              <w:left w:val="single" w:sz="4" w:space="0" w:color="FFFFFF" w:themeColor="background1"/>
              <w:bottom w:val="single" w:sz="4" w:space="0" w:color="FFFFFF" w:themeColor="background1"/>
            </w:tcBorders>
            <w:vAlign w:val="bottom"/>
          </w:tcPr>
          <w:p w14:paraId="3DF50408" w14:textId="77777777" w:rsidR="00B81ED3" w:rsidRDefault="00B81ED3" w:rsidP="00514AD8">
            <w:pPr>
              <w:spacing w:after="0" w:line="240" w:lineRule="auto"/>
              <w:jc w:val="center"/>
            </w:pPr>
            <w:r>
              <w:rPr>
                <w:rFonts w:ascii="Helvetica" w:hAnsi="Helvetica"/>
                <w:sz w:val="20"/>
                <w:szCs w:val="20"/>
              </w:rPr>
              <w:t>41</w:t>
            </w:r>
          </w:p>
        </w:tc>
      </w:tr>
      <w:tr w:rsidR="003B3881" w14:paraId="0DAC4465" w14:textId="77777777" w:rsidTr="003B3881">
        <w:trPr>
          <w:trHeight w:hRule="exact" w:val="340"/>
        </w:trPr>
        <w:tc>
          <w:tcPr>
            <w:tcW w:w="1527" w:type="dxa"/>
            <w:tcBorders>
              <w:top w:val="single" w:sz="4" w:space="0" w:color="FFFFFF" w:themeColor="background1"/>
              <w:bottom w:val="single" w:sz="4" w:space="0" w:color="FFFFFF" w:themeColor="background1"/>
              <w:right w:val="single" w:sz="4" w:space="0" w:color="FFFFFF" w:themeColor="background1"/>
            </w:tcBorders>
            <w:vAlign w:val="bottom"/>
          </w:tcPr>
          <w:p w14:paraId="094EDD59" w14:textId="77777777" w:rsidR="00B81ED3" w:rsidRDefault="00B81ED3" w:rsidP="00514AD8">
            <w:r>
              <w:rPr>
                <w:rFonts w:ascii="Helvetica" w:hAnsi="Helvetica"/>
                <w:sz w:val="20"/>
                <w:szCs w:val="20"/>
              </w:rPr>
              <w:t xml:space="preserve">     Resistant</w:t>
            </w:r>
          </w:p>
        </w:tc>
        <w:tc>
          <w:tcPr>
            <w:tcW w:w="9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8E5A4D" w14:textId="77777777" w:rsidR="00B81ED3" w:rsidRPr="00744462" w:rsidRDefault="00B81ED3" w:rsidP="00514AD8">
            <w:pPr>
              <w:spacing w:after="0" w:line="240" w:lineRule="auto"/>
              <w:jc w:val="center"/>
              <w:rPr>
                <w:rFonts w:ascii="Helvetica" w:eastAsia="Times New Roman" w:hAnsi="Helvetica"/>
                <w:sz w:val="18"/>
                <w:szCs w:val="18"/>
                <w:lang w:eastAsia="en-GB"/>
              </w:rPr>
            </w:pPr>
            <w:r>
              <w:rPr>
                <w:rFonts w:ascii="Helvetica" w:eastAsia="Times New Roman" w:hAnsi="Helvetica"/>
                <w:sz w:val="18"/>
                <w:szCs w:val="18"/>
                <w:lang w:eastAsia="en-GB"/>
              </w:rPr>
              <w:t>2</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D2B13F0" w14:textId="77777777" w:rsidR="00B81ED3" w:rsidRPr="00744462" w:rsidRDefault="00B81ED3" w:rsidP="00514AD8">
            <w:pPr>
              <w:spacing w:after="0" w:line="240" w:lineRule="auto"/>
              <w:jc w:val="center"/>
              <w:rPr>
                <w:rFonts w:ascii="Helvetica" w:eastAsia="Times New Roman" w:hAnsi="Helvetica"/>
                <w:sz w:val="18"/>
                <w:szCs w:val="18"/>
                <w:lang w:eastAsia="en-GB"/>
              </w:rPr>
            </w:pPr>
            <w:r>
              <w:rPr>
                <w:rFonts w:ascii="Helvetica" w:eastAsia="Times New Roman" w:hAnsi="Helvetica"/>
                <w:sz w:val="18"/>
                <w:szCs w:val="18"/>
                <w:lang w:eastAsia="en-GB"/>
              </w:rPr>
              <w:t>1</w:t>
            </w:r>
          </w:p>
        </w:tc>
        <w:tc>
          <w:tcPr>
            <w:tcW w:w="111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38A8C178" w14:textId="77777777" w:rsidR="00B81ED3" w:rsidRPr="00744462" w:rsidRDefault="00B81ED3" w:rsidP="00514AD8">
            <w:pPr>
              <w:spacing w:after="0" w:line="240" w:lineRule="auto"/>
              <w:jc w:val="center"/>
              <w:rPr>
                <w:rFonts w:ascii="Helvetica" w:eastAsia="Times New Roman" w:hAnsi="Helvetica"/>
                <w:sz w:val="18"/>
                <w:szCs w:val="18"/>
                <w:lang w:eastAsia="en-GB"/>
              </w:rPr>
            </w:pPr>
            <w:r>
              <w:rPr>
                <w:rFonts w:ascii="Helvetica" w:eastAsia="Times New Roman" w:hAnsi="Helvetica"/>
                <w:sz w:val="18"/>
                <w:szCs w:val="18"/>
                <w:lang w:eastAsia="en-GB"/>
              </w:rPr>
              <w:t>3</w:t>
            </w:r>
          </w:p>
        </w:tc>
        <w:tc>
          <w:tcPr>
            <w:tcW w:w="449" w:type="dxa"/>
            <w:vMerge/>
            <w:tcBorders>
              <w:top w:val="nil"/>
              <w:left w:val="single" w:sz="4" w:space="0" w:color="auto"/>
              <w:bottom w:val="nil"/>
              <w:right w:val="single" w:sz="4" w:space="0" w:color="auto"/>
            </w:tcBorders>
          </w:tcPr>
          <w:p w14:paraId="3D12E5EC" w14:textId="77777777" w:rsidR="00B81ED3" w:rsidRDefault="00B81ED3" w:rsidP="00514AD8">
            <w:pPr>
              <w:spacing w:after="0" w:line="240" w:lineRule="auto"/>
              <w:jc w:val="center"/>
              <w:rPr>
                <w:rFonts w:ascii="Helvetica" w:eastAsia="Times New Roman" w:hAnsi="Helvetica"/>
                <w:sz w:val="18"/>
                <w:szCs w:val="18"/>
                <w:lang w:eastAsia="en-GB"/>
              </w:rPr>
            </w:pPr>
          </w:p>
        </w:tc>
        <w:tc>
          <w:tcPr>
            <w:tcW w:w="1528"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bottom"/>
          </w:tcPr>
          <w:p w14:paraId="190B5399" w14:textId="77777777" w:rsidR="00B81ED3" w:rsidRDefault="00B81ED3" w:rsidP="00514AD8">
            <w:pPr>
              <w:spacing w:after="0" w:line="240" w:lineRule="auto"/>
              <w:jc w:val="center"/>
              <w:rPr>
                <w:rFonts w:ascii="Helvetica" w:eastAsia="Times New Roman" w:hAnsi="Helvetica"/>
                <w:sz w:val="18"/>
                <w:szCs w:val="18"/>
                <w:lang w:eastAsia="en-GB"/>
              </w:rPr>
            </w:pPr>
            <w:r>
              <w:rPr>
                <w:rFonts w:ascii="Helvetica" w:hAnsi="Helvetica"/>
                <w:sz w:val="20"/>
                <w:szCs w:val="20"/>
              </w:rPr>
              <w:t xml:space="preserve">     Resistant</w:t>
            </w:r>
          </w:p>
        </w:tc>
        <w:tc>
          <w:tcPr>
            <w:tcW w:w="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292C549" w14:textId="77777777" w:rsidR="00B81ED3" w:rsidRDefault="00B81ED3" w:rsidP="00514AD8">
            <w:pPr>
              <w:spacing w:after="0" w:line="240" w:lineRule="auto"/>
              <w:jc w:val="center"/>
            </w:pPr>
            <w:r>
              <w:rPr>
                <w:rFonts w:ascii="Helvetica" w:eastAsia="Times New Roman" w:hAnsi="Helvetica"/>
                <w:sz w:val="18"/>
                <w:szCs w:val="18"/>
                <w:lang w:eastAsia="en-GB"/>
              </w:rPr>
              <w:t>9</w:t>
            </w:r>
          </w:p>
        </w:tc>
        <w:tc>
          <w:tcPr>
            <w:tcW w:w="7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3A75DE8" w14:textId="77777777" w:rsidR="00B81ED3" w:rsidRDefault="00B81ED3" w:rsidP="00514AD8">
            <w:pPr>
              <w:spacing w:after="0" w:line="240" w:lineRule="auto"/>
              <w:jc w:val="center"/>
            </w:pPr>
            <w:r>
              <w:rPr>
                <w:rFonts w:ascii="Helvetica" w:eastAsia="Times New Roman" w:hAnsi="Helvetica"/>
                <w:sz w:val="18"/>
                <w:szCs w:val="18"/>
                <w:lang w:eastAsia="en-GB"/>
              </w:rPr>
              <w:t>8</w:t>
            </w:r>
          </w:p>
        </w:tc>
        <w:tc>
          <w:tcPr>
            <w:tcW w:w="1077" w:type="dxa"/>
            <w:tcBorders>
              <w:top w:val="single" w:sz="4" w:space="0" w:color="FFFFFF" w:themeColor="background1"/>
              <w:left w:val="single" w:sz="4" w:space="0" w:color="FFFFFF" w:themeColor="background1"/>
              <w:bottom w:val="single" w:sz="4" w:space="0" w:color="FFFFFF" w:themeColor="background1"/>
            </w:tcBorders>
            <w:vAlign w:val="bottom"/>
          </w:tcPr>
          <w:p w14:paraId="36CA65B3" w14:textId="77777777" w:rsidR="00B81ED3" w:rsidRDefault="00B81ED3" w:rsidP="00514AD8">
            <w:pPr>
              <w:spacing w:after="0" w:line="240" w:lineRule="auto"/>
              <w:jc w:val="center"/>
            </w:pPr>
            <w:r>
              <w:rPr>
                <w:rFonts w:ascii="Helvetica" w:eastAsia="Times New Roman" w:hAnsi="Helvetica"/>
                <w:sz w:val="18"/>
                <w:szCs w:val="18"/>
                <w:lang w:eastAsia="en-GB"/>
              </w:rPr>
              <w:t>17</w:t>
            </w:r>
          </w:p>
        </w:tc>
      </w:tr>
      <w:tr w:rsidR="003B3881" w14:paraId="73102EAC" w14:textId="77777777" w:rsidTr="003B3881">
        <w:trPr>
          <w:trHeight w:hRule="exact" w:val="340"/>
        </w:trPr>
        <w:tc>
          <w:tcPr>
            <w:tcW w:w="1527" w:type="dxa"/>
            <w:tcBorders>
              <w:top w:val="single" w:sz="4" w:space="0" w:color="FFFFFF" w:themeColor="background1"/>
              <w:right w:val="single" w:sz="4" w:space="0" w:color="FFFFFF" w:themeColor="background1"/>
            </w:tcBorders>
            <w:vAlign w:val="bottom"/>
          </w:tcPr>
          <w:p w14:paraId="24C88B4B" w14:textId="77777777" w:rsidR="00B81ED3" w:rsidRDefault="00B81ED3" w:rsidP="00514AD8">
            <w:r>
              <w:rPr>
                <w:rFonts w:ascii="Helvetica" w:hAnsi="Helvetica"/>
                <w:sz w:val="20"/>
                <w:szCs w:val="20"/>
              </w:rPr>
              <w:t xml:space="preserve">     Total</w:t>
            </w:r>
          </w:p>
        </w:tc>
        <w:tc>
          <w:tcPr>
            <w:tcW w:w="916" w:type="dxa"/>
            <w:tcBorders>
              <w:top w:val="single" w:sz="4" w:space="0" w:color="FFFFFF" w:themeColor="background1"/>
              <w:left w:val="single" w:sz="4" w:space="0" w:color="FFFFFF" w:themeColor="background1"/>
              <w:right w:val="single" w:sz="4" w:space="0" w:color="FFFFFF" w:themeColor="background1"/>
            </w:tcBorders>
            <w:vAlign w:val="center"/>
          </w:tcPr>
          <w:p w14:paraId="3C94835B" w14:textId="77777777" w:rsidR="00B81ED3" w:rsidRPr="00744462" w:rsidRDefault="00B81ED3" w:rsidP="00514AD8">
            <w:pPr>
              <w:spacing w:after="0" w:line="240" w:lineRule="auto"/>
              <w:jc w:val="center"/>
              <w:rPr>
                <w:rFonts w:ascii="Helvetica" w:eastAsia="Times New Roman" w:hAnsi="Helvetica"/>
                <w:sz w:val="18"/>
                <w:szCs w:val="18"/>
                <w:lang w:eastAsia="en-GB"/>
              </w:rPr>
            </w:pPr>
            <w:r>
              <w:rPr>
                <w:rFonts w:ascii="Helvetica" w:eastAsia="Times New Roman" w:hAnsi="Helvetica"/>
                <w:sz w:val="18"/>
                <w:szCs w:val="18"/>
                <w:lang w:eastAsia="en-GB"/>
              </w:rPr>
              <w:t>57</w:t>
            </w:r>
          </w:p>
        </w:tc>
        <w:tc>
          <w:tcPr>
            <w:tcW w:w="686" w:type="dxa"/>
            <w:tcBorders>
              <w:top w:val="single" w:sz="4" w:space="0" w:color="FFFFFF" w:themeColor="background1"/>
              <w:left w:val="single" w:sz="4" w:space="0" w:color="FFFFFF" w:themeColor="background1"/>
              <w:right w:val="single" w:sz="4" w:space="0" w:color="FFFFFF" w:themeColor="background1"/>
            </w:tcBorders>
            <w:vAlign w:val="center"/>
          </w:tcPr>
          <w:p w14:paraId="287FFBFF" w14:textId="77777777" w:rsidR="00B81ED3" w:rsidRPr="00744462" w:rsidRDefault="00B81ED3" w:rsidP="00514AD8">
            <w:pPr>
              <w:spacing w:after="0" w:line="240" w:lineRule="auto"/>
              <w:jc w:val="center"/>
              <w:rPr>
                <w:rFonts w:ascii="Helvetica" w:eastAsia="Times New Roman" w:hAnsi="Helvetica"/>
                <w:sz w:val="18"/>
                <w:szCs w:val="18"/>
                <w:lang w:eastAsia="en-GB"/>
              </w:rPr>
            </w:pPr>
            <w:r>
              <w:rPr>
                <w:rFonts w:ascii="Helvetica" w:eastAsia="Times New Roman" w:hAnsi="Helvetica"/>
                <w:sz w:val="18"/>
                <w:szCs w:val="18"/>
                <w:lang w:eastAsia="en-GB"/>
              </w:rPr>
              <w:t>1</w:t>
            </w:r>
          </w:p>
        </w:tc>
        <w:tc>
          <w:tcPr>
            <w:tcW w:w="1110" w:type="dxa"/>
            <w:tcBorders>
              <w:top w:val="single" w:sz="4" w:space="0" w:color="FFFFFF" w:themeColor="background1"/>
              <w:left w:val="single" w:sz="4" w:space="0" w:color="FFFFFF" w:themeColor="background1"/>
              <w:right w:val="single" w:sz="4" w:space="0" w:color="auto"/>
            </w:tcBorders>
            <w:vAlign w:val="center"/>
          </w:tcPr>
          <w:p w14:paraId="50F3397B" w14:textId="77777777" w:rsidR="00B81ED3" w:rsidRPr="00744462" w:rsidRDefault="00B81ED3" w:rsidP="00514AD8">
            <w:pPr>
              <w:spacing w:after="0" w:line="240" w:lineRule="auto"/>
              <w:jc w:val="center"/>
              <w:rPr>
                <w:rFonts w:ascii="Helvetica" w:eastAsia="Times New Roman" w:hAnsi="Helvetica"/>
                <w:sz w:val="18"/>
                <w:szCs w:val="18"/>
                <w:lang w:eastAsia="en-GB"/>
              </w:rPr>
            </w:pPr>
            <w:r>
              <w:rPr>
                <w:rFonts w:ascii="Helvetica" w:eastAsia="Times New Roman" w:hAnsi="Helvetica"/>
                <w:sz w:val="18"/>
                <w:szCs w:val="18"/>
                <w:lang w:eastAsia="en-GB"/>
              </w:rPr>
              <w:t>58</w:t>
            </w:r>
          </w:p>
        </w:tc>
        <w:tc>
          <w:tcPr>
            <w:tcW w:w="449" w:type="dxa"/>
            <w:vMerge/>
            <w:tcBorders>
              <w:top w:val="nil"/>
              <w:left w:val="single" w:sz="4" w:space="0" w:color="auto"/>
              <w:bottom w:val="nil"/>
              <w:right w:val="single" w:sz="4" w:space="0" w:color="auto"/>
            </w:tcBorders>
          </w:tcPr>
          <w:p w14:paraId="1DF10757" w14:textId="77777777" w:rsidR="00B81ED3" w:rsidRDefault="00B81ED3" w:rsidP="00514AD8">
            <w:pPr>
              <w:spacing w:after="0" w:line="240" w:lineRule="auto"/>
              <w:jc w:val="center"/>
              <w:rPr>
                <w:rFonts w:ascii="Helvetica" w:eastAsia="Times New Roman" w:hAnsi="Helvetica"/>
                <w:sz w:val="18"/>
                <w:szCs w:val="18"/>
                <w:lang w:eastAsia="en-GB"/>
              </w:rPr>
            </w:pPr>
          </w:p>
        </w:tc>
        <w:tc>
          <w:tcPr>
            <w:tcW w:w="1528" w:type="dxa"/>
            <w:tcBorders>
              <w:top w:val="single" w:sz="4" w:space="0" w:color="FFFFFF" w:themeColor="background1"/>
              <w:left w:val="single" w:sz="4" w:space="0" w:color="auto"/>
              <w:right w:val="single" w:sz="4" w:space="0" w:color="FFFFFF" w:themeColor="background1"/>
            </w:tcBorders>
            <w:vAlign w:val="bottom"/>
          </w:tcPr>
          <w:p w14:paraId="42B35E69" w14:textId="77777777" w:rsidR="00B81ED3" w:rsidRDefault="00B81ED3" w:rsidP="00514AD8">
            <w:pPr>
              <w:spacing w:after="0" w:line="240" w:lineRule="auto"/>
              <w:jc w:val="center"/>
              <w:rPr>
                <w:rFonts w:ascii="Helvetica" w:eastAsia="Times New Roman" w:hAnsi="Helvetica"/>
                <w:sz w:val="18"/>
                <w:szCs w:val="18"/>
                <w:lang w:eastAsia="en-GB"/>
              </w:rPr>
            </w:pPr>
            <w:r>
              <w:rPr>
                <w:rFonts w:ascii="Helvetica" w:hAnsi="Helvetica"/>
                <w:sz w:val="20"/>
                <w:szCs w:val="20"/>
              </w:rPr>
              <w:t xml:space="preserve">     Total</w:t>
            </w:r>
          </w:p>
        </w:tc>
        <w:tc>
          <w:tcPr>
            <w:tcW w:w="893" w:type="dxa"/>
            <w:tcBorders>
              <w:top w:val="single" w:sz="4" w:space="0" w:color="FFFFFF" w:themeColor="background1"/>
              <w:left w:val="single" w:sz="4" w:space="0" w:color="FFFFFF" w:themeColor="background1"/>
              <w:right w:val="single" w:sz="4" w:space="0" w:color="FFFFFF" w:themeColor="background1"/>
            </w:tcBorders>
            <w:vAlign w:val="bottom"/>
          </w:tcPr>
          <w:p w14:paraId="7639B8C2" w14:textId="77777777" w:rsidR="00B81ED3" w:rsidRDefault="00B81ED3" w:rsidP="00514AD8">
            <w:pPr>
              <w:spacing w:after="0" w:line="240" w:lineRule="auto"/>
              <w:jc w:val="center"/>
            </w:pPr>
            <w:r>
              <w:rPr>
                <w:rFonts w:ascii="Helvetica" w:eastAsia="Times New Roman" w:hAnsi="Helvetica"/>
                <w:sz w:val="18"/>
                <w:szCs w:val="18"/>
                <w:lang w:eastAsia="en-GB"/>
              </w:rPr>
              <w:t>48</w:t>
            </w:r>
          </w:p>
        </w:tc>
        <w:tc>
          <w:tcPr>
            <w:tcW w:w="734" w:type="dxa"/>
            <w:tcBorders>
              <w:top w:val="single" w:sz="4" w:space="0" w:color="FFFFFF" w:themeColor="background1"/>
              <w:left w:val="single" w:sz="4" w:space="0" w:color="FFFFFF" w:themeColor="background1"/>
              <w:right w:val="single" w:sz="4" w:space="0" w:color="FFFFFF" w:themeColor="background1"/>
            </w:tcBorders>
            <w:vAlign w:val="bottom"/>
          </w:tcPr>
          <w:p w14:paraId="1F71E9C8" w14:textId="77777777" w:rsidR="00B81ED3" w:rsidRDefault="00B81ED3" w:rsidP="00514AD8">
            <w:pPr>
              <w:spacing w:after="0" w:line="240" w:lineRule="auto"/>
              <w:jc w:val="center"/>
            </w:pPr>
            <w:r>
              <w:rPr>
                <w:rFonts w:ascii="Helvetica" w:eastAsia="Times New Roman" w:hAnsi="Helvetica"/>
                <w:sz w:val="18"/>
                <w:szCs w:val="18"/>
                <w:lang w:eastAsia="en-GB"/>
              </w:rPr>
              <w:t>10</w:t>
            </w:r>
          </w:p>
        </w:tc>
        <w:tc>
          <w:tcPr>
            <w:tcW w:w="1077" w:type="dxa"/>
            <w:tcBorders>
              <w:top w:val="single" w:sz="4" w:space="0" w:color="FFFFFF" w:themeColor="background1"/>
              <w:left w:val="single" w:sz="4" w:space="0" w:color="FFFFFF" w:themeColor="background1"/>
            </w:tcBorders>
            <w:vAlign w:val="bottom"/>
          </w:tcPr>
          <w:p w14:paraId="70226882" w14:textId="77777777" w:rsidR="00B81ED3" w:rsidRDefault="00B81ED3" w:rsidP="00514AD8">
            <w:pPr>
              <w:spacing w:after="0" w:line="240" w:lineRule="auto"/>
              <w:jc w:val="center"/>
            </w:pPr>
            <w:r>
              <w:rPr>
                <w:rFonts w:ascii="Helvetica" w:eastAsia="Times New Roman" w:hAnsi="Helvetica"/>
                <w:sz w:val="18"/>
                <w:szCs w:val="18"/>
                <w:lang w:eastAsia="en-GB"/>
              </w:rPr>
              <w:t>58</w:t>
            </w:r>
          </w:p>
        </w:tc>
      </w:tr>
      <w:tr w:rsidR="00B81ED3" w14:paraId="39527063" w14:textId="77777777" w:rsidTr="003B3881">
        <w:trPr>
          <w:trHeight w:hRule="exact" w:val="242"/>
        </w:trPr>
        <w:tc>
          <w:tcPr>
            <w:tcW w:w="2443" w:type="dxa"/>
            <w:gridSpan w:val="2"/>
            <w:tcBorders>
              <w:bottom w:val="single" w:sz="4" w:space="0" w:color="FFFFFF" w:themeColor="background1"/>
              <w:right w:val="single" w:sz="4" w:space="0" w:color="FFFFFF" w:themeColor="background1"/>
            </w:tcBorders>
          </w:tcPr>
          <w:p w14:paraId="4EDB689B" w14:textId="77777777" w:rsidR="00B81ED3" w:rsidRDefault="00B81ED3" w:rsidP="00514AD8">
            <w:pPr>
              <w:spacing w:after="0" w:line="240" w:lineRule="auto"/>
              <w:rPr>
                <w:rFonts w:ascii="Helvetica" w:eastAsia="Times New Roman" w:hAnsi="Helvetica"/>
                <w:sz w:val="18"/>
                <w:szCs w:val="18"/>
                <w:lang w:eastAsia="en-GB"/>
              </w:rPr>
            </w:pPr>
            <w:r w:rsidRPr="00744462">
              <w:rPr>
                <w:rFonts w:ascii="Helvetica" w:eastAsia="Times New Roman" w:hAnsi="Helvetica"/>
                <w:sz w:val="20"/>
                <w:szCs w:val="20"/>
                <w:lang w:eastAsia="en-GB"/>
              </w:rPr>
              <w:t>Resistance rate Lab</w:t>
            </w:r>
          </w:p>
        </w:tc>
        <w:tc>
          <w:tcPr>
            <w:tcW w:w="1796" w:type="dxa"/>
            <w:gridSpan w:val="2"/>
            <w:tcBorders>
              <w:left w:val="single" w:sz="4" w:space="0" w:color="FFFFFF" w:themeColor="background1"/>
              <w:bottom w:val="single" w:sz="4" w:space="0" w:color="FFFFFF" w:themeColor="background1"/>
              <w:right w:val="single" w:sz="4" w:space="0" w:color="auto"/>
            </w:tcBorders>
          </w:tcPr>
          <w:p w14:paraId="5248E058" w14:textId="77777777" w:rsidR="00B81ED3" w:rsidRDefault="00B81ED3" w:rsidP="00514AD8">
            <w:pPr>
              <w:spacing w:after="0" w:line="240" w:lineRule="auto"/>
              <w:rPr>
                <w:rFonts w:ascii="Helvetica" w:eastAsia="Times New Roman" w:hAnsi="Helvetica"/>
                <w:sz w:val="18"/>
                <w:szCs w:val="18"/>
                <w:lang w:eastAsia="en-GB"/>
              </w:rPr>
            </w:pPr>
            <w:r>
              <w:rPr>
                <w:rFonts w:ascii="Helvetica" w:eastAsia="Times New Roman" w:hAnsi="Helvetica"/>
                <w:sz w:val="18"/>
                <w:szCs w:val="18"/>
                <w:lang w:eastAsia="en-GB"/>
              </w:rPr>
              <w:t>2%</w:t>
            </w:r>
          </w:p>
        </w:tc>
        <w:tc>
          <w:tcPr>
            <w:tcW w:w="449" w:type="dxa"/>
            <w:vMerge/>
            <w:tcBorders>
              <w:top w:val="nil"/>
              <w:left w:val="single" w:sz="4" w:space="0" w:color="auto"/>
              <w:bottom w:val="nil"/>
              <w:right w:val="single" w:sz="4" w:space="0" w:color="auto"/>
            </w:tcBorders>
          </w:tcPr>
          <w:p w14:paraId="50D3683C" w14:textId="77777777" w:rsidR="00B81ED3" w:rsidRDefault="00B81ED3" w:rsidP="00514AD8">
            <w:pPr>
              <w:spacing w:after="0" w:line="240" w:lineRule="auto"/>
              <w:rPr>
                <w:rFonts w:ascii="Helvetica" w:eastAsia="Times New Roman" w:hAnsi="Helvetica"/>
                <w:sz w:val="18"/>
                <w:szCs w:val="18"/>
                <w:lang w:eastAsia="en-GB"/>
              </w:rPr>
            </w:pPr>
          </w:p>
        </w:tc>
        <w:tc>
          <w:tcPr>
            <w:tcW w:w="2421" w:type="dxa"/>
            <w:gridSpan w:val="2"/>
            <w:tcBorders>
              <w:left w:val="single" w:sz="4" w:space="0" w:color="auto"/>
              <w:bottom w:val="single" w:sz="4" w:space="0" w:color="FFFFFF" w:themeColor="background1"/>
              <w:right w:val="single" w:sz="4" w:space="0" w:color="FFFFFF" w:themeColor="background1"/>
            </w:tcBorders>
          </w:tcPr>
          <w:p w14:paraId="59529E96" w14:textId="77777777" w:rsidR="00B81ED3" w:rsidRDefault="00B81ED3" w:rsidP="00514AD8">
            <w:pPr>
              <w:spacing w:after="0" w:line="240" w:lineRule="auto"/>
            </w:pPr>
            <w:r w:rsidRPr="00744462">
              <w:rPr>
                <w:rFonts w:ascii="Helvetica" w:eastAsia="Times New Roman" w:hAnsi="Helvetica"/>
                <w:sz w:val="20"/>
                <w:szCs w:val="20"/>
                <w:lang w:eastAsia="en-GB"/>
              </w:rPr>
              <w:t>Resistance rate Lab</w:t>
            </w:r>
          </w:p>
        </w:tc>
        <w:tc>
          <w:tcPr>
            <w:tcW w:w="1811" w:type="dxa"/>
            <w:gridSpan w:val="2"/>
            <w:tcBorders>
              <w:left w:val="single" w:sz="4" w:space="0" w:color="FFFFFF" w:themeColor="background1"/>
              <w:bottom w:val="single" w:sz="4" w:space="0" w:color="FFFFFF" w:themeColor="background1"/>
            </w:tcBorders>
          </w:tcPr>
          <w:p w14:paraId="519AC3B2" w14:textId="77777777" w:rsidR="00B81ED3" w:rsidRDefault="00B81ED3" w:rsidP="00514AD8">
            <w:pPr>
              <w:spacing w:after="0" w:line="240" w:lineRule="auto"/>
            </w:pPr>
            <w:r>
              <w:rPr>
                <w:rFonts w:ascii="Helvetica" w:eastAsia="Times New Roman" w:hAnsi="Helvetica"/>
                <w:sz w:val="18"/>
                <w:szCs w:val="18"/>
                <w:lang w:eastAsia="en-GB"/>
              </w:rPr>
              <w:t>17%</w:t>
            </w:r>
          </w:p>
        </w:tc>
      </w:tr>
      <w:tr w:rsidR="00B81ED3" w14:paraId="394920C4" w14:textId="77777777" w:rsidTr="003B3881">
        <w:trPr>
          <w:trHeight w:hRule="exact" w:val="242"/>
        </w:trPr>
        <w:tc>
          <w:tcPr>
            <w:tcW w:w="2443" w:type="dxa"/>
            <w:gridSpan w:val="2"/>
            <w:tcBorders>
              <w:top w:val="single" w:sz="4" w:space="0" w:color="FFFFFF" w:themeColor="background1"/>
              <w:bottom w:val="single" w:sz="4" w:space="0" w:color="FFFFFF" w:themeColor="background1"/>
              <w:right w:val="single" w:sz="4" w:space="0" w:color="FFFFFF" w:themeColor="background1"/>
            </w:tcBorders>
          </w:tcPr>
          <w:p w14:paraId="2AAE4EF2" w14:textId="77777777" w:rsidR="00B81ED3" w:rsidRDefault="00B81ED3" w:rsidP="00514AD8">
            <w:pPr>
              <w:spacing w:after="0" w:line="240" w:lineRule="auto"/>
              <w:rPr>
                <w:rFonts w:ascii="Helvetica" w:eastAsia="Times New Roman" w:hAnsi="Helvetica"/>
                <w:sz w:val="18"/>
                <w:szCs w:val="18"/>
                <w:lang w:eastAsia="en-GB"/>
              </w:rPr>
            </w:pPr>
            <w:r>
              <w:rPr>
                <w:rFonts w:ascii="Helvetica" w:eastAsia="Times New Roman" w:hAnsi="Helvetica"/>
                <w:sz w:val="20"/>
                <w:szCs w:val="20"/>
                <w:lang w:eastAsia="en-GB"/>
              </w:rPr>
              <w:t>Resistance rate Flex</w:t>
            </w:r>
          </w:p>
        </w:tc>
        <w:tc>
          <w:tcPr>
            <w:tcW w:w="1796"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C17709A" w14:textId="77777777" w:rsidR="00B81ED3" w:rsidRPr="00EA7DFB" w:rsidRDefault="00B81ED3" w:rsidP="00514AD8">
            <w:pPr>
              <w:spacing w:after="0" w:line="240" w:lineRule="auto"/>
              <w:rPr>
                <w:rFonts w:ascii="Helvetica" w:eastAsia="Times New Roman" w:hAnsi="Helvetica"/>
                <w:i/>
                <w:sz w:val="18"/>
                <w:szCs w:val="18"/>
                <w:lang w:eastAsia="en-GB"/>
              </w:rPr>
            </w:pPr>
            <w:r>
              <w:rPr>
                <w:rFonts w:ascii="Helvetica" w:eastAsia="Times New Roman" w:hAnsi="Helvetica"/>
                <w:sz w:val="18"/>
                <w:szCs w:val="18"/>
                <w:lang w:eastAsia="en-GB"/>
              </w:rPr>
              <w:t xml:space="preserve">5% </w:t>
            </w:r>
            <w:r>
              <w:rPr>
                <w:rFonts w:ascii="Helvetica" w:eastAsia="Times New Roman" w:hAnsi="Helvetica"/>
                <w:i/>
                <w:sz w:val="18"/>
                <w:szCs w:val="18"/>
                <w:lang w:eastAsia="en-GB"/>
              </w:rPr>
              <w:t>p-value 0.500</w:t>
            </w:r>
          </w:p>
        </w:tc>
        <w:tc>
          <w:tcPr>
            <w:tcW w:w="449" w:type="dxa"/>
            <w:vMerge/>
            <w:tcBorders>
              <w:top w:val="nil"/>
              <w:left w:val="single" w:sz="4" w:space="0" w:color="auto"/>
              <w:bottom w:val="nil"/>
              <w:right w:val="single" w:sz="4" w:space="0" w:color="auto"/>
            </w:tcBorders>
          </w:tcPr>
          <w:p w14:paraId="2A47CA38" w14:textId="77777777" w:rsidR="00B81ED3" w:rsidRDefault="00B81ED3" w:rsidP="00514AD8">
            <w:pPr>
              <w:spacing w:after="0" w:line="240" w:lineRule="auto"/>
              <w:rPr>
                <w:rFonts w:ascii="Helvetica" w:eastAsia="Times New Roman" w:hAnsi="Helvetica"/>
                <w:sz w:val="18"/>
                <w:szCs w:val="18"/>
                <w:lang w:eastAsia="en-GB"/>
              </w:rPr>
            </w:pPr>
          </w:p>
        </w:tc>
        <w:tc>
          <w:tcPr>
            <w:tcW w:w="242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F258D01" w14:textId="77777777" w:rsidR="00B81ED3" w:rsidRDefault="00B81ED3" w:rsidP="00514AD8">
            <w:pPr>
              <w:spacing w:after="0" w:line="240" w:lineRule="auto"/>
            </w:pPr>
            <w:r>
              <w:rPr>
                <w:rFonts w:ascii="Helvetica" w:eastAsia="Times New Roman" w:hAnsi="Helvetica"/>
                <w:sz w:val="20"/>
                <w:szCs w:val="20"/>
                <w:lang w:eastAsia="en-GB"/>
              </w:rPr>
              <w:t>Resistance rate Flex</w:t>
            </w:r>
          </w:p>
        </w:tc>
        <w:tc>
          <w:tcPr>
            <w:tcW w:w="1811" w:type="dxa"/>
            <w:gridSpan w:val="2"/>
            <w:tcBorders>
              <w:top w:val="single" w:sz="4" w:space="0" w:color="FFFFFF" w:themeColor="background1"/>
              <w:left w:val="single" w:sz="4" w:space="0" w:color="FFFFFF" w:themeColor="background1"/>
              <w:bottom w:val="single" w:sz="4" w:space="0" w:color="FFFFFF" w:themeColor="background1"/>
            </w:tcBorders>
          </w:tcPr>
          <w:p w14:paraId="7E9F1DDA" w14:textId="77777777" w:rsidR="00B81ED3" w:rsidRDefault="00B81ED3" w:rsidP="00514AD8">
            <w:pPr>
              <w:spacing w:after="0" w:line="240" w:lineRule="auto"/>
            </w:pPr>
            <w:r>
              <w:rPr>
                <w:rFonts w:ascii="Helvetica" w:eastAsia="Times New Roman" w:hAnsi="Helvetica"/>
                <w:sz w:val="18"/>
                <w:szCs w:val="18"/>
                <w:lang w:eastAsia="en-GB"/>
              </w:rPr>
              <w:t xml:space="preserve">29% </w:t>
            </w:r>
            <w:r>
              <w:rPr>
                <w:rFonts w:ascii="Helvetica" w:eastAsia="Times New Roman" w:hAnsi="Helvetica"/>
                <w:i/>
                <w:sz w:val="18"/>
                <w:szCs w:val="18"/>
                <w:lang w:eastAsia="en-GB"/>
              </w:rPr>
              <w:t>p-value 0.650</w:t>
            </w:r>
          </w:p>
        </w:tc>
      </w:tr>
      <w:tr w:rsidR="00B81ED3" w14:paraId="10B3A0A6" w14:textId="77777777" w:rsidTr="003B3881">
        <w:trPr>
          <w:trHeight w:hRule="exact" w:val="242"/>
        </w:trPr>
        <w:tc>
          <w:tcPr>
            <w:tcW w:w="2443" w:type="dxa"/>
            <w:gridSpan w:val="2"/>
            <w:tcBorders>
              <w:top w:val="single" w:sz="4" w:space="0" w:color="FFFFFF" w:themeColor="background1"/>
              <w:bottom w:val="single" w:sz="4" w:space="0" w:color="FFFFFF" w:themeColor="background1"/>
              <w:right w:val="single" w:sz="4" w:space="0" w:color="FFFFFF" w:themeColor="background1"/>
            </w:tcBorders>
          </w:tcPr>
          <w:p w14:paraId="457AE0AF" w14:textId="77777777" w:rsidR="00B81ED3" w:rsidRDefault="00B81ED3" w:rsidP="00514AD8">
            <w:pPr>
              <w:spacing w:after="0" w:line="240" w:lineRule="auto"/>
              <w:rPr>
                <w:rFonts w:ascii="Helvetica" w:eastAsia="Times New Roman" w:hAnsi="Helvetica"/>
                <w:sz w:val="18"/>
                <w:szCs w:val="18"/>
                <w:lang w:eastAsia="en-GB"/>
              </w:rPr>
            </w:pPr>
            <w:r w:rsidRPr="00744462">
              <w:rPr>
                <w:rFonts w:ascii="Helvetica" w:eastAsia="Times New Roman" w:hAnsi="Helvetica"/>
                <w:sz w:val="20"/>
                <w:szCs w:val="20"/>
                <w:lang w:eastAsia="en-GB"/>
              </w:rPr>
              <w:t xml:space="preserve">Sensitivity </w:t>
            </w:r>
            <w:r w:rsidRPr="00744462">
              <w:rPr>
                <w:rFonts w:ascii="Helvetica" w:eastAsia="Times New Roman" w:hAnsi="Helvetica"/>
                <w:i/>
                <w:sz w:val="20"/>
                <w:szCs w:val="20"/>
                <w:lang w:eastAsia="en-GB"/>
              </w:rPr>
              <w:t>(95%CI)</w:t>
            </w:r>
          </w:p>
        </w:tc>
        <w:tc>
          <w:tcPr>
            <w:tcW w:w="1796"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60A7F7B" w14:textId="77777777" w:rsidR="00B81ED3" w:rsidRDefault="00B81ED3" w:rsidP="00514AD8">
            <w:pPr>
              <w:spacing w:after="0" w:line="240" w:lineRule="auto"/>
              <w:rPr>
                <w:rFonts w:ascii="Helvetica" w:eastAsia="Times New Roman" w:hAnsi="Helvetica"/>
                <w:sz w:val="18"/>
                <w:szCs w:val="18"/>
                <w:lang w:eastAsia="en-GB"/>
              </w:rPr>
            </w:pPr>
            <w:r>
              <w:rPr>
                <w:rFonts w:ascii="Helvetica" w:eastAsia="Times New Roman" w:hAnsi="Helvetica"/>
                <w:sz w:val="18"/>
                <w:szCs w:val="18"/>
                <w:lang w:eastAsia="en-GB"/>
              </w:rPr>
              <w:t>100 (2.50 – 100.0)</w:t>
            </w:r>
          </w:p>
        </w:tc>
        <w:tc>
          <w:tcPr>
            <w:tcW w:w="449" w:type="dxa"/>
            <w:vMerge/>
            <w:tcBorders>
              <w:top w:val="nil"/>
              <w:left w:val="single" w:sz="4" w:space="0" w:color="auto"/>
              <w:bottom w:val="nil"/>
              <w:right w:val="single" w:sz="4" w:space="0" w:color="auto"/>
            </w:tcBorders>
          </w:tcPr>
          <w:p w14:paraId="2BC9465C" w14:textId="77777777" w:rsidR="00B81ED3" w:rsidRDefault="00B81ED3" w:rsidP="00514AD8">
            <w:pPr>
              <w:spacing w:after="0" w:line="240" w:lineRule="auto"/>
              <w:rPr>
                <w:rFonts w:ascii="Helvetica" w:eastAsia="Times New Roman" w:hAnsi="Helvetica"/>
                <w:sz w:val="18"/>
                <w:szCs w:val="18"/>
                <w:lang w:eastAsia="en-GB"/>
              </w:rPr>
            </w:pPr>
          </w:p>
        </w:tc>
        <w:tc>
          <w:tcPr>
            <w:tcW w:w="242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39D057F" w14:textId="77777777" w:rsidR="00B81ED3" w:rsidRDefault="00B81ED3" w:rsidP="00514AD8">
            <w:pPr>
              <w:spacing w:after="0" w:line="240" w:lineRule="auto"/>
            </w:pPr>
            <w:r w:rsidRPr="00744462">
              <w:rPr>
                <w:rFonts w:ascii="Helvetica" w:eastAsia="Times New Roman" w:hAnsi="Helvetica"/>
                <w:sz w:val="20"/>
                <w:szCs w:val="20"/>
                <w:lang w:eastAsia="en-GB"/>
              </w:rPr>
              <w:t xml:space="preserve">Sensitivity </w:t>
            </w:r>
            <w:r w:rsidRPr="00744462">
              <w:rPr>
                <w:rFonts w:ascii="Helvetica" w:eastAsia="Times New Roman" w:hAnsi="Helvetica"/>
                <w:i/>
                <w:sz w:val="20"/>
                <w:szCs w:val="20"/>
                <w:lang w:eastAsia="en-GB"/>
              </w:rPr>
              <w:t>(95%CI)</w:t>
            </w:r>
          </w:p>
        </w:tc>
        <w:tc>
          <w:tcPr>
            <w:tcW w:w="1811" w:type="dxa"/>
            <w:gridSpan w:val="2"/>
            <w:tcBorders>
              <w:top w:val="single" w:sz="4" w:space="0" w:color="FFFFFF" w:themeColor="background1"/>
              <w:left w:val="single" w:sz="4" w:space="0" w:color="FFFFFF" w:themeColor="background1"/>
              <w:bottom w:val="single" w:sz="4" w:space="0" w:color="FFFFFF" w:themeColor="background1"/>
            </w:tcBorders>
          </w:tcPr>
          <w:p w14:paraId="19E8BD52" w14:textId="77777777" w:rsidR="00B81ED3" w:rsidRDefault="00B81ED3" w:rsidP="00514AD8">
            <w:pPr>
              <w:spacing w:after="0" w:line="240" w:lineRule="auto"/>
            </w:pPr>
            <w:r>
              <w:rPr>
                <w:rFonts w:ascii="Helvetica" w:eastAsia="Times New Roman" w:hAnsi="Helvetica"/>
                <w:sz w:val="18"/>
                <w:szCs w:val="18"/>
                <w:lang w:eastAsia="en-GB"/>
              </w:rPr>
              <w:t>80 (</w:t>
            </w:r>
            <w:r w:rsidRPr="00AC05DD">
              <w:rPr>
                <w:rFonts w:ascii="Helvetica" w:eastAsia="Times New Roman" w:hAnsi="Helvetica"/>
                <w:sz w:val="18"/>
                <w:szCs w:val="18"/>
                <w:lang w:eastAsia="en-GB"/>
              </w:rPr>
              <w:t>44.4-97.5)</w:t>
            </w:r>
          </w:p>
        </w:tc>
      </w:tr>
      <w:tr w:rsidR="00B81ED3" w14:paraId="46B5394D" w14:textId="77777777" w:rsidTr="003B3881">
        <w:trPr>
          <w:trHeight w:hRule="exact" w:val="242"/>
        </w:trPr>
        <w:tc>
          <w:tcPr>
            <w:tcW w:w="2443" w:type="dxa"/>
            <w:gridSpan w:val="2"/>
            <w:tcBorders>
              <w:top w:val="single" w:sz="4" w:space="0" w:color="FFFFFF" w:themeColor="background1"/>
              <w:bottom w:val="single" w:sz="4" w:space="0" w:color="FFFFFF" w:themeColor="background1"/>
              <w:right w:val="single" w:sz="4" w:space="0" w:color="FFFFFF" w:themeColor="background1"/>
            </w:tcBorders>
          </w:tcPr>
          <w:p w14:paraId="5626BA13" w14:textId="77777777" w:rsidR="00B81ED3" w:rsidRDefault="00B81ED3" w:rsidP="00514AD8">
            <w:pPr>
              <w:spacing w:after="0" w:line="240" w:lineRule="auto"/>
              <w:rPr>
                <w:rFonts w:ascii="Helvetica" w:eastAsia="Times New Roman" w:hAnsi="Helvetica"/>
                <w:sz w:val="18"/>
                <w:szCs w:val="18"/>
                <w:lang w:eastAsia="en-GB"/>
              </w:rPr>
            </w:pPr>
            <w:r w:rsidRPr="00744462">
              <w:rPr>
                <w:rFonts w:ascii="Helvetica" w:eastAsia="Times New Roman" w:hAnsi="Helvetica"/>
                <w:sz w:val="20"/>
                <w:szCs w:val="20"/>
                <w:lang w:eastAsia="en-GB"/>
              </w:rPr>
              <w:t xml:space="preserve">Specificity </w:t>
            </w:r>
            <w:r w:rsidRPr="00744462">
              <w:rPr>
                <w:rFonts w:ascii="Helvetica" w:eastAsia="Times New Roman" w:hAnsi="Helvetica"/>
                <w:i/>
                <w:sz w:val="20"/>
                <w:szCs w:val="20"/>
                <w:lang w:eastAsia="en-GB"/>
              </w:rPr>
              <w:t>(95% CI)</w:t>
            </w:r>
          </w:p>
        </w:tc>
        <w:tc>
          <w:tcPr>
            <w:tcW w:w="1796"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6BD4677" w14:textId="77777777" w:rsidR="00B81ED3" w:rsidRDefault="00B81ED3" w:rsidP="00514AD8">
            <w:pPr>
              <w:spacing w:after="0" w:line="240" w:lineRule="auto"/>
              <w:rPr>
                <w:rFonts w:ascii="Helvetica" w:eastAsia="Times New Roman" w:hAnsi="Helvetica"/>
                <w:sz w:val="18"/>
                <w:szCs w:val="18"/>
                <w:lang w:eastAsia="en-GB"/>
              </w:rPr>
            </w:pPr>
            <w:r w:rsidRPr="00EA7DFB">
              <w:rPr>
                <w:rFonts w:ascii="Helvetica" w:eastAsia="Times New Roman" w:hAnsi="Helvetica"/>
                <w:sz w:val="18"/>
                <w:szCs w:val="18"/>
                <w:lang w:eastAsia="en-GB"/>
              </w:rPr>
              <w:t>96 (87.9-99.6)</w:t>
            </w:r>
          </w:p>
        </w:tc>
        <w:tc>
          <w:tcPr>
            <w:tcW w:w="449" w:type="dxa"/>
            <w:vMerge/>
            <w:tcBorders>
              <w:top w:val="nil"/>
              <w:left w:val="single" w:sz="4" w:space="0" w:color="auto"/>
              <w:bottom w:val="nil"/>
              <w:right w:val="single" w:sz="4" w:space="0" w:color="auto"/>
            </w:tcBorders>
          </w:tcPr>
          <w:p w14:paraId="46451BB9" w14:textId="77777777" w:rsidR="00B81ED3" w:rsidRPr="00EA7DFB" w:rsidRDefault="00B81ED3" w:rsidP="00514AD8">
            <w:pPr>
              <w:spacing w:after="0" w:line="240" w:lineRule="auto"/>
              <w:rPr>
                <w:rFonts w:ascii="Helvetica" w:eastAsia="Times New Roman" w:hAnsi="Helvetica"/>
                <w:sz w:val="18"/>
                <w:szCs w:val="18"/>
                <w:lang w:eastAsia="en-GB"/>
              </w:rPr>
            </w:pPr>
          </w:p>
        </w:tc>
        <w:tc>
          <w:tcPr>
            <w:tcW w:w="242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4454F89" w14:textId="77777777" w:rsidR="00B81ED3" w:rsidRDefault="00B81ED3" w:rsidP="00514AD8">
            <w:pPr>
              <w:spacing w:after="0" w:line="240" w:lineRule="auto"/>
            </w:pPr>
            <w:r w:rsidRPr="00744462">
              <w:rPr>
                <w:rFonts w:ascii="Helvetica" w:eastAsia="Times New Roman" w:hAnsi="Helvetica"/>
                <w:sz w:val="20"/>
                <w:szCs w:val="20"/>
                <w:lang w:eastAsia="en-GB"/>
              </w:rPr>
              <w:t xml:space="preserve">Specificity </w:t>
            </w:r>
            <w:r w:rsidRPr="00744462">
              <w:rPr>
                <w:rFonts w:ascii="Helvetica" w:eastAsia="Times New Roman" w:hAnsi="Helvetica"/>
                <w:i/>
                <w:sz w:val="20"/>
                <w:szCs w:val="20"/>
                <w:lang w:eastAsia="en-GB"/>
              </w:rPr>
              <w:t>(95% CI)</w:t>
            </w:r>
          </w:p>
        </w:tc>
        <w:tc>
          <w:tcPr>
            <w:tcW w:w="1811" w:type="dxa"/>
            <w:gridSpan w:val="2"/>
            <w:tcBorders>
              <w:top w:val="single" w:sz="4" w:space="0" w:color="FFFFFF" w:themeColor="background1"/>
              <w:left w:val="single" w:sz="4" w:space="0" w:color="FFFFFF" w:themeColor="background1"/>
              <w:bottom w:val="single" w:sz="4" w:space="0" w:color="FFFFFF" w:themeColor="background1"/>
            </w:tcBorders>
          </w:tcPr>
          <w:p w14:paraId="520937F9" w14:textId="77777777" w:rsidR="00B81ED3" w:rsidRDefault="00B81ED3" w:rsidP="00514AD8">
            <w:pPr>
              <w:spacing w:after="0" w:line="240" w:lineRule="auto"/>
            </w:pPr>
            <w:r>
              <w:rPr>
                <w:rFonts w:ascii="Helvetica" w:eastAsia="Times New Roman" w:hAnsi="Helvetica"/>
                <w:sz w:val="18"/>
                <w:szCs w:val="18"/>
                <w:lang w:eastAsia="en-GB"/>
              </w:rPr>
              <w:t>81</w:t>
            </w:r>
            <w:r w:rsidRPr="00EA7DFB">
              <w:rPr>
                <w:rFonts w:ascii="Helvetica" w:eastAsia="Times New Roman" w:hAnsi="Helvetica"/>
                <w:sz w:val="18"/>
                <w:szCs w:val="18"/>
                <w:lang w:eastAsia="en-GB"/>
              </w:rPr>
              <w:t xml:space="preserve"> (</w:t>
            </w:r>
            <w:r w:rsidRPr="00AC05DD">
              <w:rPr>
                <w:rFonts w:ascii="Helvetica" w:eastAsia="Times New Roman" w:hAnsi="Helvetica"/>
                <w:sz w:val="18"/>
                <w:szCs w:val="18"/>
                <w:lang w:eastAsia="en-GB"/>
              </w:rPr>
              <w:t>67.4-91.1)</w:t>
            </w:r>
          </w:p>
        </w:tc>
      </w:tr>
      <w:tr w:rsidR="00B81ED3" w14:paraId="10F795A7" w14:textId="77777777" w:rsidTr="003B3881">
        <w:trPr>
          <w:trHeight w:hRule="exact" w:val="242"/>
        </w:trPr>
        <w:tc>
          <w:tcPr>
            <w:tcW w:w="2443" w:type="dxa"/>
            <w:gridSpan w:val="2"/>
            <w:tcBorders>
              <w:top w:val="single" w:sz="4" w:space="0" w:color="FFFFFF" w:themeColor="background1"/>
              <w:bottom w:val="single" w:sz="4" w:space="0" w:color="FFFFFF" w:themeColor="background1"/>
              <w:right w:val="single" w:sz="4" w:space="0" w:color="FFFFFF" w:themeColor="background1"/>
            </w:tcBorders>
          </w:tcPr>
          <w:p w14:paraId="316423C1" w14:textId="77777777" w:rsidR="00B81ED3" w:rsidRDefault="00B81ED3" w:rsidP="00514AD8">
            <w:pPr>
              <w:spacing w:after="0" w:line="240" w:lineRule="auto"/>
              <w:rPr>
                <w:rFonts w:ascii="Helvetica" w:eastAsia="Times New Roman" w:hAnsi="Helvetica"/>
                <w:sz w:val="18"/>
                <w:szCs w:val="18"/>
                <w:lang w:eastAsia="en-GB"/>
              </w:rPr>
            </w:pPr>
            <w:r w:rsidRPr="00744462">
              <w:rPr>
                <w:rFonts w:ascii="Helvetica" w:eastAsia="Times New Roman" w:hAnsi="Helvetica"/>
                <w:sz w:val="20"/>
                <w:szCs w:val="20"/>
                <w:lang w:eastAsia="en-GB"/>
              </w:rPr>
              <w:t>PPV</w:t>
            </w:r>
          </w:p>
        </w:tc>
        <w:tc>
          <w:tcPr>
            <w:tcW w:w="1796"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9BC625A" w14:textId="77777777" w:rsidR="00B81ED3" w:rsidRDefault="00B81ED3" w:rsidP="00514AD8">
            <w:pPr>
              <w:spacing w:after="0" w:line="240" w:lineRule="auto"/>
              <w:rPr>
                <w:rFonts w:ascii="Helvetica" w:eastAsia="Times New Roman" w:hAnsi="Helvetica"/>
                <w:sz w:val="18"/>
                <w:szCs w:val="18"/>
                <w:lang w:eastAsia="en-GB"/>
              </w:rPr>
            </w:pPr>
            <w:r w:rsidRPr="00EA7DFB">
              <w:rPr>
                <w:rFonts w:ascii="Helvetica" w:eastAsia="Times New Roman" w:hAnsi="Helvetica"/>
                <w:sz w:val="18"/>
                <w:szCs w:val="18"/>
                <w:lang w:eastAsia="en-GB"/>
              </w:rPr>
              <w:t>33 (0.84-90.6)</w:t>
            </w:r>
          </w:p>
        </w:tc>
        <w:tc>
          <w:tcPr>
            <w:tcW w:w="449" w:type="dxa"/>
            <w:vMerge/>
            <w:tcBorders>
              <w:top w:val="nil"/>
              <w:left w:val="single" w:sz="4" w:space="0" w:color="auto"/>
              <w:bottom w:val="nil"/>
              <w:right w:val="single" w:sz="4" w:space="0" w:color="auto"/>
            </w:tcBorders>
          </w:tcPr>
          <w:p w14:paraId="7B15FC38" w14:textId="77777777" w:rsidR="00B81ED3" w:rsidRPr="00EA7DFB" w:rsidRDefault="00B81ED3" w:rsidP="00514AD8">
            <w:pPr>
              <w:spacing w:after="0" w:line="240" w:lineRule="auto"/>
              <w:rPr>
                <w:rFonts w:ascii="Helvetica" w:eastAsia="Times New Roman" w:hAnsi="Helvetica"/>
                <w:sz w:val="18"/>
                <w:szCs w:val="18"/>
                <w:lang w:eastAsia="en-GB"/>
              </w:rPr>
            </w:pPr>
          </w:p>
        </w:tc>
        <w:tc>
          <w:tcPr>
            <w:tcW w:w="242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579F545" w14:textId="77777777" w:rsidR="00B81ED3" w:rsidRDefault="00B81ED3" w:rsidP="00514AD8">
            <w:pPr>
              <w:spacing w:after="0" w:line="240" w:lineRule="auto"/>
            </w:pPr>
            <w:r w:rsidRPr="00744462">
              <w:rPr>
                <w:rFonts w:ascii="Helvetica" w:eastAsia="Times New Roman" w:hAnsi="Helvetica"/>
                <w:sz w:val="20"/>
                <w:szCs w:val="20"/>
                <w:lang w:eastAsia="en-GB"/>
              </w:rPr>
              <w:t>PPV</w:t>
            </w:r>
          </w:p>
        </w:tc>
        <w:tc>
          <w:tcPr>
            <w:tcW w:w="1811" w:type="dxa"/>
            <w:gridSpan w:val="2"/>
            <w:tcBorders>
              <w:top w:val="single" w:sz="4" w:space="0" w:color="FFFFFF" w:themeColor="background1"/>
              <w:left w:val="single" w:sz="4" w:space="0" w:color="FFFFFF" w:themeColor="background1"/>
              <w:bottom w:val="single" w:sz="4" w:space="0" w:color="FFFFFF" w:themeColor="background1"/>
            </w:tcBorders>
          </w:tcPr>
          <w:p w14:paraId="02C3148A" w14:textId="77777777" w:rsidR="00B81ED3" w:rsidRDefault="00B81ED3" w:rsidP="00514AD8">
            <w:pPr>
              <w:spacing w:after="0" w:line="240" w:lineRule="auto"/>
            </w:pPr>
            <w:r>
              <w:rPr>
                <w:rFonts w:ascii="Helvetica" w:eastAsia="Times New Roman" w:hAnsi="Helvetica"/>
                <w:sz w:val="18"/>
                <w:szCs w:val="18"/>
                <w:lang w:eastAsia="en-GB"/>
              </w:rPr>
              <w:t>47</w:t>
            </w:r>
            <w:r w:rsidRPr="00EA7DFB">
              <w:rPr>
                <w:rFonts w:ascii="Helvetica" w:eastAsia="Times New Roman" w:hAnsi="Helvetica"/>
                <w:sz w:val="18"/>
                <w:szCs w:val="18"/>
                <w:lang w:eastAsia="en-GB"/>
              </w:rPr>
              <w:t xml:space="preserve"> </w:t>
            </w:r>
            <w:r w:rsidRPr="00AC05DD">
              <w:rPr>
                <w:rFonts w:ascii="Helvetica" w:eastAsia="Times New Roman" w:hAnsi="Helvetica"/>
                <w:sz w:val="18"/>
                <w:szCs w:val="18"/>
                <w:lang w:eastAsia="en-GB"/>
              </w:rPr>
              <w:t>(23.0-72.2)</w:t>
            </w:r>
          </w:p>
        </w:tc>
      </w:tr>
      <w:tr w:rsidR="00B81ED3" w14:paraId="6F3B59DC" w14:textId="77777777" w:rsidTr="003B3881">
        <w:trPr>
          <w:trHeight w:hRule="exact" w:val="242"/>
        </w:trPr>
        <w:tc>
          <w:tcPr>
            <w:tcW w:w="2443" w:type="dxa"/>
            <w:gridSpan w:val="2"/>
            <w:tcBorders>
              <w:top w:val="single" w:sz="4" w:space="0" w:color="FFFFFF" w:themeColor="background1"/>
              <w:bottom w:val="single" w:sz="4" w:space="0" w:color="FFFFFF" w:themeColor="background1"/>
              <w:right w:val="single" w:sz="4" w:space="0" w:color="FFFFFF" w:themeColor="background1"/>
            </w:tcBorders>
          </w:tcPr>
          <w:p w14:paraId="0534DEE5" w14:textId="77777777" w:rsidR="00B81ED3" w:rsidRDefault="00B81ED3" w:rsidP="00514AD8">
            <w:pPr>
              <w:spacing w:after="0" w:line="240" w:lineRule="auto"/>
              <w:rPr>
                <w:rFonts w:ascii="Helvetica" w:eastAsia="Times New Roman" w:hAnsi="Helvetica"/>
                <w:sz w:val="18"/>
                <w:szCs w:val="18"/>
                <w:lang w:eastAsia="en-GB"/>
              </w:rPr>
            </w:pPr>
            <w:r w:rsidRPr="00744462">
              <w:rPr>
                <w:rFonts w:ascii="Helvetica" w:eastAsia="Times New Roman" w:hAnsi="Helvetica"/>
                <w:sz w:val="20"/>
                <w:szCs w:val="20"/>
                <w:lang w:eastAsia="en-GB"/>
              </w:rPr>
              <w:t>NPV</w:t>
            </w:r>
          </w:p>
        </w:tc>
        <w:tc>
          <w:tcPr>
            <w:tcW w:w="1796"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857BCA6" w14:textId="77777777" w:rsidR="00B81ED3" w:rsidRDefault="00B81ED3" w:rsidP="00514AD8">
            <w:pPr>
              <w:spacing w:after="0" w:line="240" w:lineRule="auto"/>
              <w:rPr>
                <w:rFonts w:ascii="Helvetica" w:eastAsia="Times New Roman" w:hAnsi="Helvetica"/>
                <w:sz w:val="18"/>
                <w:szCs w:val="18"/>
                <w:lang w:eastAsia="en-GB"/>
              </w:rPr>
            </w:pPr>
            <w:r w:rsidRPr="00EA7DFB">
              <w:rPr>
                <w:rFonts w:ascii="Helvetica" w:eastAsia="Times New Roman" w:hAnsi="Helvetica"/>
                <w:sz w:val="18"/>
                <w:szCs w:val="18"/>
                <w:lang w:eastAsia="en-GB"/>
              </w:rPr>
              <w:t>100 (93.5-100.0)</w:t>
            </w:r>
          </w:p>
        </w:tc>
        <w:tc>
          <w:tcPr>
            <w:tcW w:w="449" w:type="dxa"/>
            <w:vMerge/>
            <w:tcBorders>
              <w:top w:val="nil"/>
              <w:left w:val="single" w:sz="4" w:space="0" w:color="auto"/>
              <w:bottom w:val="nil"/>
              <w:right w:val="single" w:sz="4" w:space="0" w:color="auto"/>
            </w:tcBorders>
          </w:tcPr>
          <w:p w14:paraId="38ED14C1" w14:textId="77777777" w:rsidR="00B81ED3" w:rsidRPr="00EA7DFB" w:rsidRDefault="00B81ED3" w:rsidP="00514AD8">
            <w:pPr>
              <w:spacing w:after="0" w:line="240" w:lineRule="auto"/>
              <w:rPr>
                <w:rFonts w:ascii="Helvetica" w:eastAsia="Times New Roman" w:hAnsi="Helvetica"/>
                <w:sz w:val="18"/>
                <w:szCs w:val="18"/>
                <w:lang w:eastAsia="en-GB"/>
              </w:rPr>
            </w:pPr>
          </w:p>
        </w:tc>
        <w:tc>
          <w:tcPr>
            <w:tcW w:w="242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A4211E4" w14:textId="77777777" w:rsidR="00B81ED3" w:rsidRDefault="00B81ED3" w:rsidP="00514AD8">
            <w:pPr>
              <w:spacing w:after="0" w:line="240" w:lineRule="auto"/>
            </w:pPr>
            <w:r w:rsidRPr="00744462">
              <w:rPr>
                <w:rFonts w:ascii="Helvetica" w:eastAsia="Times New Roman" w:hAnsi="Helvetica"/>
                <w:sz w:val="20"/>
                <w:szCs w:val="20"/>
                <w:lang w:eastAsia="en-GB"/>
              </w:rPr>
              <w:t>NPV</w:t>
            </w:r>
          </w:p>
        </w:tc>
        <w:tc>
          <w:tcPr>
            <w:tcW w:w="1811" w:type="dxa"/>
            <w:gridSpan w:val="2"/>
            <w:tcBorders>
              <w:top w:val="single" w:sz="4" w:space="0" w:color="FFFFFF" w:themeColor="background1"/>
              <w:left w:val="single" w:sz="4" w:space="0" w:color="FFFFFF" w:themeColor="background1"/>
              <w:bottom w:val="single" w:sz="4" w:space="0" w:color="FFFFFF" w:themeColor="background1"/>
            </w:tcBorders>
          </w:tcPr>
          <w:p w14:paraId="53B5599A" w14:textId="77777777" w:rsidR="00B81ED3" w:rsidRDefault="00B81ED3" w:rsidP="00514AD8">
            <w:pPr>
              <w:spacing w:after="0" w:line="240" w:lineRule="auto"/>
            </w:pPr>
            <w:r>
              <w:rPr>
                <w:rFonts w:ascii="Helvetica" w:eastAsia="Times New Roman" w:hAnsi="Helvetica"/>
                <w:sz w:val="18"/>
                <w:szCs w:val="18"/>
                <w:lang w:eastAsia="en-GB"/>
              </w:rPr>
              <w:t>95</w:t>
            </w:r>
            <w:r w:rsidRPr="00EA7DFB">
              <w:rPr>
                <w:rFonts w:ascii="Helvetica" w:eastAsia="Times New Roman" w:hAnsi="Helvetica"/>
                <w:sz w:val="18"/>
                <w:szCs w:val="18"/>
                <w:lang w:eastAsia="en-GB"/>
              </w:rPr>
              <w:t xml:space="preserve"> (</w:t>
            </w:r>
            <w:r w:rsidRPr="00AC05DD">
              <w:rPr>
                <w:rFonts w:ascii="Helvetica" w:eastAsia="Times New Roman" w:hAnsi="Helvetica"/>
                <w:sz w:val="18"/>
                <w:szCs w:val="18"/>
                <w:lang w:eastAsia="en-GB"/>
              </w:rPr>
              <w:t>83.5-99.4)</w:t>
            </w:r>
          </w:p>
        </w:tc>
      </w:tr>
      <w:tr w:rsidR="00B81ED3" w14:paraId="2F85BC30" w14:textId="77777777" w:rsidTr="003B3881">
        <w:trPr>
          <w:trHeight w:hRule="exact" w:val="242"/>
        </w:trPr>
        <w:tc>
          <w:tcPr>
            <w:tcW w:w="2443" w:type="dxa"/>
            <w:gridSpan w:val="2"/>
            <w:tcBorders>
              <w:top w:val="single" w:sz="4" w:space="0" w:color="FFFFFF" w:themeColor="background1"/>
              <w:bottom w:val="single" w:sz="4" w:space="0" w:color="FFFFFF" w:themeColor="background1"/>
              <w:right w:val="single" w:sz="4" w:space="0" w:color="FFFFFF" w:themeColor="background1"/>
            </w:tcBorders>
          </w:tcPr>
          <w:p w14:paraId="52F342DC" w14:textId="77777777" w:rsidR="00B81ED3" w:rsidRDefault="00B81ED3" w:rsidP="00514AD8">
            <w:pPr>
              <w:spacing w:after="0" w:line="240" w:lineRule="auto"/>
              <w:rPr>
                <w:rFonts w:ascii="Helvetica" w:eastAsia="Times New Roman" w:hAnsi="Helvetica"/>
                <w:sz w:val="18"/>
                <w:szCs w:val="18"/>
                <w:lang w:eastAsia="en-GB"/>
              </w:rPr>
            </w:pPr>
            <w:r w:rsidRPr="00744462">
              <w:rPr>
                <w:rFonts w:ascii="Helvetica" w:eastAsia="Times New Roman" w:hAnsi="Helvetica"/>
                <w:sz w:val="20"/>
                <w:szCs w:val="20"/>
                <w:lang w:eastAsia="en-GB"/>
              </w:rPr>
              <w:t>Error rate (%)</w:t>
            </w:r>
          </w:p>
        </w:tc>
        <w:tc>
          <w:tcPr>
            <w:tcW w:w="1796"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958C82A" w14:textId="77777777" w:rsidR="00B81ED3" w:rsidRDefault="00B81ED3" w:rsidP="00514AD8">
            <w:pPr>
              <w:spacing w:after="0" w:line="240" w:lineRule="auto"/>
              <w:rPr>
                <w:rFonts w:ascii="Helvetica" w:eastAsia="Times New Roman" w:hAnsi="Helvetica"/>
                <w:sz w:val="18"/>
                <w:szCs w:val="18"/>
                <w:lang w:eastAsia="en-GB"/>
              </w:rPr>
            </w:pPr>
            <w:r>
              <w:rPr>
                <w:rFonts w:ascii="Helvetica" w:eastAsia="Times New Roman" w:hAnsi="Helvetica"/>
                <w:sz w:val="18"/>
                <w:szCs w:val="18"/>
                <w:lang w:eastAsia="en-GB"/>
              </w:rPr>
              <w:t>3%</w:t>
            </w:r>
          </w:p>
        </w:tc>
        <w:tc>
          <w:tcPr>
            <w:tcW w:w="449" w:type="dxa"/>
            <w:vMerge/>
            <w:tcBorders>
              <w:top w:val="nil"/>
              <w:left w:val="single" w:sz="4" w:space="0" w:color="auto"/>
              <w:bottom w:val="nil"/>
              <w:right w:val="single" w:sz="4" w:space="0" w:color="auto"/>
            </w:tcBorders>
          </w:tcPr>
          <w:p w14:paraId="3E03CFB8" w14:textId="77777777" w:rsidR="00B81ED3" w:rsidRDefault="00B81ED3" w:rsidP="00514AD8">
            <w:pPr>
              <w:spacing w:after="0" w:line="240" w:lineRule="auto"/>
              <w:rPr>
                <w:rFonts w:ascii="Helvetica" w:eastAsia="Times New Roman" w:hAnsi="Helvetica"/>
                <w:sz w:val="18"/>
                <w:szCs w:val="18"/>
                <w:lang w:eastAsia="en-GB"/>
              </w:rPr>
            </w:pPr>
          </w:p>
        </w:tc>
        <w:tc>
          <w:tcPr>
            <w:tcW w:w="242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344A53B" w14:textId="77777777" w:rsidR="00B81ED3" w:rsidRDefault="00B81ED3" w:rsidP="00514AD8">
            <w:pPr>
              <w:spacing w:after="0" w:line="240" w:lineRule="auto"/>
            </w:pPr>
            <w:r w:rsidRPr="00744462">
              <w:rPr>
                <w:rFonts w:ascii="Helvetica" w:eastAsia="Times New Roman" w:hAnsi="Helvetica"/>
                <w:sz w:val="20"/>
                <w:szCs w:val="20"/>
                <w:lang w:eastAsia="en-GB"/>
              </w:rPr>
              <w:t>Error rate (%)</w:t>
            </w:r>
          </w:p>
        </w:tc>
        <w:tc>
          <w:tcPr>
            <w:tcW w:w="1811" w:type="dxa"/>
            <w:gridSpan w:val="2"/>
            <w:tcBorders>
              <w:top w:val="single" w:sz="4" w:space="0" w:color="FFFFFF" w:themeColor="background1"/>
              <w:left w:val="single" w:sz="4" w:space="0" w:color="FFFFFF" w:themeColor="background1"/>
              <w:bottom w:val="single" w:sz="4" w:space="0" w:color="FFFFFF" w:themeColor="background1"/>
            </w:tcBorders>
          </w:tcPr>
          <w:p w14:paraId="6B8384AC" w14:textId="77777777" w:rsidR="00B81ED3" w:rsidRDefault="00B81ED3" w:rsidP="00514AD8">
            <w:pPr>
              <w:spacing w:after="0" w:line="240" w:lineRule="auto"/>
            </w:pPr>
            <w:r>
              <w:rPr>
                <w:rFonts w:ascii="Helvetica" w:eastAsia="Times New Roman" w:hAnsi="Helvetica"/>
                <w:sz w:val="18"/>
                <w:szCs w:val="18"/>
                <w:lang w:eastAsia="en-GB"/>
              </w:rPr>
              <w:t>19%</w:t>
            </w:r>
          </w:p>
        </w:tc>
      </w:tr>
      <w:tr w:rsidR="00B81ED3" w14:paraId="1B068982" w14:textId="77777777" w:rsidTr="003B3881">
        <w:trPr>
          <w:trHeight w:hRule="exact" w:val="242"/>
        </w:trPr>
        <w:tc>
          <w:tcPr>
            <w:tcW w:w="2443" w:type="dxa"/>
            <w:gridSpan w:val="2"/>
            <w:tcBorders>
              <w:top w:val="single" w:sz="4" w:space="0" w:color="FFFFFF" w:themeColor="background1"/>
              <w:bottom w:val="single" w:sz="4" w:space="0" w:color="FFFFFF" w:themeColor="background1"/>
              <w:right w:val="single" w:sz="4" w:space="0" w:color="FFFFFF" w:themeColor="background1"/>
            </w:tcBorders>
          </w:tcPr>
          <w:p w14:paraId="38914119" w14:textId="77777777" w:rsidR="00B81ED3" w:rsidRDefault="00B81ED3" w:rsidP="00514AD8">
            <w:pPr>
              <w:spacing w:after="0" w:line="240" w:lineRule="auto"/>
              <w:rPr>
                <w:rFonts w:ascii="Helvetica" w:eastAsia="Times New Roman" w:hAnsi="Helvetica"/>
                <w:sz w:val="18"/>
                <w:szCs w:val="18"/>
                <w:lang w:eastAsia="en-GB"/>
              </w:rPr>
            </w:pPr>
            <w:r w:rsidRPr="00744462">
              <w:rPr>
                <w:rFonts w:ascii="Helvetica" w:eastAsia="Times New Roman" w:hAnsi="Helvetica"/>
                <w:sz w:val="20"/>
                <w:szCs w:val="20"/>
                <w:lang w:eastAsia="en-GB"/>
              </w:rPr>
              <w:t xml:space="preserve">Kappa </w:t>
            </w:r>
            <w:r w:rsidRPr="00744462">
              <w:rPr>
                <w:rFonts w:ascii="Helvetica" w:eastAsia="Times New Roman" w:hAnsi="Helvetica"/>
                <w:i/>
                <w:sz w:val="20"/>
                <w:szCs w:val="20"/>
                <w:lang w:eastAsia="en-GB"/>
              </w:rPr>
              <w:t>(95%CI)</w:t>
            </w:r>
          </w:p>
        </w:tc>
        <w:tc>
          <w:tcPr>
            <w:tcW w:w="1796"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77B36BF" w14:textId="77777777" w:rsidR="00B81ED3" w:rsidRDefault="00B81ED3" w:rsidP="00514AD8">
            <w:pPr>
              <w:spacing w:after="0" w:line="240" w:lineRule="auto"/>
              <w:rPr>
                <w:rFonts w:ascii="Helvetica" w:eastAsia="Times New Roman" w:hAnsi="Helvetica"/>
                <w:sz w:val="18"/>
                <w:szCs w:val="18"/>
                <w:lang w:eastAsia="en-GB"/>
              </w:rPr>
            </w:pPr>
            <w:r w:rsidRPr="00EA7DFB">
              <w:rPr>
                <w:rFonts w:ascii="Helvetica" w:eastAsia="Times New Roman" w:hAnsi="Helvetica"/>
                <w:sz w:val="18"/>
                <w:szCs w:val="18"/>
                <w:lang w:eastAsia="en-GB"/>
              </w:rPr>
              <w:t>0.49(-0.113-1.087)</w:t>
            </w:r>
          </w:p>
        </w:tc>
        <w:tc>
          <w:tcPr>
            <w:tcW w:w="449" w:type="dxa"/>
            <w:vMerge/>
            <w:tcBorders>
              <w:top w:val="nil"/>
              <w:left w:val="single" w:sz="4" w:space="0" w:color="auto"/>
              <w:bottom w:val="nil"/>
              <w:right w:val="single" w:sz="4" w:space="0" w:color="auto"/>
            </w:tcBorders>
          </w:tcPr>
          <w:p w14:paraId="0CF00EFD" w14:textId="77777777" w:rsidR="00B81ED3" w:rsidRPr="00EA7DFB" w:rsidRDefault="00B81ED3" w:rsidP="00514AD8">
            <w:pPr>
              <w:spacing w:after="0" w:line="240" w:lineRule="auto"/>
              <w:rPr>
                <w:rFonts w:ascii="Helvetica" w:eastAsia="Times New Roman" w:hAnsi="Helvetica"/>
                <w:sz w:val="18"/>
                <w:szCs w:val="18"/>
                <w:lang w:eastAsia="en-GB"/>
              </w:rPr>
            </w:pPr>
          </w:p>
        </w:tc>
        <w:tc>
          <w:tcPr>
            <w:tcW w:w="242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07BABF7" w14:textId="77777777" w:rsidR="00B81ED3" w:rsidRDefault="00B81ED3" w:rsidP="00514AD8">
            <w:pPr>
              <w:spacing w:after="0" w:line="240" w:lineRule="auto"/>
            </w:pPr>
            <w:r w:rsidRPr="00744462">
              <w:rPr>
                <w:rFonts w:ascii="Helvetica" w:eastAsia="Times New Roman" w:hAnsi="Helvetica"/>
                <w:sz w:val="20"/>
                <w:szCs w:val="20"/>
                <w:lang w:eastAsia="en-GB"/>
              </w:rPr>
              <w:t xml:space="preserve">Kappa </w:t>
            </w:r>
            <w:r w:rsidRPr="00744462">
              <w:rPr>
                <w:rFonts w:ascii="Helvetica" w:eastAsia="Times New Roman" w:hAnsi="Helvetica"/>
                <w:i/>
                <w:sz w:val="20"/>
                <w:szCs w:val="20"/>
                <w:lang w:eastAsia="en-GB"/>
              </w:rPr>
              <w:t>(95%CI)</w:t>
            </w:r>
          </w:p>
        </w:tc>
        <w:tc>
          <w:tcPr>
            <w:tcW w:w="1811" w:type="dxa"/>
            <w:gridSpan w:val="2"/>
            <w:tcBorders>
              <w:top w:val="single" w:sz="4" w:space="0" w:color="FFFFFF" w:themeColor="background1"/>
              <w:left w:val="single" w:sz="4" w:space="0" w:color="FFFFFF" w:themeColor="background1"/>
              <w:bottom w:val="single" w:sz="4" w:space="0" w:color="FFFFFF" w:themeColor="background1"/>
            </w:tcBorders>
          </w:tcPr>
          <w:p w14:paraId="53811B70" w14:textId="77777777" w:rsidR="00B81ED3" w:rsidRDefault="00B81ED3" w:rsidP="00514AD8">
            <w:pPr>
              <w:spacing w:after="0" w:line="240" w:lineRule="auto"/>
            </w:pPr>
            <w:r>
              <w:rPr>
                <w:rFonts w:ascii="Helvetica" w:eastAsia="Times New Roman" w:hAnsi="Helvetica"/>
                <w:sz w:val="18"/>
                <w:szCs w:val="18"/>
                <w:lang w:eastAsia="en-GB"/>
              </w:rPr>
              <w:t>0.48(</w:t>
            </w:r>
            <w:r w:rsidRPr="00AC05DD">
              <w:rPr>
                <w:rFonts w:ascii="Helvetica" w:eastAsia="Times New Roman" w:hAnsi="Helvetica"/>
                <w:sz w:val="18"/>
                <w:szCs w:val="18"/>
                <w:lang w:eastAsia="en-GB"/>
              </w:rPr>
              <w:t>0.227-0.732)</w:t>
            </w:r>
          </w:p>
        </w:tc>
      </w:tr>
      <w:tr w:rsidR="003B3881" w14:paraId="74C7DFB9" w14:textId="77777777" w:rsidTr="003B3881">
        <w:trPr>
          <w:trHeight w:hRule="exact" w:val="242"/>
        </w:trPr>
        <w:tc>
          <w:tcPr>
            <w:tcW w:w="2443" w:type="dxa"/>
            <w:gridSpan w:val="2"/>
            <w:tcBorders>
              <w:top w:val="single" w:sz="4" w:space="0" w:color="FFFFFF" w:themeColor="background1"/>
              <w:right w:val="single" w:sz="4" w:space="0" w:color="FFFFFF" w:themeColor="background1"/>
            </w:tcBorders>
          </w:tcPr>
          <w:p w14:paraId="64D5F054" w14:textId="77777777" w:rsidR="00B81ED3" w:rsidRDefault="00B81ED3" w:rsidP="00514AD8">
            <w:pPr>
              <w:spacing w:after="0" w:line="240" w:lineRule="auto"/>
              <w:rPr>
                <w:rFonts w:ascii="Helvetica" w:eastAsia="Times New Roman" w:hAnsi="Helvetica"/>
                <w:sz w:val="18"/>
                <w:szCs w:val="18"/>
                <w:lang w:eastAsia="en-GB"/>
              </w:rPr>
            </w:pPr>
            <w:r w:rsidRPr="00744462">
              <w:rPr>
                <w:rFonts w:ascii="Helvetica" w:eastAsia="Times New Roman" w:hAnsi="Helvetica"/>
                <w:sz w:val="20"/>
                <w:szCs w:val="20"/>
                <w:lang w:eastAsia="en-GB"/>
              </w:rPr>
              <w:t>PABAK</w:t>
            </w:r>
          </w:p>
        </w:tc>
        <w:tc>
          <w:tcPr>
            <w:tcW w:w="1796" w:type="dxa"/>
            <w:gridSpan w:val="2"/>
            <w:tcBorders>
              <w:top w:val="single" w:sz="4" w:space="0" w:color="FFFFFF" w:themeColor="background1"/>
              <w:left w:val="single" w:sz="4" w:space="0" w:color="FFFFFF" w:themeColor="background1"/>
              <w:right w:val="single" w:sz="4" w:space="0" w:color="auto"/>
            </w:tcBorders>
          </w:tcPr>
          <w:p w14:paraId="7E71B7E1" w14:textId="77777777" w:rsidR="00B81ED3" w:rsidRDefault="00B81ED3" w:rsidP="00514AD8">
            <w:pPr>
              <w:spacing w:after="0" w:line="240" w:lineRule="auto"/>
              <w:rPr>
                <w:rFonts w:ascii="Helvetica" w:eastAsia="Times New Roman" w:hAnsi="Helvetica"/>
                <w:sz w:val="18"/>
                <w:szCs w:val="18"/>
                <w:lang w:eastAsia="en-GB"/>
              </w:rPr>
            </w:pPr>
            <w:r>
              <w:rPr>
                <w:rFonts w:ascii="Helvetica" w:eastAsia="Times New Roman" w:hAnsi="Helvetica"/>
                <w:sz w:val="18"/>
                <w:szCs w:val="18"/>
                <w:lang w:eastAsia="en-GB"/>
              </w:rPr>
              <w:t>0.94</w:t>
            </w:r>
          </w:p>
        </w:tc>
        <w:tc>
          <w:tcPr>
            <w:tcW w:w="449" w:type="dxa"/>
            <w:vMerge/>
            <w:tcBorders>
              <w:top w:val="nil"/>
              <w:left w:val="single" w:sz="4" w:space="0" w:color="auto"/>
              <w:bottom w:val="nil"/>
              <w:right w:val="single" w:sz="4" w:space="0" w:color="auto"/>
            </w:tcBorders>
          </w:tcPr>
          <w:p w14:paraId="6BA82C1F" w14:textId="77777777" w:rsidR="00B81ED3" w:rsidRDefault="00B81ED3" w:rsidP="00514AD8">
            <w:pPr>
              <w:spacing w:after="0" w:line="240" w:lineRule="auto"/>
              <w:rPr>
                <w:rFonts w:ascii="Helvetica" w:eastAsia="Times New Roman" w:hAnsi="Helvetica"/>
                <w:sz w:val="18"/>
                <w:szCs w:val="18"/>
                <w:lang w:eastAsia="en-GB"/>
              </w:rPr>
            </w:pPr>
          </w:p>
        </w:tc>
        <w:tc>
          <w:tcPr>
            <w:tcW w:w="2421" w:type="dxa"/>
            <w:gridSpan w:val="2"/>
            <w:tcBorders>
              <w:top w:val="single" w:sz="4" w:space="0" w:color="FFFFFF" w:themeColor="background1"/>
              <w:left w:val="single" w:sz="4" w:space="0" w:color="auto"/>
              <w:right w:val="single" w:sz="4" w:space="0" w:color="FFFFFF" w:themeColor="background1"/>
            </w:tcBorders>
          </w:tcPr>
          <w:p w14:paraId="2DB184FE" w14:textId="77777777" w:rsidR="00B81ED3" w:rsidRDefault="00B81ED3" w:rsidP="00514AD8">
            <w:pPr>
              <w:spacing w:after="0" w:line="240" w:lineRule="auto"/>
            </w:pPr>
            <w:r w:rsidRPr="00744462">
              <w:rPr>
                <w:rFonts w:ascii="Helvetica" w:eastAsia="Times New Roman" w:hAnsi="Helvetica"/>
                <w:sz w:val="20"/>
                <w:szCs w:val="20"/>
                <w:lang w:eastAsia="en-GB"/>
              </w:rPr>
              <w:t>PABAK</w:t>
            </w:r>
          </w:p>
        </w:tc>
        <w:tc>
          <w:tcPr>
            <w:tcW w:w="1811" w:type="dxa"/>
            <w:gridSpan w:val="2"/>
            <w:tcBorders>
              <w:top w:val="single" w:sz="4" w:space="0" w:color="FFFFFF" w:themeColor="background1"/>
              <w:left w:val="single" w:sz="4" w:space="0" w:color="FFFFFF" w:themeColor="background1"/>
            </w:tcBorders>
          </w:tcPr>
          <w:p w14:paraId="0E47D520" w14:textId="77777777" w:rsidR="00B81ED3" w:rsidRDefault="00B81ED3" w:rsidP="00514AD8">
            <w:pPr>
              <w:spacing w:after="0" w:line="240" w:lineRule="auto"/>
            </w:pPr>
            <w:r>
              <w:rPr>
                <w:rFonts w:ascii="Helvetica" w:eastAsia="Times New Roman" w:hAnsi="Helvetica"/>
                <w:sz w:val="18"/>
                <w:szCs w:val="18"/>
                <w:lang w:eastAsia="en-GB"/>
              </w:rPr>
              <w:t>0.62</w:t>
            </w:r>
          </w:p>
        </w:tc>
      </w:tr>
      <w:tr w:rsidR="00B81ED3" w14:paraId="253CA1E9" w14:textId="77777777" w:rsidTr="00514AD8">
        <w:trPr>
          <w:trHeight w:hRule="exact" w:val="242"/>
        </w:trPr>
        <w:tc>
          <w:tcPr>
            <w:tcW w:w="8920" w:type="dxa"/>
            <w:gridSpan w:val="9"/>
            <w:tcBorders>
              <w:top w:val="nil"/>
              <w:left w:val="single" w:sz="4" w:space="0" w:color="FFFFFF" w:themeColor="background1"/>
              <w:bottom w:val="nil"/>
              <w:right w:val="single" w:sz="4" w:space="0" w:color="FFFFFF"/>
            </w:tcBorders>
          </w:tcPr>
          <w:p w14:paraId="32DEB7C4" w14:textId="77777777" w:rsidR="00B81ED3" w:rsidRDefault="00B81ED3" w:rsidP="00514AD8">
            <w:pPr>
              <w:spacing w:after="0" w:line="240" w:lineRule="auto"/>
              <w:rPr>
                <w:rFonts w:ascii="Helvetica" w:eastAsia="Times New Roman" w:hAnsi="Helvetica"/>
                <w:sz w:val="18"/>
                <w:szCs w:val="18"/>
                <w:lang w:eastAsia="en-GB"/>
              </w:rPr>
            </w:pPr>
          </w:p>
        </w:tc>
      </w:tr>
      <w:tr w:rsidR="00B81ED3" w14:paraId="1522E7F2" w14:textId="77777777" w:rsidTr="003B3881">
        <w:trPr>
          <w:trHeight w:val="460"/>
          <w:tblHeader/>
        </w:trPr>
        <w:tc>
          <w:tcPr>
            <w:tcW w:w="1527" w:type="dxa"/>
            <w:tcBorders>
              <w:right w:val="single" w:sz="4" w:space="0" w:color="FFFFFF" w:themeColor="background1"/>
            </w:tcBorders>
          </w:tcPr>
          <w:p w14:paraId="221C3AF8" w14:textId="77777777" w:rsidR="00B81ED3" w:rsidRPr="008C150B" w:rsidRDefault="00B81ED3" w:rsidP="00514AD8">
            <w:pPr>
              <w:spacing w:after="0" w:line="240" w:lineRule="auto"/>
              <w:rPr>
                <w:rFonts w:ascii="Helvetica" w:hAnsi="Helvetica"/>
                <w:b/>
                <w:sz w:val="20"/>
                <w:szCs w:val="20"/>
              </w:rPr>
            </w:pPr>
            <w:r w:rsidRPr="00744462">
              <w:rPr>
                <w:rFonts w:ascii="Helvetica" w:hAnsi="Helvetica"/>
                <w:b/>
                <w:sz w:val="20"/>
                <w:szCs w:val="20"/>
              </w:rPr>
              <w:t>nitrofurantoin</w:t>
            </w:r>
            <w:r>
              <w:rPr>
                <w:rFonts w:ascii="Helvetica" w:hAnsi="Helvetica"/>
                <w:b/>
                <w:sz w:val="20"/>
                <w:szCs w:val="20"/>
              </w:rPr>
              <w:br/>
            </w:r>
            <w:r w:rsidRPr="00744462">
              <w:rPr>
                <w:rFonts w:ascii="Helvetica" w:hAnsi="Helvetica"/>
                <w:b/>
                <w:sz w:val="20"/>
                <w:szCs w:val="20"/>
              </w:rPr>
              <w:t>n=5</w:t>
            </w:r>
            <w:r>
              <w:rPr>
                <w:rFonts w:ascii="Helvetica" w:hAnsi="Helvetica"/>
                <w:b/>
                <w:sz w:val="20"/>
                <w:szCs w:val="20"/>
              </w:rPr>
              <w:t>2</w:t>
            </w:r>
          </w:p>
        </w:tc>
        <w:tc>
          <w:tcPr>
            <w:tcW w:w="2712" w:type="dxa"/>
            <w:gridSpan w:val="3"/>
            <w:tcBorders>
              <w:left w:val="single" w:sz="4" w:space="0" w:color="FFFFFF" w:themeColor="background1"/>
            </w:tcBorders>
          </w:tcPr>
          <w:p w14:paraId="300EEEF9" w14:textId="77777777" w:rsidR="00B81ED3" w:rsidRPr="00744462" w:rsidRDefault="00B81ED3" w:rsidP="00514AD8">
            <w:pPr>
              <w:spacing w:after="0" w:line="240" w:lineRule="auto"/>
              <w:rPr>
                <w:rFonts w:ascii="Helvetica" w:eastAsia="Times New Roman" w:hAnsi="Helvetica"/>
                <w:sz w:val="20"/>
                <w:szCs w:val="20"/>
                <w:lang w:eastAsia="en-GB"/>
              </w:rPr>
            </w:pPr>
            <w:r w:rsidRPr="00744462">
              <w:rPr>
                <w:rFonts w:ascii="Helvetica" w:hAnsi="Helvetica"/>
                <w:b/>
                <w:sz w:val="20"/>
                <w:szCs w:val="20"/>
              </w:rPr>
              <w:t>Laboratory culture</w:t>
            </w:r>
            <w:r>
              <w:rPr>
                <w:rFonts w:ascii="Helvetica" w:hAnsi="Helvetica"/>
                <w:b/>
                <w:sz w:val="20"/>
                <w:szCs w:val="20"/>
              </w:rPr>
              <w:br/>
            </w:r>
            <w:r w:rsidRPr="00744462">
              <w:rPr>
                <w:rFonts w:ascii="Helvetica" w:eastAsia="Times New Roman" w:hAnsi="Helvetica"/>
                <w:sz w:val="18"/>
                <w:szCs w:val="18"/>
                <w:lang w:eastAsia="en-GB"/>
              </w:rPr>
              <w:t>Sensitive</w:t>
            </w:r>
            <w:r>
              <w:rPr>
                <w:rFonts w:ascii="Helvetica" w:eastAsia="Times New Roman" w:hAnsi="Helvetica"/>
                <w:sz w:val="18"/>
                <w:szCs w:val="18"/>
                <w:lang w:eastAsia="en-GB"/>
              </w:rPr>
              <w:t xml:space="preserve">    </w:t>
            </w:r>
            <w:r w:rsidRPr="00744462">
              <w:rPr>
                <w:rFonts w:ascii="Helvetica" w:eastAsia="Times New Roman" w:hAnsi="Helvetica"/>
                <w:sz w:val="18"/>
                <w:szCs w:val="18"/>
                <w:lang w:eastAsia="en-GB"/>
              </w:rPr>
              <w:t>Resistant</w:t>
            </w:r>
            <w:r>
              <w:rPr>
                <w:rFonts w:ascii="Helvetica" w:eastAsia="Times New Roman" w:hAnsi="Helvetica"/>
                <w:sz w:val="18"/>
                <w:szCs w:val="18"/>
                <w:lang w:eastAsia="en-GB"/>
              </w:rPr>
              <w:t xml:space="preserve">     T</w:t>
            </w:r>
            <w:r w:rsidRPr="00744462">
              <w:rPr>
                <w:rFonts w:ascii="Helvetica" w:eastAsia="Times New Roman" w:hAnsi="Helvetica"/>
                <w:sz w:val="18"/>
                <w:szCs w:val="18"/>
                <w:lang w:eastAsia="en-GB"/>
              </w:rPr>
              <w:t>otal</w:t>
            </w:r>
          </w:p>
        </w:tc>
        <w:tc>
          <w:tcPr>
            <w:tcW w:w="449" w:type="dxa"/>
            <w:vMerge w:val="restart"/>
            <w:tcBorders>
              <w:top w:val="nil"/>
            </w:tcBorders>
          </w:tcPr>
          <w:p w14:paraId="47F286BF" w14:textId="77777777" w:rsidR="00B81ED3" w:rsidRPr="00744462" w:rsidRDefault="00B81ED3" w:rsidP="00514AD8">
            <w:pPr>
              <w:spacing w:after="0" w:line="240" w:lineRule="auto"/>
              <w:rPr>
                <w:rFonts w:ascii="Helvetica" w:hAnsi="Helvetica"/>
                <w:b/>
                <w:sz w:val="20"/>
                <w:szCs w:val="20"/>
              </w:rPr>
            </w:pPr>
          </w:p>
        </w:tc>
        <w:tc>
          <w:tcPr>
            <w:tcW w:w="1528" w:type="dxa"/>
            <w:tcBorders>
              <w:right w:val="single" w:sz="4" w:space="0" w:color="FFFFFF" w:themeColor="background1"/>
            </w:tcBorders>
          </w:tcPr>
          <w:p w14:paraId="3E282162" w14:textId="77777777" w:rsidR="00B81ED3" w:rsidRPr="00744462" w:rsidRDefault="00B81ED3" w:rsidP="00514AD8">
            <w:pPr>
              <w:spacing w:after="0" w:line="240" w:lineRule="auto"/>
              <w:rPr>
                <w:rFonts w:ascii="Helvetica" w:hAnsi="Helvetica"/>
                <w:b/>
                <w:sz w:val="20"/>
                <w:szCs w:val="20"/>
              </w:rPr>
            </w:pPr>
            <w:r w:rsidRPr="00744462">
              <w:rPr>
                <w:rFonts w:ascii="Helvetica" w:hAnsi="Helvetica"/>
                <w:b/>
                <w:sz w:val="20"/>
                <w:szCs w:val="20"/>
              </w:rPr>
              <w:t>trimethoprim</w:t>
            </w:r>
            <w:r>
              <w:rPr>
                <w:rFonts w:ascii="Helvetica" w:hAnsi="Helvetica"/>
                <w:b/>
                <w:sz w:val="20"/>
                <w:szCs w:val="20"/>
              </w:rPr>
              <w:br/>
            </w:r>
            <w:r w:rsidRPr="00744462">
              <w:rPr>
                <w:rFonts w:ascii="Helvetica" w:hAnsi="Helvetica"/>
                <w:b/>
                <w:sz w:val="20"/>
                <w:szCs w:val="20"/>
              </w:rPr>
              <w:t>n=</w:t>
            </w:r>
            <w:r>
              <w:rPr>
                <w:rFonts w:ascii="Helvetica" w:hAnsi="Helvetica"/>
                <w:b/>
                <w:sz w:val="20"/>
                <w:szCs w:val="20"/>
              </w:rPr>
              <w:t>3</w:t>
            </w:r>
            <w:r w:rsidRPr="00744462">
              <w:rPr>
                <w:rFonts w:ascii="Helvetica" w:hAnsi="Helvetica"/>
                <w:b/>
                <w:sz w:val="20"/>
                <w:szCs w:val="20"/>
              </w:rPr>
              <w:t>5</w:t>
            </w:r>
          </w:p>
        </w:tc>
        <w:tc>
          <w:tcPr>
            <w:tcW w:w="2704" w:type="dxa"/>
            <w:gridSpan w:val="3"/>
            <w:tcBorders>
              <w:left w:val="single" w:sz="4" w:space="0" w:color="FFFFFF" w:themeColor="background1"/>
            </w:tcBorders>
          </w:tcPr>
          <w:p w14:paraId="249577D5" w14:textId="77777777" w:rsidR="00B81ED3" w:rsidRDefault="00B81ED3" w:rsidP="00514AD8">
            <w:pPr>
              <w:spacing w:after="0" w:line="240" w:lineRule="auto"/>
            </w:pPr>
            <w:r w:rsidRPr="00744462">
              <w:rPr>
                <w:rFonts w:ascii="Helvetica" w:hAnsi="Helvetica"/>
                <w:b/>
                <w:sz w:val="20"/>
                <w:szCs w:val="20"/>
              </w:rPr>
              <w:t>Laboratory culture</w:t>
            </w:r>
            <w:r>
              <w:rPr>
                <w:rFonts w:ascii="Helvetica" w:hAnsi="Helvetica"/>
                <w:b/>
                <w:sz w:val="20"/>
                <w:szCs w:val="20"/>
              </w:rPr>
              <w:br/>
            </w:r>
            <w:r w:rsidRPr="00744462">
              <w:rPr>
                <w:rFonts w:ascii="Helvetica" w:eastAsia="Times New Roman" w:hAnsi="Helvetica"/>
                <w:sz w:val="18"/>
                <w:szCs w:val="18"/>
                <w:lang w:eastAsia="en-GB"/>
              </w:rPr>
              <w:t>Sensitive</w:t>
            </w:r>
            <w:r>
              <w:rPr>
                <w:rFonts w:ascii="Helvetica" w:eastAsia="Times New Roman" w:hAnsi="Helvetica"/>
                <w:sz w:val="18"/>
                <w:szCs w:val="18"/>
                <w:lang w:eastAsia="en-GB"/>
              </w:rPr>
              <w:t xml:space="preserve">    </w:t>
            </w:r>
            <w:r w:rsidRPr="00744462">
              <w:rPr>
                <w:rFonts w:ascii="Helvetica" w:eastAsia="Times New Roman" w:hAnsi="Helvetica"/>
                <w:sz w:val="18"/>
                <w:szCs w:val="18"/>
                <w:lang w:eastAsia="en-GB"/>
              </w:rPr>
              <w:t>Resistant</w:t>
            </w:r>
            <w:r>
              <w:rPr>
                <w:rFonts w:ascii="Helvetica" w:eastAsia="Times New Roman" w:hAnsi="Helvetica"/>
                <w:sz w:val="18"/>
                <w:szCs w:val="18"/>
                <w:lang w:eastAsia="en-GB"/>
              </w:rPr>
              <w:t xml:space="preserve">     T</w:t>
            </w:r>
            <w:r w:rsidRPr="00744462">
              <w:rPr>
                <w:rFonts w:ascii="Helvetica" w:eastAsia="Times New Roman" w:hAnsi="Helvetica"/>
                <w:sz w:val="18"/>
                <w:szCs w:val="18"/>
                <w:lang w:eastAsia="en-GB"/>
              </w:rPr>
              <w:t>otal</w:t>
            </w:r>
          </w:p>
        </w:tc>
      </w:tr>
      <w:tr w:rsidR="00B81ED3" w14:paraId="139B5C66" w14:textId="77777777" w:rsidTr="003B3881">
        <w:trPr>
          <w:trHeight w:val="445"/>
          <w:tblHeader/>
        </w:trPr>
        <w:tc>
          <w:tcPr>
            <w:tcW w:w="1527" w:type="dxa"/>
            <w:tcBorders>
              <w:bottom w:val="single" w:sz="4" w:space="0" w:color="FFFFFF" w:themeColor="background1"/>
              <w:right w:val="single" w:sz="4" w:space="0" w:color="FFFFFF" w:themeColor="background1"/>
            </w:tcBorders>
          </w:tcPr>
          <w:p w14:paraId="7728DFEA" w14:textId="77777777" w:rsidR="00B81ED3" w:rsidRPr="008C150B" w:rsidRDefault="00B81ED3" w:rsidP="00514AD8">
            <w:pPr>
              <w:spacing w:after="0" w:line="240" w:lineRule="auto"/>
              <w:rPr>
                <w:rFonts w:ascii="Helvetica" w:hAnsi="Helvetica"/>
                <w:sz w:val="20"/>
                <w:szCs w:val="20"/>
              </w:rPr>
            </w:pPr>
            <w:r>
              <w:rPr>
                <w:rFonts w:ascii="Helvetica" w:hAnsi="Helvetica"/>
                <w:b/>
                <w:sz w:val="20"/>
                <w:szCs w:val="20"/>
              </w:rPr>
              <w:t>Flexicult</w:t>
            </w:r>
            <w:r>
              <w:rPr>
                <w:rFonts w:ascii="Helvetica" w:hAnsi="Helvetica"/>
                <w:b/>
                <w:sz w:val="20"/>
                <w:szCs w:val="20"/>
                <w:vertAlign w:val="superscript"/>
              </w:rPr>
              <w:t>TM</w:t>
            </w:r>
            <w:r>
              <w:rPr>
                <w:rFonts w:ascii="Helvetica" w:hAnsi="Helvetica"/>
                <w:b/>
                <w:sz w:val="20"/>
                <w:szCs w:val="20"/>
                <w:vertAlign w:val="superscript"/>
              </w:rPr>
              <w:br/>
            </w:r>
            <w:r>
              <w:rPr>
                <w:rFonts w:ascii="Helvetica" w:hAnsi="Helvetica"/>
                <w:sz w:val="20"/>
                <w:szCs w:val="20"/>
              </w:rPr>
              <w:t xml:space="preserve">     Sensitive</w:t>
            </w:r>
          </w:p>
        </w:tc>
        <w:tc>
          <w:tcPr>
            <w:tcW w:w="916" w:type="dxa"/>
            <w:tcBorders>
              <w:left w:val="single" w:sz="4" w:space="0" w:color="FFFFFF" w:themeColor="background1"/>
              <w:bottom w:val="single" w:sz="4" w:space="0" w:color="FFFFFF" w:themeColor="background1"/>
              <w:right w:val="single" w:sz="4" w:space="0" w:color="FFFFFF" w:themeColor="background1"/>
            </w:tcBorders>
          </w:tcPr>
          <w:p w14:paraId="76230C44" w14:textId="77777777" w:rsidR="00B81ED3" w:rsidRPr="00F36480" w:rsidRDefault="00B81ED3" w:rsidP="00514AD8">
            <w:pPr>
              <w:spacing w:after="0" w:line="240" w:lineRule="auto"/>
              <w:jc w:val="center"/>
              <w:rPr>
                <w:rFonts w:ascii="Helvetica" w:hAnsi="Helvetica"/>
                <w:sz w:val="20"/>
                <w:szCs w:val="20"/>
              </w:rPr>
            </w:pPr>
            <w:r w:rsidRPr="00744462">
              <w:rPr>
                <w:rFonts w:ascii="Helvetica" w:eastAsia="Times New Roman" w:hAnsi="Helvetica"/>
                <w:sz w:val="20"/>
                <w:szCs w:val="20"/>
                <w:lang w:eastAsia="en-GB"/>
              </w:rPr>
              <w:br/>
              <w:t>47</w:t>
            </w:r>
          </w:p>
        </w:tc>
        <w:tc>
          <w:tcPr>
            <w:tcW w:w="686" w:type="dxa"/>
            <w:tcBorders>
              <w:left w:val="single" w:sz="4" w:space="0" w:color="FFFFFF" w:themeColor="background1"/>
              <w:bottom w:val="single" w:sz="4" w:space="0" w:color="FFFFFF" w:themeColor="background1"/>
              <w:right w:val="single" w:sz="4" w:space="0" w:color="FFFFFF" w:themeColor="background1"/>
            </w:tcBorders>
          </w:tcPr>
          <w:p w14:paraId="399A7B13" w14:textId="77777777" w:rsidR="00B81ED3" w:rsidRPr="00F36480" w:rsidRDefault="00B81ED3" w:rsidP="00514AD8">
            <w:pPr>
              <w:spacing w:after="0" w:line="240" w:lineRule="auto"/>
              <w:jc w:val="center"/>
              <w:rPr>
                <w:rFonts w:ascii="Helvetica" w:hAnsi="Helvetica"/>
                <w:sz w:val="20"/>
                <w:szCs w:val="20"/>
              </w:rPr>
            </w:pPr>
            <w:r w:rsidRPr="00744462">
              <w:rPr>
                <w:rFonts w:ascii="Helvetica" w:eastAsia="Times New Roman" w:hAnsi="Helvetica"/>
                <w:sz w:val="20"/>
                <w:szCs w:val="20"/>
                <w:lang w:eastAsia="en-GB"/>
              </w:rPr>
              <w:br/>
              <w:t>0</w:t>
            </w:r>
          </w:p>
        </w:tc>
        <w:tc>
          <w:tcPr>
            <w:tcW w:w="1110" w:type="dxa"/>
            <w:tcBorders>
              <w:left w:val="single" w:sz="4" w:space="0" w:color="FFFFFF" w:themeColor="background1"/>
              <w:bottom w:val="single" w:sz="4" w:space="0" w:color="FFFFFF" w:themeColor="background1"/>
            </w:tcBorders>
          </w:tcPr>
          <w:p w14:paraId="767050CE" w14:textId="77777777" w:rsidR="00B81ED3" w:rsidRPr="00F36480" w:rsidRDefault="00B81ED3" w:rsidP="00514AD8">
            <w:pPr>
              <w:spacing w:after="0" w:line="240" w:lineRule="auto"/>
              <w:jc w:val="center"/>
              <w:rPr>
                <w:rFonts w:ascii="Helvetica" w:hAnsi="Helvetica"/>
                <w:sz w:val="20"/>
                <w:szCs w:val="20"/>
              </w:rPr>
            </w:pPr>
            <w:r w:rsidRPr="00744462">
              <w:rPr>
                <w:rFonts w:ascii="Helvetica" w:eastAsia="Times New Roman" w:hAnsi="Helvetica"/>
                <w:sz w:val="20"/>
                <w:szCs w:val="20"/>
                <w:lang w:eastAsia="en-GB"/>
              </w:rPr>
              <w:br/>
              <w:t>47</w:t>
            </w:r>
          </w:p>
        </w:tc>
        <w:tc>
          <w:tcPr>
            <w:tcW w:w="449" w:type="dxa"/>
            <w:vMerge/>
            <w:tcBorders>
              <w:top w:val="nil"/>
            </w:tcBorders>
          </w:tcPr>
          <w:p w14:paraId="4DD8E4EC" w14:textId="77777777" w:rsidR="00B81ED3" w:rsidRPr="00F36480" w:rsidRDefault="00B81ED3" w:rsidP="00514AD8">
            <w:pPr>
              <w:spacing w:after="0" w:line="240" w:lineRule="auto"/>
              <w:jc w:val="center"/>
              <w:rPr>
                <w:rFonts w:ascii="Helvetica" w:hAnsi="Helvetica"/>
                <w:sz w:val="20"/>
                <w:szCs w:val="20"/>
              </w:rPr>
            </w:pPr>
          </w:p>
        </w:tc>
        <w:tc>
          <w:tcPr>
            <w:tcW w:w="1528" w:type="dxa"/>
            <w:tcBorders>
              <w:bottom w:val="single" w:sz="4" w:space="0" w:color="FFFFFF" w:themeColor="background1"/>
              <w:right w:val="single" w:sz="4" w:space="0" w:color="FFFFFF" w:themeColor="background1"/>
            </w:tcBorders>
          </w:tcPr>
          <w:p w14:paraId="14D315C4" w14:textId="77777777" w:rsidR="00B81ED3" w:rsidRPr="00F36480" w:rsidRDefault="00B81ED3" w:rsidP="00514AD8">
            <w:pPr>
              <w:spacing w:after="0" w:line="240" w:lineRule="auto"/>
              <w:jc w:val="center"/>
              <w:rPr>
                <w:rFonts w:ascii="Helvetica" w:hAnsi="Helvetica"/>
                <w:sz w:val="20"/>
                <w:szCs w:val="20"/>
              </w:rPr>
            </w:pPr>
            <w:r>
              <w:rPr>
                <w:rFonts w:ascii="Helvetica" w:hAnsi="Helvetica"/>
                <w:b/>
                <w:sz w:val="20"/>
                <w:szCs w:val="20"/>
              </w:rPr>
              <w:t>Flexicult</w:t>
            </w:r>
            <w:r>
              <w:rPr>
                <w:rFonts w:ascii="Helvetica" w:hAnsi="Helvetica"/>
                <w:b/>
                <w:sz w:val="20"/>
                <w:szCs w:val="20"/>
                <w:vertAlign w:val="superscript"/>
              </w:rPr>
              <w:t>TM</w:t>
            </w:r>
            <w:r>
              <w:rPr>
                <w:rFonts w:ascii="Helvetica" w:hAnsi="Helvetica"/>
                <w:b/>
                <w:sz w:val="20"/>
                <w:szCs w:val="20"/>
                <w:vertAlign w:val="superscript"/>
              </w:rPr>
              <w:br/>
            </w:r>
            <w:r>
              <w:rPr>
                <w:rFonts w:ascii="Helvetica" w:hAnsi="Helvetica"/>
                <w:sz w:val="20"/>
                <w:szCs w:val="20"/>
              </w:rPr>
              <w:t xml:space="preserve">     Sensitive</w:t>
            </w:r>
          </w:p>
        </w:tc>
        <w:tc>
          <w:tcPr>
            <w:tcW w:w="893" w:type="dxa"/>
            <w:tcBorders>
              <w:left w:val="single" w:sz="4" w:space="0" w:color="FFFFFF" w:themeColor="background1"/>
              <w:bottom w:val="single" w:sz="4" w:space="0" w:color="FFFFFF" w:themeColor="background1"/>
              <w:right w:val="single" w:sz="4" w:space="0" w:color="FFFFFF" w:themeColor="background1"/>
            </w:tcBorders>
          </w:tcPr>
          <w:p w14:paraId="00F6C67D" w14:textId="77777777" w:rsidR="00B81ED3" w:rsidRDefault="00B81ED3" w:rsidP="00514AD8">
            <w:pPr>
              <w:spacing w:after="0" w:line="240" w:lineRule="auto"/>
              <w:jc w:val="center"/>
            </w:pPr>
            <w:r w:rsidRPr="00744462">
              <w:rPr>
                <w:rFonts w:ascii="Helvetica" w:eastAsia="Times New Roman" w:hAnsi="Helvetica"/>
                <w:sz w:val="20"/>
                <w:szCs w:val="20"/>
                <w:lang w:eastAsia="en-GB"/>
              </w:rPr>
              <w:br/>
              <w:t>27</w:t>
            </w:r>
          </w:p>
        </w:tc>
        <w:tc>
          <w:tcPr>
            <w:tcW w:w="734" w:type="dxa"/>
            <w:tcBorders>
              <w:left w:val="single" w:sz="4" w:space="0" w:color="FFFFFF" w:themeColor="background1"/>
              <w:bottom w:val="single" w:sz="4" w:space="0" w:color="FFFFFF" w:themeColor="background1"/>
              <w:right w:val="single" w:sz="4" w:space="0" w:color="FFFFFF" w:themeColor="background1"/>
            </w:tcBorders>
          </w:tcPr>
          <w:p w14:paraId="16296B6D" w14:textId="77777777" w:rsidR="00B81ED3" w:rsidRDefault="00B81ED3" w:rsidP="00514AD8">
            <w:pPr>
              <w:spacing w:after="0" w:line="240" w:lineRule="auto"/>
              <w:jc w:val="center"/>
            </w:pPr>
            <w:r w:rsidRPr="00744462">
              <w:rPr>
                <w:rFonts w:ascii="Helvetica" w:eastAsia="Times New Roman" w:hAnsi="Helvetica"/>
                <w:sz w:val="20"/>
                <w:szCs w:val="20"/>
                <w:lang w:eastAsia="en-GB"/>
              </w:rPr>
              <w:br/>
              <w:t>3</w:t>
            </w:r>
          </w:p>
        </w:tc>
        <w:tc>
          <w:tcPr>
            <w:tcW w:w="1077" w:type="dxa"/>
            <w:tcBorders>
              <w:left w:val="single" w:sz="4" w:space="0" w:color="FFFFFF" w:themeColor="background1"/>
              <w:bottom w:val="single" w:sz="4" w:space="0" w:color="FFFFFF" w:themeColor="background1"/>
            </w:tcBorders>
          </w:tcPr>
          <w:p w14:paraId="4E0AE90C" w14:textId="77777777" w:rsidR="00B81ED3" w:rsidRDefault="00B81ED3" w:rsidP="00514AD8">
            <w:pPr>
              <w:spacing w:after="0" w:line="240" w:lineRule="auto"/>
              <w:jc w:val="center"/>
            </w:pPr>
            <w:r w:rsidRPr="00744462">
              <w:rPr>
                <w:rFonts w:ascii="Helvetica" w:eastAsia="Times New Roman" w:hAnsi="Helvetica"/>
                <w:sz w:val="20"/>
                <w:szCs w:val="20"/>
                <w:lang w:eastAsia="en-GB"/>
              </w:rPr>
              <w:br/>
              <w:t>30</w:t>
            </w:r>
          </w:p>
        </w:tc>
      </w:tr>
      <w:tr w:rsidR="00B81ED3" w14:paraId="61779CC5" w14:textId="77777777" w:rsidTr="003B3881">
        <w:trPr>
          <w:trHeight w:hRule="exact" w:val="340"/>
        </w:trPr>
        <w:tc>
          <w:tcPr>
            <w:tcW w:w="1527" w:type="dxa"/>
            <w:tcBorders>
              <w:top w:val="single" w:sz="4" w:space="0" w:color="FFFFFF" w:themeColor="background1"/>
              <w:bottom w:val="single" w:sz="4" w:space="0" w:color="FFFFFF" w:themeColor="background1"/>
              <w:right w:val="single" w:sz="4" w:space="0" w:color="FFFFFF" w:themeColor="background1"/>
            </w:tcBorders>
            <w:vAlign w:val="bottom"/>
          </w:tcPr>
          <w:p w14:paraId="4A34678E" w14:textId="77777777" w:rsidR="00B81ED3" w:rsidRDefault="00B81ED3" w:rsidP="00514AD8">
            <w:r>
              <w:rPr>
                <w:rFonts w:ascii="Helvetica" w:hAnsi="Helvetica"/>
                <w:sz w:val="20"/>
                <w:szCs w:val="20"/>
              </w:rPr>
              <w:t xml:space="preserve">     Resistant</w:t>
            </w:r>
          </w:p>
        </w:tc>
        <w:tc>
          <w:tcPr>
            <w:tcW w:w="9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759CC2" w14:textId="77777777" w:rsidR="00B81ED3" w:rsidRPr="00744462" w:rsidRDefault="00B81ED3" w:rsidP="00514AD8">
            <w:pPr>
              <w:spacing w:after="0" w:line="240" w:lineRule="auto"/>
              <w:jc w:val="center"/>
              <w:rPr>
                <w:rFonts w:ascii="Helvetica" w:eastAsia="Times New Roman" w:hAnsi="Helvetica"/>
                <w:sz w:val="18"/>
                <w:szCs w:val="18"/>
                <w:lang w:eastAsia="en-GB"/>
              </w:rPr>
            </w:pPr>
            <w:r w:rsidRPr="00744462">
              <w:rPr>
                <w:rFonts w:ascii="Helvetica" w:eastAsia="Times New Roman" w:hAnsi="Helvetica"/>
                <w:sz w:val="20"/>
                <w:szCs w:val="20"/>
                <w:lang w:eastAsia="en-GB"/>
              </w:rPr>
              <w:t>5</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0BA713" w14:textId="77777777" w:rsidR="00B81ED3" w:rsidRPr="00744462" w:rsidRDefault="00B81ED3" w:rsidP="00514AD8">
            <w:pPr>
              <w:spacing w:after="0" w:line="240" w:lineRule="auto"/>
              <w:jc w:val="center"/>
              <w:rPr>
                <w:rFonts w:ascii="Helvetica" w:eastAsia="Times New Roman" w:hAnsi="Helvetica"/>
                <w:sz w:val="18"/>
                <w:szCs w:val="18"/>
                <w:lang w:eastAsia="en-GB"/>
              </w:rPr>
            </w:pPr>
            <w:r w:rsidRPr="00744462">
              <w:rPr>
                <w:rFonts w:ascii="Helvetica" w:eastAsia="Times New Roman" w:hAnsi="Helvetica"/>
                <w:sz w:val="20"/>
                <w:szCs w:val="20"/>
                <w:lang w:eastAsia="en-GB"/>
              </w:rPr>
              <w:t>0</w:t>
            </w:r>
          </w:p>
        </w:tc>
        <w:tc>
          <w:tcPr>
            <w:tcW w:w="1110" w:type="dxa"/>
            <w:tcBorders>
              <w:top w:val="single" w:sz="4" w:space="0" w:color="FFFFFF" w:themeColor="background1"/>
              <w:left w:val="single" w:sz="4" w:space="0" w:color="FFFFFF" w:themeColor="background1"/>
              <w:bottom w:val="single" w:sz="4" w:space="0" w:color="FFFFFF" w:themeColor="background1"/>
            </w:tcBorders>
          </w:tcPr>
          <w:p w14:paraId="181573A0" w14:textId="77777777" w:rsidR="00B81ED3" w:rsidRPr="00744462" w:rsidRDefault="00B81ED3" w:rsidP="00514AD8">
            <w:pPr>
              <w:spacing w:after="0" w:line="240" w:lineRule="auto"/>
              <w:jc w:val="center"/>
              <w:rPr>
                <w:rFonts w:ascii="Helvetica" w:eastAsia="Times New Roman" w:hAnsi="Helvetica"/>
                <w:sz w:val="18"/>
                <w:szCs w:val="18"/>
                <w:lang w:eastAsia="en-GB"/>
              </w:rPr>
            </w:pPr>
            <w:r w:rsidRPr="00744462">
              <w:rPr>
                <w:rFonts w:ascii="Helvetica" w:eastAsia="Times New Roman" w:hAnsi="Helvetica"/>
                <w:sz w:val="20"/>
                <w:szCs w:val="20"/>
                <w:lang w:eastAsia="en-GB"/>
              </w:rPr>
              <w:t>5</w:t>
            </w:r>
          </w:p>
        </w:tc>
        <w:tc>
          <w:tcPr>
            <w:tcW w:w="449" w:type="dxa"/>
            <w:vMerge/>
            <w:tcBorders>
              <w:top w:val="nil"/>
            </w:tcBorders>
          </w:tcPr>
          <w:p w14:paraId="0A016DF0" w14:textId="77777777" w:rsidR="00B81ED3" w:rsidRDefault="00B81ED3" w:rsidP="00514AD8">
            <w:pPr>
              <w:spacing w:after="0" w:line="240" w:lineRule="auto"/>
              <w:jc w:val="center"/>
              <w:rPr>
                <w:rFonts w:ascii="Helvetica" w:eastAsia="Times New Roman" w:hAnsi="Helvetica"/>
                <w:sz w:val="18"/>
                <w:szCs w:val="18"/>
                <w:lang w:eastAsia="en-GB"/>
              </w:rPr>
            </w:pPr>
          </w:p>
        </w:tc>
        <w:tc>
          <w:tcPr>
            <w:tcW w:w="1528" w:type="dxa"/>
            <w:tcBorders>
              <w:top w:val="single" w:sz="4" w:space="0" w:color="FFFFFF" w:themeColor="background1"/>
              <w:bottom w:val="single" w:sz="4" w:space="0" w:color="FFFFFF" w:themeColor="background1"/>
              <w:right w:val="single" w:sz="4" w:space="0" w:color="FFFFFF" w:themeColor="background1"/>
            </w:tcBorders>
            <w:vAlign w:val="bottom"/>
          </w:tcPr>
          <w:p w14:paraId="73E33520" w14:textId="77777777" w:rsidR="00B81ED3" w:rsidRDefault="00B81ED3" w:rsidP="00514AD8">
            <w:pPr>
              <w:spacing w:after="0" w:line="240" w:lineRule="auto"/>
              <w:jc w:val="center"/>
              <w:rPr>
                <w:rFonts w:ascii="Helvetica" w:eastAsia="Times New Roman" w:hAnsi="Helvetica"/>
                <w:sz w:val="18"/>
                <w:szCs w:val="18"/>
                <w:lang w:eastAsia="en-GB"/>
              </w:rPr>
            </w:pPr>
            <w:r>
              <w:rPr>
                <w:rFonts w:ascii="Helvetica" w:hAnsi="Helvetica"/>
                <w:sz w:val="20"/>
                <w:szCs w:val="20"/>
              </w:rPr>
              <w:t xml:space="preserve">     Resistant</w:t>
            </w:r>
          </w:p>
        </w:tc>
        <w:tc>
          <w:tcPr>
            <w:tcW w:w="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79FB84" w14:textId="77777777" w:rsidR="00B81ED3" w:rsidRDefault="00B81ED3" w:rsidP="00514AD8">
            <w:pPr>
              <w:spacing w:after="0" w:line="240" w:lineRule="auto"/>
              <w:jc w:val="center"/>
            </w:pPr>
            <w:r w:rsidRPr="00744462">
              <w:rPr>
                <w:rFonts w:ascii="Helvetica" w:eastAsia="Times New Roman" w:hAnsi="Helvetica"/>
                <w:sz w:val="20"/>
                <w:szCs w:val="20"/>
                <w:lang w:eastAsia="en-GB"/>
              </w:rPr>
              <w:t>1</w:t>
            </w:r>
          </w:p>
        </w:tc>
        <w:tc>
          <w:tcPr>
            <w:tcW w:w="7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B2F090" w14:textId="77777777" w:rsidR="00B81ED3" w:rsidRDefault="00B81ED3" w:rsidP="00514AD8">
            <w:pPr>
              <w:spacing w:after="0" w:line="240" w:lineRule="auto"/>
              <w:jc w:val="center"/>
            </w:pPr>
            <w:r w:rsidRPr="00744462">
              <w:rPr>
                <w:rFonts w:ascii="Helvetica" w:eastAsia="Times New Roman" w:hAnsi="Helvetica"/>
                <w:sz w:val="20"/>
                <w:szCs w:val="20"/>
                <w:lang w:eastAsia="en-GB"/>
              </w:rPr>
              <w:t>4</w:t>
            </w:r>
          </w:p>
        </w:tc>
        <w:tc>
          <w:tcPr>
            <w:tcW w:w="1077" w:type="dxa"/>
            <w:tcBorders>
              <w:top w:val="single" w:sz="4" w:space="0" w:color="FFFFFF" w:themeColor="background1"/>
              <w:left w:val="single" w:sz="4" w:space="0" w:color="FFFFFF" w:themeColor="background1"/>
              <w:bottom w:val="single" w:sz="4" w:space="0" w:color="FFFFFF" w:themeColor="background1"/>
            </w:tcBorders>
          </w:tcPr>
          <w:p w14:paraId="63C396A8" w14:textId="77777777" w:rsidR="00B81ED3" w:rsidRDefault="00B81ED3" w:rsidP="00514AD8">
            <w:pPr>
              <w:spacing w:after="0" w:line="240" w:lineRule="auto"/>
              <w:jc w:val="center"/>
            </w:pPr>
            <w:r w:rsidRPr="00744462">
              <w:rPr>
                <w:rFonts w:ascii="Helvetica" w:eastAsia="Times New Roman" w:hAnsi="Helvetica"/>
                <w:sz w:val="20"/>
                <w:szCs w:val="20"/>
                <w:lang w:eastAsia="en-GB"/>
              </w:rPr>
              <w:t>5</w:t>
            </w:r>
          </w:p>
        </w:tc>
      </w:tr>
      <w:tr w:rsidR="00B81ED3" w14:paraId="636EC174" w14:textId="77777777" w:rsidTr="003B3881">
        <w:trPr>
          <w:trHeight w:hRule="exact" w:val="340"/>
        </w:trPr>
        <w:tc>
          <w:tcPr>
            <w:tcW w:w="1527" w:type="dxa"/>
            <w:tcBorders>
              <w:top w:val="single" w:sz="4" w:space="0" w:color="FFFFFF" w:themeColor="background1"/>
              <w:right w:val="single" w:sz="4" w:space="0" w:color="FFFFFF" w:themeColor="background1"/>
            </w:tcBorders>
            <w:vAlign w:val="bottom"/>
          </w:tcPr>
          <w:p w14:paraId="44C6276E" w14:textId="77777777" w:rsidR="00B81ED3" w:rsidRDefault="00B81ED3" w:rsidP="00514AD8">
            <w:r>
              <w:rPr>
                <w:rFonts w:ascii="Helvetica" w:hAnsi="Helvetica"/>
                <w:sz w:val="20"/>
                <w:szCs w:val="20"/>
              </w:rPr>
              <w:t xml:space="preserve">     Total</w:t>
            </w:r>
          </w:p>
        </w:tc>
        <w:tc>
          <w:tcPr>
            <w:tcW w:w="916" w:type="dxa"/>
            <w:tcBorders>
              <w:top w:val="single" w:sz="4" w:space="0" w:color="FFFFFF" w:themeColor="background1"/>
              <w:left w:val="single" w:sz="4" w:space="0" w:color="FFFFFF" w:themeColor="background1"/>
              <w:right w:val="single" w:sz="4" w:space="0" w:color="FFFFFF" w:themeColor="background1"/>
            </w:tcBorders>
          </w:tcPr>
          <w:p w14:paraId="00E37617" w14:textId="77777777" w:rsidR="00B81ED3" w:rsidRPr="00744462" w:rsidRDefault="00B81ED3" w:rsidP="00514AD8">
            <w:pPr>
              <w:spacing w:after="0" w:line="240" w:lineRule="auto"/>
              <w:jc w:val="center"/>
              <w:rPr>
                <w:rFonts w:ascii="Helvetica" w:eastAsia="Times New Roman" w:hAnsi="Helvetica"/>
                <w:sz w:val="18"/>
                <w:szCs w:val="18"/>
                <w:lang w:eastAsia="en-GB"/>
              </w:rPr>
            </w:pPr>
            <w:r w:rsidRPr="00744462">
              <w:rPr>
                <w:rFonts w:ascii="Helvetica" w:eastAsia="Times New Roman" w:hAnsi="Helvetica"/>
                <w:sz w:val="20"/>
                <w:szCs w:val="20"/>
                <w:lang w:eastAsia="en-GB"/>
              </w:rPr>
              <w:t>52</w:t>
            </w:r>
          </w:p>
        </w:tc>
        <w:tc>
          <w:tcPr>
            <w:tcW w:w="686" w:type="dxa"/>
            <w:tcBorders>
              <w:top w:val="single" w:sz="4" w:space="0" w:color="FFFFFF" w:themeColor="background1"/>
              <w:left w:val="single" w:sz="4" w:space="0" w:color="FFFFFF" w:themeColor="background1"/>
              <w:right w:val="single" w:sz="4" w:space="0" w:color="FFFFFF" w:themeColor="background1"/>
            </w:tcBorders>
          </w:tcPr>
          <w:p w14:paraId="3135FCA4" w14:textId="77777777" w:rsidR="00B81ED3" w:rsidRPr="00744462" w:rsidRDefault="00B81ED3" w:rsidP="00514AD8">
            <w:pPr>
              <w:spacing w:after="0" w:line="240" w:lineRule="auto"/>
              <w:jc w:val="center"/>
              <w:rPr>
                <w:rFonts w:ascii="Helvetica" w:eastAsia="Times New Roman" w:hAnsi="Helvetica"/>
                <w:sz w:val="18"/>
                <w:szCs w:val="18"/>
                <w:lang w:eastAsia="en-GB"/>
              </w:rPr>
            </w:pPr>
            <w:r w:rsidRPr="00744462">
              <w:rPr>
                <w:rFonts w:ascii="Helvetica" w:eastAsia="Times New Roman" w:hAnsi="Helvetica"/>
                <w:sz w:val="20"/>
                <w:szCs w:val="20"/>
                <w:lang w:eastAsia="en-GB"/>
              </w:rPr>
              <w:t>0</w:t>
            </w:r>
          </w:p>
        </w:tc>
        <w:tc>
          <w:tcPr>
            <w:tcW w:w="1110" w:type="dxa"/>
            <w:tcBorders>
              <w:top w:val="single" w:sz="4" w:space="0" w:color="FFFFFF" w:themeColor="background1"/>
              <w:left w:val="single" w:sz="4" w:space="0" w:color="FFFFFF" w:themeColor="background1"/>
            </w:tcBorders>
          </w:tcPr>
          <w:p w14:paraId="7F29E077" w14:textId="77777777" w:rsidR="00B81ED3" w:rsidRPr="00744462" w:rsidRDefault="00B81ED3" w:rsidP="00514AD8">
            <w:pPr>
              <w:spacing w:after="0" w:line="240" w:lineRule="auto"/>
              <w:jc w:val="center"/>
              <w:rPr>
                <w:rFonts w:ascii="Helvetica" w:eastAsia="Times New Roman" w:hAnsi="Helvetica"/>
                <w:sz w:val="18"/>
                <w:szCs w:val="18"/>
                <w:lang w:eastAsia="en-GB"/>
              </w:rPr>
            </w:pPr>
            <w:r w:rsidRPr="00744462">
              <w:rPr>
                <w:rFonts w:ascii="Helvetica" w:eastAsia="Times New Roman" w:hAnsi="Helvetica"/>
                <w:sz w:val="20"/>
                <w:szCs w:val="20"/>
                <w:lang w:eastAsia="en-GB"/>
              </w:rPr>
              <w:t>52</w:t>
            </w:r>
          </w:p>
        </w:tc>
        <w:tc>
          <w:tcPr>
            <w:tcW w:w="449" w:type="dxa"/>
            <w:vMerge/>
            <w:tcBorders>
              <w:top w:val="nil"/>
            </w:tcBorders>
          </w:tcPr>
          <w:p w14:paraId="0495261D" w14:textId="77777777" w:rsidR="00B81ED3" w:rsidRDefault="00B81ED3" w:rsidP="00514AD8">
            <w:pPr>
              <w:spacing w:after="0" w:line="240" w:lineRule="auto"/>
              <w:jc w:val="center"/>
              <w:rPr>
                <w:rFonts w:ascii="Helvetica" w:eastAsia="Times New Roman" w:hAnsi="Helvetica"/>
                <w:sz w:val="18"/>
                <w:szCs w:val="18"/>
                <w:lang w:eastAsia="en-GB"/>
              </w:rPr>
            </w:pPr>
          </w:p>
        </w:tc>
        <w:tc>
          <w:tcPr>
            <w:tcW w:w="1528" w:type="dxa"/>
            <w:tcBorders>
              <w:top w:val="single" w:sz="4" w:space="0" w:color="FFFFFF" w:themeColor="background1"/>
              <w:right w:val="single" w:sz="4" w:space="0" w:color="FFFFFF" w:themeColor="background1"/>
            </w:tcBorders>
            <w:vAlign w:val="bottom"/>
          </w:tcPr>
          <w:p w14:paraId="68E3DF8E" w14:textId="77777777" w:rsidR="00B81ED3" w:rsidRDefault="00B81ED3" w:rsidP="00514AD8">
            <w:pPr>
              <w:spacing w:after="0" w:line="240" w:lineRule="auto"/>
              <w:jc w:val="center"/>
              <w:rPr>
                <w:rFonts w:ascii="Helvetica" w:eastAsia="Times New Roman" w:hAnsi="Helvetica"/>
                <w:sz w:val="18"/>
                <w:szCs w:val="18"/>
                <w:lang w:eastAsia="en-GB"/>
              </w:rPr>
            </w:pPr>
            <w:r>
              <w:rPr>
                <w:rFonts w:ascii="Helvetica" w:hAnsi="Helvetica"/>
                <w:sz w:val="20"/>
                <w:szCs w:val="20"/>
              </w:rPr>
              <w:t xml:space="preserve">     Total</w:t>
            </w:r>
          </w:p>
        </w:tc>
        <w:tc>
          <w:tcPr>
            <w:tcW w:w="893" w:type="dxa"/>
            <w:tcBorders>
              <w:top w:val="single" w:sz="4" w:space="0" w:color="FFFFFF" w:themeColor="background1"/>
              <w:left w:val="single" w:sz="4" w:space="0" w:color="FFFFFF" w:themeColor="background1"/>
              <w:right w:val="single" w:sz="4" w:space="0" w:color="FFFFFF" w:themeColor="background1"/>
            </w:tcBorders>
          </w:tcPr>
          <w:p w14:paraId="09042D32" w14:textId="77777777" w:rsidR="00B81ED3" w:rsidRDefault="00B81ED3" w:rsidP="00514AD8">
            <w:pPr>
              <w:spacing w:after="0" w:line="240" w:lineRule="auto"/>
              <w:jc w:val="center"/>
            </w:pPr>
            <w:r w:rsidRPr="00744462">
              <w:rPr>
                <w:rFonts w:ascii="Helvetica" w:eastAsia="Times New Roman" w:hAnsi="Helvetica"/>
                <w:sz w:val="20"/>
                <w:szCs w:val="20"/>
                <w:lang w:eastAsia="en-GB"/>
              </w:rPr>
              <w:t>28</w:t>
            </w:r>
          </w:p>
        </w:tc>
        <w:tc>
          <w:tcPr>
            <w:tcW w:w="734" w:type="dxa"/>
            <w:tcBorders>
              <w:top w:val="single" w:sz="4" w:space="0" w:color="FFFFFF" w:themeColor="background1"/>
              <w:left w:val="single" w:sz="4" w:space="0" w:color="FFFFFF" w:themeColor="background1"/>
              <w:right w:val="single" w:sz="4" w:space="0" w:color="FFFFFF" w:themeColor="background1"/>
            </w:tcBorders>
          </w:tcPr>
          <w:p w14:paraId="00468C25" w14:textId="77777777" w:rsidR="00B81ED3" w:rsidRDefault="00B81ED3" w:rsidP="00514AD8">
            <w:pPr>
              <w:spacing w:after="0" w:line="240" w:lineRule="auto"/>
              <w:jc w:val="center"/>
            </w:pPr>
            <w:r w:rsidRPr="00744462">
              <w:rPr>
                <w:rFonts w:ascii="Helvetica" w:eastAsia="Times New Roman" w:hAnsi="Helvetica"/>
                <w:sz w:val="20"/>
                <w:szCs w:val="20"/>
                <w:lang w:eastAsia="en-GB"/>
              </w:rPr>
              <w:t>7</w:t>
            </w:r>
          </w:p>
        </w:tc>
        <w:tc>
          <w:tcPr>
            <w:tcW w:w="1077" w:type="dxa"/>
            <w:tcBorders>
              <w:top w:val="single" w:sz="4" w:space="0" w:color="FFFFFF" w:themeColor="background1"/>
              <w:left w:val="single" w:sz="4" w:space="0" w:color="FFFFFF" w:themeColor="background1"/>
            </w:tcBorders>
          </w:tcPr>
          <w:p w14:paraId="2D7B04AA" w14:textId="77777777" w:rsidR="00B81ED3" w:rsidRDefault="00B81ED3" w:rsidP="00514AD8">
            <w:pPr>
              <w:spacing w:after="0" w:line="240" w:lineRule="auto"/>
              <w:jc w:val="center"/>
            </w:pPr>
            <w:r w:rsidRPr="00744462">
              <w:rPr>
                <w:rFonts w:ascii="Helvetica" w:eastAsia="Times New Roman" w:hAnsi="Helvetica"/>
                <w:sz w:val="20"/>
                <w:szCs w:val="20"/>
                <w:lang w:eastAsia="en-GB"/>
              </w:rPr>
              <w:t>35</w:t>
            </w:r>
          </w:p>
        </w:tc>
      </w:tr>
      <w:tr w:rsidR="00B81ED3" w14:paraId="625A778E" w14:textId="77777777" w:rsidTr="003B3881">
        <w:trPr>
          <w:trHeight w:hRule="exact" w:val="242"/>
        </w:trPr>
        <w:tc>
          <w:tcPr>
            <w:tcW w:w="2443" w:type="dxa"/>
            <w:gridSpan w:val="2"/>
            <w:tcBorders>
              <w:bottom w:val="single" w:sz="4" w:space="0" w:color="FFFFFF" w:themeColor="background1"/>
              <w:right w:val="single" w:sz="4" w:space="0" w:color="FFFFFF" w:themeColor="background1"/>
            </w:tcBorders>
          </w:tcPr>
          <w:p w14:paraId="2B00633F" w14:textId="77777777" w:rsidR="00B81ED3" w:rsidRDefault="00B81ED3" w:rsidP="00514AD8">
            <w:pPr>
              <w:spacing w:after="0" w:line="240" w:lineRule="auto"/>
              <w:rPr>
                <w:rFonts w:ascii="Helvetica" w:eastAsia="Times New Roman" w:hAnsi="Helvetica"/>
                <w:sz w:val="18"/>
                <w:szCs w:val="18"/>
                <w:lang w:eastAsia="en-GB"/>
              </w:rPr>
            </w:pPr>
            <w:r w:rsidRPr="00744462">
              <w:rPr>
                <w:rFonts w:ascii="Helvetica" w:eastAsia="Times New Roman" w:hAnsi="Helvetica"/>
                <w:sz w:val="20"/>
                <w:szCs w:val="20"/>
                <w:lang w:eastAsia="en-GB"/>
              </w:rPr>
              <w:t>Resistance rate Lab</w:t>
            </w:r>
          </w:p>
        </w:tc>
        <w:tc>
          <w:tcPr>
            <w:tcW w:w="1796" w:type="dxa"/>
            <w:gridSpan w:val="2"/>
            <w:tcBorders>
              <w:left w:val="single" w:sz="4" w:space="0" w:color="FFFFFF" w:themeColor="background1"/>
              <w:bottom w:val="single" w:sz="4" w:space="0" w:color="FFFFFF" w:themeColor="background1"/>
            </w:tcBorders>
          </w:tcPr>
          <w:p w14:paraId="48EC3523" w14:textId="77777777" w:rsidR="00B81ED3" w:rsidRDefault="00B81ED3" w:rsidP="00514AD8">
            <w:pPr>
              <w:spacing w:after="0" w:line="240" w:lineRule="auto"/>
              <w:rPr>
                <w:rFonts w:ascii="Helvetica" w:eastAsia="Times New Roman" w:hAnsi="Helvetica"/>
                <w:sz w:val="18"/>
                <w:szCs w:val="18"/>
                <w:lang w:eastAsia="en-GB"/>
              </w:rPr>
            </w:pPr>
            <w:r>
              <w:rPr>
                <w:rFonts w:ascii="Helvetica" w:eastAsia="Times New Roman" w:hAnsi="Helvetica"/>
                <w:sz w:val="18"/>
                <w:szCs w:val="18"/>
                <w:lang w:eastAsia="en-GB"/>
              </w:rPr>
              <w:t>0%</w:t>
            </w:r>
          </w:p>
        </w:tc>
        <w:tc>
          <w:tcPr>
            <w:tcW w:w="449" w:type="dxa"/>
            <w:vMerge/>
            <w:tcBorders>
              <w:top w:val="nil"/>
            </w:tcBorders>
          </w:tcPr>
          <w:p w14:paraId="28BF63F8" w14:textId="77777777" w:rsidR="00B81ED3" w:rsidRDefault="00B81ED3" w:rsidP="00514AD8">
            <w:pPr>
              <w:spacing w:after="0" w:line="240" w:lineRule="auto"/>
              <w:rPr>
                <w:rFonts w:ascii="Helvetica" w:eastAsia="Times New Roman" w:hAnsi="Helvetica"/>
                <w:sz w:val="18"/>
                <w:szCs w:val="18"/>
                <w:lang w:eastAsia="en-GB"/>
              </w:rPr>
            </w:pPr>
          </w:p>
        </w:tc>
        <w:tc>
          <w:tcPr>
            <w:tcW w:w="2421" w:type="dxa"/>
            <w:gridSpan w:val="2"/>
            <w:tcBorders>
              <w:bottom w:val="single" w:sz="4" w:space="0" w:color="FFFFFF" w:themeColor="background1"/>
              <w:right w:val="single" w:sz="4" w:space="0" w:color="FFFFFF" w:themeColor="background1"/>
            </w:tcBorders>
          </w:tcPr>
          <w:p w14:paraId="516AFC48" w14:textId="77777777" w:rsidR="00B81ED3" w:rsidRDefault="00B81ED3" w:rsidP="00514AD8">
            <w:pPr>
              <w:spacing w:after="0" w:line="240" w:lineRule="auto"/>
            </w:pPr>
            <w:r w:rsidRPr="00744462">
              <w:rPr>
                <w:rFonts w:ascii="Helvetica" w:eastAsia="Times New Roman" w:hAnsi="Helvetica"/>
                <w:sz w:val="20"/>
                <w:szCs w:val="20"/>
                <w:lang w:eastAsia="en-GB"/>
              </w:rPr>
              <w:t>Resistance rate Lab</w:t>
            </w:r>
          </w:p>
        </w:tc>
        <w:tc>
          <w:tcPr>
            <w:tcW w:w="1811" w:type="dxa"/>
            <w:gridSpan w:val="2"/>
            <w:tcBorders>
              <w:left w:val="single" w:sz="4" w:space="0" w:color="FFFFFF" w:themeColor="background1"/>
              <w:bottom w:val="single" w:sz="4" w:space="0" w:color="FFFFFF" w:themeColor="background1"/>
            </w:tcBorders>
          </w:tcPr>
          <w:p w14:paraId="105D322C" w14:textId="77777777" w:rsidR="00B81ED3" w:rsidRDefault="00B81ED3" w:rsidP="00514AD8">
            <w:pPr>
              <w:spacing w:after="0" w:line="240" w:lineRule="auto"/>
            </w:pPr>
            <w:r>
              <w:rPr>
                <w:rFonts w:ascii="Helvetica" w:eastAsia="Times New Roman" w:hAnsi="Helvetica"/>
                <w:sz w:val="18"/>
                <w:szCs w:val="18"/>
                <w:lang w:eastAsia="en-GB"/>
              </w:rPr>
              <w:t>20%</w:t>
            </w:r>
          </w:p>
        </w:tc>
      </w:tr>
      <w:tr w:rsidR="00B81ED3" w14:paraId="4AAB6518" w14:textId="77777777" w:rsidTr="003B3881">
        <w:trPr>
          <w:trHeight w:hRule="exact" w:val="242"/>
        </w:trPr>
        <w:tc>
          <w:tcPr>
            <w:tcW w:w="2443" w:type="dxa"/>
            <w:gridSpan w:val="2"/>
            <w:tcBorders>
              <w:top w:val="single" w:sz="4" w:space="0" w:color="FFFFFF" w:themeColor="background1"/>
              <w:bottom w:val="single" w:sz="4" w:space="0" w:color="FFFFFF" w:themeColor="background1"/>
              <w:right w:val="single" w:sz="4" w:space="0" w:color="FFFFFF" w:themeColor="background1"/>
            </w:tcBorders>
          </w:tcPr>
          <w:p w14:paraId="43A97DEB" w14:textId="77777777" w:rsidR="00B81ED3" w:rsidRDefault="00B81ED3" w:rsidP="00514AD8">
            <w:pPr>
              <w:spacing w:after="0" w:line="240" w:lineRule="auto"/>
              <w:rPr>
                <w:rFonts w:ascii="Helvetica" w:eastAsia="Times New Roman" w:hAnsi="Helvetica"/>
                <w:sz w:val="18"/>
                <w:szCs w:val="18"/>
                <w:lang w:eastAsia="en-GB"/>
              </w:rPr>
            </w:pPr>
            <w:r>
              <w:rPr>
                <w:rFonts w:ascii="Helvetica" w:eastAsia="Times New Roman" w:hAnsi="Helvetica"/>
                <w:sz w:val="20"/>
                <w:szCs w:val="20"/>
                <w:lang w:eastAsia="en-GB"/>
              </w:rPr>
              <w:t>Resistance rate Flex</w:t>
            </w:r>
          </w:p>
        </w:tc>
        <w:tc>
          <w:tcPr>
            <w:tcW w:w="1796" w:type="dxa"/>
            <w:gridSpan w:val="2"/>
            <w:tcBorders>
              <w:top w:val="single" w:sz="4" w:space="0" w:color="FFFFFF" w:themeColor="background1"/>
              <w:left w:val="single" w:sz="4" w:space="0" w:color="FFFFFF" w:themeColor="background1"/>
              <w:bottom w:val="single" w:sz="4" w:space="0" w:color="FFFFFF" w:themeColor="background1"/>
            </w:tcBorders>
          </w:tcPr>
          <w:p w14:paraId="58507976" w14:textId="77777777" w:rsidR="00B81ED3" w:rsidRPr="00EA7DFB" w:rsidRDefault="00B81ED3" w:rsidP="00514AD8">
            <w:pPr>
              <w:spacing w:after="0" w:line="240" w:lineRule="auto"/>
              <w:rPr>
                <w:rFonts w:ascii="Helvetica" w:eastAsia="Times New Roman" w:hAnsi="Helvetica"/>
                <w:i/>
                <w:sz w:val="18"/>
                <w:szCs w:val="18"/>
                <w:lang w:eastAsia="en-GB"/>
              </w:rPr>
            </w:pPr>
            <w:r>
              <w:rPr>
                <w:rFonts w:ascii="Helvetica" w:eastAsia="Times New Roman" w:hAnsi="Helvetica"/>
                <w:sz w:val="18"/>
                <w:szCs w:val="18"/>
                <w:lang w:eastAsia="en-GB"/>
              </w:rPr>
              <w:t xml:space="preserve">10% </w:t>
            </w:r>
          </w:p>
        </w:tc>
        <w:tc>
          <w:tcPr>
            <w:tcW w:w="449" w:type="dxa"/>
            <w:vMerge/>
            <w:tcBorders>
              <w:top w:val="nil"/>
            </w:tcBorders>
          </w:tcPr>
          <w:p w14:paraId="22507C96" w14:textId="77777777" w:rsidR="00B81ED3" w:rsidRDefault="00B81ED3" w:rsidP="00514AD8">
            <w:pPr>
              <w:spacing w:after="0" w:line="240" w:lineRule="auto"/>
              <w:rPr>
                <w:rFonts w:ascii="Helvetica" w:eastAsia="Times New Roman" w:hAnsi="Helvetica"/>
                <w:sz w:val="18"/>
                <w:szCs w:val="18"/>
                <w:lang w:eastAsia="en-GB"/>
              </w:rPr>
            </w:pPr>
          </w:p>
        </w:tc>
        <w:tc>
          <w:tcPr>
            <w:tcW w:w="2421" w:type="dxa"/>
            <w:gridSpan w:val="2"/>
            <w:tcBorders>
              <w:top w:val="single" w:sz="4" w:space="0" w:color="FFFFFF" w:themeColor="background1"/>
              <w:bottom w:val="single" w:sz="4" w:space="0" w:color="FFFFFF" w:themeColor="background1"/>
              <w:right w:val="single" w:sz="4" w:space="0" w:color="FFFFFF" w:themeColor="background1"/>
            </w:tcBorders>
          </w:tcPr>
          <w:p w14:paraId="04C83C5F" w14:textId="77777777" w:rsidR="00B81ED3" w:rsidRDefault="00B81ED3" w:rsidP="00514AD8">
            <w:pPr>
              <w:spacing w:after="0" w:line="240" w:lineRule="auto"/>
            </w:pPr>
            <w:r>
              <w:rPr>
                <w:rFonts w:ascii="Helvetica" w:eastAsia="Times New Roman" w:hAnsi="Helvetica"/>
                <w:sz w:val="20"/>
                <w:szCs w:val="20"/>
                <w:lang w:eastAsia="en-GB"/>
              </w:rPr>
              <w:t>Resistance rate Flex</w:t>
            </w:r>
          </w:p>
        </w:tc>
        <w:tc>
          <w:tcPr>
            <w:tcW w:w="1811" w:type="dxa"/>
            <w:gridSpan w:val="2"/>
            <w:tcBorders>
              <w:top w:val="single" w:sz="4" w:space="0" w:color="FFFFFF" w:themeColor="background1"/>
              <w:left w:val="single" w:sz="4" w:space="0" w:color="FFFFFF" w:themeColor="background1"/>
              <w:bottom w:val="single" w:sz="4" w:space="0" w:color="FFFFFF" w:themeColor="background1"/>
            </w:tcBorders>
          </w:tcPr>
          <w:p w14:paraId="10C0ACA1" w14:textId="77777777" w:rsidR="00B81ED3" w:rsidRDefault="00B81ED3" w:rsidP="00514AD8">
            <w:pPr>
              <w:spacing w:after="0" w:line="240" w:lineRule="auto"/>
            </w:pPr>
            <w:r>
              <w:rPr>
                <w:rFonts w:ascii="Helvetica" w:eastAsia="Times New Roman" w:hAnsi="Helvetica"/>
                <w:sz w:val="18"/>
                <w:szCs w:val="18"/>
                <w:lang w:eastAsia="en-GB"/>
              </w:rPr>
              <w:t xml:space="preserve">14% </w:t>
            </w:r>
            <w:r>
              <w:rPr>
                <w:rFonts w:ascii="Helvetica" w:eastAsia="Times New Roman" w:hAnsi="Helvetica"/>
                <w:i/>
                <w:sz w:val="18"/>
                <w:szCs w:val="18"/>
                <w:lang w:eastAsia="en-GB"/>
              </w:rPr>
              <w:t>p-value 0.625</w:t>
            </w:r>
          </w:p>
        </w:tc>
      </w:tr>
      <w:tr w:rsidR="00B81ED3" w14:paraId="1BB532ED" w14:textId="77777777" w:rsidTr="003B3881">
        <w:trPr>
          <w:trHeight w:hRule="exact" w:val="242"/>
        </w:trPr>
        <w:tc>
          <w:tcPr>
            <w:tcW w:w="2443" w:type="dxa"/>
            <w:gridSpan w:val="2"/>
            <w:tcBorders>
              <w:top w:val="single" w:sz="4" w:space="0" w:color="FFFFFF" w:themeColor="background1"/>
              <w:bottom w:val="single" w:sz="4" w:space="0" w:color="FFFFFF"/>
              <w:right w:val="single" w:sz="4" w:space="0" w:color="FFFFFF"/>
            </w:tcBorders>
          </w:tcPr>
          <w:p w14:paraId="2C5223EF" w14:textId="77777777" w:rsidR="00B81ED3" w:rsidRDefault="00B81ED3" w:rsidP="00514AD8">
            <w:pPr>
              <w:spacing w:after="0" w:line="240" w:lineRule="auto"/>
              <w:rPr>
                <w:rFonts w:ascii="Helvetica" w:eastAsia="Times New Roman" w:hAnsi="Helvetica"/>
                <w:sz w:val="18"/>
                <w:szCs w:val="18"/>
                <w:lang w:eastAsia="en-GB"/>
              </w:rPr>
            </w:pPr>
            <w:r w:rsidRPr="00AC05DD">
              <w:rPr>
                <w:rFonts w:ascii="Helvetica" w:eastAsia="Times New Roman" w:hAnsi="Helvetica"/>
                <w:sz w:val="18"/>
                <w:szCs w:val="18"/>
                <w:lang w:eastAsia="en-GB"/>
              </w:rPr>
              <w:t>Statistical measurements</w:t>
            </w:r>
          </w:p>
        </w:tc>
        <w:tc>
          <w:tcPr>
            <w:tcW w:w="1796" w:type="dxa"/>
            <w:gridSpan w:val="2"/>
            <w:tcBorders>
              <w:top w:val="single" w:sz="4" w:space="0" w:color="FFFFFF" w:themeColor="background1"/>
              <w:left w:val="single" w:sz="4" w:space="0" w:color="FFFFFF"/>
              <w:bottom w:val="single" w:sz="4" w:space="0" w:color="FFFFFF"/>
            </w:tcBorders>
          </w:tcPr>
          <w:p w14:paraId="663955F9" w14:textId="77777777" w:rsidR="00B81ED3" w:rsidRDefault="00B81ED3" w:rsidP="00514AD8">
            <w:pPr>
              <w:spacing w:after="0" w:line="240" w:lineRule="auto"/>
              <w:rPr>
                <w:rFonts w:ascii="Helvetica" w:eastAsia="Times New Roman" w:hAnsi="Helvetica"/>
                <w:sz w:val="18"/>
                <w:szCs w:val="18"/>
                <w:lang w:eastAsia="en-GB"/>
              </w:rPr>
            </w:pPr>
            <w:r>
              <w:rPr>
                <w:rFonts w:ascii="Helvetica" w:eastAsia="Times New Roman" w:hAnsi="Helvetica"/>
                <w:sz w:val="18"/>
                <w:szCs w:val="18"/>
                <w:lang w:eastAsia="en-GB"/>
              </w:rPr>
              <w:t>-*</w:t>
            </w:r>
          </w:p>
        </w:tc>
        <w:tc>
          <w:tcPr>
            <w:tcW w:w="449" w:type="dxa"/>
            <w:vMerge/>
            <w:tcBorders>
              <w:top w:val="nil"/>
            </w:tcBorders>
          </w:tcPr>
          <w:p w14:paraId="40A41C9B" w14:textId="77777777" w:rsidR="00B81ED3" w:rsidRDefault="00B81ED3" w:rsidP="00514AD8">
            <w:pPr>
              <w:spacing w:after="0" w:line="240" w:lineRule="auto"/>
              <w:rPr>
                <w:rFonts w:ascii="Helvetica" w:eastAsia="Times New Roman" w:hAnsi="Helvetica"/>
                <w:sz w:val="18"/>
                <w:szCs w:val="18"/>
                <w:lang w:eastAsia="en-GB"/>
              </w:rPr>
            </w:pPr>
          </w:p>
        </w:tc>
        <w:tc>
          <w:tcPr>
            <w:tcW w:w="2421" w:type="dxa"/>
            <w:gridSpan w:val="2"/>
            <w:tcBorders>
              <w:top w:val="single" w:sz="4" w:space="0" w:color="FFFFFF" w:themeColor="background1"/>
              <w:bottom w:val="single" w:sz="4" w:space="0" w:color="FFFFFF" w:themeColor="background1"/>
              <w:right w:val="single" w:sz="4" w:space="0" w:color="FFFFFF" w:themeColor="background1"/>
            </w:tcBorders>
          </w:tcPr>
          <w:p w14:paraId="72EA3667" w14:textId="77777777" w:rsidR="00B81ED3" w:rsidRDefault="00B81ED3" w:rsidP="00514AD8">
            <w:pPr>
              <w:spacing w:after="0" w:line="240" w:lineRule="auto"/>
            </w:pPr>
            <w:r w:rsidRPr="00744462">
              <w:rPr>
                <w:rFonts w:ascii="Helvetica" w:eastAsia="Times New Roman" w:hAnsi="Helvetica"/>
                <w:sz w:val="20"/>
                <w:szCs w:val="20"/>
                <w:lang w:eastAsia="en-GB"/>
              </w:rPr>
              <w:t xml:space="preserve">Sensitivity </w:t>
            </w:r>
            <w:r w:rsidRPr="00744462">
              <w:rPr>
                <w:rFonts w:ascii="Helvetica" w:eastAsia="Times New Roman" w:hAnsi="Helvetica"/>
                <w:i/>
                <w:sz w:val="20"/>
                <w:szCs w:val="20"/>
                <w:lang w:eastAsia="en-GB"/>
              </w:rPr>
              <w:t>(95%CI)</w:t>
            </w:r>
          </w:p>
        </w:tc>
        <w:tc>
          <w:tcPr>
            <w:tcW w:w="1811" w:type="dxa"/>
            <w:gridSpan w:val="2"/>
            <w:tcBorders>
              <w:top w:val="single" w:sz="4" w:space="0" w:color="FFFFFF" w:themeColor="background1"/>
              <w:left w:val="single" w:sz="4" w:space="0" w:color="FFFFFF" w:themeColor="background1"/>
              <w:bottom w:val="single" w:sz="4" w:space="0" w:color="FFFFFF" w:themeColor="background1"/>
            </w:tcBorders>
          </w:tcPr>
          <w:p w14:paraId="1E36144B" w14:textId="77777777" w:rsidR="00B81ED3" w:rsidRPr="00AC05DD" w:rsidRDefault="00B81ED3" w:rsidP="00514AD8">
            <w:pPr>
              <w:spacing w:after="0" w:line="240" w:lineRule="auto"/>
              <w:rPr>
                <w:sz w:val="18"/>
                <w:szCs w:val="18"/>
              </w:rPr>
            </w:pPr>
            <w:r w:rsidRPr="00AC05DD">
              <w:rPr>
                <w:rFonts w:ascii="Helvetica" w:eastAsia="Times New Roman" w:hAnsi="Helvetica"/>
                <w:sz w:val="18"/>
                <w:szCs w:val="18"/>
                <w:lang w:eastAsia="en-GB"/>
              </w:rPr>
              <w:t>57.1 (18.4-90.1)</w:t>
            </w:r>
          </w:p>
        </w:tc>
      </w:tr>
      <w:tr w:rsidR="00B81ED3" w14:paraId="1BFD5A86" w14:textId="77777777" w:rsidTr="003B3881">
        <w:trPr>
          <w:trHeight w:hRule="exact" w:val="242"/>
        </w:trPr>
        <w:tc>
          <w:tcPr>
            <w:tcW w:w="4239" w:type="dxa"/>
            <w:gridSpan w:val="4"/>
            <w:vMerge w:val="restart"/>
            <w:tcBorders>
              <w:top w:val="single" w:sz="4" w:space="0" w:color="FFFFFF"/>
            </w:tcBorders>
          </w:tcPr>
          <w:p w14:paraId="116F71FC" w14:textId="77777777" w:rsidR="00B81ED3" w:rsidRDefault="00B81ED3" w:rsidP="00514AD8">
            <w:pPr>
              <w:spacing w:after="0" w:line="240" w:lineRule="auto"/>
              <w:rPr>
                <w:rFonts w:ascii="Helvetica" w:eastAsia="Times New Roman" w:hAnsi="Helvetica"/>
                <w:sz w:val="18"/>
                <w:szCs w:val="18"/>
                <w:lang w:eastAsia="en-GB"/>
              </w:rPr>
            </w:pPr>
          </w:p>
        </w:tc>
        <w:tc>
          <w:tcPr>
            <w:tcW w:w="449" w:type="dxa"/>
            <w:vMerge/>
            <w:tcBorders>
              <w:top w:val="nil"/>
            </w:tcBorders>
          </w:tcPr>
          <w:p w14:paraId="7B7499C0" w14:textId="77777777" w:rsidR="00B81ED3" w:rsidRPr="00EA7DFB" w:rsidRDefault="00B81ED3" w:rsidP="00514AD8">
            <w:pPr>
              <w:spacing w:after="0" w:line="240" w:lineRule="auto"/>
              <w:rPr>
                <w:rFonts w:ascii="Helvetica" w:eastAsia="Times New Roman" w:hAnsi="Helvetica"/>
                <w:sz w:val="18"/>
                <w:szCs w:val="18"/>
                <w:lang w:eastAsia="en-GB"/>
              </w:rPr>
            </w:pPr>
          </w:p>
        </w:tc>
        <w:tc>
          <w:tcPr>
            <w:tcW w:w="2421" w:type="dxa"/>
            <w:gridSpan w:val="2"/>
            <w:tcBorders>
              <w:top w:val="single" w:sz="4" w:space="0" w:color="FFFFFF" w:themeColor="background1"/>
              <w:bottom w:val="single" w:sz="4" w:space="0" w:color="FFFFFF" w:themeColor="background1"/>
              <w:right w:val="single" w:sz="4" w:space="0" w:color="FFFFFF" w:themeColor="background1"/>
            </w:tcBorders>
          </w:tcPr>
          <w:p w14:paraId="433B4659" w14:textId="77777777" w:rsidR="00B81ED3" w:rsidRDefault="00B81ED3" w:rsidP="00514AD8">
            <w:pPr>
              <w:spacing w:after="0" w:line="240" w:lineRule="auto"/>
            </w:pPr>
            <w:r w:rsidRPr="00744462">
              <w:rPr>
                <w:rFonts w:ascii="Helvetica" w:eastAsia="Times New Roman" w:hAnsi="Helvetica"/>
                <w:sz w:val="20"/>
                <w:szCs w:val="20"/>
                <w:lang w:eastAsia="en-GB"/>
              </w:rPr>
              <w:t xml:space="preserve">Specificity </w:t>
            </w:r>
            <w:r w:rsidRPr="00744462">
              <w:rPr>
                <w:rFonts w:ascii="Helvetica" w:eastAsia="Times New Roman" w:hAnsi="Helvetica"/>
                <w:i/>
                <w:sz w:val="20"/>
                <w:szCs w:val="20"/>
                <w:lang w:eastAsia="en-GB"/>
              </w:rPr>
              <w:t>(95% CI)</w:t>
            </w:r>
          </w:p>
        </w:tc>
        <w:tc>
          <w:tcPr>
            <w:tcW w:w="1811" w:type="dxa"/>
            <w:gridSpan w:val="2"/>
            <w:tcBorders>
              <w:top w:val="single" w:sz="4" w:space="0" w:color="FFFFFF" w:themeColor="background1"/>
              <w:left w:val="single" w:sz="4" w:space="0" w:color="FFFFFF" w:themeColor="background1"/>
              <w:bottom w:val="single" w:sz="4" w:space="0" w:color="FFFFFF" w:themeColor="background1"/>
            </w:tcBorders>
          </w:tcPr>
          <w:p w14:paraId="540697E0" w14:textId="77777777" w:rsidR="00B81ED3" w:rsidRPr="00AC05DD" w:rsidRDefault="00B81ED3" w:rsidP="00514AD8">
            <w:pPr>
              <w:spacing w:after="0" w:line="240" w:lineRule="auto"/>
              <w:rPr>
                <w:sz w:val="18"/>
                <w:szCs w:val="18"/>
              </w:rPr>
            </w:pPr>
            <w:r w:rsidRPr="00AC05DD">
              <w:rPr>
                <w:rFonts w:ascii="Helvetica" w:eastAsia="Times New Roman" w:hAnsi="Helvetica"/>
                <w:sz w:val="18"/>
                <w:szCs w:val="18"/>
                <w:lang w:eastAsia="en-GB"/>
              </w:rPr>
              <w:t>96.4 (81.6-99.0)</w:t>
            </w:r>
          </w:p>
        </w:tc>
      </w:tr>
      <w:tr w:rsidR="00B81ED3" w14:paraId="1B0C0D71" w14:textId="77777777" w:rsidTr="003B3881">
        <w:trPr>
          <w:trHeight w:hRule="exact" w:val="242"/>
        </w:trPr>
        <w:tc>
          <w:tcPr>
            <w:tcW w:w="4239" w:type="dxa"/>
            <w:gridSpan w:val="4"/>
            <w:vMerge/>
          </w:tcPr>
          <w:p w14:paraId="61867A9A" w14:textId="77777777" w:rsidR="00B81ED3" w:rsidRDefault="00B81ED3" w:rsidP="00514AD8">
            <w:pPr>
              <w:spacing w:after="0" w:line="240" w:lineRule="auto"/>
              <w:rPr>
                <w:rFonts w:ascii="Helvetica" w:eastAsia="Times New Roman" w:hAnsi="Helvetica"/>
                <w:sz w:val="18"/>
                <w:szCs w:val="18"/>
                <w:lang w:eastAsia="en-GB"/>
              </w:rPr>
            </w:pPr>
          </w:p>
        </w:tc>
        <w:tc>
          <w:tcPr>
            <w:tcW w:w="449" w:type="dxa"/>
            <w:vMerge/>
            <w:tcBorders>
              <w:top w:val="nil"/>
            </w:tcBorders>
          </w:tcPr>
          <w:p w14:paraId="7F1A616C" w14:textId="77777777" w:rsidR="00B81ED3" w:rsidRPr="00EA7DFB" w:rsidRDefault="00B81ED3" w:rsidP="00514AD8">
            <w:pPr>
              <w:spacing w:after="0" w:line="240" w:lineRule="auto"/>
              <w:rPr>
                <w:rFonts w:ascii="Helvetica" w:eastAsia="Times New Roman" w:hAnsi="Helvetica"/>
                <w:sz w:val="18"/>
                <w:szCs w:val="18"/>
                <w:lang w:eastAsia="en-GB"/>
              </w:rPr>
            </w:pPr>
          </w:p>
        </w:tc>
        <w:tc>
          <w:tcPr>
            <w:tcW w:w="2421" w:type="dxa"/>
            <w:gridSpan w:val="2"/>
            <w:tcBorders>
              <w:top w:val="single" w:sz="4" w:space="0" w:color="FFFFFF" w:themeColor="background1"/>
              <w:bottom w:val="single" w:sz="4" w:space="0" w:color="FFFFFF" w:themeColor="background1"/>
              <w:right w:val="single" w:sz="4" w:space="0" w:color="FFFFFF" w:themeColor="background1"/>
            </w:tcBorders>
          </w:tcPr>
          <w:p w14:paraId="321879A0" w14:textId="77777777" w:rsidR="00B81ED3" w:rsidRDefault="00B81ED3" w:rsidP="00514AD8">
            <w:pPr>
              <w:spacing w:after="0" w:line="240" w:lineRule="auto"/>
            </w:pPr>
            <w:r w:rsidRPr="00744462">
              <w:rPr>
                <w:rFonts w:ascii="Helvetica" w:eastAsia="Times New Roman" w:hAnsi="Helvetica"/>
                <w:sz w:val="20"/>
                <w:szCs w:val="20"/>
                <w:lang w:eastAsia="en-GB"/>
              </w:rPr>
              <w:t>PPV</w:t>
            </w:r>
          </w:p>
        </w:tc>
        <w:tc>
          <w:tcPr>
            <w:tcW w:w="1811" w:type="dxa"/>
            <w:gridSpan w:val="2"/>
            <w:tcBorders>
              <w:top w:val="single" w:sz="4" w:space="0" w:color="FFFFFF" w:themeColor="background1"/>
              <w:left w:val="single" w:sz="4" w:space="0" w:color="FFFFFF" w:themeColor="background1"/>
              <w:bottom w:val="single" w:sz="4" w:space="0" w:color="FFFFFF" w:themeColor="background1"/>
            </w:tcBorders>
          </w:tcPr>
          <w:p w14:paraId="6FFEBFAC" w14:textId="77777777" w:rsidR="00B81ED3" w:rsidRPr="00AC05DD" w:rsidRDefault="00B81ED3" w:rsidP="00514AD8">
            <w:pPr>
              <w:spacing w:after="0" w:line="240" w:lineRule="auto"/>
              <w:rPr>
                <w:sz w:val="18"/>
                <w:szCs w:val="18"/>
              </w:rPr>
            </w:pPr>
            <w:r w:rsidRPr="00AC05DD">
              <w:rPr>
                <w:rFonts w:ascii="Helvetica" w:eastAsia="Times New Roman" w:hAnsi="Helvetica"/>
                <w:sz w:val="18"/>
                <w:szCs w:val="18"/>
                <w:lang w:eastAsia="en-GB"/>
              </w:rPr>
              <w:t>80.0 (28.4-99.5)</w:t>
            </w:r>
          </w:p>
        </w:tc>
      </w:tr>
      <w:tr w:rsidR="00B81ED3" w14:paraId="4A84F3F4" w14:textId="77777777" w:rsidTr="003B3881">
        <w:trPr>
          <w:trHeight w:hRule="exact" w:val="242"/>
        </w:trPr>
        <w:tc>
          <w:tcPr>
            <w:tcW w:w="4239" w:type="dxa"/>
            <w:gridSpan w:val="4"/>
            <w:vMerge/>
          </w:tcPr>
          <w:p w14:paraId="386C6784" w14:textId="77777777" w:rsidR="00B81ED3" w:rsidRDefault="00B81ED3" w:rsidP="00514AD8">
            <w:pPr>
              <w:spacing w:after="0" w:line="240" w:lineRule="auto"/>
              <w:rPr>
                <w:rFonts w:ascii="Helvetica" w:eastAsia="Times New Roman" w:hAnsi="Helvetica"/>
                <w:sz w:val="18"/>
                <w:szCs w:val="18"/>
                <w:lang w:eastAsia="en-GB"/>
              </w:rPr>
            </w:pPr>
          </w:p>
        </w:tc>
        <w:tc>
          <w:tcPr>
            <w:tcW w:w="449" w:type="dxa"/>
            <w:vMerge/>
            <w:tcBorders>
              <w:top w:val="nil"/>
            </w:tcBorders>
          </w:tcPr>
          <w:p w14:paraId="31CC0706" w14:textId="77777777" w:rsidR="00B81ED3" w:rsidRPr="00EA7DFB" w:rsidRDefault="00B81ED3" w:rsidP="00514AD8">
            <w:pPr>
              <w:spacing w:after="0" w:line="240" w:lineRule="auto"/>
              <w:rPr>
                <w:rFonts w:ascii="Helvetica" w:eastAsia="Times New Roman" w:hAnsi="Helvetica"/>
                <w:sz w:val="18"/>
                <w:szCs w:val="18"/>
                <w:lang w:eastAsia="en-GB"/>
              </w:rPr>
            </w:pPr>
          </w:p>
        </w:tc>
        <w:tc>
          <w:tcPr>
            <w:tcW w:w="2421" w:type="dxa"/>
            <w:gridSpan w:val="2"/>
            <w:tcBorders>
              <w:top w:val="single" w:sz="4" w:space="0" w:color="FFFFFF" w:themeColor="background1"/>
              <w:bottom w:val="single" w:sz="4" w:space="0" w:color="FFFFFF" w:themeColor="background1"/>
              <w:right w:val="single" w:sz="4" w:space="0" w:color="FFFFFF" w:themeColor="background1"/>
            </w:tcBorders>
          </w:tcPr>
          <w:p w14:paraId="7B36435F" w14:textId="77777777" w:rsidR="00B81ED3" w:rsidRDefault="00B81ED3" w:rsidP="00514AD8">
            <w:pPr>
              <w:spacing w:after="0" w:line="240" w:lineRule="auto"/>
            </w:pPr>
            <w:r w:rsidRPr="00744462">
              <w:rPr>
                <w:rFonts w:ascii="Helvetica" w:eastAsia="Times New Roman" w:hAnsi="Helvetica"/>
                <w:sz w:val="20"/>
                <w:szCs w:val="20"/>
                <w:lang w:eastAsia="en-GB"/>
              </w:rPr>
              <w:t>NPV</w:t>
            </w:r>
          </w:p>
        </w:tc>
        <w:tc>
          <w:tcPr>
            <w:tcW w:w="1811" w:type="dxa"/>
            <w:gridSpan w:val="2"/>
            <w:tcBorders>
              <w:top w:val="single" w:sz="4" w:space="0" w:color="FFFFFF" w:themeColor="background1"/>
              <w:left w:val="single" w:sz="4" w:space="0" w:color="FFFFFF" w:themeColor="background1"/>
              <w:bottom w:val="single" w:sz="4" w:space="0" w:color="FFFFFF" w:themeColor="background1"/>
            </w:tcBorders>
          </w:tcPr>
          <w:p w14:paraId="6BC39DAD" w14:textId="77777777" w:rsidR="00B81ED3" w:rsidRPr="00AC05DD" w:rsidRDefault="00B81ED3" w:rsidP="00514AD8">
            <w:pPr>
              <w:spacing w:after="0" w:line="240" w:lineRule="auto"/>
              <w:rPr>
                <w:sz w:val="18"/>
                <w:szCs w:val="18"/>
              </w:rPr>
            </w:pPr>
            <w:r w:rsidRPr="00AC05DD">
              <w:rPr>
                <w:rFonts w:ascii="Helvetica" w:eastAsia="Times New Roman" w:hAnsi="Helvetica"/>
                <w:sz w:val="18"/>
                <w:szCs w:val="18"/>
                <w:lang w:eastAsia="en-GB"/>
              </w:rPr>
              <w:t>90.0 (73.5-97.9)</w:t>
            </w:r>
          </w:p>
        </w:tc>
      </w:tr>
      <w:tr w:rsidR="00B81ED3" w14:paraId="246CD108" w14:textId="77777777" w:rsidTr="003B3881">
        <w:trPr>
          <w:trHeight w:hRule="exact" w:val="242"/>
        </w:trPr>
        <w:tc>
          <w:tcPr>
            <w:tcW w:w="4239" w:type="dxa"/>
            <w:gridSpan w:val="4"/>
            <w:vMerge/>
          </w:tcPr>
          <w:p w14:paraId="698FA617" w14:textId="77777777" w:rsidR="00B81ED3" w:rsidRDefault="00B81ED3" w:rsidP="00514AD8">
            <w:pPr>
              <w:spacing w:after="0" w:line="240" w:lineRule="auto"/>
              <w:rPr>
                <w:rFonts w:ascii="Helvetica" w:eastAsia="Times New Roman" w:hAnsi="Helvetica"/>
                <w:sz w:val="18"/>
                <w:szCs w:val="18"/>
                <w:lang w:eastAsia="en-GB"/>
              </w:rPr>
            </w:pPr>
          </w:p>
        </w:tc>
        <w:tc>
          <w:tcPr>
            <w:tcW w:w="449" w:type="dxa"/>
            <w:vMerge/>
            <w:tcBorders>
              <w:top w:val="nil"/>
            </w:tcBorders>
          </w:tcPr>
          <w:p w14:paraId="46E3A103" w14:textId="77777777" w:rsidR="00B81ED3" w:rsidRDefault="00B81ED3" w:rsidP="00514AD8">
            <w:pPr>
              <w:spacing w:after="0" w:line="240" w:lineRule="auto"/>
              <w:rPr>
                <w:rFonts w:ascii="Helvetica" w:eastAsia="Times New Roman" w:hAnsi="Helvetica"/>
                <w:sz w:val="18"/>
                <w:szCs w:val="18"/>
                <w:lang w:eastAsia="en-GB"/>
              </w:rPr>
            </w:pPr>
          </w:p>
        </w:tc>
        <w:tc>
          <w:tcPr>
            <w:tcW w:w="2421" w:type="dxa"/>
            <w:gridSpan w:val="2"/>
            <w:tcBorders>
              <w:top w:val="single" w:sz="4" w:space="0" w:color="FFFFFF" w:themeColor="background1"/>
              <w:bottom w:val="single" w:sz="4" w:space="0" w:color="FFFFFF" w:themeColor="background1"/>
              <w:right w:val="single" w:sz="4" w:space="0" w:color="FFFFFF" w:themeColor="background1"/>
            </w:tcBorders>
          </w:tcPr>
          <w:p w14:paraId="25A4D612" w14:textId="77777777" w:rsidR="00B81ED3" w:rsidRDefault="00B81ED3" w:rsidP="00514AD8">
            <w:pPr>
              <w:spacing w:after="0" w:line="240" w:lineRule="auto"/>
            </w:pPr>
            <w:r w:rsidRPr="00744462">
              <w:rPr>
                <w:rFonts w:ascii="Helvetica" w:eastAsia="Times New Roman" w:hAnsi="Helvetica"/>
                <w:sz w:val="20"/>
                <w:szCs w:val="20"/>
                <w:lang w:eastAsia="en-GB"/>
              </w:rPr>
              <w:t>Error rate (%)</w:t>
            </w:r>
          </w:p>
        </w:tc>
        <w:tc>
          <w:tcPr>
            <w:tcW w:w="1811" w:type="dxa"/>
            <w:gridSpan w:val="2"/>
            <w:tcBorders>
              <w:top w:val="single" w:sz="4" w:space="0" w:color="FFFFFF" w:themeColor="background1"/>
              <w:left w:val="single" w:sz="4" w:space="0" w:color="FFFFFF" w:themeColor="background1"/>
              <w:bottom w:val="single" w:sz="4" w:space="0" w:color="FFFFFF" w:themeColor="background1"/>
            </w:tcBorders>
          </w:tcPr>
          <w:p w14:paraId="3FB52C2F" w14:textId="77777777" w:rsidR="00B81ED3" w:rsidRPr="00AC05DD" w:rsidRDefault="00B81ED3" w:rsidP="00514AD8">
            <w:pPr>
              <w:spacing w:after="0" w:line="240" w:lineRule="auto"/>
              <w:rPr>
                <w:sz w:val="18"/>
                <w:szCs w:val="18"/>
              </w:rPr>
            </w:pPr>
            <w:r w:rsidRPr="00AC05DD">
              <w:rPr>
                <w:rFonts w:ascii="Helvetica" w:eastAsia="Times New Roman" w:hAnsi="Helvetica"/>
                <w:sz w:val="18"/>
                <w:szCs w:val="18"/>
                <w:lang w:eastAsia="en-GB"/>
              </w:rPr>
              <w:t>11%</w:t>
            </w:r>
          </w:p>
        </w:tc>
      </w:tr>
      <w:tr w:rsidR="00B81ED3" w14:paraId="4DF7075D" w14:textId="77777777" w:rsidTr="003B3881">
        <w:trPr>
          <w:trHeight w:hRule="exact" w:val="242"/>
        </w:trPr>
        <w:tc>
          <w:tcPr>
            <w:tcW w:w="4239" w:type="dxa"/>
            <w:gridSpan w:val="4"/>
            <w:vMerge/>
          </w:tcPr>
          <w:p w14:paraId="7D9BDE18" w14:textId="77777777" w:rsidR="00B81ED3" w:rsidRDefault="00B81ED3" w:rsidP="00514AD8">
            <w:pPr>
              <w:spacing w:after="0" w:line="240" w:lineRule="auto"/>
              <w:rPr>
                <w:rFonts w:ascii="Helvetica" w:eastAsia="Times New Roman" w:hAnsi="Helvetica"/>
                <w:sz w:val="18"/>
                <w:szCs w:val="18"/>
                <w:lang w:eastAsia="en-GB"/>
              </w:rPr>
            </w:pPr>
          </w:p>
        </w:tc>
        <w:tc>
          <w:tcPr>
            <w:tcW w:w="449" w:type="dxa"/>
            <w:vMerge/>
            <w:tcBorders>
              <w:top w:val="nil"/>
            </w:tcBorders>
          </w:tcPr>
          <w:p w14:paraId="5FA435C7" w14:textId="77777777" w:rsidR="00B81ED3" w:rsidRPr="00EA7DFB" w:rsidRDefault="00B81ED3" w:rsidP="00514AD8">
            <w:pPr>
              <w:spacing w:after="0" w:line="240" w:lineRule="auto"/>
              <w:rPr>
                <w:rFonts w:ascii="Helvetica" w:eastAsia="Times New Roman" w:hAnsi="Helvetica"/>
                <w:sz w:val="18"/>
                <w:szCs w:val="18"/>
                <w:lang w:eastAsia="en-GB"/>
              </w:rPr>
            </w:pPr>
          </w:p>
        </w:tc>
        <w:tc>
          <w:tcPr>
            <w:tcW w:w="2421" w:type="dxa"/>
            <w:gridSpan w:val="2"/>
            <w:tcBorders>
              <w:top w:val="single" w:sz="4" w:space="0" w:color="FFFFFF" w:themeColor="background1"/>
              <w:bottom w:val="single" w:sz="4" w:space="0" w:color="FFFFFF" w:themeColor="background1"/>
              <w:right w:val="single" w:sz="4" w:space="0" w:color="FFFFFF" w:themeColor="background1"/>
            </w:tcBorders>
          </w:tcPr>
          <w:p w14:paraId="39B00542" w14:textId="77777777" w:rsidR="00B81ED3" w:rsidRDefault="00B81ED3" w:rsidP="00514AD8">
            <w:pPr>
              <w:spacing w:after="0" w:line="240" w:lineRule="auto"/>
            </w:pPr>
            <w:r w:rsidRPr="00744462">
              <w:rPr>
                <w:rFonts w:ascii="Helvetica" w:eastAsia="Times New Roman" w:hAnsi="Helvetica"/>
                <w:sz w:val="20"/>
                <w:szCs w:val="20"/>
                <w:lang w:eastAsia="en-GB"/>
              </w:rPr>
              <w:t xml:space="preserve">Kappa </w:t>
            </w:r>
            <w:r w:rsidRPr="00744462">
              <w:rPr>
                <w:rFonts w:ascii="Helvetica" w:eastAsia="Times New Roman" w:hAnsi="Helvetica"/>
                <w:i/>
                <w:sz w:val="20"/>
                <w:szCs w:val="20"/>
                <w:lang w:eastAsia="en-GB"/>
              </w:rPr>
              <w:t>(95%CI)</w:t>
            </w:r>
          </w:p>
        </w:tc>
        <w:tc>
          <w:tcPr>
            <w:tcW w:w="1811" w:type="dxa"/>
            <w:gridSpan w:val="2"/>
            <w:tcBorders>
              <w:top w:val="single" w:sz="4" w:space="0" w:color="FFFFFF" w:themeColor="background1"/>
              <w:left w:val="single" w:sz="4" w:space="0" w:color="FFFFFF" w:themeColor="background1"/>
              <w:bottom w:val="single" w:sz="4" w:space="0" w:color="FFFFFF" w:themeColor="background1"/>
            </w:tcBorders>
          </w:tcPr>
          <w:p w14:paraId="30C69962" w14:textId="77777777" w:rsidR="00B81ED3" w:rsidRPr="00AC05DD" w:rsidRDefault="00B81ED3" w:rsidP="00514AD8">
            <w:pPr>
              <w:spacing w:after="0" w:line="240" w:lineRule="auto"/>
              <w:rPr>
                <w:sz w:val="18"/>
                <w:szCs w:val="18"/>
              </w:rPr>
            </w:pPr>
            <w:r w:rsidRPr="00AC05DD">
              <w:rPr>
                <w:rFonts w:ascii="Helvetica" w:eastAsia="Times New Roman" w:hAnsi="Helvetica"/>
                <w:sz w:val="18"/>
                <w:szCs w:val="18"/>
                <w:lang w:eastAsia="en-GB"/>
              </w:rPr>
              <w:t>0.60 (0.249-0.951)</w:t>
            </w:r>
          </w:p>
        </w:tc>
      </w:tr>
      <w:tr w:rsidR="00B81ED3" w14:paraId="4C43A06F" w14:textId="77777777" w:rsidTr="003B3881">
        <w:trPr>
          <w:trHeight w:hRule="exact" w:val="242"/>
        </w:trPr>
        <w:tc>
          <w:tcPr>
            <w:tcW w:w="4239" w:type="dxa"/>
            <w:gridSpan w:val="4"/>
            <w:vMerge/>
          </w:tcPr>
          <w:p w14:paraId="18E24E8F" w14:textId="77777777" w:rsidR="00B81ED3" w:rsidRDefault="00B81ED3" w:rsidP="00514AD8">
            <w:pPr>
              <w:spacing w:after="0" w:line="240" w:lineRule="auto"/>
              <w:rPr>
                <w:rFonts w:ascii="Helvetica" w:eastAsia="Times New Roman" w:hAnsi="Helvetica"/>
                <w:sz w:val="18"/>
                <w:szCs w:val="18"/>
                <w:lang w:eastAsia="en-GB"/>
              </w:rPr>
            </w:pPr>
          </w:p>
        </w:tc>
        <w:tc>
          <w:tcPr>
            <w:tcW w:w="449" w:type="dxa"/>
            <w:vMerge/>
            <w:tcBorders>
              <w:top w:val="nil"/>
              <w:bottom w:val="nil"/>
            </w:tcBorders>
          </w:tcPr>
          <w:p w14:paraId="3CEC7A46" w14:textId="77777777" w:rsidR="00B81ED3" w:rsidRDefault="00B81ED3" w:rsidP="00514AD8">
            <w:pPr>
              <w:spacing w:after="0" w:line="240" w:lineRule="auto"/>
              <w:rPr>
                <w:rFonts w:ascii="Helvetica" w:eastAsia="Times New Roman" w:hAnsi="Helvetica"/>
                <w:sz w:val="18"/>
                <w:szCs w:val="18"/>
                <w:lang w:eastAsia="en-GB"/>
              </w:rPr>
            </w:pPr>
          </w:p>
        </w:tc>
        <w:tc>
          <w:tcPr>
            <w:tcW w:w="2421" w:type="dxa"/>
            <w:gridSpan w:val="2"/>
            <w:tcBorders>
              <w:top w:val="single" w:sz="4" w:space="0" w:color="FFFFFF" w:themeColor="background1"/>
              <w:right w:val="single" w:sz="4" w:space="0" w:color="FFFFFF" w:themeColor="background1"/>
            </w:tcBorders>
          </w:tcPr>
          <w:p w14:paraId="571B9D5B" w14:textId="77777777" w:rsidR="00B81ED3" w:rsidRDefault="00B81ED3" w:rsidP="00514AD8">
            <w:pPr>
              <w:spacing w:after="0" w:line="240" w:lineRule="auto"/>
            </w:pPr>
            <w:r w:rsidRPr="00744462">
              <w:rPr>
                <w:rFonts w:ascii="Helvetica" w:eastAsia="Times New Roman" w:hAnsi="Helvetica"/>
                <w:sz w:val="20"/>
                <w:szCs w:val="20"/>
                <w:lang w:eastAsia="en-GB"/>
              </w:rPr>
              <w:t>PABAK</w:t>
            </w:r>
          </w:p>
        </w:tc>
        <w:tc>
          <w:tcPr>
            <w:tcW w:w="1811" w:type="dxa"/>
            <w:gridSpan w:val="2"/>
            <w:tcBorders>
              <w:top w:val="single" w:sz="4" w:space="0" w:color="FFFFFF" w:themeColor="background1"/>
              <w:left w:val="single" w:sz="4" w:space="0" w:color="FFFFFF" w:themeColor="background1"/>
            </w:tcBorders>
          </w:tcPr>
          <w:p w14:paraId="5970824D" w14:textId="77777777" w:rsidR="00B81ED3" w:rsidRPr="00AC05DD" w:rsidRDefault="00B81ED3" w:rsidP="00514AD8">
            <w:pPr>
              <w:spacing w:after="0" w:line="240" w:lineRule="auto"/>
              <w:rPr>
                <w:sz w:val="18"/>
                <w:szCs w:val="18"/>
              </w:rPr>
            </w:pPr>
            <w:r w:rsidRPr="00AC05DD">
              <w:rPr>
                <w:rFonts w:ascii="Helvetica" w:hAnsi="Helvetica"/>
                <w:sz w:val="18"/>
                <w:szCs w:val="18"/>
              </w:rPr>
              <w:t>0.78</w:t>
            </w:r>
          </w:p>
        </w:tc>
      </w:tr>
      <w:tr w:rsidR="00B81ED3" w14:paraId="043E7F5D" w14:textId="77777777" w:rsidTr="00514AD8">
        <w:trPr>
          <w:trHeight w:hRule="exact" w:val="242"/>
        </w:trPr>
        <w:tc>
          <w:tcPr>
            <w:tcW w:w="8920" w:type="dxa"/>
            <w:gridSpan w:val="9"/>
            <w:tcBorders>
              <w:top w:val="nil"/>
              <w:left w:val="single" w:sz="4" w:space="0" w:color="FFFFFF"/>
              <w:bottom w:val="nil"/>
              <w:right w:val="single" w:sz="4" w:space="0" w:color="FFFFFF"/>
            </w:tcBorders>
          </w:tcPr>
          <w:p w14:paraId="596EA1B5" w14:textId="77777777" w:rsidR="00B81ED3" w:rsidRPr="00AC05DD" w:rsidRDefault="00B81ED3" w:rsidP="00514AD8">
            <w:pPr>
              <w:spacing w:after="0" w:line="240" w:lineRule="auto"/>
              <w:rPr>
                <w:rFonts w:ascii="Helvetica" w:hAnsi="Helvetica"/>
                <w:sz w:val="18"/>
                <w:szCs w:val="18"/>
              </w:rPr>
            </w:pPr>
          </w:p>
        </w:tc>
      </w:tr>
      <w:tr w:rsidR="00B81ED3" w14:paraId="5A548F91" w14:textId="77777777" w:rsidTr="00DD674A">
        <w:trPr>
          <w:trHeight w:val="501"/>
          <w:tblHeader/>
        </w:trPr>
        <w:tc>
          <w:tcPr>
            <w:tcW w:w="1527" w:type="dxa"/>
            <w:tcBorders>
              <w:right w:val="single" w:sz="4" w:space="0" w:color="FFFFFF" w:themeColor="background1"/>
            </w:tcBorders>
          </w:tcPr>
          <w:p w14:paraId="6CA8C7C2" w14:textId="77777777" w:rsidR="00B81ED3" w:rsidRPr="008C150B" w:rsidRDefault="00B81ED3" w:rsidP="00514AD8">
            <w:pPr>
              <w:spacing w:after="0" w:line="240" w:lineRule="auto"/>
              <w:rPr>
                <w:rFonts w:ascii="Helvetica" w:hAnsi="Helvetica"/>
                <w:b/>
                <w:sz w:val="20"/>
                <w:szCs w:val="20"/>
              </w:rPr>
            </w:pPr>
            <w:proofErr w:type="spellStart"/>
            <w:r>
              <w:rPr>
                <w:rFonts w:ascii="Helvetica" w:hAnsi="Helvetica"/>
                <w:b/>
                <w:sz w:val="20"/>
                <w:szCs w:val="20"/>
              </w:rPr>
              <w:t>fosfomycin</w:t>
            </w:r>
            <w:proofErr w:type="spellEnd"/>
            <w:r>
              <w:rPr>
                <w:rFonts w:ascii="Helvetica" w:hAnsi="Helvetica"/>
                <w:b/>
                <w:sz w:val="20"/>
                <w:szCs w:val="20"/>
              </w:rPr>
              <w:br/>
              <w:t>n=</w:t>
            </w:r>
            <w:r w:rsidRPr="002E1947">
              <w:rPr>
                <w:rFonts w:ascii="Helvetica" w:hAnsi="Helvetica"/>
                <w:b/>
                <w:sz w:val="20"/>
                <w:szCs w:val="20"/>
              </w:rPr>
              <w:t>2</w:t>
            </w:r>
            <w:r>
              <w:rPr>
                <w:rFonts w:ascii="Helvetica" w:hAnsi="Helvetica"/>
                <w:b/>
                <w:sz w:val="20"/>
                <w:szCs w:val="20"/>
              </w:rPr>
              <w:t>1</w:t>
            </w:r>
          </w:p>
        </w:tc>
        <w:tc>
          <w:tcPr>
            <w:tcW w:w="2712" w:type="dxa"/>
            <w:gridSpan w:val="3"/>
            <w:tcBorders>
              <w:left w:val="single" w:sz="4" w:space="0" w:color="FFFFFF" w:themeColor="background1"/>
            </w:tcBorders>
          </w:tcPr>
          <w:p w14:paraId="2204476D" w14:textId="77777777" w:rsidR="00B81ED3" w:rsidRPr="00744462" w:rsidRDefault="00B81ED3" w:rsidP="00514AD8">
            <w:pPr>
              <w:spacing w:after="0" w:line="240" w:lineRule="auto"/>
              <w:rPr>
                <w:rFonts w:ascii="Helvetica" w:eastAsia="Times New Roman" w:hAnsi="Helvetica"/>
                <w:sz w:val="20"/>
                <w:szCs w:val="20"/>
                <w:lang w:eastAsia="en-GB"/>
              </w:rPr>
            </w:pPr>
            <w:r w:rsidRPr="00744462">
              <w:rPr>
                <w:rFonts w:ascii="Helvetica" w:hAnsi="Helvetica"/>
                <w:b/>
                <w:sz w:val="20"/>
                <w:szCs w:val="20"/>
              </w:rPr>
              <w:t>Laboratory culture</w:t>
            </w:r>
            <w:r>
              <w:rPr>
                <w:rFonts w:ascii="Helvetica" w:hAnsi="Helvetica"/>
                <w:b/>
                <w:sz w:val="20"/>
                <w:szCs w:val="20"/>
              </w:rPr>
              <w:br/>
            </w:r>
            <w:r w:rsidRPr="00744462">
              <w:rPr>
                <w:rFonts w:ascii="Helvetica" w:eastAsia="Times New Roman" w:hAnsi="Helvetica"/>
                <w:sz w:val="18"/>
                <w:szCs w:val="18"/>
                <w:lang w:eastAsia="en-GB"/>
              </w:rPr>
              <w:t>Sensitive</w:t>
            </w:r>
            <w:r>
              <w:rPr>
                <w:rFonts w:ascii="Helvetica" w:eastAsia="Times New Roman" w:hAnsi="Helvetica"/>
                <w:sz w:val="18"/>
                <w:szCs w:val="18"/>
                <w:lang w:eastAsia="en-GB"/>
              </w:rPr>
              <w:t xml:space="preserve">    </w:t>
            </w:r>
            <w:r w:rsidRPr="00744462">
              <w:rPr>
                <w:rFonts w:ascii="Helvetica" w:eastAsia="Times New Roman" w:hAnsi="Helvetica"/>
                <w:sz w:val="18"/>
                <w:szCs w:val="18"/>
                <w:lang w:eastAsia="en-GB"/>
              </w:rPr>
              <w:t>Resistant</w:t>
            </w:r>
            <w:r>
              <w:rPr>
                <w:rFonts w:ascii="Helvetica" w:eastAsia="Times New Roman" w:hAnsi="Helvetica"/>
                <w:sz w:val="18"/>
                <w:szCs w:val="18"/>
                <w:lang w:eastAsia="en-GB"/>
              </w:rPr>
              <w:t xml:space="preserve">     T</w:t>
            </w:r>
            <w:r w:rsidRPr="00744462">
              <w:rPr>
                <w:rFonts w:ascii="Helvetica" w:eastAsia="Times New Roman" w:hAnsi="Helvetica"/>
                <w:sz w:val="18"/>
                <w:szCs w:val="18"/>
                <w:lang w:eastAsia="en-GB"/>
              </w:rPr>
              <w:t>otal</w:t>
            </w:r>
          </w:p>
        </w:tc>
        <w:tc>
          <w:tcPr>
            <w:tcW w:w="449" w:type="dxa"/>
            <w:vMerge w:val="restart"/>
            <w:tcBorders>
              <w:top w:val="nil"/>
              <w:right w:val="single" w:sz="4" w:space="0" w:color="000000" w:themeColor="text1"/>
            </w:tcBorders>
          </w:tcPr>
          <w:p w14:paraId="1934F472" w14:textId="77777777" w:rsidR="00B81ED3" w:rsidRPr="00744462" w:rsidRDefault="00B81ED3" w:rsidP="00514AD8">
            <w:pPr>
              <w:spacing w:after="0" w:line="240" w:lineRule="auto"/>
              <w:rPr>
                <w:rFonts w:ascii="Helvetica" w:hAnsi="Helvetica"/>
                <w:b/>
                <w:sz w:val="20"/>
                <w:szCs w:val="20"/>
              </w:rPr>
            </w:pPr>
          </w:p>
        </w:tc>
        <w:tc>
          <w:tcPr>
            <w:tcW w:w="1528" w:type="dxa"/>
            <w:tcBorders>
              <w:left w:val="single" w:sz="4" w:space="0" w:color="000000" w:themeColor="text1"/>
              <w:right w:val="single" w:sz="4" w:space="0" w:color="FFFFFF" w:themeColor="background1"/>
            </w:tcBorders>
          </w:tcPr>
          <w:p w14:paraId="1F9276B5" w14:textId="268F33C1" w:rsidR="00B81ED3" w:rsidRPr="00744462" w:rsidRDefault="00B81ED3" w:rsidP="00514AD8">
            <w:pPr>
              <w:spacing w:after="0" w:line="240" w:lineRule="auto"/>
              <w:rPr>
                <w:rFonts w:ascii="Helvetica" w:hAnsi="Helvetica"/>
                <w:b/>
                <w:sz w:val="20"/>
                <w:szCs w:val="20"/>
              </w:rPr>
            </w:pPr>
            <w:r>
              <w:rPr>
                <w:rFonts w:ascii="Helvetica" w:hAnsi="Helvetica"/>
                <w:b/>
                <w:sz w:val="20"/>
                <w:szCs w:val="20"/>
              </w:rPr>
              <w:t>cefuroxime</w:t>
            </w:r>
            <w:r>
              <w:rPr>
                <w:rFonts w:ascii="Helvetica" w:hAnsi="Helvetica"/>
                <w:b/>
                <w:sz w:val="20"/>
                <w:szCs w:val="20"/>
              </w:rPr>
              <w:br/>
            </w:r>
            <w:r w:rsidRPr="00744462">
              <w:rPr>
                <w:rFonts w:ascii="Helvetica" w:hAnsi="Helvetica"/>
                <w:b/>
                <w:sz w:val="20"/>
                <w:szCs w:val="20"/>
              </w:rPr>
              <w:t>n=</w:t>
            </w:r>
            <w:r>
              <w:rPr>
                <w:rFonts w:ascii="Helvetica" w:hAnsi="Helvetica"/>
                <w:b/>
                <w:sz w:val="20"/>
                <w:szCs w:val="20"/>
              </w:rPr>
              <w:t>20</w:t>
            </w:r>
          </w:p>
        </w:tc>
        <w:tc>
          <w:tcPr>
            <w:tcW w:w="2704" w:type="dxa"/>
            <w:gridSpan w:val="3"/>
            <w:tcBorders>
              <w:left w:val="single" w:sz="4" w:space="0" w:color="FFFFFF" w:themeColor="background1"/>
            </w:tcBorders>
          </w:tcPr>
          <w:p w14:paraId="50E0C78F" w14:textId="77777777" w:rsidR="00B81ED3" w:rsidRDefault="00B81ED3" w:rsidP="00514AD8">
            <w:pPr>
              <w:spacing w:after="0" w:line="240" w:lineRule="auto"/>
            </w:pPr>
            <w:r w:rsidRPr="00744462">
              <w:rPr>
                <w:rFonts w:ascii="Helvetica" w:hAnsi="Helvetica"/>
                <w:b/>
                <w:sz w:val="20"/>
                <w:szCs w:val="20"/>
              </w:rPr>
              <w:t>Laboratory culture</w:t>
            </w:r>
            <w:r>
              <w:rPr>
                <w:rFonts w:ascii="Helvetica" w:hAnsi="Helvetica"/>
                <w:b/>
                <w:sz w:val="20"/>
                <w:szCs w:val="20"/>
              </w:rPr>
              <w:br/>
            </w:r>
            <w:r w:rsidRPr="00744462">
              <w:rPr>
                <w:rFonts w:ascii="Helvetica" w:eastAsia="Times New Roman" w:hAnsi="Helvetica"/>
                <w:sz w:val="18"/>
                <w:szCs w:val="18"/>
                <w:lang w:eastAsia="en-GB"/>
              </w:rPr>
              <w:t>Sensitive</w:t>
            </w:r>
            <w:r>
              <w:rPr>
                <w:rFonts w:ascii="Helvetica" w:eastAsia="Times New Roman" w:hAnsi="Helvetica"/>
                <w:sz w:val="18"/>
                <w:szCs w:val="18"/>
                <w:lang w:eastAsia="en-GB"/>
              </w:rPr>
              <w:t xml:space="preserve">    </w:t>
            </w:r>
            <w:r w:rsidRPr="00744462">
              <w:rPr>
                <w:rFonts w:ascii="Helvetica" w:eastAsia="Times New Roman" w:hAnsi="Helvetica"/>
                <w:sz w:val="18"/>
                <w:szCs w:val="18"/>
                <w:lang w:eastAsia="en-GB"/>
              </w:rPr>
              <w:t>Resistant</w:t>
            </w:r>
            <w:r>
              <w:rPr>
                <w:rFonts w:ascii="Helvetica" w:eastAsia="Times New Roman" w:hAnsi="Helvetica"/>
                <w:sz w:val="18"/>
                <w:szCs w:val="18"/>
                <w:lang w:eastAsia="en-GB"/>
              </w:rPr>
              <w:t xml:space="preserve">     T</w:t>
            </w:r>
            <w:r w:rsidRPr="00744462">
              <w:rPr>
                <w:rFonts w:ascii="Helvetica" w:eastAsia="Times New Roman" w:hAnsi="Helvetica"/>
                <w:sz w:val="18"/>
                <w:szCs w:val="18"/>
                <w:lang w:eastAsia="en-GB"/>
              </w:rPr>
              <w:t>otal</w:t>
            </w:r>
          </w:p>
        </w:tc>
      </w:tr>
      <w:tr w:rsidR="00B81ED3" w14:paraId="45B97BCA" w14:textId="77777777" w:rsidTr="00DD674A">
        <w:trPr>
          <w:trHeight w:val="445"/>
          <w:tblHeader/>
        </w:trPr>
        <w:tc>
          <w:tcPr>
            <w:tcW w:w="1527" w:type="dxa"/>
            <w:tcBorders>
              <w:bottom w:val="single" w:sz="4" w:space="0" w:color="FFFFFF" w:themeColor="background1"/>
              <w:right w:val="single" w:sz="4" w:space="0" w:color="FFFFFF" w:themeColor="background1"/>
            </w:tcBorders>
          </w:tcPr>
          <w:p w14:paraId="7914869D" w14:textId="77777777" w:rsidR="00B81ED3" w:rsidRPr="008C150B" w:rsidRDefault="00B81ED3" w:rsidP="00514AD8">
            <w:pPr>
              <w:spacing w:after="0" w:line="240" w:lineRule="auto"/>
              <w:rPr>
                <w:rFonts w:ascii="Helvetica" w:hAnsi="Helvetica"/>
                <w:sz w:val="20"/>
                <w:szCs w:val="20"/>
              </w:rPr>
            </w:pPr>
            <w:r>
              <w:rPr>
                <w:rFonts w:ascii="Helvetica" w:hAnsi="Helvetica"/>
                <w:b/>
                <w:sz w:val="20"/>
                <w:szCs w:val="20"/>
              </w:rPr>
              <w:t>Flexicult</w:t>
            </w:r>
            <w:r>
              <w:rPr>
                <w:rFonts w:ascii="Helvetica" w:hAnsi="Helvetica"/>
                <w:b/>
                <w:sz w:val="20"/>
                <w:szCs w:val="20"/>
                <w:vertAlign w:val="superscript"/>
              </w:rPr>
              <w:t>TM</w:t>
            </w:r>
            <w:r>
              <w:rPr>
                <w:rFonts w:ascii="Helvetica" w:hAnsi="Helvetica"/>
                <w:b/>
                <w:sz w:val="20"/>
                <w:szCs w:val="20"/>
                <w:vertAlign w:val="superscript"/>
              </w:rPr>
              <w:br/>
            </w:r>
            <w:r>
              <w:rPr>
                <w:rFonts w:ascii="Helvetica" w:hAnsi="Helvetica"/>
                <w:sz w:val="20"/>
                <w:szCs w:val="20"/>
              </w:rPr>
              <w:t xml:space="preserve">     Sensitive</w:t>
            </w:r>
          </w:p>
        </w:tc>
        <w:tc>
          <w:tcPr>
            <w:tcW w:w="916" w:type="dxa"/>
            <w:tcBorders>
              <w:left w:val="single" w:sz="4" w:space="0" w:color="FFFFFF" w:themeColor="background1"/>
              <w:bottom w:val="single" w:sz="4" w:space="0" w:color="FFFFFF" w:themeColor="background1"/>
              <w:right w:val="single" w:sz="4" w:space="0" w:color="FFFFFF" w:themeColor="background1"/>
            </w:tcBorders>
          </w:tcPr>
          <w:p w14:paraId="237D262E" w14:textId="77777777" w:rsidR="00B81ED3" w:rsidRPr="00F36480" w:rsidRDefault="00B81ED3" w:rsidP="00514AD8">
            <w:pPr>
              <w:spacing w:after="0" w:line="240" w:lineRule="auto"/>
              <w:jc w:val="center"/>
              <w:rPr>
                <w:rFonts w:ascii="Helvetica" w:hAnsi="Helvetica"/>
                <w:sz w:val="20"/>
                <w:szCs w:val="20"/>
              </w:rPr>
            </w:pPr>
            <w:r w:rsidRPr="00744462">
              <w:rPr>
                <w:rFonts w:ascii="Helvetica" w:eastAsia="Times New Roman" w:hAnsi="Helvetica"/>
                <w:sz w:val="20"/>
                <w:szCs w:val="20"/>
                <w:lang w:eastAsia="en-GB"/>
              </w:rPr>
              <w:br/>
              <w:t>18</w:t>
            </w:r>
          </w:p>
        </w:tc>
        <w:tc>
          <w:tcPr>
            <w:tcW w:w="686" w:type="dxa"/>
            <w:tcBorders>
              <w:left w:val="single" w:sz="4" w:space="0" w:color="FFFFFF" w:themeColor="background1"/>
              <w:bottom w:val="single" w:sz="4" w:space="0" w:color="FFFFFF" w:themeColor="background1"/>
              <w:right w:val="single" w:sz="4" w:space="0" w:color="FFFFFF" w:themeColor="background1"/>
            </w:tcBorders>
          </w:tcPr>
          <w:p w14:paraId="132E70FB" w14:textId="77777777" w:rsidR="00B81ED3" w:rsidRPr="00F36480" w:rsidRDefault="00B81ED3" w:rsidP="00514AD8">
            <w:pPr>
              <w:spacing w:after="0" w:line="240" w:lineRule="auto"/>
              <w:jc w:val="center"/>
              <w:rPr>
                <w:rFonts w:ascii="Helvetica" w:hAnsi="Helvetica"/>
                <w:sz w:val="20"/>
                <w:szCs w:val="20"/>
              </w:rPr>
            </w:pPr>
            <w:r w:rsidRPr="00744462">
              <w:rPr>
                <w:rFonts w:ascii="Helvetica" w:eastAsia="Times New Roman" w:hAnsi="Helvetica"/>
                <w:sz w:val="20"/>
                <w:szCs w:val="20"/>
                <w:lang w:eastAsia="en-GB"/>
              </w:rPr>
              <w:br/>
              <w:t>0</w:t>
            </w:r>
          </w:p>
        </w:tc>
        <w:tc>
          <w:tcPr>
            <w:tcW w:w="1110" w:type="dxa"/>
            <w:tcBorders>
              <w:left w:val="single" w:sz="4" w:space="0" w:color="FFFFFF" w:themeColor="background1"/>
              <w:bottom w:val="single" w:sz="4" w:space="0" w:color="FFFFFF" w:themeColor="background1"/>
            </w:tcBorders>
          </w:tcPr>
          <w:p w14:paraId="77B0FE7C" w14:textId="77777777" w:rsidR="00B81ED3" w:rsidRPr="00F36480" w:rsidRDefault="00B81ED3" w:rsidP="00514AD8">
            <w:pPr>
              <w:spacing w:after="0" w:line="240" w:lineRule="auto"/>
              <w:jc w:val="center"/>
              <w:rPr>
                <w:rFonts w:ascii="Helvetica" w:hAnsi="Helvetica"/>
                <w:sz w:val="20"/>
                <w:szCs w:val="20"/>
              </w:rPr>
            </w:pPr>
            <w:r w:rsidRPr="00744462">
              <w:rPr>
                <w:rFonts w:ascii="Helvetica" w:eastAsia="Times New Roman" w:hAnsi="Helvetica"/>
                <w:sz w:val="20"/>
                <w:szCs w:val="20"/>
                <w:lang w:eastAsia="en-GB"/>
              </w:rPr>
              <w:br/>
              <w:t>18</w:t>
            </w:r>
          </w:p>
        </w:tc>
        <w:tc>
          <w:tcPr>
            <w:tcW w:w="449" w:type="dxa"/>
            <w:vMerge/>
            <w:tcBorders>
              <w:top w:val="nil"/>
              <w:right w:val="single" w:sz="4" w:space="0" w:color="000000" w:themeColor="text1"/>
            </w:tcBorders>
          </w:tcPr>
          <w:p w14:paraId="5C1FC8D1" w14:textId="77777777" w:rsidR="00B81ED3" w:rsidRPr="00F36480" w:rsidRDefault="00B81ED3" w:rsidP="00514AD8">
            <w:pPr>
              <w:spacing w:after="0" w:line="240" w:lineRule="auto"/>
              <w:jc w:val="center"/>
              <w:rPr>
                <w:rFonts w:ascii="Helvetica" w:hAnsi="Helvetica"/>
                <w:sz w:val="20"/>
                <w:szCs w:val="20"/>
              </w:rPr>
            </w:pPr>
          </w:p>
        </w:tc>
        <w:tc>
          <w:tcPr>
            <w:tcW w:w="1528" w:type="dxa"/>
            <w:tcBorders>
              <w:left w:val="single" w:sz="4" w:space="0" w:color="000000" w:themeColor="text1"/>
              <w:bottom w:val="single" w:sz="4" w:space="0" w:color="FFFFFF" w:themeColor="background1"/>
              <w:right w:val="single" w:sz="4" w:space="0" w:color="FFFFFF" w:themeColor="background1"/>
            </w:tcBorders>
          </w:tcPr>
          <w:p w14:paraId="4A67D7D0" w14:textId="77777777" w:rsidR="00B81ED3" w:rsidRPr="00F36480" w:rsidRDefault="00B81ED3" w:rsidP="00514AD8">
            <w:pPr>
              <w:spacing w:after="0" w:line="240" w:lineRule="auto"/>
              <w:jc w:val="center"/>
              <w:rPr>
                <w:rFonts w:ascii="Helvetica" w:hAnsi="Helvetica"/>
                <w:sz w:val="20"/>
                <w:szCs w:val="20"/>
              </w:rPr>
            </w:pPr>
            <w:r>
              <w:rPr>
                <w:rFonts w:ascii="Helvetica" w:hAnsi="Helvetica"/>
                <w:b/>
                <w:sz w:val="20"/>
                <w:szCs w:val="20"/>
              </w:rPr>
              <w:t>Flexicult</w:t>
            </w:r>
            <w:r>
              <w:rPr>
                <w:rFonts w:ascii="Helvetica" w:hAnsi="Helvetica"/>
                <w:b/>
                <w:sz w:val="20"/>
                <w:szCs w:val="20"/>
                <w:vertAlign w:val="superscript"/>
              </w:rPr>
              <w:t>TM</w:t>
            </w:r>
            <w:r>
              <w:rPr>
                <w:rFonts w:ascii="Helvetica" w:hAnsi="Helvetica"/>
                <w:b/>
                <w:sz w:val="20"/>
                <w:szCs w:val="20"/>
                <w:vertAlign w:val="superscript"/>
              </w:rPr>
              <w:br/>
            </w:r>
            <w:r>
              <w:rPr>
                <w:rFonts w:ascii="Helvetica" w:hAnsi="Helvetica"/>
                <w:sz w:val="20"/>
                <w:szCs w:val="20"/>
              </w:rPr>
              <w:t xml:space="preserve">     Sensitive</w:t>
            </w:r>
          </w:p>
        </w:tc>
        <w:tc>
          <w:tcPr>
            <w:tcW w:w="893" w:type="dxa"/>
            <w:tcBorders>
              <w:left w:val="single" w:sz="4" w:space="0" w:color="FFFFFF" w:themeColor="background1"/>
              <w:bottom w:val="single" w:sz="4" w:space="0" w:color="FFFFFF" w:themeColor="background1"/>
              <w:right w:val="single" w:sz="4" w:space="0" w:color="FFFFFF" w:themeColor="background1"/>
            </w:tcBorders>
          </w:tcPr>
          <w:p w14:paraId="0CCF10E5" w14:textId="77777777" w:rsidR="00B81ED3" w:rsidRDefault="00B81ED3" w:rsidP="00514AD8">
            <w:pPr>
              <w:spacing w:after="0" w:line="240" w:lineRule="auto"/>
              <w:jc w:val="center"/>
            </w:pPr>
            <w:r w:rsidRPr="00744462">
              <w:rPr>
                <w:rFonts w:ascii="Helvetica" w:eastAsia="Times New Roman" w:hAnsi="Helvetica"/>
                <w:sz w:val="20"/>
                <w:szCs w:val="20"/>
                <w:lang w:eastAsia="en-GB"/>
              </w:rPr>
              <w:br/>
              <w:t>17</w:t>
            </w:r>
          </w:p>
        </w:tc>
        <w:tc>
          <w:tcPr>
            <w:tcW w:w="734" w:type="dxa"/>
            <w:tcBorders>
              <w:left w:val="single" w:sz="4" w:space="0" w:color="FFFFFF" w:themeColor="background1"/>
              <w:bottom w:val="single" w:sz="4" w:space="0" w:color="FFFFFF" w:themeColor="background1"/>
              <w:right w:val="single" w:sz="4" w:space="0" w:color="FFFFFF" w:themeColor="background1"/>
            </w:tcBorders>
          </w:tcPr>
          <w:p w14:paraId="7EC7DBDB" w14:textId="77777777" w:rsidR="00B81ED3" w:rsidRDefault="00B81ED3" w:rsidP="00514AD8">
            <w:pPr>
              <w:spacing w:after="0" w:line="240" w:lineRule="auto"/>
              <w:jc w:val="center"/>
            </w:pPr>
            <w:r w:rsidRPr="00744462">
              <w:rPr>
                <w:rFonts w:ascii="Helvetica" w:eastAsia="Times New Roman" w:hAnsi="Helvetica"/>
                <w:sz w:val="20"/>
                <w:szCs w:val="20"/>
                <w:lang w:eastAsia="en-GB"/>
              </w:rPr>
              <w:br/>
              <w:t>0</w:t>
            </w:r>
          </w:p>
        </w:tc>
        <w:tc>
          <w:tcPr>
            <w:tcW w:w="1077" w:type="dxa"/>
            <w:tcBorders>
              <w:left w:val="single" w:sz="4" w:space="0" w:color="FFFFFF" w:themeColor="background1"/>
              <w:bottom w:val="single" w:sz="4" w:space="0" w:color="FFFFFF" w:themeColor="background1"/>
            </w:tcBorders>
          </w:tcPr>
          <w:p w14:paraId="544A6960" w14:textId="77777777" w:rsidR="00B81ED3" w:rsidRDefault="00B81ED3" w:rsidP="00514AD8">
            <w:pPr>
              <w:spacing w:after="0" w:line="240" w:lineRule="auto"/>
              <w:jc w:val="center"/>
            </w:pPr>
            <w:r w:rsidRPr="00744462">
              <w:rPr>
                <w:rFonts w:ascii="Helvetica" w:eastAsia="Times New Roman" w:hAnsi="Helvetica"/>
                <w:sz w:val="20"/>
                <w:szCs w:val="20"/>
                <w:lang w:eastAsia="en-GB"/>
              </w:rPr>
              <w:br/>
              <w:t>17</w:t>
            </w:r>
          </w:p>
        </w:tc>
      </w:tr>
      <w:tr w:rsidR="00DD674A" w14:paraId="57F1D5F5" w14:textId="77777777" w:rsidTr="00DD674A">
        <w:trPr>
          <w:trHeight w:hRule="exact" w:val="340"/>
        </w:trPr>
        <w:tc>
          <w:tcPr>
            <w:tcW w:w="1527" w:type="dxa"/>
            <w:tcBorders>
              <w:top w:val="single" w:sz="4" w:space="0" w:color="FFFFFF" w:themeColor="background1"/>
              <w:bottom w:val="single" w:sz="4" w:space="0" w:color="FFFFFF" w:themeColor="background1"/>
              <w:right w:val="single" w:sz="4" w:space="0" w:color="FFFFFF" w:themeColor="background1"/>
            </w:tcBorders>
            <w:vAlign w:val="bottom"/>
          </w:tcPr>
          <w:p w14:paraId="77CECE25" w14:textId="77777777" w:rsidR="00B81ED3" w:rsidRDefault="00B81ED3" w:rsidP="00514AD8">
            <w:r>
              <w:rPr>
                <w:rFonts w:ascii="Helvetica" w:hAnsi="Helvetica"/>
                <w:sz w:val="20"/>
                <w:szCs w:val="20"/>
              </w:rPr>
              <w:t xml:space="preserve">     Resistant</w:t>
            </w:r>
          </w:p>
        </w:tc>
        <w:tc>
          <w:tcPr>
            <w:tcW w:w="9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C75282" w14:textId="77777777" w:rsidR="00B81ED3" w:rsidRPr="00744462" w:rsidRDefault="00B81ED3" w:rsidP="00514AD8">
            <w:pPr>
              <w:spacing w:after="0" w:line="240" w:lineRule="auto"/>
              <w:jc w:val="center"/>
              <w:rPr>
                <w:rFonts w:ascii="Helvetica" w:eastAsia="Times New Roman" w:hAnsi="Helvetica"/>
                <w:sz w:val="18"/>
                <w:szCs w:val="18"/>
                <w:lang w:eastAsia="en-GB"/>
              </w:rPr>
            </w:pPr>
            <w:r w:rsidRPr="00744462">
              <w:rPr>
                <w:rFonts w:ascii="Helvetica" w:eastAsia="Times New Roman" w:hAnsi="Helvetica"/>
                <w:sz w:val="20"/>
                <w:szCs w:val="20"/>
                <w:lang w:eastAsia="en-GB"/>
              </w:rPr>
              <w:t>3</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B522D0" w14:textId="77777777" w:rsidR="00B81ED3" w:rsidRPr="00744462" w:rsidRDefault="00B81ED3" w:rsidP="00514AD8">
            <w:pPr>
              <w:spacing w:after="0" w:line="240" w:lineRule="auto"/>
              <w:jc w:val="center"/>
              <w:rPr>
                <w:rFonts w:ascii="Helvetica" w:eastAsia="Times New Roman" w:hAnsi="Helvetica"/>
                <w:sz w:val="18"/>
                <w:szCs w:val="18"/>
                <w:lang w:eastAsia="en-GB"/>
              </w:rPr>
            </w:pPr>
            <w:r w:rsidRPr="00744462">
              <w:rPr>
                <w:rFonts w:ascii="Helvetica" w:eastAsia="Times New Roman" w:hAnsi="Helvetica"/>
                <w:sz w:val="20"/>
                <w:szCs w:val="20"/>
                <w:lang w:eastAsia="en-GB"/>
              </w:rPr>
              <w:t>0</w:t>
            </w:r>
          </w:p>
        </w:tc>
        <w:tc>
          <w:tcPr>
            <w:tcW w:w="1110" w:type="dxa"/>
            <w:tcBorders>
              <w:top w:val="single" w:sz="4" w:space="0" w:color="FFFFFF" w:themeColor="background1"/>
              <w:left w:val="single" w:sz="4" w:space="0" w:color="FFFFFF" w:themeColor="background1"/>
              <w:bottom w:val="single" w:sz="4" w:space="0" w:color="FFFFFF" w:themeColor="background1"/>
            </w:tcBorders>
          </w:tcPr>
          <w:p w14:paraId="60055A61" w14:textId="77777777" w:rsidR="00B81ED3" w:rsidRPr="00744462" w:rsidRDefault="00B81ED3" w:rsidP="00514AD8">
            <w:pPr>
              <w:spacing w:after="0" w:line="240" w:lineRule="auto"/>
              <w:jc w:val="center"/>
              <w:rPr>
                <w:rFonts w:ascii="Helvetica" w:eastAsia="Times New Roman" w:hAnsi="Helvetica"/>
                <w:sz w:val="18"/>
                <w:szCs w:val="18"/>
                <w:lang w:eastAsia="en-GB"/>
              </w:rPr>
            </w:pPr>
            <w:r w:rsidRPr="00744462">
              <w:rPr>
                <w:rFonts w:ascii="Helvetica" w:eastAsia="Times New Roman" w:hAnsi="Helvetica"/>
                <w:sz w:val="20"/>
                <w:szCs w:val="20"/>
                <w:lang w:eastAsia="en-GB"/>
              </w:rPr>
              <w:t>3</w:t>
            </w:r>
          </w:p>
        </w:tc>
        <w:tc>
          <w:tcPr>
            <w:tcW w:w="449" w:type="dxa"/>
            <w:vMerge/>
            <w:tcBorders>
              <w:top w:val="nil"/>
              <w:right w:val="single" w:sz="4" w:space="0" w:color="000000" w:themeColor="text1"/>
            </w:tcBorders>
          </w:tcPr>
          <w:p w14:paraId="48692CC1" w14:textId="77777777" w:rsidR="00B81ED3" w:rsidRDefault="00B81ED3" w:rsidP="00514AD8">
            <w:pPr>
              <w:spacing w:after="0" w:line="240" w:lineRule="auto"/>
              <w:jc w:val="center"/>
              <w:rPr>
                <w:rFonts w:ascii="Helvetica" w:eastAsia="Times New Roman" w:hAnsi="Helvetica"/>
                <w:sz w:val="18"/>
                <w:szCs w:val="18"/>
                <w:lang w:eastAsia="en-GB"/>
              </w:rPr>
            </w:pPr>
          </w:p>
        </w:tc>
        <w:tc>
          <w:tcPr>
            <w:tcW w:w="1528"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14:paraId="05E6C913" w14:textId="77777777" w:rsidR="00B81ED3" w:rsidRDefault="00B81ED3" w:rsidP="00514AD8">
            <w:pPr>
              <w:spacing w:after="0" w:line="240" w:lineRule="auto"/>
              <w:jc w:val="center"/>
              <w:rPr>
                <w:rFonts w:ascii="Helvetica" w:eastAsia="Times New Roman" w:hAnsi="Helvetica"/>
                <w:sz w:val="18"/>
                <w:szCs w:val="18"/>
                <w:lang w:eastAsia="en-GB"/>
              </w:rPr>
            </w:pPr>
            <w:r>
              <w:rPr>
                <w:rFonts w:ascii="Helvetica" w:hAnsi="Helvetica"/>
                <w:sz w:val="20"/>
                <w:szCs w:val="20"/>
              </w:rPr>
              <w:t xml:space="preserve">     Resistant</w:t>
            </w:r>
          </w:p>
        </w:tc>
        <w:tc>
          <w:tcPr>
            <w:tcW w:w="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BC9308" w14:textId="77777777" w:rsidR="00B81ED3" w:rsidRDefault="00B81ED3" w:rsidP="00514AD8">
            <w:pPr>
              <w:spacing w:after="0" w:line="240" w:lineRule="auto"/>
              <w:jc w:val="center"/>
            </w:pPr>
            <w:r w:rsidRPr="00744462">
              <w:rPr>
                <w:rFonts w:ascii="Helvetica" w:eastAsia="Times New Roman" w:hAnsi="Helvetica"/>
                <w:sz w:val="20"/>
                <w:szCs w:val="20"/>
                <w:lang w:eastAsia="en-GB"/>
              </w:rPr>
              <w:t>3</w:t>
            </w:r>
          </w:p>
        </w:tc>
        <w:tc>
          <w:tcPr>
            <w:tcW w:w="7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614511" w14:textId="77777777" w:rsidR="00B81ED3" w:rsidRDefault="00B81ED3" w:rsidP="00514AD8">
            <w:pPr>
              <w:spacing w:after="0" w:line="240" w:lineRule="auto"/>
              <w:jc w:val="center"/>
            </w:pPr>
            <w:r w:rsidRPr="00744462">
              <w:rPr>
                <w:rFonts w:ascii="Helvetica" w:eastAsia="Times New Roman" w:hAnsi="Helvetica"/>
                <w:sz w:val="20"/>
                <w:szCs w:val="20"/>
                <w:lang w:eastAsia="en-GB"/>
              </w:rPr>
              <w:t>0</w:t>
            </w:r>
          </w:p>
        </w:tc>
        <w:tc>
          <w:tcPr>
            <w:tcW w:w="1077" w:type="dxa"/>
            <w:tcBorders>
              <w:top w:val="single" w:sz="4" w:space="0" w:color="FFFFFF" w:themeColor="background1"/>
              <w:left w:val="single" w:sz="4" w:space="0" w:color="FFFFFF" w:themeColor="background1"/>
              <w:bottom w:val="single" w:sz="4" w:space="0" w:color="FFFFFF" w:themeColor="background1"/>
            </w:tcBorders>
          </w:tcPr>
          <w:p w14:paraId="40A368A2" w14:textId="77777777" w:rsidR="00B81ED3" w:rsidRDefault="00B81ED3" w:rsidP="00514AD8">
            <w:pPr>
              <w:spacing w:after="0" w:line="240" w:lineRule="auto"/>
              <w:jc w:val="center"/>
            </w:pPr>
            <w:r w:rsidRPr="00744462">
              <w:rPr>
                <w:rFonts w:ascii="Helvetica" w:eastAsia="Times New Roman" w:hAnsi="Helvetica"/>
                <w:sz w:val="20"/>
                <w:szCs w:val="20"/>
                <w:lang w:eastAsia="en-GB"/>
              </w:rPr>
              <w:t>3</w:t>
            </w:r>
          </w:p>
        </w:tc>
      </w:tr>
      <w:tr w:rsidR="00B81ED3" w14:paraId="41BE7FD2" w14:textId="77777777" w:rsidTr="00DD674A">
        <w:trPr>
          <w:trHeight w:hRule="exact" w:val="340"/>
        </w:trPr>
        <w:tc>
          <w:tcPr>
            <w:tcW w:w="1527" w:type="dxa"/>
            <w:tcBorders>
              <w:top w:val="single" w:sz="4" w:space="0" w:color="FFFFFF" w:themeColor="background1"/>
              <w:right w:val="single" w:sz="4" w:space="0" w:color="FFFFFF" w:themeColor="background1"/>
            </w:tcBorders>
            <w:vAlign w:val="bottom"/>
          </w:tcPr>
          <w:p w14:paraId="73AA004D" w14:textId="77777777" w:rsidR="00B81ED3" w:rsidRDefault="00B81ED3" w:rsidP="00514AD8">
            <w:r>
              <w:rPr>
                <w:rFonts w:ascii="Helvetica" w:hAnsi="Helvetica"/>
                <w:sz w:val="20"/>
                <w:szCs w:val="20"/>
              </w:rPr>
              <w:t xml:space="preserve">     Total</w:t>
            </w:r>
          </w:p>
        </w:tc>
        <w:tc>
          <w:tcPr>
            <w:tcW w:w="916" w:type="dxa"/>
            <w:tcBorders>
              <w:top w:val="single" w:sz="4" w:space="0" w:color="FFFFFF" w:themeColor="background1"/>
              <w:left w:val="single" w:sz="4" w:space="0" w:color="FFFFFF" w:themeColor="background1"/>
              <w:right w:val="single" w:sz="4" w:space="0" w:color="FFFFFF" w:themeColor="background1"/>
            </w:tcBorders>
          </w:tcPr>
          <w:p w14:paraId="5BDA842E" w14:textId="77777777" w:rsidR="00B81ED3" w:rsidRPr="00744462" w:rsidRDefault="00B81ED3" w:rsidP="00514AD8">
            <w:pPr>
              <w:spacing w:after="0" w:line="240" w:lineRule="auto"/>
              <w:jc w:val="center"/>
              <w:rPr>
                <w:rFonts w:ascii="Helvetica" w:eastAsia="Times New Roman" w:hAnsi="Helvetica"/>
                <w:sz w:val="18"/>
                <w:szCs w:val="18"/>
                <w:lang w:eastAsia="en-GB"/>
              </w:rPr>
            </w:pPr>
            <w:r w:rsidRPr="00744462">
              <w:rPr>
                <w:rFonts w:ascii="Helvetica" w:eastAsia="Times New Roman" w:hAnsi="Helvetica"/>
                <w:sz w:val="20"/>
                <w:szCs w:val="20"/>
                <w:lang w:eastAsia="en-GB"/>
              </w:rPr>
              <w:t>21</w:t>
            </w:r>
          </w:p>
        </w:tc>
        <w:tc>
          <w:tcPr>
            <w:tcW w:w="686" w:type="dxa"/>
            <w:tcBorders>
              <w:top w:val="single" w:sz="4" w:space="0" w:color="FFFFFF" w:themeColor="background1"/>
              <w:left w:val="single" w:sz="4" w:space="0" w:color="FFFFFF" w:themeColor="background1"/>
              <w:right w:val="single" w:sz="4" w:space="0" w:color="FFFFFF" w:themeColor="background1"/>
            </w:tcBorders>
          </w:tcPr>
          <w:p w14:paraId="690DBC70" w14:textId="77777777" w:rsidR="00B81ED3" w:rsidRPr="00744462" w:rsidRDefault="00B81ED3" w:rsidP="00514AD8">
            <w:pPr>
              <w:spacing w:after="0" w:line="240" w:lineRule="auto"/>
              <w:jc w:val="center"/>
              <w:rPr>
                <w:rFonts w:ascii="Helvetica" w:eastAsia="Times New Roman" w:hAnsi="Helvetica"/>
                <w:sz w:val="18"/>
                <w:szCs w:val="18"/>
                <w:lang w:eastAsia="en-GB"/>
              </w:rPr>
            </w:pPr>
            <w:r w:rsidRPr="00744462">
              <w:rPr>
                <w:rFonts w:ascii="Helvetica" w:eastAsia="Times New Roman" w:hAnsi="Helvetica"/>
                <w:sz w:val="20"/>
                <w:szCs w:val="20"/>
                <w:lang w:eastAsia="en-GB"/>
              </w:rPr>
              <w:t>0</w:t>
            </w:r>
          </w:p>
        </w:tc>
        <w:tc>
          <w:tcPr>
            <w:tcW w:w="1110" w:type="dxa"/>
            <w:tcBorders>
              <w:top w:val="single" w:sz="4" w:space="0" w:color="FFFFFF" w:themeColor="background1"/>
              <w:left w:val="single" w:sz="4" w:space="0" w:color="FFFFFF" w:themeColor="background1"/>
            </w:tcBorders>
          </w:tcPr>
          <w:p w14:paraId="4F030BD3" w14:textId="77777777" w:rsidR="00B81ED3" w:rsidRPr="00744462" w:rsidRDefault="00B81ED3" w:rsidP="00514AD8">
            <w:pPr>
              <w:spacing w:after="0" w:line="240" w:lineRule="auto"/>
              <w:jc w:val="center"/>
              <w:rPr>
                <w:rFonts w:ascii="Helvetica" w:eastAsia="Times New Roman" w:hAnsi="Helvetica"/>
                <w:sz w:val="18"/>
                <w:szCs w:val="18"/>
                <w:lang w:eastAsia="en-GB"/>
              </w:rPr>
            </w:pPr>
            <w:r w:rsidRPr="00744462">
              <w:rPr>
                <w:rFonts w:ascii="Helvetica" w:eastAsia="Times New Roman" w:hAnsi="Helvetica"/>
                <w:sz w:val="20"/>
                <w:szCs w:val="20"/>
                <w:lang w:eastAsia="en-GB"/>
              </w:rPr>
              <w:t>21</w:t>
            </w:r>
          </w:p>
        </w:tc>
        <w:tc>
          <w:tcPr>
            <w:tcW w:w="449" w:type="dxa"/>
            <w:vMerge/>
            <w:tcBorders>
              <w:top w:val="nil"/>
              <w:right w:val="single" w:sz="4" w:space="0" w:color="000000" w:themeColor="text1"/>
            </w:tcBorders>
          </w:tcPr>
          <w:p w14:paraId="42E97026" w14:textId="77777777" w:rsidR="00B81ED3" w:rsidRDefault="00B81ED3" w:rsidP="00514AD8">
            <w:pPr>
              <w:spacing w:after="0" w:line="240" w:lineRule="auto"/>
              <w:jc w:val="center"/>
              <w:rPr>
                <w:rFonts w:ascii="Helvetica" w:eastAsia="Times New Roman" w:hAnsi="Helvetica"/>
                <w:sz w:val="18"/>
                <w:szCs w:val="18"/>
                <w:lang w:eastAsia="en-GB"/>
              </w:rPr>
            </w:pPr>
          </w:p>
        </w:tc>
        <w:tc>
          <w:tcPr>
            <w:tcW w:w="1528" w:type="dxa"/>
            <w:tcBorders>
              <w:top w:val="single" w:sz="4" w:space="0" w:color="FFFFFF" w:themeColor="background1"/>
              <w:left w:val="single" w:sz="4" w:space="0" w:color="000000" w:themeColor="text1"/>
              <w:right w:val="single" w:sz="4" w:space="0" w:color="FFFFFF" w:themeColor="background1"/>
            </w:tcBorders>
            <w:vAlign w:val="bottom"/>
          </w:tcPr>
          <w:p w14:paraId="10803B1F" w14:textId="77777777" w:rsidR="00B81ED3" w:rsidRDefault="00B81ED3" w:rsidP="00514AD8">
            <w:pPr>
              <w:spacing w:after="0" w:line="240" w:lineRule="auto"/>
              <w:jc w:val="center"/>
              <w:rPr>
                <w:rFonts w:ascii="Helvetica" w:eastAsia="Times New Roman" w:hAnsi="Helvetica"/>
                <w:sz w:val="18"/>
                <w:szCs w:val="18"/>
                <w:lang w:eastAsia="en-GB"/>
              </w:rPr>
            </w:pPr>
            <w:r>
              <w:rPr>
                <w:rFonts w:ascii="Helvetica" w:hAnsi="Helvetica"/>
                <w:sz w:val="20"/>
                <w:szCs w:val="20"/>
              </w:rPr>
              <w:t xml:space="preserve">     Total</w:t>
            </w:r>
          </w:p>
        </w:tc>
        <w:tc>
          <w:tcPr>
            <w:tcW w:w="893" w:type="dxa"/>
            <w:tcBorders>
              <w:top w:val="single" w:sz="4" w:space="0" w:color="FFFFFF" w:themeColor="background1"/>
              <w:left w:val="single" w:sz="4" w:space="0" w:color="FFFFFF" w:themeColor="background1"/>
              <w:right w:val="single" w:sz="4" w:space="0" w:color="FFFFFF" w:themeColor="background1"/>
            </w:tcBorders>
          </w:tcPr>
          <w:p w14:paraId="2268DB85" w14:textId="77777777" w:rsidR="00B81ED3" w:rsidRDefault="00B81ED3" w:rsidP="00514AD8">
            <w:pPr>
              <w:spacing w:after="0" w:line="240" w:lineRule="auto"/>
              <w:jc w:val="center"/>
            </w:pPr>
            <w:r w:rsidRPr="00744462">
              <w:rPr>
                <w:rFonts w:ascii="Helvetica" w:eastAsia="Times New Roman" w:hAnsi="Helvetica"/>
                <w:sz w:val="20"/>
                <w:szCs w:val="20"/>
                <w:lang w:eastAsia="en-GB"/>
              </w:rPr>
              <w:t>20</w:t>
            </w:r>
          </w:p>
        </w:tc>
        <w:tc>
          <w:tcPr>
            <w:tcW w:w="734" w:type="dxa"/>
            <w:tcBorders>
              <w:top w:val="single" w:sz="4" w:space="0" w:color="FFFFFF" w:themeColor="background1"/>
              <w:left w:val="single" w:sz="4" w:space="0" w:color="FFFFFF" w:themeColor="background1"/>
              <w:right w:val="single" w:sz="4" w:space="0" w:color="FFFFFF" w:themeColor="background1"/>
            </w:tcBorders>
          </w:tcPr>
          <w:p w14:paraId="2BBA4D31" w14:textId="77777777" w:rsidR="00B81ED3" w:rsidRDefault="00B81ED3" w:rsidP="00514AD8">
            <w:pPr>
              <w:spacing w:after="0" w:line="240" w:lineRule="auto"/>
              <w:jc w:val="center"/>
            </w:pPr>
            <w:r w:rsidRPr="00744462">
              <w:rPr>
                <w:rFonts w:ascii="Helvetica" w:eastAsia="Times New Roman" w:hAnsi="Helvetica"/>
                <w:sz w:val="20"/>
                <w:szCs w:val="20"/>
                <w:lang w:eastAsia="en-GB"/>
              </w:rPr>
              <w:t>0</w:t>
            </w:r>
          </w:p>
        </w:tc>
        <w:tc>
          <w:tcPr>
            <w:tcW w:w="1077" w:type="dxa"/>
            <w:tcBorders>
              <w:top w:val="single" w:sz="4" w:space="0" w:color="FFFFFF" w:themeColor="background1"/>
              <w:left w:val="single" w:sz="4" w:space="0" w:color="FFFFFF" w:themeColor="background1"/>
            </w:tcBorders>
          </w:tcPr>
          <w:p w14:paraId="25301C68" w14:textId="77777777" w:rsidR="00B81ED3" w:rsidRDefault="00B81ED3" w:rsidP="00514AD8">
            <w:pPr>
              <w:spacing w:after="0" w:line="240" w:lineRule="auto"/>
              <w:jc w:val="center"/>
            </w:pPr>
            <w:r w:rsidRPr="00744462">
              <w:rPr>
                <w:rFonts w:ascii="Helvetica" w:eastAsia="Times New Roman" w:hAnsi="Helvetica"/>
                <w:sz w:val="20"/>
                <w:szCs w:val="20"/>
                <w:lang w:eastAsia="en-GB"/>
              </w:rPr>
              <w:t>20</w:t>
            </w:r>
          </w:p>
        </w:tc>
      </w:tr>
      <w:tr w:rsidR="00B81ED3" w14:paraId="2469F179" w14:textId="77777777" w:rsidTr="00DD674A">
        <w:trPr>
          <w:trHeight w:hRule="exact" w:val="242"/>
        </w:trPr>
        <w:tc>
          <w:tcPr>
            <w:tcW w:w="2443" w:type="dxa"/>
            <w:gridSpan w:val="2"/>
            <w:tcBorders>
              <w:bottom w:val="single" w:sz="4" w:space="0" w:color="FFFFFF" w:themeColor="background1"/>
              <w:right w:val="single" w:sz="4" w:space="0" w:color="FFFFFF" w:themeColor="background1"/>
            </w:tcBorders>
          </w:tcPr>
          <w:p w14:paraId="443A846A" w14:textId="77777777" w:rsidR="00B81ED3" w:rsidRDefault="00B81ED3" w:rsidP="00514AD8">
            <w:pPr>
              <w:spacing w:after="0" w:line="240" w:lineRule="auto"/>
              <w:rPr>
                <w:rFonts w:ascii="Helvetica" w:eastAsia="Times New Roman" w:hAnsi="Helvetica"/>
                <w:sz w:val="18"/>
                <w:szCs w:val="18"/>
                <w:lang w:eastAsia="en-GB"/>
              </w:rPr>
            </w:pPr>
            <w:r w:rsidRPr="00744462">
              <w:rPr>
                <w:rFonts w:ascii="Helvetica" w:eastAsia="Times New Roman" w:hAnsi="Helvetica"/>
                <w:sz w:val="20"/>
                <w:szCs w:val="20"/>
                <w:lang w:eastAsia="en-GB"/>
              </w:rPr>
              <w:t>Resistance rate Lab</w:t>
            </w:r>
          </w:p>
        </w:tc>
        <w:tc>
          <w:tcPr>
            <w:tcW w:w="1796" w:type="dxa"/>
            <w:gridSpan w:val="2"/>
            <w:tcBorders>
              <w:left w:val="single" w:sz="4" w:space="0" w:color="FFFFFF" w:themeColor="background1"/>
              <w:bottom w:val="single" w:sz="4" w:space="0" w:color="FFFFFF" w:themeColor="background1"/>
            </w:tcBorders>
          </w:tcPr>
          <w:p w14:paraId="13F6AA48" w14:textId="77777777" w:rsidR="00B81ED3" w:rsidRDefault="00B81ED3" w:rsidP="00514AD8">
            <w:pPr>
              <w:spacing w:after="0" w:line="240" w:lineRule="auto"/>
              <w:rPr>
                <w:rFonts w:ascii="Helvetica" w:eastAsia="Times New Roman" w:hAnsi="Helvetica"/>
                <w:sz w:val="18"/>
                <w:szCs w:val="18"/>
                <w:lang w:eastAsia="en-GB"/>
              </w:rPr>
            </w:pPr>
            <w:r>
              <w:rPr>
                <w:rFonts w:ascii="Helvetica" w:eastAsia="Times New Roman" w:hAnsi="Helvetica"/>
                <w:sz w:val="18"/>
                <w:szCs w:val="18"/>
                <w:lang w:eastAsia="en-GB"/>
              </w:rPr>
              <w:t>0%</w:t>
            </w:r>
          </w:p>
        </w:tc>
        <w:tc>
          <w:tcPr>
            <w:tcW w:w="449" w:type="dxa"/>
            <w:vMerge/>
            <w:tcBorders>
              <w:top w:val="nil"/>
              <w:right w:val="single" w:sz="4" w:space="0" w:color="000000" w:themeColor="text1"/>
            </w:tcBorders>
          </w:tcPr>
          <w:p w14:paraId="78EF427A" w14:textId="77777777" w:rsidR="00B81ED3" w:rsidRDefault="00B81ED3" w:rsidP="00514AD8">
            <w:pPr>
              <w:spacing w:after="0" w:line="240" w:lineRule="auto"/>
              <w:rPr>
                <w:rFonts w:ascii="Helvetica" w:eastAsia="Times New Roman" w:hAnsi="Helvetica"/>
                <w:sz w:val="18"/>
                <w:szCs w:val="18"/>
                <w:lang w:eastAsia="en-GB"/>
              </w:rPr>
            </w:pPr>
          </w:p>
        </w:tc>
        <w:tc>
          <w:tcPr>
            <w:tcW w:w="2421" w:type="dxa"/>
            <w:gridSpan w:val="2"/>
            <w:tcBorders>
              <w:left w:val="single" w:sz="4" w:space="0" w:color="000000" w:themeColor="text1"/>
              <w:bottom w:val="single" w:sz="4" w:space="0" w:color="FFFFFF" w:themeColor="background1"/>
              <w:right w:val="single" w:sz="4" w:space="0" w:color="FFFFFF" w:themeColor="background1"/>
            </w:tcBorders>
          </w:tcPr>
          <w:p w14:paraId="0DD6369D" w14:textId="77777777" w:rsidR="00B81ED3" w:rsidRDefault="00B81ED3" w:rsidP="00514AD8">
            <w:pPr>
              <w:spacing w:after="0" w:line="240" w:lineRule="auto"/>
            </w:pPr>
            <w:r w:rsidRPr="00744462">
              <w:rPr>
                <w:rFonts w:ascii="Helvetica" w:eastAsia="Times New Roman" w:hAnsi="Helvetica"/>
                <w:sz w:val="20"/>
                <w:szCs w:val="20"/>
                <w:lang w:eastAsia="en-GB"/>
              </w:rPr>
              <w:t>Resistance rate Lab</w:t>
            </w:r>
          </w:p>
        </w:tc>
        <w:tc>
          <w:tcPr>
            <w:tcW w:w="1811" w:type="dxa"/>
            <w:gridSpan w:val="2"/>
            <w:tcBorders>
              <w:left w:val="single" w:sz="4" w:space="0" w:color="FFFFFF" w:themeColor="background1"/>
              <w:bottom w:val="single" w:sz="4" w:space="0" w:color="FFFFFF" w:themeColor="background1"/>
            </w:tcBorders>
          </w:tcPr>
          <w:p w14:paraId="6DF9D4E9" w14:textId="77777777" w:rsidR="00B81ED3" w:rsidRDefault="00B81ED3" w:rsidP="00514AD8">
            <w:pPr>
              <w:spacing w:after="0" w:line="240" w:lineRule="auto"/>
            </w:pPr>
            <w:r>
              <w:rPr>
                <w:rFonts w:ascii="Helvetica" w:eastAsia="Times New Roman" w:hAnsi="Helvetica"/>
                <w:sz w:val="18"/>
                <w:szCs w:val="18"/>
                <w:lang w:eastAsia="en-GB"/>
              </w:rPr>
              <w:t>0%</w:t>
            </w:r>
          </w:p>
        </w:tc>
      </w:tr>
      <w:tr w:rsidR="00B81ED3" w14:paraId="339B76A8" w14:textId="77777777" w:rsidTr="00DD674A">
        <w:trPr>
          <w:trHeight w:hRule="exact" w:val="242"/>
        </w:trPr>
        <w:tc>
          <w:tcPr>
            <w:tcW w:w="2443" w:type="dxa"/>
            <w:gridSpan w:val="2"/>
            <w:tcBorders>
              <w:top w:val="single" w:sz="4" w:space="0" w:color="FFFFFF" w:themeColor="background1"/>
              <w:bottom w:val="single" w:sz="4" w:space="0" w:color="FFFFFF" w:themeColor="background1"/>
              <w:right w:val="single" w:sz="4" w:space="0" w:color="FFFFFF" w:themeColor="background1"/>
            </w:tcBorders>
          </w:tcPr>
          <w:p w14:paraId="0F616821" w14:textId="77777777" w:rsidR="00B81ED3" w:rsidRDefault="00B81ED3" w:rsidP="00514AD8">
            <w:pPr>
              <w:spacing w:after="0" w:line="240" w:lineRule="auto"/>
              <w:rPr>
                <w:rFonts w:ascii="Helvetica" w:eastAsia="Times New Roman" w:hAnsi="Helvetica"/>
                <w:sz w:val="18"/>
                <w:szCs w:val="18"/>
                <w:lang w:eastAsia="en-GB"/>
              </w:rPr>
            </w:pPr>
            <w:r>
              <w:rPr>
                <w:rFonts w:ascii="Helvetica" w:eastAsia="Times New Roman" w:hAnsi="Helvetica"/>
                <w:sz w:val="20"/>
                <w:szCs w:val="20"/>
                <w:lang w:eastAsia="en-GB"/>
              </w:rPr>
              <w:t>Resistance rate Flex</w:t>
            </w:r>
          </w:p>
        </w:tc>
        <w:tc>
          <w:tcPr>
            <w:tcW w:w="1796" w:type="dxa"/>
            <w:gridSpan w:val="2"/>
            <w:tcBorders>
              <w:top w:val="single" w:sz="4" w:space="0" w:color="FFFFFF" w:themeColor="background1"/>
              <w:left w:val="single" w:sz="4" w:space="0" w:color="FFFFFF" w:themeColor="background1"/>
              <w:bottom w:val="single" w:sz="4" w:space="0" w:color="FFFFFF" w:themeColor="background1"/>
            </w:tcBorders>
          </w:tcPr>
          <w:p w14:paraId="26E4842B" w14:textId="77777777" w:rsidR="00B81ED3" w:rsidRPr="00EA7DFB" w:rsidRDefault="00B81ED3" w:rsidP="00514AD8">
            <w:pPr>
              <w:spacing w:after="0" w:line="240" w:lineRule="auto"/>
              <w:rPr>
                <w:rFonts w:ascii="Helvetica" w:eastAsia="Times New Roman" w:hAnsi="Helvetica"/>
                <w:i/>
                <w:sz w:val="18"/>
                <w:szCs w:val="18"/>
                <w:lang w:eastAsia="en-GB"/>
              </w:rPr>
            </w:pPr>
            <w:r>
              <w:rPr>
                <w:rFonts w:ascii="Helvetica" w:eastAsia="Times New Roman" w:hAnsi="Helvetica"/>
                <w:sz w:val="18"/>
                <w:szCs w:val="18"/>
                <w:lang w:eastAsia="en-GB"/>
              </w:rPr>
              <w:t xml:space="preserve">14% </w:t>
            </w:r>
          </w:p>
        </w:tc>
        <w:tc>
          <w:tcPr>
            <w:tcW w:w="449" w:type="dxa"/>
            <w:vMerge/>
            <w:tcBorders>
              <w:top w:val="nil"/>
              <w:bottom w:val="single" w:sz="4" w:space="0" w:color="FFFFFF" w:themeColor="background1"/>
              <w:right w:val="single" w:sz="4" w:space="0" w:color="000000" w:themeColor="text1"/>
            </w:tcBorders>
          </w:tcPr>
          <w:p w14:paraId="27AF38B8" w14:textId="77777777" w:rsidR="00B81ED3" w:rsidRDefault="00B81ED3" w:rsidP="00514AD8">
            <w:pPr>
              <w:spacing w:after="0" w:line="240" w:lineRule="auto"/>
              <w:rPr>
                <w:rFonts w:ascii="Helvetica" w:eastAsia="Times New Roman" w:hAnsi="Helvetica"/>
                <w:sz w:val="18"/>
                <w:szCs w:val="18"/>
                <w:lang w:eastAsia="en-GB"/>
              </w:rPr>
            </w:pPr>
          </w:p>
        </w:tc>
        <w:tc>
          <w:tcPr>
            <w:tcW w:w="2421"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81FAF2F" w14:textId="77777777" w:rsidR="00B81ED3" w:rsidRDefault="00B81ED3" w:rsidP="00514AD8">
            <w:pPr>
              <w:spacing w:after="0" w:line="240" w:lineRule="auto"/>
            </w:pPr>
            <w:r>
              <w:rPr>
                <w:rFonts w:ascii="Helvetica" w:eastAsia="Times New Roman" w:hAnsi="Helvetica"/>
                <w:sz w:val="20"/>
                <w:szCs w:val="20"/>
                <w:lang w:eastAsia="en-GB"/>
              </w:rPr>
              <w:t>Resistance rate Flex</w:t>
            </w:r>
          </w:p>
        </w:tc>
        <w:tc>
          <w:tcPr>
            <w:tcW w:w="1811" w:type="dxa"/>
            <w:gridSpan w:val="2"/>
            <w:tcBorders>
              <w:top w:val="single" w:sz="4" w:space="0" w:color="FFFFFF" w:themeColor="background1"/>
              <w:left w:val="single" w:sz="4" w:space="0" w:color="FFFFFF" w:themeColor="background1"/>
              <w:bottom w:val="single" w:sz="4" w:space="0" w:color="FFFFFF" w:themeColor="background1"/>
            </w:tcBorders>
          </w:tcPr>
          <w:p w14:paraId="4290445D" w14:textId="77777777" w:rsidR="00B81ED3" w:rsidRDefault="00B81ED3" w:rsidP="00514AD8">
            <w:pPr>
              <w:spacing w:after="0" w:line="240" w:lineRule="auto"/>
            </w:pPr>
            <w:r>
              <w:rPr>
                <w:rFonts w:ascii="Helvetica" w:eastAsia="Times New Roman" w:hAnsi="Helvetica"/>
                <w:sz w:val="18"/>
                <w:szCs w:val="18"/>
                <w:lang w:eastAsia="en-GB"/>
              </w:rPr>
              <w:t xml:space="preserve">15% </w:t>
            </w:r>
          </w:p>
        </w:tc>
      </w:tr>
      <w:tr w:rsidR="00B81ED3" w:rsidRPr="00AC05DD" w14:paraId="07F0E88D" w14:textId="77777777" w:rsidTr="00DD674A">
        <w:trPr>
          <w:trHeight w:hRule="exact" w:val="214"/>
        </w:trPr>
        <w:tc>
          <w:tcPr>
            <w:tcW w:w="2443" w:type="dxa"/>
            <w:gridSpan w:val="2"/>
            <w:tcBorders>
              <w:top w:val="single" w:sz="4" w:space="0" w:color="FFFFFF" w:themeColor="background1"/>
              <w:right w:val="single" w:sz="4" w:space="0" w:color="FFFFFF" w:themeColor="background1"/>
            </w:tcBorders>
          </w:tcPr>
          <w:p w14:paraId="6E23E0D2" w14:textId="77777777" w:rsidR="00B81ED3" w:rsidRDefault="00B81ED3" w:rsidP="00514AD8">
            <w:pPr>
              <w:spacing w:after="0" w:line="240" w:lineRule="auto"/>
              <w:rPr>
                <w:rFonts w:ascii="Helvetica" w:eastAsia="Times New Roman" w:hAnsi="Helvetica"/>
                <w:sz w:val="18"/>
                <w:szCs w:val="18"/>
                <w:lang w:eastAsia="en-GB"/>
              </w:rPr>
            </w:pPr>
            <w:r w:rsidRPr="00AC05DD">
              <w:rPr>
                <w:rFonts w:ascii="Helvetica" w:eastAsia="Times New Roman" w:hAnsi="Helvetica"/>
                <w:sz w:val="18"/>
                <w:szCs w:val="18"/>
                <w:lang w:eastAsia="en-GB"/>
              </w:rPr>
              <w:t>Statistical measurements</w:t>
            </w:r>
          </w:p>
        </w:tc>
        <w:tc>
          <w:tcPr>
            <w:tcW w:w="1796" w:type="dxa"/>
            <w:gridSpan w:val="2"/>
            <w:tcBorders>
              <w:top w:val="single" w:sz="4" w:space="0" w:color="FFFFFF" w:themeColor="background1"/>
              <w:left w:val="single" w:sz="4" w:space="0" w:color="FFFFFF" w:themeColor="background1"/>
            </w:tcBorders>
          </w:tcPr>
          <w:p w14:paraId="7174D7AA" w14:textId="77777777" w:rsidR="00B81ED3" w:rsidRDefault="00B81ED3" w:rsidP="00514AD8">
            <w:pPr>
              <w:spacing w:after="0" w:line="240" w:lineRule="auto"/>
              <w:rPr>
                <w:rFonts w:ascii="Helvetica" w:eastAsia="Times New Roman" w:hAnsi="Helvetica"/>
                <w:sz w:val="18"/>
                <w:szCs w:val="18"/>
                <w:lang w:eastAsia="en-GB"/>
              </w:rPr>
            </w:pPr>
            <w:r>
              <w:rPr>
                <w:rFonts w:ascii="Helvetica" w:eastAsia="Times New Roman" w:hAnsi="Helvetica"/>
                <w:sz w:val="18"/>
                <w:szCs w:val="18"/>
                <w:lang w:eastAsia="en-GB"/>
              </w:rPr>
              <w:t>-*</w:t>
            </w:r>
          </w:p>
        </w:tc>
        <w:tc>
          <w:tcPr>
            <w:tcW w:w="449" w:type="dxa"/>
            <w:tcBorders>
              <w:top w:val="single" w:sz="4" w:space="0" w:color="FFFFFF" w:themeColor="background1"/>
              <w:bottom w:val="single" w:sz="4" w:space="0" w:color="FFFFFF" w:themeColor="background1"/>
              <w:right w:val="single" w:sz="4" w:space="0" w:color="000000" w:themeColor="text1"/>
            </w:tcBorders>
          </w:tcPr>
          <w:p w14:paraId="2A828CDF" w14:textId="77777777" w:rsidR="00B81ED3" w:rsidRDefault="00B81ED3" w:rsidP="00514AD8">
            <w:pPr>
              <w:spacing w:after="0" w:line="240" w:lineRule="auto"/>
              <w:rPr>
                <w:rFonts w:ascii="Helvetica" w:eastAsia="Times New Roman" w:hAnsi="Helvetica"/>
                <w:sz w:val="18"/>
                <w:szCs w:val="18"/>
                <w:lang w:eastAsia="en-GB"/>
              </w:rPr>
            </w:pPr>
          </w:p>
        </w:tc>
        <w:tc>
          <w:tcPr>
            <w:tcW w:w="2421" w:type="dxa"/>
            <w:gridSpan w:val="2"/>
            <w:tcBorders>
              <w:top w:val="single" w:sz="4" w:space="0" w:color="FFFFFF" w:themeColor="background1"/>
              <w:left w:val="single" w:sz="4" w:space="0" w:color="000000" w:themeColor="text1"/>
              <w:right w:val="single" w:sz="4" w:space="0" w:color="FFFFFF" w:themeColor="background1"/>
            </w:tcBorders>
          </w:tcPr>
          <w:p w14:paraId="6D630114" w14:textId="77777777" w:rsidR="00B81ED3" w:rsidRDefault="00B81ED3" w:rsidP="00514AD8">
            <w:pPr>
              <w:spacing w:after="0" w:line="240" w:lineRule="auto"/>
            </w:pPr>
            <w:r w:rsidRPr="00AC05DD">
              <w:rPr>
                <w:rFonts w:ascii="Helvetica" w:eastAsia="Times New Roman" w:hAnsi="Helvetica"/>
                <w:sz w:val="18"/>
                <w:szCs w:val="18"/>
                <w:lang w:eastAsia="en-GB"/>
              </w:rPr>
              <w:t>Statistical measurements</w:t>
            </w:r>
          </w:p>
        </w:tc>
        <w:tc>
          <w:tcPr>
            <w:tcW w:w="1811" w:type="dxa"/>
            <w:gridSpan w:val="2"/>
            <w:tcBorders>
              <w:top w:val="single" w:sz="4" w:space="0" w:color="FFFFFF" w:themeColor="background1"/>
              <w:left w:val="single" w:sz="4" w:space="0" w:color="FFFFFF" w:themeColor="background1"/>
            </w:tcBorders>
          </w:tcPr>
          <w:p w14:paraId="0A2D53B4" w14:textId="77777777" w:rsidR="00B81ED3" w:rsidRPr="00AC05DD" w:rsidRDefault="00B81ED3" w:rsidP="00514AD8">
            <w:pPr>
              <w:spacing w:after="0" w:line="240" w:lineRule="auto"/>
              <w:rPr>
                <w:sz w:val="18"/>
                <w:szCs w:val="18"/>
              </w:rPr>
            </w:pPr>
            <w:r>
              <w:rPr>
                <w:rFonts w:ascii="Helvetica" w:eastAsia="Times New Roman" w:hAnsi="Helvetica"/>
                <w:sz w:val="18"/>
                <w:szCs w:val="18"/>
                <w:lang w:eastAsia="en-GB"/>
              </w:rPr>
              <w:t>-*</w:t>
            </w:r>
          </w:p>
        </w:tc>
      </w:tr>
    </w:tbl>
    <w:p w14:paraId="1F65EB15" w14:textId="77777777" w:rsidR="00B81ED3" w:rsidRPr="0091040C" w:rsidRDefault="00B81ED3" w:rsidP="00116427">
      <w:pPr>
        <w:spacing w:after="160" w:line="259" w:lineRule="auto"/>
        <w:rPr>
          <w:rFonts w:ascii="Helvetica" w:hAnsi="Helvetica"/>
          <w:b/>
          <w:sz w:val="20"/>
          <w:szCs w:val="20"/>
        </w:rPr>
      </w:pPr>
    </w:p>
    <w:p w14:paraId="120F2D5C" w14:textId="77777777" w:rsidR="004674E6" w:rsidRPr="004674E6" w:rsidRDefault="004674E6" w:rsidP="00B81ED3">
      <w:pPr>
        <w:framePr w:wrap="auto" w:vAnchor="page" w:hAnchor="page" w:x="1482" w:y="13505"/>
        <w:rPr>
          <w:rFonts w:ascii="Helvetica" w:hAnsi="Helvetica" w:cs="Times New Roman"/>
          <w:bCs/>
          <w:i/>
          <w:sz w:val="20"/>
          <w:szCs w:val="20"/>
          <w:lang w:val="en-US"/>
        </w:rPr>
      </w:pPr>
      <w:r w:rsidRPr="004674E6">
        <w:rPr>
          <w:rFonts w:ascii="Helvetica" w:hAnsi="Helvetica" w:cs="Times New Roman"/>
          <w:bCs/>
          <w:i/>
          <w:sz w:val="20"/>
          <w:szCs w:val="20"/>
          <w:lang w:val="en-US"/>
        </w:rPr>
        <w:t>Abbreviations: Lab, Laboratory; Flex, Flexicult</w:t>
      </w:r>
      <w:r w:rsidRPr="004674E6">
        <w:rPr>
          <w:rFonts w:ascii="Helvetica" w:hAnsi="Helvetica" w:cs="Times New Roman"/>
          <w:bCs/>
          <w:i/>
          <w:sz w:val="20"/>
          <w:szCs w:val="20"/>
          <w:vertAlign w:val="superscript"/>
          <w:lang w:val="en-US"/>
        </w:rPr>
        <w:t>TM</w:t>
      </w:r>
      <w:r w:rsidRPr="004674E6">
        <w:rPr>
          <w:rFonts w:ascii="Helvetica" w:hAnsi="Helvetica" w:cs="Times New Roman"/>
          <w:bCs/>
          <w:i/>
          <w:sz w:val="20"/>
          <w:szCs w:val="20"/>
          <w:lang w:val="en-US"/>
        </w:rPr>
        <w:t xml:space="preserve">; PPV, positive predictive value; NPV, negative predictive value, PABAK, Prevalence Adjusted Bias Adjust Kappa. * Due to no resistance rate in laboratory culture further statistics are not calculated.  </w:t>
      </w:r>
    </w:p>
    <w:p w14:paraId="6B4BD5E5" w14:textId="77777777" w:rsidR="00744462" w:rsidRPr="00744462" w:rsidRDefault="00744462" w:rsidP="00744462">
      <w:pPr>
        <w:spacing w:after="0"/>
        <w:rPr>
          <w:vanish/>
        </w:rPr>
      </w:pPr>
    </w:p>
    <w:p w14:paraId="5759AA3A" w14:textId="77777777" w:rsidR="00744462" w:rsidRPr="00744462" w:rsidRDefault="00744462" w:rsidP="00744462">
      <w:pPr>
        <w:spacing w:after="0"/>
        <w:rPr>
          <w:vanish/>
        </w:rPr>
      </w:pPr>
    </w:p>
    <w:p w14:paraId="25E44C9D" w14:textId="77777777" w:rsidR="00116427" w:rsidRPr="0091040C" w:rsidRDefault="00116427" w:rsidP="00116427">
      <w:pPr>
        <w:pStyle w:val="Bijschrift"/>
        <w:keepNext/>
        <w:rPr>
          <w:rFonts w:ascii="Helvetica" w:hAnsi="Helvetica"/>
          <w:color w:val="auto"/>
          <w:sz w:val="20"/>
          <w:szCs w:val="20"/>
        </w:rPr>
        <w:sectPr w:rsidR="00116427" w:rsidRPr="0091040C">
          <w:pgSz w:w="11906" w:h="16838"/>
          <w:pgMar w:top="1417" w:right="1417" w:bottom="1417" w:left="1417" w:header="708" w:footer="708" w:gutter="0"/>
          <w:cols w:space="708"/>
          <w:docGrid w:linePitch="360"/>
        </w:sectPr>
      </w:pPr>
    </w:p>
    <w:p w14:paraId="425BD8D5" w14:textId="5B93432C" w:rsidR="00116427" w:rsidRPr="0091040C" w:rsidRDefault="00F112E3" w:rsidP="00116427">
      <w:pPr>
        <w:pStyle w:val="Bijschrift"/>
        <w:keepNext/>
        <w:rPr>
          <w:rFonts w:ascii="Helvetica" w:hAnsi="Helvetica"/>
          <w:color w:val="auto"/>
          <w:sz w:val="20"/>
          <w:szCs w:val="20"/>
        </w:rPr>
      </w:pPr>
      <w:r>
        <w:rPr>
          <w:rFonts w:ascii="Helvetica" w:hAnsi="Helvetica"/>
          <w:color w:val="auto"/>
          <w:sz w:val="20"/>
          <w:szCs w:val="20"/>
        </w:rPr>
        <w:lastRenderedPageBreak/>
        <w:t xml:space="preserve">Table </w:t>
      </w:r>
      <w:r w:rsidR="00D022B0">
        <w:rPr>
          <w:rFonts w:ascii="Helvetica" w:hAnsi="Helvetica"/>
          <w:color w:val="auto"/>
          <w:sz w:val="20"/>
          <w:szCs w:val="20"/>
        </w:rPr>
        <w:t>3</w:t>
      </w:r>
      <w:r w:rsidR="00116427" w:rsidRPr="0091040C">
        <w:rPr>
          <w:rFonts w:ascii="Helvetica" w:hAnsi="Helvetica"/>
          <w:color w:val="auto"/>
          <w:sz w:val="20"/>
          <w:szCs w:val="20"/>
        </w:rPr>
        <w:t xml:space="preserve"> Cross tabulation of Flexicult</w:t>
      </w:r>
      <w:r w:rsidR="002822E2" w:rsidRPr="0091040C">
        <w:rPr>
          <w:rFonts w:ascii="Helvetica" w:hAnsi="Helvetica"/>
          <w:color w:val="auto"/>
          <w:sz w:val="20"/>
          <w:szCs w:val="20"/>
          <w:vertAlign w:val="superscript"/>
        </w:rPr>
        <w:t>TM</w:t>
      </w:r>
      <w:r w:rsidR="00116427" w:rsidRPr="0091040C">
        <w:rPr>
          <w:rFonts w:ascii="Helvetica" w:hAnsi="Helvetica"/>
          <w:color w:val="auto"/>
          <w:sz w:val="20"/>
          <w:szCs w:val="20"/>
        </w:rPr>
        <w:t xml:space="preserve"> versus laboratory cultures (with the different threshold</w:t>
      </w:r>
      <w:r w:rsidR="00CA5B43">
        <w:rPr>
          <w:rFonts w:ascii="Helvetica" w:hAnsi="Helvetica"/>
          <w:color w:val="auto"/>
          <w:sz w:val="20"/>
          <w:szCs w:val="20"/>
        </w:rPr>
        <w:t xml:space="preserve">s) in determining urinary tract infections (n=289). </w:t>
      </w:r>
      <w:r w:rsidR="00CA5B43">
        <w:rPr>
          <w:rFonts w:ascii="Helvetica" w:hAnsi="Helvetica"/>
          <w:color w:val="auto"/>
          <w:sz w:val="20"/>
          <w:szCs w:val="20"/>
        </w:rPr>
        <w:br/>
      </w:r>
      <w:r w:rsidR="00CA5B43" w:rsidRPr="00CA5B43">
        <w:rPr>
          <w:rFonts w:ascii="Helvetica" w:hAnsi="Helvetica"/>
          <w:b w:val="0"/>
          <w:i/>
          <w:color w:val="auto"/>
          <w:sz w:val="20"/>
          <w:szCs w:val="20"/>
        </w:rPr>
        <w:t>3</w:t>
      </w:r>
      <w:r w:rsidR="00116427" w:rsidRPr="00CA5B43">
        <w:rPr>
          <w:rFonts w:ascii="Helvetica" w:hAnsi="Helvetica"/>
          <w:b w:val="0"/>
          <w:i/>
          <w:color w:val="auto"/>
          <w:sz w:val="20"/>
          <w:szCs w:val="20"/>
        </w:rPr>
        <w:t>A Flexicult</w:t>
      </w:r>
      <w:r w:rsidR="00116427" w:rsidRPr="00CA5B43">
        <w:rPr>
          <w:rFonts w:ascii="Helvetica" w:hAnsi="Helvetica"/>
          <w:b w:val="0"/>
          <w:i/>
          <w:color w:val="auto"/>
          <w:sz w:val="20"/>
          <w:szCs w:val="20"/>
          <w:vertAlign w:val="superscript"/>
        </w:rPr>
        <w:t xml:space="preserve">TM </w:t>
      </w:r>
      <w:r w:rsidR="00116427" w:rsidRPr="00CA5B43">
        <w:rPr>
          <w:rFonts w:ascii="Helvetica" w:hAnsi="Helvetica"/>
          <w:b w:val="0"/>
          <w:i/>
          <w:color w:val="auto"/>
          <w:sz w:val="20"/>
          <w:szCs w:val="20"/>
        </w:rPr>
        <w:t>versus EU</w:t>
      </w:r>
      <w:r w:rsidR="00CA5B43" w:rsidRPr="00CA5B43">
        <w:rPr>
          <w:rFonts w:ascii="Helvetica" w:hAnsi="Helvetica"/>
          <w:b w:val="0"/>
          <w:i/>
          <w:color w:val="auto"/>
          <w:sz w:val="20"/>
          <w:szCs w:val="20"/>
        </w:rPr>
        <w:t xml:space="preserve">CAST &gt;10e3 definition of </w:t>
      </w:r>
      <w:proofErr w:type="gramStart"/>
      <w:r w:rsidR="00CA5B43" w:rsidRPr="00CA5B43">
        <w:rPr>
          <w:rFonts w:ascii="Helvetica" w:hAnsi="Helvetica"/>
          <w:b w:val="0"/>
          <w:i/>
          <w:color w:val="auto"/>
          <w:sz w:val="20"/>
          <w:szCs w:val="20"/>
        </w:rPr>
        <w:t>UTI;  3</w:t>
      </w:r>
      <w:proofErr w:type="gramEnd"/>
      <w:r w:rsidR="00CA5B43" w:rsidRPr="00CA5B43">
        <w:rPr>
          <w:rFonts w:ascii="Helvetica" w:hAnsi="Helvetica"/>
          <w:b w:val="0"/>
          <w:i/>
          <w:color w:val="auto"/>
          <w:sz w:val="20"/>
          <w:szCs w:val="20"/>
        </w:rPr>
        <w:t>B</w:t>
      </w:r>
      <w:r w:rsidR="00116427" w:rsidRPr="00CA5B43">
        <w:rPr>
          <w:rFonts w:ascii="Helvetica" w:hAnsi="Helvetica"/>
          <w:b w:val="0"/>
          <w:i/>
          <w:color w:val="auto"/>
          <w:sz w:val="20"/>
          <w:szCs w:val="20"/>
        </w:rPr>
        <w:t xml:space="preserve"> Flexicult</w:t>
      </w:r>
      <w:r w:rsidR="00116427" w:rsidRPr="00CA5B43">
        <w:rPr>
          <w:rFonts w:ascii="Helvetica" w:hAnsi="Helvetica"/>
          <w:b w:val="0"/>
          <w:i/>
          <w:color w:val="auto"/>
          <w:sz w:val="20"/>
          <w:szCs w:val="20"/>
          <w:vertAlign w:val="superscript"/>
        </w:rPr>
        <w:t xml:space="preserve">TM </w:t>
      </w:r>
      <w:r w:rsidR="00116427" w:rsidRPr="00CA5B43">
        <w:rPr>
          <w:rFonts w:ascii="Helvetica" w:hAnsi="Helvetica"/>
          <w:b w:val="0"/>
          <w:i/>
          <w:color w:val="auto"/>
          <w:sz w:val="20"/>
          <w:szCs w:val="20"/>
        </w:rPr>
        <w:t>versus PHE/HPA definition of UT</w:t>
      </w:r>
      <w:r w:rsidR="00CA5B43" w:rsidRPr="00CA5B43">
        <w:rPr>
          <w:rFonts w:ascii="Helvetica" w:hAnsi="Helvetica"/>
          <w:b w:val="0"/>
          <w:i/>
          <w:color w:val="auto"/>
          <w:sz w:val="20"/>
          <w:szCs w:val="20"/>
        </w:rPr>
        <w:t>I; 3C</w:t>
      </w:r>
      <w:r w:rsidR="00116427" w:rsidRPr="00CA5B43">
        <w:rPr>
          <w:rFonts w:ascii="Helvetica" w:hAnsi="Helvetica"/>
          <w:b w:val="0"/>
          <w:i/>
          <w:color w:val="auto"/>
          <w:sz w:val="20"/>
          <w:szCs w:val="20"/>
        </w:rPr>
        <w:t xml:space="preserve"> Flexicult</w:t>
      </w:r>
      <w:r w:rsidR="00116427" w:rsidRPr="00CA5B43">
        <w:rPr>
          <w:rFonts w:ascii="Helvetica" w:hAnsi="Helvetica"/>
          <w:b w:val="0"/>
          <w:i/>
          <w:color w:val="auto"/>
          <w:sz w:val="20"/>
          <w:szCs w:val="20"/>
          <w:vertAlign w:val="superscript"/>
        </w:rPr>
        <w:t xml:space="preserve">TM </w:t>
      </w:r>
      <w:r w:rsidR="00116427" w:rsidRPr="00CA5B43">
        <w:rPr>
          <w:rFonts w:ascii="Helvetica" w:hAnsi="Helvetica"/>
          <w:b w:val="0"/>
          <w:i/>
          <w:color w:val="auto"/>
          <w:sz w:val="20"/>
          <w:szCs w:val="20"/>
        </w:rPr>
        <w:t>versus UK laboratory definition of UTI.</w:t>
      </w:r>
    </w:p>
    <w:p w14:paraId="589A4D40" w14:textId="0DC49367" w:rsidR="00116427" w:rsidRPr="0091040C" w:rsidRDefault="00116427" w:rsidP="00116427">
      <w:pPr>
        <w:rPr>
          <w:rFonts w:ascii="Helvetica" w:hAnsi="Helvetica"/>
          <w:sz w:val="20"/>
          <w:szCs w:val="20"/>
        </w:rPr>
      </w:pPr>
    </w:p>
    <w:p w14:paraId="32928357" w14:textId="3DA2D7D3" w:rsidR="00116427" w:rsidRPr="0091040C" w:rsidRDefault="00116427" w:rsidP="00116427">
      <w:pPr>
        <w:rPr>
          <w:rFonts w:ascii="Helvetica" w:hAnsi="Helvetica"/>
          <w:sz w:val="20"/>
          <w:szCs w:val="20"/>
        </w:rPr>
      </w:pPr>
    </w:p>
    <w:tbl>
      <w:tblPr>
        <w:tblpPr w:leftFromText="180" w:rightFromText="180" w:vertAnchor="text" w:horzAnchor="page" w:tblpX="1920" w:tblpY="-6"/>
        <w:tblOverlap w:val="never"/>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45"/>
        <w:gridCol w:w="647"/>
        <w:gridCol w:w="851"/>
        <w:gridCol w:w="708"/>
      </w:tblGrid>
      <w:tr w:rsidR="00DD77E9" w:rsidRPr="00744462" w14:paraId="1255DA62" w14:textId="77777777" w:rsidTr="002F324A">
        <w:trPr>
          <w:trHeight w:val="318"/>
        </w:trPr>
        <w:tc>
          <w:tcPr>
            <w:tcW w:w="1413" w:type="dxa"/>
            <w:vMerge w:val="restart"/>
            <w:tcBorders>
              <w:top w:val="single" w:sz="4" w:space="0" w:color="auto"/>
              <w:left w:val="single" w:sz="4" w:space="0" w:color="auto"/>
              <w:bottom w:val="single" w:sz="4" w:space="0" w:color="auto"/>
              <w:right w:val="nil"/>
            </w:tcBorders>
            <w:shd w:val="clear" w:color="auto" w:fill="auto"/>
            <w:hideMark/>
          </w:tcPr>
          <w:p w14:paraId="39C57A72" w14:textId="5D3675CC" w:rsidR="00116427" w:rsidRPr="00744462" w:rsidRDefault="00DD77E9" w:rsidP="002F324A">
            <w:pPr>
              <w:spacing w:after="0" w:line="240" w:lineRule="auto"/>
              <w:rPr>
                <w:rFonts w:ascii="Helvetica" w:eastAsia="Times New Roman" w:hAnsi="Helvetica"/>
                <w:sz w:val="20"/>
                <w:szCs w:val="20"/>
                <w:lang w:eastAsia="en-GB"/>
              </w:rPr>
            </w:pPr>
            <w:r>
              <w:rPr>
                <w:rFonts w:ascii="Helvetica" w:hAnsi="Helvetica"/>
                <w:b/>
                <w:sz w:val="20"/>
                <w:szCs w:val="20"/>
              </w:rPr>
              <w:t xml:space="preserve">UTI </w:t>
            </w:r>
            <w:r w:rsidR="00116427" w:rsidRPr="00744462">
              <w:rPr>
                <w:rFonts w:ascii="Helvetica" w:hAnsi="Helvetica"/>
                <w:b/>
                <w:sz w:val="20"/>
                <w:szCs w:val="20"/>
              </w:rPr>
              <w:t>Yes/No</w:t>
            </w:r>
            <w:r w:rsidR="00116427" w:rsidRPr="00744462">
              <w:rPr>
                <w:rFonts w:ascii="Helvetica" w:hAnsi="Helvetica"/>
                <w:b/>
                <w:sz w:val="20"/>
                <w:szCs w:val="20"/>
              </w:rPr>
              <w:br/>
              <w:t>n=289</w:t>
            </w:r>
          </w:p>
        </w:tc>
        <w:tc>
          <w:tcPr>
            <w:tcW w:w="2551" w:type="dxa"/>
            <w:gridSpan w:val="4"/>
            <w:tcBorders>
              <w:top w:val="single" w:sz="4" w:space="0" w:color="auto"/>
              <w:left w:val="nil"/>
              <w:bottom w:val="nil"/>
              <w:right w:val="single" w:sz="4" w:space="0" w:color="auto"/>
            </w:tcBorders>
            <w:shd w:val="clear" w:color="auto" w:fill="auto"/>
            <w:hideMark/>
          </w:tcPr>
          <w:p w14:paraId="67F73915"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hAnsi="Helvetica"/>
                <w:b/>
                <w:sz w:val="20"/>
                <w:szCs w:val="20"/>
              </w:rPr>
              <w:t>European &gt;10</w:t>
            </w:r>
            <w:r w:rsidRPr="00744462">
              <w:rPr>
                <w:rFonts w:ascii="Helvetica" w:hAnsi="Helvetica"/>
                <w:b/>
                <w:sz w:val="20"/>
                <w:szCs w:val="20"/>
                <w:vertAlign w:val="superscript"/>
              </w:rPr>
              <w:t>e</w:t>
            </w:r>
            <w:r w:rsidRPr="00744462">
              <w:rPr>
                <w:rFonts w:ascii="Helvetica" w:hAnsi="Helvetica"/>
                <w:b/>
                <w:sz w:val="20"/>
                <w:szCs w:val="20"/>
              </w:rPr>
              <w:t>3 definition</w:t>
            </w:r>
          </w:p>
        </w:tc>
      </w:tr>
      <w:tr w:rsidR="00F64918" w:rsidRPr="00744462" w14:paraId="0661BEEE" w14:textId="77777777" w:rsidTr="002F324A">
        <w:trPr>
          <w:trHeight w:val="328"/>
        </w:trPr>
        <w:tc>
          <w:tcPr>
            <w:tcW w:w="1413" w:type="dxa"/>
            <w:vMerge/>
            <w:tcBorders>
              <w:top w:val="single" w:sz="4" w:space="0" w:color="auto"/>
              <w:left w:val="single" w:sz="4" w:space="0" w:color="auto"/>
              <w:bottom w:val="single" w:sz="4" w:space="0" w:color="auto"/>
              <w:right w:val="nil"/>
            </w:tcBorders>
            <w:shd w:val="clear" w:color="auto" w:fill="auto"/>
            <w:vAlign w:val="center"/>
            <w:hideMark/>
          </w:tcPr>
          <w:p w14:paraId="02A7AFD5" w14:textId="77777777" w:rsidR="00116427" w:rsidRPr="00744462" w:rsidRDefault="00116427" w:rsidP="002F324A">
            <w:pPr>
              <w:spacing w:after="0" w:line="240" w:lineRule="auto"/>
              <w:rPr>
                <w:rFonts w:ascii="Helvetica" w:eastAsia="Times New Roman" w:hAnsi="Helvetica" w:cs="Times New Roman"/>
                <w:sz w:val="20"/>
                <w:szCs w:val="20"/>
                <w:lang w:val="nl-NL" w:eastAsia="en-GB"/>
              </w:rPr>
            </w:pPr>
          </w:p>
        </w:tc>
        <w:tc>
          <w:tcPr>
            <w:tcW w:w="992" w:type="dxa"/>
            <w:gridSpan w:val="2"/>
            <w:tcBorders>
              <w:top w:val="nil"/>
              <w:left w:val="nil"/>
              <w:bottom w:val="single" w:sz="4" w:space="0" w:color="auto"/>
              <w:right w:val="nil"/>
            </w:tcBorders>
            <w:shd w:val="clear" w:color="auto" w:fill="auto"/>
            <w:hideMark/>
          </w:tcPr>
          <w:p w14:paraId="761123C4"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Yes UTI</w:t>
            </w:r>
          </w:p>
        </w:tc>
        <w:tc>
          <w:tcPr>
            <w:tcW w:w="851" w:type="dxa"/>
            <w:tcBorders>
              <w:top w:val="nil"/>
              <w:left w:val="nil"/>
              <w:bottom w:val="single" w:sz="4" w:space="0" w:color="auto"/>
              <w:right w:val="nil"/>
            </w:tcBorders>
            <w:shd w:val="clear" w:color="auto" w:fill="auto"/>
            <w:hideMark/>
          </w:tcPr>
          <w:p w14:paraId="0A96088D" w14:textId="41DD77E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No UTI</w:t>
            </w:r>
          </w:p>
        </w:tc>
        <w:tc>
          <w:tcPr>
            <w:tcW w:w="708" w:type="dxa"/>
            <w:tcBorders>
              <w:top w:val="nil"/>
              <w:left w:val="nil"/>
              <w:bottom w:val="single" w:sz="4" w:space="0" w:color="auto"/>
              <w:right w:val="single" w:sz="4" w:space="0" w:color="auto"/>
            </w:tcBorders>
            <w:shd w:val="clear" w:color="auto" w:fill="auto"/>
            <w:hideMark/>
          </w:tcPr>
          <w:p w14:paraId="38D2B475" w14:textId="0B79DCA0" w:rsidR="00116427" w:rsidRPr="00744462" w:rsidRDefault="00621302" w:rsidP="002F324A">
            <w:pPr>
              <w:spacing w:after="0" w:line="240" w:lineRule="auto"/>
              <w:rPr>
                <w:rFonts w:ascii="Helvetica" w:eastAsia="Times New Roman" w:hAnsi="Helvetica"/>
                <w:sz w:val="20"/>
                <w:szCs w:val="20"/>
                <w:lang w:eastAsia="en-GB"/>
              </w:rPr>
            </w:pPr>
            <w:r>
              <w:rPr>
                <w:rFonts w:ascii="Helvetica" w:eastAsia="Times New Roman" w:hAnsi="Helvetica"/>
                <w:sz w:val="20"/>
                <w:szCs w:val="20"/>
                <w:lang w:eastAsia="en-GB"/>
              </w:rPr>
              <w:t>T</w:t>
            </w:r>
            <w:r w:rsidR="00116427" w:rsidRPr="00744462">
              <w:rPr>
                <w:rFonts w:ascii="Helvetica" w:eastAsia="Times New Roman" w:hAnsi="Helvetica"/>
                <w:sz w:val="20"/>
                <w:szCs w:val="20"/>
                <w:lang w:eastAsia="en-GB"/>
              </w:rPr>
              <w:t>otal</w:t>
            </w:r>
          </w:p>
        </w:tc>
      </w:tr>
      <w:tr w:rsidR="00F64918" w:rsidRPr="00744462" w14:paraId="185A2885" w14:textId="77777777" w:rsidTr="002F324A">
        <w:tc>
          <w:tcPr>
            <w:tcW w:w="1413" w:type="dxa"/>
            <w:tcBorders>
              <w:top w:val="single" w:sz="4" w:space="0" w:color="auto"/>
              <w:left w:val="single" w:sz="4" w:space="0" w:color="auto"/>
              <w:bottom w:val="nil"/>
              <w:right w:val="nil"/>
            </w:tcBorders>
            <w:shd w:val="clear" w:color="auto" w:fill="auto"/>
            <w:hideMark/>
          </w:tcPr>
          <w:p w14:paraId="6EE65C71" w14:textId="2F3C8BB0"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hAnsi="Helvetica"/>
                <w:b/>
                <w:sz w:val="20"/>
                <w:szCs w:val="20"/>
              </w:rPr>
              <w:t>Flexicult</w:t>
            </w:r>
            <w:r w:rsidRPr="00744462">
              <w:rPr>
                <w:rFonts w:ascii="Helvetica" w:hAnsi="Helvetica"/>
                <w:b/>
                <w:sz w:val="20"/>
                <w:szCs w:val="20"/>
                <w:vertAlign w:val="superscript"/>
              </w:rPr>
              <w:t>TM</w:t>
            </w:r>
            <w:r w:rsidRPr="00744462">
              <w:rPr>
                <w:rFonts w:ascii="Helvetica" w:hAnsi="Helvetica"/>
                <w:b/>
                <w:sz w:val="20"/>
                <w:szCs w:val="20"/>
                <w:vertAlign w:val="superscript"/>
              </w:rPr>
              <w:br/>
            </w:r>
            <w:r w:rsidRPr="00744462">
              <w:rPr>
                <w:rFonts w:ascii="Helvetica" w:hAnsi="Helvetica"/>
                <w:sz w:val="20"/>
                <w:szCs w:val="20"/>
              </w:rPr>
              <w:t>Yes UTI</w:t>
            </w:r>
          </w:p>
        </w:tc>
        <w:tc>
          <w:tcPr>
            <w:tcW w:w="992" w:type="dxa"/>
            <w:gridSpan w:val="2"/>
            <w:tcBorders>
              <w:top w:val="single" w:sz="4" w:space="0" w:color="auto"/>
              <w:left w:val="nil"/>
              <w:bottom w:val="nil"/>
              <w:right w:val="nil"/>
            </w:tcBorders>
            <w:shd w:val="clear" w:color="auto" w:fill="auto"/>
            <w:hideMark/>
          </w:tcPr>
          <w:p w14:paraId="16754CCB" w14:textId="4434713A" w:rsidR="00116427" w:rsidRPr="00744462" w:rsidRDefault="00116427" w:rsidP="002F324A">
            <w:pPr>
              <w:spacing w:after="0" w:line="240" w:lineRule="auto"/>
              <w:jc w:val="center"/>
              <w:rPr>
                <w:rFonts w:ascii="Helvetica" w:eastAsia="Times New Roman" w:hAnsi="Helvetica"/>
                <w:sz w:val="20"/>
                <w:szCs w:val="20"/>
                <w:lang w:eastAsia="en-GB"/>
              </w:rPr>
            </w:pPr>
            <w:r w:rsidRPr="00744462">
              <w:rPr>
                <w:rFonts w:ascii="Helvetica" w:eastAsia="Times New Roman" w:hAnsi="Helvetica"/>
                <w:sz w:val="20"/>
                <w:szCs w:val="20"/>
                <w:lang w:eastAsia="en-GB"/>
              </w:rPr>
              <w:br/>
              <w:t xml:space="preserve">140 </w:t>
            </w:r>
            <w:r w:rsidR="00DA7AAA">
              <w:rPr>
                <w:rFonts w:ascii="Helvetica" w:eastAsia="Times New Roman" w:hAnsi="Helvetica"/>
                <w:sz w:val="20"/>
                <w:szCs w:val="20"/>
                <w:lang w:eastAsia="en-GB"/>
              </w:rPr>
              <w:t>(</w:t>
            </w:r>
            <w:r w:rsidRPr="00744462">
              <w:rPr>
                <w:rFonts w:ascii="Helvetica" w:eastAsia="Times New Roman" w:hAnsi="Helvetica"/>
                <w:sz w:val="20"/>
                <w:szCs w:val="20"/>
                <w:lang w:eastAsia="en-GB"/>
              </w:rPr>
              <w:t>48%)</w:t>
            </w:r>
          </w:p>
        </w:tc>
        <w:tc>
          <w:tcPr>
            <w:tcW w:w="851" w:type="dxa"/>
            <w:tcBorders>
              <w:top w:val="single" w:sz="4" w:space="0" w:color="auto"/>
              <w:left w:val="nil"/>
              <w:bottom w:val="nil"/>
              <w:right w:val="nil"/>
            </w:tcBorders>
            <w:shd w:val="clear" w:color="auto" w:fill="auto"/>
            <w:hideMark/>
          </w:tcPr>
          <w:p w14:paraId="2D0FD765" w14:textId="77777777" w:rsidR="00116427" w:rsidRPr="00744462" w:rsidRDefault="00116427" w:rsidP="002F324A">
            <w:pPr>
              <w:spacing w:after="0" w:line="240" w:lineRule="auto"/>
              <w:jc w:val="center"/>
              <w:rPr>
                <w:rFonts w:ascii="Helvetica" w:eastAsia="Times New Roman" w:hAnsi="Helvetica"/>
                <w:b/>
                <w:sz w:val="20"/>
                <w:szCs w:val="20"/>
                <w:lang w:eastAsia="en-GB"/>
              </w:rPr>
            </w:pPr>
            <w:r w:rsidRPr="00744462">
              <w:rPr>
                <w:rFonts w:ascii="Helvetica" w:eastAsia="Times New Roman" w:hAnsi="Helvetica"/>
                <w:sz w:val="20"/>
                <w:szCs w:val="20"/>
                <w:lang w:eastAsia="en-GB"/>
              </w:rPr>
              <w:br/>
            </w:r>
            <w:r w:rsidRPr="00744462">
              <w:rPr>
                <w:rFonts w:ascii="Helvetica" w:eastAsia="Times New Roman" w:hAnsi="Helvetica"/>
                <w:b/>
                <w:sz w:val="20"/>
                <w:szCs w:val="20"/>
                <w:lang w:eastAsia="en-GB"/>
              </w:rPr>
              <w:t>62 (21%)</w:t>
            </w:r>
          </w:p>
        </w:tc>
        <w:tc>
          <w:tcPr>
            <w:tcW w:w="708" w:type="dxa"/>
            <w:tcBorders>
              <w:top w:val="single" w:sz="4" w:space="0" w:color="auto"/>
              <w:left w:val="nil"/>
              <w:bottom w:val="nil"/>
              <w:right w:val="single" w:sz="4" w:space="0" w:color="auto"/>
            </w:tcBorders>
            <w:shd w:val="clear" w:color="auto" w:fill="auto"/>
            <w:hideMark/>
          </w:tcPr>
          <w:p w14:paraId="53C71AC0" w14:textId="77777777" w:rsidR="00116427" w:rsidRPr="00744462" w:rsidRDefault="00116427" w:rsidP="002F324A">
            <w:pPr>
              <w:spacing w:after="0" w:line="240" w:lineRule="auto"/>
              <w:jc w:val="center"/>
              <w:rPr>
                <w:rFonts w:ascii="Helvetica" w:eastAsia="Times New Roman" w:hAnsi="Helvetica"/>
                <w:sz w:val="20"/>
                <w:szCs w:val="20"/>
                <w:lang w:eastAsia="en-GB"/>
              </w:rPr>
            </w:pPr>
            <w:r w:rsidRPr="00744462">
              <w:rPr>
                <w:rFonts w:ascii="Helvetica" w:eastAsia="Times New Roman" w:hAnsi="Helvetica"/>
                <w:sz w:val="20"/>
                <w:szCs w:val="20"/>
                <w:lang w:eastAsia="en-GB"/>
              </w:rPr>
              <w:br/>
              <w:t>202</w:t>
            </w:r>
          </w:p>
        </w:tc>
      </w:tr>
      <w:tr w:rsidR="00F64918" w:rsidRPr="00744462" w14:paraId="63871B2B" w14:textId="77777777" w:rsidTr="002F324A">
        <w:tc>
          <w:tcPr>
            <w:tcW w:w="1413" w:type="dxa"/>
            <w:tcBorders>
              <w:top w:val="nil"/>
              <w:left w:val="single" w:sz="4" w:space="0" w:color="auto"/>
              <w:bottom w:val="nil"/>
              <w:right w:val="nil"/>
            </w:tcBorders>
            <w:shd w:val="clear" w:color="auto" w:fill="auto"/>
            <w:hideMark/>
          </w:tcPr>
          <w:p w14:paraId="55D137F4" w14:textId="0A37DF60"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hAnsi="Helvetica"/>
                <w:sz w:val="20"/>
                <w:szCs w:val="20"/>
              </w:rPr>
              <w:t>No UTI</w:t>
            </w:r>
          </w:p>
        </w:tc>
        <w:tc>
          <w:tcPr>
            <w:tcW w:w="992" w:type="dxa"/>
            <w:gridSpan w:val="2"/>
            <w:tcBorders>
              <w:top w:val="nil"/>
              <w:left w:val="nil"/>
              <w:bottom w:val="nil"/>
              <w:right w:val="nil"/>
            </w:tcBorders>
            <w:shd w:val="clear" w:color="auto" w:fill="auto"/>
            <w:hideMark/>
          </w:tcPr>
          <w:p w14:paraId="565C69F9" w14:textId="77777777" w:rsidR="00116427" w:rsidRPr="00744462" w:rsidRDefault="00116427" w:rsidP="002F324A">
            <w:pPr>
              <w:spacing w:after="0" w:line="240" w:lineRule="auto"/>
              <w:jc w:val="center"/>
              <w:rPr>
                <w:rFonts w:ascii="Helvetica" w:eastAsia="Times New Roman" w:hAnsi="Helvetica"/>
                <w:b/>
                <w:sz w:val="20"/>
                <w:szCs w:val="20"/>
                <w:lang w:eastAsia="en-GB"/>
              </w:rPr>
            </w:pPr>
            <w:r w:rsidRPr="00744462">
              <w:rPr>
                <w:rFonts w:ascii="Helvetica" w:eastAsia="Times New Roman" w:hAnsi="Helvetica"/>
                <w:b/>
                <w:sz w:val="20"/>
                <w:szCs w:val="20"/>
                <w:lang w:eastAsia="en-GB"/>
              </w:rPr>
              <w:t>50 (17%)</w:t>
            </w:r>
          </w:p>
        </w:tc>
        <w:tc>
          <w:tcPr>
            <w:tcW w:w="851" w:type="dxa"/>
            <w:tcBorders>
              <w:top w:val="nil"/>
              <w:left w:val="nil"/>
              <w:bottom w:val="nil"/>
              <w:right w:val="nil"/>
            </w:tcBorders>
            <w:shd w:val="clear" w:color="auto" w:fill="auto"/>
            <w:hideMark/>
          </w:tcPr>
          <w:p w14:paraId="325A6999" w14:textId="2D46FAFE" w:rsidR="00116427" w:rsidRPr="00744462" w:rsidRDefault="00116427" w:rsidP="002F324A">
            <w:pPr>
              <w:spacing w:after="0" w:line="240" w:lineRule="auto"/>
              <w:jc w:val="center"/>
              <w:rPr>
                <w:rFonts w:ascii="Helvetica" w:eastAsia="Times New Roman" w:hAnsi="Helvetica"/>
                <w:sz w:val="20"/>
                <w:szCs w:val="20"/>
                <w:lang w:eastAsia="en-GB"/>
              </w:rPr>
            </w:pPr>
            <w:r w:rsidRPr="00744462">
              <w:rPr>
                <w:rFonts w:ascii="Helvetica" w:eastAsia="Times New Roman" w:hAnsi="Helvetica"/>
                <w:sz w:val="20"/>
                <w:szCs w:val="20"/>
                <w:lang w:eastAsia="en-GB"/>
              </w:rPr>
              <w:t>37 (13%)</w:t>
            </w:r>
          </w:p>
        </w:tc>
        <w:tc>
          <w:tcPr>
            <w:tcW w:w="708" w:type="dxa"/>
            <w:tcBorders>
              <w:top w:val="nil"/>
              <w:left w:val="nil"/>
              <w:bottom w:val="nil"/>
              <w:right w:val="single" w:sz="4" w:space="0" w:color="auto"/>
            </w:tcBorders>
            <w:shd w:val="clear" w:color="auto" w:fill="auto"/>
            <w:hideMark/>
          </w:tcPr>
          <w:p w14:paraId="5191DAE3" w14:textId="77777777" w:rsidR="00116427" w:rsidRPr="00744462" w:rsidRDefault="00116427" w:rsidP="002F324A">
            <w:pPr>
              <w:spacing w:after="0" w:line="240" w:lineRule="auto"/>
              <w:jc w:val="center"/>
              <w:rPr>
                <w:rFonts w:ascii="Helvetica" w:eastAsia="Times New Roman" w:hAnsi="Helvetica"/>
                <w:sz w:val="20"/>
                <w:szCs w:val="20"/>
                <w:lang w:eastAsia="en-GB"/>
              </w:rPr>
            </w:pPr>
            <w:r w:rsidRPr="00744462">
              <w:rPr>
                <w:rFonts w:ascii="Helvetica" w:eastAsia="Times New Roman" w:hAnsi="Helvetica"/>
                <w:sz w:val="20"/>
                <w:szCs w:val="20"/>
                <w:lang w:eastAsia="en-GB"/>
              </w:rPr>
              <w:t>87</w:t>
            </w:r>
          </w:p>
        </w:tc>
      </w:tr>
      <w:tr w:rsidR="00F64918" w:rsidRPr="00744462" w14:paraId="164F3AA7" w14:textId="77777777" w:rsidTr="002F324A">
        <w:tc>
          <w:tcPr>
            <w:tcW w:w="1413" w:type="dxa"/>
            <w:tcBorders>
              <w:top w:val="nil"/>
              <w:left w:val="single" w:sz="4" w:space="0" w:color="auto"/>
              <w:bottom w:val="single" w:sz="4" w:space="0" w:color="auto"/>
              <w:right w:val="nil"/>
            </w:tcBorders>
            <w:shd w:val="clear" w:color="auto" w:fill="auto"/>
            <w:hideMark/>
          </w:tcPr>
          <w:p w14:paraId="512A1F41" w14:textId="522F1A11" w:rsidR="00116427" w:rsidRPr="00744462" w:rsidRDefault="00621302" w:rsidP="002F324A">
            <w:pPr>
              <w:spacing w:after="0" w:line="240" w:lineRule="auto"/>
              <w:rPr>
                <w:rFonts w:ascii="Helvetica" w:eastAsia="Times New Roman" w:hAnsi="Helvetica"/>
                <w:sz w:val="20"/>
                <w:szCs w:val="20"/>
                <w:lang w:eastAsia="en-GB"/>
              </w:rPr>
            </w:pPr>
            <w:r>
              <w:rPr>
                <w:rFonts w:ascii="Helvetica" w:hAnsi="Helvetica"/>
                <w:sz w:val="20"/>
                <w:szCs w:val="20"/>
              </w:rPr>
              <w:t>T</w:t>
            </w:r>
            <w:r w:rsidR="00116427" w:rsidRPr="00744462">
              <w:rPr>
                <w:rFonts w:ascii="Helvetica" w:hAnsi="Helvetica"/>
                <w:sz w:val="20"/>
                <w:szCs w:val="20"/>
              </w:rPr>
              <w:t>otal</w:t>
            </w:r>
          </w:p>
        </w:tc>
        <w:tc>
          <w:tcPr>
            <w:tcW w:w="992" w:type="dxa"/>
            <w:gridSpan w:val="2"/>
            <w:tcBorders>
              <w:top w:val="nil"/>
              <w:left w:val="nil"/>
              <w:bottom w:val="single" w:sz="4" w:space="0" w:color="auto"/>
              <w:right w:val="nil"/>
            </w:tcBorders>
            <w:shd w:val="clear" w:color="auto" w:fill="auto"/>
            <w:hideMark/>
          </w:tcPr>
          <w:p w14:paraId="57FDEA43" w14:textId="77777777" w:rsidR="00116427" w:rsidRPr="00744462" w:rsidRDefault="00116427" w:rsidP="002F324A">
            <w:pPr>
              <w:spacing w:after="0" w:line="240" w:lineRule="auto"/>
              <w:jc w:val="center"/>
              <w:rPr>
                <w:rFonts w:ascii="Helvetica" w:eastAsia="Times New Roman" w:hAnsi="Helvetica"/>
                <w:sz w:val="20"/>
                <w:szCs w:val="20"/>
                <w:lang w:eastAsia="en-GB"/>
              </w:rPr>
            </w:pPr>
            <w:r w:rsidRPr="00744462">
              <w:rPr>
                <w:rFonts w:ascii="Helvetica" w:eastAsia="Times New Roman" w:hAnsi="Helvetica"/>
                <w:sz w:val="20"/>
                <w:szCs w:val="20"/>
                <w:lang w:eastAsia="en-GB"/>
              </w:rPr>
              <w:t>190</w:t>
            </w:r>
          </w:p>
        </w:tc>
        <w:tc>
          <w:tcPr>
            <w:tcW w:w="851" w:type="dxa"/>
            <w:tcBorders>
              <w:top w:val="nil"/>
              <w:left w:val="nil"/>
              <w:bottom w:val="single" w:sz="4" w:space="0" w:color="auto"/>
              <w:right w:val="nil"/>
            </w:tcBorders>
            <w:shd w:val="clear" w:color="auto" w:fill="auto"/>
            <w:hideMark/>
          </w:tcPr>
          <w:p w14:paraId="4310EA86" w14:textId="3EF97E85" w:rsidR="00116427" w:rsidRPr="00744462" w:rsidRDefault="00116427" w:rsidP="002F324A">
            <w:pPr>
              <w:spacing w:after="0" w:line="240" w:lineRule="auto"/>
              <w:jc w:val="center"/>
              <w:rPr>
                <w:rFonts w:ascii="Helvetica" w:eastAsia="Times New Roman" w:hAnsi="Helvetica"/>
                <w:sz w:val="20"/>
                <w:szCs w:val="20"/>
                <w:lang w:eastAsia="en-GB"/>
              </w:rPr>
            </w:pPr>
            <w:r w:rsidRPr="00744462">
              <w:rPr>
                <w:rFonts w:ascii="Helvetica" w:eastAsia="Times New Roman" w:hAnsi="Helvetica"/>
                <w:sz w:val="20"/>
                <w:szCs w:val="20"/>
                <w:lang w:eastAsia="en-GB"/>
              </w:rPr>
              <w:t>99</w:t>
            </w:r>
          </w:p>
        </w:tc>
        <w:tc>
          <w:tcPr>
            <w:tcW w:w="708" w:type="dxa"/>
            <w:tcBorders>
              <w:top w:val="nil"/>
              <w:left w:val="nil"/>
              <w:bottom w:val="single" w:sz="4" w:space="0" w:color="auto"/>
              <w:right w:val="single" w:sz="4" w:space="0" w:color="auto"/>
            </w:tcBorders>
            <w:shd w:val="clear" w:color="auto" w:fill="auto"/>
            <w:hideMark/>
          </w:tcPr>
          <w:p w14:paraId="7B01FCE1"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289</w:t>
            </w:r>
          </w:p>
        </w:tc>
      </w:tr>
      <w:tr w:rsidR="00116427" w:rsidRPr="00744462" w14:paraId="5AF06786" w14:textId="77777777" w:rsidTr="002F324A">
        <w:trPr>
          <w:trHeight w:val="300"/>
        </w:trPr>
        <w:tc>
          <w:tcPr>
            <w:tcW w:w="3964" w:type="dxa"/>
            <w:gridSpan w:val="5"/>
            <w:tcBorders>
              <w:top w:val="single" w:sz="4" w:space="0" w:color="auto"/>
              <w:left w:val="single" w:sz="4" w:space="0" w:color="auto"/>
              <w:bottom w:val="nil"/>
              <w:right w:val="single" w:sz="4" w:space="0" w:color="auto"/>
            </w:tcBorders>
            <w:shd w:val="clear" w:color="auto" w:fill="auto"/>
            <w:vAlign w:val="bottom"/>
          </w:tcPr>
          <w:p w14:paraId="7889D655" w14:textId="681CEC31"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hAnsi="Helvetica" w:cs="Times New Roman"/>
                <w:b/>
                <w:sz w:val="20"/>
                <w:szCs w:val="20"/>
              </w:rPr>
              <w:t>Statistical measurements</w:t>
            </w:r>
          </w:p>
        </w:tc>
      </w:tr>
      <w:tr w:rsidR="00936196" w:rsidRPr="00744462" w14:paraId="6B1619DE" w14:textId="77777777" w:rsidTr="002F324A">
        <w:trPr>
          <w:trHeight w:val="227"/>
        </w:trPr>
        <w:tc>
          <w:tcPr>
            <w:tcW w:w="1758" w:type="dxa"/>
            <w:gridSpan w:val="2"/>
            <w:tcBorders>
              <w:top w:val="nil"/>
              <w:left w:val="single" w:sz="4" w:space="0" w:color="auto"/>
              <w:bottom w:val="nil"/>
              <w:right w:val="nil"/>
            </w:tcBorders>
            <w:shd w:val="clear" w:color="auto" w:fill="auto"/>
            <w:hideMark/>
          </w:tcPr>
          <w:p w14:paraId="53C06834" w14:textId="095E9B8E"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 xml:space="preserve">Sensitivity </w:t>
            </w:r>
            <w:r w:rsidRPr="00744462">
              <w:rPr>
                <w:rFonts w:ascii="Helvetica" w:eastAsia="Times New Roman" w:hAnsi="Helvetica"/>
                <w:i/>
                <w:sz w:val="20"/>
                <w:szCs w:val="20"/>
                <w:lang w:eastAsia="en-GB"/>
              </w:rPr>
              <w:t>(95%CI)</w:t>
            </w:r>
          </w:p>
        </w:tc>
        <w:tc>
          <w:tcPr>
            <w:tcW w:w="2206" w:type="dxa"/>
            <w:gridSpan w:val="3"/>
            <w:tcBorders>
              <w:top w:val="nil"/>
              <w:left w:val="nil"/>
              <w:bottom w:val="nil"/>
              <w:right w:val="single" w:sz="4" w:space="0" w:color="auto"/>
            </w:tcBorders>
            <w:shd w:val="clear" w:color="auto" w:fill="auto"/>
            <w:hideMark/>
          </w:tcPr>
          <w:p w14:paraId="176A7BA5"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 xml:space="preserve">73.7 </w:t>
            </w:r>
            <w:r w:rsidRPr="00744462">
              <w:rPr>
                <w:rFonts w:ascii="Helvetica" w:eastAsia="Times New Roman" w:hAnsi="Helvetica"/>
                <w:i/>
                <w:sz w:val="20"/>
                <w:szCs w:val="20"/>
                <w:lang w:eastAsia="en-GB"/>
              </w:rPr>
              <w:t>(66.8-79.8)</w:t>
            </w:r>
          </w:p>
        </w:tc>
      </w:tr>
      <w:tr w:rsidR="00936196" w:rsidRPr="00744462" w14:paraId="46E83971" w14:textId="77777777" w:rsidTr="002F324A">
        <w:trPr>
          <w:trHeight w:val="227"/>
        </w:trPr>
        <w:tc>
          <w:tcPr>
            <w:tcW w:w="1758" w:type="dxa"/>
            <w:gridSpan w:val="2"/>
            <w:tcBorders>
              <w:top w:val="nil"/>
              <w:left w:val="single" w:sz="4" w:space="0" w:color="auto"/>
              <w:bottom w:val="nil"/>
              <w:right w:val="nil"/>
            </w:tcBorders>
            <w:shd w:val="clear" w:color="auto" w:fill="auto"/>
            <w:hideMark/>
          </w:tcPr>
          <w:p w14:paraId="49EB4AF1" w14:textId="7FDE1E73"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 xml:space="preserve">Specificity </w:t>
            </w:r>
            <w:r w:rsidRPr="00744462">
              <w:rPr>
                <w:rFonts w:ascii="Helvetica" w:eastAsia="Times New Roman" w:hAnsi="Helvetica"/>
                <w:i/>
                <w:sz w:val="20"/>
                <w:szCs w:val="20"/>
                <w:lang w:eastAsia="en-GB"/>
              </w:rPr>
              <w:t>(95% CI)</w:t>
            </w:r>
          </w:p>
        </w:tc>
        <w:tc>
          <w:tcPr>
            <w:tcW w:w="2206" w:type="dxa"/>
            <w:gridSpan w:val="3"/>
            <w:tcBorders>
              <w:top w:val="nil"/>
              <w:left w:val="nil"/>
              <w:bottom w:val="nil"/>
              <w:right w:val="single" w:sz="4" w:space="0" w:color="auto"/>
            </w:tcBorders>
            <w:shd w:val="clear" w:color="auto" w:fill="auto"/>
            <w:hideMark/>
          </w:tcPr>
          <w:tbl>
            <w:tblPr>
              <w:tblpPr w:leftFromText="141" w:rightFromText="141" w:vertAnchor="text" w:horzAnchor="margin" w:tblpXSpec="right"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501"/>
            </w:tblGrid>
            <w:tr w:rsidR="00116427" w:rsidRPr="00744462" w14:paraId="5C53F482" w14:textId="77777777" w:rsidTr="00744462">
              <w:trPr>
                <w:trHeight w:val="288"/>
              </w:trPr>
              <w:tc>
                <w:tcPr>
                  <w:tcW w:w="1674" w:type="dxa"/>
                  <w:tcBorders>
                    <w:top w:val="nil"/>
                    <w:left w:val="nil"/>
                    <w:bottom w:val="nil"/>
                    <w:right w:val="nil"/>
                  </w:tcBorders>
                  <w:shd w:val="clear" w:color="auto" w:fill="auto"/>
                  <w:hideMark/>
                </w:tcPr>
                <w:p w14:paraId="62A6CB9A"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 xml:space="preserve"> 37.4 </w:t>
                  </w:r>
                  <w:r w:rsidRPr="00744462">
                    <w:rPr>
                      <w:rFonts w:ascii="Helvetica" w:eastAsia="Times New Roman" w:hAnsi="Helvetica"/>
                      <w:i/>
                      <w:sz w:val="20"/>
                      <w:szCs w:val="20"/>
                      <w:lang w:eastAsia="en-GB"/>
                    </w:rPr>
                    <w:t>(27.9-47.7)</w:t>
                  </w:r>
                </w:p>
              </w:tc>
              <w:tc>
                <w:tcPr>
                  <w:tcW w:w="501" w:type="dxa"/>
                  <w:tcBorders>
                    <w:top w:val="nil"/>
                    <w:left w:val="nil"/>
                    <w:bottom w:val="nil"/>
                    <w:right w:val="nil"/>
                  </w:tcBorders>
                  <w:shd w:val="clear" w:color="auto" w:fill="auto"/>
                  <w:vAlign w:val="center"/>
                </w:tcPr>
                <w:p w14:paraId="33DDBACC" w14:textId="77777777" w:rsidR="00116427" w:rsidRPr="00744462" w:rsidRDefault="00116427" w:rsidP="002F324A">
                  <w:pPr>
                    <w:spacing w:after="0" w:line="240" w:lineRule="auto"/>
                    <w:rPr>
                      <w:rFonts w:ascii="Helvetica" w:eastAsia="Times New Roman" w:hAnsi="Helvetica"/>
                      <w:sz w:val="20"/>
                      <w:szCs w:val="20"/>
                      <w:lang w:eastAsia="en-GB"/>
                    </w:rPr>
                  </w:pPr>
                </w:p>
              </w:tc>
            </w:tr>
          </w:tbl>
          <w:p w14:paraId="1BD7F53F" w14:textId="77777777" w:rsidR="00116427" w:rsidRPr="00744462" w:rsidRDefault="00116427" w:rsidP="002F324A">
            <w:pPr>
              <w:spacing w:after="0" w:line="240" w:lineRule="auto"/>
              <w:rPr>
                <w:rFonts w:ascii="Helvetica" w:eastAsia="Times New Roman" w:hAnsi="Helvetica"/>
                <w:sz w:val="20"/>
                <w:szCs w:val="20"/>
                <w:lang w:eastAsia="en-GB"/>
              </w:rPr>
            </w:pPr>
          </w:p>
        </w:tc>
      </w:tr>
      <w:tr w:rsidR="00936196" w:rsidRPr="00744462" w14:paraId="317194C2" w14:textId="77777777" w:rsidTr="002F324A">
        <w:trPr>
          <w:trHeight w:val="227"/>
        </w:trPr>
        <w:tc>
          <w:tcPr>
            <w:tcW w:w="1758" w:type="dxa"/>
            <w:gridSpan w:val="2"/>
            <w:tcBorders>
              <w:top w:val="nil"/>
              <w:left w:val="single" w:sz="4" w:space="0" w:color="auto"/>
              <w:bottom w:val="nil"/>
              <w:right w:val="nil"/>
            </w:tcBorders>
            <w:shd w:val="clear" w:color="auto" w:fill="auto"/>
            <w:hideMark/>
          </w:tcPr>
          <w:p w14:paraId="55F08FCC"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PPV</w:t>
            </w:r>
          </w:p>
        </w:tc>
        <w:tc>
          <w:tcPr>
            <w:tcW w:w="2206" w:type="dxa"/>
            <w:gridSpan w:val="3"/>
            <w:tcBorders>
              <w:top w:val="nil"/>
              <w:left w:val="nil"/>
              <w:bottom w:val="nil"/>
              <w:right w:val="single" w:sz="4" w:space="0" w:color="auto"/>
            </w:tcBorders>
            <w:shd w:val="clear" w:color="auto" w:fill="auto"/>
          </w:tcPr>
          <w:p w14:paraId="08C96698"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69.3 (62.5-75.6)</w:t>
            </w:r>
          </w:p>
        </w:tc>
      </w:tr>
      <w:tr w:rsidR="00936196" w:rsidRPr="00744462" w14:paraId="15E467E0" w14:textId="77777777" w:rsidTr="002F324A">
        <w:trPr>
          <w:trHeight w:val="227"/>
        </w:trPr>
        <w:tc>
          <w:tcPr>
            <w:tcW w:w="1758" w:type="dxa"/>
            <w:gridSpan w:val="2"/>
            <w:tcBorders>
              <w:top w:val="nil"/>
              <w:left w:val="single" w:sz="4" w:space="0" w:color="auto"/>
              <w:bottom w:val="nil"/>
              <w:right w:val="nil"/>
            </w:tcBorders>
            <w:shd w:val="clear" w:color="auto" w:fill="auto"/>
            <w:hideMark/>
          </w:tcPr>
          <w:p w14:paraId="6D64B183"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NPV</w:t>
            </w:r>
          </w:p>
        </w:tc>
        <w:tc>
          <w:tcPr>
            <w:tcW w:w="2206" w:type="dxa"/>
            <w:gridSpan w:val="3"/>
            <w:tcBorders>
              <w:top w:val="nil"/>
              <w:left w:val="nil"/>
              <w:bottom w:val="nil"/>
              <w:right w:val="single" w:sz="4" w:space="0" w:color="auto"/>
            </w:tcBorders>
            <w:shd w:val="clear" w:color="auto" w:fill="auto"/>
          </w:tcPr>
          <w:p w14:paraId="4AFAE307" w14:textId="734CD0EF"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42.5 (32.0-53.6)</w:t>
            </w:r>
          </w:p>
        </w:tc>
      </w:tr>
      <w:tr w:rsidR="00936196" w:rsidRPr="00744462" w14:paraId="0A197AFB" w14:textId="77777777" w:rsidTr="002F324A">
        <w:trPr>
          <w:trHeight w:val="227"/>
        </w:trPr>
        <w:tc>
          <w:tcPr>
            <w:tcW w:w="1758" w:type="dxa"/>
            <w:gridSpan w:val="2"/>
            <w:tcBorders>
              <w:top w:val="nil"/>
              <w:left w:val="single" w:sz="4" w:space="0" w:color="auto"/>
              <w:bottom w:val="nil"/>
              <w:right w:val="nil"/>
            </w:tcBorders>
            <w:shd w:val="clear" w:color="auto" w:fill="auto"/>
            <w:hideMark/>
          </w:tcPr>
          <w:p w14:paraId="7671B82A" w14:textId="77777777" w:rsidR="00116427" w:rsidRPr="00744462" w:rsidRDefault="00116427" w:rsidP="002F324A">
            <w:pPr>
              <w:spacing w:after="0" w:line="240" w:lineRule="auto"/>
              <w:rPr>
                <w:rFonts w:ascii="Helvetica" w:hAnsi="Helvetica"/>
                <w:sz w:val="20"/>
                <w:szCs w:val="20"/>
              </w:rPr>
            </w:pPr>
            <w:r w:rsidRPr="00744462">
              <w:rPr>
                <w:rFonts w:ascii="Helvetica" w:eastAsia="Times New Roman" w:hAnsi="Helvetica"/>
                <w:sz w:val="20"/>
                <w:szCs w:val="20"/>
                <w:lang w:eastAsia="en-GB"/>
              </w:rPr>
              <w:t>Error rate (%)</w:t>
            </w:r>
          </w:p>
        </w:tc>
        <w:tc>
          <w:tcPr>
            <w:tcW w:w="2206" w:type="dxa"/>
            <w:gridSpan w:val="3"/>
            <w:tcBorders>
              <w:top w:val="nil"/>
              <w:left w:val="nil"/>
              <w:bottom w:val="nil"/>
              <w:right w:val="single" w:sz="4" w:space="0" w:color="auto"/>
            </w:tcBorders>
            <w:shd w:val="clear" w:color="auto" w:fill="auto"/>
            <w:hideMark/>
          </w:tcPr>
          <w:p w14:paraId="03B32184" w14:textId="217F0D83" w:rsidR="00116427" w:rsidRPr="00744462" w:rsidRDefault="00116427" w:rsidP="002F324A">
            <w:pPr>
              <w:spacing w:after="0" w:line="240" w:lineRule="auto"/>
              <w:rPr>
                <w:rFonts w:ascii="Helvetica" w:hAnsi="Helvetica"/>
                <w:sz w:val="20"/>
                <w:szCs w:val="20"/>
              </w:rPr>
            </w:pPr>
            <w:r w:rsidRPr="00744462">
              <w:rPr>
                <w:rFonts w:ascii="Helvetica" w:eastAsia="Times New Roman" w:hAnsi="Helvetica"/>
                <w:sz w:val="20"/>
                <w:szCs w:val="20"/>
                <w:lang w:eastAsia="en-GB"/>
              </w:rPr>
              <w:t>39%</w:t>
            </w:r>
          </w:p>
        </w:tc>
      </w:tr>
      <w:tr w:rsidR="00936196" w:rsidRPr="00744462" w14:paraId="498F2CA4" w14:textId="77777777" w:rsidTr="002F324A">
        <w:trPr>
          <w:trHeight w:val="227"/>
        </w:trPr>
        <w:tc>
          <w:tcPr>
            <w:tcW w:w="1758" w:type="dxa"/>
            <w:gridSpan w:val="2"/>
            <w:tcBorders>
              <w:top w:val="nil"/>
              <w:left w:val="single" w:sz="4" w:space="0" w:color="auto"/>
              <w:bottom w:val="nil"/>
              <w:right w:val="nil"/>
            </w:tcBorders>
            <w:shd w:val="clear" w:color="auto" w:fill="auto"/>
            <w:hideMark/>
          </w:tcPr>
          <w:p w14:paraId="0E8FA13D" w14:textId="77777777" w:rsidR="00116427" w:rsidRPr="00744462" w:rsidRDefault="00116427" w:rsidP="002F324A">
            <w:pPr>
              <w:spacing w:after="0" w:line="240" w:lineRule="auto"/>
              <w:rPr>
                <w:rFonts w:ascii="Helvetica" w:hAnsi="Helvetica"/>
                <w:sz w:val="20"/>
                <w:szCs w:val="20"/>
              </w:rPr>
            </w:pPr>
            <w:r w:rsidRPr="00744462">
              <w:rPr>
                <w:rFonts w:ascii="Helvetica" w:eastAsia="Times New Roman" w:hAnsi="Helvetica"/>
                <w:sz w:val="20"/>
                <w:szCs w:val="20"/>
                <w:lang w:eastAsia="en-GB"/>
              </w:rPr>
              <w:t xml:space="preserve">Kappa </w:t>
            </w:r>
            <w:r w:rsidRPr="00744462">
              <w:rPr>
                <w:rFonts w:ascii="Helvetica" w:eastAsia="Times New Roman" w:hAnsi="Helvetica"/>
                <w:i/>
                <w:sz w:val="20"/>
                <w:szCs w:val="20"/>
                <w:lang w:eastAsia="en-GB"/>
              </w:rPr>
              <w:t>(95%CI)</w:t>
            </w:r>
          </w:p>
        </w:tc>
        <w:tc>
          <w:tcPr>
            <w:tcW w:w="2206" w:type="dxa"/>
            <w:gridSpan w:val="3"/>
            <w:tcBorders>
              <w:top w:val="nil"/>
              <w:left w:val="nil"/>
              <w:bottom w:val="nil"/>
              <w:right w:val="single" w:sz="4" w:space="0" w:color="auto"/>
            </w:tcBorders>
            <w:shd w:val="clear" w:color="auto" w:fill="auto"/>
            <w:hideMark/>
          </w:tcPr>
          <w:p w14:paraId="37296186" w14:textId="2EF4F4B9" w:rsidR="00116427" w:rsidRPr="00744462" w:rsidRDefault="00116427" w:rsidP="002F324A">
            <w:pPr>
              <w:spacing w:after="0" w:line="240" w:lineRule="auto"/>
              <w:rPr>
                <w:rFonts w:ascii="Helvetica" w:hAnsi="Helvetica"/>
                <w:sz w:val="20"/>
                <w:szCs w:val="20"/>
              </w:rPr>
            </w:pPr>
            <w:r w:rsidRPr="00744462">
              <w:rPr>
                <w:rFonts w:ascii="Helvetica" w:eastAsia="Times New Roman" w:hAnsi="Helvetica"/>
                <w:sz w:val="20"/>
                <w:szCs w:val="20"/>
                <w:lang w:eastAsia="en-GB"/>
              </w:rPr>
              <w:t>0.11(-0.008-0.232)</w:t>
            </w:r>
          </w:p>
        </w:tc>
      </w:tr>
      <w:tr w:rsidR="00936196" w:rsidRPr="00744462" w14:paraId="6C10B03D" w14:textId="77777777" w:rsidTr="002F324A">
        <w:trPr>
          <w:trHeight w:val="227"/>
        </w:trPr>
        <w:tc>
          <w:tcPr>
            <w:tcW w:w="1758" w:type="dxa"/>
            <w:gridSpan w:val="2"/>
            <w:tcBorders>
              <w:top w:val="nil"/>
              <w:left w:val="single" w:sz="4" w:space="0" w:color="auto"/>
              <w:bottom w:val="single" w:sz="4" w:space="0" w:color="auto"/>
              <w:right w:val="nil"/>
            </w:tcBorders>
            <w:shd w:val="clear" w:color="auto" w:fill="auto"/>
            <w:hideMark/>
          </w:tcPr>
          <w:p w14:paraId="14B07D0D" w14:textId="021DBC41" w:rsidR="00116427" w:rsidRPr="00744462" w:rsidRDefault="00116427" w:rsidP="002F324A">
            <w:pPr>
              <w:spacing w:after="0" w:line="240" w:lineRule="auto"/>
              <w:rPr>
                <w:rFonts w:ascii="Helvetica" w:hAnsi="Helvetica"/>
                <w:sz w:val="20"/>
                <w:szCs w:val="20"/>
              </w:rPr>
            </w:pPr>
            <w:r w:rsidRPr="00744462">
              <w:rPr>
                <w:rFonts w:ascii="Helvetica" w:eastAsia="Times New Roman" w:hAnsi="Helvetica"/>
                <w:sz w:val="20"/>
                <w:szCs w:val="20"/>
                <w:lang w:eastAsia="en-GB"/>
              </w:rPr>
              <w:t>PABAK</w:t>
            </w:r>
          </w:p>
        </w:tc>
        <w:tc>
          <w:tcPr>
            <w:tcW w:w="2206" w:type="dxa"/>
            <w:gridSpan w:val="3"/>
            <w:tcBorders>
              <w:top w:val="nil"/>
              <w:left w:val="nil"/>
              <w:bottom w:val="single" w:sz="4" w:space="0" w:color="auto"/>
              <w:right w:val="single" w:sz="4" w:space="0" w:color="auto"/>
            </w:tcBorders>
            <w:shd w:val="clear" w:color="auto" w:fill="auto"/>
            <w:hideMark/>
          </w:tcPr>
          <w:p w14:paraId="51BA1DA9" w14:textId="1A7BCB38" w:rsidR="00116427" w:rsidRPr="00744462" w:rsidRDefault="00116427" w:rsidP="002F324A">
            <w:pPr>
              <w:spacing w:after="0" w:line="240" w:lineRule="auto"/>
              <w:rPr>
                <w:rFonts w:ascii="Helvetica" w:hAnsi="Helvetica"/>
                <w:sz w:val="20"/>
                <w:szCs w:val="20"/>
              </w:rPr>
            </w:pPr>
            <w:r w:rsidRPr="00744462">
              <w:rPr>
                <w:rFonts w:ascii="Helvetica" w:eastAsia="Times New Roman" w:hAnsi="Helvetica"/>
                <w:sz w:val="20"/>
                <w:szCs w:val="20"/>
                <w:lang w:eastAsia="en-GB"/>
              </w:rPr>
              <w:t>0.22</w:t>
            </w:r>
          </w:p>
        </w:tc>
      </w:tr>
    </w:tbl>
    <w:p w14:paraId="5745F7D0" w14:textId="77777777" w:rsidR="00744462" w:rsidRPr="00744462" w:rsidRDefault="00744462" w:rsidP="00744462">
      <w:pPr>
        <w:spacing w:after="0"/>
        <w:rPr>
          <w:vanish/>
        </w:rPr>
      </w:pPr>
    </w:p>
    <w:tbl>
      <w:tblPr>
        <w:tblpPr w:leftFromText="180" w:rightFromText="180" w:vertAnchor="text" w:horzAnchor="page" w:tblpX="6100"/>
        <w:tblOverlap w:val="never"/>
        <w:tblW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486"/>
        <w:gridCol w:w="477"/>
        <w:gridCol w:w="992"/>
        <w:gridCol w:w="709"/>
      </w:tblGrid>
      <w:tr w:rsidR="00F64918" w:rsidRPr="00744462" w14:paraId="6314BFF1" w14:textId="77777777" w:rsidTr="002F324A">
        <w:trPr>
          <w:trHeight w:val="318"/>
        </w:trPr>
        <w:tc>
          <w:tcPr>
            <w:tcW w:w="1272" w:type="dxa"/>
            <w:vMerge w:val="restart"/>
            <w:tcBorders>
              <w:top w:val="single" w:sz="4" w:space="0" w:color="auto"/>
              <w:left w:val="single" w:sz="4" w:space="0" w:color="auto"/>
              <w:bottom w:val="single" w:sz="4" w:space="0" w:color="auto"/>
              <w:right w:val="nil"/>
            </w:tcBorders>
            <w:shd w:val="clear" w:color="auto" w:fill="auto"/>
            <w:hideMark/>
          </w:tcPr>
          <w:p w14:paraId="3240D6E2"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hAnsi="Helvetica"/>
                <w:b/>
                <w:sz w:val="20"/>
                <w:szCs w:val="20"/>
              </w:rPr>
              <w:t>UTI Yes/No</w:t>
            </w:r>
            <w:r w:rsidRPr="00744462">
              <w:rPr>
                <w:rFonts w:ascii="Helvetica" w:hAnsi="Helvetica"/>
                <w:b/>
                <w:sz w:val="20"/>
                <w:szCs w:val="20"/>
              </w:rPr>
              <w:br/>
              <w:t>n=289</w:t>
            </w:r>
          </w:p>
        </w:tc>
        <w:tc>
          <w:tcPr>
            <w:tcW w:w="2664" w:type="dxa"/>
            <w:gridSpan w:val="4"/>
            <w:tcBorders>
              <w:top w:val="single" w:sz="4" w:space="0" w:color="auto"/>
              <w:left w:val="nil"/>
              <w:bottom w:val="nil"/>
              <w:right w:val="single" w:sz="4" w:space="0" w:color="auto"/>
            </w:tcBorders>
            <w:shd w:val="clear" w:color="auto" w:fill="auto"/>
            <w:hideMark/>
          </w:tcPr>
          <w:p w14:paraId="7C805A4A"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hAnsi="Helvetica"/>
                <w:b/>
                <w:sz w:val="20"/>
                <w:szCs w:val="20"/>
              </w:rPr>
              <w:t>PHE/HPA definition</w:t>
            </w:r>
            <w:r w:rsidRPr="00744462">
              <w:rPr>
                <w:rFonts w:ascii="Helvetica" w:hAnsi="Helvetica"/>
                <w:b/>
                <w:sz w:val="20"/>
                <w:szCs w:val="20"/>
              </w:rPr>
              <w:br/>
            </w:r>
          </w:p>
        </w:tc>
      </w:tr>
      <w:tr w:rsidR="00F64918" w:rsidRPr="00744462" w14:paraId="241F3B28" w14:textId="77777777" w:rsidTr="002F324A">
        <w:trPr>
          <w:trHeight w:val="341"/>
        </w:trPr>
        <w:tc>
          <w:tcPr>
            <w:tcW w:w="1272" w:type="dxa"/>
            <w:vMerge/>
            <w:tcBorders>
              <w:top w:val="single" w:sz="4" w:space="0" w:color="auto"/>
              <w:left w:val="single" w:sz="4" w:space="0" w:color="auto"/>
              <w:bottom w:val="single" w:sz="4" w:space="0" w:color="auto"/>
              <w:right w:val="nil"/>
            </w:tcBorders>
            <w:shd w:val="clear" w:color="auto" w:fill="auto"/>
            <w:vAlign w:val="center"/>
            <w:hideMark/>
          </w:tcPr>
          <w:p w14:paraId="2E147285" w14:textId="77777777" w:rsidR="00116427" w:rsidRPr="00744462" w:rsidRDefault="00116427" w:rsidP="002F324A">
            <w:pPr>
              <w:spacing w:after="0" w:line="240" w:lineRule="auto"/>
              <w:rPr>
                <w:rFonts w:ascii="Helvetica" w:eastAsia="Times New Roman" w:hAnsi="Helvetica" w:cs="Times New Roman"/>
                <w:sz w:val="20"/>
                <w:szCs w:val="20"/>
                <w:lang w:val="nl-NL" w:eastAsia="en-GB"/>
              </w:rPr>
            </w:pPr>
          </w:p>
        </w:tc>
        <w:tc>
          <w:tcPr>
            <w:tcW w:w="963" w:type="dxa"/>
            <w:gridSpan w:val="2"/>
            <w:tcBorders>
              <w:top w:val="nil"/>
              <w:left w:val="nil"/>
              <w:bottom w:val="single" w:sz="4" w:space="0" w:color="auto"/>
              <w:right w:val="nil"/>
            </w:tcBorders>
            <w:shd w:val="clear" w:color="auto" w:fill="auto"/>
            <w:hideMark/>
          </w:tcPr>
          <w:p w14:paraId="617A165B"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Yes UTI</w:t>
            </w:r>
          </w:p>
        </w:tc>
        <w:tc>
          <w:tcPr>
            <w:tcW w:w="992" w:type="dxa"/>
            <w:tcBorders>
              <w:top w:val="nil"/>
              <w:left w:val="nil"/>
              <w:bottom w:val="single" w:sz="4" w:space="0" w:color="auto"/>
              <w:right w:val="nil"/>
            </w:tcBorders>
            <w:shd w:val="clear" w:color="auto" w:fill="auto"/>
            <w:hideMark/>
          </w:tcPr>
          <w:p w14:paraId="23B88A2F"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No UTI</w:t>
            </w:r>
          </w:p>
        </w:tc>
        <w:tc>
          <w:tcPr>
            <w:tcW w:w="709" w:type="dxa"/>
            <w:tcBorders>
              <w:top w:val="nil"/>
              <w:left w:val="nil"/>
              <w:bottom w:val="single" w:sz="4" w:space="0" w:color="auto"/>
              <w:right w:val="single" w:sz="4" w:space="0" w:color="auto"/>
            </w:tcBorders>
            <w:shd w:val="clear" w:color="auto" w:fill="auto"/>
            <w:hideMark/>
          </w:tcPr>
          <w:p w14:paraId="799A00D7" w14:textId="05DA0AA8" w:rsidR="00116427" w:rsidRPr="00744462" w:rsidRDefault="00621302" w:rsidP="002F324A">
            <w:pPr>
              <w:spacing w:after="0" w:line="240" w:lineRule="auto"/>
              <w:rPr>
                <w:rFonts w:ascii="Helvetica" w:eastAsia="Times New Roman" w:hAnsi="Helvetica"/>
                <w:sz w:val="20"/>
                <w:szCs w:val="20"/>
                <w:lang w:eastAsia="en-GB"/>
              </w:rPr>
            </w:pPr>
            <w:r>
              <w:rPr>
                <w:rFonts w:ascii="Helvetica" w:eastAsia="Times New Roman" w:hAnsi="Helvetica"/>
                <w:sz w:val="20"/>
                <w:szCs w:val="20"/>
                <w:lang w:eastAsia="en-GB"/>
              </w:rPr>
              <w:t>T</w:t>
            </w:r>
            <w:r w:rsidR="00116427" w:rsidRPr="00744462">
              <w:rPr>
                <w:rFonts w:ascii="Helvetica" w:eastAsia="Times New Roman" w:hAnsi="Helvetica"/>
                <w:sz w:val="20"/>
                <w:szCs w:val="20"/>
                <w:lang w:eastAsia="en-GB"/>
              </w:rPr>
              <w:t>otal</w:t>
            </w:r>
          </w:p>
        </w:tc>
      </w:tr>
      <w:tr w:rsidR="00F64918" w:rsidRPr="00744462" w14:paraId="561DE01B" w14:textId="77777777" w:rsidTr="002F324A">
        <w:tc>
          <w:tcPr>
            <w:tcW w:w="1272" w:type="dxa"/>
            <w:tcBorders>
              <w:top w:val="single" w:sz="4" w:space="0" w:color="auto"/>
              <w:left w:val="single" w:sz="4" w:space="0" w:color="auto"/>
              <w:bottom w:val="nil"/>
              <w:right w:val="nil"/>
            </w:tcBorders>
            <w:shd w:val="clear" w:color="auto" w:fill="auto"/>
            <w:hideMark/>
          </w:tcPr>
          <w:p w14:paraId="5D2D3B88" w14:textId="29153FC7" w:rsidR="00116427" w:rsidRPr="00744462" w:rsidRDefault="00116427" w:rsidP="002F324A">
            <w:pPr>
              <w:spacing w:after="0" w:line="240" w:lineRule="auto"/>
              <w:rPr>
                <w:rFonts w:ascii="Helvetica" w:eastAsia="Times New Roman" w:hAnsi="Helvetica"/>
                <w:sz w:val="20"/>
                <w:szCs w:val="20"/>
                <w:lang w:eastAsia="en-GB"/>
              </w:rPr>
            </w:pPr>
            <w:proofErr w:type="gramStart"/>
            <w:r w:rsidRPr="00744462">
              <w:rPr>
                <w:rFonts w:ascii="Helvetica" w:hAnsi="Helvetica"/>
                <w:b/>
                <w:sz w:val="20"/>
                <w:szCs w:val="20"/>
              </w:rPr>
              <w:t>Flexicult</w:t>
            </w:r>
            <w:r w:rsidRPr="00744462">
              <w:rPr>
                <w:rFonts w:ascii="Helvetica" w:hAnsi="Helvetica"/>
                <w:b/>
                <w:sz w:val="20"/>
                <w:szCs w:val="20"/>
                <w:vertAlign w:val="superscript"/>
              </w:rPr>
              <w:t>TM</w:t>
            </w:r>
            <w:r w:rsidRPr="00744462">
              <w:rPr>
                <w:rFonts w:ascii="Helvetica" w:hAnsi="Helvetica"/>
                <w:sz w:val="20"/>
                <w:szCs w:val="20"/>
              </w:rPr>
              <w:t xml:space="preserve">  Yes</w:t>
            </w:r>
            <w:proofErr w:type="gramEnd"/>
            <w:r w:rsidRPr="00744462">
              <w:rPr>
                <w:rFonts w:ascii="Helvetica" w:hAnsi="Helvetica"/>
                <w:sz w:val="20"/>
                <w:szCs w:val="20"/>
              </w:rPr>
              <w:t xml:space="preserve"> UTI</w:t>
            </w:r>
          </w:p>
        </w:tc>
        <w:tc>
          <w:tcPr>
            <w:tcW w:w="963" w:type="dxa"/>
            <w:gridSpan w:val="2"/>
            <w:tcBorders>
              <w:top w:val="single" w:sz="4" w:space="0" w:color="auto"/>
              <w:left w:val="nil"/>
              <w:bottom w:val="nil"/>
              <w:right w:val="nil"/>
            </w:tcBorders>
            <w:shd w:val="clear" w:color="auto" w:fill="auto"/>
            <w:hideMark/>
          </w:tcPr>
          <w:p w14:paraId="2B51AD9E" w14:textId="77777777" w:rsidR="00116427" w:rsidRPr="00744462" w:rsidRDefault="00116427" w:rsidP="002F324A">
            <w:pPr>
              <w:spacing w:after="0" w:line="240" w:lineRule="auto"/>
              <w:jc w:val="center"/>
              <w:rPr>
                <w:rFonts w:ascii="Helvetica" w:eastAsia="Times New Roman" w:hAnsi="Helvetica"/>
                <w:sz w:val="20"/>
                <w:szCs w:val="20"/>
                <w:lang w:eastAsia="en-GB"/>
              </w:rPr>
            </w:pPr>
            <w:r w:rsidRPr="00744462">
              <w:rPr>
                <w:rFonts w:ascii="Helvetica" w:eastAsia="Times New Roman" w:hAnsi="Helvetica"/>
                <w:sz w:val="20"/>
                <w:szCs w:val="20"/>
                <w:lang w:eastAsia="en-GB"/>
              </w:rPr>
              <w:br/>
              <w:t>108 (37%)</w:t>
            </w:r>
          </w:p>
        </w:tc>
        <w:tc>
          <w:tcPr>
            <w:tcW w:w="992" w:type="dxa"/>
            <w:tcBorders>
              <w:top w:val="single" w:sz="4" w:space="0" w:color="auto"/>
              <w:left w:val="nil"/>
              <w:bottom w:val="nil"/>
              <w:right w:val="nil"/>
            </w:tcBorders>
            <w:shd w:val="clear" w:color="auto" w:fill="auto"/>
            <w:hideMark/>
          </w:tcPr>
          <w:p w14:paraId="777E5EBC" w14:textId="77777777" w:rsidR="00116427" w:rsidRPr="00744462" w:rsidRDefault="00116427" w:rsidP="002F324A">
            <w:pPr>
              <w:spacing w:after="0" w:line="240" w:lineRule="auto"/>
              <w:jc w:val="center"/>
              <w:rPr>
                <w:rFonts w:ascii="Helvetica" w:eastAsia="Times New Roman" w:hAnsi="Helvetica"/>
                <w:b/>
                <w:sz w:val="20"/>
                <w:szCs w:val="20"/>
                <w:lang w:eastAsia="en-GB"/>
              </w:rPr>
            </w:pPr>
            <w:r w:rsidRPr="00744462">
              <w:rPr>
                <w:rFonts w:ascii="Helvetica" w:eastAsia="Times New Roman" w:hAnsi="Helvetica"/>
                <w:sz w:val="20"/>
                <w:szCs w:val="20"/>
                <w:lang w:eastAsia="en-GB"/>
              </w:rPr>
              <w:br/>
            </w:r>
            <w:r w:rsidRPr="00744462">
              <w:rPr>
                <w:rFonts w:ascii="Helvetica" w:eastAsia="Times New Roman" w:hAnsi="Helvetica"/>
                <w:b/>
                <w:sz w:val="20"/>
                <w:szCs w:val="20"/>
                <w:lang w:eastAsia="en-GB"/>
              </w:rPr>
              <w:t>94 (33%)</w:t>
            </w:r>
          </w:p>
        </w:tc>
        <w:tc>
          <w:tcPr>
            <w:tcW w:w="709" w:type="dxa"/>
            <w:tcBorders>
              <w:top w:val="single" w:sz="4" w:space="0" w:color="auto"/>
              <w:left w:val="nil"/>
              <w:bottom w:val="nil"/>
              <w:right w:val="single" w:sz="4" w:space="0" w:color="auto"/>
            </w:tcBorders>
            <w:shd w:val="clear" w:color="auto" w:fill="auto"/>
            <w:hideMark/>
          </w:tcPr>
          <w:p w14:paraId="4605586B" w14:textId="77777777" w:rsidR="00116427" w:rsidRPr="00744462" w:rsidRDefault="00116427" w:rsidP="002F324A">
            <w:pPr>
              <w:spacing w:after="0" w:line="240" w:lineRule="auto"/>
              <w:jc w:val="center"/>
              <w:rPr>
                <w:rFonts w:ascii="Helvetica" w:eastAsia="Times New Roman" w:hAnsi="Helvetica"/>
                <w:sz w:val="20"/>
                <w:szCs w:val="20"/>
                <w:lang w:eastAsia="en-GB"/>
              </w:rPr>
            </w:pPr>
            <w:r w:rsidRPr="00744462">
              <w:rPr>
                <w:rFonts w:ascii="Helvetica" w:eastAsia="Times New Roman" w:hAnsi="Helvetica"/>
                <w:sz w:val="20"/>
                <w:szCs w:val="20"/>
                <w:lang w:eastAsia="en-GB"/>
              </w:rPr>
              <w:br/>
              <w:t>202</w:t>
            </w:r>
          </w:p>
        </w:tc>
      </w:tr>
      <w:tr w:rsidR="00F64918" w:rsidRPr="00744462" w14:paraId="3E13E8C3" w14:textId="77777777" w:rsidTr="002F324A">
        <w:tc>
          <w:tcPr>
            <w:tcW w:w="1272" w:type="dxa"/>
            <w:tcBorders>
              <w:top w:val="nil"/>
              <w:left w:val="single" w:sz="4" w:space="0" w:color="auto"/>
              <w:bottom w:val="nil"/>
              <w:right w:val="nil"/>
            </w:tcBorders>
            <w:shd w:val="clear" w:color="auto" w:fill="auto"/>
            <w:hideMark/>
          </w:tcPr>
          <w:p w14:paraId="532B407A" w14:textId="1C81099E"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hAnsi="Helvetica"/>
                <w:sz w:val="20"/>
                <w:szCs w:val="20"/>
              </w:rPr>
              <w:t>No UTI</w:t>
            </w:r>
          </w:p>
        </w:tc>
        <w:tc>
          <w:tcPr>
            <w:tcW w:w="963" w:type="dxa"/>
            <w:gridSpan w:val="2"/>
            <w:tcBorders>
              <w:top w:val="nil"/>
              <w:left w:val="nil"/>
              <w:bottom w:val="nil"/>
              <w:right w:val="nil"/>
            </w:tcBorders>
            <w:shd w:val="clear" w:color="auto" w:fill="auto"/>
            <w:hideMark/>
          </w:tcPr>
          <w:p w14:paraId="3D556BE7" w14:textId="77777777" w:rsidR="00116427" w:rsidRPr="00744462" w:rsidRDefault="00116427" w:rsidP="002F324A">
            <w:pPr>
              <w:spacing w:after="0" w:line="240" w:lineRule="auto"/>
              <w:jc w:val="center"/>
              <w:rPr>
                <w:rFonts w:ascii="Helvetica" w:eastAsia="Times New Roman" w:hAnsi="Helvetica"/>
                <w:b/>
                <w:sz w:val="20"/>
                <w:szCs w:val="20"/>
                <w:lang w:eastAsia="en-GB"/>
              </w:rPr>
            </w:pPr>
            <w:r w:rsidRPr="00744462">
              <w:rPr>
                <w:rFonts w:ascii="Helvetica" w:eastAsia="Times New Roman" w:hAnsi="Helvetica"/>
                <w:b/>
                <w:sz w:val="20"/>
                <w:szCs w:val="20"/>
                <w:lang w:eastAsia="en-GB"/>
              </w:rPr>
              <w:t>29 (10%)</w:t>
            </w:r>
          </w:p>
        </w:tc>
        <w:tc>
          <w:tcPr>
            <w:tcW w:w="992" w:type="dxa"/>
            <w:tcBorders>
              <w:top w:val="nil"/>
              <w:left w:val="nil"/>
              <w:bottom w:val="nil"/>
              <w:right w:val="nil"/>
            </w:tcBorders>
            <w:shd w:val="clear" w:color="auto" w:fill="auto"/>
            <w:hideMark/>
          </w:tcPr>
          <w:p w14:paraId="11193FC2" w14:textId="77777777" w:rsidR="00116427" w:rsidRPr="00744462" w:rsidRDefault="00116427" w:rsidP="002F324A">
            <w:pPr>
              <w:spacing w:after="0" w:line="240" w:lineRule="auto"/>
              <w:jc w:val="center"/>
              <w:rPr>
                <w:rFonts w:ascii="Helvetica" w:eastAsia="Times New Roman" w:hAnsi="Helvetica"/>
                <w:sz w:val="20"/>
                <w:szCs w:val="20"/>
                <w:lang w:eastAsia="en-GB"/>
              </w:rPr>
            </w:pPr>
            <w:r w:rsidRPr="00744462">
              <w:rPr>
                <w:rFonts w:ascii="Helvetica" w:eastAsia="Times New Roman" w:hAnsi="Helvetica"/>
                <w:sz w:val="20"/>
                <w:szCs w:val="20"/>
                <w:lang w:eastAsia="en-GB"/>
              </w:rPr>
              <w:t>58 (20%)</w:t>
            </w:r>
          </w:p>
        </w:tc>
        <w:tc>
          <w:tcPr>
            <w:tcW w:w="709" w:type="dxa"/>
            <w:tcBorders>
              <w:top w:val="nil"/>
              <w:left w:val="nil"/>
              <w:bottom w:val="nil"/>
              <w:right w:val="single" w:sz="4" w:space="0" w:color="auto"/>
            </w:tcBorders>
            <w:shd w:val="clear" w:color="auto" w:fill="auto"/>
            <w:hideMark/>
          </w:tcPr>
          <w:p w14:paraId="10AFA9DB" w14:textId="77777777" w:rsidR="00116427" w:rsidRPr="00744462" w:rsidRDefault="00116427" w:rsidP="002F324A">
            <w:pPr>
              <w:spacing w:after="0" w:line="240" w:lineRule="auto"/>
              <w:jc w:val="center"/>
              <w:rPr>
                <w:rFonts w:ascii="Helvetica" w:eastAsia="Times New Roman" w:hAnsi="Helvetica"/>
                <w:sz w:val="20"/>
                <w:szCs w:val="20"/>
                <w:lang w:eastAsia="en-GB"/>
              </w:rPr>
            </w:pPr>
            <w:r w:rsidRPr="00744462">
              <w:rPr>
                <w:rFonts w:ascii="Helvetica" w:eastAsia="Times New Roman" w:hAnsi="Helvetica"/>
                <w:sz w:val="20"/>
                <w:szCs w:val="20"/>
                <w:lang w:eastAsia="en-GB"/>
              </w:rPr>
              <w:t>87</w:t>
            </w:r>
          </w:p>
        </w:tc>
      </w:tr>
      <w:tr w:rsidR="00F64918" w:rsidRPr="00744462" w14:paraId="01FDC9EE" w14:textId="77777777" w:rsidTr="002F324A">
        <w:tc>
          <w:tcPr>
            <w:tcW w:w="1272" w:type="dxa"/>
            <w:tcBorders>
              <w:top w:val="nil"/>
              <w:left w:val="single" w:sz="4" w:space="0" w:color="auto"/>
              <w:bottom w:val="single" w:sz="4" w:space="0" w:color="auto"/>
              <w:right w:val="nil"/>
            </w:tcBorders>
            <w:shd w:val="clear" w:color="auto" w:fill="auto"/>
            <w:hideMark/>
          </w:tcPr>
          <w:p w14:paraId="1CD54F24" w14:textId="06364A52" w:rsidR="00116427" w:rsidRPr="00744462" w:rsidRDefault="00621302" w:rsidP="002F324A">
            <w:pPr>
              <w:spacing w:after="0" w:line="240" w:lineRule="auto"/>
              <w:rPr>
                <w:rFonts w:ascii="Helvetica" w:eastAsia="Times New Roman" w:hAnsi="Helvetica"/>
                <w:sz w:val="20"/>
                <w:szCs w:val="20"/>
                <w:lang w:eastAsia="en-GB"/>
              </w:rPr>
            </w:pPr>
            <w:r>
              <w:rPr>
                <w:rFonts w:ascii="Helvetica" w:hAnsi="Helvetica"/>
                <w:sz w:val="20"/>
                <w:szCs w:val="20"/>
              </w:rPr>
              <w:t xml:space="preserve"> T</w:t>
            </w:r>
            <w:r w:rsidR="00116427" w:rsidRPr="00744462">
              <w:rPr>
                <w:rFonts w:ascii="Helvetica" w:hAnsi="Helvetica"/>
                <w:sz w:val="20"/>
                <w:szCs w:val="20"/>
              </w:rPr>
              <w:t>otal</w:t>
            </w:r>
          </w:p>
        </w:tc>
        <w:tc>
          <w:tcPr>
            <w:tcW w:w="963" w:type="dxa"/>
            <w:gridSpan w:val="2"/>
            <w:tcBorders>
              <w:top w:val="nil"/>
              <w:left w:val="nil"/>
              <w:bottom w:val="single" w:sz="4" w:space="0" w:color="auto"/>
              <w:right w:val="nil"/>
            </w:tcBorders>
            <w:shd w:val="clear" w:color="auto" w:fill="auto"/>
            <w:hideMark/>
          </w:tcPr>
          <w:p w14:paraId="3E49EACD" w14:textId="77777777" w:rsidR="00116427" w:rsidRPr="00744462" w:rsidRDefault="00116427" w:rsidP="002F324A">
            <w:pPr>
              <w:spacing w:after="0" w:line="240" w:lineRule="auto"/>
              <w:jc w:val="center"/>
              <w:rPr>
                <w:rFonts w:ascii="Helvetica" w:eastAsia="Times New Roman" w:hAnsi="Helvetica"/>
                <w:sz w:val="20"/>
                <w:szCs w:val="20"/>
                <w:lang w:eastAsia="en-GB"/>
              </w:rPr>
            </w:pPr>
            <w:r w:rsidRPr="00744462">
              <w:rPr>
                <w:rFonts w:ascii="Helvetica" w:eastAsia="Times New Roman" w:hAnsi="Helvetica"/>
                <w:sz w:val="20"/>
                <w:szCs w:val="20"/>
                <w:lang w:eastAsia="en-GB"/>
              </w:rPr>
              <w:t>137</w:t>
            </w:r>
          </w:p>
        </w:tc>
        <w:tc>
          <w:tcPr>
            <w:tcW w:w="992" w:type="dxa"/>
            <w:tcBorders>
              <w:top w:val="nil"/>
              <w:left w:val="nil"/>
              <w:bottom w:val="single" w:sz="4" w:space="0" w:color="auto"/>
              <w:right w:val="nil"/>
            </w:tcBorders>
            <w:shd w:val="clear" w:color="auto" w:fill="auto"/>
            <w:hideMark/>
          </w:tcPr>
          <w:p w14:paraId="34C18254" w14:textId="77777777" w:rsidR="00116427" w:rsidRPr="00744462" w:rsidRDefault="00116427" w:rsidP="002F324A">
            <w:pPr>
              <w:spacing w:after="0" w:line="240" w:lineRule="auto"/>
              <w:jc w:val="center"/>
              <w:rPr>
                <w:rFonts w:ascii="Helvetica" w:eastAsia="Times New Roman" w:hAnsi="Helvetica"/>
                <w:sz w:val="20"/>
                <w:szCs w:val="20"/>
                <w:lang w:eastAsia="en-GB"/>
              </w:rPr>
            </w:pPr>
            <w:r w:rsidRPr="00744462">
              <w:rPr>
                <w:rFonts w:ascii="Helvetica" w:eastAsia="Times New Roman" w:hAnsi="Helvetica"/>
                <w:sz w:val="20"/>
                <w:szCs w:val="20"/>
                <w:lang w:eastAsia="en-GB"/>
              </w:rPr>
              <w:t>152</w:t>
            </w:r>
          </w:p>
        </w:tc>
        <w:tc>
          <w:tcPr>
            <w:tcW w:w="709" w:type="dxa"/>
            <w:tcBorders>
              <w:top w:val="nil"/>
              <w:left w:val="nil"/>
              <w:bottom w:val="single" w:sz="4" w:space="0" w:color="auto"/>
              <w:right w:val="single" w:sz="4" w:space="0" w:color="auto"/>
            </w:tcBorders>
            <w:shd w:val="clear" w:color="auto" w:fill="auto"/>
            <w:hideMark/>
          </w:tcPr>
          <w:p w14:paraId="7EB1B1C5" w14:textId="77777777" w:rsidR="00116427" w:rsidRPr="00744462" w:rsidRDefault="00116427" w:rsidP="002F324A">
            <w:pPr>
              <w:spacing w:after="0" w:line="240" w:lineRule="auto"/>
              <w:jc w:val="center"/>
              <w:rPr>
                <w:rFonts w:ascii="Helvetica" w:eastAsia="Times New Roman" w:hAnsi="Helvetica"/>
                <w:sz w:val="20"/>
                <w:szCs w:val="20"/>
                <w:lang w:eastAsia="en-GB"/>
              </w:rPr>
            </w:pPr>
            <w:r w:rsidRPr="00744462">
              <w:rPr>
                <w:rFonts w:ascii="Helvetica" w:eastAsia="Times New Roman" w:hAnsi="Helvetica"/>
                <w:sz w:val="20"/>
                <w:szCs w:val="20"/>
                <w:lang w:eastAsia="en-GB"/>
              </w:rPr>
              <w:t>289</w:t>
            </w:r>
          </w:p>
        </w:tc>
      </w:tr>
      <w:tr w:rsidR="00116427" w:rsidRPr="00744462" w14:paraId="10438B54" w14:textId="77777777" w:rsidTr="002F324A">
        <w:trPr>
          <w:trHeight w:val="300"/>
        </w:trPr>
        <w:tc>
          <w:tcPr>
            <w:tcW w:w="3936" w:type="dxa"/>
            <w:gridSpan w:val="5"/>
            <w:tcBorders>
              <w:top w:val="single" w:sz="4" w:space="0" w:color="auto"/>
              <w:left w:val="single" w:sz="4" w:space="0" w:color="auto"/>
              <w:bottom w:val="nil"/>
              <w:right w:val="single" w:sz="4" w:space="0" w:color="auto"/>
            </w:tcBorders>
            <w:shd w:val="clear" w:color="auto" w:fill="auto"/>
            <w:vAlign w:val="bottom"/>
          </w:tcPr>
          <w:p w14:paraId="00387094"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hAnsi="Helvetica" w:cs="Times New Roman"/>
                <w:b/>
                <w:sz w:val="20"/>
                <w:szCs w:val="20"/>
              </w:rPr>
              <w:t>Statistical measurements</w:t>
            </w:r>
          </w:p>
        </w:tc>
      </w:tr>
      <w:tr w:rsidR="00936196" w:rsidRPr="00744462" w14:paraId="40C63C81" w14:textId="77777777" w:rsidTr="002F324A">
        <w:trPr>
          <w:trHeight w:val="227"/>
        </w:trPr>
        <w:tc>
          <w:tcPr>
            <w:tcW w:w="1758" w:type="dxa"/>
            <w:gridSpan w:val="2"/>
            <w:tcBorders>
              <w:top w:val="nil"/>
              <w:left w:val="single" w:sz="4" w:space="0" w:color="auto"/>
              <w:bottom w:val="nil"/>
              <w:right w:val="nil"/>
            </w:tcBorders>
            <w:shd w:val="clear" w:color="auto" w:fill="auto"/>
            <w:hideMark/>
          </w:tcPr>
          <w:p w14:paraId="0A44CA6A"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 xml:space="preserve">Sensitivity </w:t>
            </w:r>
            <w:r w:rsidRPr="00744462">
              <w:rPr>
                <w:rFonts w:ascii="Helvetica" w:eastAsia="Times New Roman" w:hAnsi="Helvetica"/>
                <w:i/>
                <w:sz w:val="20"/>
                <w:szCs w:val="20"/>
                <w:lang w:eastAsia="en-GB"/>
              </w:rPr>
              <w:t>(95%CI)</w:t>
            </w:r>
          </w:p>
        </w:tc>
        <w:tc>
          <w:tcPr>
            <w:tcW w:w="2178" w:type="dxa"/>
            <w:gridSpan w:val="3"/>
            <w:tcBorders>
              <w:top w:val="nil"/>
              <w:left w:val="nil"/>
              <w:bottom w:val="nil"/>
              <w:right w:val="single" w:sz="4" w:space="0" w:color="auto"/>
            </w:tcBorders>
            <w:shd w:val="clear" w:color="auto" w:fill="auto"/>
            <w:hideMark/>
          </w:tcPr>
          <w:p w14:paraId="0C15F0DE" w14:textId="01E7F461"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 xml:space="preserve">78.8 </w:t>
            </w:r>
            <w:r w:rsidRPr="00744462">
              <w:rPr>
                <w:rFonts w:ascii="Helvetica" w:eastAsia="Times New Roman" w:hAnsi="Helvetica"/>
                <w:i/>
                <w:sz w:val="20"/>
                <w:szCs w:val="20"/>
                <w:lang w:eastAsia="en-GB"/>
              </w:rPr>
              <w:t>(71.0-85.3)</w:t>
            </w:r>
          </w:p>
        </w:tc>
      </w:tr>
      <w:tr w:rsidR="00936196" w:rsidRPr="00744462" w14:paraId="1E75FD42" w14:textId="77777777" w:rsidTr="002F324A">
        <w:trPr>
          <w:trHeight w:val="227"/>
        </w:trPr>
        <w:tc>
          <w:tcPr>
            <w:tcW w:w="1758" w:type="dxa"/>
            <w:gridSpan w:val="2"/>
            <w:tcBorders>
              <w:top w:val="nil"/>
              <w:left w:val="single" w:sz="4" w:space="0" w:color="auto"/>
              <w:bottom w:val="nil"/>
              <w:right w:val="nil"/>
            </w:tcBorders>
            <w:shd w:val="clear" w:color="auto" w:fill="auto"/>
            <w:hideMark/>
          </w:tcPr>
          <w:p w14:paraId="100C0220"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 xml:space="preserve">Specificity </w:t>
            </w:r>
            <w:r w:rsidRPr="00744462">
              <w:rPr>
                <w:rFonts w:ascii="Helvetica" w:eastAsia="Times New Roman" w:hAnsi="Helvetica"/>
                <w:i/>
                <w:sz w:val="20"/>
                <w:szCs w:val="20"/>
                <w:lang w:eastAsia="en-GB"/>
              </w:rPr>
              <w:t>(95% CI)</w:t>
            </w:r>
          </w:p>
        </w:tc>
        <w:tc>
          <w:tcPr>
            <w:tcW w:w="2178" w:type="dxa"/>
            <w:gridSpan w:val="3"/>
            <w:tcBorders>
              <w:top w:val="nil"/>
              <w:left w:val="nil"/>
              <w:bottom w:val="nil"/>
              <w:right w:val="single" w:sz="4" w:space="0" w:color="auto"/>
            </w:tcBorders>
            <w:shd w:val="clear" w:color="auto" w:fill="auto"/>
            <w:hideMark/>
          </w:tcPr>
          <w:tbl>
            <w:tblPr>
              <w:tblpPr w:leftFromText="141" w:rightFromText="141" w:vertAnchor="text" w:horzAnchor="margin" w:tblpXSpec="right"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501"/>
            </w:tblGrid>
            <w:tr w:rsidR="00116427" w:rsidRPr="00744462" w14:paraId="5B24C530" w14:textId="77777777" w:rsidTr="00744462">
              <w:trPr>
                <w:trHeight w:val="288"/>
              </w:trPr>
              <w:tc>
                <w:tcPr>
                  <w:tcW w:w="1674" w:type="dxa"/>
                  <w:tcBorders>
                    <w:top w:val="nil"/>
                    <w:left w:val="nil"/>
                    <w:bottom w:val="nil"/>
                    <w:right w:val="nil"/>
                  </w:tcBorders>
                  <w:shd w:val="clear" w:color="auto" w:fill="auto"/>
                  <w:hideMark/>
                </w:tcPr>
                <w:p w14:paraId="37BA3043"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 xml:space="preserve">38.1 </w:t>
                  </w:r>
                  <w:r w:rsidRPr="00744462">
                    <w:rPr>
                      <w:rFonts w:ascii="Helvetica" w:eastAsia="Times New Roman" w:hAnsi="Helvetica"/>
                      <w:i/>
                      <w:sz w:val="20"/>
                      <w:szCs w:val="20"/>
                      <w:lang w:eastAsia="en-GB"/>
                    </w:rPr>
                    <w:t>(30.4-46.4)</w:t>
                  </w:r>
                </w:p>
              </w:tc>
              <w:tc>
                <w:tcPr>
                  <w:tcW w:w="501" w:type="dxa"/>
                  <w:tcBorders>
                    <w:top w:val="nil"/>
                    <w:left w:val="nil"/>
                    <w:bottom w:val="nil"/>
                    <w:right w:val="nil"/>
                  </w:tcBorders>
                  <w:shd w:val="clear" w:color="auto" w:fill="auto"/>
                  <w:vAlign w:val="center"/>
                </w:tcPr>
                <w:p w14:paraId="7CDA3B60" w14:textId="77777777" w:rsidR="00116427" w:rsidRPr="00744462" w:rsidRDefault="00116427" w:rsidP="002F324A">
                  <w:pPr>
                    <w:spacing w:after="0" w:line="240" w:lineRule="auto"/>
                    <w:rPr>
                      <w:rFonts w:ascii="Helvetica" w:eastAsia="Times New Roman" w:hAnsi="Helvetica"/>
                      <w:sz w:val="20"/>
                      <w:szCs w:val="20"/>
                      <w:lang w:eastAsia="en-GB"/>
                    </w:rPr>
                  </w:pPr>
                </w:p>
              </w:tc>
            </w:tr>
          </w:tbl>
          <w:p w14:paraId="2CADB142" w14:textId="2CF1B3A1" w:rsidR="00116427" w:rsidRPr="00744462" w:rsidRDefault="00116427" w:rsidP="002F324A">
            <w:pPr>
              <w:spacing w:after="0" w:line="240" w:lineRule="auto"/>
              <w:rPr>
                <w:rFonts w:ascii="Helvetica" w:eastAsia="Times New Roman" w:hAnsi="Helvetica"/>
                <w:sz w:val="20"/>
                <w:szCs w:val="20"/>
                <w:lang w:eastAsia="en-GB"/>
              </w:rPr>
            </w:pPr>
          </w:p>
        </w:tc>
      </w:tr>
      <w:tr w:rsidR="00936196" w:rsidRPr="00744462" w14:paraId="083D04FC" w14:textId="77777777" w:rsidTr="002F324A">
        <w:trPr>
          <w:trHeight w:val="227"/>
        </w:trPr>
        <w:tc>
          <w:tcPr>
            <w:tcW w:w="1758" w:type="dxa"/>
            <w:gridSpan w:val="2"/>
            <w:tcBorders>
              <w:top w:val="nil"/>
              <w:left w:val="single" w:sz="4" w:space="0" w:color="auto"/>
              <w:bottom w:val="nil"/>
              <w:right w:val="nil"/>
            </w:tcBorders>
            <w:shd w:val="clear" w:color="auto" w:fill="auto"/>
            <w:hideMark/>
          </w:tcPr>
          <w:p w14:paraId="2F817D02" w14:textId="2B298F5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PPV</w:t>
            </w:r>
          </w:p>
        </w:tc>
        <w:tc>
          <w:tcPr>
            <w:tcW w:w="2178" w:type="dxa"/>
            <w:gridSpan w:val="3"/>
            <w:tcBorders>
              <w:top w:val="nil"/>
              <w:left w:val="nil"/>
              <w:bottom w:val="nil"/>
              <w:right w:val="single" w:sz="4" w:space="0" w:color="auto"/>
            </w:tcBorders>
            <w:shd w:val="clear" w:color="auto" w:fill="auto"/>
          </w:tcPr>
          <w:p w14:paraId="15A579C4"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53.5 (46.3-60.5)</w:t>
            </w:r>
          </w:p>
        </w:tc>
      </w:tr>
      <w:tr w:rsidR="00936196" w:rsidRPr="00744462" w14:paraId="330D0AB3" w14:textId="77777777" w:rsidTr="002F324A">
        <w:trPr>
          <w:trHeight w:val="227"/>
        </w:trPr>
        <w:tc>
          <w:tcPr>
            <w:tcW w:w="1758" w:type="dxa"/>
            <w:gridSpan w:val="2"/>
            <w:tcBorders>
              <w:top w:val="nil"/>
              <w:left w:val="single" w:sz="4" w:space="0" w:color="auto"/>
              <w:bottom w:val="nil"/>
              <w:right w:val="nil"/>
            </w:tcBorders>
            <w:shd w:val="clear" w:color="auto" w:fill="auto"/>
            <w:hideMark/>
          </w:tcPr>
          <w:p w14:paraId="27F4F48A" w14:textId="76C29428"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NPV</w:t>
            </w:r>
          </w:p>
        </w:tc>
        <w:tc>
          <w:tcPr>
            <w:tcW w:w="2178" w:type="dxa"/>
            <w:gridSpan w:val="3"/>
            <w:tcBorders>
              <w:top w:val="nil"/>
              <w:left w:val="nil"/>
              <w:bottom w:val="nil"/>
              <w:right w:val="single" w:sz="4" w:space="0" w:color="auto"/>
            </w:tcBorders>
            <w:shd w:val="clear" w:color="auto" w:fill="auto"/>
          </w:tcPr>
          <w:p w14:paraId="7B56266D"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66.7 (55.8-76.4)</w:t>
            </w:r>
          </w:p>
        </w:tc>
      </w:tr>
      <w:tr w:rsidR="00936196" w:rsidRPr="00744462" w14:paraId="668122AD" w14:textId="77777777" w:rsidTr="002F324A">
        <w:trPr>
          <w:trHeight w:val="227"/>
        </w:trPr>
        <w:tc>
          <w:tcPr>
            <w:tcW w:w="1758" w:type="dxa"/>
            <w:gridSpan w:val="2"/>
            <w:tcBorders>
              <w:top w:val="nil"/>
              <w:left w:val="single" w:sz="4" w:space="0" w:color="auto"/>
              <w:bottom w:val="nil"/>
              <w:right w:val="nil"/>
            </w:tcBorders>
            <w:shd w:val="clear" w:color="auto" w:fill="auto"/>
            <w:hideMark/>
          </w:tcPr>
          <w:p w14:paraId="16604C79" w14:textId="56E1451C" w:rsidR="00116427" w:rsidRPr="00744462" w:rsidRDefault="00116427" w:rsidP="002F324A">
            <w:pPr>
              <w:spacing w:after="0" w:line="240" w:lineRule="auto"/>
              <w:rPr>
                <w:rFonts w:ascii="Helvetica" w:hAnsi="Helvetica"/>
                <w:sz w:val="20"/>
                <w:szCs w:val="20"/>
              </w:rPr>
            </w:pPr>
            <w:r w:rsidRPr="00744462">
              <w:rPr>
                <w:rFonts w:ascii="Helvetica" w:eastAsia="Times New Roman" w:hAnsi="Helvetica"/>
                <w:sz w:val="20"/>
                <w:szCs w:val="20"/>
                <w:lang w:eastAsia="en-GB"/>
              </w:rPr>
              <w:t>Error rate (%)</w:t>
            </w:r>
          </w:p>
        </w:tc>
        <w:tc>
          <w:tcPr>
            <w:tcW w:w="2178" w:type="dxa"/>
            <w:gridSpan w:val="3"/>
            <w:tcBorders>
              <w:top w:val="nil"/>
              <w:left w:val="nil"/>
              <w:bottom w:val="nil"/>
              <w:right w:val="single" w:sz="4" w:space="0" w:color="auto"/>
            </w:tcBorders>
            <w:shd w:val="clear" w:color="auto" w:fill="auto"/>
            <w:hideMark/>
          </w:tcPr>
          <w:p w14:paraId="07627076" w14:textId="77777777" w:rsidR="00116427" w:rsidRPr="00744462" w:rsidRDefault="00116427" w:rsidP="002F324A">
            <w:pPr>
              <w:spacing w:after="0" w:line="240" w:lineRule="auto"/>
              <w:rPr>
                <w:rFonts w:ascii="Helvetica" w:hAnsi="Helvetica"/>
                <w:sz w:val="20"/>
                <w:szCs w:val="20"/>
              </w:rPr>
            </w:pPr>
            <w:r w:rsidRPr="00744462">
              <w:rPr>
                <w:rFonts w:ascii="Helvetica" w:eastAsia="Times New Roman" w:hAnsi="Helvetica"/>
                <w:sz w:val="20"/>
                <w:szCs w:val="20"/>
                <w:lang w:eastAsia="en-GB"/>
              </w:rPr>
              <w:t>43%</w:t>
            </w:r>
          </w:p>
        </w:tc>
      </w:tr>
      <w:tr w:rsidR="00936196" w:rsidRPr="00744462" w14:paraId="3A8BA386" w14:textId="77777777" w:rsidTr="002F324A">
        <w:trPr>
          <w:trHeight w:val="227"/>
        </w:trPr>
        <w:tc>
          <w:tcPr>
            <w:tcW w:w="1758" w:type="dxa"/>
            <w:gridSpan w:val="2"/>
            <w:tcBorders>
              <w:top w:val="nil"/>
              <w:left w:val="single" w:sz="4" w:space="0" w:color="auto"/>
              <w:bottom w:val="nil"/>
              <w:right w:val="nil"/>
            </w:tcBorders>
            <w:shd w:val="clear" w:color="auto" w:fill="auto"/>
            <w:hideMark/>
          </w:tcPr>
          <w:p w14:paraId="031C2F74" w14:textId="67047811" w:rsidR="00116427" w:rsidRPr="00744462" w:rsidRDefault="00116427" w:rsidP="002F324A">
            <w:pPr>
              <w:spacing w:after="0" w:line="240" w:lineRule="auto"/>
              <w:rPr>
                <w:rFonts w:ascii="Helvetica" w:hAnsi="Helvetica"/>
                <w:sz w:val="20"/>
                <w:szCs w:val="20"/>
              </w:rPr>
            </w:pPr>
            <w:r w:rsidRPr="00744462">
              <w:rPr>
                <w:rFonts w:ascii="Helvetica" w:eastAsia="Times New Roman" w:hAnsi="Helvetica"/>
                <w:sz w:val="20"/>
                <w:szCs w:val="20"/>
                <w:lang w:eastAsia="en-GB"/>
              </w:rPr>
              <w:t xml:space="preserve">Kappa </w:t>
            </w:r>
            <w:r w:rsidRPr="00744462">
              <w:rPr>
                <w:rFonts w:ascii="Helvetica" w:eastAsia="Times New Roman" w:hAnsi="Helvetica"/>
                <w:i/>
                <w:sz w:val="20"/>
                <w:szCs w:val="20"/>
                <w:lang w:eastAsia="en-GB"/>
              </w:rPr>
              <w:t>(95%CI)</w:t>
            </w:r>
          </w:p>
        </w:tc>
        <w:tc>
          <w:tcPr>
            <w:tcW w:w="2178" w:type="dxa"/>
            <w:gridSpan w:val="3"/>
            <w:tcBorders>
              <w:top w:val="nil"/>
              <w:left w:val="nil"/>
              <w:bottom w:val="nil"/>
              <w:right w:val="single" w:sz="4" w:space="0" w:color="auto"/>
            </w:tcBorders>
            <w:shd w:val="clear" w:color="auto" w:fill="auto"/>
            <w:hideMark/>
          </w:tcPr>
          <w:p w14:paraId="6B551821" w14:textId="60246DF5" w:rsidR="00116427" w:rsidRPr="00744462" w:rsidRDefault="00116427" w:rsidP="002F324A">
            <w:pPr>
              <w:spacing w:after="0" w:line="240" w:lineRule="auto"/>
              <w:rPr>
                <w:rFonts w:ascii="Helvetica" w:hAnsi="Helvetica"/>
                <w:sz w:val="20"/>
                <w:szCs w:val="20"/>
              </w:rPr>
            </w:pPr>
            <w:r w:rsidRPr="00744462">
              <w:rPr>
                <w:rFonts w:ascii="Helvetica" w:eastAsia="Times New Roman" w:hAnsi="Helvetica"/>
                <w:sz w:val="20"/>
                <w:szCs w:val="20"/>
                <w:lang w:eastAsia="en-GB"/>
              </w:rPr>
              <w:t xml:space="preserve">0.17 </w:t>
            </w:r>
            <w:r w:rsidRPr="00744462">
              <w:rPr>
                <w:rFonts w:ascii="Helvetica" w:eastAsia="Times New Roman" w:hAnsi="Helvetica"/>
                <w:i/>
                <w:sz w:val="20"/>
                <w:szCs w:val="20"/>
                <w:lang w:eastAsia="en-GB"/>
              </w:rPr>
              <w:t>(0.07-0.27)</w:t>
            </w:r>
          </w:p>
        </w:tc>
      </w:tr>
      <w:tr w:rsidR="00936196" w:rsidRPr="00744462" w14:paraId="31705AD6" w14:textId="77777777" w:rsidTr="002F324A">
        <w:trPr>
          <w:trHeight w:val="227"/>
        </w:trPr>
        <w:tc>
          <w:tcPr>
            <w:tcW w:w="1758" w:type="dxa"/>
            <w:gridSpan w:val="2"/>
            <w:tcBorders>
              <w:top w:val="nil"/>
              <w:left w:val="single" w:sz="4" w:space="0" w:color="auto"/>
              <w:bottom w:val="single" w:sz="4" w:space="0" w:color="auto"/>
              <w:right w:val="nil"/>
            </w:tcBorders>
            <w:shd w:val="clear" w:color="auto" w:fill="auto"/>
            <w:hideMark/>
          </w:tcPr>
          <w:p w14:paraId="1A0D2E10" w14:textId="21C53DD7" w:rsidR="00116427" w:rsidRPr="00744462" w:rsidRDefault="00116427" w:rsidP="002F324A">
            <w:pPr>
              <w:spacing w:after="0" w:line="240" w:lineRule="auto"/>
              <w:rPr>
                <w:rFonts w:ascii="Helvetica" w:hAnsi="Helvetica"/>
                <w:sz w:val="20"/>
                <w:szCs w:val="20"/>
              </w:rPr>
            </w:pPr>
            <w:r w:rsidRPr="00744462">
              <w:rPr>
                <w:rFonts w:ascii="Helvetica" w:eastAsia="Times New Roman" w:hAnsi="Helvetica"/>
                <w:sz w:val="20"/>
                <w:szCs w:val="20"/>
                <w:lang w:eastAsia="en-GB"/>
              </w:rPr>
              <w:t>PABAK</w:t>
            </w:r>
          </w:p>
        </w:tc>
        <w:tc>
          <w:tcPr>
            <w:tcW w:w="2178" w:type="dxa"/>
            <w:gridSpan w:val="3"/>
            <w:tcBorders>
              <w:top w:val="nil"/>
              <w:left w:val="nil"/>
              <w:bottom w:val="single" w:sz="4" w:space="0" w:color="auto"/>
              <w:right w:val="single" w:sz="4" w:space="0" w:color="auto"/>
            </w:tcBorders>
            <w:shd w:val="clear" w:color="auto" w:fill="auto"/>
            <w:hideMark/>
          </w:tcPr>
          <w:p w14:paraId="06ACE240" w14:textId="303EC038" w:rsidR="00116427" w:rsidRPr="00744462" w:rsidRDefault="00116427" w:rsidP="002F324A">
            <w:pPr>
              <w:spacing w:after="0" w:line="240" w:lineRule="auto"/>
              <w:rPr>
                <w:rFonts w:ascii="Helvetica" w:hAnsi="Helvetica"/>
                <w:sz w:val="20"/>
                <w:szCs w:val="20"/>
              </w:rPr>
            </w:pPr>
            <w:r w:rsidRPr="00744462">
              <w:rPr>
                <w:rFonts w:ascii="Helvetica" w:eastAsia="Times New Roman" w:hAnsi="Helvetica"/>
                <w:sz w:val="20"/>
                <w:szCs w:val="20"/>
                <w:lang w:eastAsia="en-GB"/>
              </w:rPr>
              <w:t>0.14</w:t>
            </w:r>
          </w:p>
        </w:tc>
      </w:tr>
    </w:tbl>
    <w:p w14:paraId="3E599650" w14:textId="77777777" w:rsidR="00744462" w:rsidRPr="00744462" w:rsidRDefault="00744462" w:rsidP="00744462">
      <w:pPr>
        <w:spacing w:after="0"/>
        <w:rPr>
          <w:vanish/>
        </w:rPr>
      </w:pPr>
    </w:p>
    <w:tbl>
      <w:tblPr>
        <w:tblpPr w:leftFromText="180" w:rightFromText="180" w:vertAnchor="text" w:horzAnchor="page" w:tblpX="10610" w:tblpYSpec="center"/>
        <w:tblOverlap w:val="never"/>
        <w:tblW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441"/>
        <w:gridCol w:w="551"/>
        <w:gridCol w:w="991"/>
        <w:gridCol w:w="751"/>
      </w:tblGrid>
      <w:tr w:rsidR="00F64918" w:rsidRPr="00744462" w14:paraId="2EEE53D8" w14:textId="77777777" w:rsidTr="002F324A">
        <w:trPr>
          <w:trHeight w:val="343"/>
        </w:trPr>
        <w:tc>
          <w:tcPr>
            <w:tcW w:w="1406" w:type="dxa"/>
            <w:vMerge w:val="restart"/>
            <w:tcBorders>
              <w:top w:val="single" w:sz="4" w:space="0" w:color="auto"/>
              <w:left w:val="single" w:sz="4" w:space="0" w:color="auto"/>
              <w:bottom w:val="single" w:sz="4" w:space="0" w:color="auto"/>
              <w:right w:val="nil"/>
            </w:tcBorders>
            <w:shd w:val="clear" w:color="auto" w:fill="auto"/>
            <w:hideMark/>
          </w:tcPr>
          <w:p w14:paraId="0DE85B59"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hAnsi="Helvetica"/>
                <w:b/>
                <w:sz w:val="20"/>
                <w:szCs w:val="20"/>
              </w:rPr>
              <w:t>UTI Yes/No</w:t>
            </w:r>
            <w:r w:rsidRPr="00744462">
              <w:rPr>
                <w:rFonts w:ascii="Helvetica" w:hAnsi="Helvetica"/>
                <w:b/>
                <w:sz w:val="20"/>
                <w:szCs w:val="20"/>
              </w:rPr>
              <w:br/>
              <w:t>n=289</w:t>
            </w:r>
          </w:p>
        </w:tc>
        <w:tc>
          <w:tcPr>
            <w:tcW w:w="2734" w:type="dxa"/>
            <w:gridSpan w:val="4"/>
            <w:tcBorders>
              <w:top w:val="single" w:sz="4" w:space="0" w:color="auto"/>
              <w:left w:val="nil"/>
              <w:bottom w:val="nil"/>
              <w:right w:val="single" w:sz="4" w:space="0" w:color="auto"/>
            </w:tcBorders>
            <w:shd w:val="clear" w:color="auto" w:fill="auto"/>
            <w:hideMark/>
          </w:tcPr>
          <w:p w14:paraId="7213A369" w14:textId="77777777" w:rsidR="00116427" w:rsidRDefault="00116427" w:rsidP="002F324A">
            <w:pPr>
              <w:spacing w:after="0" w:line="240" w:lineRule="auto"/>
              <w:rPr>
                <w:rFonts w:ascii="Helvetica" w:hAnsi="Helvetica"/>
                <w:b/>
                <w:sz w:val="20"/>
                <w:szCs w:val="20"/>
              </w:rPr>
            </w:pPr>
            <w:r w:rsidRPr="00744462">
              <w:rPr>
                <w:rFonts w:ascii="Helvetica" w:hAnsi="Helvetica"/>
                <w:b/>
                <w:sz w:val="20"/>
                <w:szCs w:val="20"/>
              </w:rPr>
              <w:t>UK laboratory definition</w:t>
            </w:r>
          </w:p>
          <w:p w14:paraId="26052878" w14:textId="636AE490" w:rsidR="00621302" w:rsidRPr="00744462" w:rsidRDefault="00621302" w:rsidP="002F324A">
            <w:pPr>
              <w:spacing w:after="0" w:line="240" w:lineRule="auto"/>
              <w:rPr>
                <w:rFonts w:ascii="Helvetica" w:eastAsia="Times New Roman" w:hAnsi="Helvetica"/>
                <w:sz w:val="20"/>
                <w:szCs w:val="20"/>
                <w:lang w:eastAsia="en-GB"/>
              </w:rPr>
            </w:pPr>
          </w:p>
        </w:tc>
      </w:tr>
      <w:tr w:rsidR="002F324A" w:rsidRPr="00744462" w14:paraId="59F684BE" w14:textId="77777777" w:rsidTr="002F324A">
        <w:trPr>
          <w:trHeight w:val="288"/>
        </w:trPr>
        <w:tc>
          <w:tcPr>
            <w:tcW w:w="1406" w:type="dxa"/>
            <w:vMerge/>
            <w:tcBorders>
              <w:top w:val="single" w:sz="4" w:space="0" w:color="auto"/>
              <w:left w:val="single" w:sz="4" w:space="0" w:color="auto"/>
              <w:bottom w:val="single" w:sz="4" w:space="0" w:color="auto"/>
              <w:right w:val="nil"/>
            </w:tcBorders>
            <w:shd w:val="clear" w:color="auto" w:fill="auto"/>
            <w:vAlign w:val="center"/>
            <w:hideMark/>
          </w:tcPr>
          <w:p w14:paraId="08134D8E" w14:textId="77777777" w:rsidR="00116427" w:rsidRPr="00744462" w:rsidRDefault="00116427" w:rsidP="002F324A">
            <w:pPr>
              <w:spacing w:after="0" w:line="240" w:lineRule="auto"/>
              <w:rPr>
                <w:rFonts w:ascii="Helvetica" w:eastAsia="Times New Roman" w:hAnsi="Helvetica" w:cs="Times New Roman"/>
                <w:sz w:val="20"/>
                <w:szCs w:val="20"/>
                <w:lang w:val="nl-NL" w:eastAsia="en-GB"/>
              </w:rPr>
            </w:pPr>
          </w:p>
        </w:tc>
        <w:tc>
          <w:tcPr>
            <w:tcW w:w="992" w:type="dxa"/>
            <w:gridSpan w:val="2"/>
            <w:tcBorders>
              <w:top w:val="nil"/>
              <w:left w:val="nil"/>
              <w:bottom w:val="single" w:sz="4" w:space="0" w:color="auto"/>
              <w:right w:val="nil"/>
            </w:tcBorders>
            <w:shd w:val="clear" w:color="auto" w:fill="auto"/>
            <w:hideMark/>
          </w:tcPr>
          <w:p w14:paraId="6792EA05" w14:textId="7200FEF1"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Yes UTI</w:t>
            </w:r>
          </w:p>
        </w:tc>
        <w:tc>
          <w:tcPr>
            <w:tcW w:w="991" w:type="dxa"/>
            <w:tcBorders>
              <w:top w:val="nil"/>
              <w:left w:val="nil"/>
              <w:bottom w:val="single" w:sz="4" w:space="0" w:color="auto"/>
              <w:right w:val="nil"/>
            </w:tcBorders>
            <w:shd w:val="clear" w:color="auto" w:fill="auto"/>
            <w:hideMark/>
          </w:tcPr>
          <w:p w14:paraId="0A28ACD1"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No UTI</w:t>
            </w:r>
          </w:p>
        </w:tc>
        <w:tc>
          <w:tcPr>
            <w:tcW w:w="751" w:type="dxa"/>
            <w:tcBorders>
              <w:top w:val="nil"/>
              <w:left w:val="nil"/>
              <w:bottom w:val="single" w:sz="4" w:space="0" w:color="auto"/>
              <w:right w:val="single" w:sz="4" w:space="0" w:color="auto"/>
            </w:tcBorders>
            <w:shd w:val="clear" w:color="auto" w:fill="auto"/>
            <w:hideMark/>
          </w:tcPr>
          <w:p w14:paraId="557A9016" w14:textId="207CB278" w:rsidR="00116427" w:rsidRPr="00744462" w:rsidRDefault="00621302" w:rsidP="002F324A">
            <w:pPr>
              <w:spacing w:after="0" w:line="240" w:lineRule="auto"/>
              <w:rPr>
                <w:rFonts w:ascii="Helvetica" w:eastAsia="Times New Roman" w:hAnsi="Helvetica"/>
                <w:sz w:val="20"/>
                <w:szCs w:val="20"/>
                <w:lang w:eastAsia="en-GB"/>
              </w:rPr>
            </w:pPr>
            <w:r>
              <w:rPr>
                <w:rFonts w:ascii="Helvetica" w:eastAsia="Times New Roman" w:hAnsi="Helvetica"/>
                <w:sz w:val="20"/>
                <w:szCs w:val="20"/>
                <w:lang w:eastAsia="en-GB"/>
              </w:rPr>
              <w:t>T</w:t>
            </w:r>
            <w:r w:rsidR="00116427" w:rsidRPr="00744462">
              <w:rPr>
                <w:rFonts w:ascii="Helvetica" w:eastAsia="Times New Roman" w:hAnsi="Helvetica"/>
                <w:sz w:val="20"/>
                <w:szCs w:val="20"/>
                <w:lang w:eastAsia="en-GB"/>
              </w:rPr>
              <w:t>otal</w:t>
            </w:r>
          </w:p>
        </w:tc>
      </w:tr>
      <w:tr w:rsidR="002F324A" w:rsidRPr="00744462" w14:paraId="18537995" w14:textId="77777777" w:rsidTr="002F324A">
        <w:trPr>
          <w:trHeight w:val="652"/>
        </w:trPr>
        <w:tc>
          <w:tcPr>
            <w:tcW w:w="1406" w:type="dxa"/>
            <w:tcBorders>
              <w:top w:val="single" w:sz="4" w:space="0" w:color="auto"/>
              <w:left w:val="single" w:sz="4" w:space="0" w:color="auto"/>
              <w:bottom w:val="nil"/>
              <w:right w:val="nil"/>
            </w:tcBorders>
            <w:shd w:val="clear" w:color="auto" w:fill="auto"/>
            <w:hideMark/>
          </w:tcPr>
          <w:p w14:paraId="614F4450" w14:textId="40C7A2F9"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hAnsi="Helvetica"/>
                <w:b/>
                <w:sz w:val="20"/>
                <w:szCs w:val="20"/>
              </w:rPr>
              <w:t>Flexicult</w:t>
            </w:r>
            <w:r w:rsidRPr="00744462">
              <w:rPr>
                <w:rFonts w:ascii="Helvetica" w:hAnsi="Helvetica"/>
                <w:b/>
                <w:sz w:val="20"/>
                <w:szCs w:val="20"/>
                <w:vertAlign w:val="superscript"/>
              </w:rPr>
              <w:t>TM</w:t>
            </w:r>
            <w:r w:rsidRPr="00744462">
              <w:rPr>
                <w:rFonts w:ascii="Helvetica" w:hAnsi="Helvetica"/>
                <w:b/>
                <w:sz w:val="20"/>
                <w:szCs w:val="20"/>
                <w:vertAlign w:val="superscript"/>
              </w:rPr>
              <w:br/>
            </w:r>
            <w:r w:rsidRPr="00744462">
              <w:rPr>
                <w:rFonts w:ascii="Helvetica" w:hAnsi="Helvetica"/>
                <w:sz w:val="20"/>
                <w:szCs w:val="20"/>
              </w:rPr>
              <w:t>Yes UTI</w:t>
            </w:r>
          </w:p>
        </w:tc>
        <w:tc>
          <w:tcPr>
            <w:tcW w:w="992" w:type="dxa"/>
            <w:gridSpan w:val="2"/>
            <w:tcBorders>
              <w:top w:val="single" w:sz="4" w:space="0" w:color="auto"/>
              <w:left w:val="nil"/>
              <w:bottom w:val="nil"/>
              <w:right w:val="nil"/>
            </w:tcBorders>
            <w:shd w:val="clear" w:color="auto" w:fill="auto"/>
            <w:hideMark/>
          </w:tcPr>
          <w:p w14:paraId="79C4B3EF" w14:textId="77777777" w:rsidR="00DD77E9" w:rsidRDefault="00DD77E9" w:rsidP="002F324A">
            <w:pPr>
              <w:spacing w:after="0" w:line="240" w:lineRule="auto"/>
              <w:jc w:val="center"/>
              <w:rPr>
                <w:rFonts w:ascii="Helvetica" w:eastAsia="Times New Roman" w:hAnsi="Helvetica"/>
                <w:sz w:val="20"/>
                <w:szCs w:val="20"/>
                <w:lang w:eastAsia="en-GB"/>
              </w:rPr>
            </w:pPr>
          </w:p>
          <w:p w14:paraId="38FCA25B" w14:textId="171E202A" w:rsidR="00116427" w:rsidRPr="00744462" w:rsidRDefault="00116427" w:rsidP="002F324A">
            <w:pPr>
              <w:spacing w:after="0" w:line="240" w:lineRule="auto"/>
              <w:jc w:val="center"/>
              <w:rPr>
                <w:rFonts w:ascii="Helvetica" w:eastAsia="Times New Roman" w:hAnsi="Helvetica"/>
                <w:sz w:val="20"/>
                <w:szCs w:val="20"/>
                <w:lang w:eastAsia="en-GB"/>
              </w:rPr>
            </w:pPr>
            <w:r w:rsidRPr="00744462">
              <w:rPr>
                <w:rFonts w:ascii="Helvetica" w:eastAsia="Times New Roman" w:hAnsi="Helvetica"/>
                <w:sz w:val="20"/>
                <w:szCs w:val="20"/>
                <w:lang w:eastAsia="en-GB"/>
              </w:rPr>
              <w:t>74</w:t>
            </w:r>
            <w:r w:rsidR="00DD77E9">
              <w:rPr>
                <w:rFonts w:ascii="Helvetica" w:eastAsia="Times New Roman" w:hAnsi="Helvetica"/>
                <w:sz w:val="20"/>
                <w:szCs w:val="20"/>
                <w:lang w:eastAsia="en-GB"/>
              </w:rPr>
              <w:br/>
            </w:r>
            <w:r w:rsidRPr="00744462">
              <w:rPr>
                <w:rFonts w:ascii="Helvetica" w:eastAsia="Times New Roman" w:hAnsi="Helvetica"/>
                <w:sz w:val="20"/>
                <w:szCs w:val="20"/>
                <w:lang w:eastAsia="en-GB"/>
              </w:rPr>
              <w:t>(26%)</w:t>
            </w:r>
          </w:p>
        </w:tc>
        <w:tc>
          <w:tcPr>
            <w:tcW w:w="991" w:type="dxa"/>
            <w:tcBorders>
              <w:top w:val="single" w:sz="4" w:space="0" w:color="auto"/>
              <w:left w:val="nil"/>
              <w:bottom w:val="nil"/>
              <w:right w:val="nil"/>
            </w:tcBorders>
            <w:shd w:val="clear" w:color="auto" w:fill="auto"/>
            <w:hideMark/>
          </w:tcPr>
          <w:p w14:paraId="4EED491C" w14:textId="77777777" w:rsidR="00116427" w:rsidRPr="00744462" w:rsidRDefault="00116427" w:rsidP="002F324A">
            <w:pPr>
              <w:spacing w:after="0" w:line="240" w:lineRule="auto"/>
              <w:jc w:val="center"/>
              <w:rPr>
                <w:rFonts w:ascii="Helvetica" w:eastAsia="Times New Roman" w:hAnsi="Helvetica"/>
                <w:b/>
                <w:sz w:val="20"/>
                <w:szCs w:val="20"/>
                <w:lang w:eastAsia="en-GB"/>
              </w:rPr>
            </w:pPr>
            <w:r w:rsidRPr="00744462">
              <w:rPr>
                <w:rFonts w:ascii="Helvetica" w:eastAsia="Times New Roman" w:hAnsi="Helvetica"/>
                <w:sz w:val="20"/>
                <w:szCs w:val="20"/>
                <w:lang w:eastAsia="en-GB"/>
              </w:rPr>
              <w:br/>
            </w:r>
            <w:r w:rsidRPr="00744462">
              <w:rPr>
                <w:rFonts w:ascii="Helvetica" w:eastAsia="Times New Roman" w:hAnsi="Helvetica"/>
                <w:b/>
                <w:sz w:val="20"/>
                <w:szCs w:val="20"/>
                <w:lang w:eastAsia="en-GB"/>
              </w:rPr>
              <w:t>128 (44%)</w:t>
            </w:r>
          </w:p>
        </w:tc>
        <w:tc>
          <w:tcPr>
            <w:tcW w:w="751" w:type="dxa"/>
            <w:tcBorders>
              <w:top w:val="single" w:sz="4" w:space="0" w:color="auto"/>
              <w:left w:val="nil"/>
              <w:bottom w:val="nil"/>
              <w:right w:val="single" w:sz="4" w:space="0" w:color="auto"/>
            </w:tcBorders>
            <w:shd w:val="clear" w:color="auto" w:fill="auto"/>
            <w:hideMark/>
          </w:tcPr>
          <w:p w14:paraId="001A9F07" w14:textId="61FE7FE8" w:rsidR="00116427" w:rsidRPr="00744462" w:rsidRDefault="00116427" w:rsidP="002F324A">
            <w:pPr>
              <w:spacing w:after="0" w:line="240" w:lineRule="auto"/>
              <w:jc w:val="center"/>
              <w:rPr>
                <w:rFonts w:ascii="Helvetica" w:eastAsia="Times New Roman" w:hAnsi="Helvetica"/>
                <w:sz w:val="20"/>
                <w:szCs w:val="20"/>
                <w:lang w:eastAsia="en-GB"/>
              </w:rPr>
            </w:pPr>
            <w:r w:rsidRPr="00744462">
              <w:rPr>
                <w:rFonts w:ascii="Helvetica" w:eastAsia="Times New Roman" w:hAnsi="Helvetica"/>
                <w:sz w:val="20"/>
                <w:szCs w:val="20"/>
                <w:lang w:eastAsia="en-GB"/>
              </w:rPr>
              <w:br/>
              <w:t>202</w:t>
            </w:r>
          </w:p>
        </w:tc>
      </w:tr>
      <w:tr w:rsidR="002F324A" w:rsidRPr="00744462" w14:paraId="5AEFABC6" w14:textId="77777777" w:rsidTr="002F324A">
        <w:trPr>
          <w:trHeight w:val="451"/>
        </w:trPr>
        <w:tc>
          <w:tcPr>
            <w:tcW w:w="1406" w:type="dxa"/>
            <w:tcBorders>
              <w:top w:val="nil"/>
              <w:left w:val="single" w:sz="4" w:space="0" w:color="auto"/>
              <w:bottom w:val="nil"/>
              <w:right w:val="nil"/>
            </w:tcBorders>
            <w:shd w:val="clear" w:color="auto" w:fill="auto"/>
            <w:hideMark/>
          </w:tcPr>
          <w:p w14:paraId="556BF8C9" w14:textId="1D5ABE8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hAnsi="Helvetica"/>
                <w:sz w:val="20"/>
                <w:szCs w:val="20"/>
              </w:rPr>
              <w:t>No UTI</w:t>
            </w:r>
          </w:p>
        </w:tc>
        <w:tc>
          <w:tcPr>
            <w:tcW w:w="992" w:type="dxa"/>
            <w:gridSpan w:val="2"/>
            <w:tcBorders>
              <w:top w:val="nil"/>
              <w:left w:val="nil"/>
              <w:bottom w:val="nil"/>
              <w:right w:val="nil"/>
            </w:tcBorders>
            <w:shd w:val="clear" w:color="auto" w:fill="auto"/>
            <w:hideMark/>
          </w:tcPr>
          <w:p w14:paraId="2A340CF2" w14:textId="77777777" w:rsidR="00116427" w:rsidRPr="00744462" w:rsidRDefault="00116427" w:rsidP="002F324A">
            <w:pPr>
              <w:spacing w:after="0" w:line="240" w:lineRule="auto"/>
              <w:jc w:val="center"/>
              <w:rPr>
                <w:rFonts w:ascii="Helvetica" w:eastAsia="Times New Roman" w:hAnsi="Helvetica"/>
                <w:b/>
                <w:sz w:val="20"/>
                <w:szCs w:val="20"/>
                <w:lang w:eastAsia="en-GB"/>
              </w:rPr>
            </w:pPr>
            <w:r w:rsidRPr="00744462">
              <w:rPr>
                <w:rFonts w:ascii="Helvetica" w:eastAsia="Times New Roman" w:hAnsi="Helvetica"/>
                <w:b/>
                <w:sz w:val="20"/>
                <w:szCs w:val="20"/>
                <w:lang w:eastAsia="en-GB"/>
              </w:rPr>
              <w:t>20 (7%)</w:t>
            </w:r>
          </w:p>
        </w:tc>
        <w:tc>
          <w:tcPr>
            <w:tcW w:w="991" w:type="dxa"/>
            <w:tcBorders>
              <w:top w:val="nil"/>
              <w:left w:val="nil"/>
              <w:bottom w:val="nil"/>
              <w:right w:val="nil"/>
            </w:tcBorders>
            <w:shd w:val="clear" w:color="auto" w:fill="auto"/>
            <w:hideMark/>
          </w:tcPr>
          <w:p w14:paraId="29E1685F" w14:textId="455F87B9" w:rsidR="00116427" w:rsidRPr="00744462" w:rsidRDefault="00116427" w:rsidP="002F324A">
            <w:pPr>
              <w:spacing w:after="0" w:line="240" w:lineRule="auto"/>
              <w:jc w:val="center"/>
              <w:rPr>
                <w:rFonts w:ascii="Helvetica" w:eastAsia="Times New Roman" w:hAnsi="Helvetica"/>
                <w:sz w:val="20"/>
                <w:szCs w:val="20"/>
                <w:lang w:eastAsia="en-GB"/>
              </w:rPr>
            </w:pPr>
            <w:r w:rsidRPr="00744462">
              <w:rPr>
                <w:rFonts w:ascii="Helvetica" w:eastAsia="Times New Roman" w:hAnsi="Helvetica"/>
                <w:sz w:val="20"/>
                <w:szCs w:val="20"/>
                <w:lang w:eastAsia="en-GB"/>
              </w:rPr>
              <w:t>67 (23%)</w:t>
            </w:r>
          </w:p>
        </w:tc>
        <w:tc>
          <w:tcPr>
            <w:tcW w:w="751" w:type="dxa"/>
            <w:tcBorders>
              <w:top w:val="nil"/>
              <w:left w:val="nil"/>
              <w:bottom w:val="nil"/>
              <w:right w:val="single" w:sz="4" w:space="0" w:color="auto"/>
            </w:tcBorders>
            <w:shd w:val="clear" w:color="auto" w:fill="auto"/>
            <w:hideMark/>
          </w:tcPr>
          <w:p w14:paraId="476DD0CA" w14:textId="77777777" w:rsidR="00116427" w:rsidRPr="00744462" w:rsidRDefault="00116427" w:rsidP="002F324A">
            <w:pPr>
              <w:spacing w:after="0" w:line="240" w:lineRule="auto"/>
              <w:jc w:val="center"/>
              <w:rPr>
                <w:rFonts w:ascii="Helvetica" w:eastAsia="Times New Roman" w:hAnsi="Helvetica"/>
                <w:sz w:val="20"/>
                <w:szCs w:val="20"/>
                <w:lang w:eastAsia="en-GB"/>
              </w:rPr>
            </w:pPr>
            <w:r w:rsidRPr="00744462">
              <w:rPr>
                <w:rFonts w:ascii="Helvetica" w:eastAsia="Times New Roman" w:hAnsi="Helvetica"/>
                <w:sz w:val="20"/>
                <w:szCs w:val="20"/>
                <w:lang w:eastAsia="en-GB"/>
              </w:rPr>
              <w:t>87</w:t>
            </w:r>
          </w:p>
        </w:tc>
      </w:tr>
      <w:tr w:rsidR="002F324A" w:rsidRPr="00744462" w14:paraId="214D0315" w14:textId="77777777" w:rsidTr="002F324A">
        <w:trPr>
          <w:trHeight w:val="299"/>
        </w:trPr>
        <w:tc>
          <w:tcPr>
            <w:tcW w:w="1406" w:type="dxa"/>
            <w:tcBorders>
              <w:top w:val="nil"/>
              <w:left w:val="single" w:sz="4" w:space="0" w:color="auto"/>
              <w:bottom w:val="single" w:sz="4" w:space="0" w:color="auto"/>
              <w:right w:val="nil"/>
            </w:tcBorders>
            <w:shd w:val="clear" w:color="auto" w:fill="auto"/>
            <w:hideMark/>
          </w:tcPr>
          <w:p w14:paraId="379DB554" w14:textId="6297D82D" w:rsidR="00116427" w:rsidRPr="00744462" w:rsidRDefault="00621302" w:rsidP="002F324A">
            <w:pPr>
              <w:spacing w:after="0" w:line="240" w:lineRule="auto"/>
              <w:rPr>
                <w:rFonts w:ascii="Helvetica" w:eastAsia="Times New Roman" w:hAnsi="Helvetica"/>
                <w:sz w:val="20"/>
                <w:szCs w:val="20"/>
                <w:lang w:eastAsia="en-GB"/>
              </w:rPr>
            </w:pPr>
            <w:r>
              <w:rPr>
                <w:rFonts w:ascii="Helvetica" w:hAnsi="Helvetica"/>
                <w:sz w:val="20"/>
                <w:szCs w:val="20"/>
              </w:rPr>
              <w:t>T</w:t>
            </w:r>
            <w:r w:rsidR="00116427" w:rsidRPr="00744462">
              <w:rPr>
                <w:rFonts w:ascii="Helvetica" w:hAnsi="Helvetica"/>
                <w:sz w:val="20"/>
                <w:szCs w:val="20"/>
              </w:rPr>
              <w:t>otal</w:t>
            </w:r>
          </w:p>
        </w:tc>
        <w:tc>
          <w:tcPr>
            <w:tcW w:w="992" w:type="dxa"/>
            <w:gridSpan w:val="2"/>
            <w:tcBorders>
              <w:top w:val="nil"/>
              <w:left w:val="nil"/>
              <w:bottom w:val="single" w:sz="4" w:space="0" w:color="auto"/>
              <w:right w:val="nil"/>
            </w:tcBorders>
            <w:shd w:val="clear" w:color="auto" w:fill="auto"/>
            <w:hideMark/>
          </w:tcPr>
          <w:p w14:paraId="38422EA8" w14:textId="77777777" w:rsidR="00116427" w:rsidRPr="00744462" w:rsidRDefault="00116427" w:rsidP="002F324A">
            <w:pPr>
              <w:spacing w:after="0" w:line="240" w:lineRule="auto"/>
              <w:jc w:val="center"/>
              <w:rPr>
                <w:rFonts w:ascii="Helvetica" w:eastAsia="Times New Roman" w:hAnsi="Helvetica"/>
                <w:sz w:val="20"/>
                <w:szCs w:val="20"/>
                <w:lang w:eastAsia="en-GB"/>
              </w:rPr>
            </w:pPr>
            <w:r w:rsidRPr="00744462">
              <w:rPr>
                <w:rFonts w:ascii="Helvetica" w:eastAsia="Times New Roman" w:hAnsi="Helvetica"/>
                <w:sz w:val="20"/>
                <w:szCs w:val="20"/>
                <w:lang w:eastAsia="en-GB"/>
              </w:rPr>
              <w:t>94</w:t>
            </w:r>
          </w:p>
        </w:tc>
        <w:tc>
          <w:tcPr>
            <w:tcW w:w="991" w:type="dxa"/>
            <w:tcBorders>
              <w:top w:val="nil"/>
              <w:left w:val="nil"/>
              <w:bottom w:val="single" w:sz="4" w:space="0" w:color="auto"/>
              <w:right w:val="nil"/>
            </w:tcBorders>
            <w:shd w:val="clear" w:color="auto" w:fill="auto"/>
            <w:hideMark/>
          </w:tcPr>
          <w:p w14:paraId="5E04C662" w14:textId="77777777" w:rsidR="00116427" w:rsidRPr="00744462" w:rsidRDefault="00116427" w:rsidP="002F324A">
            <w:pPr>
              <w:spacing w:after="0" w:line="240" w:lineRule="auto"/>
              <w:jc w:val="center"/>
              <w:rPr>
                <w:rFonts w:ascii="Helvetica" w:eastAsia="Times New Roman" w:hAnsi="Helvetica"/>
                <w:sz w:val="20"/>
                <w:szCs w:val="20"/>
                <w:lang w:eastAsia="en-GB"/>
              </w:rPr>
            </w:pPr>
            <w:r w:rsidRPr="00744462">
              <w:rPr>
                <w:rFonts w:ascii="Helvetica" w:eastAsia="Times New Roman" w:hAnsi="Helvetica"/>
                <w:sz w:val="20"/>
                <w:szCs w:val="20"/>
                <w:lang w:eastAsia="en-GB"/>
              </w:rPr>
              <w:t>195</w:t>
            </w:r>
          </w:p>
        </w:tc>
        <w:tc>
          <w:tcPr>
            <w:tcW w:w="751" w:type="dxa"/>
            <w:tcBorders>
              <w:top w:val="nil"/>
              <w:left w:val="nil"/>
              <w:bottom w:val="single" w:sz="4" w:space="0" w:color="auto"/>
              <w:right w:val="single" w:sz="4" w:space="0" w:color="auto"/>
            </w:tcBorders>
            <w:shd w:val="clear" w:color="auto" w:fill="auto"/>
            <w:hideMark/>
          </w:tcPr>
          <w:p w14:paraId="783B9842" w14:textId="77777777" w:rsidR="00116427" w:rsidRPr="00744462" w:rsidRDefault="00116427" w:rsidP="002F324A">
            <w:pPr>
              <w:spacing w:after="0" w:line="240" w:lineRule="auto"/>
              <w:jc w:val="center"/>
              <w:rPr>
                <w:rFonts w:ascii="Helvetica" w:eastAsia="Times New Roman" w:hAnsi="Helvetica"/>
                <w:sz w:val="20"/>
                <w:szCs w:val="20"/>
                <w:lang w:eastAsia="en-GB"/>
              </w:rPr>
            </w:pPr>
            <w:r w:rsidRPr="00744462">
              <w:rPr>
                <w:rFonts w:ascii="Helvetica" w:eastAsia="Times New Roman" w:hAnsi="Helvetica"/>
                <w:sz w:val="20"/>
                <w:szCs w:val="20"/>
                <w:lang w:eastAsia="en-GB"/>
              </w:rPr>
              <w:t>289</w:t>
            </w:r>
          </w:p>
        </w:tc>
      </w:tr>
      <w:tr w:rsidR="00936196" w:rsidRPr="00744462" w14:paraId="075B119F" w14:textId="77777777" w:rsidTr="002F324A">
        <w:trPr>
          <w:trHeight w:val="323"/>
        </w:trPr>
        <w:tc>
          <w:tcPr>
            <w:tcW w:w="4140" w:type="dxa"/>
            <w:gridSpan w:val="5"/>
            <w:tcBorders>
              <w:top w:val="single" w:sz="4" w:space="0" w:color="auto"/>
              <w:left w:val="single" w:sz="4" w:space="0" w:color="auto"/>
              <w:bottom w:val="nil"/>
              <w:right w:val="single" w:sz="4" w:space="0" w:color="auto"/>
            </w:tcBorders>
            <w:shd w:val="clear" w:color="auto" w:fill="auto"/>
            <w:vAlign w:val="bottom"/>
          </w:tcPr>
          <w:p w14:paraId="227BEDB6" w14:textId="753C0858"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hAnsi="Helvetica" w:cs="Times New Roman"/>
                <w:b/>
                <w:sz w:val="20"/>
                <w:szCs w:val="20"/>
              </w:rPr>
              <w:t>Statistical measurements</w:t>
            </w:r>
          </w:p>
        </w:tc>
      </w:tr>
      <w:tr w:rsidR="00936196" w:rsidRPr="00744462" w14:paraId="69E345EE" w14:textId="77777777" w:rsidTr="002F324A">
        <w:trPr>
          <w:trHeight w:val="242"/>
        </w:trPr>
        <w:tc>
          <w:tcPr>
            <w:tcW w:w="1847" w:type="dxa"/>
            <w:gridSpan w:val="2"/>
            <w:tcBorders>
              <w:top w:val="nil"/>
              <w:left w:val="single" w:sz="4" w:space="0" w:color="auto"/>
              <w:bottom w:val="nil"/>
              <w:right w:val="nil"/>
            </w:tcBorders>
            <w:shd w:val="clear" w:color="auto" w:fill="auto"/>
            <w:hideMark/>
          </w:tcPr>
          <w:p w14:paraId="4BBFC492"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 xml:space="preserve">Sensitivity </w:t>
            </w:r>
            <w:r w:rsidRPr="00744462">
              <w:rPr>
                <w:rFonts w:ascii="Helvetica" w:eastAsia="Times New Roman" w:hAnsi="Helvetica"/>
                <w:i/>
                <w:sz w:val="20"/>
                <w:szCs w:val="20"/>
                <w:lang w:eastAsia="en-GB"/>
              </w:rPr>
              <w:t>(95%CI)</w:t>
            </w:r>
          </w:p>
        </w:tc>
        <w:tc>
          <w:tcPr>
            <w:tcW w:w="2293" w:type="dxa"/>
            <w:gridSpan w:val="3"/>
            <w:tcBorders>
              <w:top w:val="nil"/>
              <w:left w:val="nil"/>
              <w:bottom w:val="nil"/>
              <w:right w:val="single" w:sz="4" w:space="0" w:color="auto"/>
            </w:tcBorders>
            <w:shd w:val="clear" w:color="auto" w:fill="auto"/>
            <w:hideMark/>
          </w:tcPr>
          <w:p w14:paraId="16E4FDA4" w14:textId="53EADC90"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 xml:space="preserve">78.7 </w:t>
            </w:r>
            <w:r w:rsidRPr="00744462">
              <w:rPr>
                <w:rFonts w:ascii="Helvetica" w:eastAsia="Times New Roman" w:hAnsi="Helvetica"/>
                <w:i/>
                <w:sz w:val="20"/>
                <w:szCs w:val="20"/>
                <w:lang w:eastAsia="en-GB"/>
              </w:rPr>
              <w:t>(69.1-86.5)</w:t>
            </w:r>
          </w:p>
        </w:tc>
      </w:tr>
      <w:tr w:rsidR="00936196" w:rsidRPr="00744462" w14:paraId="1D022696" w14:textId="77777777" w:rsidTr="002F324A">
        <w:trPr>
          <w:trHeight w:val="242"/>
        </w:trPr>
        <w:tc>
          <w:tcPr>
            <w:tcW w:w="1847" w:type="dxa"/>
            <w:gridSpan w:val="2"/>
            <w:tcBorders>
              <w:top w:val="nil"/>
              <w:left w:val="single" w:sz="4" w:space="0" w:color="auto"/>
              <w:bottom w:val="nil"/>
              <w:right w:val="nil"/>
            </w:tcBorders>
            <w:shd w:val="clear" w:color="auto" w:fill="auto"/>
            <w:hideMark/>
          </w:tcPr>
          <w:p w14:paraId="4EFEB4FE" w14:textId="224E3ED5"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 xml:space="preserve">Specificity </w:t>
            </w:r>
            <w:r w:rsidRPr="00744462">
              <w:rPr>
                <w:rFonts w:ascii="Helvetica" w:eastAsia="Times New Roman" w:hAnsi="Helvetica"/>
                <w:i/>
                <w:sz w:val="20"/>
                <w:szCs w:val="20"/>
                <w:lang w:eastAsia="en-GB"/>
              </w:rPr>
              <w:t>(95% CI)</w:t>
            </w:r>
          </w:p>
        </w:tc>
        <w:tc>
          <w:tcPr>
            <w:tcW w:w="2293" w:type="dxa"/>
            <w:gridSpan w:val="3"/>
            <w:tcBorders>
              <w:top w:val="nil"/>
              <w:left w:val="nil"/>
              <w:bottom w:val="nil"/>
              <w:right w:val="single" w:sz="4" w:space="0" w:color="auto"/>
            </w:tcBorders>
            <w:shd w:val="clear" w:color="auto" w:fill="auto"/>
            <w:hideMark/>
          </w:tcPr>
          <w:tbl>
            <w:tblPr>
              <w:tblpPr w:leftFromText="141" w:rightFromText="141" w:vertAnchor="text" w:horzAnchor="margin" w:tblpXSpec="right" w:tblpY="35"/>
              <w:tblW w:w="2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9"/>
              <w:gridCol w:w="525"/>
            </w:tblGrid>
            <w:tr w:rsidR="00936196" w:rsidRPr="00744462" w14:paraId="6359D3DF" w14:textId="77777777" w:rsidTr="00FD606B">
              <w:trPr>
                <w:trHeight w:val="309"/>
              </w:trPr>
              <w:tc>
                <w:tcPr>
                  <w:tcW w:w="1759" w:type="dxa"/>
                  <w:tcBorders>
                    <w:top w:val="nil"/>
                    <w:left w:val="nil"/>
                    <w:bottom w:val="nil"/>
                    <w:right w:val="nil"/>
                  </w:tcBorders>
                  <w:shd w:val="clear" w:color="auto" w:fill="auto"/>
                  <w:hideMark/>
                </w:tcPr>
                <w:p w14:paraId="1C7265F1"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 xml:space="preserve">34.4 </w:t>
                  </w:r>
                  <w:r w:rsidRPr="00744462">
                    <w:rPr>
                      <w:rFonts w:ascii="Helvetica" w:eastAsia="Times New Roman" w:hAnsi="Helvetica"/>
                      <w:i/>
                      <w:sz w:val="20"/>
                      <w:szCs w:val="20"/>
                      <w:lang w:eastAsia="en-GB"/>
                    </w:rPr>
                    <w:t>(27.7-41.5)</w:t>
                  </w:r>
                </w:p>
              </w:tc>
              <w:tc>
                <w:tcPr>
                  <w:tcW w:w="525" w:type="dxa"/>
                  <w:tcBorders>
                    <w:top w:val="nil"/>
                    <w:left w:val="nil"/>
                    <w:bottom w:val="nil"/>
                    <w:right w:val="nil"/>
                  </w:tcBorders>
                  <w:shd w:val="clear" w:color="auto" w:fill="auto"/>
                  <w:vAlign w:val="center"/>
                </w:tcPr>
                <w:p w14:paraId="6BBD9714" w14:textId="77777777" w:rsidR="00116427" w:rsidRPr="00744462" w:rsidRDefault="00116427" w:rsidP="002F324A">
                  <w:pPr>
                    <w:spacing w:after="0" w:line="240" w:lineRule="auto"/>
                    <w:rPr>
                      <w:rFonts w:ascii="Helvetica" w:eastAsia="Times New Roman" w:hAnsi="Helvetica"/>
                      <w:sz w:val="20"/>
                      <w:szCs w:val="20"/>
                      <w:lang w:eastAsia="en-GB"/>
                    </w:rPr>
                  </w:pPr>
                </w:p>
              </w:tc>
            </w:tr>
          </w:tbl>
          <w:p w14:paraId="08220ABA" w14:textId="19792E59" w:rsidR="00116427" w:rsidRPr="00744462" w:rsidRDefault="00116427" w:rsidP="002F324A">
            <w:pPr>
              <w:spacing w:after="0" w:line="240" w:lineRule="auto"/>
              <w:rPr>
                <w:rFonts w:ascii="Helvetica" w:eastAsia="Times New Roman" w:hAnsi="Helvetica"/>
                <w:sz w:val="20"/>
                <w:szCs w:val="20"/>
                <w:lang w:eastAsia="en-GB"/>
              </w:rPr>
            </w:pPr>
          </w:p>
        </w:tc>
      </w:tr>
      <w:tr w:rsidR="00936196" w:rsidRPr="00744462" w14:paraId="6D052DB3" w14:textId="77777777" w:rsidTr="002F324A">
        <w:trPr>
          <w:trHeight w:val="242"/>
        </w:trPr>
        <w:tc>
          <w:tcPr>
            <w:tcW w:w="1847" w:type="dxa"/>
            <w:gridSpan w:val="2"/>
            <w:tcBorders>
              <w:top w:val="nil"/>
              <w:left w:val="single" w:sz="4" w:space="0" w:color="auto"/>
              <w:bottom w:val="nil"/>
              <w:right w:val="nil"/>
            </w:tcBorders>
            <w:shd w:val="clear" w:color="auto" w:fill="auto"/>
            <w:hideMark/>
          </w:tcPr>
          <w:p w14:paraId="768F17FD" w14:textId="1E3669DC"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PPV</w:t>
            </w:r>
          </w:p>
        </w:tc>
        <w:tc>
          <w:tcPr>
            <w:tcW w:w="2293" w:type="dxa"/>
            <w:gridSpan w:val="3"/>
            <w:tcBorders>
              <w:top w:val="nil"/>
              <w:left w:val="nil"/>
              <w:bottom w:val="nil"/>
              <w:right w:val="single" w:sz="4" w:space="0" w:color="auto"/>
            </w:tcBorders>
            <w:shd w:val="clear" w:color="auto" w:fill="auto"/>
          </w:tcPr>
          <w:p w14:paraId="6A983A65"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36.6 (30.0-43.7)</w:t>
            </w:r>
          </w:p>
        </w:tc>
      </w:tr>
      <w:tr w:rsidR="00936196" w:rsidRPr="00744462" w14:paraId="20C0D86D" w14:textId="77777777" w:rsidTr="002F324A">
        <w:trPr>
          <w:trHeight w:val="242"/>
        </w:trPr>
        <w:tc>
          <w:tcPr>
            <w:tcW w:w="1847" w:type="dxa"/>
            <w:gridSpan w:val="2"/>
            <w:tcBorders>
              <w:top w:val="nil"/>
              <w:left w:val="single" w:sz="4" w:space="0" w:color="auto"/>
              <w:bottom w:val="nil"/>
              <w:right w:val="nil"/>
            </w:tcBorders>
            <w:shd w:val="clear" w:color="auto" w:fill="auto"/>
            <w:hideMark/>
          </w:tcPr>
          <w:p w14:paraId="7AB71346"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NPV</w:t>
            </w:r>
          </w:p>
        </w:tc>
        <w:tc>
          <w:tcPr>
            <w:tcW w:w="2293" w:type="dxa"/>
            <w:gridSpan w:val="3"/>
            <w:tcBorders>
              <w:top w:val="nil"/>
              <w:left w:val="nil"/>
              <w:bottom w:val="nil"/>
              <w:right w:val="single" w:sz="4" w:space="0" w:color="auto"/>
            </w:tcBorders>
            <w:shd w:val="clear" w:color="auto" w:fill="auto"/>
          </w:tcPr>
          <w:p w14:paraId="5C6B7052" w14:textId="77777777" w:rsidR="00116427" w:rsidRPr="00744462" w:rsidRDefault="00116427" w:rsidP="002F324A">
            <w:pPr>
              <w:spacing w:after="0" w:line="240" w:lineRule="auto"/>
              <w:rPr>
                <w:rFonts w:ascii="Helvetica" w:eastAsia="Times New Roman" w:hAnsi="Helvetica"/>
                <w:sz w:val="20"/>
                <w:szCs w:val="20"/>
                <w:lang w:eastAsia="en-GB"/>
              </w:rPr>
            </w:pPr>
            <w:r w:rsidRPr="00744462">
              <w:rPr>
                <w:rFonts w:ascii="Helvetica" w:eastAsia="Times New Roman" w:hAnsi="Helvetica"/>
                <w:sz w:val="20"/>
                <w:szCs w:val="20"/>
                <w:lang w:eastAsia="en-GB"/>
              </w:rPr>
              <w:t>77.0 (66.8-85.4)</w:t>
            </w:r>
          </w:p>
        </w:tc>
      </w:tr>
      <w:tr w:rsidR="00936196" w:rsidRPr="00744462" w14:paraId="6C0E32B8" w14:textId="77777777" w:rsidTr="002F324A">
        <w:trPr>
          <w:trHeight w:val="242"/>
        </w:trPr>
        <w:tc>
          <w:tcPr>
            <w:tcW w:w="1847" w:type="dxa"/>
            <w:gridSpan w:val="2"/>
            <w:tcBorders>
              <w:top w:val="nil"/>
              <w:left w:val="single" w:sz="4" w:space="0" w:color="auto"/>
              <w:bottom w:val="nil"/>
              <w:right w:val="nil"/>
            </w:tcBorders>
            <w:shd w:val="clear" w:color="auto" w:fill="auto"/>
            <w:hideMark/>
          </w:tcPr>
          <w:p w14:paraId="213B90E3" w14:textId="77777777" w:rsidR="00116427" w:rsidRPr="00744462" w:rsidRDefault="00116427" w:rsidP="002F324A">
            <w:pPr>
              <w:spacing w:after="0" w:line="240" w:lineRule="auto"/>
              <w:rPr>
                <w:rFonts w:ascii="Helvetica" w:hAnsi="Helvetica"/>
                <w:sz w:val="20"/>
                <w:szCs w:val="20"/>
              </w:rPr>
            </w:pPr>
            <w:r w:rsidRPr="00744462">
              <w:rPr>
                <w:rFonts w:ascii="Helvetica" w:eastAsia="Times New Roman" w:hAnsi="Helvetica"/>
                <w:sz w:val="20"/>
                <w:szCs w:val="20"/>
                <w:lang w:eastAsia="en-GB"/>
              </w:rPr>
              <w:t>Error rate (%)</w:t>
            </w:r>
          </w:p>
        </w:tc>
        <w:tc>
          <w:tcPr>
            <w:tcW w:w="2293" w:type="dxa"/>
            <w:gridSpan w:val="3"/>
            <w:tcBorders>
              <w:top w:val="nil"/>
              <w:left w:val="nil"/>
              <w:bottom w:val="nil"/>
              <w:right w:val="single" w:sz="4" w:space="0" w:color="auto"/>
            </w:tcBorders>
            <w:shd w:val="clear" w:color="auto" w:fill="auto"/>
            <w:hideMark/>
          </w:tcPr>
          <w:p w14:paraId="05320C4A" w14:textId="4E123D0C" w:rsidR="00116427" w:rsidRPr="00744462" w:rsidRDefault="00116427" w:rsidP="002F324A">
            <w:pPr>
              <w:spacing w:after="0" w:line="240" w:lineRule="auto"/>
              <w:rPr>
                <w:rFonts w:ascii="Helvetica" w:hAnsi="Helvetica"/>
                <w:sz w:val="20"/>
                <w:szCs w:val="20"/>
              </w:rPr>
            </w:pPr>
            <w:r w:rsidRPr="00744462">
              <w:rPr>
                <w:rFonts w:ascii="Helvetica" w:eastAsia="Times New Roman" w:hAnsi="Helvetica"/>
                <w:sz w:val="20"/>
                <w:szCs w:val="20"/>
                <w:lang w:eastAsia="en-GB"/>
              </w:rPr>
              <w:t>51%</w:t>
            </w:r>
          </w:p>
        </w:tc>
      </w:tr>
      <w:tr w:rsidR="00936196" w:rsidRPr="00744462" w14:paraId="0E726CCD" w14:textId="77777777" w:rsidTr="002F324A">
        <w:trPr>
          <w:trHeight w:val="242"/>
        </w:trPr>
        <w:tc>
          <w:tcPr>
            <w:tcW w:w="1847" w:type="dxa"/>
            <w:gridSpan w:val="2"/>
            <w:tcBorders>
              <w:top w:val="nil"/>
              <w:left w:val="single" w:sz="4" w:space="0" w:color="auto"/>
              <w:bottom w:val="nil"/>
              <w:right w:val="nil"/>
            </w:tcBorders>
            <w:shd w:val="clear" w:color="auto" w:fill="auto"/>
            <w:hideMark/>
          </w:tcPr>
          <w:p w14:paraId="77BCB3C0" w14:textId="69761747" w:rsidR="00116427" w:rsidRPr="00744462" w:rsidRDefault="00116427" w:rsidP="002F324A">
            <w:pPr>
              <w:spacing w:after="0" w:line="240" w:lineRule="auto"/>
              <w:rPr>
                <w:rFonts w:ascii="Helvetica" w:hAnsi="Helvetica"/>
                <w:sz w:val="20"/>
                <w:szCs w:val="20"/>
              </w:rPr>
            </w:pPr>
            <w:r w:rsidRPr="00744462">
              <w:rPr>
                <w:rFonts w:ascii="Helvetica" w:eastAsia="Times New Roman" w:hAnsi="Helvetica"/>
                <w:sz w:val="20"/>
                <w:szCs w:val="20"/>
                <w:lang w:eastAsia="en-GB"/>
              </w:rPr>
              <w:t xml:space="preserve">Kappa </w:t>
            </w:r>
            <w:r w:rsidRPr="00744462">
              <w:rPr>
                <w:rFonts w:ascii="Helvetica" w:eastAsia="Times New Roman" w:hAnsi="Helvetica"/>
                <w:i/>
                <w:sz w:val="20"/>
                <w:szCs w:val="20"/>
                <w:lang w:eastAsia="en-GB"/>
              </w:rPr>
              <w:t>(95%CI)</w:t>
            </w:r>
          </w:p>
        </w:tc>
        <w:tc>
          <w:tcPr>
            <w:tcW w:w="2293" w:type="dxa"/>
            <w:gridSpan w:val="3"/>
            <w:tcBorders>
              <w:top w:val="nil"/>
              <w:left w:val="nil"/>
              <w:bottom w:val="nil"/>
              <w:right w:val="single" w:sz="4" w:space="0" w:color="auto"/>
            </w:tcBorders>
            <w:shd w:val="clear" w:color="auto" w:fill="auto"/>
            <w:hideMark/>
          </w:tcPr>
          <w:p w14:paraId="1D48D725" w14:textId="77777777" w:rsidR="00116427" w:rsidRPr="00744462" w:rsidRDefault="00116427" w:rsidP="002F324A">
            <w:pPr>
              <w:spacing w:after="0" w:line="240" w:lineRule="auto"/>
              <w:rPr>
                <w:rFonts w:ascii="Helvetica" w:hAnsi="Helvetica"/>
                <w:sz w:val="20"/>
                <w:szCs w:val="20"/>
              </w:rPr>
            </w:pPr>
            <w:r w:rsidRPr="00744462">
              <w:rPr>
                <w:rFonts w:ascii="Helvetica" w:eastAsia="Times New Roman" w:hAnsi="Helvetica"/>
                <w:sz w:val="20"/>
                <w:szCs w:val="20"/>
                <w:lang w:eastAsia="en-GB"/>
              </w:rPr>
              <w:t xml:space="preserve">0.10 </w:t>
            </w:r>
            <w:r w:rsidRPr="00744462">
              <w:rPr>
                <w:rFonts w:ascii="Helvetica" w:eastAsia="Times New Roman" w:hAnsi="Helvetica"/>
                <w:i/>
                <w:sz w:val="20"/>
                <w:szCs w:val="20"/>
                <w:lang w:eastAsia="en-GB"/>
              </w:rPr>
              <w:t>(0.02-0.18)</w:t>
            </w:r>
          </w:p>
        </w:tc>
      </w:tr>
      <w:tr w:rsidR="00936196" w:rsidRPr="00744462" w14:paraId="54788849" w14:textId="77777777" w:rsidTr="002F324A">
        <w:trPr>
          <w:trHeight w:val="242"/>
        </w:trPr>
        <w:tc>
          <w:tcPr>
            <w:tcW w:w="1847" w:type="dxa"/>
            <w:gridSpan w:val="2"/>
            <w:tcBorders>
              <w:top w:val="nil"/>
              <w:left w:val="single" w:sz="4" w:space="0" w:color="auto"/>
              <w:bottom w:val="single" w:sz="4" w:space="0" w:color="auto"/>
              <w:right w:val="nil"/>
            </w:tcBorders>
            <w:shd w:val="clear" w:color="auto" w:fill="auto"/>
            <w:hideMark/>
          </w:tcPr>
          <w:p w14:paraId="56C4BD74" w14:textId="77777777" w:rsidR="00116427" w:rsidRPr="00744462" w:rsidRDefault="00116427" w:rsidP="002F324A">
            <w:pPr>
              <w:spacing w:after="0" w:line="240" w:lineRule="auto"/>
              <w:rPr>
                <w:rFonts w:ascii="Helvetica" w:hAnsi="Helvetica"/>
                <w:sz w:val="20"/>
                <w:szCs w:val="20"/>
              </w:rPr>
            </w:pPr>
            <w:r w:rsidRPr="00744462">
              <w:rPr>
                <w:rFonts w:ascii="Helvetica" w:eastAsia="Times New Roman" w:hAnsi="Helvetica"/>
                <w:sz w:val="20"/>
                <w:szCs w:val="20"/>
                <w:lang w:eastAsia="en-GB"/>
              </w:rPr>
              <w:t>PABAK</w:t>
            </w:r>
          </w:p>
        </w:tc>
        <w:tc>
          <w:tcPr>
            <w:tcW w:w="2293" w:type="dxa"/>
            <w:gridSpan w:val="3"/>
            <w:tcBorders>
              <w:top w:val="nil"/>
              <w:left w:val="nil"/>
              <w:bottom w:val="single" w:sz="4" w:space="0" w:color="auto"/>
              <w:right w:val="single" w:sz="4" w:space="0" w:color="auto"/>
            </w:tcBorders>
            <w:shd w:val="clear" w:color="auto" w:fill="auto"/>
            <w:hideMark/>
          </w:tcPr>
          <w:p w14:paraId="54A4E1D5" w14:textId="35671F83" w:rsidR="00116427" w:rsidRPr="00744462" w:rsidRDefault="00116427" w:rsidP="002F324A">
            <w:pPr>
              <w:spacing w:after="0" w:line="240" w:lineRule="auto"/>
              <w:rPr>
                <w:rFonts w:ascii="Helvetica" w:hAnsi="Helvetica"/>
                <w:sz w:val="20"/>
                <w:szCs w:val="20"/>
              </w:rPr>
            </w:pPr>
            <w:r w:rsidRPr="00744462">
              <w:rPr>
                <w:rFonts w:ascii="Helvetica" w:eastAsia="Times New Roman" w:hAnsi="Helvetica"/>
                <w:sz w:val="20"/>
                <w:szCs w:val="20"/>
                <w:lang w:eastAsia="en-GB"/>
              </w:rPr>
              <w:t>0.02</w:t>
            </w:r>
          </w:p>
        </w:tc>
      </w:tr>
    </w:tbl>
    <w:p w14:paraId="2F11458B" w14:textId="7088D206" w:rsidR="00116427" w:rsidRPr="0091040C" w:rsidRDefault="00116427" w:rsidP="00116427">
      <w:pPr>
        <w:rPr>
          <w:rFonts w:ascii="Helvetica" w:hAnsi="Helvetica"/>
          <w:sz w:val="20"/>
          <w:szCs w:val="20"/>
        </w:rPr>
      </w:pPr>
    </w:p>
    <w:p w14:paraId="44A5A3FD" w14:textId="2CC0BF8E" w:rsidR="00116427" w:rsidRPr="0091040C" w:rsidRDefault="00116427" w:rsidP="00116427">
      <w:pPr>
        <w:tabs>
          <w:tab w:val="left" w:pos="2020"/>
        </w:tabs>
        <w:spacing w:after="0"/>
        <w:rPr>
          <w:rFonts w:ascii="Helvetica" w:hAnsi="Helvetica"/>
          <w:sz w:val="20"/>
          <w:szCs w:val="20"/>
        </w:rPr>
      </w:pPr>
    </w:p>
    <w:p w14:paraId="2190E71F" w14:textId="77777777" w:rsidR="00116427" w:rsidRPr="0091040C" w:rsidRDefault="00116427" w:rsidP="00116427">
      <w:pPr>
        <w:tabs>
          <w:tab w:val="left" w:pos="2020"/>
        </w:tabs>
        <w:spacing w:after="0"/>
        <w:rPr>
          <w:rFonts w:ascii="Helvetica" w:hAnsi="Helvetica"/>
          <w:sz w:val="20"/>
          <w:szCs w:val="20"/>
        </w:rPr>
      </w:pPr>
    </w:p>
    <w:p w14:paraId="4EFF4B4E" w14:textId="73586952" w:rsidR="00116427" w:rsidRPr="0091040C" w:rsidRDefault="00116427" w:rsidP="00116427">
      <w:pPr>
        <w:tabs>
          <w:tab w:val="left" w:pos="2020"/>
        </w:tabs>
        <w:spacing w:after="0"/>
        <w:rPr>
          <w:rFonts w:ascii="Helvetica" w:hAnsi="Helvetica"/>
          <w:sz w:val="20"/>
          <w:szCs w:val="20"/>
        </w:rPr>
      </w:pPr>
    </w:p>
    <w:p w14:paraId="32F8CE45" w14:textId="77777777" w:rsidR="00116427" w:rsidRPr="0091040C" w:rsidRDefault="00116427" w:rsidP="00116427">
      <w:pPr>
        <w:tabs>
          <w:tab w:val="left" w:pos="2020"/>
        </w:tabs>
        <w:spacing w:after="0"/>
        <w:rPr>
          <w:rFonts w:ascii="Helvetica" w:hAnsi="Helvetica"/>
          <w:sz w:val="20"/>
          <w:szCs w:val="20"/>
        </w:rPr>
      </w:pPr>
    </w:p>
    <w:p w14:paraId="0E0E0C3B" w14:textId="77777777" w:rsidR="00116427" w:rsidRPr="0091040C" w:rsidRDefault="00116427" w:rsidP="00116427">
      <w:pPr>
        <w:tabs>
          <w:tab w:val="left" w:pos="2020"/>
        </w:tabs>
        <w:spacing w:after="0"/>
        <w:rPr>
          <w:rFonts w:ascii="Helvetica" w:hAnsi="Helvetica"/>
          <w:sz w:val="20"/>
          <w:szCs w:val="20"/>
        </w:rPr>
      </w:pPr>
    </w:p>
    <w:p w14:paraId="4BF7DAC5" w14:textId="77777777" w:rsidR="00116427" w:rsidRPr="0091040C" w:rsidRDefault="00116427" w:rsidP="00116427">
      <w:pPr>
        <w:tabs>
          <w:tab w:val="left" w:pos="2020"/>
        </w:tabs>
        <w:spacing w:after="0"/>
        <w:rPr>
          <w:rFonts w:ascii="Helvetica" w:hAnsi="Helvetica"/>
          <w:sz w:val="20"/>
          <w:szCs w:val="20"/>
        </w:rPr>
      </w:pPr>
    </w:p>
    <w:p w14:paraId="7E909F43" w14:textId="77777777" w:rsidR="00116427" w:rsidRPr="0091040C" w:rsidRDefault="00116427" w:rsidP="00116427">
      <w:pPr>
        <w:tabs>
          <w:tab w:val="left" w:pos="2020"/>
        </w:tabs>
        <w:spacing w:after="0"/>
        <w:rPr>
          <w:rFonts w:ascii="Helvetica" w:hAnsi="Helvetica"/>
          <w:sz w:val="20"/>
          <w:szCs w:val="20"/>
        </w:rPr>
      </w:pPr>
    </w:p>
    <w:p w14:paraId="0D3ADC88" w14:textId="77777777" w:rsidR="00116427" w:rsidRPr="0091040C" w:rsidRDefault="00116427" w:rsidP="00116427">
      <w:pPr>
        <w:tabs>
          <w:tab w:val="left" w:pos="2020"/>
        </w:tabs>
        <w:spacing w:after="0"/>
        <w:rPr>
          <w:rFonts w:ascii="Helvetica" w:hAnsi="Helvetica"/>
          <w:sz w:val="20"/>
          <w:szCs w:val="20"/>
        </w:rPr>
      </w:pPr>
    </w:p>
    <w:p w14:paraId="262B0561" w14:textId="77777777" w:rsidR="00116427" w:rsidRPr="0091040C" w:rsidRDefault="00116427" w:rsidP="00116427">
      <w:pPr>
        <w:tabs>
          <w:tab w:val="left" w:pos="2020"/>
        </w:tabs>
        <w:spacing w:after="0"/>
        <w:rPr>
          <w:rFonts w:ascii="Helvetica" w:hAnsi="Helvetica"/>
          <w:sz w:val="20"/>
          <w:szCs w:val="20"/>
        </w:rPr>
      </w:pPr>
    </w:p>
    <w:p w14:paraId="5B7A2803" w14:textId="77777777" w:rsidR="00116427" w:rsidRPr="0091040C" w:rsidRDefault="00116427" w:rsidP="00116427">
      <w:pPr>
        <w:tabs>
          <w:tab w:val="left" w:pos="2020"/>
        </w:tabs>
        <w:spacing w:after="0"/>
        <w:rPr>
          <w:rFonts w:ascii="Helvetica" w:hAnsi="Helvetica"/>
          <w:sz w:val="20"/>
          <w:szCs w:val="20"/>
        </w:rPr>
      </w:pPr>
    </w:p>
    <w:p w14:paraId="785DE9C1" w14:textId="77777777" w:rsidR="00116427" w:rsidRPr="0091040C" w:rsidRDefault="00116427" w:rsidP="00116427">
      <w:pPr>
        <w:tabs>
          <w:tab w:val="left" w:pos="2020"/>
        </w:tabs>
        <w:spacing w:after="0"/>
        <w:rPr>
          <w:rFonts w:ascii="Helvetica" w:hAnsi="Helvetica"/>
          <w:sz w:val="20"/>
          <w:szCs w:val="20"/>
        </w:rPr>
      </w:pPr>
    </w:p>
    <w:p w14:paraId="45DD9C2E" w14:textId="4AEA8368" w:rsidR="00116427" w:rsidRPr="0091040C" w:rsidRDefault="00116427" w:rsidP="00116427">
      <w:pPr>
        <w:tabs>
          <w:tab w:val="left" w:pos="2020"/>
        </w:tabs>
        <w:spacing w:after="0"/>
        <w:rPr>
          <w:rFonts w:ascii="Helvetica" w:hAnsi="Helvetica"/>
          <w:sz w:val="20"/>
          <w:szCs w:val="20"/>
        </w:rPr>
      </w:pPr>
    </w:p>
    <w:p w14:paraId="32B84980" w14:textId="5030B776" w:rsidR="00A91520" w:rsidRDefault="00A91520" w:rsidP="00936196">
      <w:pPr>
        <w:rPr>
          <w:rFonts w:ascii="Helvetica" w:hAnsi="Helvetica" w:cs="Times New Roman"/>
          <w:sz w:val="20"/>
          <w:szCs w:val="20"/>
          <w:lang w:val="en-US"/>
        </w:rPr>
      </w:pPr>
      <w:r>
        <w:rPr>
          <w:noProof/>
          <w:lang w:val="nl-NL" w:eastAsia="nl-NL"/>
        </w:rPr>
        <mc:AlternateContent>
          <mc:Choice Requires="wps">
            <w:drawing>
              <wp:anchor distT="45720" distB="45720" distL="114300" distR="114300" simplePos="0" relativeHeight="251671552" behindDoc="0" locked="0" layoutInCell="1" allowOverlap="1" wp14:anchorId="6C3CDAEB" wp14:editId="61C8F7D8">
                <wp:simplePos x="0" y="0"/>
                <wp:positionH relativeFrom="column">
                  <wp:posOffset>6796405</wp:posOffset>
                </wp:positionH>
                <wp:positionV relativeFrom="paragraph">
                  <wp:posOffset>791210</wp:posOffset>
                </wp:positionV>
                <wp:extent cx="352425" cy="266700"/>
                <wp:effectExtent l="0" t="0" r="3175" b="12700"/>
                <wp:wrapSquare wrapText="bothSides"/>
                <wp:docPr id="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9525">
                          <a:noFill/>
                          <a:miter lim="800000"/>
                          <a:headEnd/>
                          <a:tailEnd/>
                        </a:ln>
                      </wps:spPr>
                      <wps:txbx>
                        <w:txbxContent>
                          <w:p w14:paraId="7ED43E63" w14:textId="77777777" w:rsidR="00514AD8" w:rsidRPr="00CA5B43" w:rsidRDefault="00514AD8" w:rsidP="00CA5B43">
                            <w:pPr>
                              <w:rPr>
                                <w:b/>
                              </w:rPr>
                            </w:pPr>
                            <w:r>
                              <w:rPr>
                                <w:b/>
                              </w:rPr>
                              <w:t>3C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3CDAEB" id="_x0000_t202" coordsize="21600,21600" o:spt="202" path="m0,0l0,21600,21600,21600,21600,0xe">
                <v:stroke joinstyle="miter"/>
                <v:path gradientshapeok="t" o:connecttype="rect"/>
              </v:shapetype>
              <v:shape id="Tekstvak 2" o:spid="_x0000_s1026" type="#_x0000_t202" style="position:absolute;margin-left:535.15pt;margin-top:62.3pt;width:27.75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YB4SACAAAbBAAADgAAAGRycy9lMm9Eb2MueG1srFNtb9sgEP4+af8B8X2x4yVpa8WpunSZJnUv&#10;UrsfgDGOUYBjQGJnv74HTtOo+zaND4jj7h6ee+5Y3g5akYNwXoKp6HSSUyIMh0aabUV/PW0+XFPi&#10;AzMNU2BERY/C09vV+3fL3paigA5UIxxBEOPL3la0C8GWWeZ5JzTzE7DCoLMFp1lA022zxrEe0bXK&#10;ijxfZD24xjrgwnu8vR+ddJXw21bw8KNtvQhEVRS5hbS7tNdxz1ZLVm4ds53kJxrsH1hoJg0+eoa6&#10;Z4GRvZN/QWnJHXhow4SDzqBtJRepBqxmmr+p5rFjVqRaUBxvzzL5/wfLvx9+OiKbihbYKcM09uhJ&#10;7Hw4sB0pojy99SVGPVqMC8MnGLDNqVRvH4DvPDGw7pjZijvnoO8Ea5DeNGZmF6kjjo8gdf8NGnyG&#10;7QMkoKF1OmqHahBExzYdz60RQyAcLz/Oi1kxp4Sjq1gsrvLUuoyVL8nW+fBFgCbxUFGHnU/g7PDg&#10;QyTDypeQ+JYHJZuNVCoZbluvlSMHhlOySSvxfxOmDOkrejNHHjHLQMxPA6RlwClWUlf0Oo9rnKso&#10;xmfTpJDApBrPyESZkzpRkFGaMNQDBkbJamiOqJODcVrxd+GhA/eHkh4ntaL+9545QYn6alDrm+ls&#10;Fkc7GbP5VYGGu/TUlx5mOEJVNFAyHtchfYexojvsSSuTXq9MTlxxApOMp98SR/zSTlGvf3r1DAAA&#10;//8DAFBLAwQUAAYACAAAACEAn7u5mN8AAAANAQAADwAAAGRycy9kb3ducmV2LnhtbEyPwU7DMBBE&#10;70j8g7VIXBB1GloHQpwKkEBcW/oBTrxNIuJ1FLtN+vdsT/Q2o32anSk2s+vFCcfQedKwXCQgkGpv&#10;O2o07H8+H59BhGjImt4TajhjgE15e1OY3PqJtnjaxUZwCIXcaGhjHHIpQ92iM2HhByS+HfzoTGQ7&#10;NtKOZuJw18s0SZR0piP+0JoBP1qsf3dHp+HwPT2sX6bqK+6z7Uq9my6r/Fnr+7v57RVExDn+w3Cp&#10;z9Wh5E6VP5INomefZMkTs6zSlQJxQZbpmudUrJRSIMtCXq8o/wAAAP//AwBQSwECLQAUAAYACAAA&#10;ACEA5JnDwPsAAADhAQAAEwAAAAAAAAAAAAAAAAAAAAAAW0NvbnRlbnRfVHlwZXNdLnhtbFBLAQIt&#10;ABQABgAIAAAAIQAjsmrh1wAAAJQBAAALAAAAAAAAAAAAAAAAACwBAABfcmVscy8ucmVsc1BLAQIt&#10;ABQABgAIAAAAIQCaFgHhIAIAABsEAAAOAAAAAAAAAAAAAAAAACwCAABkcnMvZTJvRG9jLnhtbFBL&#10;AQItABQABgAIAAAAIQCfu7mY3wAAAA0BAAAPAAAAAAAAAAAAAAAAAHgEAABkcnMvZG93bnJldi54&#10;bWxQSwUGAAAAAAQABADzAAAAhAUAAAAA&#10;" stroked="f">
                <v:textbox>
                  <w:txbxContent>
                    <w:p w14:paraId="7ED43E63" w14:textId="77777777" w:rsidR="00514AD8" w:rsidRPr="00CA5B43" w:rsidRDefault="00514AD8" w:rsidP="00CA5B43">
                      <w:pPr>
                        <w:rPr>
                          <w:b/>
                        </w:rPr>
                      </w:pPr>
                      <w:r>
                        <w:rPr>
                          <w:b/>
                        </w:rPr>
                        <w:t>3C</w:t>
                      </w:r>
                    </w:p>
                  </w:txbxContent>
                </v:textbox>
                <w10:wrap type="square"/>
              </v:shape>
            </w:pict>
          </mc:Fallback>
        </mc:AlternateContent>
      </w:r>
      <w:r>
        <w:rPr>
          <w:noProof/>
          <w:lang w:val="nl-NL" w:eastAsia="nl-NL"/>
        </w:rPr>
        <mc:AlternateContent>
          <mc:Choice Requires="wps">
            <w:drawing>
              <wp:anchor distT="45720" distB="45720" distL="114300" distR="114300" simplePos="0" relativeHeight="251668480" behindDoc="0" locked="0" layoutInCell="1" allowOverlap="1" wp14:anchorId="4FFDD486" wp14:editId="520D4790">
                <wp:simplePos x="0" y="0"/>
                <wp:positionH relativeFrom="column">
                  <wp:posOffset>3869690</wp:posOffset>
                </wp:positionH>
                <wp:positionV relativeFrom="paragraph">
                  <wp:posOffset>784225</wp:posOffset>
                </wp:positionV>
                <wp:extent cx="352425" cy="266700"/>
                <wp:effectExtent l="0" t="0" r="3175" b="1270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9525">
                          <a:noFill/>
                          <a:miter lim="800000"/>
                          <a:headEnd/>
                          <a:tailEnd/>
                        </a:ln>
                      </wps:spPr>
                      <wps:txbx>
                        <w:txbxContent>
                          <w:p w14:paraId="54B81D39" w14:textId="77777777" w:rsidR="00514AD8" w:rsidRPr="00CA5B43" w:rsidRDefault="00514AD8" w:rsidP="00CA5B43">
                            <w:pPr>
                              <w:rPr>
                                <w:b/>
                              </w:rPr>
                            </w:pPr>
                            <w:r>
                              <w:rPr>
                                <w:b/>
                              </w:rPr>
                              <w:t>3B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DD486" id="_x0000_s1027" type="#_x0000_t202" style="position:absolute;margin-left:304.7pt;margin-top:61.75pt;width:27.75pt;height:2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JgWSICAAAhBAAADgAAAGRycy9lMm9Eb2MueG1srFNtb9sgEP4+af8B8X2x4yVpa8WpunSZJnUv&#10;UrsfgDGOUYBjQGJnv74HTtOo+zaND4jj7h6ee+5Y3g5akYNwXoKp6HSSUyIMh0aabUV/PW0+XFPi&#10;AzMNU2BERY/C09vV+3fL3paigA5UIxxBEOPL3la0C8GWWeZ5JzTzE7DCoLMFp1lA022zxrEe0bXK&#10;ijxfZD24xjrgwnu8vR+ddJXw21bw8KNtvQhEVRS5hbS7tNdxz1ZLVm4ds53kJxrsH1hoJg0+eoa6&#10;Z4GRvZN/QWnJHXhow4SDzqBtJRepBqxmmr+p5rFjVqRaUBxvzzL5/wfLvx9+OiKbis4pMUxji57E&#10;zocD25EiqtNbX2LQo8WwMHyCAbucKvX2AfjOEwPrjpmtuHMO+k6wBtlNY2Z2kTri+AhS99+gwWfY&#10;PkACGlqno3QoBkF07NLx3BkxBMLx8uO8mBXIkKOrWCyu8tS5jJUvydb58EWAJvFQUYeNT+Ds8OBD&#10;JMPKl5D4lgclm41UKhluW6+VIweGQ7JJK/F/E6YM6St6M0ceMctAzE/zo2XAIVZSV/Q6j2scqyjG&#10;Z9OkkMCkGs/IRJmTOlGQUZow1ENqQ5IuKldDc0S5HIwzi38MDx24P5T0OK8V9b/3zAlK1FeDkt9M&#10;Z7M44MmYza8KNNylp770MMMRqqKBkvG4DulTjIXdYWtamWR7ZXKijHOY1Dz9mTjol3aKev3Zq2cA&#10;AAD//wMAUEsDBBQABgAIAAAAIQCGl0VN3gAAAAsBAAAPAAAAZHJzL2Rvd25yZXYueG1sTI/BTsMw&#10;DIbvSLxDZCQuiKWMNqOl6QRIIK4bewC3ydqKxqmabO3eHnOCo/1/+v253C5uEGc7hd6ThodVAsJS&#10;401PrYbD1/v9E4gQkQwOnqyGiw2wra6vSiyMn2lnz/vYCi6hUKCGLsaxkDI0nXUYVn60xNnRTw4j&#10;j1MrzYQzl7tBrpNESYc98YUOR/vW2eZ7f3Iajp/zXZbP9Uc8bHapesV+U/uL1rc3y8sziGiX+AfD&#10;rz6rQ8VOtT+RCWLQoJI8ZZSD9WMGggml0hxEzRuVZSCrUv7/ofoBAAD//wMAUEsBAi0AFAAGAAgA&#10;AAAhAOSZw8D7AAAA4QEAABMAAAAAAAAAAAAAAAAAAAAAAFtDb250ZW50X1R5cGVzXS54bWxQSwEC&#10;LQAUAAYACAAAACEAI7Jq4dcAAACUAQAACwAAAAAAAAAAAAAAAAAsAQAAX3JlbHMvLnJlbHNQSwEC&#10;LQAUAAYACAAAACEAcxJgWSICAAAhBAAADgAAAAAAAAAAAAAAAAAsAgAAZHJzL2Uyb0RvYy54bWxQ&#10;SwECLQAUAAYACAAAACEAhpdFTd4AAAALAQAADwAAAAAAAAAAAAAAAAB6BAAAZHJzL2Rvd25yZXYu&#10;eG1sUEsFBgAAAAAEAAQA8wAAAIUFAAAAAA==&#10;" stroked="f">
                <v:textbox>
                  <w:txbxContent>
                    <w:p w14:paraId="54B81D39" w14:textId="77777777" w:rsidR="00514AD8" w:rsidRPr="00CA5B43" w:rsidRDefault="00514AD8" w:rsidP="00CA5B43">
                      <w:pPr>
                        <w:rPr>
                          <w:b/>
                        </w:rPr>
                      </w:pPr>
                      <w:r>
                        <w:rPr>
                          <w:b/>
                        </w:rPr>
                        <w:t>3B</w:t>
                      </w:r>
                    </w:p>
                  </w:txbxContent>
                </v:textbox>
                <w10:wrap type="square"/>
              </v:shape>
            </w:pict>
          </mc:Fallback>
        </mc:AlternateContent>
      </w:r>
      <w:r>
        <w:rPr>
          <w:noProof/>
          <w:lang w:val="nl-NL" w:eastAsia="nl-NL"/>
        </w:rPr>
        <mc:AlternateContent>
          <mc:Choice Requires="wps">
            <w:drawing>
              <wp:anchor distT="45720" distB="45720" distL="114300" distR="114300" simplePos="0" relativeHeight="251667456" behindDoc="0" locked="0" layoutInCell="1" allowOverlap="1" wp14:anchorId="5B867330" wp14:editId="249B5A6B">
                <wp:simplePos x="0" y="0"/>
                <wp:positionH relativeFrom="column">
                  <wp:posOffset>1005205</wp:posOffset>
                </wp:positionH>
                <wp:positionV relativeFrom="paragraph">
                  <wp:posOffset>781685</wp:posOffset>
                </wp:positionV>
                <wp:extent cx="352425" cy="266700"/>
                <wp:effectExtent l="0" t="0" r="3175" b="1270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9525">
                          <a:noFill/>
                          <a:miter lim="800000"/>
                          <a:headEnd/>
                          <a:tailEnd/>
                        </a:ln>
                      </wps:spPr>
                      <wps:txbx>
                        <w:txbxContent>
                          <w:p w14:paraId="6D641C23" w14:textId="77777777" w:rsidR="00514AD8" w:rsidRPr="00CA5B43" w:rsidRDefault="00514AD8" w:rsidP="00CA5B43">
                            <w:pPr>
                              <w:rPr>
                                <w:b/>
                              </w:rPr>
                            </w:pPr>
                            <w:r>
                              <w:rPr>
                                <w:b/>
                              </w:rPr>
                              <w:t>3</w:t>
                            </w:r>
                            <w:r w:rsidRPr="00CA5B43">
                              <w:rPr>
                                <w: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67330" id="_x0000_s1028" type="#_x0000_t202" style="position:absolute;margin-left:79.15pt;margin-top:61.55pt;width:27.75pt;height:2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7sHSICAAAhBAAADgAAAGRycy9lMm9Eb2MueG1srFPbbtswDH0fsH8Q9L7Y8ZK0NeIUXboMA7oL&#10;0O4DGFmOhciiJimxu68fJadZ0L0N04MgiuTR4SG1vB06zY7SeYWm4tNJzpk0AmtldhX/8bR5d82Z&#10;D2Bq0GhkxZ+l57ert2+WvS1lgS3qWjpGIMaXva14G4Its8yLVnbgJ2ilIWeDroNApttltYOe0Dud&#10;FXm+yHp0tXUopPd0ez86+SrhN40U4VvTeBmYrjhxC2l3ad/GPVstodw5sK0SJxrwDyw6UIYePUPd&#10;QwB2cOovqE4Jhx6bMBHYZdg0SshUA1UzzV9V89iClakWEsfbs0z+/8GKr8fvjqm64jPODHTUoie5&#10;9+EIe1ZEdXrrSwp6tBQWhg84UJdTpd4+oNh7ZnDdgtnJO+ewbyXUxG4aM7OL1BHHR5Bt/wVregYO&#10;ARPQ0LguSkdiMEKnLj2fOyOHwARdvp8Xs2LOmSBXsVhc5alzGZQvydb58Elix+Kh4o4an8Dh+OBD&#10;JAPlS0h8y6NW9UZpnQy32661Y0egIdmklfi/CtOG9RW/mROPmGUw5qf56VSgIdaqq/h1Htc4VlGM&#10;j6ZOIQGUHs/ERJuTOlGQUZowbIfUhrPoW6yfSS6H48zSH6NDi+4XZz3Na8X9zwM4yZn+bEjym+ls&#10;Fgc8GbP5VUGGu/RsLz1gBEFVPHA2HtchfYqxsDtqTaOSbLGHI5MTZZrDpObpz8RBv7RT1J+fvfoN&#10;AAD//wMAUEsDBBQABgAIAAAAIQCNY3ir3wAAAAsBAAAPAAAAZHJzL2Rvd25yZXYueG1sTI/NTsMw&#10;EITvSLyDtUhcEHV+SFpCnAqQQFxb+gCbeJtExHYUu0369iwnetvZHc1+U24XM4gzTb53VkG8ikCQ&#10;bZzubavg8P3xuAHhA1qNg7Ok4EIettXtTYmFdrPd0XkfWsEh1heooAthLKT0TUcG/cqNZPl2dJPB&#10;wHJqpZ5w5nAzyCSKcmmwt/yhw5HeO2p+9iej4Pg1P2TPc/0ZDuvdU/6G/bp2F6Xu75bXFxCBlvBv&#10;hj98RoeKmWp3stqLgXW2SdnKQ5LGINiRxCmXqXmTZzHIqpTXHapfAAAA//8DAFBLAQItABQABgAI&#10;AAAAIQDkmcPA+wAAAOEBAAATAAAAAAAAAAAAAAAAAAAAAABbQ29udGVudF9UeXBlc10ueG1sUEsB&#10;Ai0AFAAGAAgAAAAhACOyauHXAAAAlAEAAAsAAAAAAAAAAAAAAAAALAEAAF9yZWxzLy5yZWxzUEsB&#10;Ai0AFAAGAAgAAAAhAOw+7B0iAgAAIQQAAA4AAAAAAAAAAAAAAAAALAIAAGRycy9lMm9Eb2MueG1s&#10;UEsBAi0AFAAGAAgAAAAhAI1jeKvfAAAACwEAAA8AAAAAAAAAAAAAAAAAegQAAGRycy9kb3ducmV2&#10;LnhtbFBLBQYAAAAABAAEAPMAAACGBQAAAAA=&#10;" stroked="f">
                <v:textbox>
                  <w:txbxContent>
                    <w:p w14:paraId="6D641C23" w14:textId="77777777" w:rsidR="00514AD8" w:rsidRPr="00CA5B43" w:rsidRDefault="00514AD8" w:rsidP="00CA5B43">
                      <w:pPr>
                        <w:rPr>
                          <w:b/>
                        </w:rPr>
                      </w:pPr>
                      <w:r>
                        <w:rPr>
                          <w:b/>
                        </w:rPr>
                        <w:t>3</w:t>
                      </w:r>
                      <w:r w:rsidRPr="00CA5B43">
                        <w:rPr>
                          <w:b/>
                        </w:rPr>
                        <w:t>A</w:t>
                      </w:r>
                    </w:p>
                  </w:txbxContent>
                </v:textbox>
                <w10:wrap type="square"/>
              </v:shape>
            </w:pict>
          </mc:Fallback>
        </mc:AlternateContent>
      </w:r>
      <w:r>
        <w:rPr>
          <w:rFonts w:ascii="Helvetica" w:hAnsi="Helvetica"/>
          <w:noProof/>
          <w:sz w:val="20"/>
          <w:szCs w:val="20"/>
          <w:lang w:val="nl-NL" w:eastAsia="nl-NL"/>
        </w:rPr>
        <mc:AlternateContent>
          <mc:Choice Requires="wps">
            <w:drawing>
              <wp:anchor distT="0" distB="0" distL="114300" distR="114300" simplePos="0" relativeHeight="251666432" behindDoc="0" locked="0" layoutInCell="1" allowOverlap="1" wp14:anchorId="67C068EE" wp14:editId="0FF644AA">
                <wp:simplePos x="0" y="0"/>
                <wp:positionH relativeFrom="column">
                  <wp:posOffset>167005</wp:posOffset>
                </wp:positionH>
                <wp:positionV relativeFrom="paragraph">
                  <wp:posOffset>1258570</wp:posOffset>
                </wp:positionV>
                <wp:extent cx="7893050" cy="552450"/>
                <wp:effectExtent l="0" t="0" r="0" b="6350"/>
                <wp:wrapSquare wrapText="bothSides"/>
                <wp:docPr id="290" name="Tekstvak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93050" cy="5524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8BA0F5" w14:textId="77777777" w:rsidR="00514AD8" w:rsidRPr="000F6132" w:rsidRDefault="00514AD8" w:rsidP="00116427">
                            <w:pPr>
                              <w:rPr>
                                <w:rFonts w:cs="Times New Roman"/>
                                <w:b/>
                                <w:bCs/>
                                <w:sz w:val="18"/>
                                <w:szCs w:val="18"/>
                                <w:lang w:val="en-US"/>
                              </w:rPr>
                            </w:pPr>
                            <w:r w:rsidRPr="000F6132">
                              <w:rPr>
                                <w:rFonts w:cs="Times New Roman"/>
                                <w:b/>
                                <w:bCs/>
                                <w:sz w:val="18"/>
                                <w:szCs w:val="18"/>
                                <w:lang w:val="en-US"/>
                              </w:rPr>
                              <w:t>Abbreviations:</w:t>
                            </w:r>
                            <w:r>
                              <w:rPr>
                                <w:rFonts w:cs="Times New Roman"/>
                                <w:b/>
                                <w:bCs/>
                                <w:sz w:val="18"/>
                                <w:szCs w:val="18"/>
                                <w:lang w:val="en-US"/>
                              </w:rPr>
                              <w:t xml:space="preserve"> </w:t>
                            </w:r>
                            <w:r w:rsidRPr="00CA5B43">
                              <w:rPr>
                                <w:rFonts w:cs="Times New Roman"/>
                                <w:bCs/>
                                <w:i/>
                                <w:sz w:val="18"/>
                                <w:szCs w:val="18"/>
                              </w:rPr>
                              <w:t>PHE/HPA</w:t>
                            </w:r>
                            <w:r>
                              <w:rPr>
                                <w:rFonts w:cs="Times New Roman"/>
                                <w:bCs/>
                                <w:i/>
                                <w:sz w:val="18"/>
                                <w:szCs w:val="18"/>
                              </w:rPr>
                              <w:t>, Public Health England</w:t>
                            </w:r>
                            <w:r w:rsidRPr="00CA5B43">
                              <w:rPr>
                                <w:rFonts w:cs="Times New Roman"/>
                                <w:bCs/>
                                <w:i/>
                                <w:sz w:val="18"/>
                                <w:szCs w:val="18"/>
                              </w:rPr>
                              <w:t>/Hea</w:t>
                            </w:r>
                            <w:r>
                              <w:rPr>
                                <w:rFonts w:cs="Times New Roman"/>
                                <w:bCs/>
                                <w:i/>
                                <w:sz w:val="18"/>
                                <w:szCs w:val="18"/>
                              </w:rPr>
                              <w:t>lth Protection Agency;</w:t>
                            </w:r>
                            <w:r w:rsidRPr="00CA5B43">
                              <w:rPr>
                                <w:rFonts w:cs="Times New Roman"/>
                                <w:bCs/>
                                <w:sz w:val="18"/>
                                <w:szCs w:val="18"/>
                                <w:lang w:val="en-US"/>
                              </w:rPr>
                              <w:t xml:space="preserve"> UTI</w:t>
                            </w:r>
                            <w:r w:rsidRPr="000F6132">
                              <w:rPr>
                                <w:rFonts w:cs="Times New Roman"/>
                                <w:bCs/>
                                <w:sz w:val="18"/>
                                <w:szCs w:val="18"/>
                                <w:lang w:val="en-US"/>
                              </w:rPr>
                              <w:t>, urinary tract infection; PPV, positive predictive value; NPV, negative predictive value, PABAK, Prevalence Adjusted Bias Adjust Kappa.</w:t>
                            </w:r>
                            <w:r w:rsidRPr="000F6132">
                              <w:rPr>
                                <w:rFonts w:cs="Times New Roman"/>
                                <w:bCs/>
                                <w:sz w:val="18"/>
                                <w:szCs w:val="18"/>
                                <w:lang w:val="en-US"/>
                              </w:rPr>
                              <w:br/>
                              <w:t xml:space="preserve"> </w:t>
                            </w:r>
                            <w:r w:rsidRPr="000F6132">
                              <w:rPr>
                                <w:rFonts w:cs="Times New Roman"/>
                                <w:b/>
                                <w:bCs/>
                                <w:sz w:val="18"/>
                                <w:szCs w:val="18"/>
                                <w:lang w:val="en-US"/>
                              </w:rPr>
                              <w:t xml:space="preserve"> </w:t>
                            </w:r>
                          </w:p>
                          <w:p w14:paraId="51AAB111" w14:textId="77777777" w:rsidR="00514AD8" w:rsidRDefault="00514AD8" w:rsidP="001164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C068EE" id="Tekstvak 290" o:spid="_x0000_s1029" type="#_x0000_t202" style="position:absolute;margin-left:13.15pt;margin-top:99.1pt;width:621.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6kbIgCAAB9BQAADgAAAGRycy9lMm9Eb2MueG1srFTdT9swEH+ftP/B8vtIW9oNIlLUgZgmVYAG&#10;E8+uY9Oots+z3SbdX7+znZSO7YVpL8n57nffHxeXnVZkJ5xvwFR0fDKiRBgOdWOeK/r98ebDGSU+&#10;MFMzBUZUdC88vZy/f3fR2lJMYA2qFo6gEePL1lZ0HYIti8LztdDMn4AVBoUSnGYBn+65qB1r0bpW&#10;xWQ0+li04GrrgAvvkXudhXSe7EspeLiT0otAVEUxtpC+Ln1X8VvML1j57JhdN7wPg/1DFJo1Bp0e&#10;TF2zwMjWNX+Y0g134EGGEw66ACkbLlIOmM149CqbhzWzIuWCxfH2UCb//8zy2929I01d0ck51scw&#10;jU16FBsfdmxDIg8r1FpfIvDBIjR0n6HDTqdsvV0C33iEFEeYrOARHSvSSafjH3MlqIhO9ofCiy4Q&#10;jsxPZ+enoxmKOMpms8kU6Wj0Rds6H74I0CQSFXXY2BQB2y19yNABEp0ZuGmUQj4rlfmNgTYzR6Tp&#10;6LVj9DngRIW9Eln3m5BYnRR3ZKS5FFfKkR3DiWKcCxPGfazKIDqiJPp+i2KPj6o5qrcoHzSSZzDh&#10;oKwbAy73Ka7TS9j1ZghZZnzfP5/zjiUI3apLY3E6DMAK6j3230HeIW/5TYO9WDIf7pnDpcH24SEI&#10;d/iRCtqKQk9Rsgb382/8iMdZRiklLS5hRf2PLXOCEvXV4JSfj6dTNBvSYzr7NMGHO5asjiVmq68A&#10;uzLGk2N5IiM+qIGUDvQT3otF9IoiZjj6rmgYyKuQTwPeGy4WiwTCPbUsLM2D5cPYx0l77J6Ys/04&#10;BhzkWxjWlZWvpjJjY38MLLYBZJNGNtY5V7WvP+54Gvr+HsUjcvxOqJerOf8FAAD//wMAUEsDBBQA&#10;BgAIAAAAIQAUPTpJ3gAAAAsBAAAPAAAAZHJzL2Rvd25yZXYueG1sTI/NTsMwEITvSLyDtZW4UadG&#10;RGmIUyGkCoS4kPYB3MTEUeK1FTs/8PRsT3DcmU+zM8VhtQOb9Rg6hxJ22wSYxto1HbYSzqfjfQYs&#10;RIWNGhxqCd86wKG8vSlU3rgFP/VcxZZRCIZcSTAx+pzzUBttVdg6r5G8LzdaFekcW96MaqFwO3CR&#10;JCm3qkP6YJTXL0bXfTVZCcfp9c3OP3zy71W9oPH9dP7opbzbrM9PwKJe4x8M1/pUHUrqdHETNoEN&#10;EkT6QCTp+0wAuwIi3ZN0ISt7FMDLgv/fUP4CAAD//wMAUEsBAi0AFAAGAAgAAAAhAOSZw8D7AAAA&#10;4QEAABMAAAAAAAAAAAAAAAAAAAAAAFtDb250ZW50X1R5cGVzXS54bWxQSwECLQAUAAYACAAAACEA&#10;I7Jq4dcAAACUAQAACwAAAAAAAAAAAAAAAAAsAQAAX3JlbHMvLnJlbHNQSwECLQAUAAYACAAAACEA&#10;JO6kbIgCAAB9BQAADgAAAAAAAAAAAAAAAAAsAgAAZHJzL2Uyb0RvYy54bWxQSwECLQAUAAYACAAA&#10;ACEAFD06Sd4AAAALAQAADwAAAAAAAAAAAAAAAADgBAAAZHJzL2Rvd25yZXYueG1sUEsFBgAAAAAE&#10;AAQA8wAAAOsFAAAAAA==&#10;" filled="f" stroked="f">
                <v:path arrowok="t"/>
                <v:textbox>
                  <w:txbxContent>
                    <w:p w14:paraId="528BA0F5" w14:textId="77777777" w:rsidR="00514AD8" w:rsidRPr="000F6132" w:rsidRDefault="00514AD8" w:rsidP="00116427">
                      <w:pPr>
                        <w:rPr>
                          <w:rFonts w:cs="Times New Roman"/>
                          <w:b/>
                          <w:bCs/>
                          <w:sz w:val="18"/>
                          <w:szCs w:val="18"/>
                          <w:lang w:val="en-US"/>
                        </w:rPr>
                      </w:pPr>
                      <w:r w:rsidRPr="000F6132">
                        <w:rPr>
                          <w:rFonts w:cs="Times New Roman"/>
                          <w:b/>
                          <w:bCs/>
                          <w:sz w:val="18"/>
                          <w:szCs w:val="18"/>
                          <w:lang w:val="en-US"/>
                        </w:rPr>
                        <w:t>Abbreviations:</w:t>
                      </w:r>
                      <w:r>
                        <w:rPr>
                          <w:rFonts w:cs="Times New Roman"/>
                          <w:b/>
                          <w:bCs/>
                          <w:sz w:val="18"/>
                          <w:szCs w:val="18"/>
                          <w:lang w:val="en-US"/>
                        </w:rPr>
                        <w:t xml:space="preserve"> </w:t>
                      </w:r>
                      <w:r w:rsidRPr="00CA5B43">
                        <w:rPr>
                          <w:rFonts w:cs="Times New Roman"/>
                          <w:bCs/>
                          <w:i/>
                          <w:sz w:val="18"/>
                          <w:szCs w:val="18"/>
                        </w:rPr>
                        <w:t>PHE/HPA</w:t>
                      </w:r>
                      <w:r>
                        <w:rPr>
                          <w:rFonts w:cs="Times New Roman"/>
                          <w:bCs/>
                          <w:i/>
                          <w:sz w:val="18"/>
                          <w:szCs w:val="18"/>
                        </w:rPr>
                        <w:t>, Public Health England</w:t>
                      </w:r>
                      <w:r w:rsidRPr="00CA5B43">
                        <w:rPr>
                          <w:rFonts w:cs="Times New Roman"/>
                          <w:bCs/>
                          <w:i/>
                          <w:sz w:val="18"/>
                          <w:szCs w:val="18"/>
                        </w:rPr>
                        <w:t>/Hea</w:t>
                      </w:r>
                      <w:r>
                        <w:rPr>
                          <w:rFonts w:cs="Times New Roman"/>
                          <w:bCs/>
                          <w:i/>
                          <w:sz w:val="18"/>
                          <w:szCs w:val="18"/>
                        </w:rPr>
                        <w:t>lth Protection Agency;</w:t>
                      </w:r>
                      <w:r w:rsidRPr="00CA5B43">
                        <w:rPr>
                          <w:rFonts w:cs="Times New Roman"/>
                          <w:bCs/>
                          <w:sz w:val="18"/>
                          <w:szCs w:val="18"/>
                          <w:lang w:val="en-US"/>
                        </w:rPr>
                        <w:t xml:space="preserve"> UTI</w:t>
                      </w:r>
                      <w:r w:rsidRPr="000F6132">
                        <w:rPr>
                          <w:rFonts w:cs="Times New Roman"/>
                          <w:bCs/>
                          <w:sz w:val="18"/>
                          <w:szCs w:val="18"/>
                          <w:lang w:val="en-US"/>
                        </w:rPr>
                        <w:t>, urinary tract infection; PPV, positive predictive value; NPV, negative predictive value, PABAK, Prevalence Adjusted Bias Adjust Kappa.</w:t>
                      </w:r>
                      <w:r w:rsidRPr="000F6132">
                        <w:rPr>
                          <w:rFonts w:cs="Times New Roman"/>
                          <w:bCs/>
                          <w:sz w:val="18"/>
                          <w:szCs w:val="18"/>
                          <w:lang w:val="en-US"/>
                        </w:rPr>
                        <w:br/>
                        <w:t xml:space="preserve"> </w:t>
                      </w:r>
                      <w:r w:rsidRPr="000F6132">
                        <w:rPr>
                          <w:rFonts w:cs="Times New Roman"/>
                          <w:b/>
                          <w:bCs/>
                          <w:sz w:val="18"/>
                          <w:szCs w:val="18"/>
                          <w:lang w:val="en-US"/>
                        </w:rPr>
                        <w:t xml:space="preserve"> </w:t>
                      </w:r>
                    </w:p>
                    <w:p w14:paraId="51AAB111" w14:textId="77777777" w:rsidR="00514AD8" w:rsidRDefault="00514AD8" w:rsidP="00116427"/>
                  </w:txbxContent>
                </v:textbox>
                <w10:wrap type="square"/>
              </v:shape>
            </w:pict>
          </mc:Fallback>
        </mc:AlternateContent>
      </w:r>
      <w:r>
        <w:rPr>
          <w:rFonts w:ascii="Helvetica" w:hAnsi="Helvetica" w:cs="Times New Roman"/>
          <w:sz w:val="20"/>
          <w:szCs w:val="20"/>
          <w:lang w:val="en-US"/>
        </w:rPr>
        <w:br w:type="page"/>
      </w:r>
    </w:p>
    <w:p w14:paraId="122B162A" w14:textId="77777777" w:rsidR="00A91520" w:rsidRDefault="00A91520" w:rsidP="00936196">
      <w:pPr>
        <w:rPr>
          <w:rFonts w:ascii="Helvetica" w:hAnsi="Helvetica" w:cs="Times New Roman"/>
          <w:sz w:val="20"/>
          <w:szCs w:val="20"/>
          <w:lang w:val="en-US"/>
        </w:rPr>
        <w:sectPr w:rsidR="00A91520" w:rsidSect="00F112E3">
          <w:pgSz w:w="16838" w:h="11906" w:orient="landscape"/>
          <w:pgMar w:top="1440" w:right="1440" w:bottom="1440" w:left="1440" w:header="708" w:footer="708" w:gutter="0"/>
          <w:cols w:space="708"/>
          <w:docGrid w:linePitch="360"/>
        </w:sectPr>
      </w:pPr>
    </w:p>
    <w:p w14:paraId="5185CFCD" w14:textId="77777777" w:rsidR="00B43C02" w:rsidRDefault="00B43C02" w:rsidP="00A91520">
      <w:pPr>
        <w:pStyle w:val="Bijschrift"/>
        <w:keepNext/>
        <w:spacing w:after="0"/>
        <w:ind w:left="-1134" w:firstLine="1134"/>
        <w:rPr>
          <w:rFonts w:ascii="Helvetica" w:hAnsi="Helvetica"/>
          <w:color w:val="auto"/>
          <w:sz w:val="20"/>
          <w:szCs w:val="20"/>
        </w:rPr>
      </w:pPr>
    </w:p>
    <w:p w14:paraId="4185AB85" w14:textId="77777777" w:rsidR="00B43C02" w:rsidRPr="0091040C" w:rsidRDefault="00B43C02" w:rsidP="00B43C02">
      <w:pPr>
        <w:spacing w:after="160" w:line="259" w:lineRule="auto"/>
        <w:rPr>
          <w:rFonts w:ascii="Helvetica" w:hAnsi="Helvetica"/>
          <w:b/>
          <w:bCs/>
          <w:sz w:val="20"/>
          <w:szCs w:val="20"/>
        </w:rPr>
      </w:pPr>
    </w:p>
    <w:p w14:paraId="4011D672" w14:textId="77777777" w:rsidR="00B43C02" w:rsidRPr="0091040C" w:rsidRDefault="00B43C02" w:rsidP="00B43C02">
      <w:pPr>
        <w:spacing w:after="160" w:line="259" w:lineRule="auto"/>
        <w:rPr>
          <w:rFonts w:ascii="Helvetica" w:hAnsi="Helvetica"/>
          <w:b/>
          <w:bCs/>
          <w:sz w:val="20"/>
          <w:szCs w:val="20"/>
        </w:rPr>
      </w:pPr>
      <w:r w:rsidRPr="0091040C">
        <w:rPr>
          <w:rFonts w:ascii="Helvetica" w:hAnsi="Helvetica"/>
          <w:b/>
          <w:bCs/>
          <w:sz w:val="20"/>
          <w:szCs w:val="20"/>
        </w:rPr>
        <w:t xml:space="preserve">Figure 1. The UK </w:t>
      </w:r>
      <w:proofErr w:type="spellStart"/>
      <w:r w:rsidRPr="0091040C">
        <w:rPr>
          <w:rFonts w:ascii="Helvetica" w:hAnsi="Helvetica"/>
          <w:b/>
          <w:bCs/>
          <w:sz w:val="20"/>
          <w:szCs w:val="20"/>
        </w:rPr>
        <w:t>Flexicult</w:t>
      </w:r>
      <w:proofErr w:type="spellEnd"/>
      <w:r w:rsidRPr="0091040C">
        <w:rPr>
          <w:rFonts w:ascii="Helvetica" w:hAnsi="Helvetica"/>
          <w:b/>
          <w:bCs/>
          <w:sz w:val="20"/>
          <w:szCs w:val="20"/>
        </w:rPr>
        <w:t xml:space="preserve"> SSI-Urinary Kit</w:t>
      </w:r>
      <w:r w:rsidRPr="0091040C">
        <w:rPr>
          <w:rFonts w:ascii="Helvetica" w:hAnsi="Helvetica"/>
          <w:b/>
          <w:bCs/>
          <w:sz w:val="20"/>
          <w:szCs w:val="20"/>
        </w:rPr>
        <w:br/>
      </w:r>
      <w:r w:rsidRPr="0091040C">
        <w:rPr>
          <w:rFonts w:ascii="Helvetica" w:hAnsi="Helvetica"/>
          <w:bCs/>
          <w:i/>
          <w:sz w:val="20"/>
          <w:szCs w:val="20"/>
        </w:rPr>
        <w:t xml:space="preserve">* Spain: </w:t>
      </w:r>
      <w:proofErr w:type="spellStart"/>
      <w:r w:rsidRPr="0091040C">
        <w:rPr>
          <w:rFonts w:ascii="Helvetica" w:hAnsi="Helvetica"/>
          <w:bCs/>
          <w:i/>
          <w:sz w:val="20"/>
          <w:szCs w:val="20"/>
        </w:rPr>
        <w:t>Fosfomycin</w:t>
      </w:r>
      <w:proofErr w:type="spellEnd"/>
      <w:r w:rsidRPr="0091040C">
        <w:rPr>
          <w:rFonts w:ascii="Helvetica" w:hAnsi="Helvetica"/>
          <w:bCs/>
          <w:i/>
          <w:sz w:val="20"/>
          <w:szCs w:val="20"/>
        </w:rPr>
        <w:t xml:space="preserve"> instead of Trimethoprim, Cefuroxime instead of </w:t>
      </w:r>
      <w:proofErr w:type="spellStart"/>
      <w:r w:rsidRPr="0091040C">
        <w:rPr>
          <w:rFonts w:ascii="Helvetica" w:hAnsi="Helvetica"/>
          <w:bCs/>
          <w:i/>
          <w:sz w:val="20"/>
          <w:szCs w:val="20"/>
        </w:rPr>
        <w:t>Cephalothin</w:t>
      </w:r>
      <w:proofErr w:type="spellEnd"/>
      <w:r w:rsidRPr="0091040C">
        <w:rPr>
          <w:rFonts w:ascii="Helvetica" w:hAnsi="Helvetica"/>
          <w:bCs/>
          <w:i/>
          <w:sz w:val="20"/>
          <w:szCs w:val="20"/>
        </w:rPr>
        <w:br/>
        <w:t xml:space="preserve">** Netherlands: Amoxicillin instead of </w:t>
      </w:r>
      <w:proofErr w:type="spellStart"/>
      <w:r w:rsidRPr="0091040C">
        <w:rPr>
          <w:rFonts w:ascii="Helvetica" w:hAnsi="Helvetica"/>
          <w:bCs/>
          <w:i/>
          <w:sz w:val="20"/>
          <w:szCs w:val="20"/>
        </w:rPr>
        <w:t>Cephalothin</w:t>
      </w:r>
      <w:proofErr w:type="spellEnd"/>
    </w:p>
    <w:p w14:paraId="711E13A5" w14:textId="77777777" w:rsidR="00B43C02" w:rsidRDefault="00B43C02" w:rsidP="00B43C02">
      <w:pPr>
        <w:pStyle w:val="Bijschrift"/>
        <w:spacing w:after="0"/>
        <w:rPr>
          <w:rFonts w:ascii="Helvetica" w:hAnsi="Helvetica" w:cs="Times New Roman"/>
          <w:color w:val="auto"/>
          <w:sz w:val="20"/>
          <w:szCs w:val="20"/>
        </w:rPr>
      </w:pPr>
    </w:p>
    <w:p w14:paraId="29E4971B" w14:textId="77777777" w:rsidR="00B43C02" w:rsidRDefault="00B43C02" w:rsidP="00B43C02">
      <w:pPr>
        <w:pStyle w:val="Bijschrift"/>
        <w:spacing w:after="0"/>
        <w:rPr>
          <w:rFonts w:ascii="Helvetica" w:hAnsi="Helvetica" w:cs="Times New Roman"/>
          <w:color w:val="auto"/>
          <w:sz w:val="20"/>
          <w:szCs w:val="20"/>
        </w:rPr>
      </w:pPr>
    </w:p>
    <w:p w14:paraId="6F437985" w14:textId="77777777" w:rsidR="00B43C02" w:rsidRPr="009F728E" w:rsidRDefault="00B43C02" w:rsidP="00B43C02">
      <w:pPr>
        <w:pStyle w:val="Bijschrift"/>
        <w:spacing w:after="0"/>
        <w:rPr>
          <w:rFonts w:ascii="Helvetica" w:hAnsi="Helvetica" w:cs="Times New Roman"/>
          <w:color w:val="auto"/>
          <w:sz w:val="20"/>
          <w:szCs w:val="20"/>
        </w:rPr>
      </w:pPr>
      <w:r w:rsidRPr="009F728E">
        <w:rPr>
          <w:rFonts w:ascii="Helvetica" w:hAnsi="Helvetica" w:cs="Times New Roman"/>
          <w:color w:val="auto"/>
          <w:sz w:val="20"/>
          <w:szCs w:val="20"/>
        </w:rPr>
        <w:t>Figure 2 Flowchart of the cases evaluated in the study</w:t>
      </w:r>
    </w:p>
    <w:p w14:paraId="0A99C600" w14:textId="77777777" w:rsidR="00B43C02" w:rsidRPr="004674E6" w:rsidRDefault="00B43C02" w:rsidP="00B43C02">
      <w:pPr>
        <w:rPr>
          <w:i/>
          <w:sz w:val="20"/>
          <w:szCs w:val="20"/>
        </w:rPr>
      </w:pPr>
      <w:r w:rsidRPr="004674E6">
        <w:rPr>
          <w:rFonts w:ascii="Helvetica" w:hAnsi="Helvetica" w:cs="Times New Roman"/>
          <w:bCs/>
          <w:i/>
          <w:sz w:val="20"/>
          <w:szCs w:val="20"/>
          <w:lang w:val="en-US"/>
        </w:rPr>
        <w:t>Abbreviations:  CRF, case report form; UTI, urinary tract infection.</w:t>
      </w:r>
    </w:p>
    <w:p w14:paraId="303EAB6E" w14:textId="69020410" w:rsidR="00B43C02" w:rsidRDefault="00B43C02">
      <w:pPr>
        <w:spacing w:after="0" w:line="240" w:lineRule="auto"/>
        <w:rPr>
          <w:rFonts w:ascii="Helvetica" w:hAnsi="Helvetica"/>
          <w:b/>
          <w:bCs/>
          <w:sz w:val="20"/>
          <w:szCs w:val="20"/>
        </w:rPr>
      </w:pPr>
    </w:p>
    <w:p w14:paraId="61BD6F58" w14:textId="4AF9B783" w:rsidR="00936196" w:rsidRPr="00936196" w:rsidRDefault="00936196" w:rsidP="00936196">
      <w:pPr>
        <w:rPr>
          <w:rFonts w:ascii="Helvetica" w:hAnsi="Helvetica" w:cs="Times New Roman"/>
          <w:sz w:val="20"/>
          <w:szCs w:val="20"/>
          <w:lang w:val="en-US"/>
        </w:rPr>
      </w:pPr>
    </w:p>
    <w:sectPr w:rsidR="00936196" w:rsidRPr="00936196" w:rsidSect="00F649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36495" w14:textId="77777777" w:rsidR="00987544" w:rsidRDefault="00987544" w:rsidP="0011568D">
      <w:pPr>
        <w:spacing w:after="0" w:line="240" w:lineRule="auto"/>
      </w:pPr>
      <w:r>
        <w:separator/>
      </w:r>
    </w:p>
  </w:endnote>
  <w:endnote w:type="continuationSeparator" w:id="0">
    <w:p w14:paraId="5A55D7AC" w14:textId="77777777" w:rsidR="00987544" w:rsidRDefault="00987544" w:rsidP="0011568D">
      <w:pPr>
        <w:spacing w:after="0" w:line="240" w:lineRule="auto"/>
      </w:pPr>
      <w:r>
        <w:continuationSeparator/>
      </w:r>
    </w:p>
  </w:endnote>
  <w:endnote w:type="continuationNotice" w:id="1">
    <w:p w14:paraId="6DD0A4FB" w14:textId="77777777" w:rsidR="00987544" w:rsidRDefault="00987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609BF" w14:textId="77777777" w:rsidR="00987544" w:rsidRDefault="00987544" w:rsidP="0011568D">
      <w:pPr>
        <w:spacing w:after="0" w:line="240" w:lineRule="auto"/>
      </w:pPr>
      <w:r>
        <w:separator/>
      </w:r>
    </w:p>
  </w:footnote>
  <w:footnote w:type="continuationSeparator" w:id="0">
    <w:p w14:paraId="11BEDB84" w14:textId="77777777" w:rsidR="00987544" w:rsidRDefault="00987544" w:rsidP="0011568D">
      <w:pPr>
        <w:spacing w:after="0" w:line="240" w:lineRule="auto"/>
      </w:pPr>
      <w:r>
        <w:continuationSeparator/>
      </w:r>
    </w:p>
  </w:footnote>
  <w:footnote w:type="continuationNotice" w:id="1">
    <w:p w14:paraId="0233C0F7" w14:textId="77777777" w:rsidR="00987544" w:rsidRDefault="00987544">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3427"/>
    <w:multiLevelType w:val="hybridMultilevel"/>
    <w:tmpl w:val="C840DB0E"/>
    <w:lvl w:ilvl="0" w:tplc="E4868A3C">
      <w:start w:val="2"/>
      <w:numFmt w:val="bullet"/>
      <w:lvlText w:val=""/>
      <w:lvlJc w:val="left"/>
      <w:pPr>
        <w:ind w:left="1080" w:hanging="360"/>
      </w:pPr>
      <w:rPr>
        <w:rFonts w:ascii="Wingdings" w:eastAsia="Calibri"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7CC48FD"/>
    <w:multiLevelType w:val="hybridMultilevel"/>
    <w:tmpl w:val="90348512"/>
    <w:lvl w:ilvl="0" w:tplc="97AE553A">
      <w:start w:val="1"/>
      <w:numFmt w:val="bullet"/>
      <w:lvlText w:val="•"/>
      <w:lvlJc w:val="left"/>
      <w:pPr>
        <w:tabs>
          <w:tab w:val="num" w:pos="720"/>
        </w:tabs>
        <w:ind w:left="720" w:hanging="360"/>
      </w:pPr>
      <w:rPr>
        <w:rFonts w:ascii="Arial" w:hAnsi="Arial" w:hint="default"/>
      </w:rPr>
    </w:lvl>
    <w:lvl w:ilvl="1" w:tplc="EB36326C" w:tentative="1">
      <w:start w:val="1"/>
      <w:numFmt w:val="bullet"/>
      <w:lvlText w:val="•"/>
      <w:lvlJc w:val="left"/>
      <w:pPr>
        <w:tabs>
          <w:tab w:val="num" w:pos="1440"/>
        </w:tabs>
        <w:ind w:left="1440" w:hanging="360"/>
      </w:pPr>
      <w:rPr>
        <w:rFonts w:ascii="Arial" w:hAnsi="Arial" w:hint="default"/>
      </w:rPr>
    </w:lvl>
    <w:lvl w:ilvl="2" w:tplc="DD48AD06" w:tentative="1">
      <w:start w:val="1"/>
      <w:numFmt w:val="bullet"/>
      <w:lvlText w:val="•"/>
      <w:lvlJc w:val="left"/>
      <w:pPr>
        <w:tabs>
          <w:tab w:val="num" w:pos="2160"/>
        </w:tabs>
        <w:ind w:left="2160" w:hanging="360"/>
      </w:pPr>
      <w:rPr>
        <w:rFonts w:ascii="Arial" w:hAnsi="Arial" w:hint="default"/>
      </w:rPr>
    </w:lvl>
    <w:lvl w:ilvl="3" w:tplc="5DDC512C" w:tentative="1">
      <w:start w:val="1"/>
      <w:numFmt w:val="bullet"/>
      <w:lvlText w:val="•"/>
      <w:lvlJc w:val="left"/>
      <w:pPr>
        <w:tabs>
          <w:tab w:val="num" w:pos="2880"/>
        </w:tabs>
        <w:ind w:left="2880" w:hanging="360"/>
      </w:pPr>
      <w:rPr>
        <w:rFonts w:ascii="Arial" w:hAnsi="Arial" w:hint="default"/>
      </w:rPr>
    </w:lvl>
    <w:lvl w:ilvl="4" w:tplc="5AA87660" w:tentative="1">
      <w:start w:val="1"/>
      <w:numFmt w:val="bullet"/>
      <w:lvlText w:val="•"/>
      <w:lvlJc w:val="left"/>
      <w:pPr>
        <w:tabs>
          <w:tab w:val="num" w:pos="3600"/>
        </w:tabs>
        <w:ind w:left="3600" w:hanging="360"/>
      </w:pPr>
      <w:rPr>
        <w:rFonts w:ascii="Arial" w:hAnsi="Arial" w:hint="default"/>
      </w:rPr>
    </w:lvl>
    <w:lvl w:ilvl="5" w:tplc="E48A0982" w:tentative="1">
      <w:start w:val="1"/>
      <w:numFmt w:val="bullet"/>
      <w:lvlText w:val="•"/>
      <w:lvlJc w:val="left"/>
      <w:pPr>
        <w:tabs>
          <w:tab w:val="num" w:pos="4320"/>
        </w:tabs>
        <w:ind w:left="4320" w:hanging="360"/>
      </w:pPr>
      <w:rPr>
        <w:rFonts w:ascii="Arial" w:hAnsi="Arial" w:hint="default"/>
      </w:rPr>
    </w:lvl>
    <w:lvl w:ilvl="6" w:tplc="3D623D82" w:tentative="1">
      <w:start w:val="1"/>
      <w:numFmt w:val="bullet"/>
      <w:lvlText w:val="•"/>
      <w:lvlJc w:val="left"/>
      <w:pPr>
        <w:tabs>
          <w:tab w:val="num" w:pos="5040"/>
        </w:tabs>
        <w:ind w:left="5040" w:hanging="360"/>
      </w:pPr>
      <w:rPr>
        <w:rFonts w:ascii="Arial" w:hAnsi="Arial" w:hint="default"/>
      </w:rPr>
    </w:lvl>
    <w:lvl w:ilvl="7" w:tplc="1E08776C" w:tentative="1">
      <w:start w:val="1"/>
      <w:numFmt w:val="bullet"/>
      <w:lvlText w:val="•"/>
      <w:lvlJc w:val="left"/>
      <w:pPr>
        <w:tabs>
          <w:tab w:val="num" w:pos="5760"/>
        </w:tabs>
        <w:ind w:left="5760" w:hanging="360"/>
      </w:pPr>
      <w:rPr>
        <w:rFonts w:ascii="Arial" w:hAnsi="Arial" w:hint="default"/>
      </w:rPr>
    </w:lvl>
    <w:lvl w:ilvl="8" w:tplc="FE8E3A2C" w:tentative="1">
      <w:start w:val="1"/>
      <w:numFmt w:val="bullet"/>
      <w:lvlText w:val="•"/>
      <w:lvlJc w:val="left"/>
      <w:pPr>
        <w:tabs>
          <w:tab w:val="num" w:pos="6480"/>
        </w:tabs>
        <w:ind w:left="6480" w:hanging="360"/>
      </w:pPr>
      <w:rPr>
        <w:rFonts w:ascii="Arial" w:hAnsi="Arial" w:hint="default"/>
      </w:rPr>
    </w:lvl>
  </w:abstractNum>
  <w:abstractNum w:abstractNumId="2">
    <w:nsid w:val="0B0859FB"/>
    <w:multiLevelType w:val="hybridMultilevel"/>
    <w:tmpl w:val="5F1C0844"/>
    <w:lvl w:ilvl="0" w:tplc="8C8EBA0E">
      <w:numFmt w:val="bullet"/>
      <w:lvlText w:val=""/>
      <w:lvlJc w:val="left"/>
      <w:pPr>
        <w:ind w:left="720" w:hanging="360"/>
      </w:pPr>
      <w:rPr>
        <w:rFonts w:ascii="Wingdings" w:eastAsia="Calibri"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C5D03BA"/>
    <w:multiLevelType w:val="multilevel"/>
    <w:tmpl w:val="3800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61141C"/>
    <w:multiLevelType w:val="hybridMultilevel"/>
    <w:tmpl w:val="EE527E8C"/>
    <w:lvl w:ilvl="0" w:tplc="04130019">
      <w:start w:val="1"/>
      <w:numFmt w:val="lowerLetter"/>
      <w:lvlText w:val="%1."/>
      <w:lvlJc w:val="left"/>
      <w:pPr>
        <w:ind w:left="720" w:hanging="360"/>
      </w:pPr>
      <w:rPr>
        <w:rFonts w:hint="default"/>
        <w:vertAlign w:val="superscrip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DBF6B0D"/>
    <w:multiLevelType w:val="hybridMultilevel"/>
    <w:tmpl w:val="4F3E9728"/>
    <w:lvl w:ilvl="0" w:tplc="73002B66">
      <w:start w:val="3"/>
      <w:numFmt w:val="decimal"/>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nsid w:val="30A262C6"/>
    <w:multiLevelType w:val="hybridMultilevel"/>
    <w:tmpl w:val="E87A1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3366591"/>
    <w:multiLevelType w:val="hybridMultilevel"/>
    <w:tmpl w:val="59F0CEB6"/>
    <w:lvl w:ilvl="0" w:tplc="98683F86">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5B2C37"/>
    <w:multiLevelType w:val="hybridMultilevel"/>
    <w:tmpl w:val="161807B6"/>
    <w:lvl w:ilvl="0" w:tplc="00DE9776">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3D407EE5"/>
    <w:multiLevelType w:val="hybridMultilevel"/>
    <w:tmpl w:val="CD3645BC"/>
    <w:lvl w:ilvl="0" w:tplc="5402511A">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E2D0447"/>
    <w:multiLevelType w:val="hybridMultilevel"/>
    <w:tmpl w:val="C8EE016C"/>
    <w:lvl w:ilvl="0" w:tplc="D4462F56">
      <w:start w:val="1"/>
      <w:numFmt w:val="decimal"/>
      <w:lvlText w:val="%1."/>
      <w:lvlJc w:val="left"/>
      <w:pPr>
        <w:ind w:left="360" w:hanging="360"/>
      </w:pPr>
      <w:rPr>
        <w:rFonts w:ascii="Calibri" w:eastAsia="Calibri" w:hAnsi="Calibri" w:cs="Arial"/>
        <w:b w:val="0"/>
      </w:rPr>
    </w:lvl>
    <w:lvl w:ilvl="1" w:tplc="14DE03D6">
      <w:start w:val="1"/>
      <w:numFmt w:val="decimal"/>
      <w:lvlText w:val="%2."/>
      <w:lvlJc w:val="left"/>
      <w:pPr>
        <w:ind w:left="993" w:hanging="360"/>
      </w:pPr>
      <w:rPr>
        <w:rFonts w:ascii="Calibri" w:eastAsia="Calibri" w:hAnsi="Calibri" w:cs="Arial"/>
        <w:b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nsid w:val="3F9B5C76"/>
    <w:multiLevelType w:val="hybridMultilevel"/>
    <w:tmpl w:val="A92A2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A80AC9"/>
    <w:multiLevelType w:val="hybridMultilevel"/>
    <w:tmpl w:val="4134D2A4"/>
    <w:lvl w:ilvl="0" w:tplc="BF444E98">
      <w:start w:val="1"/>
      <w:numFmt w:val="bullet"/>
      <w:lvlText w:val="-"/>
      <w:lvlJc w:val="left"/>
      <w:pPr>
        <w:ind w:left="360" w:hanging="360"/>
      </w:pPr>
      <w:rPr>
        <w:rFonts w:ascii="Times New Roman" w:eastAsia="Calibri" w:hAnsi="Times New Roman" w:cs="Times New Roman" w:hint="default"/>
        <w:b w:val="0"/>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44BC10D2"/>
    <w:multiLevelType w:val="hybridMultilevel"/>
    <w:tmpl w:val="AD88DC4A"/>
    <w:lvl w:ilvl="0" w:tplc="C68C704C">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4E0724"/>
    <w:multiLevelType w:val="hybridMultilevel"/>
    <w:tmpl w:val="4BD47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AF5E24"/>
    <w:multiLevelType w:val="hybridMultilevel"/>
    <w:tmpl w:val="6B18F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D6E340F"/>
    <w:multiLevelType w:val="hybridMultilevel"/>
    <w:tmpl w:val="DB76C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5293BA3"/>
    <w:multiLevelType w:val="hybridMultilevel"/>
    <w:tmpl w:val="194AB390"/>
    <w:lvl w:ilvl="0" w:tplc="900CB116">
      <w:start w:val="5"/>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40350B"/>
    <w:multiLevelType w:val="hybridMultilevel"/>
    <w:tmpl w:val="639E2D5E"/>
    <w:lvl w:ilvl="0" w:tplc="C7768A2A">
      <w:start w:val="1"/>
      <w:numFmt w:val="decimal"/>
      <w:lvlText w:val="%1."/>
      <w:lvlJc w:val="left"/>
      <w:pPr>
        <w:ind w:left="360" w:hanging="360"/>
      </w:pPr>
      <w:rPr>
        <w:rFonts w:ascii="Calibri" w:eastAsia="Calibri" w:hAnsi="Calibri" w:cs="Arial"/>
      </w:rPr>
    </w:lvl>
    <w:lvl w:ilvl="1" w:tplc="14DE03D6">
      <w:start w:val="1"/>
      <w:numFmt w:val="decimal"/>
      <w:lvlText w:val="%2."/>
      <w:lvlJc w:val="left"/>
      <w:pPr>
        <w:ind w:left="993" w:hanging="360"/>
      </w:pPr>
      <w:rPr>
        <w:rFonts w:ascii="Calibri" w:eastAsia="Calibri" w:hAnsi="Calibri" w:cs="Arial"/>
        <w:b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nsid w:val="5A16570E"/>
    <w:multiLevelType w:val="hybridMultilevel"/>
    <w:tmpl w:val="D6BEB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911C43"/>
    <w:multiLevelType w:val="hybridMultilevel"/>
    <w:tmpl w:val="D1EAA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96E5BF0"/>
    <w:multiLevelType w:val="multilevel"/>
    <w:tmpl w:val="9D1A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AC7CCD"/>
    <w:multiLevelType w:val="hybridMultilevel"/>
    <w:tmpl w:val="A70A9D58"/>
    <w:lvl w:ilvl="0" w:tplc="0413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nsid w:val="6F171AFD"/>
    <w:multiLevelType w:val="hybridMultilevel"/>
    <w:tmpl w:val="EA94C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02D3C09"/>
    <w:multiLevelType w:val="hybridMultilevel"/>
    <w:tmpl w:val="52363322"/>
    <w:lvl w:ilvl="0" w:tplc="E9E6D9B2">
      <w:start w:val="1"/>
      <w:numFmt w:val="decimal"/>
      <w:lvlText w:val="%1."/>
      <w:lvlJc w:val="left"/>
      <w:pPr>
        <w:ind w:left="360" w:hanging="360"/>
      </w:pPr>
      <w:rPr>
        <w:b w:val="0"/>
      </w:rPr>
    </w:lvl>
    <w:lvl w:ilvl="1" w:tplc="14DE03D6">
      <w:start w:val="1"/>
      <w:numFmt w:val="decimal"/>
      <w:lvlText w:val="%2."/>
      <w:lvlJc w:val="left"/>
      <w:pPr>
        <w:ind w:left="993" w:hanging="360"/>
      </w:pPr>
      <w:rPr>
        <w:rFonts w:ascii="Calibri" w:eastAsia="Calibri" w:hAnsi="Calibri" w:cs="Arial"/>
        <w:b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nsid w:val="733E723E"/>
    <w:multiLevelType w:val="hybridMultilevel"/>
    <w:tmpl w:val="353463F0"/>
    <w:lvl w:ilvl="0" w:tplc="2F2861BE">
      <w:start w:val="306"/>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67B1D0E"/>
    <w:multiLevelType w:val="multilevel"/>
    <w:tmpl w:val="9908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9"/>
  </w:num>
  <w:num w:numId="9">
    <w:abstractNumId w:val="11"/>
  </w:num>
  <w:num w:numId="10">
    <w:abstractNumId w:val="17"/>
  </w:num>
  <w:num w:numId="11">
    <w:abstractNumId w:val="2"/>
  </w:num>
  <w:num w:numId="12">
    <w:abstractNumId w:val="8"/>
  </w:num>
  <w:num w:numId="13">
    <w:abstractNumId w:val="7"/>
  </w:num>
  <w:num w:numId="14">
    <w:abstractNumId w:val="1"/>
  </w:num>
  <w:num w:numId="15">
    <w:abstractNumId w:val="3"/>
  </w:num>
  <w:num w:numId="16">
    <w:abstractNumId w:val="4"/>
  </w:num>
  <w:num w:numId="17">
    <w:abstractNumId w:val="21"/>
  </w:num>
  <w:num w:numId="18">
    <w:abstractNumId w:val="26"/>
  </w:num>
  <w:num w:numId="19">
    <w:abstractNumId w:val="16"/>
  </w:num>
  <w:num w:numId="20">
    <w:abstractNumId w:val="12"/>
  </w:num>
  <w:num w:numId="21">
    <w:abstractNumId w:val="5"/>
  </w:num>
  <w:num w:numId="22">
    <w:abstractNumId w:val="24"/>
  </w:num>
  <w:num w:numId="23">
    <w:abstractNumId w:val="18"/>
  </w:num>
  <w:num w:numId="24">
    <w:abstractNumId w:val="10"/>
  </w:num>
  <w:num w:numId="25">
    <w:abstractNumId w:val="6"/>
  </w:num>
  <w:num w:numId="26">
    <w:abstractNumId w:val="20"/>
  </w:num>
  <w:num w:numId="27">
    <w:abstractNumId w:val="14"/>
  </w:num>
  <w:num w:numId="28">
    <w:abstractNumId w:val="15"/>
  </w:num>
  <w:num w:numId="29">
    <w:abstractNumId w:val="23"/>
  </w:num>
  <w:num w:numId="30">
    <w:abstractNumId w:val="0"/>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0" w:nlCheck="1" w:checkStyle="0"/>
  <w:activeWritingStyle w:appName="MSWord" w:lang="en-US" w:vendorID="64" w:dllVersion="0" w:nlCheck="1" w:checkStyle="0"/>
  <w:activeWritingStyle w:appName="MSWord" w:lang="nl-NL" w:vendorID="64" w:dllVersion="0" w:nlCheck="1" w:checkStyle="0"/>
  <w:activeWritingStyle w:appName="MSWord" w:lang="fr-FR" w:vendorID="64" w:dllVersion="0" w:nlCheck="1" w:checkStyle="1"/>
  <w:activeWritingStyle w:appName="MSWord" w:lang="de-DE" w:vendorID="64" w:dllVersion="0" w:nlCheck="1" w:checkStyle="1"/>
  <w:activeWritingStyle w:appName="MSWord" w:lang="it-IT" w:vendorID="64" w:dllVersion="0" w:nlCheck="1" w:checkStyle="0"/>
  <w:activeWritingStyle w:appName="MSWord" w:lang="en-GB" w:vendorID="64" w:dllVersion="6" w:nlCheck="1" w:checkStyle="0"/>
  <w:activeWritingStyle w:appName="MSWord" w:lang="en-US" w:vendorID="64" w:dllVersion="6" w:nlCheck="1" w:checkStyle="0"/>
  <w:activeWritingStyle w:appName="MSWord" w:lang="it-IT" w:vendorID="64" w:dllVersion="6" w:nlCheck="1" w:checkStyle="0"/>
  <w:proofState w:spelling="clean" w:grammar="clean"/>
  <w:defaultTabStop w:val="720"/>
  <w:hyphenationZone w:val="425"/>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34"/>
    <w:rsid w:val="00001933"/>
    <w:rsid w:val="00003FFC"/>
    <w:rsid w:val="00004E3E"/>
    <w:rsid w:val="00013D2F"/>
    <w:rsid w:val="0001777E"/>
    <w:rsid w:val="00020951"/>
    <w:rsid w:val="00033170"/>
    <w:rsid w:val="0004300F"/>
    <w:rsid w:val="00046EF0"/>
    <w:rsid w:val="000505D0"/>
    <w:rsid w:val="00051DFD"/>
    <w:rsid w:val="00055A81"/>
    <w:rsid w:val="000577B3"/>
    <w:rsid w:val="000615BD"/>
    <w:rsid w:val="00061AB9"/>
    <w:rsid w:val="00062275"/>
    <w:rsid w:val="00063437"/>
    <w:rsid w:val="00063A0D"/>
    <w:rsid w:val="000648A8"/>
    <w:rsid w:val="000713FB"/>
    <w:rsid w:val="0007153E"/>
    <w:rsid w:val="00074112"/>
    <w:rsid w:val="0007414E"/>
    <w:rsid w:val="000751D2"/>
    <w:rsid w:val="00076ABA"/>
    <w:rsid w:val="00076CE2"/>
    <w:rsid w:val="00082B82"/>
    <w:rsid w:val="00085518"/>
    <w:rsid w:val="00085ABB"/>
    <w:rsid w:val="00090546"/>
    <w:rsid w:val="000953D4"/>
    <w:rsid w:val="000B2302"/>
    <w:rsid w:val="000B4089"/>
    <w:rsid w:val="000B4659"/>
    <w:rsid w:val="000B5EDA"/>
    <w:rsid w:val="000B7AF0"/>
    <w:rsid w:val="000C23BA"/>
    <w:rsid w:val="000C722A"/>
    <w:rsid w:val="000D2343"/>
    <w:rsid w:val="000D2492"/>
    <w:rsid w:val="000D71F4"/>
    <w:rsid w:val="000D7D43"/>
    <w:rsid w:val="000E3AB0"/>
    <w:rsid w:val="000E6BD1"/>
    <w:rsid w:val="000E7B1B"/>
    <w:rsid w:val="000F30F4"/>
    <w:rsid w:val="000F3403"/>
    <w:rsid w:val="000F4E7F"/>
    <w:rsid w:val="000F5C65"/>
    <w:rsid w:val="000F63F9"/>
    <w:rsid w:val="000F650E"/>
    <w:rsid w:val="000F7286"/>
    <w:rsid w:val="0010028C"/>
    <w:rsid w:val="00101671"/>
    <w:rsid w:val="001025D1"/>
    <w:rsid w:val="0010294B"/>
    <w:rsid w:val="0010738A"/>
    <w:rsid w:val="00110A5D"/>
    <w:rsid w:val="0011568D"/>
    <w:rsid w:val="00116427"/>
    <w:rsid w:val="00116565"/>
    <w:rsid w:val="001177C6"/>
    <w:rsid w:val="00120004"/>
    <w:rsid w:val="001204C2"/>
    <w:rsid w:val="00120931"/>
    <w:rsid w:val="00121E5A"/>
    <w:rsid w:val="00125136"/>
    <w:rsid w:val="001326DE"/>
    <w:rsid w:val="00136714"/>
    <w:rsid w:val="00142589"/>
    <w:rsid w:val="0014503F"/>
    <w:rsid w:val="00147281"/>
    <w:rsid w:val="00157F5E"/>
    <w:rsid w:val="00160EE8"/>
    <w:rsid w:val="00161255"/>
    <w:rsid w:val="00163965"/>
    <w:rsid w:val="00165266"/>
    <w:rsid w:val="00165E5C"/>
    <w:rsid w:val="00167576"/>
    <w:rsid w:val="00170F59"/>
    <w:rsid w:val="001717C3"/>
    <w:rsid w:val="00172D1D"/>
    <w:rsid w:val="00173245"/>
    <w:rsid w:val="00175B7A"/>
    <w:rsid w:val="00185D68"/>
    <w:rsid w:val="001866E6"/>
    <w:rsid w:val="001936D4"/>
    <w:rsid w:val="00196907"/>
    <w:rsid w:val="00197E3A"/>
    <w:rsid w:val="001A102A"/>
    <w:rsid w:val="001A1676"/>
    <w:rsid w:val="001A2792"/>
    <w:rsid w:val="001A4B41"/>
    <w:rsid w:val="001B69DC"/>
    <w:rsid w:val="001B76A5"/>
    <w:rsid w:val="001C5662"/>
    <w:rsid w:val="001C6740"/>
    <w:rsid w:val="001C6F92"/>
    <w:rsid w:val="001D0750"/>
    <w:rsid w:val="001D5863"/>
    <w:rsid w:val="001E009F"/>
    <w:rsid w:val="001E29AA"/>
    <w:rsid w:val="001E34F1"/>
    <w:rsid w:val="001F005F"/>
    <w:rsid w:val="001F0350"/>
    <w:rsid w:val="001F049C"/>
    <w:rsid w:val="001F2060"/>
    <w:rsid w:val="002012BE"/>
    <w:rsid w:val="00201346"/>
    <w:rsid w:val="00203E50"/>
    <w:rsid w:val="00204AC6"/>
    <w:rsid w:val="00204F9A"/>
    <w:rsid w:val="00206E3C"/>
    <w:rsid w:val="002079C8"/>
    <w:rsid w:val="002123C5"/>
    <w:rsid w:val="00215325"/>
    <w:rsid w:val="00217147"/>
    <w:rsid w:val="00217546"/>
    <w:rsid w:val="00220DFE"/>
    <w:rsid w:val="00222874"/>
    <w:rsid w:val="00223274"/>
    <w:rsid w:val="0022480D"/>
    <w:rsid w:val="0024299C"/>
    <w:rsid w:val="00243FAA"/>
    <w:rsid w:val="00245453"/>
    <w:rsid w:val="00251BC3"/>
    <w:rsid w:val="002535BA"/>
    <w:rsid w:val="002606CC"/>
    <w:rsid w:val="00266E4E"/>
    <w:rsid w:val="00270F0F"/>
    <w:rsid w:val="00271FAF"/>
    <w:rsid w:val="00276387"/>
    <w:rsid w:val="002822E2"/>
    <w:rsid w:val="00284A1A"/>
    <w:rsid w:val="0028688D"/>
    <w:rsid w:val="00290F2F"/>
    <w:rsid w:val="00292D5C"/>
    <w:rsid w:val="002A0D7F"/>
    <w:rsid w:val="002A10E8"/>
    <w:rsid w:val="002A3648"/>
    <w:rsid w:val="002A3E40"/>
    <w:rsid w:val="002A512E"/>
    <w:rsid w:val="002B2A3C"/>
    <w:rsid w:val="002B3EE2"/>
    <w:rsid w:val="002B66F0"/>
    <w:rsid w:val="002B7B5B"/>
    <w:rsid w:val="002B7B83"/>
    <w:rsid w:val="002B7BC5"/>
    <w:rsid w:val="002C11E8"/>
    <w:rsid w:val="002C3A87"/>
    <w:rsid w:val="002C4B8A"/>
    <w:rsid w:val="002C5D5C"/>
    <w:rsid w:val="002C7499"/>
    <w:rsid w:val="002D1157"/>
    <w:rsid w:val="002D67AD"/>
    <w:rsid w:val="002E4B66"/>
    <w:rsid w:val="002E523B"/>
    <w:rsid w:val="002F21C2"/>
    <w:rsid w:val="002F2F21"/>
    <w:rsid w:val="002F324A"/>
    <w:rsid w:val="002F4AE9"/>
    <w:rsid w:val="002F4B41"/>
    <w:rsid w:val="002F4E44"/>
    <w:rsid w:val="002F542E"/>
    <w:rsid w:val="00300256"/>
    <w:rsid w:val="0030085D"/>
    <w:rsid w:val="0031233A"/>
    <w:rsid w:val="00314075"/>
    <w:rsid w:val="003214F3"/>
    <w:rsid w:val="00321CF3"/>
    <w:rsid w:val="0032287E"/>
    <w:rsid w:val="00330A14"/>
    <w:rsid w:val="00331367"/>
    <w:rsid w:val="003314F4"/>
    <w:rsid w:val="0033528B"/>
    <w:rsid w:val="00341DAD"/>
    <w:rsid w:val="00341E46"/>
    <w:rsid w:val="0034486E"/>
    <w:rsid w:val="00344A44"/>
    <w:rsid w:val="003453C8"/>
    <w:rsid w:val="003474C7"/>
    <w:rsid w:val="00352AD5"/>
    <w:rsid w:val="00354B35"/>
    <w:rsid w:val="003575F5"/>
    <w:rsid w:val="00357709"/>
    <w:rsid w:val="00357B0E"/>
    <w:rsid w:val="00357F9F"/>
    <w:rsid w:val="003608AD"/>
    <w:rsid w:val="003654D7"/>
    <w:rsid w:val="00366E43"/>
    <w:rsid w:val="0038426D"/>
    <w:rsid w:val="00387EE1"/>
    <w:rsid w:val="00393921"/>
    <w:rsid w:val="00394123"/>
    <w:rsid w:val="00395949"/>
    <w:rsid w:val="003A15A4"/>
    <w:rsid w:val="003A2F24"/>
    <w:rsid w:val="003A744D"/>
    <w:rsid w:val="003A7BD8"/>
    <w:rsid w:val="003B0DF6"/>
    <w:rsid w:val="003B3881"/>
    <w:rsid w:val="003B4483"/>
    <w:rsid w:val="003B4683"/>
    <w:rsid w:val="003B5D8C"/>
    <w:rsid w:val="003B71B7"/>
    <w:rsid w:val="003C1A22"/>
    <w:rsid w:val="003C3A49"/>
    <w:rsid w:val="003C3CE4"/>
    <w:rsid w:val="003C4351"/>
    <w:rsid w:val="003D3020"/>
    <w:rsid w:val="003D430D"/>
    <w:rsid w:val="003D4672"/>
    <w:rsid w:val="003D5116"/>
    <w:rsid w:val="003E1370"/>
    <w:rsid w:val="003E1D23"/>
    <w:rsid w:val="003E25A2"/>
    <w:rsid w:val="003E3633"/>
    <w:rsid w:val="003F270F"/>
    <w:rsid w:val="003F2B07"/>
    <w:rsid w:val="003F3CFF"/>
    <w:rsid w:val="003F51B2"/>
    <w:rsid w:val="004006F6"/>
    <w:rsid w:val="00402250"/>
    <w:rsid w:val="00404393"/>
    <w:rsid w:val="004069D4"/>
    <w:rsid w:val="004100F4"/>
    <w:rsid w:val="004117D5"/>
    <w:rsid w:val="00411B16"/>
    <w:rsid w:val="00412225"/>
    <w:rsid w:val="00412B93"/>
    <w:rsid w:val="00416606"/>
    <w:rsid w:val="00417EA4"/>
    <w:rsid w:val="00422320"/>
    <w:rsid w:val="00423882"/>
    <w:rsid w:val="004239C6"/>
    <w:rsid w:val="00424004"/>
    <w:rsid w:val="00424F52"/>
    <w:rsid w:val="004254EF"/>
    <w:rsid w:val="004277F8"/>
    <w:rsid w:val="00435C4C"/>
    <w:rsid w:val="00440354"/>
    <w:rsid w:val="0044071E"/>
    <w:rsid w:val="00445FC5"/>
    <w:rsid w:val="00460E32"/>
    <w:rsid w:val="00460EEF"/>
    <w:rsid w:val="004674E6"/>
    <w:rsid w:val="00472A95"/>
    <w:rsid w:val="0048698A"/>
    <w:rsid w:val="00487A6B"/>
    <w:rsid w:val="00487D43"/>
    <w:rsid w:val="00490E99"/>
    <w:rsid w:val="00492858"/>
    <w:rsid w:val="00492FA3"/>
    <w:rsid w:val="00494884"/>
    <w:rsid w:val="004952BC"/>
    <w:rsid w:val="00496C91"/>
    <w:rsid w:val="00497B38"/>
    <w:rsid w:val="004A0729"/>
    <w:rsid w:val="004A6949"/>
    <w:rsid w:val="004B03BA"/>
    <w:rsid w:val="004B2B67"/>
    <w:rsid w:val="004B742E"/>
    <w:rsid w:val="004C18B1"/>
    <w:rsid w:val="004C6FFC"/>
    <w:rsid w:val="004C725F"/>
    <w:rsid w:val="004C7548"/>
    <w:rsid w:val="004D7980"/>
    <w:rsid w:val="004E02D0"/>
    <w:rsid w:val="004E3E16"/>
    <w:rsid w:val="004F4EE8"/>
    <w:rsid w:val="004F6C3D"/>
    <w:rsid w:val="004F7535"/>
    <w:rsid w:val="00502518"/>
    <w:rsid w:val="00505F0F"/>
    <w:rsid w:val="00506ECB"/>
    <w:rsid w:val="00512021"/>
    <w:rsid w:val="0051398C"/>
    <w:rsid w:val="00514AD8"/>
    <w:rsid w:val="00515283"/>
    <w:rsid w:val="00521212"/>
    <w:rsid w:val="00522AC2"/>
    <w:rsid w:val="00530C36"/>
    <w:rsid w:val="005339B1"/>
    <w:rsid w:val="00537CA5"/>
    <w:rsid w:val="00540456"/>
    <w:rsid w:val="00543DC4"/>
    <w:rsid w:val="00544174"/>
    <w:rsid w:val="005451C4"/>
    <w:rsid w:val="0054609B"/>
    <w:rsid w:val="005506D6"/>
    <w:rsid w:val="00552D91"/>
    <w:rsid w:val="00555036"/>
    <w:rsid w:val="00556FE7"/>
    <w:rsid w:val="005608A9"/>
    <w:rsid w:val="005614E8"/>
    <w:rsid w:val="005642C4"/>
    <w:rsid w:val="0056518D"/>
    <w:rsid w:val="00565336"/>
    <w:rsid w:val="00565681"/>
    <w:rsid w:val="00571EA8"/>
    <w:rsid w:val="00584724"/>
    <w:rsid w:val="005859A4"/>
    <w:rsid w:val="00585A12"/>
    <w:rsid w:val="00586FDF"/>
    <w:rsid w:val="00591927"/>
    <w:rsid w:val="0059247E"/>
    <w:rsid w:val="0059269B"/>
    <w:rsid w:val="00595F85"/>
    <w:rsid w:val="005A6466"/>
    <w:rsid w:val="005A67D6"/>
    <w:rsid w:val="005A7335"/>
    <w:rsid w:val="005B6718"/>
    <w:rsid w:val="005B7692"/>
    <w:rsid w:val="005C1168"/>
    <w:rsid w:val="005C2F1F"/>
    <w:rsid w:val="005C4249"/>
    <w:rsid w:val="005C68CF"/>
    <w:rsid w:val="005D4569"/>
    <w:rsid w:val="005D55C9"/>
    <w:rsid w:val="005D5B0A"/>
    <w:rsid w:val="005D774D"/>
    <w:rsid w:val="005E0D5E"/>
    <w:rsid w:val="005E285B"/>
    <w:rsid w:val="005E5DE0"/>
    <w:rsid w:val="005F3B9C"/>
    <w:rsid w:val="00605781"/>
    <w:rsid w:val="00605806"/>
    <w:rsid w:val="006067DA"/>
    <w:rsid w:val="006073A7"/>
    <w:rsid w:val="006103DC"/>
    <w:rsid w:val="0061253B"/>
    <w:rsid w:val="006150EF"/>
    <w:rsid w:val="00615B73"/>
    <w:rsid w:val="00621302"/>
    <w:rsid w:val="00632098"/>
    <w:rsid w:val="00632D45"/>
    <w:rsid w:val="006348EB"/>
    <w:rsid w:val="0063740D"/>
    <w:rsid w:val="006466EF"/>
    <w:rsid w:val="00651F3A"/>
    <w:rsid w:val="00652908"/>
    <w:rsid w:val="00652D06"/>
    <w:rsid w:val="00655769"/>
    <w:rsid w:val="00660FF6"/>
    <w:rsid w:val="00662DE7"/>
    <w:rsid w:val="00667317"/>
    <w:rsid w:val="00672227"/>
    <w:rsid w:val="00676D38"/>
    <w:rsid w:val="0068126F"/>
    <w:rsid w:val="0068528C"/>
    <w:rsid w:val="00687E55"/>
    <w:rsid w:val="006912A7"/>
    <w:rsid w:val="0069256B"/>
    <w:rsid w:val="00697AF8"/>
    <w:rsid w:val="006A11A2"/>
    <w:rsid w:val="006A3ECD"/>
    <w:rsid w:val="006A74FE"/>
    <w:rsid w:val="006B1BDB"/>
    <w:rsid w:val="006B78AD"/>
    <w:rsid w:val="006C5470"/>
    <w:rsid w:val="006C5F40"/>
    <w:rsid w:val="006D602E"/>
    <w:rsid w:val="006D719D"/>
    <w:rsid w:val="006E2C63"/>
    <w:rsid w:val="006E7525"/>
    <w:rsid w:val="006F1644"/>
    <w:rsid w:val="006F2383"/>
    <w:rsid w:val="006F253A"/>
    <w:rsid w:val="006F2C23"/>
    <w:rsid w:val="006F31CC"/>
    <w:rsid w:val="006F4C5E"/>
    <w:rsid w:val="006F7590"/>
    <w:rsid w:val="00700FE5"/>
    <w:rsid w:val="007025C2"/>
    <w:rsid w:val="00743FE8"/>
    <w:rsid w:val="00744462"/>
    <w:rsid w:val="00747CA4"/>
    <w:rsid w:val="00751069"/>
    <w:rsid w:val="007566E3"/>
    <w:rsid w:val="00757E65"/>
    <w:rsid w:val="007609FF"/>
    <w:rsid w:val="00762F8D"/>
    <w:rsid w:val="00766A31"/>
    <w:rsid w:val="00775241"/>
    <w:rsid w:val="00782B71"/>
    <w:rsid w:val="0078403C"/>
    <w:rsid w:val="0078622E"/>
    <w:rsid w:val="00786A6F"/>
    <w:rsid w:val="00792551"/>
    <w:rsid w:val="00792E20"/>
    <w:rsid w:val="00796B01"/>
    <w:rsid w:val="007A1197"/>
    <w:rsid w:val="007A51A0"/>
    <w:rsid w:val="007A5CD9"/>
    <w:rsid w:val="007B19C7"/>
    <w:rsid w:val="007C0933"/>
    <w:rsid w:val="007C2BF4"/>
    <w:rsid w:val="007C526C"/>
    <w:rsid w:val="007C754C"/>
    <w:rsid w:val="007D2BCB"/>
    <w:rsid w:val="007D505F"/>
    <w:rsid w:val="007D7078"/>
    <w:rsid w:val="007E1160"/>
    <w:rsid w:val="007E3728"/>
    <w:rsid w:val="007E55AD"/>
    <w:rsid w:val="007E634F"/>
    <w:rsid w:val="007F0059"/>
    <w:rsid w:val="007F0471"/>
    <w:rsid w:val="007F0F7B"/>
    <w:rsid w:val="007F1177"/>
    <w:rsid w:val="007F3261"/>
    <w:rsid w:val="007F3B4F"/>
    <w:rsid w:val="00803056"/>
    <w:rsid w:val="00804502"/>
    <w:rsid w:val="00806156"/>
    <w:rsid w:val="00807C90"/>
    <w:rsid w:val="00812C8C"/>
    <w:rsid w:val="00820804"/>
    <w:rsid w:val="008255B1"/>
    <w:rsid w:val="00833E54"/>
    <w:rsid w:val="008348B9"/>
    <w:rsid w:val="00836136"/>
    <w:rsid w:val="008452C5"/>
    <w:rsid w:val="00853D52"/>
    <w:rsid w:val="00860B63"/>
    <w:rsid w:val="00862CC3"/>
    <w:rsid w:val="00864E0C"/>
    <w:rsid w:val="00865AFA"/>
    <w:rsid w:val="00866D13"/>
    <w:rsid w:val="00874321"/>
    <w:rsid w:val="008800B8"/>
    <w:rsid w:val="00880992"/>
    <w:rsid w:val="00881767"/>
    <w:rsid w:val="0088243F"/>
    <w:rsid w:val="00883A65"/>
    <w:rsid w:val="00891175"/>
    <w:rsid w:val="00895225"/>
    <w:rsid w:val="00896166"/>
    <w:rsid w:val="008A7432"/>
    <w:rsid w:val="008A7EB1"/>
    <w:rsid w:val="008B3317"/>
    <w:rsid w:val="008B3906"/>
    <w:rsid w:val="008B40E9"/>
    <w:rsid w:val="008B49E6"/>
    <w:rsid w:val="008B5BC9"/>
    <w:rsid w:val="008B793B"/>
    <w:rsid w:val="008C63C3"/>
    <w:rsid w:val="008D00DE"/>
    <w:rsid w:val="008D0152"/>
    <w:rsid w:val="008D249F"/>
    <w:rsid w:val="008E3CC9"/>
    <w:rsid w:val="008E6210"/>
    <w:rsid w:val="008E6496"/>
    <w:rsid w:val="008F001C"/>
    <w:rsid w:val="008F1365"/>
    <w:rsid w:val="008F3478"/>
    <w:rsid w:val="008F52AE"/>
    <w:rsid w:val="008F7DAA"/>
    <w:rsid w:val="0090069D"/>
    <w:rsid w:val="00903D5E"/>
    <w:rsid w:val="009047DB"/>
    <w:rsid w:val="009070B5"/>
    <w:rsid w:val="0091040C"/>
    <w:rsid w:val="0091185C"/>
    <w:rsid w:val="009148ED"/>
    <w:rsid w:val="0091510D"/>
    <w:rsid w:val="009153A3"/>
    <w:rsid w:val="00915AAC"/>
    <w:rsid w:val="00916665"/>
    <w:rsid w:val="00922754"/>
    <w:rsid w:val="009252D6"/>
    <w:rsid w:val="009261FA"/>
    <w:rsid w:val="00926BE8"/>
    <w:rsid w:val="00936196"/>
    <w:rsid w:val="00942644"/>
    <w:rsid w:val="00944A13"/>
    <w:rsid w:val="009475E9"/>
    <w:rsid w:val="00950A61"/>
    <w:rsid w:val="00954700"/>
    <w:rsid w:val="00954F7B"/>
    <w:rsid w:val="00955CAA"/>
    <w:rsid w:val="009568FB"/>
    <w:rsid w:val="009570B0"/>
    <w:rsid w:val="00957FF6"/>
    <w:rsid w:val="009644FC"/>
    <w:rsid w:val="00970216"/>
    <w:rsid w:val="009730EE"/>
    <w:rsid w:val="00973D49"/>
    <w:rsid w:val="0097516B"/>
    <w:rsid w:val="00975ACF"/>
    <w:rsid w:val="00976FE1"/>
    <w:rsid w:val="00982709"/>
    <w:rsid w:val="00983429"/>
    <w:rsid w:val="00985287"/>
    <w:rsid w:val="00987544"/>
    <w:rsid w:val="00987FE9"/>
    <w:rsid w:val="00995635"/>
    <w:rsid w:val="009A29AE"/>
    <w:rsid w:val="009A5D77"/>
    <w:rsid w:val="009B1B29"/>
    <w:rsid w:val="009B2A1E"/>
    <w:rsid w:val="009B332D"/>
    <w:rsid w:val="009C3619"/>
    <w:rsid w:val="009C3CCA"/>
    <w:rsid w:val="009C530D"/>
    <w:rsid w:val="009C54E0"/>
    <w:rsid w:val="009D1A59"/>
    <w:rsid w:val="009D1F69"/>
    <w:rsid w:val="009D21A5"/>
    <w:rsid w:val="009D5744"/>
    <w:rsid w:val="009D57FF"/>
    <w:rsid w:val="009E2777"/>
    <w:rsid w:val="009E283B"/>
    <w:rsid w:val="009E3B16"/>
    <w:rsid w:val="009E4861"/>
    <w:rsid w:val="009E6C3A"/>
    <w:rsid w:val="009E7062"/>
    <w:rsid w:val="009F04A8"/>
    <w:rsid w:val="009F0D8D"/>
    <w:rsid w:val="009F1038"/>
    <w:rsid w:val="009F728E"/>
    <w:rsid w:val="00A00D5C"/>
    <w:rsid w:val="00A05065"/>
    <w:rsid w:val="00A067A4"/>
    <w:rsid w:val="00A10346"/>
    <w:rsid w:val="00A11C7E"/>
    <w:rsid w:val="00A1289F"/>
    <w:rsid w:val="00A17023"/>
    <w:rsid w:val="00A17195"/>
    <w:rsid w:val="00A178BB"/>
    <w:rsid w:val="00A20B72"/>
    <w:rsid w:val="00A23685"/>
    <w:rsid w:val="00A30C14"/>
    <w:rsid w:val="00A30EC2"/>
    <w:rsid w:val="00A361F1"/>
    <w:rsid w:val="00A40FE4"/>
    <w:rsid w:val="00A462EC"/>
    <w:rsid w:val="00A525A3"/>
    <w:rsid w:val="00A5476A"/>
    <w:rsid w:val="00A55592"/>
    <w:rsid w:val="00A564DC"/>
    <w:rsid w:val="00A57862"/>
    <w:rsid w:val="00A61CEA"/>
    <w:rsid w:val="00A62D3A"/>
    <w:rsid w:val="00A74035"/>
    <w:rsid w:val="00A75C3F"/>
    <w:rsid w:val="00A809EA"/>
    <w:rsid w:val="00A84E2E"/>
    <w:rsid w:val="00A8779F"/>
    <w:rsid w:val="00A91520"/>
    <w:rsid w:val="00A93E3B"/>
    <w:rsid w:val="00AA505E"/>
    <w:rsid w:val="00AA60CB"/>
    <w:rsid w:val="00AB2B08"/>
    <w:rsid w:val="00AD1B01"/>
    <w:rsid w:val="00AD264F"/>
    <w:rsid w:val="00AD3145"/>
    <w:rsid w:val="00AD583C"/>
    <w:rsid w:val="00AD6732"/>
    <w:rsid w:val="00AE4B8B"/>
    <w:rsid w:val="00B01562"/>
    <w:rsid w:val="00B01B70"/>
    <w:rsid w:val="00B04312"/>
    <w:rsid w:val="00B04D82"/>
    <w:rsid w:val="00B06EFF"/>
    <w:rsid w:val="00B07CFF"/>
    <w:rsid w:val="00B10618"/>
    <w:rsid w:val="00B10B4A"/>
    <w:rsid w:val="00B11D24"/>
    <w:rsid w:val="00B15C40"/>
    <w:rsid w:val="00B16C74"/>
    <w:rsid w:val="00B206EF"/>
    <w:rsid w:val="00B22087"/>
    <w:rsid w:val="00B30019"/>
    <w:rsid w:val="00B31C2A"/>
    <w:rsid w:val="00B338B8"/>
    <w:rsid w:val="00B362F5"/>
    <w:rsid w:val="00B36A1E"/>
    <w:rsid w:val="00B37371"/>
    <w:rsid w:val="00B37798"/>
    <w:rsid w:val="00B43670"/>
    <w:rsid w:val="00B43C02"/>
    <w:rsid w:val="00B55D32"/>
    <w:rsid w:val="00B55E4A"/>
    <w:rsid w:val="00B6309F"/>
    <w:rsid w:val="00B660B0"/>
    <w:rsid w:val="00B6761E"/>
    <w:rsid w:val="00B679C1"/>
    <w:rsid w:val="00B73C6D"/>
    <w:rsid w:val="00B76C61"/>
    <w:rsid w:val="00B81ED3"/>
    <w:rsid w:val="00B83A4B"/>
    <w:rsid w:val="00B8511A"/>
    <w:rsid w:val="00B85831"/>
    <w:rsid w:val="00B91384"/>
    <w:rsid w:val="00B92FD0"/>
    <w:rsid w:val="00B9519B"/>
    <w:rsid w:val="00B96710"/>
    <w:rsid w:val="00B96B08"/>
    <w:rsid w:val="00BA5FF6"/>
    <w:rsid w:val="00BA7D02"/>
    <w:rsid w:val="00BB0145"/>
    <w:rsid w:val="00BB0199"/>
    <w:rsid w:val="00BB32A9"/>
    <w:rsid w:val="00BB4050"/>
    <w:rsid w:val="00BC1411"/>
    <w:rsid w:val="00BC2073"/>
    <w:rsid w:val="00BC4602"/>
    <w:rsid w:val="00BC7B6B"/>
    <w:rsid w:val="00BE2234"/>
    <w:rsid w:val="00BE60F2"/>
    <w:rsid w:val="00BF1E5E"/>
    <w:rsid w:val="00BF2530"/>
    <w:rsid w:val="00BF44CE"/>
    <w:rsid w:val="00BF4E5A"/>
    <w:rsid w:val="00BF623C"/>
    <w:rsid w:val="00BF7E50"/>
    <w:rsid w:val="00C026C7"/>
    <w:rsid w:val="00C12D41"/>
    <w:rsid w:val="00C148F2"/>
    <w:rsid w:val="00C15001"/>
    <w:rsid w:val="00C15286"/>
    <w:rsid w:val="00C21746"/>
    <w:rsid w:val="00C24385"/>
    <w:rsid w:val="00C302DC"/>
    <w:rsid w:val="00C303B0"/>
    <w:rsid w:val="00C30408"/>
    <w:rsid w:val="00C436C4"/>
    <w:rsid w:val="00C45C1D"/>
    <w:rsid w:val="00C50D5B"/>
    <w:rsid w:val="00C51988"/>
    <w:rsid w:val="00C526C6"/>
    <w:rsid w:val="00C52B26"/>
    <w:rsid w:val="00C54478"/>
    <w:rsid w:val="00C577B8"/>
    <w:rsid w:val="00C76E34"/>
    <w:rsid w:val="00C772E4"/>
    <w:rsid w:val="00C81C1E"/>
    <w:rsid w:val="00C8444B"/>
    <w:rsid w:val="00C90863"/>
    <w:rsid w:val="00C93FE8"/>
    <w:rsid w:val="00CA57BF"/>
    <w:rsid w:val="00CA5B43"/>
    <w:rsid w:val="00CB01FE"/>
    <w:rsid w:val="00CB133A"/>
    <w:rsid w:val="00CB2F2D"/>
    <w:rsid w:val="00CB3C7E"/>
    <w:rsid w:val="00CB4245"/>
    <w:rsid w:val="00CB7B9A"/>
    <w:rsid w:val="00CC0A39"/>
    <w:rsid w:val="00CD0C40"/>
    <w:rsid w:val="00CD111E"/>
    <w:rsid w:val="00CE1357"/>
    <w:rsid w:val="00CE2D49"/>
    <w:rsid w:val="00CE6BBD"/>
    <w:rsid w:val="00CF211E"/>
    <w:rsid w:val="00CF7777"/>
    <w:rsid w:val="00D022B0"/>
    <w:rsid w:val="00D02E07"/>
    <w:rsid w:val="00D03BBE"/>
    <w:rsid w:val="00D17B5E"/>
    <w:rsid w:val="00D207B8"/>
    <w:rsid w:val="00D20F96"/>
    <w:rsid w:val="00D22086"/>
    <w:rsid w:val="00D25434"/>
    <w:rsid w:val="00D3082D"/>
    <w:rsid w:val="00D3154F"/>
    <w:rsid w:val="00D3272A"/>
    <w:rsid w:val="00D33B43"/>
    <w:rsid w:val="00D41F7B"/>
    <w:rsid w:val="00D42499"/>
    <w:rsid w:val="00D437B9"/>
    <w:rsid w:val="00D500BD"/>
    <w:rsid w:val="00D5148D"/>
    <w:rsid w:val="00D53F12"/>
    <w:rsid w:val="00D54536"/>
    <w:rsid w:val="00D613F4"/>
    <w:rsid w:val="00D623D5"/>
    <w:rsid w:val="00D66918"/>
    <w:rsid w:val="00D8521E"/>
    <w:rsid w:val="00D85D88"/>
    <w:rsid w:val="00D8673C"/>
    <w:rsid w:val="00D87198"/>
    <w:rsid w:val="00D92235"/>
    <w:rsid w:val="00D9248B"/>
    <w:rsid w:val="00D93978"/>
    <w:rsid w:val="00D96C78"/>
    <w:rsid w:val="00DA116A"/>
    <w:rsid w:val="00DA4C6E"/>
    <w:rsid w:val="00DA6F43"/>
    <w:rsid w:val="00DA77AA"/>
    <w:rsid w:val="00DA7AAA"/>
    <w:rsid w:val="00DB022A"/>
    <w:rsid w:val="00DB082E"/>
    <w:rsid w:val="00DB5EAA"/>
    <w:rsid w:val="00DD0291"/>
    <w:rsid w:val="00DD1DAE"/>
    <w:rsid w:val="00DD2833"/>
    <w:rsid w:val="00DD2B1A"/>
    <w:rsid w:val="00DD5303"/>
    <w:rsid w:val="00DD572F"/>
    <w:rsid w:val="00DD674A"/>
    <w:rsid w:val="00DD77E9"/>
    <w:rsid w:val="00DF4234"/>
    <w:rsid w:val="00DF4564"/>
    <w:rsid w:val="00DF5C7A"/>
    <w:rsid w:val="00E0119F"/>
    <w:rsid w:val="00E059BF"/>
    <w:rsid w:val="00E069A4"/>
    <w:rsid w:val="00E06E2D"/>
    <w:rsid w:val="00E122F4"/>
    <w:rsid w:val="00E12CED"/>
    <w:rsid w:val="00E15FD7"/>
    <w:rsid w:val="00E16614"/>
    <w:rsid w:val="00E17A0B"/>
    <w:rsid w:val="00E26E93"/>
    <w:rsid w:val="00E2763A"/>
    <w:rsid w:val="00E43A8F"/>
    <w:rsid w:val="00E45C24"/>
    <w:rsid w:val="00E45C53"/>
    <w:rsid w:val="00E51567"/>
    <w:rsid w:val="00E53E5E"/>
    <w:rsid w:val="00E645D4"/>
    <w:rsid w:val="00E64DC0"/>
    <w:rsid w:val="00E6638F"/>
    <w:rsid w:val="00E71C97"/>
    <w:rsid w:val="00E80122"/>
    <w:rsid w:val="00E825AA"/>
    <w:rsid w:val="00E835C2"/>
    <w:rsid w:val="00E86FC5"/>
    <w:rsid w:val="00E901C0"/>
    <w:rsid w:val="00E9076A"/>
    <w:rsid w:val="00E94421"/>
    <w:rsid w:val="00E95904"/>
    <w:rsid w:val="00EA23BD"/>
    <w:rsid w:val="00EA3AF3"/>
    <w:rsid w:val="00EB2FA6"/>
    <w:rsid w:val="00EB4AE2"/>
    <w:rsid w:val="00EC0D25"/>
    <w:rsid w:val="00EC4E6E"/>
    <w:rsid w:val="00EC614C"/>
    <w:rsid w:val="00ED19CD"/>
    <w:rsid w:val="00ED2A49"/>
    <w:rsid w:val="00EE30FB"/>
    <w:rsid w:val="00EF444C"/>
    <w:rsid w:val="00EF6306"/>
    <w:rsid w:val="00F01298"/>
    <w:rsid w:val="00F03491"/>
    <w:rsid w:val="00F045DC"/>
    <w:rsid w:val="00F07C49"/>
    <w:rsid w:val="00F112E3"/>
    <w:rsid w:val="00F13940"/>
    <w:rsid w:val="00F154B5"/>
    <w:rsid w:val="00F16D1E"/>
    <w:rsid w:val="00F2373A"/>
    <w:rsid w:val="00F24CD2"/>
    <w:rsid w:val="00F27E8D"/>
    <w:rsid w:val="00F45056"/>
    <w:rsid w:val="00F4619C"/>
    <w:rsid w:val="00F466D1"/>
    <w:rsid w:val="00F50CD4"/>
    <w:rsid w:val="00F52309"/>
    <w:rsid w:val="00F5298F"/>
    <w:rsid w:val="00F60220"/>
    <w:rsid w:val="00F64918"/>
    <w:rsid w:val="00F7197C"/>
    <w:rsid w:val="00F72744"/>
    <w:rsid w:val="00F76834"/>
    <w:rsid w:val="00F837B0"/>
    <w:rsid w:val="00F84B65"/>
    <w:rsid w:val="00F85E26"/>
    <w:rsid w:val="00F90821"/>
    <w:rsid w:val="00F93F0F"/>
    <w:rsid w:val="00F95BF4"/>
    <w:rsid w:val="00FA03A4"/>
    <w:rsid w:val="00FB40E5"/>
    <w:rsid w:val="00FB4C8B"/>
    <w:rsid w:val="00FB4E34"/>
    <w:rsid w:val="00FC3A98"/>
    <w:rsid w:val="00FC5396"/>
    <w:rsid w:val="00FC5B67"/>
    <w:rsid w:val="00FD14B9"/>
    <w:rsid w:val="00FD2462"/>
    <w:rsid w:val="00FD2EB4"/>
    <w:rsid w:val="00FD606B"/>
    <w:rsid w:val="00FE0446"/>
    <w:rsid w:val="00FE0887"/>
    <w:rsid w:val="00FE640D"/>
    <w:rsid w:val="00FE7456"/>
    <w:rsid w:val="00FF1E0D"/>
    <w:rsid w:val="00FF36EE"/>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69C508"/>
  <w15:docId w15:val="{60DA3FB3-4733-463E-8E04-9237CE9E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nl-NL" w:eastAsia="nl-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atentStyles>
  <w:style w:type="paragraph" w:default="1" w:styleId="Standaard">
    <w:name w:val="Normal"/>
    <w:qFormat/>
    <w:rsid w:val="00C76E34"/>
    <w:pPr>
      <w:spacing w:after="200" w:line="276" w:lineRule="auto"/>
    </w:pPr>
    <w:rPr>
      <w:sz w:val="22"/>
      <w:szCs w:val="22"/>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954700"/>
  </w:style>
  <w:style w:type="paragraph" w:styleId="Tekstopmerking">
    <w:name w:val="annotation text"/>
    <w:basedOn w:val="Standaard"/>
    <w:link w:val="TekstopmerkingTeken"/>
    <w:uiPriority w:val="99"/>
    <w:unhideWhenUsed/>
    <w:rsid w:val="00954700"/>
    <w:pPr>
      <w:spacing w:line="240" w:lineRule="auto"/>
    </w:pPr>
    <w:rPr>
      <w:sz w:val="24"/>
      <w:szCs w:val="24"/>
    </w:rPr>
  </w:style>
  <w:style w:type="character" w:customStyle="1" w:styleId="TekstopmerkingTeken">
    <w:name w:val="Tekst opmerking Teken"/>
    <w:link w:val="Tekstopmerking"/>
    <w:uiPriority w:val="99"/>
    <w:rsid w:val="00954700"/>
    <w:rPr>
      <w:sz w:val="24"/>
      <w:szCs w:val="24"/>
    </w:rPr>
  </w:style>
  <w:style w:type="paragraph" w:customStyle="1" w:styleId="Kleurrijkelijst-accent11">
    <w:name w:val="Kleurrijke lijst - accent 11"/>
    <w:basedOn w:val="Standaard"/>
    <w:link w:val="Kleurrijkelijst-accent1Char"/>
    <w:uiPriority w:val="34"/>
    <w:qFormat/>
    <w:rsid w:val="00120004"/>
    <w:pPr>
      <w:ind w:left="720"/>
      <w:contextualSpacing/>
    </w:pPr>
  </w:style>
  <w:style w:type="table" w:styleId="Tabelraster">
    <w:name w:val="Table Grid"/>
    <w:basedOn w:val="Standaardtabel"/>
    <w:uiPriority w:val="39"/>
    <w:rsid w:val="00F4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jschrift">
    <w:name w:val="caption"/>
    <w:basedOn w:val="Standaard"/>
    <w:next w:val="Standaard"/>
    <w:uiPriority w:val="35"/>
    <w:qFormat/>
    <w:rsid w:val="004254EF"/>
    <w:pPr>
      <w:spacing w:line="240" w:lineRule="auto"/>
    </w:pPr>
    <w:rPr>
      <w:b/>
      <w:bCs/>
      <w:color w:val="4F81BD"/>
      <w:sz w:val="18"/>
      <w:szCs w:val="18"/>
    </w:rPr>
  </w:style>
  <w:style w:type="character" w:styleId="Verwijzingopmerking">
    <w:name w:val="annotation reference"/>
    <w:uiPriority w:val="99"/>
    <w:semiHidden/>
    <w:unhideWhenUsed/>
    <w:rsid w:val="00DB082E"/>
    <w:rPr>
      <w:sz w:val="16"/>
      <w:szCs w:val="16"/>
    </w:rPr>
  </w:style>
  <w:style w:type="paragraph" w:styleId="Onderwerpvanopmerking">
    <w:name w:val="annotation subject"/>
    <w:basedOn w:val="Tekstopmerking"/>
    <w:next w:val="Tekstopmerking"/>
    <w:link w:val="OnderwerpvanopmerkingTeken"/>
    <w:uiPriority w:val="99"/>
    <w:semiHidden/>
    <w:unhideWhenUsed/>
    <w:rsid w:val="00DB082E"/>
    <w:rPr>
      <w:b/>
      <w:bCs/>
      <w:sz w:val="20"/>
      <w:szCs w:val="20"/>
    </w:rPr>
  </w:style>
  <w:style w:type="character" w:customStyle="1" w:styleId="OnderwerpvanopmerkingTeken">
    <w:name w:val="Onderwerp van opmerking Teken"/>
    <w:link w:val="Onderwerpvanopmerking"/>
    <w:uiPriority w:val="99"/>
    <w:semiHidden/>
    <w:rsid w:val="00DB082E"/>
    <w:rPr>
      <w:b/>
      <w:bCs/>
      <w:sz w:val="20"/>
      <w:szCs w:val="20"/>
    </w:rPr>
  </w:style>
  <w:style w:type="paragraph" w:styleId="Ballontekst">
    <w:name w:val="Balloon Text"/>
    <w:basedOn w:val="Standaard"/>
    <w:link w:val="BallontekstTeken"/>
    <w:uiPriority w:val="99"/>
    <w:semiHidden/>
    <w:unhideWhenUsed/>
    <w:rsid w:val="00DB082E"/>
    <w:pPr>
      <w:spacing w:after="0" w:line="240" w:lineRule="auto"/>
    </w:pPr>
    <w:rPr>
      <w:rFonts w:ascii="Tahoma" w:hAnsi="Tahoma" w:cs="Tahoma"/>
      <w:sz w:val="16"/>
      <w:szCs w:val="16"/>
    </w:rPr>
  </w:style>
  <w:style w:type="character" w:customStyle="1" w:styleId="BallontekstTeken">
    <w:name w:val="Ballontekst Teken"/>
    <w:link w:val="Ballontekst"/>
    <w:uiPriority w:val="99"/>
    <w:semiHidden/>
    <w:rsid w:val="00DB082E"/>
    <w:rPr>
      <w:rFonts w:ascii="Tahoma" w:hAnsi="Tahoma" w:cs="Tahoma"/>
      <w:sz w:val="16"/>
      <w:szCs w:val="16"/>
    </w:rPr>
  </w:style>
  <w:style w:type="character" w:customStyle="1" w:styleId="Kleurrijkelijst-accent1Char">
    <w:name w:val="Kleurrijke lijst - accent 1 Char"/>
    <w:basedOn w:val="Standaardalinea-lettertype"/>
    <w:link w:val="Kleurrijkelijst-accent11"/>
    <w:uiPriority w:val="34"/>
    <w:rsid w:val="00440354"/>
  </w:style>
  <w:style w:type="paragraph" w:customStyle="1" w:styleId="Kleurrijkearcering-accent11">
    <w:name w:val="Kleurrijke arcering - accent 11"/>
    <w:hidden/>
    <w:uiPriority w:val="99"/>
    <w:semiHidden/>
    <w:rsid w:val="00DA6F43"/>
    <w:rPr>
      <w:sz w:val="22"/>
      <w:szCs w:val="22"/>
      <w:lang w:val="en-GB" w:eastAsia="en-US"/>
    </w:rPr>
  </w:style>
  <w:style w:type="paragraph" w:styleId="Normaalweb">
    <w:name w:val="Normal (Web)"/>
    <w:basedOn w:val="Standaard"/>
    <w:uiPriority w:val="99"/>
    <w:unhideWhenUsed/>
    <w:rsid w:val="007D2BCB"/>
    <w:pPr>
      <w:spacing w:before="100" w:beforeAutospacing="1" w:after="100" w:afterAutospacing="1" w:line="240" w:lineRule="auto"/>
    </w:pPr>
    <w:rPr>
      <w:rFonts w:ascii="Times New Roman" w:eastAsia="MS Mincho" w:hAnsi="Times New Roman" w:cs="Times New Roman"/>
      <w:sz w:val="24"/>
      <w:szCs w:val="24"/>
      <w:lang w:val="nl-NL" w:eastAsia="nl-NL"/>
    </w:rPr>
  </w:style>
  <w:style w:type="paragraph" w:styleId="Koptekst">
    <w:name w:val="header"/>
    <w:basedOn w:val="Standaard"/>
    <w:link w:val="KoptekstTeken"/>
    <w:uiPriority w:val="99"/>
    <w:unhideWhenUsed/>
    <w:rsid w:val="00497B38"/>
    <w:pPr>
      <w:tabs>
        <w:tab w:val="center" w:pos="4513"/>
        <w:tab w:val="right" w:pos="9026"/>
      </w:tabs>
      <w:spacing w:after="0" w:line="240" w:lineRule="auto"/>
    </w:pPr>
  </w:style>
  <w:style w:type="character" w:customStyle="1" w:styleId="KoptekstTeken">
    <w:name w:val="Koptekst Teken"/>
    <w:basedOn w:val="Standaardalinea-lettertype"/>
    <w:link w:val="Koptekst"/>
    <w:uiPriority w:val="99"/>
    <w:rsid w:val="00497B38"/>
  </w:style>
  <w:style w:type="paragraph" w:styleId="Voettekst">
    <w:name w:val="footer"/>
    <w:basedOn w:val="Standaard"/>
    <w:link w:val="VoettekstTeken"/>
    <w:uiPriority w:val="99"/>
    <w:unhideWhenUsed/>
    <w:rsid w:val="00497B38"/>
    <w:pPr>
      <w:tabs>
        <w:tab w:val="center" w:pos="4513"/>
        <w:tab w:val="right" w:pos="9026"/>
      </w:tabs>
      <w:spacing w:after="0" w:line="240" w:lineRule="auto"/>
    </w:pPr>
  </w:style>
  <w:style w:type="character" w:customStyle="1" w:styleId="VoettekstTeken">
    <w:name w:val="Voettekst Teken"/>
    <w:basedOn w:val="Standaardalinea-lettertype"/>
    <w:link w:val="Voettekst"/>
    <w:uiPriority w:val="99"/>
    <w:rsid w:val="00497B38"/>
  </w:style>
  <w:style w:type="table" w:customStyle="1" w:styleId="TableGrid1">
    <w:name w:val="Table Grid1"/>
    <w:basedOn w:val="Standaardtabel"/>
    <w:next w:val="Tabelraster"/>
    <w:uiPriority w:val="59"/>
    <w:rsid w:val="00497B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67576"/>
    <w:rPr>
      <w:color w:val="0000FF"/>
      <w:u w:val="single"/>
    </w:rPr>
  </w:style>
  <w:style w:type="character" w:styleId="Zwaar">
    <w:name w:val="Strong"/>
    <w:uiPriority w:val="22"/>
    <w:qFormat/>
    <w:rsid w:val="001156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55591">
      <w:bodyDiv w:val="1"/>
      <w:marLeft w:val="0"/>
      <w:marRight w:val="0"/>
      <w:marTop w:val="0"/>
      <w:marBottom w:val="0"/>
      <w:divBdr>
        <w:top w:val="none" w:sz="0" w:space="0" w:color="auto"/>
        <w:left w:val="none" w:sz="0" w:space="0" w:color="auto"/>
        <w:bottom w:val="none" w:sz="0" w:space="0" w:color="auto"/>
        <w:right w:val="none" w:sz="0" w:space="0" w:color="auto"/>
      </w:divBdr>
    </w:div>
    <w:div w:id="189883125">
      <w:bodyDiv w:val="1"/>
      <w:marLeft w:val="0"/>
      <w:marRight w:val="0"/>
      <w:marTop w:val="0"/>
      <w:marBottom w:val="0"/>
      <w:divBdr>
        <w:top w:val="none" w:sz="0" w:space="0" w:color="auto"/>
        <w:left w:val="none" w:sz="0" w:space="0" w:color="auto"/>
        <w:bottom w:val="none" w:sz="0" w:space="0" w:color="auto"/>
        <w:right w:val="none" w:sz="0" w:space="0" w:color="auto"/>
      </w:divBdr>
    </w:div>
    <w:div w:id="453839163">
      <w:bodyDiv w:val="1"/>
      <w:marLeft w:val="0"/>
      <w:marRight w:val="0"/>
      <w:marTop w:val="0"/>
      <w:marBottom w:val="0"/>
      <w:divBdr>
        <w:top w:val="none" w:sz="0" w:space="0" w:color="auto"/>
        <w:left w:val="none" w:sz="0" w:space="0" w:color="auto"/>
        <w:bottom w:val="none" w:sz="0" w:space="0" w:color="auto"/>
        <w:right w:val="none" w:sz="0" w:space="0" w:color="auto"/>
      </w:divBdr>
    </w:div>
    <w:div w:id="532302396">
      <w:bodyDiv w:val="1"/>
      <w:marLeft w:val="0"/>
      <w:marRight w:val="0"/>
      <w:marTop w:val="0"/>
      <w:marBottom w:val="0"/>
      <w:divBdr>
        <w:top w:val="none" w:sz="0" w:space="0" w:color="auto"/>
        <w:left w:val="none" w:sz="0" w:space="0" w:color="auto"/>
        <w:bottom w:val="none" w:sz="0" w:space="0" w:color="auto"/>
        <w:right w:val="none" w:sz="0" w:space="0" w:color="auto"/>
      </w:divBdr>
      <w:divsChild>
        <w:div w:id="1058895023">
          <w:marLeft w:val="0"/>
          <w:marRight w:val="0"/>
          <w:marTop w:val="0"/>
          <w:marBottom w:val="0"/>
          <w:divBdr>
            <w:top w:val="none" w:sz="0" w:space="0" w:color="auto"/>
            <w:left w:val="none" w:sz="0" w:space="0" w:color="auto"/>
            <w:bottom w:val="none" w:sz="0" w:space="0" w:color="auto"/>
            <w:right w:val="none" w:sz="0" w:space="0" w:color="auto"/>
          </w:divBdr>
        </w:div>
      </w:divsChild>
    </w:div>
    <w:div w:id="974141394">
      <w:bodyDiv w:val="1"/>
      <w:marLeft w:val="0"/>
      <w:marRight w:val="0"/>
      <w:marTop w:val="0"/>
      <w:marBottom w:val="0"/>
      <w:divBdr>
        <w:top w:val="none" w:sz="0" w:space="0" w:color="auto"/>
        <w:left w:val="none" w:sz="0" w:space="0" w:color="auto"/>
        <w:bottom w:val="none" w:sz="0" w:space="0" w:color="auto"/>
        <w:right w:val="none" w:sz="0" w:space="0" w:color="auto"/>
      </w:divBdr>
    </w:div>
    <w:div w:id="1006904207">
      <w:bodyDiv w:val="1"/>
      <w:marLeft w:val="0"/>
      <w:marRight w:val="0"/>
      <w:marTop w:val="0"/>
      <w:marBottom w:val="0"/>
      <w:divBdr>
        <w:top w:val="none" w:sz="0" w:space="0" w:color="auto"/>
        <w:left w:val="none" w:sz="0" w:space="0" w:color="auto"/>
        <w:bottom w:val="none" w:sz="0" w:space="0" w:color="auto"/>
        <w:right w:val="none" w:sz="0" w:space="0" w:color="auto"/>
      </w:divBdr>
    </w:div>
    <w:div w:id="1023937923">
      <w:bodyDiv w:val="1"/>
      <w:marLeft w:val="0"/>
      <w:marRight w:val="0"/>
      <w:marTop w:val="0"/>
      <w:marBottom w:val="0"/>
      <w:divBdr>
        <w:top w:val="none" w:sz="0" w:space="0" w:color="auto"/>
        <w:left w:val="none" w:sz="0" w:space="0" w:color="auto"/>
        <w:bottom w:val="none" w:sz="0" w:space="0" w:color="auto"/>
        <w:right w:val="none" w:sz="0" w:space="0" w:color="auto"/>
      </w:divBdr>
    </w:div>
    <w:div w:id="1040977009">
      <w:bodyDiv w:val="1"/>
      <w:marLeft w:val="0"/>
      <w:marRight w:val="0"/>
      <w:marTop w:val="0"/>
      <w:marBottom w:val="0"/>
      <w:divBdr>
        <w:top w:val="none" w:sz="0" w:space="0" w:color="auto"/>
        <w:left w:val="none" w:sz="0" w:space="0" w:color="auto"/>
        <w:bottom w:val="none" w:sz="0" w:space="0" w:color="auto"/>
        <w:right w:val="none" w:sz="0" w:space="0" w:color="auto"/>
      </w:divBdr>
    </w:div>
    <w:div w:id="1293713189">
      <w:bodyDiv w:val="1"/>
      <w:marLeft w:val="0"/>
      <w:marRight w:val="0"/>
      <w:marTop w:val="0"/>
      <w:marBottom w:val="0"/>
      <w:divBdr>
        <w:top w:val="none" w:sz="0" w:space="0" w:color="auto"/>
        <w:left w:val="none" w:sz="0" w:space="0" w:color="auto"/>
        <w:bottom w:val="none" w:sz="0" w:space="0" w:color="auto"/>
        <w:right w:val="none" w:sz="0" w:space="0" w:color="auto"/>
      </w:divBdr>
    </w:div>
    <w:div w:id="1395659582">
      <w:bodyDiv w:val="1"/>
      <w:marLeft w:val="0"/>
      <w:marRight w:val="0"/>
      <w:marTop w:val="0"/>
      <w:marBottom w:val="0"/>
      <w:divBdr>
        <w:top w:val="none" w:sz="0" w:space="0" w:color="auto"/>
        <w:left w:val="none" w:sz="0" w:space="0" w:color="auto"/>
        <w:bottom w:val="none" w:sz="0" w:space="0" w:color="auto"/>
        <w:right w:val="none" w:sz="0" w:space="0" w:color="auto"/>
      </w:divBdr>
    </w:div>
    <w:div w:id="1555695748">
      <w:bodyDiv w:val="1"/>
      <w:marLeft w:val="0"/>
      <w:marRight w:val="0"/>
      <w:marTop w:val="0"/>
      <w:marBottom w:val="0"/>
      <w:divBdr>
        <w:top w:val="none" w:sz="0" w:space="0" w:color="auto"/>
        <w:left w:val="none" w:sz="0" w:space="0" w:color="auto"/>
        <w:bottom w:val="none" w:sz="0" w:space="0" w:color="auto"/>
        <w:right w:val="none" w:sz="0" w:space="0" w:color="auto"/>
      </w:divBdr>
    </w:div>
    <w:div w:id="1686248418">
      <w:bodyDiv w:val="1"/>
      <w:marLeft w:val="0"/>
      <w:marRight w:val="0"/>
      <w:marTop w:val="0"/>
      <w:marBottom w:val="0"/>
      <w:divBdr>
        <w:top w:val="none" w:sz="0" w:space="0" w:color="auto"/>
        <w:left w:val="none" w:sz="0" w:space="0" w:color="auto"/>
        <w:bottom w:val="none" w:sz="0" w:space="0" w:color="auto"/>
        <w:right w:val="none" w:sz="0" w:space="0" w:color="auto"/>
      </w:divBdr>
    </w:div>
    <w:div w:id="197166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christopher.butler@phc.ox.ac.u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126EA31-28C0-B246-A45B-517F609EB5FD}">
  <ds:schemaRefs>
    <ds:schemaRef ds:uri="http://schemas.openxmlformats.org/officeDocument/2006/bibliography"/>
  </ds:schemaRefs>
</ds:datastoreItem>
</file>

<file path=customXml/itemProps2.xml><?xml version="1.0" encoding="utf-8"?>
<ds:datastoreItem xmlns:ds="http://schemas.openxmlformats.org/officeDocument/2006/customXml" ds:itemID="{2F8B93D1-8127-0A46-B588-05A5870596DB}">
  <ds:schemaRefs>
    <ds:schemaRef ds:uri="http://schemas.openxmlformats.org/officeDocument/2006/bibliography"/>
  </ds:schemaRefs>
</ds:datastoreItem>
</file>

<file path=customXml/itemProps3.xml><?xml version="1.0" encoding="utf-8"?>
<ds:datastoreItem xmlns:ds="http://schemas.openxmlformats.org/officeDocument/2006/customXml" ds:itemID="{0B805FFA-F7F1-4D48-9541-DA171B21E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16295</Words>
  <Characters>89625</Characters>
  <Application>Microsoft Macintosh Word</Application>
  <DocSecurity>0</DocSecurity>
  <Lines>746</Lines>
  <Paragraphs>211</Paragraphs>
  <ScaleCrop>false</ScaleCrop>
  <HeadingPairs>
    <vt:vector size="2" baseType="variant">
      <vt:variant>
        <vt:lpstr>Titel</vt:lpstr>
      </vt:variant>
      <vt:variant>
        <vt:i4>1</vt:i4>
      </vt:variant>
    </vt:vector>
  </HeadingPairs>
  <TitlesOfParts>
    <vt:vector size="1" baseType="lpstr">
      <vt:lpstr/>
    </vt:vector>
  </TitlesOfParts>
  <Company>University of Oxford</Company>
  <LinksUpToDate>false</LinksUpToDate>
  <CharactersWithSpaces>105709</CharactersWithSpaces>
  <SharedDoc>false</SharedDoc>
  <HLinks>
    <vt:vector size="6" baseType="variant">
      <vt:variant>
        <vt:i4>6029355</vt:i4>
      </vt:variant>
      <vt:variant>
        <vt:i4>0</vt:i4>
      </vt:variant>
      <vt:variant>
        <vt:i4>0</vt:i4>
      </vt:variant>
      <vt:variant>
        <vt:i4>5</vt:i4>
      </vt:variant>
      <vt:variant>
        <vt:lpwstr>mailto:christopher.butler@phc.ox.ac.uk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Hullegie</dc:creator>
  <cp:keywords/>
  <cp:lastModifiedBy>Saskia Hullegie</cp:lastModifiedBy>
  <cp:revision>4</cp:revision>
  <cp:lastPrinted>2016-02-22T13:00:00Z</cp:lastPrinted>
  <dcterms:created xsi:type="dcterms:W3CDTF">2016-12-04T09:09:00Z</dcterms:created>
  <dcterms:modified xsi:type="dcterms:W3CDTF">2017-05-27T08:42:00Z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saskiahullegie@hotmail.com@www.mendeley.com</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