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9D0ACA" w14:textId="77777777" w:rsidR="00501C5B" w:rsidRPr="00501C5B" w:rsidRDefault="00501C5B" w:rsidP="00501C5B">
      <w:pPr>
        <w:pStyle w:val="Title1"/>
        <w:rPr>
          <w:lang w:val="en-US"/>
        </w:rPr>
      </w:pPr>
      <w:bookmarkStart w:id="0" w:name="_GoBack"/>
      <w:bookmarkEnd w:id="0"/>
      <w:r w:rsidRPr="00501C5B">
        <w:rPr>
          <w:lang w:val="en-US"/>
        </w:rPr>
        <w:t>2H → 1T Phase Engineering of Layered Tantalum Disulphides in Electrocatalysis: Oxygen Reduction Reaction</w:t>
      </w:r>
    </w:p>
    <w:p w14:paraId="4EB3A31A" w14:textId="77777777" w:rsidR="00501C5B" w:rsidRPr="00501C5B" w:rsidRDefault="00501C5B" w:rsidP="00501C5B">
      <w:pPr>
        <w:pStyle w:val="Title1"/>
        <w:rPr>
          <w:b w:val="0"/>
          <w:sz w:val="22"/>
          <w:vertAlign w:val="superscript"/>
          <w:lang w:val="en-GB"/>
        </w:rPr>
      </w:pPr>
      <w:r w:rsidRPr="00501C5B">
        <w:rPr>
          <w:b w:val="0"/>
          <w:sz w:val="22"/>
          <w:lang w:val="en-US"/>
        </w:rPr>
        <w:t>Jan Luxa,</w:t>
      </w:r>
      <w:r>
        <w:rPr>
          <w:b w:val="0"/>
          <w:sz w:val="22"/>
          <w:vertAlign w:val="superscript"/>
          <w:lang w:val="en-US"/>
        </w:rPr>
        <w:t>[a]</w:t>
      </w:r>
      <w:r w:rsidRPr="00501C5B">
        <w:rPr>
          <w:b w:val="0"/>
          <w:sz w:val="22"/>
          <w:lang w:val="en-GB"/>
        </w:rPr>
        <w:t xml:space="preserve"> </w:t>
      </w:r>
      <w:r w:rsidRPr="00501C5B">
        <w:rPr>
          <w:b w:val="0"/>
          <w:sz w:val="22"/>
          <w:lang w:val="en-US"/>
        </w:rPr>
        <w:t>Vlastimil Mazánek</w:t>
      </w:r>
      <w:r>
        <w:rPr>
          <w:b w:val="0"/>
          <w:sz w:val="22"/>
          <w:lang w:val="en-US"/>
        </w:rPr>
        <w:t>,</w:t>
      </w:r>
      <w:r>
        <w:rPr>
          <w:b w:val="0"/>
          <w:sz w:val="22"/>
          <w:vertAlign w:val="superscript"/>
          <w:lang w:val="en-GB"/>
        </w:rPr>
        <w:t>[</w:t>
      </w:r>
      <w:r w:rsidRPr="00501C5B">
        <w:rPr>
          <w:b w:val="0"/>
          <w:sz w:val="22"/>
          <w:vertAlign w:val="superscript"/>
          <w:lang w:val="en-GB"/>
        </w:rPr>
        <w:t>a</w:t>
      </w:r>
      <w:r>
        <w:rPr>
          <w:b w:val="0"/>
          <w:sz w:val="22"/>
          <w:vertAlign w:val="superscript"/>
          <w:lang w:val="en-GB"/>
        </w:rPr>
        <w:t>]</w:t>
      </w:r>
      <w:r w:rsidRPr="00501C5B">
        <w:rPr>
          <w:b w:val="0"/>
          <w:sz w:val="22"/>
          <w:lang w:val="en-US"/>
        </w:rPr>
        <w:t xml:space="preserve"> Martin Pumera</w:t>
      </w:r>
      <w:r>
        <w:rPr>
          <w:b w:val="0"/>
          <w:sz w:val="22"/>
          <w:lang w:val="en-US"/>
        </w:rPr>
        <w:t>,</w:t>
      </w:r>
      <w:r w:rsidRPr="00501C5B">
        <w:rPr>
          <w:b w:val="0"/>
          <w:sz w:val="22"/>
          <w:vertAlign w:val="superscript"/>
          <w:lang w:val="en-US"/>
        </w:rPr>
        <w:t xml:space="preserve">* </w:t>
      </w:r>
      <w:r>
        <w:rPr>
          <w:b w:val="0"/>
          <w:sz w:val="22"/>
          <w:vertAlign w:val="superscript"/>
          <w:lang w:val="en-US"/>
        </w:rPr>
        <w:t>[</w:t>
      </w:r>
      <w:r w:rsidRPr="00501C5B">
        <w:rPr>
          <w:b w:val="0"/>
          <w:sz w:val="22"/>
          <w:vertAlign w:val="superscript"/>
          <w:lang w:val="en-US"/>
        </w:rPr>
        <w:t>b</w:t>
      </w:r>
      <w:r>
        <w:rPr>
          <w:b w:val="0"/>
          <w:sz w:val="22"/>
          <w:vertAlign w:val="superscript"/>
          <w:lang w:val="en-US"/>
        </w:rPr>
        <w:t>]</w:t>
      </w:r>
      <w:r w:rsidRPr="00501C5B">
        <w:rPr>
          <w:b w:val="0"/>
          <w:sz w:val="22"/>
          <w:lang w:val="en-US"/>
        </w:rPr>
        <w:t xml:space="preserve"> Petr Lazar</w:t>
      </w:r>
      <w:r>
        <w:rPr>
          <w:b w:val="0"/>
          <w:sz w:val="22"/>
          <w:lang w:val="en-US"/>
        </w:rPr>
        <w:t>,</w:t>
      </w:r>
      <w:r>
        <w:rPr>
          <w:b w:val="0"/>
          <w:sz w:val="22"/>
          <w:vertAlign w:val="superscript"/>
          <w:lang w:val="en-US"/>
        </w:rPr>
        <w:t>[</w:t>
      </w:r>
      <w:r w:rsidRPr="00501C5B">
        <w:rPr>
          <w:b w:val="0"/>
          <w:sz w:val="22"/>
          <w:vertAlign w:val="superscript"/>
          <w:lang w:val="en-US"/>
        </w:rPr>
        <w:t>c</w:t>
      </w:r>
      <w:r>
        <w:rPr>
          <w:b w:val="0"/>
          <w:sz w:val="22"/>
          <w:vertAlign w:val="superscript"/>
          <w:lang w:val="en-US"/>
        </w:rPr>
        <w:t>]</w:t>
      </w:r>
      <w:r w:rsidRPr="00501C5B">
        <w:rPr>
          <w:b w:val="0"/>
          <w:sz w:val="22"/>
          <w:lang w:val="en-US"/>
        </w:rPr>
        <w:t xml:space="preserve"> David Sedmidubský</w:t>
      </w:r>
      <w:r>
        <w:rPr>
          <w:b w:val="0"/>
          <w:sz w:val="22"/>
          <w:lang w:val="en-US"/>
        </w:rPr>
        <w:t>,</w:t>
      </w:r>
      <w:r>
        <w:rPr>
          <w:b w:val="0"/>
          <w:sz w:val="22"/>
          <w:vertAlign w:val="superscript"/>
          <w:lang w:val="en-US"/>
        </w:rPr>
        <w:t>[</w:t>
      </w:r>
      <w:r w:rsidRPr="00501C5B">
        <w:rPr>
          <w:b w:val="0"/>
          <w:sz w:val="22"/>
          <w:vertAlign w:val="superscript"/>
          <w:lang w:val="en-US"/>
        </w:rPr>
        <w:t>a</w:t>
      </w:r>
      <w:r>
        <w:rPr>
          <w:b w:val="0"/>
          <w:sz w:val="22"/>
          <w:vertAlign w:val="superscript"/>
          <w:lang w:val="en-US"/>
        </w:rPr>
        <w:t>]</w:t>
      </w:r>
      <w:r w:rsidRPr="00501C5B">
        <w:rPr>
          <w:b w:val="0"/>
          <w:sz w:val="22"/>
          <w:lang w:val="en-US"/>
        </w:rPr>
        <w:t xml:space="preserve"> Mauro Callisti,</w:t>
      </w:r>
      <w:r>
        <w:rPr>
          <w:b w:val="0"/>
          <w:sz w:val="22"/>
          <w:vertAlign w:val="superscript"/>
          <w:lang w:val="en-US"/>
        </w:rPr>
        <w:t>[d]</w:t>
      </w:r>
      <w:r w:rsidRPr="00501C5B">
        <w:rPr>
          <w:b w:val="0"/>
          <w:sz w:val="22"/>
          <w:lang w:val="en-US"/>
        </w:rPr>
        <w:t xml:space="preserve"> Tomáš Polcar</w:t>
      </w:r>
      <w:r>
        <w:rPr>
          <w:b w:val="0"/>
          <w:sz w:val="22"/>
          <w:lang w:val="en-US"/>
        </w:rPr>
        <w:t>,</w:t>
      </w:r>
      <w:r>
        <w:rPr>
          <w:b w:val="0"/>
          <w:sz w:val="22"/>
          <w:vertAlign w:val="superscript"/>
          <w:lang w:val="en-US"/>
        </w:rPr>
        <w:t>[</w:t>
      </w:r>
      <w:r w:rsidRPr="00501C5B">
        <w:rPr>
          <w:b w:val="0"/>
          <w:sz w:val="22"/>
          <w:vertAlign w:val="superscript"/>
          <w:lang w:val="en-US"/>
        </w:rPr>
        <w:t>e</w:t>
      </w:r>
      <w:r>
        <w:rPr>
          <w:b w:val="0"/>
          <w:sz w:val="22"/>
          <w:vertAlign w:val="superscript"/>
          <w:lang w:val="en-US"/>
        </w:rPr>
        <w:t>]</w:t>
      </w:r>
      <w:r w:rsidRPr="00501C5B">
        <w:rPr>
          <w:b w:val="0"/>
          <w:sz w:val="22"/>
          <w:lang w:val="en-US"/>
        </w:rPr>
        <w:t xml:space="preserve"> and Zdeněk Sofer</w:t>
      </w:r>
      <w:r>
        <w:rPr>
          <w:b w:val="0"/>
          <w:sz w:val="22"/>
          <w:lang w:val="en-US"/>
        </w:rPr>
        <w:t>*</w:t>
      </w:r>
      <w:r>
        <w:rPr>
          <w:b w:val="0"/>
          <w:sz w:val="22"/>
          <w:vertAlign w:val="superscript"/>
          <w:lang w:val="en-US"/>
        </w:rPr>
        <w:t>[a]</w:t>
      </w:r>
    </w:p>
    <w:p w14:paraId="5C84ED5E" w14:textId="77777777" w:rsidR="006D4F77" w:rsidRDefault="00501C5B" w:rsidP="00501C5B">
      <w:pPr>
        <w:pStyle w:val="Authors"/>
        <w:rPr>
          <w:lang w:val="en-US"/>
        </w:rPr>
      </w:pPr>
      <w:r>
        <w:rPr>
          <w:noProof/>
          <w:lang w:eastAsia="en-GB"/>
        </w:rPr>
        <mc:AlternateContent>
          <mc:Choice Requires="wps">
            <w:drawing>
              <wp:anchor distT="180340" distB="0" distL="114300" distR="180340" simplePos="0" relativeHeight="251656704" behindDoc="0" locked="1" layoutInCell="1" allowOverlap="1" wp14:anchorId="28227A70" wp14:editId="4DBFDA87">
                <wp:simplePos x="0" y="0"/>
                <wp:positionH relativeFrom="column">
                  <wp:posOffset>-81915</wp:posOffset>
                </wp:positionH>
                <wp:positionV relativeFrom="page">
                  <wp:posOffset>8181975</wp:posOffset>
                </wp:positionV>
                <wp:extent cx="3150235" cy="1558290"/>
                <wp:effectExtent l="3810" t="0" r="8255" b="3810"/>
                <wp:wrapSquare wrapText="right"/>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558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7E992" w14:textId="77777777" w:rsidR="009C6FAF" w:rsidRPr="007E3A49" w:rsidRDefault="009C6FAF" w:rsidP="00BF14BC">
                            <w:pPr>
                              <w:pStyle w:val="Adress"/>
                              <w:pBdr>
                                <w:top w:val="single" w:sz="4" w:space="1" w:color="000000"/>
                              </w:pBdr>
                              <w:rPr>
                                <w:lang w:val="en-GB"/>
                              </w:rPr>
                            </w:pPr>
                            <w:r w:rsidRPr="0095126A">
                              <w:rPr>
                                <w:lang w:val="en-GB"/>
                              </w:rPr>
                              <w:t>[a]</w:t>
                            </w:r>
                            <w:r w:rsidRPr="0095126A">
                              <w:rPr>
                                <w:lang w:val="en-GB"/>
                              </w:rPr>
                              <w:tab/>
                            </w:r>
                            <w:r>
                              <w:rPr>
                                <w:lang w:val="en-GB"/>
                              </w:rPr>
                              <w:t>J. Luxa, V. Mazánek, Prof. D. Sedmidubský, Prof. Z. Sofer</w:t>
                            </w:r>
                            <w:r>
                              <w:rPr>
                                <w:lang w:val="en-GB"/>
                              </w:rPr>
                              <w:br/>
                              <w:t>Department of Inorganic Chemistry</w:t>
                            </w:r>
                            <w:r>
                              <w:rPr>
                                <w:lang w:val="en-GB"/>
                              </w:rPr>
                              <w:br/>
                              <w:t>University of Chemistry and Technology</w:t>
                            </w:r>
                            <w:r>
                              <w:rPr>
                                <w:lang w:val="en-GB"/>
                              </w:rPr>
                              <w:br/>
                            </w:r>
                            <w:r w:rsidRPr="00B549C0">
                              <w:rPr>
                                <w:lang w:val="en-US"/>
                              </w:rPr>
                              <w:t>Technická 5, 166 28 Prague 6,Czech Republic</w:t>
                            </w:r>
                            <w:r w:rsidRPr="007E3A49">
                              <w:rPr>
                                <w:lang w:val="en-GB"/>
                              </w:rPr>
                              <w:br/>
                              <w:t xml:space="preserve">E-mail: </w:t>
                            </w:r>
                            <w:r>
                              <w:rPr>
                                <w:lang w:val="en-GB"/>
                              </w:rPr>
                              <w:t>zdenek.sofer@vscht.cz</w:t>
                            </w:r>
                          </w:p>
                          <w:p w14:paraId="7A188437" w14:textId="77777777" w:rsidR="009C6FAF" w:rsidRDefault="009C6FAF" w:rsidP="00BF14BC">
                            <w:pPr>
                              <w:pStyle w:val="Adress"/>
                              <w:rPr>
                                <w:lang w:val="en-US"/>
                              </w:rPr>
                            </w:pPr>
                            <w:r w:rsidRPr="0095126A">
                              <w:rPr>
                                <w:lang w:val="en-GB"/>
                              </w:rPr>
                              <w:t>[</w:t>
                            </w:r>
                            <w:proofErr w:type="gramStart"/>
                            <w:r w:rsidRPr="0095126A">
                              <w:rPr>
                                <w:lang w:val="en-GB"/>
                              </w:rPr>
                              <w:t>b</w:t>
                            </w:r>
                            <w:proofErr w:type="gramEnd"/>
                            <w:r w:rsidRPr="0095126A">
                              <w:rPr>
                                <w:lang w:val="en-GB"/>
                              </w:rPr>
                              <w:t>]</w:t>
                            </w:r>
                            <w:r w:rsidRPr="0095126A">
                              <w:rPr>
                                <w:lang w:val="en-GB"/>
                              </w:rPr>
                              <w:tab/>
                            </w:r>
                            <w:r>
                              <w:rPr>
                                <w:lang w:val="en-GB"/>
                              </w:rPr>
                              <w:t>Prof. M. Pumera</w:t>
                            </w:r>
                            <w:r>
                              <w:rPr>
                                <w:lang w:val="en-GB"/>
                              </w:rPr>
                              <w:br/>
                            </w:r>
                            <w:r w:rsidRPr="00B549C0">
                              <w:rPr>
                                <w:lang w:val="en-US"/>
                              </w:rPr>
                              <w:t>Division of Chemistry &amp; Biological Chemistry</w:t>
                            </w:r>
                            <w:r>
                              <w:rPr>
                                <w:lang w:val="en-GB"/>
                              </w:rPr>
                              <w:br/>
                            </w:r>
                            <w:r w:rsidRPr="00B549C0">
                              <w:rPr>
                                <w:lang w:val="en-US"/>
                              </w:rPr>
                              <w:t>School of Physical and Mathematical Sciences, Nanyang Technological University</w:t>
                            </w:r>
                            <w:r>
                              <w:rPr>
                                <w:lang w:val="en-GB"/>
                              </w:rPr>
                              <w:br/>
                            </w:r>
                            <w:r w:rsidRPr="00B549C0">
                              <w:rPr>
                                <w:lang w:val="en-US"/>
                              </w:rPr>
                              <w:t>Singapore, 637371, Singapore</w:t>
                            </w:r>
                          </w:p>
                          <w:p w14:paraId="19952DB1" w14:textId="77777777" w:rsidR="009C6FAF" w:rsidRDefault="009C6FAF" w:rsidP="00BF14BC">
                            <w:pPr>
                              <w:pStyle w:val="Adress"/>
                              <w:rPr>
                                <w:lang w:val="en-US"/>
                              </w:rPr>
                            </w:pPr>
                            <w:r>
                              <w:rPr>
                                <w:lang w:val="en-US"/>
                              </w:rPr>
                              <w:tab/>
                              <w:t>E-mail:</w:t>
                            </w:r>
                            <w:r w:rsidRPr="00B549C0">
                              <w:rPr>
                                <w:color w:val="000000"/>
                              </w:rPr>
                              <w:t xml:space="preserve"> </w:t>
                            </w:r>
                            <w:r w:rsidRPr="00BE6DC0">
                              <w:rPr>
                                <w:color w:val="000000"/>
                              </w:rPr>
                              <w:t>pumera@ntu.edu.sg</w:t>
                            </w:r>
                          </w:p>
                          <w:p w14:paraId="0B068E96" w14:textId="77777777" w:rsidR="009C6FAF" w:rsidRDefault="009C6FAF" w:rsidP="00BF14BC">
                            <w:pPr>
                              <w:pStyle w:val="Adress"/>
                              <w:rPr>
                                <w:lang w:val="en-GB"/>
                              </w:rPr>
                            </w:pPr>
                            <w:r>
                              <w:rPr>
                                <w:lang w:val="en-GB"/>
                              </w:rPr>
                              <w:t>[c</w:t>
                            </w:r>
                            <w:r w:rsidRPr="0095126A">
                              <w:rPr>
                                <w:lang w:val="en-GB"/>
                              </w:rPr>
                              <w:t>]</w:t>
                            </w:r>
                            <w:r>
                              <w:rPr>
                                <w:lang w:val="en-GB"/>
                              </w:rPr>
                              <w:tab/>
                              <w:t>P. Lazar</w:t>
                            </w:r>
                          </w:p>
                          <w:p w14:paraId="1598B536" w14:textId="77777777" w:rsidR="009C6FAF" w:rsidRDefault="009C6FAF" w:rsidP="00BF14BC">
                            <w:pPr>
                              <w:pStyle w:val="Adress"/>
                            </w:pPr>
                            <w:r>
                              <w:rPr>
                                <w:lang w:val="en-GB"/>
                              </w:rPr>
                              <w:tab/>
                            </w:r>
                            <w:r>
                              <w:t>Department</w:t>
                            </w:r>
                            <w:r w:rsidRPr="00413AAA">
                              <w:t xml:space="preserve"> of Physical Chemistry</w:t>
                            </w:r>
                            <w:r>
                              <w:t xml:space="preserve"> and </w:t>
                            </w:r>
                            <w:r w:rsidRPr="00413AAA">
                              <w:t>Regional Centre of Advanced Technologies and Materials</w:t>
                            </w:r>
                          </w:p>
                          <w:p w14:paraId="1E6C8C3F" w14:textId="77777777" w:rsidR="009C6FAF" w:rsidRDefault="009C6FAF" w:rsidP="00BF14BC">
                            <w:pPr>
                              <w:pStyle w:val="Adress"/>
                            </w:pPr>
                            <w:r>
                              <w:tab/>
                              <w:t>Palacký university Olomouc</w:t>
                            </w:r>
                          </w:p>
                          <w:p w14:paraId="454D0622" w14:textId="77777777" w:rsidR="009C6FAF" w:rsidRDefault="009C6FAF" w:rsidP="00BF14BC">
                            <w:pPr>
                              <w:pStyle w:val="Adress"/>
                            </w:pPr>
                            <w:r>
                              <w:tab/>
                            </w:r>
                            <w:r w:rsidRPr="00413AAA">
                              <w:t>tř. 17. Listopadu 1192/12, 771 46 Olomouc</w:t>
                            </w:r>
                          </w:p>
                          <w:p w14:paraId="36F11780" w14:textId="77777777" w:rsidR="009C6FAF" w:rsidRDefault="009C6FAF" w:rsidP="00BF14BC">
                            <w:pPr>
                              <w:pStyle w:val="Adress"/>
                              <w:rPr>
                                <w:lang w:val="en-GB"/>
                              </w:rPr>
                            </w:pPr>
                            <w:r>
                              <w:rPr>
                                <w:lang w:val="en-GB"/>
                              </w:rPr>
                              <w:t>[d</w:t>
                            </w:r>
                            <w:r w:rsidRPr="0095126A">
                              <w:rPr>
                                <w:lang w:val="en-GB"/>
                              </w:rPr>
                              <w:t>]</w:t>
                            </w:r>
                            <w:r>
                              <w:rPr>
                                <w:lang w:val="en-GB"/>
                              </w:rPr>
                              <w:tab/>
                              <w:t>M. Callisti</w:t>
                            </w:r>
                            <w:r>
                              <w:rPr>
                                <w:lang w:val="en-GB"/>
                              </w:rPr>
                              <w:tab/>
                            </w:r>
                          </w:p>
                          <w:p w14:paraId="5A1F5879" w14:textId="77777777" w:rsidR="009C6FAF" w:rsidRDefault="009C6FAF" w:rsidP="00BF14BC">
                            <w:pPr>
                              <w:pStyle w:val="Adress"/>
                              <w:rPr>
                                <w:lang w:val="en-GB"/>
                              </w:rPr>
                            </w:pPr>
                            <w:r>
                              <w:rPr>
                                <w:lang w:val="en-GB"/>
                              </w:rPr>
                              <w:tab/>
                            </w:r>
                            <w:r w:rsidRPr="00B549C0">
                              <w:rPr>
                                <w:lang w:val="en-GB"/>
                              </w:rPr>
                              <w:t>Engineering Science, Faculty of E</w:t>
                            </w:r>
                            <w:r>
                              <w:rPr>
                                <w:lang w:val="en-GB"/>
                              </w:rPr>
                              <w:t xml:space="preserve">ngineering and the Environment, </w:t>
                            </w:r>
                            <w:r w:rsidRPr="00B549C0">
                              <w:rPr>
                                <w:lang w:val="en-GB"/>
                              </w:rPr>
                              <w:t>University of Southampton</w:t>
                            </w:r>
                          </w:p>
                          <w:p w14:paraId="7F920507" w14:textId="77777777" w:rsidR="009C6FAF" w:rsidRDefault="009C6FAF" w:rsidP="006F7EBB">
                            <w:pPr>
                              <w:pStyle w:val="Adress"/>
                              <w:ind w:firstLine="0"/>
                              <w:rPr>
                                <w:lang w:val="en-GB"/>
                              </w:rPr>
                            </w:pPr>
                            <w:r w:rsidRPr="00B549C0">
                              <w:rPr>
                                <w:lang w:val="en-GB"/>
                              </w:rPr>
                              <w:t xml:space="preserve">Southampton </w:t>
                            </w:r>
                            <w:smartTag w:uri="urn:schemas-microsoft-com:office:smarttags" w:element="metricconverter">
                              <w:smartTagPr>
                                <w:attr w:name="ProductID" w:val="50 mM"/>
                              </w:smartTagPr>
                              <w:r w:rsidRPr="00B549C0">
                                <w:rPr>
                                  <w:lang w:val="en-GB"/>
                                </w:rPr>
                                <w:t>SO17 1BJ</w:t>
                              </w:r>
                            </w:smartTag>
                            <w:r w:rsidRPr="00B549C0">
                              <w:rPr>
                                <w:lang w:val="en-GB"/>
                              </w:rPr>
                              <w:t>, UK</w:t>
                            </w:r>
                          </w:p>
                          <w:p w14:paraId="1FD7CD0A" w14:textId="77777777" w:rsidR="009C6FAF" w:rsidRDefault="009C6FAF" w:rsidP="006F7EBB">
                            <w:pPr>
                              <w:pStyle w:val="Adress"/>
                              <w:rPr>
                                <w:lang w:val="en-GB"/>
                              </w:rPr>
                            </w:pPr>
                            <w:r>
                              <w:rPr>
                                <w:lang w:val="en-GB"/>
                              </w:rPr>
                              <w:t>[e</w:t>
                            </w:r>
                            <w:r w:rsidRPr="0095126A">
                              <w:rPr>
                                <w:lang w:val="en-GB"/>
                              </w:rPr>
                              <w:t>]</w:t>
                            </w:r>
                            <w:r>
                              <w:rPr>
                                <w:lang w:val="en-GB"/>
                              </w:rPr>
                              <w:tab/>
                              <w:t>T. Polcar</w:t>
                            </w:r>
                          </w:p>
                          <w:p w14:paraId="34E1B6E6" w14:textId="77777777" w:rsidR="009C6FAF" w:rsidRDefault="009C6FAF" w:rsidP="006F7EBB">
                            <w:pPr>
                              <w:pStyle w:val="Adress"/>
                            </w:pPr>
                            <w:r>
                              <w:rPr>
                                <w:lang w:val="en-GB"/>
                              </w:rPr>
                              <w:tab/>
                            </w:r>
                            <w:r>
                              <w:t>Department of Control Engineering, Faculty of Electrical Engineering</w:t>
                            </w:r>
                          </w:p>
                          <w:p w14:paraId="52326D38" w14:textId="77777777" w:rsidR="009C6FAF" w:rsidRDefault="009C6FAF" w:rsidP="006F7EBB">
                            <w:pPr>
                              <w:pStyle w:val="Adress"/>
                              <w:ind w:firstLine="0"/>
                            </w:pPr>
                            <w:smartTag w:uri="urn:schemas-microsoft-com:office:smarttags" w:element="metricconverter">
                              <w:smartTagPr>
                                <w:attr w:name="ProductID" w:val="50 mM"/>
                              </w:smartTagPr>
                              <w:r>
                                <w:t>Czech</w:t>
                              </w:r>
                            </w:smartTag>
                            <w:r>
                              <w:t xml:space="preserve"> </w:t>
                            </w:r>
                            <w:smartTag w:uri="urn:schemas-microsoft-com:office:smarttags" w:element="metricconverter">
                              <w:smartTagPr>
                                <w:attr w:name="ProductID" w:val="50 mM"/>
                              </w:smartTagPr>
                              <w:r>
                                <w:t>Technical</w:t>
                              </w:r>
                            </w:smartTag>
                            <w:r>
                              <w:t xml:space="preserve"> </w:t>
                            </w:r>
                            <w:smartTag w:uri="urn:schemas-microsoft-com:office:smarttags" w:element="metricconverter">
                              <w:smartTagPr>
                                <w:attr w:name="ProductID" w:val="50 mM"/>
                              </w:smartTagPr>
                              <w:r>
                                <w:t>University</w:t>
                              </w:r>
                            </w:smartTag>
                            <w:r>
                              <w:t xml:space="preserve"> in </w:t>
                            </w:r>
                            <w:smartTag w:uri="urn:schemas-microsoft-com:office:smarttags" w:element="metricconverter">
                              <w:smartTagPr>
                                <w:attr w:name="ProductID" w:val="50 mM"/>
                              </w:smartTagPr>
                              <w:r>
                                <w:t>Prague</w:t>
                              </w:r>
                            </w:smartTag>
                            <w:r>
                              <w:t xml:space="preserve"> </w:t>
                            </w:r>
                          </w:p>
                          <w:p w14:paraId="7394EB1C" w14:textId="77777777" w:rsidR="009C6FAF" w:rsidRPr="00567B5A" w:rsidRDefault="009C6FAF" w:rsidP="006F7EBB">
                            <w:pPr>
                              <w:pStyle w:val="Adress"/>
                              <w:ind w:firstLine="0"/>
                              <w:rPr>
                                <w:lang w:val="en-GB"/>
                              </w:rPr>
                            </w:pPr>
                            <w:r>
                              <w:t xml:space="preserve">Technicka 2, </w:t>
                            </w:r>
                            <w:smartTag w:uri="urn:schemas-microsoft-com:office:smarttags" w:element="metricconverter">
                              <w:smartTagPr>
                                <w:attr w:name="ProductID" w:val="50 mM"/>
                              </w:smartTagPr>
                              <w:r>
                                <w:t>Prague</w:t>
                              </w:r>
                            </w:smartTag>
                            <w:r>
                              <w:t xml:space="preserve"> 6 166 27, </w:t>
                            </w:r>
                            <w:smartTag w:uri="urn:schemas-microsoft-com:office:smarttags" w:element="metricconverter">
                              <w:smartTagPr>
                                <w:attr w:name="ProductID" w:val="50 mM"/>
                              </w:smartTagPr>
                              <w:r>
                                <w:t xml:space="preserve">Czech </w:t>
                              </w:r>
                              <w:smartTag w:uri="urn:schemas-microsoft-com:office:smarttags" w:element="metricconverter">
                                <w:smartTagPr>
                                  <w:attr w:name="ProductID" w:val="50 mM"/>
                                </w:smartTagPr>
                                <w:r>
                                  <w:t>Republic</w:t>
                                </w:r>
                              </w:smartTag>
                            </w:smartTag>
                          </w:p>
                          <w:p w14:paraId="330C9559" w14:textId="77777777" w:rsidR="009C6FAF" w:rsidRPr="007E3A49" w:rsidRDefault="009C6FAF" w:rsidP="00BF14BC">
                            <w:pPr>
                              <w:pStyle w:val="Footnote"/>
                            </w:pPr>
                            <w:r w:rsidRPr="007E3A49">
                              <w:tab/>
                            </w:r>
                            <w:r w:rsidRPr="004532F9">
                              <w:t xml:space="preserve">Supporting information for this article is </w:t>
                            </w:r>
                            <w:r>
                              <w:t>given via a link at the end of the document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227A70" id="_x0000_t202" coordsize="21600,21600" o:spt="202" path="m,l,21600r21600,l21600,xe">
                <v:stroke joinstyle="miter"/>
                <v:path gradientshapeok="t" o:connecttype="rect"/>
              </v:shapetype>
              <v:shape id="Text Box 30" o:spid="_x0000_s1026" type="#_x0000_t202" style="position:absolute;margin-left:-6.45pt;margin-top:644.25pt;width:248.05pt;height:122.7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" stroked="f">
                <v:fill opacity="0"/>
                <v:textbox style="mso-fit-shape-to-text:t">
                  <w:txbxContent>
                    <w:p w14:paraId="7587E992" w14:textId="77777777" w:rsidR="009C6FAF" w:rsidRPr="007E3A49" w:rsidRDefault="009C6FAF" w:rsidP="00BF14BC">
                      <w:pPr>
                        <w:pStyle w:val="Adress"/>
                        <w:pBdr>
                          <w:top w:val="single" w:sz="4" w:space="1" w:color="000000"/>
                        </w:pBdr>
                        <w:rPr>
                          <w:lang w:val="en-GB"/>
                        </w:rPr>
                      </w:pPr>
                      <w:r w:rsidRPr="0095126A">
                        <w:rPr>
                          <w:lang w:val="en-GB"/>
                        </w:rPr>
                        <w:t>[a]</w:t>
                      </w:r>
                      <w:r w:rsidRPr="0095126A">
                        <w:rPr>
                          <w:lang w:val="en-GB"/>
                        </w:rPr>
                        <w:tab/>
                      </w:r>
                      <w:r>
                        <w:rPr>
                          <w:lang w:val="en-GB"/>
                        </w:rPr>
                        <w:t>J. Luxa, V. Mazánek, Prof. D. Sedmidubský, Prof. Z. Sofer</w:t>
                      </w:r>
                      <w:r>
                        <w:rPr>
                          <w:lang w:val="en-GB"/>
                        </w:rPr>
                        <w:br/>
                        <w:t>Department of Inorganic Chemistry</w:t>
                      </w:r>
                      <w:r>
                        <w:rPr>
                          <w:lang w:val="en-GB"/>
                        </w:rPr>
                        <w:br/>
                        <w:t>University of Chemistry and Technology</w:t>
                      </w:r>
                      <w:r>
                        <w:rPr>
                          <w:lang w:val="en-GB"/>
                        </w:rPr>
                        <w:br/>
                      </w:r>
                      <w:r w:rsidRPr="00B549C0">
                        <w:rPr>
                          <w:lang w:val="en-US"/>
                        </w:rPr>
                        <w:t>Technická 5, 166 28 Prague 6,Czech Republic</w:t>
                      </w:r>
                      <w:r w:rsidRPr="007E3A49">
                        <w:rPr>
                          <w:lang w:val="en-GB"/>
                        </w:rPr>
                        <w:br/>
                        <w:t xml:space="preserve">E-mail: </w:t>
                      </w:r>
                      <w:r>
                        <w:rPr>
                          <w:lang w:val="en-GB"/>
                        </w:rPr>
                        <w:t>zdenek.sofer@vscht.cz</w:t>
                      </w:r>
                    </w:p>
                    <w:p w14:paraId="7A188437" w14:textId="77777777" w:rsidR="009C6FAF" w:rsidRDefault="009C6FAF" w:rsidP="00BF14BC">
                      <w:pPr>
                        <w:pStyle w:val="Adress"/>
                        <w:rPr>
                          <w:lang w:val="en-US"/>
                        </w:rPr>
                      </w:pPr>
                      <w:r w:rsidRPr="0095126A">
                        <w:rPr>
                          <w:lang w:val="en-GB"/>
                        </w:rPr>
                        <w:t>[</w:t>
                      </w:r>
                      <w:proofErr w:type="gramStart"/>
                      <w:r w:rsidRPr="0095126A">
                        <w:rPr>
                          <w:lang w:val="en-GB"/>
                        </w:rPr>
                        <w:t>b</w:t>
                      </w:r>
                      <w:proofErr w:type="gramEnd"/>
                      <w:r w:rsidRPr="0095126A">
                        <w:rPr>
                          <w:lang w:val="en-GB"/>
                        </w:rPr>
                        <w:t>]</w:t>
                      </w:r>
                      <w:r w:rsidRPr="0095126A">
                        <w:rPr>
                          <w:lang w:val="en-GB"/>
                        </w:rPr>
                        <w:tab/>
                      </w:r>
                      <w:r>
                        <w:rPr>
                          <w:lang w:val="en-GB"/>
                        </w:rPr>
                        <w:t>Prof. M. Pumera</w:t>
                      </w:r>
                      <w:r>
                        <w:rPr>
                          <w:lang w:val="en-GB"/>
                        </w:rPr>
                        <w:br/>
                      </w:r>
                      <w:r w:rsidRPr="00B549C0">
                        <w:rPr>
                          <w:lang w:val="en-US"/>
                        </w:rPr>
                        <w:t>Division of Chemistry &amp; Biological Chemistry</w:t>
                      </w:r>
                      <w:r>
                        <w:rPr>
                          <w:lang w:val="en-GB"/>
                        </w:rPr>
                        <w:br/>
                      </w:r>
                      <w:r w:rsidRPr="00B549C0">
                        <w:rPr>
                          <w:lang w:val="en-US"/>
                        </w:rPr>
                        <w:t>School of Physical and Mathematical Sciences, Nanyang Technological University</w:t>
                      </w:r>
                      <w:r>
                        <w:rPr>
                          <w:lang w:val="en-GB"/>
                        </w:rPr>
                        <w:br/>
                      </w:r>
                      <w:r w:rsidRPr="00B549C0">
                        <w:rPr>
                          <w:lang w:val="en-US"/>
                        </w:rPr>
                        <w:t>Singapore, 637371, Singapore</w:t>
                      </w:r>
                    </w:p>
                    <w:p w14:paraId="19952DB1" w14:textId="77777777" w:rsidR="009C6FAF" w:rsidRDefault="009C6FAF" w:rsidP="00BF14BC">
                      <w:pPr>
                        <w:pStyle w:val="Adress"/>
                        <w:rPr>
                          <w:lang w:val="en-US"/>
                        </w:rPr>
                      </w:pPr>
                      <w:r>
                        <w:rPr>
                          <w:lang w:val="en-US"/>
                        </w:rPr>
                        <w:tab/>
                        <w:t>E-mail:</w:t>
                      </w:r>
                      <w:r w:rsidRPr="00B549C0">
                        <w:rPr>
                          <w:color w:val="000000"/>
                        </w:rPr>
                        <w:t xml:space="preserve"> </w:t>
                      </w:r>
                      <w:r w:rsidRPr="00BE6DC0">
                        <w:rPr>
                          <w:color w:val="000000"/>
                        </w:rPr>
                        <w:t>pumera@ntu.edu.sg</w:t>
                      </w:r>
                    </w:p>
                    <w:p w14:paraId="0B068E96" w14:textId="77777777" w:rsidR="009C6FAF" w:rsidRDefault="009C6FAF" w:rsidP="00BF14BC">
                      <w:pPr>
                        <w:pStyle w:val="Adress"/>
                        <w:rPr>
                          <w:lang w:val="en-GB"/>
                        </w:rPr>
                      </w:pPr>
                      <w:r>
                        <w:rPr>
                          <w:lang w:val="en-GB"/>
                        </w:rPr>
                        <w:t>[c</w:t>
                      </w:r>
                      <w:r w:rsidRPr="0095126A">
                        <w:rPr>
                          <w:lang w:val="en-GB"/>
                        </w:rPr>
                        <w:t>]</w:t>
                      </w:r>
                      <w:r>
                        <w:rPr>
                          <w:lang w:val="en-GB"/>
                        </w:rPr>
                        <w:tab/>
                        <w:t>P. Lazar</w:t>
                      </w:r>
                    </w:p>
                    <w:p w14:paraId="1598B536" w14:textId="77777777" w:rsidR="009C6FAF" w:rsidRDefault="009C6FAF" w:rsidP="00BF14BC">
                      <w:pPr>
                        <w:pStyle w:val="Adress"/>
                      </w:pPr>
                      <w:r>
                        <w:rPr>
                          <w:lang w:val="en-GB"/>
                        </w:rPr>
                        <w:tab/>
                      </w:r>
                      <w:r>
                        <w:t>Department</w:t>
                      </w:r>
                      <w:r w:rsidRPr="00413AAA">
                        <w:t xml:space="preserve"> of Physical Chemistry</w:t>
                      </w:r>
                      <w:r>
                        <w:t xml:space="preserve"> and </w:t>
                      </w:r>
                      <w:r w:rsidRPr="00413AAA">
                        <w:t>Regional Centre of Advanced Technologies and Materials</w:t>
                      </w:r>
                    </w:p>
                    <w:p w14:paraId="1E6C8C3F" w14:textId="77777777" w:rsidR="009C6FAF" w:rsidRDefault="009C6FAF" w:rsidP="00BF14BC">
                      <w:pPr>
                        <w:pStyle w:val="Adress"/>
                      </w:pPr>
                      <w:r>
                        <w:tab/>
                        <w:t>Palacký university Olomouc</w:t>
                      </w:r>
                    </w:p>
                    <w:p w14:paraId="454D0622" w14:textId="77777777" w:rsidR="009C6FAF" w:rsidRDefault="009C6FAF" w:rsidP="00BF14BC">
                      <w:pPr>
                        <w:pStyle w:val="Adress"/>
                      </w:pPr>
                      <w:r>
                        <w:tab/>
                      </w:r>
                      <w:r w:rsidRPr="00413AAA">
                        <w:t>tř. 17. Listopadu 1192/12, 771 46 Olomouc</w:t>
                      </w:r>
                    </w:p>
                    <w:p w14:paraId="36F11780" w14:textId="77777777" w:rsidR="009C6FAF" w:rsidRDefault="009C6FAF" w:rsidP="00BF14BC">
                      <w:pPr>
                        <w:pStyle w:val="Adress"/>
                        <w:rPr>
                          <w:lang w:val="en-GB"/>
                        </w:rPr>
                      </w:pPr>
                      <w:r>
                        <w:rPr>
                          <w:lang w:val="en-GB"/>
                        </w:rPr>
                        <w:t>[d</w:t>
                      </w:r>
                      <w:r w:rsidRPr="0095126A">
                        <w:rPr>
                          <w:lang w:val="en-GB"/>
                        </w:rPr>
                        <w:t>]</w:t>
                      </w:r>
                      <w:r>
                        <w:rPr>
                          <w:lang w:val="en-GB"/>
                        </w:rPr>
                        <w:tab/>
                        <w:t>M. Callisti</w:t>
                      </w:r>
                      <w:r>
                        <w:rPr>
                          <w:lang w:val="en-GB"/>
                        </w:rPr>
                        <w:tab/>
                      </w:r>
                    </w:p>
                    <w:p w14:paraId="5A1F5879" w14:textId="77777777" w:rsidR="009C6FAF" w:rsidRDefault="009C6FAF" w:rsidP="00BF14BC">
                      <w:pPr>
                        <w:pStyle w:val="Adress"/>
                        <w:rPr>
                          <w:lang w:val="en-GB"/>
                        </w:rPr>
                      </w:pPr>
                      <w:r>
                        <w:rPr>
                          <w:lang w:val="en-GB"/>
                        </w:rPr>
                        <w:tab/>
                      </w:r>
                      <w:r w:rsidRPr="00B549C0">
                        <w:rPr>
                          <w:lang w:val="en-GB"/>
                        </w:rPr>
                        <w:t>Engineering Science, Faculty of E</w:t>
                      </w:r>
                      <w:r>
                        <w:rPr>
                          <w:lang w:val="en-GB"/>
                        </w:rPr>
                        <w:t xml:space="preserve">ngineering and the Environment, </w:t>
                      </w:r>
                      <w:r w:rsidRPr="00B549C0">
                        <w:rPr>
                          <w:lang w:val="en-GB"/>
                        </w:rPr>
                        <w:t>University of Southampton</w:t>
                      </w:r>
                    </w:p>
                    <w:p w14:paraId="7F920507" w14:textId="77777777" w:rsidR="009C6FAF" w:rsidRDefault="009C6FAF" w:rsidP="006F7EBB">
                      <w:pPr>
                        <w:pStyle w:val="Adress"/>
                        <w:ind w:firstLine="0"/>
                        <w:rPr>
                          <w:lang w:val="en-GB"/>
                        </w:rPr>
                      </w:pPr>
                      <w:r w:rsidRPr="00B549C0">
                        <w:rPr>
                          <w:lang w:val="en-GB"/>
                        </w:rPr>
                        <w:t xml:space="preserve">Southampton </w:t>
                      </w:r>
                      <w:smartTag w:uri="urn:schemas-microsoft-com:office:smarttags" w:element="metricconverter">
                        <w:smartTagPr>
                          <w:attr w:name="ProductID" w:val="50 mM"/>
                        </w:smartTagPr>
                        <w:r w:rsidRPr="00B549C0">
                          <w:rPr>
                            <w:lang w:val="en-GB"/>
                          </w:rPr>
                          <w:t>SO17 1BJ</w:t>
                        </w:r>
                      </w:smartTag>
                      <w:r w:rsidRPr="00B549C0">
                        <w:rPr>
                          <w:lang w:val="en-GB"/>
                        </w:rPr>
                        <w:t>, UK</w:t>
                      </w:r>
                    </w:p>
                    <w:p w14:paraId="1FD7CD0A" w14:textId="77777777" w:rsidR="009C6FAF" w:rsidRDefault="009C6FAF" w:rsidP="006F7EBB">
                      <w:pPr>
                        <w:pStyle w:val="Adress"/>
                        <w:rPr>
                          <w:lang w:val="en-GB"/>
                        </w:rPr>
                      </w:pPr>
                      <w:r>
                        <w:rPr>
                          <w:lang w:val="en-GB"/>
                        </w:rPr>
                        <w:t>[e</w:t>
                      </w:r>
                      <w:r w:rsidRPr="0095126A">
                        <w:rPr>
                          <w:lang w:val="en-GB"/>
                        </w:rPr>
                        <w:t>]</w:t>
                      </w:r>
                      <w:r>
                        <w:rPr>
                          <w:lang w:val="en-GB"/>
                        </w:rPr>
                        <w:tab/>
                        <w:t>T. Polcar</w:t>
                      </w:r>
                    </w:p>
                    <w:p w14:paraId="34E1B6E6" w14:textId="77777777" w:rsidR="009C6FAF" w:rsidRDefault="009C6FAF" w:rsidP="006F7EBB">
                      <w:pPr>
                        <w:pStyle w:val="Adress"/>
                      </w:pPr>
                      <w:r>
                        <w:rPr>
                          <w:lang w:val="en-GB"/>
                        </w:rPr>
                        <w:tab/>
                      </w:r>
                      <w:r>
                        <w:t>Department of Control Engineering, Faculty of Electrical Engineering</w:t>
                      </w:r>
                    </w:p>
                    <w:p w14:paraId="52326D38" w14:textId="77777777" w:rsidR="009C6FAF" w:rsidRDefault="009C6FAF" w:rsidP="006F7EBB">
                      <w:pPr>
                        <w:pStyle w:val="Adress"/>
                        <w:ind w:firstLine="0"/>
                      </w:pPr>
                      <w:smartTag w:uri="urn:schemas-microsoft-com:office:smarttags" w:element="metricconverter">
                        <w:smartTagPr>
                          <w:attr w:name="ProductID" w:val="50 mM"/>
                        </w:smartTagPr>
                        <w:r>
                          <w:t>Czech</w:t>
                        </w:r>
                      </w:smartTag>
                      <w:r>
                        <w:t xml:space="preserve"> </w:t>
                      </w:r>
                      <w:smartTag w:uri="urn:schemas-microsoft-com:office:smarttags" w:element="metricconverter">
                        <w:smartTagPr>
                          <w:attr w:name="ProductID" w:val="50 mM"/>
                        </w:smartTagPr>
                        <w:r>
                          <w:t>Technical</w:t>
                        </w:r>
                      </w:smartTag>
                      <w:r>
                        <w:t xml:space="preserve"> </w:t>
                      </w:r>
                      <w:smartTag w:uri="urn:schemas-microsoft-com:office:smarttags" w:element="metricconverter">
                        <w:smartTagPr>
                          <w:attr w:name="ProductID" w:val="50 mM"/>
                        </w:smartTagPr>
                        <w:r>
                          <w:t>University</w:t>
                        </w:r>
                      </w:smartTag>
                      <w:r>
                        <w:t xml:space="preserve"> in </w:t>
                      </w:r>
                      <w:smartTag w:uri="urn:schemas-microsoft-com:office:smarttags" w:element="metricconverter">
                        <w:smartTagPr>
                          <w:attr w:name="ProductID" w:val="50 mM"/>
                        </w:smartTagPr>
                        <w:r>
                          <w:t>Prague</w:t>
                        </w:r>
                      </w:smartTag>
                      <w:r>
                        <w:t xml:space="preserve"> </w:t>
                      </w:r>
                    </w:p>
                    <w:p w14:paraId="7394EB1C" w14:textId="77777777" w:rsidR="009C6FAF" w:rsidRPr="00567B5A" w:rsidRDefault="009C6FAF" w:rsidP="006F7EBB">
                      <w:pPr>
                        <w:pStyle w:val="Adress"/>
                        <w:ind w:firstLine="0"/>
                        <w:rPr>
                          <w:lang w:val="en-GB"/>
                        </w:rPr>
                      </w:pPr>
                      <w:r>
                        <w:t xml:space="preserve">Technicka 2, </w:t>
                      </w:r>
                      <w:smartTag w:uri="urn:schemas-microsoft-com:office:smarttags" w:element="metricconverter">
                        <w:smartTagPr>
                          <w:attr w:name="ProductID" w:val="50 mM"/>
                        </w:smartTagPr>
                        <w:r>
                          <w:t>Prague</w:t>
                        </w:r>
                      </w:smartTag>
                      <w:r>
                        <w:t xml:space="preserve"> 6 166 27, </w:t>
                      </w:r>
                      <w:smartTag w:uri="urn:schemas-microsoft-com:office:smarttags" w:element="metricconverter">
                        <w:smartTagPr>
                          <w:attr w:name="ProductID" w:val="50 mM"/>
                        </w:smartTagPr>
                        <w:r>
                          <w:t xml:space="preserve">Czech </w:t>
                        </w:r>
                        <w:smartTag w:uri="urn:schemas-microsoft-com:office:smarttags" w:element="metricconverter">
                          <w:smartTagPr>
                            <w:attr w:name="ProductID" w:val="50 mM"/>
                          </w:smartTagPr>
                          <w:r>
                            <w:t>Republic</w:t>
                          </w:r>
                        </w:smartTag>
                      </w:smartTag>
                    </w:p>
                    <w:p w14:paraId="330C9559" w14:textId="77777777" w:rsidR="009C6FAF" w:rsidRPr="007E3A49" w:rsidRDefault="009C6FAF" w:rsidP="00BF14BC">
                      <w:pPr>
                        <w:pStyle w:val="Footnote"/>
                      </w:pPr>
                      <w:r w:rsidRPr="007E3A49">
                        <w:tab/>
                      </w:r>
                      <w:r w:rsidRPr="004532F9">
                        <w:t xml:space="preserve">Supporting information for this article is </w:t>
                      </w:r>
                      <w:r>
                        <w:t>given via a link at the end of the document</w:t>
                      </w:r>
                    </w:p>
                  </w:txbxContent>
                </v:textbox>
                <w10:wrap type="square" side="right" anchory="page"/>
                <w10:anchorlock/>
              </v:shape>
            </w:pict>
          </mc:Fallback>
        </mc:AlternateContent>
      </w:r>
    </w:p>
    <w:p w14:paraId="72930F94" w14:textId="77777777" w:rsidR="00501C5B" w:rsidRPr="005D1EBB" w:rsidRDefault="00501C5B" w:rsidP="006D4F77">
      <w:pPr>
        <w:pStyle w:val="Dedication"/>
        <w:rPr>
          <w:lang w:val="en-US"/>
        </w:rPr>
        <w:sectPr w:rsidR="00501C5B" w:rsidRPr="005D1EBB" w:rsidSect="0095126A">
          <w:headerReference w:type="even" r:id="rId6"/>
          <w:headerReference w:type="default" r:id="rId7"/>
          <w:footerReference w:type="even" r:id="rId8"/>
          <w:footerReference w:type="default" r:id="rId9"/>
          <w:headerReference w:type="first" r:id="rId10"/>
          <w:footerReference w:type="first" r:id="rId11"/>
          <w:pgSz w:w="11906" w:h="16838" w:code="9"/>
          <w:pgMar w:top="1134" w:right="936" w:bottom="1134" w:left="936" w:header="1021" w:footer="0" w:gutter="0"/>
          <w:cols w:space="425"/>
          <w:docGrid w:linePitch="360"/>
        </w:sectPr>
      </w:pPr>
    </w:p>
    <w:p w14:paraId="0EC99834" w14:textId="77777777" w:rsidR="00501C5B" w:rsidRPr="00501C5B" w:rsidRDefault="00591262" w:rsidP="00501C5B">
      <w:pPr>
        <w:pStyle w:val="Abstract"/>
        <w:rPr>
          <w:lang w:val="en-US"/>
        </w:rPr>
      </w:pPr>
      <w:r w:rsidRPr="002D5B99">
        <w:rPr>
          <w:b/>
          <w:lang w:val="en-US"/>
        </w:rPr>
        <w:t>Abstract:</w:t>
      </w:r>
      <w:r>
        <w:rPr>
          <w:lang w:val="en-US"/>
        </w:rPr>
        <w:t xml:space="preserve"> </w:t>
      </w:r>
      <w:r w:rsidR="00501C5B" w:rsidRPr="00501C5B">
        <w:rPr>
          <w:lang w:val="en-US"/>
        </w:rPr>
        <w:t>Tremendous attention is paid to renewable sources of energy. Transition metal dichalcogenides (TMDs) are intensively studied for their promising catalytic activities in hydrogen evolution reaction (HER) and oxygen reduction reaction (ORR). In this fundamental work, we explore the catalytic properties of TMDs family members: 2H TaS</w:t>
      </w:r>
      <w:r w:rsidR="00501C5B" w:rsidRPr="00501C5B">
        <w:rPr>
          <w:vertAlign w:val="subscript"/>
          <w:lang w:val="en-US"/>
        </w:rPr>
        <w:t>2</w:t>
      </w:r>
      <w:r w:rsidR="00501C5B" w:rsidRPr="00501C5B">
        <w:rPr>
          <w:lang w:val="en-US"/>
        </w:rPr>
        <w:t xml:space="preserve"> and 1T TaS</w:t>
      </w:r>
      <w:r w:rsidR="00501C5B" w:rsidRPr="00501C5B">
        <w:rPr>
          <w:vertAlign w:val="subscript"/>
          <w:lang w:val="en-US"/>
        </w:rPr>
        <w:t>2</w:t>
      </w:r>
      <w:r w:rsidR="00501C5B" w:rsidRPr="00501C5B">
        <w:rPr>
          <w:lang w:val="en-US"/>
        </w:rPr>
        <w:t>. Our findings reveal that both polytypes exhibit poor HER performance which is even more pronounced when subjected to electrochemical treatment with reduction/oxidation. Our experimental data show that 1T TaS</w:t>
      </w:r>
      <w:r w:rsidR="00501C5B" w:rsidRPr="00501C5B">
        <w:rPr>
          <w:vertAlign w:val="subscript"/>
          <w:lang w:val="en-US"/>
        </w:rPr>
        <w:t>2</w:t>
      </w:r>
      <w:r w:rsidR="00501C5B" w:rsidRPr="00501C5B">
        <w:rPr>
          <w:lang w:val="en-US"/>
        </w:rPr>
        <w:t xml:space="preserve"> has a lower overpotential at a current density of -10 mA.cm</w:t>
      </w:r>
      <w:r w:rsidR="00501C5B" w:rsidRPr="00501C5B">
        <w:rPr>
          <w:vertAlign w:val="superscript"/>
          <w:lang w:val="en-US"/>
        </w:rPr>
        <w:t>-</w:t>
      </w:r>
      <w:proofErr w:type="gramStart"/>
      <w:r w:rsidR="00501C5B" w:rsidRPr="00501C5B">
        <w:rPr>
          <w:vertAlign w:val="superscript"/>
          <w:lang w:val="en-US"/>
        </w:rPr>
        <w:t>1</w:t>
      </w:r>
      <w:r w:rsidR="00501C5B" w:rsidRPr="00501C5B">
        <w:rPr>
          <w:lang w:val="en-US"/>
        </w:rPr>
        <w:t>,</w:t>
      </w:r>
      <w:proofErr w:type="gramEnd"/>
      <w:r w:rsidR="00501C5B" w:rsidRPr="00501C5B">
        <w:rPr>
          <w:vertAlign w:val="superscript"/>
          <w:lang w:val="en-US"/>
        </w:rPr>
        <w:t xml:space="preserve"> </w:t>
      </w:r>
      <w:r w:rsidR="00501C5B" w:rsidRPr="00501C5B">
        <w:rPr>
          <w:lang w:val="en-US"/>
        </w:rPr>
        <w:t>despite our theoretical density functional theory (DFT) calculations indicating that more favorable free energy of hydrogen adsorption should make perfect 2H TaS</w:t>
      </w:r>
      <w:r w:rsidR="00501C5B" w:rsidRPr="00501C5B">
        <w:rPr>
          <w:vertAlign w:val="subscript"/>
          <w:lang w:val="en-US"/>
        </w:rPr>
        <w:t>2</w:t>
      </w:r>
      <w:r w:rsidR="00501C5B" w:rsidRPr="00501C5B">
        <w:rPr>
          <w:lang w:val="en-US"/>
        </w:rPr>
        <w:t xml:space="preserve"> a better HER catalyst. By a thorough characterization, it </w:t>
      </w:r>
      <w:proofErr w:type="gramStart"/>
      <w:r w:rsidR="00501C5B" w:rsidRPr="00501C5B">
        <w:rPr>
          <w:lang w:val="en-US"/>
        </w:rPr>
        <w:t>is shown</w:t>
      </w:r>
      <w:proofErr w:type="gramEnd"/>
      <w:r w:rsidR="00501C5B" w:rsidRPr="00501C5B">
        <w:rPr>
          <w:lang w:val="en-US"/>
        </w:rPr>
        <w:t xml:space="preserve"> that the higher conductivity of 1T TaS</w:t>
      </w:r>
      <w:r w:rsidR="00501C5B" w:rsidRPr="00501C5B">
        <w:rPr>
          <w:vertAlign w:val="subscript"/>
          <w:lang w:val="en-US"/>
        </w:rPr>
        <w:t>2</w:t>
      </w:r>
      <w:r w:rsidR="00501C5B" w:rsidRPr="00501C5B">
        <w:rPr>
          <w:lang w:val="en-US"/>
        </w:rPr>
        <w:t xml:space="preserve"> and a slightly higher surface oxidation of 2H TaS</w:t>
      </w:r>
      <w:r w:rsidR="00501C5B" w:rsidRPr="00501C5B">
        <w:rPr>
          <w:vertAlign w:val="subscript"/>
          <w:lang w:val="en-US"/>
        </w:rPr>
        <w:t>2</w:t>
      </w:r>
      <w:r w:rsidR="00501C5B" w:rsidRPr="00501C5B">
        <w:rPr>
          <w:lang w:val="en-US"/>
        </w:rPr>
        <w:t xml:space="preserve"> explains this discrepancy. Moreover the changes in catalytic activity after electrochemical treatment are addressed here. For the oxygen reduction reaction (ORR) the electrochemical treatment leads to an improvement of catalytic properties. With onset potentials similar to that of Pt/C catalyst, TaS</w:t>
      </w:r>
      <w:r w:rsidR="00501C5B" w:rsidRPr="00501C5B">
        <w:rPr>
          <w:vertAlign w:val="subscript"/>
          <w:lang w:val="en-US"/>
        </w:rPr>
        <w:t>2</w:t>
      </w:r>
      <w:r w:rsidR="00501C5B" w:rsidRPr="00501C5B">
        <w:rPr>
          <w:lang w:val="en-US"/>
        </w:rPr>
        <w:t xml:space="preserve"> is found to be an efficient catalyst for oxygen reduction, rather than for proton reduction, in opposite to the behaviour of group VIB layered TMDs.</w:t>
      </w:r>
    </w:p>
    <w:p w14:paraId="66E0CB0B" w14:textId="77777777" w:rsidR="00AD78DA" w:rsidRDefault="00AD78DA" w:rsidP="00AD78DA">
      <w:pPr>
        <w:pStyle w:val="Abstract"/>
      </w:pPr>
    </w:p>
    <w:p w14:paraId="58DA6220" w14:textId="77777777" w:rsidR="00AD78DA" w:rsidRDefault="00AD78DA" w:rsidP="00C00B45">
      <w:pPr>
        <w:pStyle w:val="H1"/>
      </w:pPr>
      <w:r>
        <w:t>Introduction</w:t>
      </w:r>
    </w:p>
    <w:p w14:paraId="4CF34C80" w14:textId="77777777" w:rsidR="006F7EBB" w:rsidRPr="006F7EBB" w:rsidRDefault="006F7EBB" w:rsidP="006F7EBB">
      <w:pPr>
        <w:pStyle w:val="P1"/>
      </w:pPr>
      <w:r w:rsidRPr="006F7EBB">
        <w:t xml:space="preserve">Layered two dimensional (2D) materials have been studied for over a decade. This group of materials includes graphene, </w:t>
      </w:r>
      <w:r w:rsidRPr="006F7EBB">
        <w:t xml:space="preserve">transition metal dichalcogenides (TMDs) and many others such as black phosphorus. </w:t>
      </w:r>
      <w:proofErr w:type="gramStart"/>
      <w:r w:rsidRPr="006F7EBB">
        <w:t>This interest has been mainly motivated by numerous potential and realized applications in the fields of electronics,</w:t>
      </w:r>
      <w:r w:rsidRPr="006F7EBB">
        <w:rPr>
          <w:vertAlign w:val="superscript"/>
        </w:rPr>
        <w:t>[1]</w:t>
      </w:r>
      <w:r w:rsidRPr="006F7EBB">
        <w:t xml:space="preserve"> optoelectronics,</w:t>
      </w:r>
      <w:r w:rsidRPr="006F7EBB">
        <w:rPr>
          <w:vertAlign w:val="superscript"/>
        </w:rPr>
        <w:t>[2]</w:t>
      </w:r>
      <w:r w:rsidRPr="006F7EBB">
        <w:t xml:space="preserve"> batteries</w:t>
      </w:r>
      <w:r w:rsidRPr="006F7EBB">
        <w:rPr>
          <w:vertAlign w:val="superscript"/>
        </w:rPr>
        <w:t>[3]</w:t>
      </w:r>
      <w:r w:rsidRPr="006F7EBB">
        <w:t xml:space="preserve"> and electrocatalysis.</w:t>
      </w:r>
      <w:r w:rsidRPr="006F7EBB">
        <w:rPr>
          <w:vertAlign w:val="superscript"/>
        </w:rPr>
        <w:t>[4]</w:t>
      </w:r>
      <w:r w:rsidRPr="006F7EBB">
        <w:t xml:space="preserve"> Enormous attention has been devoted to the last mentioned field of research, especially in the case of TMDs, because the global demand of green energy sources is at the forefront of the scientific and knowledge based society.</w:t>
      </w:r>
      <w:proofErr w:type="gramEnd"/>
    </w:p>
    <w:p w14:paraId="2CCAB367" w14:textId="77777777" w:rsidR="006F7EBB" w:rsidRPr="006F7EBB" w:rsidRDefault="006F7EBB" w:rsidP="006F7EBB">
      <w:pPr>
        <w:pStyle w:val="P1"/>
      </w:pPr>
      <w:r w:rsidRPr="006F7EBB">
        <w:tab/>
        <w:t>Most of the previous research on catalytic properties of TMDs has been devoted to group 6 TMDs such as MoS</w:t>
      </w:r>
      <w:r w:rsidRPr="006F7EBB">
        <w:rPr>
          <w:vertAlign w:val="subscript"/>
        </w:rPr>
        <w:t>2</w:t>
      </w:r>
      <w:r w:rsidRPr="006F7EBB">
        <w:t xml:space="preserve"> and WS</w:t>
      </w:r>
      <w:r w:rsidRPr="006F7EBB">
        <w:rPr>
          <w:vertAlign w:val="subscript"/>
        </w:rPr>
        <w:t>2</w:t>
      </w:r>
      <w:proofErr w:type="gramStart"/>
      <w:r w:rsidRPr="006F7EBB">
        <w:t>.</w:t>
      </w:r>
      <w:r w:rsidRPr="006F7EBB">
        <w:rPr>
          <w:vertAlign w:val="superscript"/>
        </w:rPr>
        <w:t>[</w:t>
      </w:r>
      <w:proofErr w:type="gramEnd"/>
      <w:r w:rsidRPr="006F7EBB">
        <w:rPr>
          <w:vertAlign w:val="superscript"/>
        </w:rPr>
        <w:t>5]</w:t>
      </w:r>
      <w:r w:rsidRPr="006F7EBB">
        <w:t xml:space="preserve"> However, due to the vast possibilities of metal and chalcogen combinations, the catalytic properties of the majority of TMDs remain uncovered. The main reason for this pursue of new catalysts, which is limited not only to hydrogen evolution, is based on the high price and low availability of current state of the art catalyst: platinum. TMDs have shown to be a promising replacement of this metal for these applications. </w:t>
      </w:r>
      <w:proofErr w:type="gramStart"/>
      <w:r w:rsidRPr="006F7EBB">
        <w:t>However in terms of catalytic properties, most of the TMDs still lie in the unexplored waters.</w:t>
      </w:r>
      <w:r w:rsidRPr="006F7EBB">
        <w:rPr>
          <w:vertAlign w:val="superscript"/>
        </w:rPr>
        <w:t>[6]</w:t>
      </w:r>
      <w:r w:rsidRPr="006F7EBB">
        <w:t xml:space="preserve">, </w:t>
      </w:r>
      <w:r w:rsidRPr="006F7EBB">
        <w:rPr>
          <w:vertAlign w:val="superscript"/>
        </w:rPr>
        <w:t>[7]</w:t>
      </w:r>
      <w:r w:rsidRPr="006F7EBB">
        <w:t xml:space="preserve"> In this work we show that on the contrary to group 6 TMDs, such as MoS</w:t>
      </w:r>
      <w:r w:rsidRPr="006F7EBB">
        <w:rPr>
          <w:vertAlign w:val="subscript"/>
        </w:rPr>
        <w:t>2</w:t>
      </w:r>
      <w:r w:rsidRPr="006F7EBB">
        <w:t xml:space="preserve"> and WS</w:t>
      </w:r>
      <w:r w:rsidRPr="006F7EBB">
        <w:rPr>
          <w:vertAlign w:val="subscript"/>
        </w:rPr>
        <w:t>2</w:t>
      </w:r>
      <w:r w:rsidRPr="006F7EBB">
        <w:t>, TaS</w:t>
      </w:r>
      <w:r w:rsidRPr="006F7EBB">
        <w:rPr>
          <w:vertAlign w:val="subscript"/>
        </w:rPr>
        <w:t>2</w:t>
      </w:r>
      <w:r w:rsidRPr="006F7EBB">
        <w:t xml:space="preserve"> shows strong electrocatalytic activity towards oxygen reduction reaction and whereas it is rather inefficient for proton (HER) reduction, which is highly unexpected.</w:t>
      </w:r>
      <w:r w:rsidRPr="006F7EBB">
        <w:rPr>
          <w:vertAlign w:val="superscript"/>
        </w:rPr>
        <w:t>[8]</w:t>
      </w:r>
      <w:r w:rsidRPr="006F7EBB">
        <w:t xml:space="preserve"> We show that the phase engineering of TaS</w:t>
      </w:r>
      <w:r w:rsidRPr="006F7EBB">
        <w:rPr>
          <w:vertAlign w:val="subscript"/>
        </w:rPr>
        <w:t>2</w:t>
      </w:r>
      <w:r w:rsidRPr="006F7EBB">
        <w:t xml:space="preserve"> from 2H to 1T phase can tune its catalytic activity.</w:t>
      </w:r>
      <w:proofErr w:type="gramEnd"/>
    </w:p>
    <w:p w14:paraId="77513548" w14:textId="77777777" w:rsidR="006F7EBB" w:rsidRPr="006F7EBB" w:rsidRDefault="006F7EBB" w:rsidP="006F7EBB">
      <w:pPr>
        <w:pStyle w:val="P1"/>
      </w:pPr>
      <w:r w:rsidRPr="006F7EBB">
        <w:tab/>
        <w:t>Recent investigations of layered TaS</w:t>
      </w:r>
      <w:r w:rsidRPr="006F7EBB">
        <w:rPr>
          <w:vertAlign w:val="subscript"/>
        </w:rPr>
        <w:t>2</w:t>
      </w:r>
      <w:r w:rsidRPr="006F7EBB">
        <w:t xml:space="preserve"> described a phase transition induced by gate controlled Li ion intercalation in TaS</w:t>
      </w:r>
      <w:r w:rsidRPr="006F7EBB">
        <w:rPr>
          <w:vertAlign w:val="subscript"/>
        </w:rPr>
        <w:t>2</w:t>
      </w:r>
      <w:r w:rsidRPr="006F7EBB">
        <w:t xml:space="preserve"> transistors.</w:t>
      </w:r>
      <w:r w:rsidRPr="006F7EBB">
        <w:rPr>
          <w:vertAlign w:val="superscript"/>
        </w:rPr>
        <w:t>[9]</w:t>
      </w:r>
      <w:r w:rsidRPr="006F7EBB">
        <w:t xml:space="preserve"> More detailed studies of ion intercalation through several methods have been also performed in the past.</w:t>
      </w:r>
      <w:r w:rsidRPr="006F7EBB">
        <w:rPr>
          <w:vertAlign w:val="superscript"/>
        </w:rPr>
        <w:t>[10]</w:t>
      </w:r>
      <w:r w:rsidRPr="006F7EBB">
        <w:t xml:space="preserve"> As for the catalytic activity of TaS</w:t>
      </w:r>
      <w:r w:rsidRPr="006F7EBB">
        <w:rPr>
          <w:vertAlign w:val="subscript"/>
        </w:rPr>
        <w:t>2</w:t>
      </w:r>
      <w:r w:rsidRPr="006F7EBB">
        <w:t>, there have been only sporadic reports.</w:t>
      </w:r>
      <w:r w:rsidRPr="006F7EBB">
        <w:rPr>
          <w:vertAlign w:val="superscript"/>
        </w:rPr>
        <w:t>[11]</w:t>
      </w:r>
      <w:r w:rsidRPr="006F7EBB">
        <w:t xml:space="preserve"> Thanks to the fact that TaS</w:t>
      </w:r>
      <w:r w:rsidRPr="006F7EBB">
        <w:rPr>
          <w:vertAlign w:val="subscript"/>
        </w:rPr>
        <w:t>2</w:t>
      </w:r>
      <w:r w:rsidRPr="006F7EBB">
        <w:t xml:space="preserve"> forms so-called charge density wave, a state where lattice symmetry is broken and superlattice is formed, there have been numerous studies, both experimental and theoretical, dealing with this problematic.</w:t>
      </w:r>
      <w:r w:rsidRPr="006F7EBB">
        <w:rPr>
          <w:vertAlign w:val="superscript"/>
        </w:rPr>
        <w:t>[12]</w:t>
      </w:r>
    </w:p>
    <w:p w14:paraId="0175F436" w14:textId="77777777" w:rsidR="006F7EBB" w:rsidRPr="006F7EBB" w:rsidRDefault="006F7EBB" w:rsidP="006F7EBB">
      <w:pPr>
        <w:pStyle w:val="P1"/>
      </w:pPr>
      <w:proofErr w:type="gramStart"/>
      <w:r w:rsidRPr="006F7EBB">
        <w:t>Layered TaS</w:t>
      </w:r>
      <w:r w:rsidRPr="006F7EBB">
        <w:rPr>
          <w:vertAlign w:val="subscript"/>
        </w:rPr>
        <w:t>2</w:t>
      </w:r>
      <w:r w:rsidRPr="006F7EBB">
        <w:t xml:space="preserve"> material is attractive because it crystallizes in three basic polytypes: 2H, 1T and 3R.</w:t>
      </w:r>
      <w:r w:rsidRPr="006F7EBB">
        <w:rPr>
          <w:vertAlign w:val="superscript"/>
        </w:rPr>
        <w:t>[13]</w:t>
      </w:r>
      <w:r w:rsidRPr="006F7EBB">
        <w:t xml:space="preserve"> Only 1T and 2H can be prepared with a satisfactory phase purity, because 3R usually contains a mixture of other phases .</w:t>
      </w:r>
      <w:r w:rsidRPr="006F7EBB">
        <w:rPr>
          <w:vertAlign w:val="superscript"/>
        </w:rPr>
        <w:t>[14]</w:t>
      </w:r>
      <w:r w:rsidRPr="006F7EBB">
        <w:t xml:space="preserve"> Previous reports of superior performance of 1T phase in MoS</w:t>
      </w:r>
      <w:r w:rsidRPr="006F7EBB">
        <w:rPr>
          <w:vertAlign w:val="subscript"/>
        </w:rPr>
        <w:t xml:space="preserve">2 </w:t>
      </w:r>
      <w:r w:rsidRPr="006F7EBB">
        <w:t>raise the question of how different will be the performance of various polytypes for other TMD such as TaS</w:t>
      </w:r>
      <w:r w:rsidRPr="006F7EBB">
        <w:rPr>
          <w:vertAlign w:val="subscript"/>
        </w:rPr>
        <w:t>2</w:t>
      </w:r>
      <w:r w:rsidRPr="006F7EBB">
        <w:t>.</w:t>
      </w:r>
      <w:r w:rsidRPr="006F7EBB">
        <w:rPr>
          <w:vertAlign w:val="superscript"/>
        </w:rPr>
        <w:t>[15]</w:t>
      </w:r>
      <w:proofErr w:type="gramEnd"/>
    </w:p>
    <w:p w14:paraId="25266235" w14:textId="77777777" w:rsidR="006F7EBB" w:rsidRPr="006F7EBB" w:rsidRDefault="006F7EBB" w:rsidP="006F7EBB">
      <w:pPr>
        <w:pStyle w:val="P1"/>
      </w:pPr>
      <w:r w:rsidRPr="006F7EBB">
        <w:tab/>
        <w:t>In this work we prepared and probed 2H TaS</w:t>
      </w:r>
      <w:r w:rsidRPr="006F7EBB">
        <w:rPr>
          <w:vertAlign w:val="subscript"/>
        </w:rPr>
        <w:t>2</w:t>
      </w:r>
      <w:r w:rsidRPr="006F7EBB">
        <w:t xml:space="preserve"> and 1T TaS</w:t>
      </w:r>
      <w:r w:rsidRPr="006F7EBB">
        <w:rPr>
          <w:vertAlign w:val="subscript"/>
        </w:rPr>
        <w:t>2</w:t>
      </w:r>
      <w:r w:rsidRPr="006F7EBB">
        <w:t xml:space="preserve"> in terms of electrochemical properties including heterogeneous electron transfer (HET), hydrogen evolution reaction (HER) and oxygen reduction reaction (ORR).</w:t>
      </w:r>
      <w:r w:rsidRPr="006F7EBB">
        <w:rPr>
          <w:vertAlign w:val="subscript"/>
        </w:rPr>
        <w:t xml:space="preserve"> </w:t>
      </w:r>
      <w:r w:rsidRPr="006F7EBB">
        <w:t>The possibility of electrochemical activation of the materials by reduction/oxidation was also studied in detail.</w:t>
      </w:r>
      <w:r w:rsidRPr="006F7EBB">
        <w:rPr>
          <w:vertAlign w:val="subscript"/>
        </w:rPr>
        <w:t xml:space="preserve"> </w:t>
      </w:r>
      <w:r w:rsidRPr="006F7EBB">
        <w:t xml:space="preserve">Structure and morphology were investigated by scanning electron microscopy (SEM) combined with energy dispersive spectroscopy (EDS), X-Ray diffraction </w:t>
      </w:r>
      <w:r w:rsidRPr="006F7EBB">
        <w:lastRenderedPageBreak/>
        <w:t>(XRD) and high-resolution transmission electron microscopy (HR-TEM). Surface composition was studied by X-ray photoelectron spectroscopy (XPS). Our results were also correlated with DFT calculations. Findings in this work revealed that 1T TaS</w:t>
      </w:r>
      <w:r w:rsidRPr="006F7EBB">
        <w:rPr>
          <w:vertAlign w:val="subscript"/>
        </w:rPr>
        <w:t xml:space="preserve">2 </w:t>
      </w:r>
      <w:r w:rsidRPr="006F7EBB">
        <w:t>surpasses catalytic properties of 2H TaS</w:t>
      </w:r>
      <w:r w:rsidRPr="006F7EBB">
        <w:rPr>
          <w:vertAlign w:val="subscript"/>
        </w:rPr>
        <w:t>2</w:t>
      </w:r>
      <w:r w:rsidRPr="006F7EBB">
        <w:t xml:space="preserve"> in both hydrogen evolution reaction (HER) and oxygen reduction reaction (ORR). Furthermore it is shown that electrochemical pretreatment significantly influences these properties. A decrease in terms of HER activity is seen when both 2H TaS</w:t>
      </w:r>
      <w:r w:rsidRPr="006F7EBB">
        <w:rPr>
          <w:vertAlign w:val="subscript"/>
        </w:rPr>
        <w:t>2</w:t>
      </w:r>
      <w:r w:rsidRPr="006F7EBB">
        <w:t xml:space="preserve"> and 1T TaS</w:t>
      </w:r>
      <w:r w:rsidRPr="006F7EBB">
        <w:rPr>
          <w:vertAlign w:val="subscript"/>
        </w:rPr>
        <w:t>2</w:t>
      </w:r>
      <w:r w:rsidRPr="006F7EBB">
        <w:t xml:space="preserve"> are reduced/oxidized. On the other hand an increased ORR activity is observed with onset potentials similar to that of Pt/C catalyst. Similar findings are reported for the heterogeneous electron transfer (HET). The interpretation of reduction/oxidation products formation is eventually given.</w:t>
      </w:r>
    </w:p>
    <w:p w14:paraId="4C9253A3" w14:textId="77777777" w:rsidR="006D4F77" w:rsidRPr="005D1EBB" w:rsidRDefault="006D4F77" w:rsidP="00D80821">
      <w:pPr>
        <w:pStyle w:val="P1"/>
      </w:pPr>
    </w:p>
    <w:p w14:paraId="249F6507" w14:textId="77777777" w:rsidR="00C00B45" w:rsidRDefault="006F7EBB" w:rsidP="00C00B45">
      <w:pPr>
        <w:pStyle w:val="H1"/>
      </w:pPr>
      <w:r w:rsidRPr="00B20836">
        <w:rPr>
          <w:b w:val="0"/>
          <w:noProof/>
          <w:lang w:eastAsia="en-GB"/>
        </w:rPr>
        <w:drawing>
          <wp:anchor distT="0" distB="0" distL="114300" distR="114300" simplePos="0" relativeHeight="251662848" behindDoc="0" locked="0" layoutInCell="1" allowOverlap="1" wp14:anchorId="542F3D97" wp14:editId="335AADD0">
            <wp:simplePos x="0" y="0"/>
            <wp:positionH relativeFrom="column">
              <wp:posOffset>3315335</wp:posOffset>
            </wp:positionH>
            <wp:positionV relativeFrom="paragraph">
              <wp:posOffset>212725</wp:posOffset>
            </wp:positionV>
            <wp:extent cx="3009265" cy="2381250"/>
            <wp:effectExtent l="0" t="0" r="635" b="0"/>
            <wp:wrapTopAndBottom/>
            <wp:docPr id="18"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265" cy="23812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00B45">
        <w:t>Results and Discussion</w:t>
      </w:r>
    </w:p>
    <w:p w14:paraId="11F38062" w14:textId="77777777" w:rsidR="006F7EBB" w:rsidRPr="006F7EBB" w:rsidRDefault="006F7EBB" w:rsidP="006F7EBB">
      <w:pPr>
        <w:pStyle w:val="P1"/>
      </w:pPr>
      <w:r w:rsidRPr="006F7EBB">
        <w:t>In this paper we have synthesized and characterized two polytypes of TaS</w:t>
      </w:r>
      <w:r w:rsidRPr="006F7EBB">
        <w:rPr>
          <w:vertAlign w:val="subscript"/>
        </w:rPr>
        <w:t>2</w:t>
      </w:r>
      <w:r w:rsidRPr="006F7EBB">
        <w:t>: 2H and 1T and studied their materials and electrocatalytic properties. Both materials were thoroughly examined by a variety of analytical techniques with the aim of revealing their catalytic properties towards some of the most industrially important electrocatalytic processes. Furthermore, we attempted to activate materials by electrochemical pretreatment. The phase composition can be controlled by the temperature profile during synthesis from elemental materials. On the basis of processes used for activation, materials in this paper are denoted as 2H TaS</w:t>
      </w:r>
      <w:r w:rsidRPr="006F7EBB">
        <w:rPr>
          <w:vertAlign w:val="subscript"/>
        </w:rPr>
        <w:t>2</w:t>
      </w:r>
      <w:r w:rsidRPr="006F7EBB">
        <w:t xml:space="preserve"> and 1T TaS</w:t>
      </w:r>
      <w:r w:rsidRPr="006F7EBB">
        <w:rPr>
          <w:vertAlign w:val="subscript"/>
        </w:rPr>
        <w:t>2</w:t>
      </w:r>
      <w:r w:rsidRPr="006F7EBB">
        <w:t xml:space="preserve"> (untreated), 2H TaS</w:t>
      </w:r>
      <w:r w:rsidRPr="006F7EBB">
        <w:rPr>
          <w:vertAlign w:val="subscript"/>
        </w:rPr>
        <w:t>2</w:t>
      </w:r>
      <w:r w:rsidRPr="006F7EBB">
        <w:t xml:space="preserve"> red. </w:t>
      </w:r>
      <w:proofErr w:type="gramStart"/>
      <w:r w:rsidRPr="006F7EBB">
        <w:t>and</w:t>
      </w:r>
      <w:proofErr w:type="gramEnd"/>
      <w:r w:rsidRPr="006F7EBB">
        <w:t xml:space="preserve"> 1T TaS</w:t>
      </w:r>
      <w:r w:rsidRPr="006F7EBB">
        <w:rPr>
          <w:vertAlign w:val="subscript"/>
        </w:rPr>
        <w:t>2</w:t>
      </w:r>
      <w:r w:rsidRPr="006F7EBB">
        <w:t xml:space="preserve"> red. (</w:t>
      </w:r>
      <w:proofErr w:type="gramStart"/>
      <w:r w:rsidRPr="006F7EBB">
        <w:t>treated</w:t>
      </w:r>
      <w:proofErr w:type="gramEnd"/>
      <w:r w:rsidRPr="006F7EBB">
        <w:t xml:space="preserve"> by reductive potential) and 2H TaS</w:t>
      </w:r>
      <w:r w:rsidRPr="006F7EBB">
        <w:rPr>
          <w:vertAlign w:val="subscript"/>
        </w:rPr>
        <w:t>2</w:t>
      </w:r>
      <w:r w:rsidRPr="006F7EBB">
        <w:t xml:space="preserve"> ox. </w:t>
      </w:r>
      <w:proofErr w:type="gramStart"/>
      <w:r w:rsidRPr="006F7EBB">
        <w:t>and</w:t>
      </w:r>
      <w:proofErr w:type="gramEnd"/>
      <w:r w:rsidRPr="006F7EBB">
        <w:t xml:space="preserve"> 1T TaS</w:t>
      </w:r>
      <w:r w:rsidRPr="006F7EBB">
        <w:rPr>
          <w:vertAlign w:val="subscript"/>
        </w:rPr>
        <w:t>2</w:t>
      </w:r>
      <w:r w:rsidRPr="006F7EBB">
        <w:t xml:space="preserve"> ox. (</w:t>
      </w:r>
      <w:proofErr w:type="gramStart"/>
      <w:r w:rsidRPr="006F7EBB">
        <w:t>treated</w:t>
      </w:r>
      <w:proofErr w:type="gramEnd"/>
      <w:r w:rsidRPr="006F7EBB">
        <w:t xml:space="preserve"> by oxidative potential).</w:t>
      </w:r>
    </w:p>
    <w:p w14:paraId="4590E3FA" w14:textId="77777777" w:rsidR="006F7EBB" w:rsidRDefault="006F7EBB" w:rsidP="006F7EBB">
      <w:pPr>
        <w:pStyle w:val="P1"/>
        <w:ind w:firstLine="425"/>
      </w:pPr>
      <w:r w:rsidRPr="006F7EBB">
        <w:t>Morphology of 2H TaS</w:t>
      </w:r>
      <w:r w:rsidRPr="006F7EBB">
        <w:rPr>
          <w:vertAlign w:val="subscript"/>
        </w:rPr>
        <w:t>2</w:t>
      </w:r>
      <w:r w:rsidRPr="006F7EBB">
        <w:t xml:space="preserve"> and 1T TaS</w:t>
      </w:r>
      <w:r w:rsidRPr="006F7EBB">
        <w:rPr>
          <w:vertAlign w:val="subscript"/>
        </w:rPr>
        <w:t>2</w:t>
      </w:r>
      <w:r w:rsidRPr="006F7EBB">
        <w:t xml:space="preserve"> polytypes was examined by scanning electron microscopy (SEM). SEM micrographs are shown in </w:t>
      </w:r>
      <w:r w:rsidRPr="006F7EBB">
        <w:rPr>
          <w:b/>
        </w:rPr>
        <w:t>Figure 1</w:t>
      </w:r>
      <w:r w:rsidRPr="006F7EBB">
        <w:t xml:space="preserve">. Both polytypes are well crystallized </w:t>
      </w:r>
    </w:p>
    <w:p w14:paraId="6286C662" w14:textId="77777777" w:rsidR="006F7EBB" w:rsidRPr="006F7EBB" w:rsidRDefault="006F7EBB" w:rsidP="006F7EBB">
      <w:pPr>
        <w:pStyle w:val="P1"/>
        <w:rPr>
          <w:b/>
        </w:rPr>
      </w:pPr>
    </w:p>
    <w:p w14:paraId="67759243" w14:textId="77777777" w:rsidR="006F7EBB" w:rsidRPr="00BB3C34" w:rsidRDefault="006F7EBB" w:rsidP="006F7EBB">
      <w:pPr>
        <w:pStyle w:val="P1"/>
        <w:rPr>
          <w:sz w:val="14"/>
          <w:szCs w:val="14"/>
        </w:rPr>
      </w:pPr>
      <w:r w:rsidRPr="00BB3C34">
        <w:rPr>
          <w:b/>
          <w:sz w:val="14"/>
          <w:szCs w:val="14"/>
        </w:rPr>
        <w:t xml:space="preserve">Figure 1. </w:t>
      </w:r>
      <w:r w:rsidRPr="00BB3C34">
        <w:rPr>
          <w:sz w:val="14"/>
          <w:szCs w:val="14"/>
        </w:rPr>
        <w:t>SEM micrographs of 2H TaS</w:t>
      </w:r>
      <w:r w:rsidRPr="00BB3C34">
        <w:rPr>
          <w:sz w:val="14"/>
          <w:szCs w:val="14"/>
          <w:vertAlign w:val="subscript"/>
        </w:rPr>
        <w:t>2</w:t>
      </w:r>
      <w:r w:rsidRPr="00BB3C34">
        <w:rPr>
          <w:sz w:val="14"/>
          <w:szCs w:val="14"/>
        </w:rPr>
        <w:t xml:space="preserve"> and 1T TaS</w:t>
      </w:r>
      <w:r w:rsidRPr="00BB3C34">
        <w:rPr>
          <w:sz w:val="14"/>
          <w:szCs w:val="14"/>
          <w:vertAlign w:val="subscript"/>
        </w:rPr>
        <w:t>2</w:t>
      </w:r>
      <w:r w:rsidRPr="00BB3C34">
        <w:rPr>
          <w:sz w:val="14"/>
          <w:szCs w:val="14"/>
        </w:rPr>
        <w:t>.</w:t>
      </w:r>
    </w:p>
    <w:p w14:paraId="24790D6D" w14:textId="77777777" w:rsidR="006F7EBB" w:rsidRPr="006F7EBB" w:rsidRDefault="006F7EBB" w:rsidP="006F7EBB">
      <w:pPr>
        <w:pStyle w:val="P1"/>
      </w:pPr>
      <w:proofErr w:type="gramStart"/>
      <w:r w:rsidRPr="006F7EBB">
        <w:t>consisting</w:t>
      </w:r>
      <w:proofErr w:type="gramEnd"/>
      <w:r w:rsidRPr="006F7EBB">
        <w:t xml:space="preserve"> of hexagonally shaped crystals and well developed layered structure which is clearly visible on the edges of individual crystals.</w:t>
      </w:r>
    </w:p>
    <w:p w14:paraId="5304D674" w14:textId="77777777" w:rsidR="006F7EBB" w:rsidRPr="006F7EBB" w:rsidRDefault="006F7EBB" w:rsidP="006F7EBB">
      <w:pPr>
        <w:pStyle w:val="P1"/>
        <w:ind w:firstLine="425"/>
      </w:pPr>
      <w:r w:rsidRPr="006F7EBB">
        <w:t xml:space="preserve">Large sheets with sharp edges, typical for bulk transition metal dichalcogenides, can be observed for both samples. Additionally, energy dispersive spectroscopy (EDS) was conducted to verify the elemental composition and homogeneity. </w:t>
      </w:r>
      <w:proofErr w:type="gramStart"/>
      <w:r w:rsidRPr="006F7EBB">
        <w:t>EDS</w:t>
      </w:r>
      <w:proofErr w:type="gramEnd"/>
      <w:r w:rsidRPr="006F7EBB">
        <w:t xml:space="preserve"> analysis (</w:t>
      </w:r>
      <w:r w:rsidRPr="006F7EBB">
        <w:rPr>
          <w:b/>
        </w:rPr>
        <w:t>Figure 2</w:t>
      </w:r>
      <w:r w:rsidRPr="006F7EBB">
        <w:t>) revealed homogeneous distribution of both elements. Some oxygen was also detected by SEM-EDS indicating a small degree of oxidation (</w:t>
      </w:r>
      <w:r w:rsidRPr="006F7EBB">
        <w:rPr>
          <w:b/>
        </w:rPr>
        <w:t>Table 1</w:t>
      </w:r>
      <w:r w:rsidRPr="006F7EBB">
        <w:t>). The concentration of oxygen was much lower in the case of 1T TaS</w:t>
      </w:r>
      <w:r w:rsidRPr="006F7EBB">
        <w:rPr>
          <w:vertAlign w:val="subscript"/>
        </w:rPr>
        <w:t>2</w:t>
      </w:r>
      <w:r w:rsidRPr="006F7EBB">
        <w:t xml:space="preserve"> which is in very good agreement with XPS results (see the following sections). S/Ta ratios also agreed well with XPS measurements and indicate an almost stoichiometric TaS</w:t>
      </w:r>
      <w:r w:rsidRPr="006F7EBB">
        <w:rPr>
          <w:vertAlign w:val="subscript"/>
        </w:rPr>
        <w:t>2</w:t>
      </w:r>
      <w:r w:rsidRPr="006F7EBB">
        <w:t xml:space="preserve"> phase.</w:t>
      </w:r>
    </w:p>
    <w:p w14:paraId="7BA40165" w14:textId="77777777" w:rsidR="006F7EBB" w:rsidRPr="006F7EBB" w:rsidRDefault="006F7EBB" w:rsidP="006F7EBB">
      <w:pPr>
        <w:pStyle w:val="P1"/>
        <w:rPr>
          <w:b/>
        </w:rPr>
      </w:pPr>
    </w:p>
    <w:p w14:paraId="5DD6770D" w14:textId="77777777" w:rsidR="006F7EBB" w:rsidRPr="006F7EBB" w:rsidRDefault="006F7EBB" w:rsidP="006F7EBB">
      <w:pPr>
        <w:pStyle w:val="P1"/>
        <w:rPr>
          <w:b/>
        </w:rPr>
      </w:pPr>
    </w:p>
    <w:p w14:paraId="07A21534" w14:textId="77777777" w:rsidR="006F7EBB" w:rsidRDefault="006F7EBB" w:rsidP="006F7EBB">
      <w:pPr>
        <w:pStyle w:val="P1"/>
        <w:rPr>
          <w:sz w:val="14"/>
          <w:szCs w:val="14"/>
        </w:rPr>
      </w:pPr>
      <w:r w:rsidRPr="00BB3C34">
        <w:rPr>
          <w:b/>
          <w:noProof/>
          <w:sz w:val="14"/>
          <w:szCs w:val="14"/>
          <w:lang w:val="en-GB" w:eastAsia="en-GB"/>
        </w:rPr>
        <w:drawing>
          <wp:anchor distT="0" distB="0" distL="114300" distR="114300" simplePos="0" relativeHeight="251660800" behindDoc="0" locked="0" layoutInCell="1" allowOverlap="1" wp14:anchorId="38CAC3E1" wp14:editId="55C954DF">
            <wp:simplePos x="0" y="0"/>
            <wp:positionH relativeFrom="column">
              <wp:posOffset>146050</wp:posOffset>
            </wp:positionH>
            <wp:positionV relativeFrom="paragraph">
              <wp:posOffset>-2708910</wp:posOffset>
            </wp:positionV>
            <wp:extent cx="2707005" cy="2734310"/>
            <wp:effectExtent l="0" t="0" r="0" b="8890"/>
            <wp:wrapTopAndBottom/>
            <wp:docPr id="16"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7005" cy="27343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B3C34">
        <w:rPr>
          <w:b/>
          <w:sz w:val="14"/>
          <w:szCs w:val="14"/>
        </w:rPr>
        <w:t xml:space="preserve">Figure 2. </w:t>
      </w:r>
      <w:r w:rsidRPr="00BB3C34">
        <w:rPr>
          <w:sz w:val="14"/>
          <w:szCs w:val="14"/>
        </w:rPr>
        <w:t>SEM-EDS elemental maps showing homogeneous distribution of tantalum and sulfur in TaS</w:t>
      </w:r>
      <w:r w:rsidRPr="00BB3C34">
        <w:rPr>
          <w:sz w:val="14"/>
          <w:szCs w:val="14"/>
          <w:vertAlign w:val="subscript"/>
        </w:rPr>
        <w:t>2</w:t>
      </w:r>
      <w:r w:rsidRPr="00BB3C34">
        <w:rPr>
          <w:sz w:val="14"/>
          <w:szCs w:val="14"/>
        </w:rPr>
        <w:t>.</w:t>
      </w:r>
    </w:p>
    <w:p w14:paraId="70141972" w14:textId="77777777" w:rsidR="009C6FAF" w:rsidRPr="00BB3C34" w:rsidRDefault="009C6FAF" w:rsidP="006F7EBB">
      <w:pPr>
        <w:pStyle w:val="P1"/>
        <w:rPr>
          <w:sz w:val="14"/>
          <w:szCs w:val="14"/>
        </w:rPr>
      </w:pPr>
    </w:p>
    <w:p w14:paraId="4E211509" w14:textId="77777777" w:rsidR="006F7EBB" w:rsidRPr="006F7EBB" w:rsidRDefault="006F7EBB" w:rsidP="006F7EBB">
      <w:pPr>
        <w:pStyle w:val="P1"/>
      </w:pPr>
    </w:p>
    <w:p w14:paraId="6630E664" w14:textId="77777777" w:rsidR="006F7EBB" w:rsidRPr="00BB3C34" w:rsidRDefault="006F7EBB" w:rsidP="006F7EBB">
      <w:pPr>
        <w:pStyle w:val="P1"/>
        <w:rPr>
          <w:sz w:val="14"/>
          <w:szCs w:val="14"/>
        </w:rPr>
      </w:pPr>
      <w:r w:rsidRPr="00BB3C34">
        <w:rPr>
          <w:b/>
          <w:sz w:val="14"/>
          <w:szCs w:val="14"/>
        </w:rPr>
        <w:t xml:space="preserve">Table 1. </w:t>
      </w:r>
      <w:r w:rsidRPr="00BB3C34">
        <w:rPr>
          <w:sz w:val="14"/>
          <w:szCs w:val="14"/>
        </w:rPr>
        <w:t xml:space="preserve">Elemental composition obtained from SEM-EDS. </w:t>
      </w:r>
    </w:p>
    <w:tbl>
      <w:tblPr>
        <w:tblW w:w="4529" w:type="pct"/>
        <w:jc w:val="center"/>
        <w:tblCellMar>
          <w:left w:w="0" w:type="dxa"/>
          <w:right w:w="0" w:type="dxa"/>
        </w:tblCellMar>
        <w:tblLook w:val="0000" w:firstRow="0" w:lastRow="0" w:firstColumn="0" w:lastColumn="0" w:noHBand="0" w:noVBand="0"/>
      </w:tblPr>
      <w:tblGrid>
        <w:gridCol w:w="888"/>
        <w:gridCol w:w="888"/>
        <w:gridCol w:w="889"/>
        <w:gridCol w:w="889"/>
        <w:gridCol w:w="889"/>
      </w:tblGrid>
      <w:tr w:rsidR="006F7EBB" w:rsidRPr="006F7EBB" w14:paraId="288DF4DF" w14:textId="77777777" w:rsidTr="00BB3C34">
        <w:trPr>
          <w:trHeight w:val="496"/>
          <w:jc w:val="center"/>
        </w:trPr>
        <w:tc>
          <w:tcPr>
            <w:tcW w:w="1000" w:type="pct"/>
            <w:tcBorders>
              <w:top w:val="single" w:sz="12" w:space="0" w:color="000000"/>
              <w:left w:val="nil"/>
              <w:bottom w:val="single" w:sz="12" w:space="0" w:color="000000"/>
              <w:right w:val="nil"/>
            </w:tcBorders>
            <w:tcMar>
              <w:top w:w="15" w:type="dxa"/>
              <w:left w:w="15" w:type="dxa"/>
              <w:bottom w:w="0" w:type="dxa"/>
              <w:right w:w="15" w:type="dxa"/>
            </w:tcMar>
            <w:vAlign w:val="center"/>
          </w:tcPr>
          <w:p w14:paraId="7D036849" w14:textId="77777777" w:rsidR="006F7EBB" w:rsidRPr="006F7EBB" w:rsidRDefault="006F7EBB" w:rsidP="006F7EBB">
            <w:pPr>
              <w:pStyle w:val="P1"/>
              <w:jc w:val="center"/>
              <w:rPr>
                <w:lang w:val="cs-CZ"/>
              </w:rPr>
            </w:pPr>
          </w:p>
        </w:tc>
        <w:tc>
          <w:tcPr>
            <w:tcW w:w="1000" w:type="pct"/>
            <w:tcBorders>
              <w:top w:val="single" w:sz="12" w:space="0" w:color="000000"/>
              <w:left w:val="nil"/>
              <w:bottom w:val="single" w:sz="12" w:space="0" w:color="000000"/>
              <w:right w:val="nil"/>
            </w:tcBorders>
            <w:tcMar>
              <w:top w:w="15" w:type="dxa"/>
              <w:left w:w="15" w:type="dxa"/>
              <w:bottom w:w="0" w:type="dxa"/>
              <w:right w:w="15" w:type="dxa"/>
            </w:tcMar>
            <w:vAlign w:val="center"/>
          </w:tcPr>
          <w:p w14:paraId="06C4B02F" w14:textId="77777777" w:rsidR="006F7EBB" w:rsidRPr="006F7EBB" w:rsidRDefault="006F7EBB" w:rsidP="006F7EBB">
            <w:pPr>
              <w:pStyle w:val="P1"/>
              <w:jc w:val="center"/>
              <w:rPr>
                <w:lang w:val="cs-CZ"/>
              </w:rPr>
            </w:pPr>
            <w:r w:rsidRPr="006F7EBB">
              <w:rPr>
                <w:lang w:val="cs-CZ"/>
              </w:rPr>
              <w:t>Ta (at. %)</w:t>
            </w:r>
          </w:p>
        </w:tc>
        <w:tc>
          <w:tcPr>
            <w:tcW w:w="1000" w:type="pct"/>
            <w:tcBorders>
              <w:top w:val="single" w:sz="12" w:space="0" w:color="000000"/>
              <w:left w:val="nil"/>
              <w:bottom w:val="single" w:sz="12" w:space="0" w:color="000000"/>
              <w:right w:val="nil"/>
            </w:tcBorders>
            <w:tcMar>
              <w:top w:w="15" w:type="dxa"/>
              <w:left w:w="15" w:type="dxa"/>
              <w:bottom w:w="0" w:type="dxa"/>
              <w:right w:w="15" w:type="dxa"/>
            </w:tcMar>
            <w:vAlign w:val="center"/>
          </w:tcPr>
          <w:p w14:paraId="42A7B1B2" w14:textId="77777777" w:rsidR="006F7EBB" w:rsidRPr="006F7EBB" w:rsidRDefault="006F7EBB" w:rsidP="006F7EBB">
            <w:pPr>
              <w:pStyle w:val="P1"/>
              <w:jc w:val="center"/>
              <w:rPr>
                <w:lang w:val="cs-CZ"/>
              </w:rPr>
            </w:pPr>
            <w:r w:rsidRPr="006F7EBB">
              <w:rPr>
                <w:lang w:val="cs-CZ"/>
              </w:rPr>
              <w:t>S (at. %)</w:t>
            </w:r>
          </w:p>
        </w:tc>
        <w:tc>
          <w:tcPr>
            <w:tcW w:w="1000" w:type="pct"/>
            <w:tcBorders>
              <w:top w:val="single" w:sz="12" w:space="0" w:color="000000"/>
              <w:left w:val="nil"/>
              <w:bottom w:val="single" w:sz="12" w:space="0" w:color="000000"/>
              <w:right w:val="nil"/>
            </w:tcBorders>
            <w:tcMar>
              <w:top w:w="15" w:type="dxa"/>
              <w:left w:w="15" w:type="dxa"/>
              <w:bottom w:w="0" w:type="dxa"/>
              <w:right w:w="15" w:type="dxa"/>
            </w:tcMar>
            <w:vAlign w:val="center"/>
          </w:tcPr>
          <w:p w14:paraId="3658E377" w14:textId="77777777" w:rsidR="006F7EBB" w:rsidRPr="006F7EBB" w:rsidRDefault="006F7EBB" w:rsidP="006F7EBB">
            <w:pPr>
              <w:pStyle w:val="P1"/>
              <w:jc w:val="center"/>
              <w:rPr>
                <w:lang w:val="cs-CZ"/>
              </w:rPr>
            </w:pPr>
            <w:r w:rsidRPr="006F7EBB">
              <w:rPr>
                <w:lang w:val="cs-CZ"/>
              </w:rPr>
              <w:t>O (at. %)</w:t>
            </w:r>
          </w:p>
        </w:tc>
        <w:tc>
          <w:tcPr>
            <w:tcW w:w="1000" w:type="pct"/>
            <w:tcBorders>
              <w:top w:val="single" w:sz="12" w:space="0" w:color="000000"/>
              <w:left w:val="nil"/>
              <w:bottom w:val="single" w:sz="12" w:space="0" w:color="000000"/>
              <w:right w:val="nil"/>
            </w:tcBorders>
            <w:tcMar>
              <w:top w:w="15" w:type="dxa"/>
              <w:left w:w="15" w:type="dxa"/>
              <w:bottom w:w="0" w:type="dxa"/>
              <w:right w:w="15" w:type="dxa"/>
            </w:tcMar>
            <w:vAlign w:val="center"/>
          </w:tcPr>
          <w:p w14:paraId="0B1B11FE" w14:textId="77777777" w:rsidR="006F7EBB" w:rsidRPr="006F7EBB" w:rsidRDefault="006F7EBB" w:rsidP="006F7EBB">
            <w:pPr>
              <w:pStyle w:val="P1"/>
              <w:jc w:val="center"/>
              <w:rPr>
                <w:lang w:val="cs-CZ"/>
              </w:rPr>
            </w:pPr>
            <w:r w:rsidRPr="006F7EBB">
              <w:rPr>
                <w:lang w:val="cs-CZ"/>
              </w:rPr>
              <w:t>S/Ta</w:t>
            </w:r>
          </w:p>
        </w:tc>
      </w:tr>
      <w:tr w:rsidR="006F7EBB" w:rsidRPr="006F7EBB" w14:paraId="7A80D37D" w14:textId="77777777" w:rsidTr="006F7EBB">
        <w:trPr>
          <w:trHeight w:val="676"/>
          <w:jc w:val="center"/>
        </w:trPr>
        <w:tc>
          <w:tcPr>
            <w:tcW w:w="1000" w:type="pct"/>
            <w:tcBorders>
              <w:top w:val="single" w:sz="12" w:space="0" w:color="000000"/>
              <w:left w:val="nil"/>
              <w:bottom w:val="nil"/>
              <w:right w:val="nil"/>
            </w:tcBorders>
            <w:tcMar>
              <w:top w:w="15" w:type="dxa"/>
              <w:left w:w="15" w:type="dxa"/>
              <w:bottom w:w="0" w:type="dxa"/>
              <w:right w:w="15" w:type="dxa"/>
            </w:tcMar>
            <w:vAlign w:val="center"/>
          </w:tcPr>
          <w:p w14:paraId="68F7E04F" w14:textId="77777777" w:rsidR="006F7EBB" w:rsidRPr="006F7EBB" w:rsidRDefault="006F7EBB" w:rsidP="006F7EBB">
            <w:pPr>
              <w:pStyle w:val="P1"/>
              <w:jc w:val="center"/>
              <w:rPr>
                <w:lang w:val="cs-CZ"/>
              </w:rPr>
            </w:pPr>
            <w:r w:rsidRPr="006F7EBB">
              <w:rPr>
                <w:lang w:val="cs-CZ"/>
              </w:rPr>
              <w:t>2H TaS</w:t>
            </w:r>
            <w:r w:rsidRPr="006F7EBB">
              <w:rPr>
                <w:vertAlign w:val="subscript"/>
                <w:lang w:val="cs-CZ"/>
              </w:rPr>
              <w:t>2</w:t>
            </w:r>
          </w:p>
        </w:tc>
        <w:tc>
          <w:tcPr>
            <w:tcW w:w="1000" w:type="pct"/>
            <w:tcBorders>
              <w:top w:val="single" w:sz="12" w:space="0" w:color="000000"/>
              <w:left w:val="nil"/>
              <w:bottom w:val="nil"/>
              <w:right w:val="nil"/>
            </w:tcBorders>
            <w:tcMar>
              <w:top w:w="15" w:type="dxa"/>
              <w:left w:w="15" w:type="dxa"/>
              <w:bottom w:w="0" w:type="dxa"/>
              <w:right w:w="15" w:type="dxa"/>
            </w:tcMar>
            <w:vAlign w:val="center"/>
          </w:tcPr>
          <w:p w14:paraId="0865139D" w14:textId="77777777" w:rsidR="006F7EBB" w:rsidRPr="006F7EBB" w:rsidRDefault="006F7EBB" w:rsidP="006F7EBB">
            <w:pPr>
              <w:pStyle w:val="P1"/>
              <w:jc w:val="center"/>
              <w:rPr>
                <w:lang w:val="cs-CZ"/>
              </w:rPr>
            </w:pPr>
            <w:r w:rsidRPr="006F7EBB">
              <w:rPr>
                <w:lang w:val="cs-CZ"/>
              </w:rPr>
              <w:t>32.9</w:t>
            </w:r>
          </w:p>
        </w:tc>
        <w:tc>
          <w:tcPr>
            <w:tcW w:w="1000" w:type="pct"/>
            <w:tcBorders>
              <w:top w:val="single" w:sz="12" w:space="0" w:color="000000"/>
              <w:left w:val="nil"/>
              <w:bottom w:val="nil"/>
              <w:right w:val="nil"/>
            </w:tcBorders>
            <w:tcMar>
              <w:top w:w="15" w:type="dxa"/>
              <w:left w:w="15" w:type="dxa"/>
              <w:bottom w:w="0" w:type="dxa"/>
              <w:right w:w="15" w:type="dxa"/>
            </w:tcMar>
            <w:vAlign w:val="center"/>
          </w:tcPr>
          <w:p w14:paraId="28AE2A81" w14:textId="77777777" w:rsidR="006F7EBB" w:rsidRPr="006F7EBB" w:rsidRDefault="006F7EBB" w:rsidP="006F7EBB">
            <w:pPr>
              <w:pStyle w:val="P1"/>
              <w:jc w:val="center"/>
              <w:rPr>
                <w:lang w:val="cs-CZ"/>
              </w:rPr>
            </w:pPr>
            <w:r w:rsidRPr="006F7EBB">
              <w:rPr>
                <w:lang w:val="cs-CZ"/>
              </w:rPr>
              <w:t>52.4</w:t>
            </w:r>
          </w:p>
        </w:tc>
        <w:tc>
          <w:tcPr>
            <w:tcW w:w="1000" w:type="pct"/>
            <w:tcBorders>
              <w:top w:val="single" w:sz="12" w:space="0" w:color="000000"/>
              <w:left w:val="nil"/>
              <w:bottom w:val="nil"/>
              <w:right w:val="nil"/>
            </w:tcBorders>
            <w:tcMar>
              <w:top w:w="15" w:type="dxa"/>
              <w:left w:w="15" w:type="dxa"/>
              <w:bottom w:w="0" w:type="dxa"/>
              <w:right w:w="15" w:type="dxa"/>
            </w:tcMar>
            <w:vAlign w:val="center"/>
          </w:tcPr>
          <w:p w14:paraId="3CA160BE" w14:textId="77777777" w:rsidR="006F7EBB" w:rsidRPr="006F7EBB" w:rsidRDefault="006F7EBB" w:rsidP="006F7EBB">
            <w:pPr>
              <w:pStyle w:val="P1"/>
              <w:jc w:val="center"/>
              <w:rPr>
                <w:lang w:val="cs-CZ"/>
              </w:rPr>
            </w:pPr>
            <w:r w:rsidRPr="006F7EBB">
              <w:rPr>
                <w:lang w:val="cs-CZ"/>
              </w:rPr>
              <w:t>14.7</w:t>
            </w:r>
          </w:p>
        </w:tc>
        <w:tc>
          <w:tcPr>
            <w:tcW w:w="1000" w:type="pct"/>
            <w:tcBorders>
              <w:top w:val="single" w:sz="12" w:space="0" w:color="000000"/>
              <w:left w:val="nil"/>
              <w:bottom w:val="nil"/>
              <w:right w:val="nil"/>
            </w:tcBorders>
            <w:tcMar>
              <w:top w:w="15" w:type="dxa"/>
              <w:left w:w="15" w:type="dxa"/>
              <w:bottom w:w="0" w:type="dxa"/>
              <w:right w:w="15" w:type="dxa"/>
            </w:tcMar>
            <w:vAlign w:val="center"/>
          </w:tcPr>
          <w:p w14:paraId="1609369D" w14:textId="77777777" w:rsidR="006F7EBB" w:rsidRPr="006F7EBB" w:rsidRDefault="006F7EBB" w:rsidP="006F7EBB">
            <w:pPr>
              <w:pStyle w:val="P1"/>
              <w:jc w:val="center"/>
              <w:rPr>
                <w:lang w:val="cs-CZ"/>
              </w:rPr>
            </w:pPr>
            <w:r w:rsidRPr="006F7EBB">
              <w:rPr>
                <w:lang w:val="cs-CZ"/>
              </w:rPr>
              <w:t>1.6</w:t>
            </w:r>
          </w:p>
        </w:tc>
      </w:tr>
      <w:tr w:rsidR="006F7EBB" w:rsidRPr="006F7EBB" w14:paraId="02942A10" w14:textId="77777777" w:rsidTr="006F7EBB">
        <w:trPr>
          <w:trHeight w:val="547"/>
          <w:jc w:val="center"/>
        </w:trPr>
        <w:tc>
          <w:tcPr>
            <w:tcW w:w="1000" w:type="pct"/>
            <w:tcBorders>
              <w:top w:val="nil"/>
              <w:left w:val="nil"/>
              <w:bottom w:val="single" w:sz="12" w:space="0" w:color="000000"/>
              <w:right w:val="nil"/>
            </w:tcBorders>
            <w:tcMar>
              <w:top w:w="15" w:type="dxa"/>
              <w:left w:w="15" w:type="dxa"/>
              <w:bottom w:w="0" w:type="dxa"/>
              <w:right w:w="15" w:type="dxa"/>
            </w:tcMar>
            <w:vAlign w:val="center"/>
          </w:tcPr>
          <w:p w14:paraId="3B3E53ED" w14:textId="77777777" w:rsidR="006F7EBB" w:rsidRPr="006F7EBB" w:rsidRDefault="006F7EBB" w:rsidP="006F7EBB">
            <w:pPr>
              <w:pStyle w:val="P1"/>
              <w:jc w:val="center"/>
              <w:rPr>
                <w:lang w:val="cs-CZ"/>
              </w:rPr>
            </w:pPr>
            <w:r w:rsidRPr="006F7EBB">
              <w:rPr>
                <w:lang w:val="cs-CZ"/>
              </w:rPr>
              <w:t>1T TaS2</w:t>
            </w:r>
          </w:p>
        </w:tc>
        <w:tc>
          <w:tcPr>
            <w:tcW w:w="1000" w:type="pct"/>
            <w:tcBorders>
              <w:top w:val="nil"/>
              <w:left w:val="nil"/>
              <w:bottom w:val="single" w:sz="12" w:space="0" w:color="000000"/>
              <w:right w:val="nil"/>
            </w:tcBorders>
            <w:tcMar>
              <w:top w:w="15" w:type="dxa"/>
              <w:left w:w="15" w:type="dxa"/>
              <w:bottom w:w="0" w:type="dxa"/>
              <w:right w:w="15" w:type="dxa"/>
            </w:tcMar>
            <w:vAlign w:val="center"/>
          </w:tcPr>
          <w:p w14:paraId="61268C21" w14:textId="77777777" w:rsidR="006F7EBB" w:rsidRPr="006F7EBB" w:rsidRDefault="006F7EBB" w:rsidP="006F7EBB">
            <w:pPr>
              <w:pStyle w:val="P1"/>
              <w:jc w:val="center"/>
              <w:rPr>
                <w:lang w:val="cs-CZ"/>
              </w:rPr>
            </w:pPr>
            <w:r w:rsidRPr="006F7EBB">
              <w:rPr>
                <w:lang w:val="cs-CZ"/>
              </w:rPr>
              <w:t>31.8</w:t>
            </w:r>
          </w:p>
        </w:tc>
        <w:tc>
          <w:tcPr>
            <w:tcW w:w="1000" w:type="pct"/>
            <w:tcBorders>
              <w:top w:val="nil"/>
              <w:left w:val="nil"/>
              <w:bottom w:val="single" w:sz="12" w:space="0" w:color="000000"/>
              <w:right w:val="nil"/>
            </w:tcBorders>
            <w:tcMar>
              <w:top w:w="15" w:type="dxa"/>
              <w:left w:w="15" w:type="dxa"/>
              <w:bottom w:w="0" w:type="dxa"/>
              <w:right w:w="15" w:type="dxa"/>
            </w:tcMar>
            <w:vAlign w:val="center"/>
          </w:tcPr>
          <w:p w14:paraId="1EDAB072" w14:textId="77777777" w:rsidR="006F7EBB" w:rsidRPr="006F7EBB" w:rsidRDefault="006F7EBB" w:rsidP="006F7EBB">
            <w:pPr>
              <w:pStyle w:val="P1"/>
              <w:jc w:val="center"/>
              <w:rPr>
                <w:lang w:val="cs-CZ"/>
              </w:rPr>
            </w:pPr>
            <w:r w:rsidRPr="006F7EBB">
              <w:rPr>
                <w:lang w:val="cs-CZ"/>
              </w:rPr>
              <w:t>61.8</w:t>
            </w:r>
          </w:p>
        </w:tc>
        <w:tc>
          <w:tcPr>
            <w:tcW w:w="1000" w:type="pct"/>
            <w:tcBorders>
              <w:top w:val="nil"/>
              <w:left w:val="nil"/>
              <w:bottom w:val="single" w:sz="12" w:space="0" w:color="000000"/>
              <w:right w:val="nil"/>
            </w:tcBorders>
            <w:tcMar>
              <w:top w:w="15" w:type="dxa"/>
              <w:left w:w="15" w:type="dxa"/>
              <w:bottom w:w="0" w:type="dxa"/>
              <w:right w:w="15" w:type="dxa"/>
            </w:tcMar>
            <w:vAlign w:val="center"/>
          </w:tcPr>
          <w:p w14:paraId="46AFD2D1" w14:textId="77777777" w:rsidR="006F7EBB" w:rsidRPr="006F7EBB" w:rsidRDefault="006F7EBB" w:rsidP="006F7EBB">
            <w:pPr>
              <w:pStyle w:val="P1"/>
              <w:jc w:val="center"/>
              <w:rPr>
                <w:lang w:val="cs-CZ"/>
              </w:rPr>
            </w:pPr>
            <w:r w:rsidRPr="006F7EBB">
              <w:rPr>
                <w:lang w:val="cs-CZ"/>
              </w:rPr>
              <w:t>6.4</w:t>
            </w:r>
          </w:p>
        </w:tc>
        <w:tc>
          <w:tcPr>
            <w:tcW w:w="1000" w:type="pct"/>
            <w:tcBorders>
              <w:top w:val="nil"/>
              <w:left w:val="nil"/>
              <w:bottom w:val="single" w:sz="12" w:space="0" w:color="000000"/>
              <w:right w:val="nil"/>
            </w:tcBorders>
            <w:tcMar>
              <w:top w:w="15" w:type="dxa"/>
              <w:left w:w="15" w:type="dxa"/>
              <w:bottom w:w="0" w:type="dxa"/>
              <w:right w:w="15" w:type="dxa"/>
            </w:tcMar>
            <w:vAlign w:val="center"/>
          </w:tcPr>
          <w:p w14:paraId="623767C0" w14:textId="77777777" w:rsidR="006F7EBB" w:rsidRPr="006F7EBB" w:rsidRDefault="006F7EBB" w:rsidP="006F7EBB">
            <w:pPr>
              <w:pStyle w:val="P1"/>
              <w:jc w:val="center"/>
              <w:rPr>
                <w:lang w:val="cs-CZ"/>
              </w:rPr>
            </w:pPr>
            <w:r w:rsidRPr="006F7EBB">
              <w:rPr>
                <w:lang w:val="cs-CZ"/>
              </w:rPr>
              <w:t>1.9</w:t>
            </w:r>
          </w:p>
        </w:tc>
      </w:tr>
    </w:tbl>
    <w:p w14:paraId="091E5E37" w14:textId="77777777" w:rsidR="006F7EBB" w:rsidRPr="006F7EBB" w:rsidRDefault="006F7EBB" w:rsidP="006F7EBB">
      <w:pPr>
        <w:pStyle w:val="P1"/>
      </w:pPr>
    </w:p>
    <w:p w14:paraId="6D111283" w14:textId="77777777" w:rsidR="006F7EBB" w:rsidRPr="006F7EBB" w:rsidRDefault="006F7EBB" w:rsidP="006F7EBB">
      <w:pPr>
        <w:pStyle w:val="P1"/>
        <w:ind w:firstLine="425"/>
      </w:pPr>
      <w:r w:rsidRPr="006F7EBB">
        <w:t xml:space="preserve">Morphology of the flakes and atomic arrangement of the fabricated materials were examined by scanning transmission electron microscopy (STEM) by using a high angle annular dark field (HAADF) detector. </w:t>
      </w:r>
      <w:r w:rsidRPr="006F7EBB">
        <w:rPr>
          <w:b/>
        </w:rPr>
        <w:t>Figure 3a</w:t>
      </w:r>
      <w:r w:rsidRPr="006F7EBB">
        <w:t xml:space="preserve"> and </w:t>
      </w:r>
      <w:r w:rsidRPr="006F7EBB">
        <w:rPr>
          <w:b/>
        </w:rPr>
        <w:t>Figure 3b</w:t>
      </w:r>
      <w:r w:rsidRPr="006F7EBB">
        <w:t xml:space="preserve"> show the typical morphology of produced flakes. Most of the flakes consisted of a stack of few layers. No aggregation of particles was found, thus confirming the high quality of the prepared materials. Monolayer or few-layers structures were observed at the edge of the flakes (see lighter contrast in </w:t>
      </w:r>
      <w:r w:rsidRPr="006F7EBB">
        <w:rPr>
          <w:b/>
        </w:rPr>
        <w:t>Figure 3a</w:t>
      </w:r>
      <w:r w:rsidRPr="006F7EBB">
        <w:t xml:space="preserve"> and </w:t>
      </w:r>
      <w:r w:rsidRPr="006F7EBB">
        <w:rPr>
          <w:b/>
        </w:rPr>
        <w:lastRenderedPageBreak/>
        <w:t>Figure 3b</w:t>
      </w:r>
      <w:r w:rsidRPr="006F7EBB">
        <w:t xml:space="preserve">). High-resolution HAADF-STEM imaging was performed along these edges and followed by digital filter processing. </w:t>
      </w:r>
      <w:r w:rsidRPr="006F7EBB">
        <w:rPr>
          <w:b/>
        </w:rPr>
        <w:t>Figure 3c</w:t>
      </w:r>
      <w:r w:rsidRPr="006F7EBB">
        <w:t xml:space="preserve"> shows the atomic arrangement of the 2H TaS</w:t>
      </w:r>
      <w:r w:rsidRPr="006F7EBB">
        <w:rPr>
          <w:vertAlign w:val="subscript"/>
        </w:rPr>
        <w:t xml:space="preserve">2 </w:t>
      </w:r>
      <w:r w:rsidRPr="006F7EBB">
        <w:t xml:space="preserve">sample, where a hexagonally symmetric structure is clearly observed. A different atomic arrangement is observed in </w:t>
      </w:r>
      <w:r w:rsidRPr="006F7EBB">
        <w:rPr>
          <w:b/>
        </w:rPr>
        <w:t>Figure 3d</w:t>
      </w:r>
      <w:r w:rsidRPr="006F7EBB">
        <w:t xml:space="preserve">, where tantalum and sulphur atomic planes seem to have slipped each other compared to the ideal 1T structure indicating a formation of a distorted 1T phase. The FFT patterns shown in the inset of </w:t>
      </w:r>
      <w:r w:rsidRPr="006F7EBB">
        <w:rPr>
          <w:b/>
        </w:rPr>
        <w:t>Figure 3c</w:t>
      </w:r>
      <w:r w:rsidRPr="006F7EBB">
        <w:t xml:space="preserve"> and </w:t>
      </w:r>
      <w:r w:rsidRPr="006F7EBB">
        <w:rPr>
          <w:b/>
        </w:rPr>
        <w:t>Figure 3d</w:t>
      </w:r>
      <w:r w:rsidRPr="006F7EBB">
        <w:t xml:space="preserve"> suggest a high degree of crystallinity of the prepared samples.</w:t>
      </w:r>
    </w:p>
    <w:p w14:paraId="430014B4" w14:textId="77777777" w:rsidR="006F7EBB" w:rsidRPr="006F7EBB" w:rsidRDefault="00BB3C34" w:rsidP="006F7EBB">
      <w:pPr>
        <w:pStyle w:val="P1"/>
      </w:pPr>
      <w:r w:rsidRPr="00FE5B27">
        <w:rPr>
          <w:noProof/>
          <w:lang w:val="en-GB" w:eastAsia="en-GB"/>
        </w:rPr>
        <w:drawing>
          <wp:anchor distT="0" distB="0" distL="114300" distR="114300" simplePos="0" relativeHeight="251683328" behindDoc="0" locked="0" layoutInCell="1" allowOverlap="1" wp14:anchorId="27C9C974" wp14:editId="034223D6">
            <wp:simplePos x="0" y="0"/>
            <wp:positionH relativeFrom="column">
              <wp:posOffset>3376930</wp:posOffset>
            </wp:positionH>
            <wp:positionV relativeFrom="paragraph">
              <wp:posOffset>-924560</wp:posOffset>
            </wp:positionV>
            <wp:extent cx="2720975" cy="3118485"/>
            <wp:effectExtent l="0" t="0" r="3175" b="5715"/>
            <wp:wrapTopAndBottom/>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0975" cy="311848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7527284F" w14:textId="77777777" w:rsidR="006F7EBB" w:rsidRPr="00BB3C34" w:rsidRDefault="009C6FAF" w:rsidP="006F7EBB">
      <w:pPr>
        <w:pStyle w:val="P1"/>
        <w:rPr>
          <w:sz w:val="14"/>
          <w:szCs w:val="14"/>
          <w:vertAlign w:val="subscript"/>
        </w:rPr>
      </w:pPr>
      <w:r w:rsidRPr="00B20836">
        <w:rPr>
          <w:noProof/>
          <w:lang w:val="en-GB" w:eastAsia="en-GB"/>
        </w:rPr>
        <w:drawing>
          <wp:anchor distT="0" distB="0" distL="114300" distR="114300" simplePos="0" relativeHeight="251664896" behindDoc="0" locked="0" layoutInCell="1" allowOverlap="1" wp14:anchorId="1B65812A" wp14:editId="2018F97C">
            <wp:simplePos x="0" y="0"/>
            <wp:positionH relativeFrom="column">
              <wp:posOffset>8255</wp:posOffset>
            </wp:positionH>
            <wp:positionV relativeFrom="paragraph">
              <wp:posOffset>15240</wp:posOffset>
            </wp:positionV>
            <wp:extent cx="3073400" cy="3068320"/>
            <wp:effectExtent l="0" t="0" r="0" b="0"/>
            <wp:wrapTopAndBottom/>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3400" cy="30683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F7EBB" w:rsidRPr="00BB3C34">
        <w:rPr>
          <w:b/>
          <w:sz w:val="14"/>
          <w:szCs w:val="14"/>
        </w:rPr>
        <w:t>Figure 3.</w:t>
      </w:r>
      <w:r w:rsidR="006F7EBB" w:rsidRPr="00BB3C34">
        <w:rPr>
          <w:sz w:val="14"/>
          <w:szCs w:val="14"/>
        </w:rPr>
        <w:t xml:space="preserve"> HAADF-STEM (top-view) images of TaS</w:t>
      </w:r>
      <w:r w:rsidR="006F7EBB" w:rsidRPr="00BB3C34">
        <w:rPr>
          <w:sz w:val="14"/>
          <w:szCs w:val="14"/>
          <w:vertAlign w:val="subscript"/>
        </w:rPr>
        <w:t>2</w:t>
      </w:r>
      <w:r w:rsidR="006F7EBB" w:rsidRPr="00BB3C34">
        <w:rPr>
          <w:sz w:val="14"/>
          <w:szCs w:val="14"/>
        </w:rPr>
        <w:t xml:space="preserve"> samples: low and high resolution images of 2H (a - c) and 1T (b - d) structures.</w:t>
      </w:r>
      <w:r w:rsidR="006F7EBB" w:rsidRPr="00BB3C34">
        <w:rPr>
          <w:sz w:val="14"/>
          <w:szCs w:val="14"/>
          <w:vertAlign w:val="subscript"/>
        </w:rPr>
        <w:t xml:space="preserve"> </w:t>
      </w:r>
    </w:p>
    <w:p w14:paraId="7A42669E" w14:textId="77777777" w:rsidR="006F7EBB" w:rsidRPr="006F7EBB" w:rsidRDefault="006F7EBB" w:rsidP="006F7EBB">
      <w:pPr>
        <w:pStyle w:val="P1"/>
      </w:pPr>
    </w:p>
    <w:p w14:paraId="6067A86B" w14:textId="77777777" w:rsidR="006F7EBB" w:rsidRPr="006F7EBB" w:rsidRDefault="006F7EBB" w:rsidP="006F7EBB">
      <w:pPr>
        <w:pStyle w:val="P1"/>
        <w:ind w:firstLine="425"/>
      </w:pPr>
      <w:r w:rsidRPr="006F7EBB">
        <w:t xml:space="preserve">Composition as well as further structural information was acquired by X-ray diffraction (XRD) displayed in </w:t>
      </w:r>
      <w:r w:rsidRPr="006F7EBB">
        <w:rPr>
          <w:b/>
        </w:rPr>
        <w:t>Figure 4</w:t>
      </w:r>
      <w:r w:rsidRPr="006F7EBB">
        <w:t>. XRD analysis revealed pure phases (2H TaS</w:t>
      </w:r>
      <w:r w:rsidRPr="006F7EBB">
        <w:rPr>
          <w:vertAlign w:val="subscript"/>
        </w:rPr>
        <w:t>2</w:t>
      </w:r>
      <w:r w:rsidRPr="006F7EBB">
        <w:t xml:space="preserve"> PDF# 04-006-9329; 1T TaS</w:t>
      </w:r>
      <w:r w:rsidRPr="006F7EBB">
        <w:rPr>
          <w:vertAlign w:val="subscript"/>
        </w:rPr>
        <w:t>2</w:t>
      </w:r>
      <w:r w:rsidRPr="006F7EBB">
        <w:t xml:space="preserve"> PDF# 01-088-1008), which indicates that the oxygen is in the form of surface oxide impurities only. Sharp lines are also indicative of a very good crystallinity, which is in good agreement with SEM data showing clearly well developed hexagonal crystals of micron size can be clearly observed. </w:t>
      </w:r>
    </w:p>
    <w:p w14:paraId="03B4F5CE" w14:textId="77777777" w:rsidR="006F7EBB" w:rsidRPr="006F7EBB" w:rsidRDefault="006F7EBB" w:rsidP="00BB3C34">
      <w:pPr>
        <w:pStyle w:val="P1"/>
        <w:ind w:firstLine="425"/>
      </w:pPr>
      <w:r w:rsidRPr="006F7EBB">
        <w:t>Because of its surface sensitivity, X-ray photoelectron spectroscopy (XPS) is an excellent method for the investigation of surface composition changes accompanying electrochemical treatment. Composition of untreated bulk TaS</w:t>
      </w:r>
      <w:r w:rsidRPr="006F7EBB">
        <w:rPr>
          <w:vertAlign w:val="subscript"/>
        </w:rPr>
        <w:t>2</w:t>
      </w:r>
      <w:r w:rsidRPr="006F7EBB">
        <w:t xml:space="preserve"> was firstly examined by measuring the survey spectra. The survey spectra are shown in </w:t>
      </w:r>
      <w:r w:rsidRPr="006F7EBB">
        <w:rPr>
          <w:b/>
        </w:rPr>
        <w:t>Figure S1</w:t>
      </w:r>
      <w:r w:rsidRPr="006F7EBB">
        <w:t xml:space="preserve"> and the composition obtained from them is summarized in </w:t>
      </w:r>
      <w:r w:rsidRPr="006F7EBB">
        <w:rPr>
          <w:b/>
        </w:rPr>
        <w:t>Table 2</w:t>
      </w:r>
      <w:r w:rsidRPr="006F7EBB">
        <w:t xml:space="preserve">. Results in </w:t>
      </w:r>
      <w:r w:rsidRPr="006F7EBB">
        <w:rPr>
          <w:b/>
        </w:rPr>
        <w:t>Table 2</w:t>
      </w:r>
      <w:r w:rsidRPr="006F7EBB">
        <w:t xml:space="preserve"> show that the S/Ta ratios were 1.7 and 2.0 for 2H TaS</w:t>
      </w:r>
      <w:r w:rsidRPr="006F7EBB">
        <w:rPr>
          <w:vertAlign w:val="subscript"/>
        </w:rPr>
        <w:t>2</w:t>
      </w:r>
      <w:r w:rsidRPr="006F7EBB">
        <w:t xml:space="preserve"> and 1T TaS</w:t>
      </w:r>
      <w:r w:rsidRPr="006F7EBB">
        <w:rPr>
          <w:vertAlign w:val="subscript"/>
        </w:rPr>
        <w:t>2</w:t>
      </w:r>
      <w:r w:rsidRPr="006F7EBB">
        <w:t>, respectively. The slightly lower value for 2H TaS</w:t>
      </w:r>
      <w:r w:rsidRPr="006F7EBB">
        <w:rPr>
          <w:vertAlign w:val="subscript"/>
        </w:rPr>
        <w:t>2</w:t>
      </w:r>
      <w:r w:rsidRPr="006F7EBB">
        <w:t xml:space="preserve"> most likely originates from higher concentration of surface oxide, which was introduced </w:t>
      </w:r>
    </w:p>
    <w:p w14:paraId="504686A6" w14:textId="77777777" w:rsidR="006F7EBB" w:rsidRDefault="006F7EBB" w:rsidP="006F7EBB">
      <w:pPr>
        <w:pStyle w:val="P1"/>
      </w:pPr>
      <w:proofErr w:type="gramStart"/>
      <w:r w:rsidRPr="006F7EBB">
        <w:t>during</w:t>
      </w:r>
      <w:proofErr w:type="gramEnd"/>
      <w:r w:rsidRPr="006F7EBB">
        <w:t xml:space="preserve"> the synthesis (see Methods section for more details about the synthesis).  This fact is also very well documented by a slightly higher oxygen concentration in the survey spectra.</w:t>
      </w:r>
    </w:p>
    <w:p w14:paraId="3CA86B97" w14:textId="77777777" w:rsidR="006F7EBB" w:rsidRDefault="006F7EBB" w:rsidP="006F7EBB">
      <w:pPr>
        <w:pStyle w:val="P1"/>
      </w:pPr>
    </w:p>
    <w:p w14:paraId="24345F2B" w14:textId="77777777" w:rsidR="00BB3C34" w:rsidRPr="00BB3C34" w:rsidRDefault="00BB3C34" w:rsidP="00BB3C34">
      <w:pPr>
        <w:pStyle w:val="P1"/>
        <w:rPr>
          <w:sz w:val="14"/>
          <w:szCs w:val="14"/>
        </w:rPr>
      </w:pPr>
      <w:r w:rsidRPr="00BB3C34">
        <w:rPr>
          <w:b/>
          <w:sz w:val="14"/>
          <w:szCs w:val="14"/>
        </w:rPr>
        <w:t xml:space="preserve">Figure 4. </w:t>
      </w:r>
      <w:r w:rsidRPr="00BB3C34">
        <w:rPr>
          <w:sz w:val="14"/>
          <w:szCs w:val="14"/>
        </w:rPr>
        <w:t>XRD patterns of 2H TaS</w:t>
      </w:r>
      <w:r w:rsidRPr="00BB3C34">
        <w:rPr>
          <w:sz w:val="14"/>
          <w:szCs w:val="14"/>
          <w:vertAlign w:val="subscript"/>
        </w:rPr>
        <w:t>2</w:t>
      </w:r>
      <w:r w:rsidRPr="00BB3C34">
        <w:rPr>
          <w:sz w:val="14"/>
          <w:szCs w:val="14"/>
        </w:rPr>
        <w:t xml:space="preserve"> and 1T TaS</w:t>
      </w:r>
      <w:r w:rsidRPr="00BB3C34">
        <w:rPr>
          <w:sz w:val="14"/>
          <w:szCs w:val="14"/>
          <w:vertAlign w:val="subscript"/>
        </w:rPr>
        <w:t>2</w:t>
      </w:r>
      <w:r w:rsidRPr="00BB3C34">
        <w:rPr>
          <w:sz w:val="14"/>
          <w:szCs w:val="14"/>
        </w:rPr>
        <w:t>. The reference lines at the bottom represent reference data taken from PDF database.</w:t>
      </w:r>
    </w:p>
    <w:p w14:paraId="0833A9E6" w14:textId="77777777" w:rsidR="00BB3C34" w:rsidRDefault="00BB3C34" w:rsidP="006F7EBB">
      <w:pPr>
        <w:pStyle w:val="P1"/>
      </w:pPr>
    </w:p>
    <w:p w14:paraId="410995A6" w14:textId="77777777" w:rsidR="00BB3C34" w:rsidRDefault="00BB3C34" w:rsidP="006F7EBB">
      <w:pPr>
        <w:pStyle w:val="P1"/>
      </w:pPr>
    </w:p>
    <w:p w14:paraId="27BEEAE1" w14:textId="77777777" w:rsidR="00BB3C34" w:rsidRDefault="00BB3C34" w:rsidP="006F7EBB">
      <w:pPr>
        <w:pStyle w:val="P1"/>
      </w:pPr>
    </w:p>
    <w:p w14:paraId="624590F4" w14:textId="77777777" w:rsidR="00BB3C34" w:rsidRPr="006F7EBB" w:rsidRDefault="00BB3C34" w:rsidP="006F7EBB">
      <w:pPr>
        <w:pStyle w:val="P1"/>
      </w:pPr>
    </w:p>
    <w:p w14:paraId="21D6CAF7" w14:textId="77777777" w:rsidR="006F7EBB" w:rsidRPr="00BB3C34" w:rsidRDefault="006F7EBB" w:rsidP="006F7EBB">
      <w:pPr>
        <w:pStyle w:val="P1"/>
        <w:rPr>
          <w:b/>
          <w:sz w:val="14"/>
          <w:szCs w:val="14"/>
        </w:rPr>
      </w:pPr>
      <w:r w:rsidRPr="00BB3C34">
        <w:rPr>
          <w:b/>
          <w:sz w:val="14"/>
          <w:szCs w:val="14"/>
        </w:rPr>
        <w:t xml:space="preserve">Table 2. </w:t>
      </w:r>
      <w:r w:rsidRPr="00BB3C34">
        <w:rPr>
          <w:sz w:val="14"/>
          <w:szCs w:val="14"/>
        </w:rPr>
        <w:t>Elemental composition of 2H TaS</w:t>
      </w:r>
      <w:r w:rsidRPr="00BB3C34">
        <w:rPr>
          <w:sz w:val="14"/>
          <w:szCs w:val="14"/>
          <w:vertAlign w:val="subscript"/>
        </w:rPr>
        <w:t>2</w:t>
      </w:r>
      <w:r w:rsidRPr="00BB3C34">
        <w:rPr>
          <w:sz w:val="14"/>
          <w:szCs w:val="14"/>
        </w:rPr>
        <w:t xml:space="preserve"> and 1T TaS</w:t>
      </w:r>
      <w:r w:rsidRPr="00BB3C34">
        <w:rPr>
          <w:sz w:val="14"/>
          <w:szCs w:val="14"/>
          <w:vertAlign w:val="subscript"/>
        </w:rPr>
        <w:t>2</w:t>
      </w:r>
      <w:r w:rsidRPr="00BB3C34">
        <w:rPr>
          <w:sz w:val="14"/>
          <w:szCs w:val="14"/>
        </w:rPr>
        <w:t xml:space="preserve"> extracted from XPS survey spectra</w:t>
      </w:r>
      <w:r w:rsidRPr="00BB3C34">
        <w:rPr>
          <w:b/>
          <w:sz w:val="14"/>
          <w:szCs w:val="14"/>
        </w:rPr>
        <w:t xml:space="preserve">. </w:t>
      </w:r>
    </w:p>
    <w:tbl>
      <w:tblPr>
        <w:tblW w:w="5000" w:type="pct"/>
        <w:jc w:val="center"/>
        <w:tblCellMar>
          <w:left w:w="0" w:type="dxa"/>
          <w:right w:w="0" w:type="dxa"/>
        </w:tblCellMar>
        <w:tblLook w:val="0000" w:firstRow="0" w:lastRow="0" w:firstColumn="0" w:lastColumn="0" w:noHBand="0" w:noVBand="0"/>
      </w:tblPr>
      <w:tblGrid>
        <w:gridCol w:w="705"/>
        <w:gridCol w:w="852"/>
        <w:gridCol w:w="881"/>
        <w:gridCol w:w="910"/>
        <w:gridCol w:w="822"/>
        <w:gridCol w:w="735"/>
      </w:tblGrid>
      <w:tr w:rsidR="006F7EBB" w:rsidRPr="006F7EBB" w14:paraId="5617C952" w14:textId="77777777" w:rsidTr="00BB3C34">
        <w:trPr>
          <w:trHeight w:val="330"/>
          <w:jc w:val="center"/>
        </w:trPr>
        <w:tc>
          <w:tcPr>
            <w:tcW w:w="719" w:type="pct"/>
            <w:tcBorders>
              <w:top w:val="single" w:sz="12" w:space="0" w:color="000000"/>
              <w:left w:val="nil"/>
              <w:bottom w:val="single" w:sz="12" w:space="0" w:color="000000"/>
              <w:right w:val="nil"/>
            </w:tcBorders>
            <w:tcMar>
              <w:top w:w="15" w:type="dxa"/>
              <w:left w:w="15" w:type="dxa"/>
              <w:bottom w:w="0" w:type="dxa"/>
              <w:right w:w="15" w:type="dxa"/>
            </w:tcMar>
            <w:vAlign w:val="center"/>
          </w:tcPr>
          <w:p w14:paraId="483535E7" w14:textId="77777777" w:rsidR="006F7EBB" w:rsidRPr="006F7EBB" w:rsidRDefault="006F7EBB" w:rsidP="00BB3C34">
            <w:pPr>
              <w:pStyle w:val="P1"/>
              <w:jc w:val="center"/>
              <w:rPr>
                <w:lang w:val="cs-CZ"/>
              </w:rPr>
            </w:pPr>
          </w:p>
        </w:tc>
        <w:tc>
          <w:tcPr>
            <w:tcW w:w="868" w:type="pct"/>
            <w:tcBorders>
              <w:top w:val="single" w:sz="12" w:space="0" w:color="000000"/>
              <w:left w:val="nil"/>
              <w:bottom w:val="single" w:sz="12" w:space="0" w:color="000000"/>
              <w:right w:val="nil"/>
            </w:tcBorders>
            <w:tcMar>
              <w:top w:w="15" w:type="dxa"/>
              <w:left w:w="15" w:type="dxa"/>
              <w:bottom w:w="0" w:type="dxa"/>
              <w:right w:w="15" w:type="dxa"/>
            </w:tcMar>
            <w:vAlign w:val="center"/>
          </w:tcPr>
          <w:p w14:paraId="3C61C665" w14:textId="77777777" w:rsidR="006F7EBB" w:rsidRPr="006F7EBB" w:rsidRDefault="006F7EBB" w:rsidP="00BB3C34">
            <w:pPr>
              <w:pStyle w:val="P1"/>
              <w:jc w:val="center"/>
              <w:rPr>
                <w:lang w:val="cs-CZ"/>
              </w:rPr>
            </w:pPr>
            <w:r w:rsidRPr="006F7EBB">
              <w:rPr>
                <w:lang w:val="cs-CZ"/>
              </w:rPr>
              <w:t>C 1s (at. %)</w:t>
            </w:r>
          </w:p>
        </w:tc>
        <w:tc>
          <w:tcPr>
            <w:tcW w:w="898" w:type="pct"/>
            <w:tcBorders>
              <w:top w:val="single" w:sz="12" w:space="0" w:color="000000"/>
              <w:left w:val="nil"/>
              <w:bottom w:val="single" w:sz="12" w:space="0" w:color="000000"/>
              <w:right w:val="nil"/>
            </w:tcBorders>
            <w:tcMar>
              <w:top w:w="15" w:type="dxa"/>
              <w:left w:w="15" w:type="dxa"/>
              <w:bottom w:w="0" w:type="dxa"/>
              <w:right w:w="15" w:type="dxa"/>
            </w:tcMar>
            <w:vAlign w:val="center"/>
          </w:tcPr>
          <w:p w14:paraId="0E04E49D" w14:textId="77777777" w:rsidR="006F7EBB" w:rsidRPr="006F7EBB" w:rsidRDefault="006F7EBB" w:rsidP="00BB3C34">
            <w:pPr>
              <w:pStyle w:val="P1"/>
              <w:jc w:val="center"/>
              <w:rPr>
                <w:lang w:val="cs-CZ"/>
              </w:rPr>
            </w:pPr>
            <w:r w:rsidRPr="006F7EBB">
              <w:rPr>
                <w:lang w:val="cs-CZ"/>
              </w:rPr>
              <w:t>O 1s (at. %)</w:t>
            </w:r>
          </w:p>
        </w:tc>
        <w:tc>
          <w:tcPr>
            <w:tcW w:w="928" w:type="pct"/>
            <w:tcBorders>
              <w:top w:val="single" w:sz="12" w:space="0" w:color="000000"/>
              <w:left w:val="nil"/>
              <w:bottom w:val="single" w:sz="12" w:space="0" w:color="000000"/>
              <w:right w:val="nil"/>
            </w:tcBorders>
            <w:tcMar>
              <w:top w:w="15" w:type="dxa"/>
              <w:left w:w="15" w:type="dxa"/>
              <w:bottom w:w="0" w:type="dxa"/>
              <w:right w:w="15" w:type="dxa"/>
            </w:tcMar>
            <w:vAlign w:val="center"/>
          </w:tcPr>
          <w:p w14:paraId="6CC31F4B" w14:textId="77777777" w:rsidR="006F7EBB" w:rsidRPr="006F7EBB" w:rsidRDefault="006F7EBB" w:rsidP="00BB3C34">
            <w:pPr>
              <w:pStyle w:val="P1"/>
              <w:jc w:val="center"/>
              <w:rPr>
                <w:lang w:val="cs-CZ"/>
              </w:rPr>
            </w:pPr>
            <w:r w:rsidRPr="006F7EBB">
              <w:rPr>
                <w:lang w:val="cs-CZ"/>
              </w:rPr>
              <w:t>Ta 4f (at. %)</w:t>
            </w:r>
          </w:p>
        </w:tc>
        <w:tc>
          <w:tcPr>
            <w:tcW w:w="838" w:type="pct"/>
            <w:tcBorders>
              <w:top w:val="single" w:sz="12" w:space="0" w:color="000000"/>
              <w:left w:val="nil"/>
              <w:bottom w:val="single" w:sz="12" w:space="0" w:color="000000"/>
              <w:right w:val="nil"/>
            </w:tcBorders>
            <w:tcMar>
              <w:top w:w="15" w:type="dxa"/>
              <w:left w:w="15" w:type="dxa"/>
              <w:bottom w:w="0" w:type="dxa"/>
              <w:right w:w="15" w:type="dxa"/>
            </w:tcMar>
            <w:vAlign w:val="center"/>
          </w:tcPr>
          <w:p w14:paraId="14946C4C" w14:textId="77777777" w:rsidR="006F7EBB" w:rsidRPr="006F7EBB" w:rsidRDefault="006F7EBB" w:rsidP="00BB3C34">
            <w:pPr>
              <w:pStyle w:val="P1"/>
              <w:jc w:val="center"/>
              <w:rPr>
                <w:lang w:val="cs-CZ"/>
              </w:rPr>
            </w:pPr>
            <w:r w:rsidRPr="006F7EBB">
              <w:rPr>
                <w:lang w:val="cs-CZ"/>
              </w:rPr>
              <w:t>S 2p (at. %)</w:t>
            </w:r>
          </w:p>
        </w:tc>
        <w:tc>
          <w:tcPr>
            <w:tcW w:w="749" w:type="pct"/>
            <w:tcBorders>
              <w:top w:val="single" w:sz="12" w:space="0" w:color="000000"/>
              <w:left w:val="nil"/>
              <w:bottom w:val="single" w:sz="12" w:space="0" w:color="000000"/>
              <w:right w:val="nil"/>
            </w:tcBorders>
            <w:tcMar>
              <w:top w:w="15" w:type="dxa"/>
              <w:left w:w="15" w:type="dxa"/>
              <w:bottom w:w="0" w:type="dxa"/>
              <w:right w:w="15" w:type="dxa"/>
            </w:tcMar>
            <w:vAlign w:val="center"/>
          </w:tcPr>
          <w:p w14:paraId="1D0B5064" w14:textId="77777777" w:rsidR="006F7EBB" w:rsidRPr="006F7EBB" w:rsidRDefault="006F7EBB" w:rsidP="00BB3C34">
            <w:pPr>
              <w:pStyle w:val="P1"/>
              <w:jc w:val="center"/>
              <w:rPr>
                <w:lang w:val="cs-CZ"/>
              </w:rPr>
            </w:pPr>
            <w:r w:rsidRPr="006F7EBB">
              <w:rPr>
                <w:lang w:val="cs-CZ"/>
              </w:rPr>
              <w:t>S/Ta</w:t>
            </w:r>
          </w:p>
        </w:tc>
      </w:tr>
      <w:tr w:rsidR="006F7EBB" w:rsidRPr="006F7EBB" w14:paraId="3C69F831" w14:textId="77777777" w:rsidTr="00BB3C34">
        <w:trPr>
          <w:trHeight w:val="375"/>
          <w:jc w:val="center"/>
        </w:trPr>
        <w:tc>
          <w:tcPr>
            <w:tcW w:w="719" w:type="pct"/>
            <w:tcBorders>
              <w:top w:val="single" w:sz="12" w:space="0" w:color="000000"/>
              <w:left w:val="nil"/>
              <w:bottom w:val="nil"/>
              <w:right w:val="nil"/>
            </w:tcBorders>
            <w:tcMar>
              <w:top w:w="15" w:type="dxa"/>
              <w:left w:w="15" w:type="dxa"/>
              <w:bottom w:w="0" w:type="dxa"/>
              <w:right w:w="15" w:type="dxa"/>
            </w:tcMar>
            <w:vAlign w:val="center"/>
          </w:tcPr>
          <w:p w14:paraId="69932315" w14:textId="77777777" w:rsidR="006F7EBB" w:rsidRPr="006F7EBB" w:rsidRDefault="006F7EBB" w:rsidP="00BB3C34">
            <w:pPr>
              <w:pStyle w:val="P1"/>
              <w:jc w:val="center"/>
              <w:rPr>
                <w:lang w:val="cs-CZ"/>
              </w:rPr>
            </w:pPr>
            <w:r w:rsidRPr="006F7EBB">
              <w:rPr>
                <w:lang w:val="cs-CZ"/>
              </w:rPr>
              <w:t>2H TaS</w:t>
            </w:r>
            <w:r w:rsidRPr="006F7EBB">
              <w:rPr>
                <w:vertAlign w:val="subscript"/>
                <w:lang w:val="cs-CZ"/>
              </w:rPr>
              <w:t>2</w:t>
            </w:r>
          </w:p>
        </w:tc>
        <w:tc>
          <w:tcPr>
            <w:tcW w:w="868" w:type="pct"/>
            <w:tcBorders>
              <w:top w:val="single" w:sz="12" w:space="0" w:color="000000"/>
              <w:left w:val="nil"/>
              <w:bottom w:val="nil"/>
              <w:right w:val="nil"/>
            </w:tcBorders>
            <w:tcMar>
              <w:top w:w="15" w:type="dxa"/>
              <w:left w:w="15" w:type="dxa"/>
              <w:bottom w:w="0" w:type="dxa"/>
              <w:right w:w="15" w:type="dxa"/>
            </w:tcMar>
            <w:vAlign w:val="center"/>
          </w:tcPr>
          <w:p w14:paraId="4CB5C3BB" w14:textId="77777777" w:rsidR="006F7EBB" w:rsidRPr="006F7EBB" w:rsidRDefault="006F7EBB" w:rsidP="00BB3C34">
            <w:pPr>
              <w:pStyle w:val="P1"/>
              <w:jc w:val="center"/>
              <w:rPr>
                <w:lang w:val="cs-CZ"/>
              </w:rPr>
            </w:pPr>
            <w:r w:rsidRPr="006F7EBB">
              <w:rPr>
                <w:lang w:val="cs-CZ"/>
              </w:rPr>
              <w:t>23.9</w:t>
            </w:r>
          </w:p>
        </w:tc>
        <w:tc>
          <w:tcPr>
            <w:tcW w:w="898" w:type="pct"/>
            <w:tcBorders>
              <w:top w:val="single" w:sz="12" w:space="0" w:color="000000"/>
              <w:left w:val="nil"/>
              <w:bottom w:val="nil"/>
              <w:right w:val="nil"/>
            </w:tcBorders>
            <w:tcMar>
              <w:top w:w="15" w:type="dxa"/>
              <w:left w:w="15" w:type="dxa"/>
              <w:bottom w:w="0" w:type="dxa"/>
              <w:right w:w="15" w:type="dxa"/>
            </w:tcMar>
            <w:vAlign w:val="center"/>
          </w:tcPr>
          <w:p w14:paraId="7422B45F" w14:textId="77777777" w:rsidR="006F7EBB" w:rsidRPr="006F7EBB" w:rsidRDefault="006F7EBB" w:rsidP="00BB3C34">
            <w:pPr>
              <w:pStyle w:val="P1"/>
              <w:jc w:val="center"/>
              <w:rPr>
                <w:lang w:val="cs-CZ"/>
              </w:rPr>
            </w:pPr>
            <w:r w:rsidRPr="006F7EBB">
              <w:rPr>
                <w:lang w:val="cs-CZ"/>
              </w:rPr>
              <w:t>23.7</w:t>
            </w:r>
          </w:p>
        </w:tc>
        <w:tc>
          <w:tcPr>
            <w:tcW w:w="928" w:type="pct"/>
            <w:tcBorders>
              <w:top w:val="single" w:sz="12" w:space="0" w:color="000000"/>
              <w:left w:val="nil"/>
              <w:bottom w:val="nil"/>
              <w:right w:val="nil"/>
            </w:tcBorders>
            <w:tcMar>
              <w:top w:w="15" w:type="dxa"/>
              <w:left w:w="15" w:type="dxa"/>
              <w:bottom w:w="0" w:type="dxa"/>
              <w:right w:w="15" w:type="dxa"/>
            </w:tcMar>
            <w:vAlign w:val="center"/>
          </w:tcPr>
          <w:p w14:paraId="726E9FBD" w14:textId="77777777" w:rsidR="006F7EBB" w:rsidRPr="006F7EBB" w:rsidRDefault="006F7EBB" w:rsidP="00BB3C34">
            <w:pPr>
              <w:pStyle w:val="P1"/>
              <w:jc w:val="center"/>
              <w:rPr>
                <w:lang w:val="cs-CZ"/>
              </w:rPr>
            </w:pPr>
            <w:r w:rsidRPr="006F7EBB">
              <w:rPr>
                <w:lang w:val="cs-CZ"/>
              </w:rPr>
              <w:t>19.20</w:t>
            </w:r>
          </w:p>
        </w:tc>
        <w:tc>
          <w:tcPr>
            <w:tcW w:w="838" w:type="pct"/>
            <w:tcBorders>
              <w:top w:val="single" w:sz="12" w:space="0" w:color="000000"/>
              <w:left w:val="nil"/>
              <w:bottom w:val="nil"/>
              <w:right w:val="nil"/>
            </w:tcBorders>
            <w:tcMar>
              <w:top w:w="15" w:type="dxa"/>
              <w:left w:w="15" w:type="dxa"/>
              <w:bottom w:w="0" w:type="dxa"/>
              <w:right w:w="15" w:type="dxa"/>
            </w:tcMar>
            <w:vAlign w:val="center"/>
          </w:tcPr>
          <w:p w14:paraId="18F2FFFC" w14:textId="77777777" w:rsidR="006F7EBB" w:rsidRPr="006F7EBB" w:rsidRDefault="006F7EBB" w:rsidP="00BB3C34">
            <w:pPr>
              <w:pStyle w:val="P1"/>
              <w:jc w:val="center"/>
              <w:rPr>
                <w:lang w:val="cs-CZ"/>
              </w:rPr>
            </w:pPr>
            <w:r w:rsidRPr="006F7EBB">
              <w:rPr>
                <w:lang w:val="cs-CZ"/>
              </w:rPr>
              <w:t>33.2</w:t>
            </w:r>
          </w:p>
        </w:tc>
        <w:tc>
          <w:tcPr>
            <w:tcW w:w="749" w:type="pct"/>
            <w:tcBorders>
              <w:top w:val="single" w:sz="12" w:space="0" w:color="000000"/>
              <w:left w:val="nil"/>
              <w:bottom w:val="nil"/>
              <w:right w:val="nil"/>
            </w:tcBorders>
            <w:tcMar>
              <w:top w:w="15" w:type="dxa"/>
              <w:left w:w="15" w:type="dxa"/>
              <w:bottom w:w="0" w:type="dxa"/>
              <w:right w:w="15" w:type="dxa"/>
            </w:tcMar>
            <w:vAlign w:val="center"/>
          </w:tcPr>
          <w:p w14:paraId="3D5336CC" w14:textId="77777777" w:rsidR="006F7EBB" w:rsidRPr="006F7EBB" w:rsidRDefault="006F7EBB" w:rsidP="00BB3C34">
            <w:pPr>
              <w:pStyle w:val="P1"/>
              <w:jc w:val="center"/>
              <w:rPr>
                <w:lang w:val="cs-CZ"/>
              </w:rPr>
            </w:pPr>
            <w:r w:rsidRPr="006F7EBB">
              <w:rPr>
                <w:lang w:val="cs-CZ"/>
              </w:rPr>
              <w:t>1.7</w:t>
            </w:r>
          </w:p>
        </w:tc>
      </w:tr>
      <w:tr w:rsidR="006F7EBB" w:rsidRPr="006F7EBB" w14:paraId="6EB4C46F" w14:textId="77777777" w:rsidTr="00BB3C34">
        <w:trPr>
          <w:trHeight w:val="375"/>
          <w:jc w:val="center"/>
        </w:trPr>
        <w:tc>
          <w:tcPr>
            <w:tcW w:w="719" w:type="pct"/>
            <w:tcBorders>
              <w:top w:val="nil"/>
              <w:left w:val="nil"/>
              <w:bottom w:val="single" w:sz="12" w:space="0" w:color="000000"/>
              <w:right w:val="nil"/>
            </w:tcBorders>
            <w:tcMar>
              <w:top w:w="15" w:type="dxa"/>
              <w:left w:w="15" w:type="dxa"/>
              <w:bottom w:w="0" w:type="dxa"/>
              <w:right w:w="15" w:type="dxa"/>
            </w:tcMar>
            <w:vAlign w:val="center"/>
          </w:tcPr>
          <w:p w14:paraId="48633F99" w14:textId="77777777" w:rsidR="006F7EBB" w:rsidRPr="006F7EBB" w:rsidRDefault="006F7EBB" w:rsidP="00BB3C34">
            <w:pPr>
              <w:pStyle w:val="P1"/>
              <w:jc w:val="center"/>
              <w:rPr>
                <w:lang w:val="cs-CZ"/>
              </w:rPr>
            </w:pPr>
            <w:r w:rsidRPr="006F7EBB">
              <w:rPr>
                <w:lang w:val="cs-CZ"/>
              </w:rPr>
              <w:t>1T TaS</w:t>
            </w:r>
            <w:r w:rsidRPr="006F7EBB">
              <w:rPr>
                <w:vertAlign w:val="subscript"/>
                <w:lang w:val="cs-CZ"/>
              </w:rPr>
              <w:t>2</w:t>
            </w:r>
          </w:p>
        </w:tc>
        <w:tc>
          <w:tcPr>
            <w:tcW w:w="868" w:type="pct"/>
            <w:tcBorders>
              <w:top w:val="nil"/>
              <w:left w:val="nil"/>
              <w:bottom w:val="single" w:sz="12" w:space="0" w:color="000000"/>
              <w:right w:val="nil"/>
            </w:tcBorders>
            <w:tcMar>
              <w:top w:w="15" w:type="dxa"/>
              <w:left w:w="15" w:type="dxa"/>
              <w:bottom w:w="0" w:type="dxa"/>
              <w:right w:w="15" w:type="dxa"/>
            </w:tcMar>
            <w:vAlign w:val="center"/>
          </w:tcPr>
          <w:p w14:paraId="228BBB95" w14:textId="77777777" w:rsidR="006F7EBB" w:rsidRPr="006F7EBB" w:rsidRDefault="006F7EBB" w:rsidP="00BB3C34">
            <w:pPr>
              <w:pStyle w:val="P1"/>
              <w:jc w:val="center"/>
              <w:rPr>
                <w:lang w:val="cs-CZ"/>
              </w:rPr>
            </w:pPr>
            <w:r w:rsidRPr="006F7EBB">
              <w:rPr>
                <w:lang w:val="cs-CZ"/>
              </w:rPr>
              <w:t>30.4</w:t>
            </w:r>
          </w:p>
        </w:tc>
        <w:tc>
          <w:tcPr>
            <w:tcW w:w="898" w:type="pct"/>
            <w:tcBorders>
              <w:top w:val="nil"/>
              <w:left w:val="nil"/>
              <w:bottom w:val="single" w:sz="12" w:space="0" w:color="000000"/>
              <w:right w:val="nil"/>
            </w:tcBorders>
            <w:tcMar>
              <w:top w:w="15" w:type="dxa"/>
              <w:left w:w="15" w:type="dxa"/>
              <w:bottom w:w="0" w:type="dxa"/>
              <w:right w:w="15" w:type="dxa"/>
            </w:tcMar>
            <w:vAlign w:val="center"/>
          </w:tcPr>
          <w:p w14:paraId="65A8054A" w14:textId="77777777" w:rsidR="006F7EBB" w:rsidRPr="006F7EBB" w:rsidRDefault="006F7EBB" w:rsidP="00BB3C34">
            <w:pPr>
              <w:pStyle w:val="P1"/>
              <w:jc w:val="center"/>
              <w:rPr>
                <w:lang w:val="cs-CZ"/>
              </w:rPr>
            </w:pPr>
            <w:r w:rsidRPr="006F7EBB">
              <w:rPr>
                <w:lang w:val="cs-CZ"/>
              </w:rPr>
              <w:t>15.4</w:t>
            </w:r>
          </w:p>
        </w:tc>
        <w:tc>
          <w:tcPr>
            <w:tcW w:w="928" w:type="pct"/>
            <w:tcBorders>
              <w:top w:val="nil"/>
              <w:left w:val="nil"/>
              <w:bottom w:val="single" w:sz="12" w:space="0" w:color="000000"/>
              <w:right w:val="nil"/>
            </w:tcBorders>
            <w:tcMar>
              <w:top w:w="15" w:type="dxa"/>
              <w:left w:w="15" w:type="dxa"/>
              <w:bottom w:w="0" w:type="dxa"/>
              <w:right w:w="15" w:type="dxa"/>
            </w:tcMar>
            <w:vAlign w:val="center"/>
          </w:tcPr>
          <w:p w14:paraId="79DFD0A1" w14:textId="77777777" w:rsidR="006F7EBB" w:rsidRPr="006F7EBB" w:rsidRDefault="006F7EBB" w:rsidP="00BB3C34">
            <w:pPr>
              <w:pStyle w:val="P1"/>
              <w:jc w:val="center"/>
              <w:rPr>
                <w:lang w:val="cs-CZ"/>
              </w:rPr>
            </w:pPr>
            <w:r w:rsidRPr="006F7EBB">
              <w:rPr>
                <w:lang w:val="cs-CZ"/>
              </w:rPr>
              <w:t>17.9</w:t>
            </w:r>
          </w:p>
        </w:tc>
        <w:tc>
          <w:tcPr>
            <w:tcW w:w="838" w:type="pct"/>
            <w:tcBorders>
              <w:top w:val="nil"/>
              <w:left w:val="nil"/>
              <w:bottom w:val="single" w:sz="12" w:space="0" w:color="000000"/>
              <w:right w:val="nil"/>
            </w:tcBorders>
            <w:tcMar>
              <w:top w:w="15" w:type="dxa"/>
              <w:left w:w="15" w:type="dxa"/>
              <w:bottom w:w="0" w:type="dxa"/>
              <w:right w:w="15" w:type="dxa"/>
            </w:tcMar>
            <w:vAlign w:val="center"/>
          </w:tcPr>
          <w:p w14:paraId="1A53AE25" w14:textId="77777777" w:rsidR="006F7EBB" w:rsidRPr="006F7EBB" w:rsidRDefault="006F7EBB" w:rsidP="00BB3C34">
            <w:pPr>
              <w:pStyle w:val="P1"/>
              <w:jc w:val="center"/>
              <w:rPr>
                <w:lang w:val="cs-CZ"/>
              </w:rPr>
            </w:pPr>
            <w:r w:rsidRPr="006F7EBB">
              <w:rPr>
                <w:lang w:val="cs-CZ"/>
              </w:rPr>
              <w:t>36.3</w:t>
            </w:r>
          </w:p>
        </w:tc>
        <w:tc>
          <w:tcPr>
            <w:tcW w:w="749" w:type="pct"/>
            <w:tcBorders>
              <w:top w:val="nil"/>
              <w:left w:val="nil"/>
              <w:bottom w:val="single" w:sz="12" w:space="0" w:color="000000"/>
              <w:right w:val="nil"/>
            </w:tcBorders>
            <w:tcMar>
              <w:top w:w="15" w:type="dxa"/>
              <w:left w:w="15" w:type="dxa"/>
              <w:bottom w:w="0" w:type="dxa"/>
              <w:right w:w="15" w:type="dxa"/>
            </w:tcMar>
            <w:vAlign w:val="center"/>
          </w:tcPr>
          <w:p w14:paraId="174C8C73" w14:textId="77777777" w:rsidR="006F7EBB" w:rsidRPr="006F7EBB" w:rsidRDefault="006F7EBB" w:rsidP="00BB3C34">
            <w:pPr>
              <w:pStyle w:val="P1"/>
              <w:jc w:val="center"/>
              <w:rPr>
                <w:lang w:val="cs-CZ"/>
              </w:rPr>
            </w:pPr>
            <w:r w:rsidRPr="006F7EBB">
              <w:rPr>
                <w:lang w:val="cs-CZ"/>
              </w:rPr>
              <w:t>2.0</w:t>
            </w:r>
          </w:p>
        </w:tc>
      </w:tr>
    </w:tbl>
    <w:p w14:paraId="27E0BA0E" w14:textId="77777777" w:rsidR="006F7EBB" w:rsidRPr="006F7EBB" w:rsidRDefault="006F7EBB" w:rsidP="006F7EBB">
      <w:pPr>
        <w:pStyle w:val="P1"/>
        <w:rPr>
          <w:b/>
        </w:rPr>
      </w:pPr>
    </w:p>
    <w:p w14:paraId="734E7BEE" w14:textId="77777777" w:rsidR="006F7EBB" w:rsidRPr="006F7EBB" w:rsidRDefault="006F7EBB" w:rsidP="006F7EBB">
      <w:pPr>
        <w:pStyle w:val="P1"/>
        <w:ind w:firstLine="425"/>
      </w:pPr>
      <w:r w:rsidRPr="006F7EBB">
        <w:t xml:space="preserve">Detailed high-resolution spectra of S 2p shown in </w:t>
      </w:r>
      <w:r w:rsidRPr="006F7EBB">
        <w:rPr>
          <w:b/>
        </w:rPr>
        <w:t>Figure S2</w:t>
      </w:r>
      <w:r w:rsidRPr="006F7EBB">
        <w:t xml:space="preserve"> revealed that sulphur was present in the form of sulfide represented by a doublet with maxima at ca. 161.5 eV and 162.5 eV. No peak at ca. 168 eV being indicative of sulfates</w:t>
      </w:r>
      <w:proofErr w:type="gramStart"/>
      <w:r w:rsidRPr="006F7EBB">
        <w:t>,</w:t>
      </w:r>
      <w:r w:rsidRPr="006F7EBB">
        <w:rPr>
          <w:vertAlign w:val="superscript"/>
        </w:rPr>
        <w:t>[</w:t>
      </w:r>
      <w:proofErr w:type="gramEnd"/>
      <w:r w:rsidRPr="006F7EBB">
        <w:rPr>
          <w:vertAlign w:val="superscript"/>
        </w:rPr>
        <w:t>19]</w:t>
      </w:r>
      <w:r w:rsidRPr="006F7EBB">
        <w:t xml:space="preserve"> was observed. Since metal in transition metal sulfides usually undergoes chemical changes</w:t>
      </w:r>
      <w:proofErr w:type="gramStart"/>
      <w:r w:rsidRPr="006F7EBB">
        <w:t>,</w:t>
      </w:r>
      <w:r w:rsidRPr="006F7EBB">
        <w:rPr>
          <w:vertAlign w:val="superscript"/>
        </w:rPr>
        <w:t>[</w:t>
      </w:r>
      <w:proofErr w:type="gramEnd"/>
      <w:r w:rsidRPr="006F7EBB">
        <w:rPr>
          <w:vertAlign w:val="superscript"/>
        </w:rPr>
        <w:t>20]</w:t>
      </w:r>
      <w:r w:rsidRPr="006F7EBB">
        <w:t xml:space="preserve"> high-resolution Ta 4f spectra were recorded together with spectra after electrochemical reduction/oxidation were recorded. The results of these measurements are shown in </w:t>
      </w:r>
      <w:r w:rsidRPr="006F7EBB">
        <w:rPr>
          <w:b/>
        </w:rPr>
        <w:t>Figure 5</w:t>
      </w:r>
      <w:r w:rsidRPr="006F7EBB">
        <w:t xml:space="preserve"> and the potentials used for treatment are summarized in </w:t>
      </w:r>
      <w:r w:rsidRPr="006F7EBB">
        <w:rPr>
          <w:b/>
        </w:rPr>
        <w:t>Table S1</w:t>
      </w:r>
      <w:r w:rsidRPr="006F7EBB">
        <w:t>.</w:t>
      </w:r>
    </w:p>
    <w:p w14:paraId="24F5594A" w14:textId="77777777" w:rsidR="006F7EBB" w:rsidRPr="006F7EBB" w:rsidRDefault="006F7EBB" w:rsidP="006F7EBB">
      <w:pPr>
        <w:pStyle w:val="P1"/>
      </w:pPr>
    </w:p>
    <w:p w14:paraId="736F4139" w14:textId="77777777" w:rsidR="006F7EBB" w:rsidRPr="00BB3C34" w:rsidRDefault="00BB3C34" w:rsidP="006F7EBB">
      <w:pPr>
        <w:pStyle w:val="P1"/>
        <w:rPr>
          <w:sz w:val="14"/>
          <w:szCs w:val="14"/>
        </w:rPr>
      </w:pPr>
      <w:r w:rsidRPr="00BB3C34">
        <w:rPr>
          <w:noProof/>
          <w:sz w:val="14"/>
          <w:szCs w:val="14"/>
          <w:lang w:val="en-GB" w:eastAsia="en-GB"/>
        </w:rPr>
        <w:lastRenderedPageBreak/>
        <w:drawing>
          <wp:anchor distT="0" distB="0" distL="114300" distR="114300" simplePos="0" relativeHeight="251668992" behindDoc="0" locked="0" layoutInCell="1" allowOverlap="1" wp14:anchorId="7927D0A0" wp14:editId="077B8E61">
            <wp:simplePos x="0" y="0"/>
            <wp:positionH relativeFrom="column">
              <wp:posOffset>-32385</wp:posOffset>
            </wp:positionH>
            <wp:positionV relativeFrom="paragraph">
              <wp:posOffset>23495</wp:posOffset>
            </wp:positionV>
            <wp:extent cx="3187700" cy="1627505"/>
            <wp:effectExtent l="0" t="0" r="0" b="0"/>
            <wp:wrapTopAndBottom/>
            <wp:docPr id="2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7700" cy="16275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F7EBB" w:rsidRPr="00BB3C34">
        <w:rPr>
          <w:b/>
          <w:sz w:val="14"/>
          <w:szCs w:val="14"/>
        </w:rPr>
        <w:t xml:space="preserve">Figure 5. </w:t>
      </w:r>
      <w:r w:rsidR="006F7EBB" w:rsidRPr="00BB3C34">
        <w:rPr>
          <w:sz w:val="14"/>
          <w:szCs w:val="14"/>
        </w:rPr>
        <w:t>High-resolution core level spectra of Ta 4f state in pure bulk 2H TaS</w:t>
      </w:r>
      <w:r w:rsidR="006F7EBB" w:rsidRPr="00BB3C34">
        <w:rPr>
          <w:sz w:val="14"/>
          <w:szCs w:val="14"/>
          <w:vertAlign w:val="subscript"/>
        </w:rPr>
        <w:t>2</w:t>
      </w:r>
      <w:r w:rsidR="006F7EBB" w:rsidRPr="00BB3C34">
        <w:rPr>
          <w:sz w:val="14"/>
          <w:szCs w:val="14"/>
        </w:rPr>
        <w:t xml:space="preserve"> and 1T TaS</w:t>
      </w:r>
      <w:r w:rsidR="006F7EBB" w:rsidRPr="00BB3C34">
        <w:rPr>
          <w:sz w:val="14"/>
          <w:szCs w:val="14"/>
          <w:vertAlign w:val="subscript"/>
        </w:rPr>
        <w:t>2</w:t>
      </w:r>
      <w:r w:rsidR="006F7EBB" w:rsidRPr="00BB3C34">
        <w:rPr>
          <w:sz w:val="14"/>
          <w:szCs w:val="14"/>
        </w:rPr>
        <w:t xml:space="preserve"> and in reduced and oxidized 2H TaS</w:t>
      </w:r>
      <w:r w:rsidR="006F7EBB" w:rsidRPr="00BB3C34">
        <w:rPr>
          <w:sz w:val="14"/>
          <w:szCs w:val="14"/>
          <w:vertAlign w:val="subscript"/>
        </w:rPr>
        <w:t>2</w:t>
      </w:r>
      <w:r w:rsidR="006F7EBB" w:rsidRPr="00BB3C34">
        <w:rPr>
          <w:sz w:val="14"/>
          <w:szCs w:val="14"/>
        </w:rPr>
        <w:t xml:space="preserve"> and 1T TaS</w:t>
      </w:r>
      <w:r w:rsidR="006F7EBB" w:rsidRPr="00BB3C34">
        <w:rPr>
          <w:sz w:val="14"/>
          <w:szCs w:val="14"/>
          <w:vertAlign w:val="subscript"/>
        </w:rPr>
        <w:t>2</w:t>
      </w:r>
      <w:r w:rsidR="006F7EBB" w:rsidRPr="00BB3C34">
        <w:rPr>
          <w:sz w:val="14"/>
          <w:szCs w:val="14"/>
        </w:rPr>
        <w:t>.</w:t>
      </w:r>
    </w:p>
    <w:p w14:paraId="0E2623A4" w14:textId="77777777" w:rsidR="006F7EBB" w:rsidRPr="006F7EBB" w:rsidRDefault="006F7EBB" w:rsidP="006F7EBB">
      <w:pPr>
        <w:pStyle w:val="P1"/>
      </w:pPr>
      <w:r w:rsidRPr="006F7EBB">
        <w:t xml:space="preserve"> </w:t>
      </w:r>
    </w:p>
    <w:p w14:paraId="68320ED6" w14:textId="77777777" w:rsidR="006F7EBB" w:rsidRDefault="00E46BB2" w:rsidP="00E46BB2">
      <w:pPr>
        <w:pStyle w:val="P1"/>
        <w:ind w:firstLine="425"/>
      </w:pPr>
      <w:r w:rsidRPr="00B20836">
        <w:rPr>
          <w:b/>
          <w:noProof/>
          <w:lang w:val="en-GB" w:eastAsia="en-GB"/>
        </w:rPr>
        <w:drawing>
          <wp:anchor distT="0" distB="0" distL="114300" distR="114300" simplePos="0" relativeHeight="251671040" behindDoc="0" locked="0" layoutInCell="1" allowOverlap="1" wp14:anchorId="2A11C348" wp14:editId="067D62CC">
            <wp:simplePos x="0" y="0"/>
            <wp:positionH relativeFrom="column">
              <wp:posOffset>3321685</wp:posOffset>
            </wp:positionH>
            <wp:positionV relativeFrom="paragraph">
              <wp:posOffset>1066800</wp:posOffset>
            </wp:positionV>
            <wp:extent cx="3096260" cy="2320290"/>
            <wp:effectExtent l="0" t="0" r="8890" b="3810"/>
            <wp:wrapTopAndBottom/>
            <wp:docPr id="2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6260" cy="23202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F7EBB" w:rsidRPr="006F7EBB">
        <w:t>Deconvolution revealed that several chemical states contribute to the overall spectrum. A doublet of Ta</w:t>
      </w:r>
      <w:r w:rsidR="006F7EBB" w:rsidRPr="006F7EBB">
        <w:rPr>
          <w:vertAlign w:val="superscript"/>
        </w:rPr>
        <w:t>IV</w:t>
      </w:r>
      <w:r w:rsidR="006F7EBB" w:rsidRPr="006F7EBB">
        <w:t xml:space="preserve"> 4f</w:t>
      </w:r>
      <w:r w:rsidR="006F7EBB" w:rsidRPr="006F7EBB">
        <w:rPr>
          <w:vertAlign w:val="subscript"/>
        </w:rPr>
        <w:t>7/2</w:t>
      </w:r>
      <w:r w:rsidR="006F7EBB" w:rsidRPr="006F7EBB">
        <w:t xml:space="preserve"> and Ta</w:t>
      </w:r>
      <w:r w:rsidR="006F7EBB" w:rsidRPr="006F7EBB">
        <w:rPr>
          <w:vertAlign w:val="superscript"/>
        </w:rPr>
        <w:t>IV</w:t>
      </w:r>
      <w:r w:rsidR="006F7EBB" w:rsidRPr="006F7EBB">
        <w:t> 4f</w:t>
      </w:r>
      <w:r w:rsidR="006F7EBB" w:rsidRPr="006F7EBB">
        <w:rPr>
          <w:vertAlign w:val="subscript"/>
        </w:rPr>
        <w:t>5/2</w:t>
      </w:r>
      <w:r w:rsidR="006F7EBB" w:rsidRPr="006F7EBB">
        <w:t xml:space="preserve"> located at ca. 22.8 eV and 24.6 eV, respectively, was attributed to tantalum sulfide on the basis of good agreement with literature.</w:t>
      </w:r>
      <w:r w:rsidR="006F7EBB" w:rsidRPr="006F7EBB">
        <w:rPr>
          <w:vertAlign w:val="superscript"/>
        </w:rPr>
        <w:t>[21]</w:t>
      </w:r>
      <w:r w:rsidR="006F7EBB" w:rsidRPr="006F7EBB">
        <w:t xml:space="preserve"> Another pair of peaks at ca. 26.3 eV and 28.3 eV can be ascribed to Ta</w:t>
      </w:r>
      <w:r w:rsidR="006F7EBB" w:rsidRPr="006F7EBB">
        <w:rPr>
          <w:vertAlign w:val="superscript"/>
        </w:rPr>
        <w:t>V</w:t>
      </w:r>
      <w:r w:rsidR="006F7EBB" w:rsidRPr="006F7EBB">
        <w:t xml:space="preserve"> 4f</w:t>
      </w:r>
      <w:r w:rsidR="006F7EBB" w:rsidRPr="006F7EBB">
        <w:rPr>
          <w:vertAlign w:val="subscript"/>
        </w:rPr>
        <w:t>7/2</w:t>
      </w:r>
      <w:r w:rsidR="006F7EBB" w:rsidRPr="006F7EBB">
        <w:t xml:space="preserve"> and Ta</w:t>
      </w:r>
      <w:r w:rsidR="006F7EBB" w:rsidRPr="006F7EBB">
        <w:rPr>
          <w:vertAlign w:val="superscript"/>
        </w:rPr>
        <w:t>V</w:t>
      </w:r>
      <w:r w:rsidR="006F7EBB" w:rsidRPr="006F7EBB">
        <w:t> 4f</w:t>
      </w:r>
      <w:r w:rsidR="006F7EBB" w:rsidRPr="006F7EBB">
        <w:rPr>
          <w:vertAlign w:val="subscript"/>
        </w:rPr>
        <w:t>5/2</w:t>
      </w:r>
      <w:r w:rsidR="006F7EBB" w:rsidRPr="006F7EBB">
        <w:t>, respectively.</w:t>
      </w:r>
      <w:r w:rsidR="006F7EBB" w:rsidRPr="006F7EBB">
        <w:rPr>
          <w:vertAlign w:val="superscript"/>
        </w:rPr>
        <w:t>[21]</w:t>
      </w:r>
      <w:r w:rsidR="006F7EBB" w:rsidRPr="006F7EBB">
        <w:t xml:space="preserve"> Finally, elemental tantalum peaks emerged in both reduced samples and are represented by Ta</w:t>
      </w:r>
      <w:r w:rsidR="006F7EBB" w:rsidRPr="006F7EBB">
        <w:rPr>
          <w:vertAlign w:val="superscript"/>
        </w:rPr>
        <w:t>0</w:t>
      </w:r>
      <w:r w:rsidR="006F7EBB" w:rsidRPr="006F7EBB">
        <w:t xml:space="preserve"> 4f</w:t>
      </w:r>
      <w:r w:rsidR="006F7EBB" w:rsidRPr="006F7EBB">
        <w:rPr>
          <w:vertAlign w:val="subscript"/>
        </w:rPr>
        <w:t>7/2</w:t>
      </w:r>
      <w:r w:rsidR="006F7EBB" w:rsidRPr="006F7EBB">
        <w:t xml:space="preserve"> and Ta</w:t>
      </w:r>
      <w:r w:rsidR="006F7EBB" w:rsidRPr="006F7EBB">
        <w:rPr>
          <w:vertAlign w:val="superscript"/>
        </w:rPr>
        <w:t>0</w:t>
      </w:r>
      <w:r w:rsidR="006F7EBB" w:rsidRPr="006F7EBB">
        <w:t> 4f</w:t>
      </w:r>
      <w:r w:rsidR="006F7EBB" w:rsidRPr="006F7EBB">
        <w:rPr>
          <w:vertAlign w:val="subscript"/>
        </w:rPr>
        <w:t>5/2</w:t>
      </w:r>
      <w:r w:rsidR="006F7EBB" w:rsidRPr="006F7EBB">
        <w:t xml:space="preserve"> peaks at ca. 22.4 eV and 24.4 eV, respectively.</w:t>
      </w:r>
      <w:r w:rsidR="006F7EBB" w:rsidRPr="006F7EBB">
        <w:rPr>
          <w:vertAlign w:val="superscript"/>
        </w:rPr>
        <w:t>[22]</w:t>
      </w:r>
      <w:r w:rsidR="006F7EBB" w:rsidRPr="006F7EBB">
        <w:t xml:space="preserve"> Concentrations of individual states are summarized in </w:t>
      </w:r>
      <w:r w:rsidR="006F7EBB" w:rsidRPr="006F7EBB">
        <w:rPr>
          <w:b/>
        </w:rPr>
        <w:t>Table 3</w:t>
      </w:r>
      <w:r w:rsidR="006F7EBB" w:rsidRPr="006F7EBB">
        <w:t>. The majority of tantalum in untreated TaS</w:t>
      </w:r>
      <w:r w:rsidR="006F7EBB" w:rsidRPr="006F7EBB">
        <w:rPr>
          <w:vertAlign w:val="subscript"/>
        </w:rPr>
        <w:t>2</w:t>
      </w:r>
      <w:r w:rsidR="006F7EBB" w:rsidRPr="006F7EBB">
        <w:t xml:space="preserve"> is present in Ta</w:t>
      </w:r>
      <w:r w:rsidR="006F7EBB" w:rsidRPr="006F7EBB">
        <w:rPr>
          <w:vertAlign w:val="superscript"/>
        </w:rPr>
        <w:t>IV</w:t>
      </w:r>
      <w:r w:rsidR="006F7EBB" w:rsidRPr="006F7EBB">
        <w:t xml:space="preserve"> oxidation state and we ascribe the remainder of tantalum in Ta</w:t>
      </w:r>
      <w:r w:rsidR="006F7EBB" w:rsidRPr="006F7EBB">
        <w:rPr>
          <w:vertAlign w:val="superscript"/>
        </w:rPr>
        <w:t>V</w:t>
      </w:r>
      <w:r w:rsidR="006F7EBB" w:rsidRPr="006F7EBB">
        <w:t xml:space="preserve"> valency to natural oxidation of samples. However, treating the material with potential brings crucial changes in the surface composition. Exposure to positive potential leads to a rapid increase in Ta</w:t>
      </w:r>
      <w:r w:rsidR="006F7EBB" w:rsidRPr="006F7EBB">
        <w:rPr>
          <w:vertAlign w:val="superscript"/>
        </w:rPr>
        <w:t>V</w:t>
      </w:r>
      <w:r w:rsidR="006F7EBB" w:rsidRPr="006F7EBB">
        <w:t xml:space="preserve"> concentration in both TaS</w:t>
      </w:r>
      <w:r w:rsidR="006F7EBB" w:rsidRPr="006F7EBB">
        <w:rPr>
          <w:vertAlign w:val="subscript"/>
        </w:rPr>
        <w:t>2</w:t>
      </w:r>
      <w:r w:rsidR="006F7EBB" w:rsidRPr="006F7EBB">
        <w:t xml:space="preserve"> samples. From this, we can conclude that the surface of both 2H TaS</w:t>
      </w:r>
      <w:r w:rsidR="006F7EBB" w:rsidRPr="006F7EBB">
        <w:rPr>
          <w:vertAlign w:val="subscript"/>
        </w:rPr>
        <w:t>2</w:t>
      </w:r>
      <w:r w:rsidR="006F7EBB" w:rsidRPr="006F7EBB">
        <w:t xml:space="preserve"> and 1T TaS</w:t>
      </w:r>
      <w:r w:rsidR="006F7EBB" w:rsidRPr="006F7EBB">
        <w:rPr>
          <w:vertAlign w:val="subscript"/>
        </w:rPr>
        <w:t>2</w:t>
      </w:r>
      <w:r w:rsidR="006F7EBB" w:rsidRPr="006F7EBB">
        <w:t xml:space="preserve"> is oxidized into Ta</w:t>
      </w:r>
      <w:r w:rsidR="006F7EBB" w:rsidRPr="006F7EBB">
        <w:rPr>
          <w:vertAlign w:val="subscript"/>
        </w:rPr>
        <w:t>2</w:t>
      </w:r>
      <w:r w:rsidR="006F7EBB" w:rsidRPr="006F7EBB">
        <w:t>O</w:t>
      </w:r>
      <w:r w:rsidR="006F7EBB" w:rsidRPr="006F7EBB">
        <w:rPr>
          <w:vertAlign w:val="subscript"/>
        </w:rPr>
        <w:t>5</w:t>
      </w:r>
      <w:r w:rsidR="006F7EBB" w:rsidRPr="006F7EBB">
        <w:t>. A treatment with reductive potential leads to a formation of elemental tantalum and also to an increase in Ta</w:t>
      </w:r>
      <w:r w:rsidR="006F7EBB" w:rsidRPr="006F7EBB">
        <w:rPr>
          <w:vertAlign w:val="superscript"/>
        </w:rPr>
        <w:t>V</w:t>
      </w:r>
      <w:r w:rsidR="006F7EBB" w:rsidRPr="006F7EBB">
        <w:t xml:space="preserve"> concentration compared to untreated samples. We suggest that beside the reduction to elemental tantalum, additional products undergoing further oxidation to Ta</w:t>
      </w:r>
      <w:r w:rsidR="006F7EBB" w:rsidRPr="006F7EBB">
        <w:rPr>
          <w:vertAlign w:val="subscript"/>
        </w:rPr>
        <w:t>2</w:t>
      </w:r>
      <w:r w:rsidR="006F7EBB" w:rsidRPr="006F7EBB">
        <w:t>O</w:t>
      </w:r>
      <w:r w:rsidR="006F7EBB" w:rsidRPr="006F7EBB">
        <w:rPr>
          <w:vertAlign w:val="subscript"/>
        </w:rPr>
        <w:t>5</w:t>
      </w:r>
      <w:r w:rsidR="006F7EBB" w:rsidRPr="006F7EBB">
        <w:t xml:space="preserve"> are formed during the reduction of TaS</w:t>
      </w:r>
      <w:r w:rsidR="006F7EBB" w:rsidRPr="006F7EBB">
        <w:rPr>
          <w:vertAlign w:val="subscript"/>
        </w:rPr>
        <w:t>2</w:t>
      </w:r>
      <w:r w:rsidR="006F7EBB" w:rsidRPr="006F7EBB">
        <w:t>. More discussion on this issue is given in the electrochemistry section of this paper.</w:t>
      </w:r>
    </w:p>
    <w:p w14:paraId="637013C9" w14:textId="77777777" w:rsidR="00E46BB2" w:rsidRDefault="00E46BB2" w:rsidP="00E46BB2">
      <w:pPr>
        <w:pStyle w:val="P1"/>
        <w:ind w:firstLine="425"/>
      </w:pPr>
    </w:p>
    <w:p w14:paraId="5DB40360" w14:textId="77777777" w:rsidR="00E46BB2" w:rsidRDefault="00E46BB2" w:rsidP="00E46BB2">
      <w:pPr>
        <w:pStyle w:val="P1"/>
        <w:ind w:firstLine="425"/>
      </w:pPr>
    </w:p>
    <w:p w14:paraId="5DF24F4B" w14:textId="77777777" w:rsidR="00E46BB2" w:rsidRDefault="00E46BB2" w:rsidP="00E46BB2">
      <w:pPr>
        <w:pStyle w:val="P1"/>
        <w:ind w:firstLine="425"/>
      </w:pPr>
    </w:p>
    <w:p w14:paraId="33D8CCC9" w14:textId="77777777" w:rsidR="00E46BB2" w:rsidRDefault="00E46BB2" w:rsidP="00E46BB2">
      <w:pPr>
        <w:pStyle w:val="P1"/>
        <w:ind w:firstLine="425"/>
      </w:pPr>
    </w:p>
    <w:p w14:paraId="1F34FB03" w14:textId="77777777" w:rsidR="00E46BB2" w:rsidRDefault="00E46BB2" w:rsidP="00E46BB2">
      <w:pPr>
        <w:pStyle w:val="P1"/>
        <w:ind w:firstLine="425"/>
      </w:pPr>
    </w:p>
    <w:p w14:paraId="4E8E5A36" w14:textId="77777777" w:rsidR="00E46BB2" w:rsidRDefault="00E46BB2" w:rsidP="00E46BB2">
      <w:pPr>
        <w:pStyle w:val="P1"/>
        <w:ind w:firstLine="425"/>
      </w:pPr>
    </w:p>
    <w:p w14:paraId="4627A554" w14:textId="77777777" w:rsidR="00E46BB2" w:rsidRDefault="00E46BB2" w:rsidP="00E46BB2">
      <w:pPr>
        <w:pStyle w:val="P1"/>
        <w:ind w:firstLine="425"/>
      </w:pPr>
    </w:p>
    <w:p w14:paraId="79FE6DF0" w14:textId="77777777" w:rsidR="00E46BB2" w:rsidRDefault="00E46BB2" w:rsidP="00E46BB2">
      <w:pPr>
        <w:pStyle w:val="P1"/>
        <w:ind w:firstLine="425"/>
      </w:pPr>
    </w:p>
    <w:p w14:paraId="30CC9C01" w14:textId="77777777" w:rsidR="00E46BB2" w:rsidRDefault="00E46BB2" w:rsidP="00E46BB2">
      <w:pPr>
        <w:pStyle w:val="P1"/>
        <w:ind w:firstLine="425"/>
      </w:pPr>
    </w:p>
    <w:p w14:paraId="3489AA1B" w14:textId="77777777" w:rsidR="00E46BB2" w:rsidRDefault="00E46BB2" w:rsidP="00E46BB2">
      <w:pPr>
        <w:pStyle w:val="P1"/>
        <w:ind w:firstLine="425"/>
      </w:pPr>
    </w:p>
    <w:p w14:paraId="204F9C30" w14:textId="77777777" w:rsidR="00E46BB2" w:rsidRDefault="00E46BB2" w:rsidP="00E46BB2">
      <w:pPr>
        <w:pStyle w:val="P1"/>
        <w:ind w:firstLine="425"/>
      </w:pPr>
    </w:p>
    <w:p w14:paraId="292790C4" w14:textId="77777777" w:rsidR="00E46BB2" w:rsidRDefault="00E46BB2" w:rsidP="00E46BB2">
      <w:pPr>
        <w:pStyle w:val="P1"/>
        <w:ind w:firstLine="425"/>
      </w:pPr>
    </w:p>
    <w:p w14:paraId="6DE972F0" w14:textId="77777777" w:rsidR="00E46BB2" w:rsidRDefault="00E46BB2" w:rsidP="00E46BB2">
      <w:pPr>
        <w:pStyle w:val="P1"/>
        <w:ind w:firstLine="425"/>
      </w:pPr>
    </w:p>
    <w:p w14:paraId="2FEB42D2" w14:textId="77777777" w:rsidR="00BB3C34" w:rsidRDefault="00BB3C34" w:rsidP="00E46BB2">
      <w:pPr>
        <w:pStyle w:val="P1"/>
        <w:ind w:firstLine="425"/>
      </w:pPr>
    </w:p>
    <w:p w14:paraId="6F6F3FD6" w14:textId="77777777" w:rsidR="00BB3C34" w:rsidRDefault="00BB3C34" w:rsidP="00E46BB2">
      <w:pPr>
        <w:pStyle w:val="P1"/>
        <w:ind w:firstLine="425"/>
      </w:pPr>
    </w:p>
    <w:p w14:paraId="19F0F4DF" w14:textId="77777777" w:rsidR="00E46BB2" w:rsidRDefault="00E46BB2" w:rsidP="00E46BB2">
      <w:pPr>
        <w:pStyle w:val="P1"/>
        <w:ind w:firstLine="425"/>
      </w:pPr>
    </w:p>
    <w:p w14:paraId="4BEED9DD" w14:textId="77777777" w:rsidR="00E46BB2" w:rsidRDefault="00E46BB2" w:rsidP="00E46BB2">
      <w:pPr>
        <w:pStyle w:val="P1"/>
        <w:ind w:firstLine="425"/>
      </w:pPr>
    </w:p>
    <w:p w14:paraId="2528DEBC" w14:textId="77777777" w:rsidR="00E46BB2" w:rsidRPr="006F7EBB" w:rsidRDefault="00E46BB2" w:rsidP="00E46BB2">
      <w:pPr>
        <w:pStyle w:val="P1"/>
        <w:ind w:firstLine="425"/>
      </w:pPr>
    </w:p>
    <w:p w14:paraId="2BF597E8" w14:textId="77777777" w:rsidR="006F7EBB" w:rsidRPr="00BB3C34" w:rsidRDefault="006F7EBB" w:rsidP="006F7EBB">
      <w:pPr>
        <w:pStyle w:val="P1"/>
        <w:rPr>
          <w:sz w:val="14"/>
          <w:szCs w:val="14"/>
        </w:rPr>
      </w:pPr>
      <w:r w:rsidRPr="00BB3C34">
        <w:rPr>
          <w:b/>
          <w:sz w:val="14"/>
          <w:szCs w:val="14"/>
        </w:rPr>
        <w:t xml:space="preserve">Table 3. </w:t>
      </w:r>
      <w:r w:rsidRPr="00BB3C34">
        <w:rPr>
          <w:sz w:val="14"/>
          <w:szCs w:val="14"/>
        </w:rPr>
        <w:t>Concentration of individual Ta 4f states extracted from the deconvolution of Ta 4f spectra.</w:t>
      </w:r>
    </w:p>
    <w:tbl>
      <w:tblPr>
        <w:tblW w:w="5000" w:type="pct"/>
        <w:tblCellMar>
          <w:left w:w="0" w:type="dxa"/>
          <w:right w:w="0" w:type="dxa"/>
        </w:tblCellMar>
        <w:tblLook w:val="0000" w:firstRow="0" w:lastRow="0" w:firstColumn="0" w:lastColumn="0" w:noHBand="0" w:noVBand="0"/>
      </w:tblPr>
      <w:tblGrid>
        <w:gridCol w:w="1227"/>
        <w:gridCol w:w="1226"/>
        <w:gridCol w:w="1226"/>
        <w:gridCol w:w="1226"/>
      </w:tblGrid>
      <w:tr w:rsidR="006F7EBB" w:rsidRPr="006F7EBB" w14:paraId="012574AC" w14:textId="77777777" w:rsidTr="00E46BB2">
        <w:trPr>
          <w:trHeight w:hRule="exact" w:val="284"/>
        </w:trPr>
        <w:tc>
          <w:tcPr>
            <w:tcW w:w="1250" w:type="pct"/>
            <w:tcBorders>
              <w:top w:val="single" w:sz="12" w:space="0" w:color="000000"/>
              <w:left w:val="nil"/>
              <w:bottom w:val="single" w:sz="12" w:space="0" w:color="000000"/>
              <w:right w:val="nil"/>
            </w:tcBorders>
            <w:tcMar>
              <w:top w:w="15" w:type="dxa"/>
              <w:left w:w="15" w:type="dxa"/>
              <w:bottom w:w="0" w:type="dxa"/>
              <w:right w:w="15" w:type="dxa"/>
            </w:tcMar>
            <w:vAlign w:val="center"/>
          </w:tcPr>
          <w:p w14:paraId="07D16F4F" w14:textId="77777777" w:rsidR="006F7EBB" w:rsidRPr="006F7EBB" w:rsidRDefault="006F7EBB" w:rsidP="00E46BB2">
            <w:pPr>
              <w:pStyle w:val="P1"/>
              <w:jc w:val="center"/>
              <w:rPr>
                <w:lang w:val="cs-CZ"/>
              </w:rPr>
            </w:pPr>
          </w:p>
        </w:tc>
        <w:tc>
          <w:tcPr>
            <w:tcW w:w="1250" w:type="pct"/>
            <w:tcBorders>
              <w:top w:val="single" w:sz="12" w:space="0" w:color="000000"/>
              <w:left w:val="nil"/>
              <w:bottom w:val="single" w:sz="12" w:space="0" w:color="000000"/>
              <w:right w:val="nil"/>
            </w:tcBorders>
            <w:tcMar>
              <w:top w:w="15" w:type="dxa"/>
              <w:left w:w="15" w:type="dxa"/>
              <w:bottom w:w="0" w:type="dxa"/>
              <w:right w:w="15" w:type="dxa"/>
            </w:tcMar>
            <w:vAlign w:val="center"/>
          </w:tcPr>
          <w:p w14:paraId="08A7DCE1" w14:textId="77777777" w:rsidR="006F7EBB" w:rsidRPr="006F7EBB" w:rsidRDefault="006F7EBB" w:rsidP="00E46BB2">
            <w:pPr>
              <w:pStyle w:val="P1"/>
              <w:jc w:val="center"/>
              <w:rPr>
                <w:lang w:val="cs-CZ"/>
              </w:rPr>
            </w:pPr>
            <w:r w:rsidRPr="006F7EBB">
              <w:rPr>
                <w:lang w:val="cs-CZ"/>
              </w:rPr>
              <w:t>Ta</w:t>
            </w:r>
            <w:r w:rsidRPr="006F7EBB">
              <w:rPr>
                <w:vertAlign w:val="superscript"/>
                <w:lang w:val="cs-CZ"/>
              </w:rPr>
              <w:t xml:space="preserve">IV </w:t>
            </w:r>
            <w:r w:rsidRPr="006F7EBB">
              <w:rPr>
                <w:lang w:val="cs-CZ"/>
              </w:rPr>
              <w:t>(at. %)</w:t>
            </w:r>
          </w:p>
        </w:tc>
        <w:tc>
          <w:tcPr>
            <w:tcW w:w="1250" w:type="pct"/>
            <w:tcBorders>
              <w:top w:val="single" w:sz="12" w:space="0" w:color="000000"/>
              <w:left w:val="nil"/>
              <w:bottom w:val="single" w:sz="12" w:space="0" w:color="000000"/>
              <w:right w:val="nil"/>
            </w:tcBorders>
            <w:tcMar>
              <w:top w:w="15" w:type="dxa"/>
              <w:left w:w="15" w:type="dxa"/>
              <w:bottom w:w="0" w:type="dxa"/>
              <w:right w:w="15" w:type="dxa"/>
            </w:tcMar>
            <w:vAlign w:val="center"/>
          </w:tcPr>
          <w:p w14:paraId="2AD1598A" w14:textId="77777777" w:rsidR="006F7EBB" w:rsidRPr="006F7EBB" w:rsidRDefault="006F7EBB" w:rsidP="00E46BB2">
            <w:pPr>
              <w:pStyle w:val="P1"/>
              <w:jc w:val="center"/>
              <w:rPr>
                <w:lang w:val="cs-CZ"/>
              </w:rPr>
            </w:pPr>
            <w:r w:rsidRPr="006F7EBB">
              <w:rPr>
                <w:lang w:val="cs-CZ"/>
              </w:rPr>
              <w:t>Ta</w:t>
            </w:r>
            <w:r w:rsidRPr="006F7EBB">
              <w:rPr>
                <w:vertAlign w:val="superscript"/>
                <w:lang w:val="cs-CZ"/>
              </w:rPr>
              <w:t>V</w:t>
            </w:r>
            <w:r w:rsidRPr="006F7EBB">
              <w:rPr>
                <w:lang w:val="cs-CZ"/>
              </w:rPr>
              <w:t xml:space="preserve"> (at. %)</w:t>
            </w:r>
          </w:p>
        </w:tc>
        <w:tc>
          <w:tcPr>
            <w:tcW w:w="1251" w:type="pct"/>
            <w:tcBorders>
              <w:top w:val="single" w:sz="12" w:space="0" w:color="000000"/>
              <w:left w:val="nil"/>
              <w:bottom w:val="single" w:sz="12" w:space="0" w:color="000000"/>
              <w:right w:val="nil"/>
            </w:tcBorders>
            <w:tcMar>
              <w:top w:w="15" w:type="dxa"/>
              <w:left w:w="15" w:type="dxa"/>
              <w:bottom w:w="0" w:type="dxa"/>
              <w:right w:w="15" w:type="dxa"/>
            </w:tcMar>
            <w:vAlign w:val="center"/>
          </w:tcPr>
          <w:p w14:paraId="3C64C6A5" w14:textId="77777777" w:rsidR="006F7EBB" w:rsidRPr="006F7EBB" w:rsidRDefault="006F7EBB" w:rsidP="00E46BB2">
            <w:pPr>
              <w:pStyle w:val="P1"/>
              <w:jc w:val="center"/>
              <w:rPr>
                <w:lang w:val="cs-CZ"/>
              </w:rPr>
            </w:pPr>
            <w:r w:rsidRPr="006F7EBB">
              <w:rPr>
                <w:lang w:val="cs-CZ"/>
              </w:rPr>
              <w:t>Ta</w:t>
            </w:r>
            <w:r w:rsidRPr="006F7EBB">
              <w:rPr>
                <w:vertAlign w:val="superscript"/>
                <w:lang w:val="cs-CZ"/>
              </w:rPr>
              <w:t>0</w:t>
            </w:r>
            <w:r w:rsidRPr="006F7EBB">
              <w:rPr>
                <w:lang w:val="cs-CZ"/>
              </w:rPr>
              <w:t xml:space="preserve"> (at. %)</w:t>
            </w:r>
          </w:p>
        </w:tc>
      </w:tr>
      <w:tr w:rsidR="006F7EBB" w:rsidRPr="006F7EBB" w14:paraId="17A62CB0" w14:textId="77777777" w:rsidTr="00E46BB2">
        <w:trPr>
          <w:trHeight w:hRule="exact" w:val="284"/>
        </w:trPr>
        <w:tc>
          <w:tcPr>
            <w:tcW w:w="1250" w:type="pct"/>
            <w:tcBorders>
              <w:top w:val="single" w:sz="12" w:space="0" w:color="000000"/>
              <w:left w:val="nil"/>
              <w:bottom w:val="nil"/>
              <w:right w:val="nil"/>
            </w:tcBorders>
            <w:tcMar>
              <w:top w:w="15" w:type="dxa"/>
              <w:left w:w="15" w:type="dxa"/>
              <w:bottom w:w="0" w:type="dxa"/>
              <w:right w:w="15" w:type="dxa"/>
            </w:tcMar>
            <w:vAlign w:val="center"/>
          </w:tcPr>
          <w:p w14:paraId="14F99DF7" w14:textId="77777777" w:rsidR="006F7EBB" w:rsidRPr="006F7EBB" w:rsidRDefault="006F7EBB" w:rsidP="00E46BB2">
            <w:pPr>
              <w:pStyle w:val="P1"/>
              <w:jc w:val="center"/>
              <w:rPr>
                <w:lang w:val="cs-CZ"/>
              </w:rPr>
            </w:pPr>
            <w:r w:rsidRPr="006F7EBB">
              <w:rPr>
                <w:lang w:val="cs-CZ"/>
              </w:rPr>
              <w:t>2H TaS</w:t>
            </w:r>
            <w:r w:rsidRPr="006F7EBB">
              <w:rPr>
                <w:vertAlign w:val="subscript"/>
                <w:lang w:val="cs-CZ"/>
              </w:rPr>
              <w:t>2</w:t>
            </w:r>
          </w:p>
        </w:tc>
        <w:tc>
          <w:tcPr>
            <w:tcW w:w="1250" w:type="pct"/>
            <w:tcBorders>
              <w:top w:val="single" w:sz="12" w:space="0" w:color="000000"/>
              <w:left w:val="nil"/>
              <w:bottom w:val="nil"/>
              <w:right w:val="nil"/>
            </w:tcBorders>
            <w:tcMar>
              <w:top w:w="15" w:type="dxa"/>
              <w:left w:w="15" w:type="dxa"/>
              <w:bottom w:w="0" w:type="dxa"/>
              <w:right w:w="15" w:type="dxa"/>
            </w:tcMar>
            <w:vAlign w:val="center"/>
          </w:tcPr>
          <w:p w14:paraId="472DB80A" w14:textId="77777777" w:rsidR="006F7EBB" w:rsidRPr="006F7EBB" w:rsidRDefault="006F7EBB" w:rsidP="00E46BB2">
            <w:pPr>
              <w:pStyle w:val="P1"/>
              <w:jc w:val="center"/>
              <w:rPr>
                <w:lang w:val="cs-CZ"/>
              </w:rPr>
            </w:pPr>
            <w:r w:rsidRPr="006F7EBB">
              <w:rPr>
                <w:lang w:val="cs-CZ"/>
              </w:rPr>
              <w:t>67.2</w:t>
            </w:r>
          </w:p>
        </w:tc>
        <w:tc>
          <w:tcPr>
            <w:tcW w:w="1250" w:type="pct"/>
            <w:tcBorders>
              <w:top w:val="single" w:sz="12" w:space="0" w:color="000000"/>
              <w:left w:val="nil"/>
              <w:bottom w:val="nil"/>
              <w:right w:val="nil"/>
            </w:tcBorders>
            <w:tcMar>
              <w:top w:w="15" w:type="dxa"/>
              <w:left w:w="15" w:type="dxa"/>
              <w:bottom w:w="0" w:type="dxa"/>
              <w:right w:w="15" w:type="dxa"/>
            </w:tcMar>
            <w:vAlign w:val="center"/>
          </w:tcPr>
          <w:p w14:paraId="3FFA3C86" w14:textId="77777777" w:rsidR="006F7EBB" w:rsidRPr="006F7EBB" w:rsidRDefault="006F7EBB" w:rsidP="00E46BB2">
            <w:pPr>
              <w:pStyle w:val="P1"/>
              <w:jc w:val="center"/>
              <w:rPr>
                <w:lang w:val="cs-CZ"/>
              </w:rPr>
            </w:pPr>
            <w:r w:rsidRPr="006F7EBB">
              <w:rPr>
                <w:lang w:val="cs-CZ"/>
              </w:rPr>
              <w:t>32.8</w:t>
            </w:r>
          </w:p>
        </w:tc>
        <w:tc>
          <w:tcPr>
            <w:tcW w:w="1251" w:type="pct"/>
            <w:tcBorders>
              <w:top w:val="single" w:sz="12" w:space="0" w:color="000000"/>
              <w:left w:val="nil"/>
              <w:bottom w:val="nil"/>
              <w:right w:val="nil"/>
            </w:tcBorders>
            <w:tcMar>
              <w:top w:w="15" w:type="dxa"/>
              <w:left w:w="15" w:type="dxa"/>
              <w:bottom w:w="0" w:type="dxa"/>
              <w:right w:w="15" w:type="dxa"/>
            </w:tcMar>
            <w:vAlign w:val="center"/>
          </w:tcPr>
          <w:p w14:paraId="7DF0BD96" w14:textId="77777777" w:rsidR="006F7EBB" w:rsidRPr="006F7EBB" w:rsidRDefault="006F7EBB" w:rsidP="00E46BB2">
            <w:pPr>
              <w:pStyle w:val="P1"/>
              <w:jc w:val="center"/>
              <w:rPr>
                <w:lang w:val="cs-CZ"/>
              </w:rPr>
            </w:pPr>
            <w:r w:rsidRPr="006F7EBB">
              <w:rPr>
                <w:lang w:val="cs-CZ"/>
              </w:rPr>
              <w:t>-</w:t>
            </w:r>
          </w:p>
        </w:tc>
      </w:tr>
      <w:tr w:rsidR="006F7EBB" w:rsidRPr="006F7EBB" w14:paraId="2FEDECF0" w14:textId="77777777" w:rsidTr="00E46BB2">
        <w:trPr>
          <w:trHeight w:hRule="exact" w:val="284"/>
        </w:trPr>
        <w:tc>
          <w:tcPr>
            <w:tcW w:w="1250" w:type="pct"/>
            <w:tcBorders>
              <w:top w:val="nil"/>
              <w:left w:val="nil"/>
              <w:bottom w:val="nil"/>
              <w:right w:val="nil"/>
            </w:tcBorders>
            <w:tcMar>
              <w:top w:w="15" w:type="dxa"/>
              <w:left w:w="15" w:type="dxa"/>
              <w:bottom w:w="0" w:type="dxa"/>
              <w:right w:w="15" w:type="dxa"/>
            </w:tcMar>
            <w:vAlign w:val="center"/>
          </w:tcPr>
          <w:p w14:paraId="5D0D25E4" w14:textId="77777777" w:rsidR="006F7EBB" w:rsidRPr="006F7EBB" w:rsidRDefault="006F7EBB" w:rsidP="00E46BB2">
            <w:pPr>
              <w:pStyle w:val="P1"/>
              <w:jc w:val="center"/>
              <w:rPr>
                <w:lang w:val="cs-CZ"/>
              </w:rPr>
            </w:pPr>
            <w:r w:rsidRPr="006F7EBB">
              <w:rPr>
                <w:lang w:val="cs-CZ"/>
              </w:rPr>
              <w:t>2H TaS</w:t>
            </w:r>
            <w:r w:rsidRPr="006F7EBB">
              <w:rPr>
                <w:vertAlign w:val="subscript"/>
                <w:lang w:val="cs-CZ"/>
              </w:rPr>
              <w:t xml:space="preserve">2 </w:t>
            </w:r>
            <w:r w:rsidRPr="006F7EBB">
              <w:rPr>
                <w:lang w:val="cs-CZ"/>
              </w:rPr>
              <w:t>red.</w:t>
            </w:r>
          </w:p>
        </w:tc>
        <w:tc>
          <w:tcPr>
            <w:tcW w:w="1250" w:type="pct"/>
            <w:tcBorders>
              <w:top w:val="nil"/>
              <w:left w:val="nil"/>
              <w:bottom w:val="nil"/>
              <w:right w:val="nil"/>
            </w:tcBorders>
            <w:tcMar>
              <w:top w:w="15" w:type="dxa"/>
              <w:left w:w="15" w:type="dxa"/>
              <w:bottom w:w="0" w:type="dxa"/>
              <w:right w:w="15" w:type="dxa"/>
            </w:tcMar>
            <w:vAlign w:val="center"/>
          </w:tcPr>
          <w:p w14:paraId="5C738061" w14:textId="77777777" w:rsidR="006F7EBB" w:rsidRPr="006F7EBB" w:rsidRDefault="006F7EBB" w:rsidP="00E46BB2">
            <w:pPr>
              <w:pStyle w:val="P1"/>
              <w:jc w:val="center"/>
              <w:rPr>
                <w:lang w:val="cs-CZ"/>
              </w:rPr>
            </w:pPr>
            <w:r w:rsidRPr="006F7EBB">
              <w:rPr>
                <w:lang w:val="cs-CZ"/>
              </w:rPr>
              <w:t>21.9</w:t>
            </w:r>
          </w:p>
        </w:tc>
        <w:tc>
          <w:tcPr>
            <w:tcW w:w="1250" w:type="pct"/>
            <w:tcBorders>
              <w:top w:val="nil"/>
              <w:left w:val="nil"/>
              <w:bottom w:val="nil"/>
              <w:right w:val="nil"/>
            </w:tcBorders>
            <w:tcMar>
              <w:top w:w="15" w:type="dxa"/>
              <w:left w:w="15" w:type="dxa"/>
              <w:bottom w:w="0" w:type="dxa"/>
              <w:right w:w="15" w:type="dxa"/>
            </w:tcMar>
            <w:vAlign w:val="center"/>
          </w:tcPr>
          <w:p w14:paraId="5611004C" w14:textId="77777777" w:rsidR="006F7EBB" w:rsidRPr="006F7EBB" w:rsidRDefault="006F7EBB" w:rsidP="00E46BB2">
            <w:pPr>
              <w:pStyle w:val="P1"/>
              <w:jc w:val="center"/>
              <w:rPr>
                <w:lang w:val="cs-CZ"/>
              </w:rPr>
            </w:pPr>
            <w:r w:rsidRPr="006F7EBB">
              <w:rPr>
                <w:lang w:val="cs-CZ"/>
              </w:rPr>
              <w:t>64.3</w:t>
            </w:r>
          </w:p>
        </w:tc>
        <w:tc>
          <w:tcPr>
            <w:tcW w:w="1251" w:type="pct"/>
            <w:tcBorders>
              <w:top w:val="nil"/>
              <w:left w:val="nil"/>
              <w:bottom w:val="nil"/>
              <w:right w:val="nil"/>
            </w:tcBorders>
            <w:tcMar>
              <w:top w:w="15" w:type="dxa"/>
              <w:left w:w="15" w:type="dxa"/>
              <w:bottom w:w="0" w:type="dxa"/>
              <w:right w:w="15" w:type="dxa"/>
            </w:tcMar>
            <w:vAlign w:val="center"/>
          </w:tcPr>
          <w:p w14:paraId="65455580" w14:textId="77777777" w:rsidR="006F7EBB" w:rsidRPr="006F7EBB" w:rsidRDefault="006F7EBB" w:rsidP="00E46BB2">
            <w:pPr>
              <w:pStyle w:val="P1"/>
              <w:jc w:val="center"/>
              <w:rPr>
                <w:lang w:val="cs-CZ"/>
              </w:rPr>
            </w:pPr>
            <w:r w:rsidRPr="006F7EBB">
              <w:rPr>
                <w:lang w:val="cs-CZ"/>
              </w:rPr>
              <w:t>13.8</w:t>
            </w:r>
          </w:p>
        </w:tc>
      </w:tr>
      <w:tr w:rsidR="006F7EBB" w:rsidRPr="006F7EBB" w14:paraId="37476A0F" w14:textId="77777777" w:rsidTr="00E46BB2">
        <w:trPr>
          <w:trHeight w:hRule="exact" w:val="284"/>
        </w:trPr>
        <w:tc>
          <w:tcPr>
            <w:tcW w:w="1250" w:type="pct"/>
            <w:tcBorders>
              <w:top w:val="nil"/>
              <w:left w:val="nil"/>
              <w:bottom w:val="nil"/>
              <w:right w:val="nil"/>
            </w:tcBorders>
            <w:tcMar>
              <w:top w:w="15" w:type="dxa"/>
              <w:left w:w="15" w:type="dxa"/>
              <w:bottom w:w="0" w:type="dxa"/>
              <w:right w:w="15" w:type="dxa"/>
            </w:tcMar>
            <w:vAlign w:val="center"/>
          </w:tcPr>
          <w:p w14:paraId="55A77A12" w14:textId="77777777" w:rsidR="006F7EBB" w:rsidRPr="006F7EBB" w:rsidRDefault="006F7EBB" w:rsidP="00E46BB2">
            <w:pPr>
              <w:pStyle w:val="P1"/>
              <w:jc w:val="center"/>
              <w:rPr>
                <w:lang w:val="cs-CZ"/>
              </w:rPr>
            </w:pPr>
            <w:r w:rsidRPr="006F7EBB">
              <w:rPr>
                <w:lang w:val="cs-CZ"/>
              </w:rPr>
              <w:t>2H TaS</w:t>
            </w:r>
            <w:r w:rsidRPr="006F7EBB">
              <w:rPr>
                <w:vertAlign w:val="subscript"/>
                <w:lang w:val="cs-CZ"/>
              </w:rPr>
              <w:t xml:space="preserve">2 </w:t>
            </w:r>
            <w:r w:rsidRPr="006F7EBB">
              <w:rPr>
                <w:lang w:val="cs-CZ"/>
              </w:rPr>
              <w:t>ox.</w:t>
            </w:r>
          </w:p>
        </w:tc>
        <w:tc>
          <w:tcPr>
            <w:tcW w:w="1250" w:type="pct"/>
            <w:tcBorders>
              <w:top w:val="nil"/>
              <w:left w:val="nil"/>
              <w:bottom w:val="nil"/>
              <w:right w:val="nil"/>
            </w:tcBorders>
            <w:tcMar>
              <w:top w:w="15" w:type="dxa"/>
              <w:left w:w="15" w:type="dxa"/>
              <w:bottom w:w="0" w:type="dxa"/>
              <w:right w:w="15" w:type="dxa"/>
            </w:tcMar>
            <w:vAlign w:val="center"/>
          </w:tcPr>
          <w:p w14:paraId="1502D7F0" w14:textId="77777777" w:rsidR="006F7EBB" w:rsidRPr="006F7EBB" w:rsidRDefault="006F7EBB" w:rsidP="00E46BB2">
            <w:pPr>
              <w:pStyle w:val="P1"/>
              <w:jc w:val="center"/>
              <w:rPr>
                <w:lang w:val="cs-CZ"/>
              </w:rPr>
            </w:pPr>
            <w:r w:rsidRPr="006F7EBB">
              <w:rPr>
                <w:lang w:val="cs-CZ"/>
              </w:rPr>
              <w:t>41.8</w:t>
            </w:r>
          </w:p>
        </w:tc>
        <w:tc>
          <w:tcPr>
            <w:tcW w:w="1250" w:type="pct"/>
            <w:tcBorders>
              <w:top w:val="nil"/>
              <w:left w:val="nil"/>
              <w:bottom w:val="nil"/>
              <w:right w:val="nil"/>
            </w:tcBorders>
            <w:tcMar>
              <w:top w:w="15" w:type="dxa"/>
              <w:left w:w="15" w:type="dxa"/>
              <w:bottom w:w="0" w:type="dxa"/>
              <w:right w:w="15" w:type="dxa"/>
            </w:tcMar>
            <w:vAlign w:val="center"/>
          </w:tcPr>
          <w:p w14:paraId="2922CC09" w14:textId="77777777" w:rsidR="006F7EBB" w:rsidRPr="006F7EBB" w:rsidRDefault="006F7EBB" w:rsidP="00E46BB2">
            <w:pPr>
              <w:pStyle w:val="P1"/>
              <w:jc w:val="center"/>
              <w:rPr>
                <w:lang w:val="cs-CZ"/>
              </w:rPr>
            </w:pPr>
            <w:r w:rsidRPr="006F7EBB">
              <w:rPr>
                <w:lang w:val="cs-CZ"/>
              </w:rPr>
              <w:t>58.2</w:t>
            </w:r>
          </w:p>
        </w:tc>
        <w:tc>
          <w:tcPr>
            <w:tcW w:w="1251" w:type="pct"/>
            <w:tcBorders>
              <w:top w:val="nil"/>
              <w:left w:val="nil"/>
              <w:bottom w:val="nil"/>
              <w:right w:val="nil"/>
            </w:tcBorders>
            <w:tcMar>
              <w:top w:w="15" w:type="dxa"/>
              <w:left w:w="15" w:type="dxa"/>
              <w:bottom w:w="0" w:type="dxa"/>
              <w:right w:w="15" w:type="dxa"/>
            </w:tcMar>
            <w:vAlign w:val="center"/>
          </w:tcPr>
          <w:p w14:paraId="36FA3170" w14:textId="77777777" w:rsidR="006F7EBB" w:rsidRPr="006F7EBB" w:rsidRDefault="006F7EBB" w:rsidP="00E46BB2">
            <w:pPr>
              <w:pStyle w:val="P1"/>
              <w:jc w:val="center"/>
              <w:rPr>
                <w:lang w:val="cs-CZ"/>
              </w:rPr>
            </w:pPr>
            <w:r w:rsidRPr="006F7EBB">
              <w:rPr>
                <w:lang w:val="cs-CZ"/>
              </w:rPr>
              <w:t>-</w:t>
            </w:r>
          </w:p>
        </w:tc>
      </w:tr>
      <w:tr w:rsidR="006F7EBB" w:rsidRPr="006F7EBB" w14:paraId="6FFE44D0" w14:textId="77777777" w:rsidTr="00E46BB2">
        <w:trPr>
          <w:trHeight w:hRule="exact" w:val="284"/>
        </w:trPr>
        <w:tc>
          <w:tcPr>
            <w:tcW w:w="1250" w:type="pct"/>
            <w:tcBorders>
              <w:top w:val="nil"/>
              <w:left w:val="nil"/>
              <w:bottom w:val="nil"/>
              <w:right w:val="nil"/>
            </w:tcBorders>
            <w:tcMar>
              <w:top w:w="15" w:type="dxa"/>
              <w:left w:w="15" w:type="dxa"/>
              <w:bottom w:w="0" w:type="dxa"/>
              <w:right w:w="15" w:type="dxa"/>
            </w:tcMar>
            <w:vAlign w:val="center"/>
          </w:tcPr>
          <w:p w14:paraId="49BC8928" w14:textId="77777777" w:rsidR="006F7EBB" w:rsidRPr="006F7EBB" w:rsidRDefault="006F7EBB" w:rsidP="00E46BB2">
            <w:pPr>
              <w:pStyle w:val="P1"/>
              <w:jc w:val="center"/>
              <w:rPr>
                <w:lang w:val="cs-CZ"/>
              </w:rPr>
            </w:pPr>
            <w:r w:rsidRPr="006F7EBB">
              <w:rPr>
                <w:lang w:val="cs-CZ"/>
              </w:rPr>
              <w:t>1T TaS</w:t>
            </w:r>
            <w:r w:rsidRPr="006F7EBB">
              <w:rPr>
                <w:vertAlign w:val="subscript"/>
                <w:lang w:val="cs-CZ"/>
              </w:rPr>
              <w:t>2</w:t>
            </w:r>
          </w:p>
        </w:tc>
        <w:tc>
          <w:tcPr>
            <w:tcW w:w="1250" w:type="pct"/>
            <w:tcBorders>
              <w:top w:val="nil"/>
              <w:left w:val="nil"/>
              <w:bottom w:val="nil"/>
              <w:right w:val="nil"/>
            </w:tcBorders>
            <w:tcMar>
              <w:top w:w="15" w:type="dxa"/>
              <w:left w:w="15" w:type="dxa"/>
              <w:bottom w:w="0" w:type="dxa"/>
              <w:right w:w="15" w:type="dxa"/>
            </w:tcMar>
            <w:vAlign w:val="center"/>
          </w:tcPr>
          <w:p w14:paraId="60E696DA" w14:textId="77777777" w:rsidR="006F7EBB" w:rsidRPr="006F7EBB" w:rsidRDefault="006F7EBB" w:rsidP="00E46BB2">
            <w:pPr>
              <w:pStyle w:val="P1"/>
              <w:jc w:val="center"/>
              <w:rPr>
                <w:lang w:val="cs-CZ"/>
              </w:rPr>
            </w:pPr>
            <w:r w:rsidRPr="006F7EBB">
              <w:rPr>
                <w:lang w:val="cs-CZ"/>
              </w:rPr>
              <w:t>71.8</w:t>
            </w:r>
          </w:p>
        </w:tc>
        <w:tc>
          <w:tcPr>
            <w:tcW w:w="1250" w:type="pct"/>
            <w:tcBorders>
              <w:top w:val="nil"/>
              <w:left w:val="nil"/>
              <w:bottom w:val="nil"/>
              <w:right w:val="nil"/>
            </w:tcBorders>
            <w:tcMar>
              <w:top w:w="15" w:type="dxa"/>
              <w:left w:w="15" w:type="dxa"/>
              <w:bottom w:w="0" w:type="dxa"/>
              <w:right w:w="15" w:type="dxa"/>
            </w:tcMar>
            <w:vAlign w:val="center"/>
          </w:tcPr>
          <w:p w14:paraId="09360270" w14:textId="77777777" w:rsidR="006F7EBB" w:rsidRPr="006F7EBB" w:rsidRDefault="006F7EBB" w:rsidP="00E46BB2">
            <w:pPr>
              <w:pStyle w:val="P1"/>
              <w:jc w:val="center"/>
              <w:rPr>
                <w:lang w:val="cs-CZ"/>
              </w:rPr>
            </w:pPr>
            <w:r w:rsidRPr="006F7EBB">
              <w:rPr>
                <w:lang w:val="cs-CZ"/>
              </w:rPr>
              <w:t>28.2</w:t>
            </w:r>
          </w:p>
        </w:tc>
        <w:tc>
          <w:tcPr>
            <w:tcW w:w="1251" w:type="pct"/>
            <w:tcBorders>
              <w:top w:val="nil"/>
              <w:left w:val="nil"/>
              <w:bottom w:val="nil"/>
              <w:right w:val="nil"/>
            </w:tcBorders>
            <w:tcMar>
              <w:top w:w="15" w:type="dxa"/>
              <w:left w:w="15" w:type="dxa"/>
              <w:bottom w:w="0" w:type="dxa"/>
              <w:right w:w="15" w:type="dxa"/>
            </w:tcMar>
            <w:vAlign w:val="center"/>
          </w:tcPr>
          <w:p w14:paraId="780842F9" w14:textId="77777777" w:rsidR="006F7EBB" w:rsidRPr="006F7EBB" w:rsidRDefault="006F7EBB" w:rsidP="00E46BB2">
            <w:pPr>
              <w:pStyle w:val="P1"/>
              <w:jc w:val="center"/>
              <w:rPr>
                <w:lang w:val="cs-CZ"/>
              </w:rPr>
            </w:pPr>
            <w:r w:rsidRPr="006F7EBB">
              <w:rPr>
                <w:lang w:val="cs-CZ"/>
              </w:rPr>
              <w:t>-</w:t>
            </w:r>
          </w:p>
        </w:tc>
      </w:tr>
      <w:tr w:rsidR="006F7EBB" w:rsidRPr="006F7EBB" w14:paraId="6D3DF454" w14:textId="77777777" w:rsidTr="00E46BB2">
        <w:trPr>
          <w:trHeight w:hRule="exact" w:val="284"/>
        </w:trPr>
        <w:tc>
          <w:tcPr>
            <w:tcW w:w="1250" w:type="pct"/>
            <w:tcBorders>
              <w:top w:val="nil"/>
              <w:left w:val="nil"/>
              <w:bottom w:val="nil"/>
              <w:right w:val="nil"/>
            </w:tcBorders>
            <w:tcMar>
              <w:top w:w="15" w:type="dxa"/>
              <w:left w:w="15" w:type="dxa"/>
              <w:bottom w:w="0" w:type="dxa"/>
              <w:right w:w="15" w:type="dxa"/>
            </w:tcMar>
            <w:vAlign w:val="center"/>
          </w:tcPr>
          <w:p w14:paraId="08A2D13C" w14:textId="77777777" w:rsidR="006F7EBB" w:rsidRPr="006F7EBB" w:rsidRDefault="006F7EBB" w:rsidP="00E46BB2">
            <w:pPr>
              <w:pStyle w:val="P1"/>
              <w:jc w:val="center"/>
              <w:rPr>
                <w:lang w:val="cs-CZ"/>
              </w:rPr>
            </w:pPr>
            <w:r w:rsidRPr="006F7EBB">
              <w:rPr>
                <w:lang w:val="cs-CZ"/>
              </w:rPr>
              <w:t>1T TaS</w:t>
            </w:r>
            <w:r w:rsidRPr="006F7EBB">
              <w:rPr>
                <w:vertAlign w:val="subscript"/>
                <w:lang w:val="cs-CZ"/>
              </w:rPr>
              <w:t>2</w:t>
            </w:r>
            <w:r w:rsidRPr="006F7EBB">
              <w:rPr>
                <w:lang w:val="cs-CZ"/>
              </w:rPr>
              <w:t xml:space="preserve"> red.</w:t>
            </w:r>
          </w:p>
        </w:tc>
        <w:tc>
          <w:tcPr>
            <w:tcW w:w="1250" w:type="pct"/>
            <w:tcBorders>
              <w:top w:val="nil"/>
              <w:left w:val="nil"/>
              <w:bottom w:val="nil"/>
              <w:right w:val="nil"/>
            </w:tcBorders>
            <w:tcMar>
              <w:top w:w="15" w:type="dxa"/>
              <w:left w:w="15" w:type="dxa"/>
              <w:bottom w:w="0" w:type="dxa"/>
              <w:right w:w="15" w:type="dxa"/>
            </w:tcMar>
            <w:vAlign w:val="center"/>
          </w:tcPr>
          <w:p w14:paraId="69418D09" w14:textId="77777777" w:rsidR="006F7EBB" w:rsidRPr="006F7EBB" w:rsidRDefault="006F7EBB" w:rsidP="00E46BB2">
            <w:pPr>
              <w:pStyle w:val="P1"/>
              <w:jc w:val="center"/>
              <w:rPr>
                <w:lang w:val="cs-CZ"/>
              </w:rPr>
            </w:pPr>
            <w:r w:rsidRPr="006F7EBB">
              <w:rPr>
                <w:lang w:val="cs-CZ"/>
              </w:rPr>
              <w:t>31.7</w:t>
            </w:r>
          </w:p>
        </w:tc>
        <w:tc>
          <w:tcPr>
            <w:tcW w:w="1250" w:type="pct"/>
            <w:tcBorders>
              <w:top w:val="nil"/>
              <w:left w:val="nil"/>
              <w:bottom w:val="nil"/>
              <w:right w:val="nil"/>
            </w:tcBorders>
            <w:tcMar>
              <w:top w:w="15" w:type="dxa"/>
              <w:left w:w="15" w:type="dxa"/>
              <w:bottom w:w="0" w:type="dxa"/>
              <w:right w:w="15" w:type="dxa"/>
            </w:tcMar>
            <w:vAlign w:val="center"/>
          </w:tcPr>
          <w:p w14:paraId="12CC92D9" w14:textId="77777777" w:rsidR="006F7EBB" w:rsidRPr="006F7EBB" w:rsidRDefault="006F7EBB" w:rsidP="00E46BB2">
            <w:pPr>
              <w:pStyle w:val="P1"/>
              <w:jc w:val="center"/>
              <w:rPr>
                <w:lang w:val="cs-CZ"/>
              </w:rPr>
            </w:pPr>
            <w:r w:rsidRPr="006F7EBB">
              <w:rPr>
                <w:lang w:val="cs-CZ"/>
              </w:rPr>
              <w:t>47.1</w:t>
            </w:r>
          </w:p>
        </w:tc>
        <w:tc>
          <w:tcPr>
            <w:tcW w:w="1251" w:type="pct"/>
            <w:tcBorders>
              <w:top w:val="nil"/>
              <w:left w:val="nil"/>
              <w:bottom w:val="nil"/>
              <w:right w:val="nil"/>
            </w:tcBorders>
            <w:tcMar>
              <w:top w:w="15" w:type="dxa"/>
              <w:left w:w="15" w:type="dxa"/>
              <w:bottom w:w="0" w:type="dxa"/>
              <w:right w:w="15" w:type="dxa"/>
            </w:tcMar>
            <w:vAlign w:val="center"/>
          </w:tcPr>
          <w:p w14:paraId="4D2A5CFB" w14:textId="77777777" w:rsidR="006F7EBB" w:rsidRPr="006F7EBB" w:rsidRDefault="006F7EBB" w:rsidP="00E46BB2">
            <w:pPr>
              <w:pStyle w:val="P1"/>
              <w:jc w:val="center"/>
              <w:rPr>
                <w:lang w:val="cs-CZ"/>
              </w:rPr>
            </w:pPr>
            <w:r w:rsidRPr="006F7EBB">
              <w:rPr>
                <w:lang w:val="cs-CZ"/>
              </w:rPr>
              <w:t>21.2</w:t>
            </w:r>
          </w:p>
        </w:tc>
      </w:tr>
      <w:tr w:rsidR="00E46BB2" w:rsidRPr="006F7EBB" w14:paraId="0C4CA30B" w14:textId="77777777" w:rsidTr="00E46BB2">
        <w:trPr>
          <w:trHeight w:hRule="exact" w:val="284"/>
        </w:trPr>
        <w:tc>
          <w:tcPr>
            <w:tcW w:w="1250" w:type="pct"/>
            <w:tcBorders>
              <w:top w:val="nil"/>
              <w:left w:val="nil"/>
              <w:bottom w:val="single" w:sz="12" w:space="0" w:color="000000"/>
              <w:right w:val="nil"/>
            </w:tcBorders>
            <w:tcMar>
              <w:top w:w="15" w:type="dxa"/>
              <w:left w:w="15" w:type="dxa"/>
              <w:bottom w:w="0" w:type="dxa"/>
              <w:right w:w="15" w:type="dxa"/>
            </w:tcMar>
            <w:vAlign w:val="center"/>
          </w:tcPr>
          <w:p w14:paraId="7CD330F9" w14:textId="77777777" w:rsidR="006F7EBB" w:rsidRPr="006F7EBB" w:rsidRDefault="006F7EBB" w:rsidP="00E46BB2">
            <w:pPr>
              <w:pStyle w:val="P1"/>
              <w:jc w:val="center"/>
              <w:rPr>
                <w:lang w:val="cs-CZ"/>
              </w:rPr>
            </w:pPr>
            <w:r w:rsidRPr="006F7EBB">
              <w:rPr>
                <w:lang w:val="cs-CZ"/>
              </w:rPr>
              <w:t>1T TaS</w:t>
            </w:r>
            <w:r w:rsidRPr="006F7EBB">
              <w:rPr>
                <w:vertAlign w:val="subscript"/>
                <w:lang w:val="cs-CZ"/>
              </w:rPr>
              <w:t>2</w:t>
            </w:r>
            <w:r w:rsidRPr="006F7EBB">
              <w:rPr>
                <w:lang w:val="cs-CZ"/>
              </w:rPr>
              <w:t xml:space="preserve"> ox.</w:t>
            </w:r>
          </w:p>
        </w:tc>
        <w:tc>
          <w:tcPr>
            <w:tcW w:w="1250" w:type="pct"/>
            <w:tcBorders>
              <w:top w:val="nil"/>
              <w:left w:val="nil"/>
              <w:bottom w:val="single" w:sz="12" w:space="0" w:color="000000"/>
              <w:right w:val="nil"/>
            </w:tcBorders>
            <w:tcMar>
              <w:top w:w="15" w:type="dxa"/>
              <w:left w:w="15" w:type="dxa"/>
              <w:bottom w:w="0" w:type="dxa"/>
              <w:right w:w="15" w:type="dxa"/>
            </w:tcMar>
            <w:vAlign w:val="center"/>
          </w:tcPr>
          <w:p w14:paraId="4D0AC767" w14:textId="77777777" w:rsidR="006F7EBB" w:rsidRPr="006F7EBB" w:rsidRDefault="006F7EBB" w:rsidP="00E46BB2">
            <w:pPr>
              <w:pStyle w:val="P1"/>
              <w:jc w:val="center"/>
              <w:rPr>
                <w:lang w:val="cs-CZ"/>
              </w:rPr>
            </w:pPr>
            <w:r w:rsidRPr="006F7EBB">
              <w:rPr>
                <w:lang w:val="cs-CZ"/>
              </w:rPr>
              <w:t>44.5</w:t>
            </w:r>
          </w:p>
        </w:tc>
        <w:tc>
          <w:tcPr>
            <w:tcW w:w="1250" w:type="pct"/>
            <w:tcBorders>
              <w:top w:val="nil"/>
              <w:left w:val="nil"/>
              <w:bottom w:val="single" w:sz="12" w:space="0" w:color="000000"/>
              <w:right w:val="nil"/>
            </w:tcBorders>
            <w:tcMar>
              <w:top w:w="15" w:type="dxa"/>
              <w:left w:w="15" w:type="dxa"/>
              <w:bottom w:w="0" w:type="dxa"/>
              <w:right w:w="15" w:type="dxa"/>
            </w:tcMar>
            <w:vAlign w:val="center"/>
          </w:tcPr>
          <w:p w14:paraId="31909981" w14:textId="77777777" w:rsidR="006F7EBB" w:rsidRPr="006F7EBB" w:rsidRDefault="006F7EBB" w:rsidP="00E46BB2">
            <w:pPr>
              <w:pStyle w:val="P1"/>
              <w:jc w:val="center"/>
              <w:rPr>
                <w:lang w:val="cs-CZ"/>
              </w:rPr>
            </w:pPr>
            <w:r w:rsidRPr="006F7EBB">
              <w:rPr>
                <w:lang w:val="cs-CZ"/>
              </w:rPr>
              <w:t>55.5</w:t>
            </w:r>
          </w:p>
        </w:tc>
        <w:tc>
          <w:tcPr>
            <w:tcW w:w="1251" w:type="pct"/>
            <w:tcBorders>
              <w:top w:val="nil"/>
              <w:left w:val="nil"/>
              <w:bottom w:val="single" w:sz="12" w:space="0" w:color="000000"/>
              <w:right w:val="nil"/>
            </w:tcBorders>
            <w:tcMar>
              <w:top w:w="15" w:type="dxa"/>
              <w:left w:w="15" w:type="dxa"/>
              <w:bottom w:w="0" w:type="dxa"/>
              <w:right w:w="15" w:type="dxa"/>
            </w:tcMar>
            <w:vAlign w:val="center"/>
          </w:tcPr>
          <w:p w14:paraId="135DB099" w14:textId="77777777" w:rsidR="006F7EBB" w:rsidRPr="006F7EBB" w:rsidRDefault="006F7EBB" w:rsidP="00E46BB2">
            <w:pPr>
              <w:pStyle w:val="P1"/>
              <w:jc w:val="center"/>
              <w:rPr>
                <w:lang w:val="cs-CZ"/>
              </w:rPr>
            </w:pPr>
            <w:r w:rsidRPr="006F7EBB">
              <w:rPr>
                <w:lang w:val="cs-CZ"/>
              </w:rPr>
              <w:t>-</w:t>
            </w:r>
          </w:p>
        </w:tc>
      </w:tr>
    </w:tbl>
    <w:p w14:paraId="73179F14" w14:textId="77777777" w:rsidR="006F7EBB" w:rsidRPr="006F7EBB" w:rsidRDefault="006F7EBB" w:rsidP="006F7EBB">
      <w:pPr>
        <w:pStyle w:val="P1"/>
      </w:pPr>
    </w:p>
    <w:p w14:paraId="6C3ECA68" w14:textId="77777777" w:rsidR="006F7EBB" w:rsidRPr="006F7EBB" w:rsidRDefault="006F7EBB" w:rsidP="00E46BB2">
      <w:pPr>
        <w:pStyle w:val="P1"/>
        <w:ind w:firstLine="425"/>
      </w:pPr>
      <w:r w:rsidRPr="006F7EBB">
        <w:t>Inherent electrochemistry, which reveals intrinsic redox properties of the electrode material in an electrolyte, is an essential tool in terms of identifying the potential window in which the material can operate.</w:t>
      </w:r>
      <w:r w:rsidRPr="006F7EBB">
        <w:rPr>
          <w:vertAlign w:val="superscript"/>
        </w:rPr>
        <w:t>[23]</w:t>
      </w:r>
      <w:r w:rsidRPr="006F7EBB">
        <w:t xml:space="preserve"> Additionally it provides information about the oxidizable/reducible species present on the surface of the material under examination. This information can be then used in an attempt to activate the material, by oxidation or reduction, for all kinds of purposes including catalysis or sensing applications</w:t>
      </w:r>
      <w:proofErr w:type="gramStart"/>
      <w:r w:rsidRPr="006F7EBB">
        <w:t>.</w:t>
      </w:r>
      <w:r w:rsidRPr="006F7EBB">
        <w:rPr>
          <w:vertAlign w:val="superscript"/>
        </w:rPr>
        <w:t>[</w:t>
      </w:r>
      <w:proofErr w:type="gramEnd"/>
      <w:r w:rsidRPr="006F7EBB">
        <w:rPr>
          <w:vertAlign w:val="superscript"/>
        </w:rPr>
        <w:t>20]</w:t>
      </w:r>
      <w:r w:rsidRPr="006F7EBB">
        <w:t xml:space="preserve"> We performed both anodic and cathodic scans with results shown in </w:t>
      </w:r>
      <w:r w:rsidRPr="006F7EBB">
        <w:rPr>
          <w:b/>
        </w:rPr>
        <w:t>Figure 6</w:t>
      </w:r>
      <w:r w:rsidRPr="006F7EBB">
        <w:t>.</w:t>
      </w:r>
    </w:p>
    <w:p w14:paraId="3FE7F9A2" w14:textId="77777777" w:rsidR="006F7EBB" w:rsidRPr="006F7EBB" w:rsidRDefault="006F7EBB" w:rsidP="006F7EBB">
      <w:pPr>
        <w:pStyle w:val="P1"/>
        <w:rPr>
          <w:b/>
        </w:rPr>
      </w:pPr>
    </w:p>
    <w:p w14:paraId="41608D73" w14:textId="77777777" w:rsidR="006F7EBB" w:rsidRPr="00BB3C34" w:rsidRDefault="006F7EBB" w:rsidP="006F7EBB">
      <w:pPr>
        <w:pStyle w:val="P1"/>
        <w:rPr>
          <w:sz w:val="14"/>
          <w:szCs w:val="14"/>
        </w:rPr>
      </w:pPr>
      <w:r w:rsidRPr="00BB3C34">
        <w:rPr>
          <w:b/>
          <w:sz w:val="14"/>
          <w:szCs w:val="14"/>
        </w:rPr>
        <w:t xml:space="preserve">Figure 6. </w:t>
      </w:r>
      <w:r w:rsidRPr="00BB3C34">
        <w:rPr>
          <w:sz w:val="14"/>
          <w:szCs w:val="14"/>
        </w:rPr>
        <w:t>Inherent electrochemistry of 2H TaS</w:t>
      </w:r>
      <w:r w:rsidRPr="00BB3C34">
        <w:rPr>
          <w:sz w:val="14"/>
          <w:szCs w:val="14"/>
          <w:vertAlign w:val="subscript"/>
        </w:rPr>
        <w:t>2</w:t>
      </w:r>
      <w:r w:rsidRPr="00BB3C34">
        <w:rPr>
          <w:sz w:val="14"/>
          <w:szCs w:val="14"/>
        </w:rPr>
        <w:t xml:space="preserve"> and 1T TaS</w:t>
      </w:r>
      <w:r w:rsidRPr="00BB3C34">
        <w:rPr>
          <w:sz w:val="14"/>
          <w:szCs w:val="14"/>
          <w:vertAlign w:val="subscript"/>
        </w:rPr>
        <w:t>2</w:t>
      </w:r>
      <w:r w:rsidRPr="00BB3C34">
        <w:rPr>
          <w:sz w:val="14"/>
          <w:szCs w:val="14"/>
        </w:rPr>
        <w:t xml:space="preserve"> in anodic and cathodic scan directions. Measurements were performed in an Ar purged 50 mM PBS, scan rate 100 mV/s.</w:t>
      </w:r>
    </w:p>
    <w:p w14:paraId="301F4733" w14:textId="77777777" w:rsidR="006F7EBB" w:rsidRPr="006F7EBB" w:rsidRDefault="006F7EBB" w:rsidP="006F7EBB">
      <w:pPr>
        <w:pStyle w:val="P1"/>
        <w:rPr>
          <w:b/>
        </w:rPr>
      </w:pPr>
    </w:p>
    <w:p w14:paraId="3AFB41E0" w14:textId="77777777" w:rsidR="006F7EBB" w:rsidRPr="006F7EBB" w:rsidRDefault="006F7EBB" w:rsidP="00E46BB2">
      <w:pPr>
        <w:pStyle w:val="P1"/>
        <w:ind w:firstLine="425"/>
      </w:pPr>
      <w:r w:rsidRPr="006F7EBB">
        <w:t>A strong oxidation peak at ca. 0.25V with a slight shoulder peak at ca. -0.6V emerged when anodic potentials were firstly applied to 2H TaS</w:t>
      </w:r>
      <w:r w:rsidRPr="006F7EBB">
        <w:rPr>
          <w:vertAlign w:val="subscript"/>
        </w:rPr>
        <w:t>2</w:t>
      </w:r>
      <w:r w:rsidRPr="006F7EBB">
        <w:t>. However, the oxidation peak disappeared in subsequent scans indicating that the first oxidation on the surface of 2H TaS</w:t>
      </w:r>
      <w:r w:rsidRPr="006F7EBB">
        <w:rPr>
          <w:vertAlign w:val="subscript"/>
        </w:rPr>
        <w:t>2</w:t>
      </w:r>
      <w:r w:rsidRPr="006F7EBB">
        <w:t xml:space="preserve"> led to a formation of irreducible species, which prohibited any further reduction or limit it only to a small extent attributable to the reduction peak at -0.6V. To shed more light onto this issue, XPS measurements after oxidation or reduction of both 1T and 2H TaS</w:t>
      </w:r>
      <w:r w:rsidRPr="006F7EBB">
        <w:rPr>
          <w:vertAlign w:val="subscript"/>
        </w:rPr>
        <w:t>2</w:t>
      </w:r>
      <w:r w:rsidRPr="006F7EBB">
        <w:t xml:space="preserve"> were performed (</w:t>
      </w:r>
      <w:r w:rsidRPr="006F7EBB">
        <w:rPr>
          <w:b/>
        </w:rPr>
        <w:t>Figure 5</w:t>
      </w:r>
      <w:r w:rsidRPr="006F7EBB">
        <w:t>). The increase in intensity of peaks formerly attributed to Ta</w:t>
      </w:r>
      <w:r w:rsidRPr="006F7EBB">
        <w:rPr>
          <w:vertAlign w:val="superscript"/>
        </w:rPr>
        <w:t>V</w:t>
      </w:r>
      <w:r w:rsidRPr="006F7EBB">
        <w:t xml:space="preserve"> suggests that the oxidation at 0.25V is related to oxidation of 2H TaS</w:t>
      </w:r>
      <w:r w:rsidRPr="006F7EBB">
        <w:rPr>
          <w:vertAlign w:val="subscript"/>
        </w:rPr>
        <w:t>2</w:t>
      </w:r>
      <w:r w:rsidRPr="006F7EBB">
        <w:t xml:space="preserve"> surface into Ta</w:t>
      </w:r>
      <w:r w:rsidRPr="006F7EBB">
        <w:rPr>
          <w:vertAlign w:val="subscript"/>
        </w:rPr>
        <w:t>2</w:t>
      </w:r>
      <w:r w:rsidRPr="006F7EBB">
        <w:t>O</w:t>
      </w:r>
      <w:r w:rsidRPr="006F7EBB">
        <w:rPr>
          <w:vertAlign w:val="subscript"/>
        </w:rPr>
        <w:t>5</w:t>
      </w:r>
      <w:r w:rsidRPr="006F7EBB">
        <w:t>. Cathodic scan of 2H TaS</w:t>
      </w:r>
      <w:r w:rsidRPr="006F7EBB">
        <w:rPr>
          <w:vertAlign w:val="subscript"/>
        </w:rPr>
        <w:t>2</w:t>
      </w:r>
      <w:r w:rsidRPr="006F7EBB">
        <w:t xml:space="preserve">, on the contrary, revealed several reduction peaks at ca. -0.1V, -1.05V and a shoulder peak at ca. -1.4V followed by an oxidation peak at ca. 0.25V. The presence of these peaks suggests, that </w:t>
      </w:r>
      <w:proofErr w:type="gramStart"/>
      <w:r w:rsidRPr="006F7EBB">
        <w:t>a variety of reducible moieties are</w:t>
      </w:r>
      <w:proofErr w:type="gramEnd"/>
      <w:r w:rsidRPr="006F7EBB">
        <w:t xml:space="preserve"> present on the surface of an unoxidized 2H TaS</w:t>
      </w:r>
      <w:r w:rsidRPr="006F7EBB">
        <w:rPr>
          <w:vertAlign w:val="subscript"/>
        </w:rPr>
        <w:t>2</w:t>
      </w:r>
      <w:r w:rsidRPr="006F7EBB">
        <w:t xml:space="preserve"> surface. Sweeping back into positive potentials resulted in the same oxidation peak observed for anodic scan. Interestingly, all the reduction peaks observed in the first scan vanish and only inconspicuous reduction peak at ca. -0.6 V emerges. This suggests that the product of oxidation (e.g. Ta</w:t>
      </w:r>
      <w:r w:rsidRPr="006F7EBB">
        <w:rPr>
          <w:vertAlign w:val="subscript"/>
        </w:rPr>
        <w:t>2</w:t>
      </w:r>
      <w:r w:rsidRPr="006F7EBB">
        <w:t>O</w:t>
      </w:r>
      <w:r w:rsidRPr="006F7EBB">
        <w:rPr>
          <w:vertAlign w:val="subscript"/>
        </w:rPr>
        <w:t>5</w:t>
      </w:r>
      <w:r w:rsidRPr="006F7EBB">
        <w:t>) at 0.25V is insoluble and blocks the surface of 2H TaS</w:t>
      </w:r>
      <w:r w:rsidRPr="006F7EBB">
        <w:rPr>
          <w:vertAlign w:val="subscript"/>
        </w:rPr>
        <w:t>2</w:t>
      </w:r>
      <w:r w:rsidRPr="006F7EBB">
        <w:t>. The fact that oxidation occurs even after several reduction reactions seen in the cathodic scan could be explained in two ways: the products of reduction are either soluble or they oxidize into Ta</w:t>
      </w:r>
      <w:r w:rsidRPr="006F7EBB">
        <w:rPr>
          <w:vertAlign w:val="subscript"/>
        </w:rPr>
        <w:t>2</w:t>
      </w:r>
      <w:r w:rsidRPr="006F7EBB">
        <w:t>O</w:t>
      </w:r>
      <w:r w:rsidRPr="006F7EBB">
        <w:rPr>
          <w:vertAlign w:val="subscript"/>
        </w:rPr>
        <w:t>5</w:t>
      </w:r>
      <w:r w:rsidRPr="006F7EBB">
        <w:t>. Based on the oxidation peak profile, which is broader than that seen in anodic scan, the latter is likely to occur. Because different species can be oxidized at slightly different potentials, the broader peak profile can be a result of such phenomenon. Additional information was obtained from XPS performed after reduction of 2H TaS</w:t>
      </w:r>
      <w:r w:rsidRPr="006F7EBB">
        <w:rPr>
          <w:vertAlign w:val="subscript"/>
        </w:rPr>
        <w:t xml:space="preserve">2 </w:t>
      </w:r>
      <w:r w:rsidRPr="006F7EBB">
        <w:t>(</w:t>
      </w:r>
      <w:r w:rsidRPr="006F7EBB">
        <w:rPr>
          <w:b/>
        </w:rPr>
        <w:t>Figure 5</w:t>
      </w:r>
      <w:r w:rsidRPr="006F7EBB">
        <w:t>). Surprisingly an increase in concentration of Ta</w:t>
      </w:r>
      <w:r w:rsidRPr="006F7EBB">
        <w:rPr>
          <w:vertAlign w:val="superscript"/>
        </w:rPr>
        <w:t>V</w:t>
      </w:r>
      <w:r w:rsidRPr="006F7EBB">
        <w:t xml:space="preserve"> was observed together with a new pair attributed to Ta</w:t>
      </w:r>
      <w:r w:rsidRPr="006F7EBB">
        <w:rPr>
          <w:vertAlign w:val="superscript"/>
        </w:rPr>
        <w:t>0</w:t>
      </w:r>
      <w:r w:rsidRPr="006F7EBB">
        <w:t>. From this we conclude that some of the reduction peaks lead to reduction to elemental tantalum while the others are a result of different reduction processes leading to formation of unstable products which later oxidize to Ta</w:t>
      </w:r>
      <w:r w:rsidRPr="006F7EBB">
        <w:rPr>
          <w:vertAlign w:val="superscript"/>
        </w:rPr>
        <w:t>V</w:t>
      </w:r>
      <w:r w:rsidRPr="006F7EBB">
        <w:t xml:space="preserve"> species. This is in good agreement with the fact, that some of tantalum compounds are unstable and easily oxidize to Ta</w:t>
      </w:r>
      <w:r w:rsidRPr="006F7EBB">
        <w:rPr>
          <w:vertAlign w:val="subscript"/>
        </w:rPr>
        <w:t>2</w:t>
      </w:r>
      <w:r w:rsidRPr="006F7EBB">
        <w:t>O</w:t>
      </w:r>
      <w:r w:rsidRPr="006F7EBB">
        <w:rPr>
          <w:vertAlign w:val="subscript"/>
        </w:rPr>
        <w:t>5</w:t>
      </w:r>
      <w:r w:rsidRPr="006F7EBB">
        <w:t xml:space="preserve"> since the Ta</w:t>
      </w:r>
      <w:r w:rsidRPr="006F7EBB">
        <w:rPr>
          <w:vertAlign w:val="superscript"/>
        </w:rPr>
        <w:t>V</w:t>
      </w:r>
      <w:r w:rsidRPr="006F7EBB">
        <w:t xml:space="preserve"> is the most stable oxidation state of tantalum.</w:t>
      </w:r>
    </w:p>
    <w:p w14:paraId="541AF9C1" w14:textId="77777777" w:rsidR="006F7EBB" w:rsidRPr="006F7EBB" w:rsidRDefault="006F7EBB" w:rsidP="00E46BB2">
      <w:pPr>
        <w:pStyle w:val="P1"/>
        <w:ind w:firstLine="425"/>
      </w:pPr>
      <w:r w:rsidRPr="006F7EBB">
        <w:t>Several differences can be seen in the case of 1T TaS</w:t>
      </w:r>
      <w:r w:rsidRPr="006F7EBB">
        <w:rPr>
          <w:vertAlign w:val="subscript"/>
        </w:rPr>
        <w:t>2</w:t>
      </w:r>
      <w:r w:rsidRPr="006F7EBB">
        <w:t xml:space="preserve"> inherent electrochemistry. First of all, the oxidation observed in the anodic scan of 2H TaS</w:t>
      </w:r>
      <w:r w:rsidRPr="006F7EBB">
        <w:rPr>
          <w:vertAlign w:val="subscript"/>
        </w:rPr>
        <w:t>2</w:t>
      </w:r>
      <w:r w:rsidRPr="006F7EBB">
        <w:t xml:space="preserve"> now splits into two separate peaks with a maximum at ca. 0.25V and 0.5V. Similarly to 2H TaS</w:t>
      </w:r>
      <w:r w:rsidRPr="006F7EBB">
        <w:rPr>
          <w:vertAlign w:val="subscript"/>
        </w:rPr>
        <w:t>2</w:t>
      </w:r>
      <w:r w:rsidRPr="006F7EBB">
        <w:t xml:space="preserve"> this oxidation is followed by an inconspicuous reduction peak at ca -0.5V. One possible explanation is that basal plane and edge plane are oxidized at slightly different potentials, which is the case of MoS</w:t>
      </w:r>
      <w:r w:rsidRPr="006F7EBB">
        <w:rPr>
          <w:vertAlign w:val="subscript"/>
        </w:rPr>
        <w:t>2</w:t>
      </w:r>
      <w:r w:rsidRPr="006F7EBB">
        <w:t>.</w:t>
      </w:r>
      <w:r w:rsidRPr="006F7EBB">
        <w:rPr>
          <w:vertAlign w:val="superscript"/>
        </w:rPr>
        <w:t>[24]</w:t>
      </w:r>
      <w:r w:rsidRPr="006F7EBB">
        <w:t xml:space="preserve"> The XPS results after oxidation (</w:t>
      </w:r>
      <w:r w:rsidRPr="006F7EBB">
        <w:rPr>
          <w:b/>
        </w:rPr>
        <w:t>Figure 5</w:t>
      </w:r>
      <w:r w:rsidRPr="006F7EBB">
        <w:t>) reveal the same results as in the case 2H TaS</w:t>
      </w:r>
      <w:r w:rsidRPr="006F7EBB">
        <w:rPr>
          <w:vertAlign w:val="subscript"/>
        </w:rPr>
        <w:t>2</w:t>
      </w:r>
      <w:r w:rsidRPr="006F7EBB">
        <w:t xml:space="preserve"> suggesting the formation of insoluble Ta</w:t>
      </w:r>
      <w:r w:rsidRPr="006F7EBB">
        <w:rPr>
          <w:vertAlign w:val="subscript"/>
        </w:rPr>
        <w:t>2</w:t>
      </w:r>
      <w:r w:rsidRPr="006F7EBB">
        <w:t>O</w:t>
      </w:r>
      <w:r w:rsidRPr="006F7EBB">
        <w:rPr>
          <w:vertAlign w:val="subscript"/>
        </w:rPr>
        <w:t>5</w:t>
      </w:r>
      <w:r w:rsidRPr="006F7EBB">
        <w:t xml:space="preserve"> on the surface of 1T TaS</w:t>
      </w:r>
      <w:r w:rsidRPr="006F7EBB">
        <w:rPr>
          <w:vertAlign w:val="subscript"/>
        </w:rPr>
        <w:t>2</w:t>
      </w:r>
      <w:r w:rsidRPr="006F7EBB">
        <w:t>. Differences can be also seen in the cathodic scan of 1T TaS</w:t>
      </w:r>
      <w:r w:rsidRPr="006F7EBB">
        <w:rPr>
          <w:vertAlign w:val="subscript"/>
        </w:rPr>
        <w:t>2</w:t>
      </w:r>
      <w:r w:rsidRPr="006F7EBB">
        <w:t>. Unlike the case of 2H TaS</w:t>
      </w:r>
      <w:r w:rsidRPr="006F7EBB">
        <w:rPr>
          <w:vertAlign w:val="subscript"/>
        </w:rPr>
        <w:t>2</w:t>
      </w:r>
      <w:r w:rsidRPr="006F7EBB">
        <w:t>, reduction peaks at -0.1V and -1.05V are absent and a new peak at -0.73V emerged. The only match in cathodic scans is a shoulder reduction peak at ca. -1.4V. No subsequent oxidation occurs in the case of 1T TaS</w:t>
      </w:r>
      <w:r w:rsidRPr="006F7EBB">
        <w:rPr>
          <w:vertAlign w:val="subscript"/>
        </w:rPr>
        <w:t>2</w:t>
      </w:r>
      <w:r w:rsidRPr="006F7EBB">
        <w:t>. This indicates that reduction of 1T TaS</w:t>
      </w:r>
      <w:r w:rsidRPr="006F7EBB">
        <w:rPr>
          <w:vertAlign w:val="subscript"/>
        </w:rPr>
        <w:t>2</w:t>
      </w:r>
      <w:r w:rsidRPr="006F7EBB">
        <w:t xml:space="preserve"> leads to a formation of species that cannot be re-oxidizied. The XPS measured after reduction of 1T TaS</w:t>
      </w:r>
      <w:r w:rsidRPr="006F7EBB">
        <w:rPr>
          <w:vertAlign w:val="subscript"/>
        </w:rPr>
        <w:t>2</w:t>
      </w:r>
      <w:r w:rsidRPr="006F7EBB">
        <w:t xml:space="preserve"> gave a similar result as for the 2H TaS</w:t>
      </w:r>
      <w:r w:rsidRPr="006F7EBB">
        <w:rPr>
          <w:vertAlign w:val="subscript"/>
        </w:rPr>
        <w:t xml:space="preserve">2 </w:t>
      </w:r>
      <w:r w:rsidRPr="006F7EBB">
        <w:t>(</w:t>
      </w:r>
      <w:r w:rsidRPr="006F7EBB">
        <w:rPr>
          <w:b/>
        </w:rPr>
        <w:t>Figure 5</w:t>
      </w:r>
      <w:r w:rsidRPr="006F7EBB">
        <w:t>), however, the absence of oxidation and reduction peaks in subsequent scans suggests that other products are formed in the case of 1T TaS</w:t>
      </w:r>
      <w:r w:rsidRPr="006F7EBB">
        <w:rPr>
          <w:vertAlign w:val="subscript"/>
        </w:rPr>
        <w:t>2</w:t>
      </w:r>
      <w:r w:rsidRPr="006F7EBB">
        <w:t>.</w:t>
      </w:r>
    </w:p>
    <w:p w14:paraId="29EC309D" w14:textId="77777777" w:rsidR="006F7EBB" w:rsidRPr="006F7EBB" w:rsidRDefault="00E46BB2" w:rsidP="00E46BB2">
      <w:pPr>
        <w:pStyle w:val="P1"/>
        <w:ind w:firstLine="425"/>
      </w:pPr>
      <w:r w:rsidRPr="00B20836">
        <w:rPr>
          <w:b/>
          <w:noProof/>
          <w:lang w:val="en-GB" w:eastAsia="en-GB"/>
        </w:rPr>
        <w:drawing>
          <wp:anchor distT="0" distB="0" distL="114300" distR="114300" simplePos="0" relativeHeight="251673088" behindDoc="0" locked="0" layoutInCell="1" allowOverlap="1" wp14:anchorId="1343E415" wp14:editId="2E91C768">
            <wp:simplePos x="0" y="0"/>
            <wp:positionH relativeFrom="column">
              <wp:posOffset>3303905</wp:posOffset>
            </wp:positionH>
            <wp:positionV relativeFrom="paragraph">
              <wp:posOffset>-4942840</wp:posOffset>
            </wp:positionV>
            <wp:extent cx="3114675" cy="2237105"/>
            <wp:effectExtent l="0" t="0" r="9525" b="0"/>
            <wp:wrapTopAndBottom/>
            <wp:docPr id="2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4675" cy="22371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F7EBB" w:rsidRPr="006F7EBB">
        <w:t>Another important property of an electrode material is the heterogeneous electron transfer (HET) rate, which is an important parameter due to the fact that high HET rate is desirable in electrochemical and biosensing devices.</w:t>
      </w:r>
      <w:r w:rsidR="006F7EBB" w:rsidRPr="006F7EBB">
        <w:rPr>
          <w:vertAlign w:val="superscript"/>
        </w:rPr>
        <w:t>[4b]</w:t>
      </w:r>
      <w:r w:rsidR="006F7EBB" w:rsidRPr="006F7EBB">
        <w:t xml:space="preserve"> Ferrocyanide/ferricyanide redox probe has been shown to be suitable for these purposes in other similar materials such as graphene or other TMDs.</w:t>
      </w:r>
      <w:r w:rsidR="006F7EBB" w:rsidRPr="006F7EBB">
        <w:rPr>
          <w:vertAlign w:val="superscript"/>
        </w:rPr>
        <w:t>[4b, 25]</w:t>
      </w:r>
      <w:r w:rsidR="006F7EBB" w:rsidRPr="006F7EBB">
        <w:t xml:space="preserve"> This method is based on Nicholson’s approach and utilizes several experimental parameters together with a peak-to-peak separation (∆E) of ferrocyanide/ferricyanide probe to determine the rate constant.</w:t>
      </w:r>
      <w:r w:rsidR="006F7EBB" w:rsidRPr="006F7EBB">
        <w:rPr>
          <w:vertAlign w:val="superscript"/>
        </w:rPr>
        <w:t>[26]</w:t>
      </w:r>
      <w:r w:rsidR="006F7EBB" w:rsidRPr="006F7EBB">
        <w:t xml:space="preserve"> In this work we measured the HET rate in a 5 mM ferrocyanide/ferricyanide solution in 50 mM PBS. Triplicate measurements (each with a new portion of material) were performed and an average value of ∆E was used to calculate the k</w:t>
      </w:r>
      <w:r w:rsidR="006F7EBB" w:rsidRPr="006F7EBB">
        <w:rPr>
          <w:vertAlign w:val="superscript"/>
        </w:rPr>
        <w:t>0</w:t>
      </w:r>
      <w:r w:rsidR="006F7EBB" w:rsidRPr="006F7EBB">
        <w:rPr>
          <w:vertAlign w:val="subscript"/>
        </w:rPr>
        <w:t>obs</w:t>
      </w:r>
      <w:r w:rsidR="006F7EBB" w:rsidRPr="006F7EBB">
        <w:t xml:space="preserve">. The results of our measurements together with standard deviations of ∆E are shown in </w:t>
      </w:r>
      <w:r w:rsidR="006F7EBB" w:rsidRPr="006F7EBB">
        <w:rPr>
          <w:b/>
        </w:rPr>
        <w:t>Figure 7</w:t>
      </w:r>
      <w:r w:rsidR="006F7EBB" w:rsidRPr="006F7EBB">
        <w:t xml:space="preserve"> and the list of calculated k</w:t>
      </w:r>
      <w:r w:rsidR="006F7EBB" w:rsidRPr="006F7EBB">
        <w:rPr>
          <w:vertAlign w:val="superscript"/>
        </w:rPr>
        <w:t>0</w:t>
      </w:r>
      <w:r w:rsidR="006F7EBB" w:rsidRPr="006F7EBB">
        <w:rPr>
          <w:vertAlign w:val="subscript"/>
        </w:rPr>
        <w:t>obs</w:t>
      </w:r>
      <w:r w:rsidR="006F7EBB" w:rsidRPr="006F7EBB">
        <w:t xml:space="preserve"> is shown in </w:t>
      </w:r>
      <w:r w:rsidR="006F7EBB" w:rsidRPr="006F7EBB">
        <w:rPr>
          <w:b/>
        </w:rPr>
        <w:t>Table S2</w:t>
      </w:r>
      <w:r w:rsidR="006F7EBB" w:rsidRPr="006F7EBB">
        <w:t xml:space="preserve">. </w:t>
      </w:r>
      <w:proofErr w:type="gramStart"/>
      <w:r w:rsidR="006F7EBB" w:rsidRPr="006F7EBB">
        <w:t>Also</w:t>
      </w:r>
      <w:proofErr w:type="gramEnd"/>
      <w:r w:rsidR="006F7EBB" w:rsidRPr="006F7EBB">
        <w:t xml:space="preserve"> to examine the possibility of TaS</w:t>
      </w:r>
      <w:r w:rsidR="006F7EBB" w:rsidRPr="006F7EBB">
        <w:rPr>
          <w:vertAlign w:val="subscript"/>
        </w:rPr>
        <w:t>2</w:t>
      </w:r>
      <w:r w:rsidR="006F7EBB" w:rsidRPr="006F7EBB">
        <w:t xml:space="preserve"> activation by electrochemical treatment, both samples were oxidized/reduced by chronoamperometry at -1.6 V for 2H TaS</w:t>
      </w:r>
      <w:r w:rsidR="006F7EBB" w:rsidRPr="006F7EBB">
        <w:rPr>
          <w:vertAlign w:val="subscript"/>
        </w:rPr>
        <w:t>2</w:t>
      </w:r>
      <w:r w:rsidR="006F7EBB" w:rsidRPr="006F7EBB">
        <w:t xml:space="preserve"> red. </w:t>
      </w:r>
      <w:proofErr w:type="gramStart"/>
      <w:r w:rsidR="006F7EBB" w:rsidRPr="006F7EBB">
        <w:t>and</w:t>
      </w:r>
      <w:proofErr w:type="gramEnd"/>
      <w:r w:rsidR="006F7EBB" w:rsidRPr="006F7EBB">
        <w:t xml:space="preserve"> 1T TaS</w:t>
      </w:r>
      <w:r w:rsidR="006F7EBB" w:rsidRPr="006F7EBB">
        <w:rPr>
          <w:vertAlign w:val="subscript"/>
        </w:rPr>
        <w:t>2</w:t>
      </w:r>
      <w:r w:rsidR="006F7EBB" w:rsidRPr="006F7EBB">
        <w:t xml:space="preserve"> red. </w:t>
      </w:r>
      <w:proofErr w:type="gramStart"/>
      <w:r w:rsidR="006F7EBB" w:rsidRPr="006F7EBB">
        <w:t>and</w:t>
      </w:r>
      <w:proofErr w:type="gramEnd"/>
      <w:r w:rsidR="006F7EBB" w:rsidRPr="006F7EBB">
        <w:t xml:space="preserve"> at 0.7 V and 0.8 V for 2H TaS</w:t>
      </w:r>
      <w:r w:rsidR="006F7EBB" w:rsidRPr="006F7EBB">
        <w:rPr>
          <w:vertAlign w:val="subscript"/>
        </w:rPr>
        <w:t>2</w:t>
      </w:r>
      <w:r w:rsidR="006F7EBB" w:rsidRPr="006F7EBB">
        <w:t xml:space="preserve"> ox. </w:t>
      </w:r>
      <w:proofErr w:type="gramStart"/>
      <w:r w:rsidR="006F7EBB" w:rsidRPr="006F7EBB">
        <w:t>and</w:t>
      </w:r>
      <w:proofErr w:type="gramEnd"/>
      <w:r w:rsidR="006F7EBB" w:rsidRPr="006F7EBB">
        <w:t xml:space="preserve"> 1T TaS</w:t>
      </w:r>
      <w:r w:rsidR="006F7EBB" w:rsidRPr="006F7EBB">
        <w:rPr>
          <w:vertAlign w:val="subscript"/>
        </w:rPr>
        <w:t>2</w:t>
      </w:r>
      <w:r w:rsidR="006F7EBB" w:rsidRPr="006F7EBB">
        <w:t xml:space="preserve"> ox., respectively.  Samples were then submitted to the HET measurement. </w:t>
      </w:r>
    </w:p>
    <w:p w14:paraId="6511C628" w14:textId="77777777" w:rsidR="006F7EBB" w:rsidRPr="006F7EBB" w:rsidRDefault="006F7EBB" w:rsidP="006F7EBB">
      <w:pPr>
        <w:pStyle w:val="P1"/>
        <w:rPr>
          <w:b/>
        </w:rPr>
      </w:pPr>
    </w:p>
    <w:p w14:paraId="75EBE58A" w14:textId="77777777" w:rsidR="006F7EBB" w:rsidRPr="00BB3C34" w:rsidRDefault="006F7EBB" w:rsidP="006F7EBB">
      <w:pPr>
        <w:pStyle w:val="P1"/>
        <w:rPr>
          <w:b/>
          <w:sz w:val="14"/>
          <w:szCs w:val="14"/>
        </w:rPr>
      </w:pPr>
      <w:r w:rsidRPr="00BB3C34">
        <w:rPr>
          <w:b/>
          <w:sz w:val="14"/>
          <w:szCs w:val="14"/>
        </w:rPr>
        <w:t xml:space="preserve">Figure 7. </w:t>
      </w:r>
      <w:r w:rsidRPr="00BB3C34">
        <w:rPr>
          <w:sz w:val="14"/>
          <w:szCs w:val="14"/>
        </w:rPr>
        <w:t>CV measurements in a solution of 5 mM K</w:t>
      </w:r>
      <w:r w:rsidRPr="00BB3C34">
        <w:rPr>
          <w:sz w:val="14"/>
          <w:szCs w:val="14"/>
          <w:vertAlign w:val="subscript"/>
        </w:rPr>
        <w:t>3</w:t>
      </w:r>
      <w:r w:rsidRPr="00BB3C34">
        <w:rPr>
          <w:sz w:val="14"/>
          <w:szCs w:val="14"/>
        </w:rPr>
        <w:t>[Fe(CN)</w:t>
      </w:r>
      <w:r w:rsidRPr="00BB3C34">
        <w:rPr>
          <w:sz w:val="14"/>
          <w:szCs w:val="14"/>
          <w:vertAlign w:val="subscript"/>
        </w:rPr>
        <w:t>6</w:t>
      </w:r>
      <w:r w:rsidRPr="00BB3C34">
        <w:rPr>
          <w:sz w:val="14"/>
          <w:szCs w:val="14"/>
        </w:rPr>
        <w:t>]/ K</w:t>
      </w:r>
      <w:r w:rsidRPr="00BB3C34">
        <w:rPr>
          <w:sz w:val="14"/>
          <w:szCs w:val="14"/>
          <w:vertAlign w:val="subscript"/>
        </w:rPr>
        <w:t>4</w:t>
      </w:r>
      <w:r w:rsidRPr="00BB3C34">
        <w:rPr>
          <w:sz w:val="14"/>
          <w:szCs w:val="14"/>
        </w:rPr>
        <w:t>[Fe(CN)</w:t>
      </w:r>
      <w:r w:rsidRPr="00BB3C34">
        <w:rPr>
          <w:sz w:val="14"/>
          <w:szCs w:val="14"/>
          <w:vertAlign w:val="subscript"/>
        </w:rPr>
        <w:t>6</w:t>
      </w:r>
      <w:r w:rsidRPr="00BB3C34">
        <w:rPr>
          <w:sz w:val="14"/>
          <w:szCs w:val="14"/>
        </w:rPr>
        <w:t>] in 50 mM PBS of (A) 2H TaS</w:t>
      </w:r>
      <w:r w:rsidRPr="00BB3C34">
        <w:rPr>
          <w:sz w:val="14"/>
          <w:szCs w:val="14"/>
          <w:vertAlign w:val="subscript"/>
        </w:rPr>
        <w:t>2</w:t>
      </w:r>
      <w:r w:rsidRPr="00BB3C34">
        <w:rPr>
          <w:sz w:val="14"/>
          <w:szCs w:val="14"/>
        </w:rPr>
        <w:t xml:space="preserve"> and (C) 1T TaS</w:t>
      </w:r>
      <w:r w:rsidRPr="00BB3C34">
        <w:rPr>
          <w:sz w:val="14"/>
          <w:szCs w:val="14"/>
          <w:vertAlign w:val="subscript"/>
        </w:rPr>
        <w:t>2</w:t>
      </w:r>
      <w:r w:rsidRPr="00BB3C34">
        <w:rPr>
          <w:sz w:val="14"/>
          <w:szCs w:val="14"/>
        </w:rPr>
        <w:t xml:space="preserve"> and peak-to-peak separation ∆E of (B) 2H TaS</w:t>
      </w:r>
      <w:r w:rsidRPr="00BB3C34">
        <w:rPr>
          <w:sz w:val="14"/>
          <w:szCs w:val="14"/>
          <w:vertAlign w:val="subscript"/>
        </w:rPr>
        <w:t>2</w:t>
      </w:r>
      <w:r w:rsidRPr="00BB3C34">
        <w:rPr>
          <w:sz w:val="14"/>
          <w:szCs w:val="14"/>
        </w:rPr>
        <w:t xml:space="preserve"> and (D) 1T TaS</w:t>
      </w:r>
      <w:r w:rsidRPr="00BB3C34">
        <w:rPr>
          <w:sz w:val="14"/>
          <w:szCs w:val="14"/>
          <w:vertAlign w:val="subscript"/>
        </w:rPr>
        <w:t>2</w:t>
      </w:r>
      <w:r w:rsidRPr="00BB3C34">
        <w:rPr>
          <w:sz w:val="14"/>
          <w:szCs w:val="14"/>
        </w:rPr>
        <w:t>. Error bars are based on triplicate measurements.</w:t>
      </w:r>
      <w:r w:rsidRPr="00BB3C34">
        <w:rPr>
          <w:b/>
          <w:sz w:val="14"/>
          <w:szCs w:val="14"/>
        </w:rPr>
        <w:t xml:space="preserve"> </w:t>
      </w:r>
    </w:p>
    <w:p w14:paraId="75D1C662" w14:textId="77777777" w:rsidR="006F7EBB" w:rsidRPr="006F7EBB" w:rsidRDefault="006F7EBB" w:rsidP="006F7EBB">
      <w:pPr>
        <w:pStyle w:val="P1"/>
        <w:rPr>
          <w:b/>
        </w:rPr>
      </w:pPr>
    </w:p>
    <w:p w14:paraId="0BB48322" w14:textId="77777777" w:rsidR="006F7EBB" w:rsidRPr="006F7EBB" w:rsidRDefault="006F7EBB" w:rsidP="00E46BB2">
      <w:pPr>
        <w:pStyle w:val="P1"/>
        <w:ind w:firstLine="425"/>
      </w:pPr>
      <w:r w:rsidRPr="006F7EBB">
        <w:t>The peak separation of 2H TaS</w:t>
      </w:r>
      <w:r w:rsidRPr="006F7EBB">
        <w:rPr>
          <w:vertAlign w:val="subscript"/>
        </w:rPr>
        <w:t>2</w:t>
      </w:r>
      <w:r w:rsidRPr="006F7EBB">
        <w:t xml:space="preserve"> is higher than that of bare GC electrode by about 115 mV. The higher ∆E of both reduced and oxidized 2H TaS</w:t>
      </w:r>
      <w:r w:rsidRPr="006F7EBB">
        <w:rPr>
          <w:vertAlign w:val="subscript"/>
        </w:rPr>
        <w:t>2</w:t>
      </w:r>
      <w:r w:rsidRPr="006F7EBB">
        <w:t xml:space="preserve"> compared to untreated  2H TaS</w:t>
      </w:r>
      <w:r w:rsidRPr="006F7EBB">
        <w:rPr>
          <w:vertAlign w:val="subscript"/>
        </w:rPr>
        <w:t xml:space="preserve">2 </w:t>
      </w:r>
      <w:r w:rsidRPr="006F7EBB">
        <w:t>shows that unlike other TMDs,</w:t>
      </w:r>
      <w:r w:rsidRPr="006F7EBB">
        <w:rPr>
          <w:vertAlign w:val="superscript"/>
        </w:rPr>
        <w:t>[20]</w:t>
      </w:r>
      <w:r w:rsidRPr="006F7EBB">
        <w:t xml:space="preserve"> 2H TaS</w:t>
      </w:r>
      <w:r w:rsidRPr="006F7EBB">
        <w:rPr>
          <w:vertAlign w:val="subscript"/>
        </w:rPr>
        <w:t>2</w:t>
      </w:r>
      <w:r w:rsidRPr="006F7EBB">
        <w:t xml:space="preserve"> HET rate cannot be improved by electrochemical pre-treatment of the material. 1T TaS</w:t>
      </w:r>
      <w:r w:rsidRPr="006F7EBB">
        <w:rPr>
          <w:vertAlign w:val="subscript"/>
        </w:rPr>
        <w:t xml:space="preserve">2 </w:t>
      </w:r>
      <w:r w:rsidRPr="006F7EBB">
        <w:t xml:space="preserve">also exhibits worse HET rate than bare GC electrode by about 140 mV and it does not exhibit any kind of improvement upon electrochemical activation of the material </w:t>
      </w:r>
      <w:r w:rsidRPr="006F7EBB">
        <w:rPr>
          <w:i/>
        </w:rPr>
        <w:t>via</w:t>
      </w:r>
      <w:r w:rsidRPr="006F7EBB">
        <w:t xml:space="preserve"> its reduction/oxidation. While the reduction leaves the material with the same ∆E as untreated material, oxidation significantly increases ∆E leading to even slower HET rate.</w:t>
      </w:r>
    </w:p>
    <w:p w14:paraId="271767A0" w14:textId="77777777" w:rsidR="006F7EBB" w:rsidRPr="006F7EBB" w:rsidRDefault="006F7EBB" w:rsidP="006F7EBB">
      <w:pPr>
        <w:pStyle w:val="P1"/>
      </w:pPr>
      <w:r w:rsidRPr="006F7EBB">
        <w:t>Probing the catalytic activity of various kinds of TMDs is of great interest because of the exceptional activity, especially towards hydrogen evolution reaction (HER), of some TMDs such as MoS</w:t>
      </w:r>
      <w:r w:rsidRPr="006F7EBB">
        <w:rPr>
          <w:vertAlign w:val="subscript"/>
        </w:rPr>
        <w:t>2</w:t>
      </w:r>
      <w:r w:rsidRPr="006F7EBB">
        <w:t>, WS</w:t>
      </w:r>
      <w:r w:rsidRPr="006F7EBB">
        <w:rPr>
          <w:vertAlign w:val="subscript"/>
        </w:rPr>
        <w:t>2</w:t>
      </w:r>
      <w:r w:rsidRPr="006F7EBB">
        <w:t xml:space="preserve"> and their composites with graphene. Therefore, it is desirable to extend the knowledge about catalytic properties to as many TMDs as possible. To the best of our knowledge, electrocatalytic activity of TaS</w:t>
      </w:r>
      <w:r w:rsidRPr="006F7EBB">
        <w:rPr>
          <w:vertAlign w:val="subscript"/>
        </w:rPr>
        <w:t>2</w:t>
      </w:r>
      <w:r w:rsidRPr="006F7EBB">
        <w:t xml:space="preserve"> has never been examined up to this date. </w:t>
      </w:r>
    </w:p>
    <w:p w14:paraId="47EF2869" w14:textId="77777777" w:rsidR="006F7EBB" w:rsidRPr="006F7EBB" w:rsidRDefault="006F7EBB" w:rsidP="00E46BB2">
      <w:pPr>
        <w:pStyle w:val="P1"/>
        <w:ind w:firstLine="425"/>
      </w:pPr>
      <w:r w:rsidRPr="006F7EBB">
        <w:t>Electrocatalytic properties of TaS</w:t>
      </w:r>
      <w:r w:rsidRPr="006F7EBB">
        <w:rPr>
          <w:vertAlign w:val="subscript"/>
        </w:rPr>
        <w:t>2</w:t>
      </w:r>
      <w:r w:rsidRPr="006F7EBB">
        <w:t xml:space="preserve"> towards HER were examined by linear sweep voltammetry (LSV) (</w:t>
      </w:r>
      <w:r w:rsidRPr="006F7EBB">
        <w:rPr>
          <w:b/>
        </w:rPr>
        <w:t>Figure 8)</w:t>
      </w:r>
      <w:r w:rsidRPr="006F7EBB">
        <w:t>. Average values and standard deviations are also shown. A value of current density -10 mA.cm</w:t>
      </w:r>
      <w:r w:rsidRPr="006F7EBB">
        <w:rPr>
          <w:vertAlign w:val="superscript"/>
        </w:rPr>
        <w:t>-2</w:t>
      </w:r>
      <w:r w:rsidRPr="006F7EBB">
        <w:t xml:space="preserve"> </w:t>
      </w:r>
      <w:proofErr w:type="gramStart"/>
      <w:r w:rsidRPr="006F7EBB">
        <w:t>was used</w:t>
      </w:r>
      <w:proofErr w:type="gramEnd"/>
      <w:r w:rsidRPr="006F7EBB">
        <w:t xml:space="preserve"> to compare the untreated and treated TaS</w:t>
      </w:r>
      <w:r w:rsidRPr="006F7EBB">
        <w:rPr>
          <w:vertAlign w:val="subscript"/>
        </w:rPr>
        <w:t>2</w:t>
      </w:r>
      <w:r w:rsidRPr="006F7EBB">
        <w:t>, bare GC electrode and commercially used Pt/C catalyst. While the untreated 2H TaS</w:t>
      </w:r>
      <w:r w:rsidRPr="006F7EBB">
        <w:rPr>
          <w:vertAlign w:val="subscript"/>
        </w:rPr>
        <w:t>2</w:t>
      </w:r>
      <w:r w:rsidRPr="006F7EBB">
        <w:t xml:space="preserve"> requires a potential of -1.22V, it goes down to -1.1V and up to -1.27V for 2H TaS</w:t>
      </w:r>
      <w:r w:rsidRPr="006F7EBB">
        <w:rPr>
          <w:vertAlign w:val="subscript"/>
        </w:rPr>
        <w:t>2</w:t>
      </w:r>
      <w:r w:rsidRPr="006F7EBB">
        <w:t xml:space="preserve"> red. </w:t>
      </w:r>
      <w:proofErr w:type="gramStart"/>
      <w:r w:rsidRPr="006F7EBB">
        <w:t>and</w:t>
      </w:r>
      <w:proofErr w:type="gramEnd"/>
      <w:r w:rsidRPr="006F7EBB">
        <w:t xml:space="preserve"> 2H TaS</w:t>
      </w:r>
      <w:r w:rsidRPr="006F7EBB">
        <w:rPr>
          <w:vertAlign w:val="subscript"/>
        </w:rPr>
        <w:t>2</w:t>
      </w:r>
      <w:r w:rsidRPr="006F7EBB">
        <w:t xml:space="preserve"> ox., respectively. Compared to bare GC electrode, which requires -0.95V in order to achieve this current density, 2H TaS</w:t>
      </w:r>
      <w:r w:rsidRPr="006F7EBB">
        <w:rPr>
          <w:vertAlign w:val="subscript"/>
        </w:rPr>
        <w:t>2</w:t>
      </w:r>
      <w:r w:rsidRPr="006F7EBB">
        <w:t xml:space="preserve"> seems to be a poor HER catalyst. Similarly to HET rate, electrochemical oxidation leads to an impairment of HER activity, while the electrochemical reduction leads to an enhancement of HER activity. The reason for such deactivation most likely stems from the fact that insoluble products such as Ta</w:t>
      </w:r>
      <w:r w:rsidRPr="006F7EBB">
        <w:rPr>
          <w:vertAlign w:val="subscript"/>
        </w:rPr>
        <w:t>2</w:t>
      </w:r>
      <w:r w:rsidRPr="006F7EBB">
        <w:t>O</w:t>
      </w:r>
      <w:r w:rsidRPr="006F7EBB">
        <w:rPr>
          <w:vertAlign w:val="subscript"/>
        </w:rPr>
        <w:t>5</w:t>
      </w:r>
      <w:r w:rsidRPr="006F7EBB">
        <w:t xml:space="preserve"> </w:t>
      </w:r>
      <w:proofErr w:type="gramStart"/>
      <w:r w:rsidRPr="006F7EBB">
        <w:t>are formed</w:t>
      </w:r>
      <w:proofErr w:type="gramEnd"/>
      <w:r w:rsidRPr="006F7EBB">
        <w:t xml:space="preserve"> during the electrochemical oxidation and block the intrinsic active sites of TaS</w:t>
      </w:r>
      <w:r w:rsidRPr="006F7EBB">
        <w:rPr>
          <w:vertAlign w:val="subscript"/>
        </w:rPr>
        <w:t>2</w:t>
      </w:r>
      <w:r w:rsidRPr="006F7EBB">
        <w:t>.</w:t>
      </w:r>
    </w:p>
    <w:p w14:paraId="3CEE2254" w14:textId="77777777" w:rsidR="006F7EBB" w:rsidRPr="006F7EBB" w:rsidRDefault="006F7EBB" w:rsidP="006F7EBB">
      <w:pPr>
        <w:pStyle w:val="P1"/>
        <w:rPr>
          <w:b/>
        </w:rPr>
      </w:pPr>
    </w:p>
    <w:p w14:paraId="16A7D6B8" w14:textId="77777777" w:rsidR="006F7EBB" w:rsidRPr="00BB3C34" w:rsidRDefault="006F7EBB" w:rsidP="006F7EBB">
      <w:pPr>
        <w:pStyle w:val="P1"/>
        <w:rPr>
          <w:sz w:val="14"/>
          <w:szCs w:val="14"/>
        </w:rPr>
      </w:pPr>
      <w:r w:rsidRPr="00BB3C34">
        <w:rPr>
          <w:b/>
          <w:sz w:val="14"/>
          <w:szCs w:val="14"/>
        </w:rPr>
        <w:t xml:space="preserve">Figure 8. </w:t>
      </w:r>
      <w:r w:rsidRPr="00BB3C34">
        <w:rPr>
          <w:sz w:val="14"/>
          <w:szCs w:val="14"/>
        </w:rPr>
        <w:t>LSV measurements of (A) 2H TaS</w:t>
      </w:r>
      <w:r w:rsidRPr="00BB3C34">
        <w:rPr>
          <w:sz w:val="14"/>
          <w:szCs w:val="14"/>
          <w:vertAlign w:val="subscript"/>
        </w:rPr>
        <w:t>2</w:t>
      </w:r>
      <w:r w:rsidRPr="00BB3C34">
        <w:rPr>
          <w:sz w:val="14"/>
          <w:szCs w:val="14"/>
        </w:rPr>
        <w:t xml:space="preserve"> and (C) 1T TaS</w:t>
      </w:r>
      <w:r w:rsidRPr="00BB3C34">
        <w:rPr>
          <w:sz w:val="14"/>
          <w:szCs w:val="14"/>
          <w:vertAlign w:val="subscript"/>
        </w:rPr>
        <w:t>2</w:t>
      </w:r>
      <w:r w:rsidRPr="00BB3C34">
        <w:rPr>
          <w:sz w:val="14"/>
          <w:szCs w:val="14"/>
        </w:rPr>
        <w:t xml:space="preserve"> and a value of overpotential needed for current density -10 mA.cm</w:t>
      </w:r>
      <w:r w:rsidRPr="00BB3C34">
        <w:rPr>
          <w:sz w:val="14"/>
          <w:szCs w:val="14"/>
          <w:vertAlign w:val="superscript"/>
        </w:rPr>
        <w:t>-2</w:t>
      </w:r>
      <w:r w:rsidRPr="00BB3C34">
        <w:rPr>
          <w:sz w:val="14"/>
          <w:szCs w:val="14"/>
        </w:rPr>
        <w:t xml:space="preserve"> of (B) 2H TaS</w:t>
      </w:r>
      <w:r w:rsidRPr="00BB3C34">
        <w:rPr>
          <w:sz w:val="14"/>
          <w:szCs w:val="14"/>
          <w:vertAlign w:val="subscript"/>
        </w:rPr>
        <w:t>2</w:t>
      </w:r>
      <w:r w:rsidRPr="00BB3C34">
        <w:rPr>
          <w:sz w:val="14"/>
          <w:szCs w:val="14"/>
        </w:rPr>
        <w:t xml:space="preserve"> and (D) 1T TaS</w:t>
      </w:r>
      <w:r w:rsidRPr="00BB3C34">
        <w:rPr>
          <w:sz w:val="14"/>
          <w:szCs w:val="14"/>
          <w:vertAlign w:val="subscript"/>
        </w:rPr>
        <w:t>2</w:t>
      </w:r>
      <w:r w:rsidRPr="00BB3C34">
        <w:rPr>
          <w:sz w:val="14"/>
          <w:szCs w:val="14"/>
        </w:rPr>
        <w:t>. Error bars are based on triplicate measurements. Measurements were performed in a 0.5M H</w:t>
      </w:r>
      <w:r w:rsidRPr="00BB3C34">
        <w:rPr>
          <w:sz w:val="14"/>
          <w:szCs w:val="14"/>
          <w:vertAlign w:val="subscript"/>
        </w:rPr>
        <w:t>2</w:t>
      </w:r>
      <w:r w:rsidRPr="00BB3C34">
        <w:rPr>
          <w:sz w:val="14"/>
          <w:szCs w:val="14"/>
        </w:rPr>
        <w:t>SO</w:t>
      </w:r>
      <w:r w:rsidRPr="00BB3C34">
        <w:rPr>
          <w:sz w:val="14"/>
          <w:szCs w:val="14"/>
          <w:vertAlign w:val="subscript"/>
        </w:rPr>
        <w:t>4</w:t>
      </w:r>
      <w:r w:rsidRPr="00BB3C34">
        <w:rPr>
          <w:sz w:val="14"/>
          <w:szCs w:val="14"/>
        </w:rPr>
        <w:t xml:space="preserve"> solution with a scan rate of 2mV/s.</w:t>
      </w:r>
    </w:p>
    <w:p w14:paraId="3FE52164" w14:textId="77777777" w:rsidR="006F7EBB" w:rsidRPr="006F7EBB" w:rsidRDefault="006F7EBB" w:rsidP="006F7EBB">
      <w:pPr>
        <w:pStyle w:val="P1"/>
        <w:rPr>
          <w:b/>
        </w:rPr>
      </w:pPr>
    </w:p>
    <w:p w14:paraId="543EDD48" w14:textId="77777777" w:rsidR="006F7EBB" w:rsidRPr="006F7EBB" w:rsidRDefault="006F7EBB" w:rsidP="00E46BB2">
      <w:pPr>
        <w:pStyle w:val="P1"/>
        <w:ind w:firstLine="425"/>
      </w:pPr>
      <w:r w:rsidRPr="006F7EBB">
        <w:t>1T TaS</w:t>
      </w:r>
      <w:r w:rsidRPr="006F7EBB">
        <w:rPr>
          <w:vertAlign w:val="subscript"/>
        </w:rPr>
        <w:t>2</w:t>
      </w:r>
      <w:r w:rsidRPr="006F7EBB">
        <w:t xml:space="preserve"> exhibits an overpotential of –0.77V vs RHE. This is better than both the bare GC electrode and 2H TaS</w:t>
      </w:r>
      <w:r w:rsidRPr="006F7EBB">
        <w:rPr>
          <w:vertAlign w:val="subscript"/>
        </w:rPr>
        <w:t>2</w:t>
      </w:r>
      <w:r w:rsidRPr="006F7EBB">
        <w:t>. Just like in the case of 2H TaS</w:t>
      </w:r>
      <w:r w:rsidRPr="006F7EBB">
        <w:rPr>
          <w:vertAlign w:val="subscript"/>
        </w:rPr>
        <w:t>2</w:t>
      </w:r>
      <w:r w:rsidRPr="006F7EBB">
        <w:t>, electrochemical oxidation leads to an increase in overpotential required to reach the current density of -10 mA.cm</w:t>
      </w:r>
      <w:r w:rsidRPr="006F7EBB">
        <w:rPr>
          <w:vertAlign w:val="superscript"/>
        </w:rPr>
        <w:t>-2</w:t>
      </w:r>
      <w:r w:rsidRPr="006F7EBB">
        <w:t>. However, in this case electrochemical reduction also leads to higher overpotential. 1T TaS</w:t>
      </w:r>
      <w:r w:rsidRPr="006F7EBB">
        <w:rPr>
          <w:vertAlign w:val="subscript"/>
        </w:rPr>
        <w:t>2</w:t>
      </w:r>
      <w:r w:rsidRPr="006F7EBB">
        <w:t xml:space="preserve"> red. </w:t>
      </w:r>
      <w:proofErr w:type="gramStart"/>
      <w:r w:rsidRPr="006F7EBB">
        <w:t>has</w:t>
      </w:r>
      <w:proofErr w:type="gramEnd"/>
      <w:r w:rsidRPr="006F7EBB">
        <w:t xml:space="preserve"> an overpotential of -1.06V and 1T TaS</w:t>
      </w:r>
      <w:r w:rsidRPr="006F7EBB">
        <w:rPr>
          <w:vertAlign w:val="subscript"/>
        </w:rPr>
        <w:t>2</w:t>
      </w:r>
      <w:r w:rsidRPr="006F7EBB">
        <w:t xml:space="preserve"> ox. </w:t>
      </w:r>
      <w:proofErr w:type="gramStart"/>
      <w:r w:rsidRPr="006F7EBB">
        <w:t>requires</w:t>
      </w:r>
      <w:proofErr w:type="gramEnd"/>
      <w:r w:rsidRPr="006F7EBB">
        <w:t xml:space="preserve"> -1.08V to reach the desired current density. The reason for higher overpotential in the case of 1T TaS</w:t>
      </w:r>
      <w:r w:rsidRPr="006F7EBB">
        <w:rPr>
          <w:vertAlign w:val="subscript"/>
        </w:rPr>
        <w:t>2</w:t>
      </w:r>
      <w:r w:rsidRPr="006F7EBB">
        <w:t xml:space="preserve"> ox. </w:t>
      </w:r>
      <w:proofErr w:type="gramStart"/>
      <w:r w:rsidRPr="006F7EBB">
        <w:t>is</w:t>
      </w:r>
      <w:proofErr w:type="gramEnd"/>
      <w:r w:rsidRPr="006F7EBB">
        <w:t xml:space="preserve"> most likely the same as in the case of 2H TaS</w:t>
      </w:r>
      <w:r w:rsidRPr="006F7EBB">
        <w:rPr>
          <w:vertAlign w:val="subscript"/>
        </w:rPr>
        <w:t>2</w:t>
      </w:r>
      <w:r w:rsidRPr="006F7EBB">
        <w:t xml:space="preserve"> ox. We suggest that different trend for 1T TaS</w:t>
      </w:r>
      <w:r w:rsidRPr="006F7EBB">
        <w:rPr>
          <w:vertAlign w:val="subscript"/>
        </w:rPr>
        <w:t xml:space="preserve">2, </w:t>
      </w:r>
      <w:r w:rsidRPr="006F7EBB">
        <w:t>compared to 2H TaS</w:t>
      </w:r>
      <w:r w:rsidRPr="006F7EBB">
        <w:rPr>
          <w:vertAlign w:val="subscript"/>
        </w:rPr>
        <w:t>2</w:t>
      </w:r>
      <w:r w:rsidRPr="006F7EBB">
        <w:t xml:space="preserve"> red., </w:t>
      </w:r>
      <w:proofErr w:type="gramStart"/>
      <w:r w:rsidRPr="006F7EBB">
        <w:t>originates</w:t>
      </w:r>
      <w:proofErr w:type="gramEnd"/>
      <w:r w:rsidRPr="006F7EBB">
        <w:t xml:space="preserve"> in different inherent electrochemistry, which leads to a formation of different reduction products. This is also very well documented by the absence of oxidation peak after sweeping back to positive potentials in the 1T TaS</w:t>
      </w:r>
      <w:r w:rsidRPr="006F7EBB">
        <w:rPr>
          <w:vertAlign w:val="subscript"/>
        </w:rPr>
        <w:t>2</w:t>
      </w:r>
      <w:r w:rsidRPr="006F7EBB">
        <w:t xml:space="preserve"> cathodic scan. Thus, the product of 1T TaS</w:t>
      </w:r>
      <w:r w:rsidRPr="006F7EBB">
        <w:rPr>
          <w:vertAlign w:val="subscript"/>
        </w:rPr>
        <w:t>2</w:t>
      </w:r>
      <w:r w:rsidRPr="006F7EBB">
        <w:t xml:space="preserve"> reduction seems to be insoluble and remains on the surface of 1T TaS</w:t>
      </w:r>
      <w:r w:rsidRPr="006F7EBB">
        <w:rPr>
          <w:vertAlign w:val="subscript"/>
        </w:rPr>
        <w:t>2</w:t>
      </w:r>
      <w:r w:rsidRPr="006F7EBB">
        <w:t xml:space="preserve"> red</w:t>
      </w:r>
      <w:proofErr w:type="gramStart"/>
      <w:r w:rsidRPr="006F7EBB">
        <w:t>..</w:t>
      </w:r>
      <w:proofErr w:type="gramEnd"/>
    </w:p>
    <w:p w14:paraId="0ABBF8D6" w14:textId="77777777" w:rsidR="006F7EBB" w:rsidRPr="006F7EBB" w:rsidRDefault="006F7EBB" w:rsidP="00E46BB2">
      <w:pPr>
        <w:pStyle w:val="P1"/>
        <w:ind w:firstLine="425"/>
      </w:pPr>
      <w:r w:rsidRPr="006F7EBB">
        <w:t>The relatively high overpotentials for 1T TaS</w:t>
      </w:r>
      <w:r w:rsidRPr="006F7EBB">
        <w:rPr>
          <w:vertAlign w:val="subscript"/>
        </w:rPr>
        <w:t xml:space="preserve">2 </w:t>
      </w:r>
      <w:r w:rsidRPr="006F7EBB">
        <w:t>and, in particular, 2H TaS</w:t>
      </w:r>
      <w:r w:rsidRPr="006F7EBB">
        <w:rPr>
          <w:vertAlign w:val="subscript"/>
        </w:rPr>
        <w:t xml:space="preserve">2 </w:t>
      </w:r>
      <w:r w:rsidRPr="006F7EBB">
        <w:t>are rather surprising in the light of recent DFT results. Tsai et al</w:t>
      </w:r>
      <w:proofErr w:type="gramStart"/>
      <w:r w:rsidRPr="006F7EBB">
        <w:t>.</w:t>
      </w:r>
      <w:r w:rsidRPr="006F7EBB">
        <w:rPr>
          <w:vertAlign w:val="superscript"/>
        </w:rPr>
        <w:t>[</w:t>
      </w:r>
      <w:proofErr w:type="gramEnd"/>
      <w:r w:rsidRPr="006F7EBB">
        <w:rPr>
          <w:vertAlign w:val="superscript"/>
        </w:rPr>
        <w:t>27]</w:t>
      </w:r>
      <w:r w:rsidRPr="006F7EBB">
        <w:t xml:space="preserve"> calculated differential hydrogen adsorption enthalpies ΔG</w:t>
      </w:r>
      <w:r w:rsidRPr="006F7EBB">
        <w:rPr>
          <w:vertAlign w:val="subscript"/>
        </w:rPr>
        <w:t>H</w:t>
      </w:r>
      <w:r w:rsidRPr="006F7EBB">
        <w:t xml:space="preserve"> for several TM dichalcogenides, and found that 2H TaS</w:t>
      </w:r>
      <w:r w:rsidRPr="006F7EBB">
        <w:rPr>
          <w:vertAlign w:val="subscript"/>
        </w:rPr>
        <w:t xml:space="preserve">2 </w:t>
      </w:r>
      <w:r w:rsidRPr="006F7EBB">
        <w:t>has ΔG</w:t>
      </w:r>
      <w:r w:rsidRPr="006F7EBB">
        <w:rPr>
          <w:vertAlign w:val="subscript"/>
        </w:rPr>
        <w:t>H</w:t>
      </w:r>
      <w:r w:rsidRPr="006F7EBB">
        <w:t xml:space="preserve"> = 0.06 eV, the value very close to thermoneutral. Such value should be indicative of promising HER catalyst, which is in contrast to our experimental results. We thus performed further DFT calculations to elucidate this issue. </w:t>
      </w:r>
    </w:p>
    <w:p w14:paraId="6845EFDF" w14:textId="77777777" w:rsidR="006F7EBB" w:rsidRPr="006F7EBB" w:rsidRDefault="00BB3C34" w:rsidP="00E46BB2">
      <w:pPr>
        <w:pStyle w:val="P1"/>
        <w:ind w:firstLine="425"/>
      </w:pPr>
      <w:r w:rsidRPr="00B20836">
        <w:rPr>
          <w:b/>
          <w:noProof/>
          <w:lang w:val="en-GB" w:eastAsia="en-GB"/>
        </w:rPr>
        <w:drawing>
          <wp:anchor distT="0" distB="0" distL="114300" distR="114300" simplePos="0" relativeHeight="251675136" behindDoc="0" locked="0" layoutInCell="1" allowOverlap="1" wp14:anchorId="299BA917" wp14:editId="53B295B2">
            <wp:simplePos x="0" y="0"/>
            <wp:positionH relativeFrom="column">
              <wp:posOffset>22225</wp:posOffset>
            </wp:positionH>
            <wp:positionV relativeFrom="paragraph">
              <wp:posOffset>-4521200</wp:posOffset>
            </wp:positionV>
            <wp:extent cx="3094355" cy="2277110"/>
            <wp:effectExtent l="0" t="0" r="0" b="8890"/>
            <wp:wrapTopAndBottom/>
            <wp:docPr id="8"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355" cy="22771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46BB2" w:rsidRPr="00B20836">
        <w:rPr>
          <w:noProof/>
          <w:lang w:val="en-GB" w:eastAsia="en-GB"/>
        </w:rPr>
        <w:drawing>
          <wp:anchor distT="0" distB="0" distL="114300" distR="114300" simplePos="0" relativeHeight="251677184" behindDoc="0" locked="0" layoutInCell="1" allowOverlap="1" wp14:anchorId="0525AC4D" wp14:editId="114FC943">
            <wp:simplePos x="0" y="0"/>
            <wp:positionH relativeFrom="column">
              <wp:posOffset>3286760</wp:posOffset>
            </wp:positionH>
            <wp:positionV relativeFrom="paragraph">
              <wp:posOffset>-4051935</wp:posOffset>
            </wp:positionV>
            <wp:extent cx="3137535" cy="1710055"/>
            <wp:effectExtent l="0" t="0" r="5715" b="4445"/>
            <wp:wrapTopAndBottom/>
            <wp:docPr id="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7535" cy="17100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F7EBB" w:rsidRPr="006F7EBB">
        <w:t>We calculated firstly ΔG</w:t>
      </w:r>
      <w:r w:rsidR="006F7EBB" w:rsidRPr="006F7EBB">
        <w:rPr>
          <w:vertAlign w:val="subscript"/>
        </w:rPr>
        <w:t xml:space="preserve">H </w:t>
      </w:r>
      <w:r w:rsidR="006F7EBB" w:rsidRPr="006F7EBB">
        <w:t>for the basal plane and edge of 1T TaS</w:t>
      </w:r>
      <w:r w:rsidR="006F7EBB" w:rsidRPr="006F7EBB">
        <w:rPr>
          <w:vertAlign w:val="subscript"/>
        </w:rPr>
        <w:t>2</w:t>
      </w:r>
      <w:r w:rsidR="006F7EBB" w:rsidRPr="006F7EBB">
        <w:t>.</w:t>
      </w:r>
      <w:r w:rsidR="006F7EBB" w:rsidRPr="006F7EBB">
        <w:rPr>
          <w:vertAlign w:val="subscript"/>
        </w:rPr>
        <w:t xml:space="preserve"> </w:t>
      </w:r>
      <w:r w:rsidR="006F7EBB" w:rsidRPr="006F7EBB">
        <w:t>The hydrogen atoms are bound rather weakly to the edge, which results in positive values of ΔG</w:t>
      </w:r>
      <w:r w:rsidR="006F7EBB" w:rsidRPr="006F7EBB">
        <w:rPr>
          <w:vertAlign w:val="subscript"/>
        </w:rPr>
        <w:t>H</w:t>
      </w:r>
      <w:r w:rsidR="006F7EBB" w:rsidRPr="006F7EBB">
        <w:t xml:space="preserve"> in the whole hydrogen coverage range (</w:t>
      </w:r>
      <w:r w:rsidR="006F7EBB" w:rsidRPr="006F7EBB">
        <w:rPr>
          <w:b/>
        </w:rPr>
        <w:t>Figure 9a</w:t>
      </w:r>
      <w:r w:rsidR="006F7EBB" w:rsidRPr="006F7EBB">
        <w:t>). The value closest to thermoneutral (ΔG</w:t>
      </w:r>
      <w:r w:rsidR="006F7EBB" w:rsidRPr="006F7EBB">
        <w:rPr>
          <w:vertAlign w:val="subscript"/>
        </w:rPr>
        <w:t>H</w:t>
      </w:r>
      <w:r w:rsidR="006F7EBB" w:rsidRPr="006F7EBB">
        <w:t>=0.46 eV) occurs at low hydrogen coverage of 25 %. At higher coverages, the hydrogen adsorption becomes even less favorable. The basal plane seems to be totally inactive for HER, because it binds hydrogen atoms only very weakly (ΔG</w:t>
      </w:r>
      <w:r w:rsidR="006F7EBB" w:rsidRPr="006F7EBB">
        <w:rPr>
          <w:vertAlign w:val="subscript"/>
        </w:rPr>
        <w:t>H</w:t>
      </w:r>
      <w:r w:rsidR="006F7EBB" w:rsidRPr="006F7EBB">
        <w:t>=1.24 eV). Thus, according to our DFT calculation, the modest HER performance of 1T TaS</w:t>
      </w:r>
      <w:r w:rsidR="006F7EBB" w:rsidRPr="006F7EBB">
        <w:rPr>
          <w:vertAlign w:val="subscript"/>
        </w:rPr>
        <w:t xml:space="preserve">2 </w:t>
      </w:r>
      <w:r w:rsidR="006F7EBB" w:rsidRPr="006F7EBB">
        <w:t>(compared to prototypical dichalcogenide MoS</w:t>
      </w:r>
      <w:r w:rsidR="006F7EBB" w:rsidRPr="006F7EBB">
        <w:rPr>
          <w:vertAlign w:val="subscript"/>
        </w:rPr>
        <w:t>2</w:t>
      </w:r>
      <w:r w:rsidR="006F7EBB" w:rsidRPr="006F7EBB">
        <w:t>) can be explained by its unfavorable thermodynamics of hydrogen adsorption.</w:t>
      </w:r>
    </w:p>
    <w:p w14:paraId="5E103ED0" w14:textId="77777777" w:rsidR="006F7EBB" w:rsidRPr="006F7EBB" w:rsidRDefault="006F7EBB" w:rsidP="006F7EBB">
      <w:pPr>
        <w:pStyle w:val="P1"/>
      </w:pPr>
    </w:p>
    <w:p w14:paraId="3046949E" w14:textId="77777777" w:rsidR="006F7EBB" w:rsidRPr="00BB3C34" w:rsidRDefault="006F7EBB" w:rsidP="006F7EBB">
      <w:pPr>
        <w:pStyle w:val="P1"/>
        <w:rPr>
          <w:sz w:val="14"/>
          <w:szCs w:val="14"/>
        </w:rPr>
      </w:pPr>
      <w:r w:rsidRPr="00BB3C34">
        <w:rPr>
          <w:b/>
          <w:sz w:val="14"/>
          <w:szCs w:val="14"/>
        </w:rPr>
        <w:t xml:space="preserve">Figure 9. </w:t>
      </w:r>
      <w:r w:rsidRPr="00BB3C34">
        <w:rPr>
          <w:sz w:val="14"/>
          <w:szCs w:val="14"/>
        </w:rPr>
        <w:t>Differential hydrogen adsorption free energy ΔG</w:t>
      </w:r>
      <w:r w:rsidRPr="00BB3C34">
        <w:rPr>
          <w:sz w:val="14"/>
          <w:szCs w:val="14"/>
          <w:vertAlign w:val="subscript"/>
        </w:rPr>
        <w:t>H</w:t>
      </w:r>
      <w:r w:rsidRPr="00BB3C34">
        <w:rPr>
          <w:sz w:val="14"/>
          <w:szCs w:val="14"/>
        </w:rPr>
        <w:t xml:space="preserve"> for hydrogen adsorption on the edge of 1T TaS</w:t>
      </w:r>
      <w:r w:rsidRPr="00BB3C34">
        <w:rPr>
          <w:sz w:val="14"/>
          <w:szCs w:val="14"/>
          <w:vertAlign w:val="subscript"/>
        </w:rPr>
        <w:t xml:space="preserve">2 </w:t>
      </w:r>
      <w:r w:rsidRPr="00BB3C34">
        <w:rPr>
          <w:sz w:val="14"/>
          <w:szCs w:val="14"/>
        </w:rPr>
        <w:t>(a), the free energy as a function of sulfur coverage of the Ta-edge of 2H TaS</w:t>
      </w:r>
      <w:r w:rsidRPr="00BB3C34">
        <w:rPr>
          <w:sz w:val="14"/>
          <w:szCs w:val="14"/>
          <w:vertAlign w:val="subscript"/>
        </w:rPr>
        <w:t>2</w:t>
      </w:r>
      <w:r w:rsidRPr="00BB3C34">
        <w:rPr>
          <w:sz w:val="14"/>
          <w:szCs w:val="14"/>
        </w:rPr>
        <w:t xml:space="preserve"> (b), and the structure of 100% sulfur covered Ta-edge (c).</w:t>
      </w:r>
    </w:p>
    <w:p w14:paraId="1EC0502F" w14:textId="77777777" w:rsidR="006F7EBB" w:rsidRPr="006F7EBB" w:rsidRDefault="006F7EBB" w:rsidP="006F7EBB">
      <w:pPr>
        <w:pStyle w:val="P1"/>
      </w:pPr>
      <w:r w:rsidRPr="006F7EBB">
        <w:t xml:space="preserve"> </w:t>
      </w:r>
    </w:p>
    <w:p w14:paraId="52D0EC4C" w14:textId="77777777" w:rsidR="006F7EBB" w:rsidRPr="006F7EBB" w:rsidRDefault="006F7EBB" w:rsidP="00E46BB2">
      <w:pPr>
        <w:pStyle w:val="P1"/>
        <w:ind w:firstLine="425"/>
      </w:pPr>
      <w:r w:rsidRPr="006F7EBB">
        <w:t>In the case of 2H TaS</w:t>
      </w:r>
      <w:r w:rsidRPr="006F7EBB">
        <w:rPr>
          <w:vertAlign w:val="subscript"/>
        </w:rPr>
        <w:t>2</w:t>
      </w:r>
      <w:r w:rsidRPr="006F7EBB">
        <w:t>, the basal plane adsorbs hydrogen better than that of 1T TaS</w:t>
      </w:r>
      <w:r w:rsidRPr="006F7EBB">
        <w:rPr>
          <w:vertAlign w:val="subscript"/>
        </w:rPr>
        <w:t>2</w:t>
      </w:r>
      <w:r w:rsidRPr="006F7EBB">
        <w:t xml:space="preserve"> (ΔG</w:t>
      </w:r>
      <w:r w:rsidRPr="006F7EBB">
        <w:rPr>
          <w:vertAlign w:val="subscript"/>
        </w:rPr>
        <w:t>H</w:t>
      </w:r>
      <w:r w:rsidRPr="006F7EBB">
        <w:t>=0.22 eV). Similarly, hydrogen bonding to the Ta-edge becomes much stronger. The adsorption at low hydrogen coverage of 25 % results in negative ΔG</w:t>
      </w:r>
      <w:r w:rsidRPr="006F7EBB">
        <w:rPr>
          <w:vertAlign w:val="subscript"/>
        </w:rPr>
        <w:t xml:space="preserve">H </w:t>
      </w:r>
      <w:r w:rsidRPr="006F7EBB">
        <w:t>of -0.30 eV. At 50% coverage, we obtained ΔG</w:t>
      </w:r>
      <w:r w:rsidRPr="006F7EBB">
        <w:rPr>
          <w:vertAlign w:val="subscript"/>
        </w:rPr>
        <w:t xml:space="preserve">H </w:t>
      </w:r>
      <w:r w:rsidRPr="006F7EBB">
        <w:t>of -0.09 eV, the value which is close to zero and in excellent agreement with the result of Tsai et al.</w:t>
      </w:r>
      <w:r w:rsidRPr="006F7EBB">
        <w:rPr>
          <w:vertAlign w:val="superscript"/>
        </w:rPr>
        <w:t>[27]</w:t>
      </w:r>
      <w:r w:rsidRPr="006F7EBB">
        <w:t xml:space="preserve"> It should be noted that it is complicated to model the edge, as the coverage of sulfur atoms on the edge is highly dependent upon the operating conditions. The abovementioned values of ΔG</w:t>
      </w:r>
      <w:r w:rsidRPr="006F7EBB">
        <w:rPr>
          <w:vertAlign w:val="subscript"/>
        </w:rPr>
        <w:t>H</w:t>
      </w:r>
      <w:r w:rsidRPr="006F7EBB">
        <w:t xml:space="preserve"> were calculated for the Ta-edge covered by 50% sulfur atoms, which is a common model of the metal edge in TM dichalcogenides. The reason is that this edge structure was calculated to be the most stable under a broad range of conditions in prototypical dichalcogenide MoS</w:t>
      </w:r>
      <w:r w:rsidRPr="006F7EBB">
        <w:rPr>
          <w:vertAlign w:val="subscript"/>
        </w:rPr>
        <w:t>2</w:t>
      </w:r>
      <w:r w:rsidRPr="006F7EBB">
        <w:t>.</w:t>
      </w:r>
      <w:r w:rsidRPr="006F7EBB">
        <w:rPr>
          <w:vertAlign w:val="superscript"/>
        </w:rPr>
        <w:t>[28]</w:t>
      </w:r>
      <w:r w:rsidRPr="006F7EBB">
        <w:t xml:space="preserve"> In order to find the proper edge structure of 2H TaS</w:t>
      </w:r>
      <w:r w:rsidRPr="006F7EBB">
        <w:rPr>
          <w:vertAlign w:val="subscript"/>
        </w:rPr>
        <w:t>2</w:t>
      </w:r>
      <w:r w:rsidRPr="006F7EBB">
        <w:t>, we calculate the sulfur coverage of the Ta-edge explicitly. The edge is modeled by a 6×4 nanostripe, i.e. there are six Ta-S units along the edge, which allows one to consider broader range sulfur coverages. The results are rather surprising; the 50% sulfur coverage represents only a local minimum, whereas the global minimum of the energy occurs at 100% sulfur coverage (</w:t>
      </w:r>
      <w:r w:rsidRPr="006F7EBB">
        <w:rPr>
          <w:b/>
        </w:rPr>
        <w:t>Figure 9b</w:t>
      </w:r>
      <w:r w:rsidRPr="006F7EBB">
        <w:t>). There appears an unusual reconstruction of sulfur atoms on the edge at 100% coverage, which bears the periodicity of three Ta-S units (</w:t>
      </w:r>
      <w:r w:rsidRPr="006F7EBB">
        <w:rPr>
          <w:b/>
        </w:rPr>
        <w:t>Figure 9c</w:t>
      </w:r>
      <w:r w:rsidRPr="006F7EBB">
        <w:t>). Apparently, such reconstruction cannot be reproduced by a standard 4×4 nanostripe model of the edge. More importantly, the hydrogen adsorption on 100% sulfur covered Ta-edge becomes much less favorable (ΔG</w:t>
      </w:r>
      <w:r w:rsidRPr="006F7EBB">
        <w:rPr>
          <w:vertAlign w:val="subscript"/>
        </w:rPr>
        <w:t>H</w:t>
      </w:r>
      <w:r w:rsidRPr="006F7EBB">
        <w:t>=0.33 eV), which is more in line with the observed modest HER performance of 2H TaS</w:t>
      </w:r>
      <w:r w:rsidRPr="006F7EBB">
        <w:rPr>
          <w:vertAlign w:val="subscript"/>
        </w:rPr>
        <w:t>2</w:t>
      </w:r>
      <w:r w:rsidRPr="006F7EBB">
        <w:t>. Needless to say, this value of hydrogen adsorption enthalpy is still slightly better than those we obtained for 1T TaS</w:t>
      </w:r>
      <w:r w:rsidRPr="006F7EBB">
        <w:rPr>
          <w:vertAlign w:val="subscript"/>
        </w:rPr>
        <w:t>2</w:t>
      </w:r>
      <w:r w:rsidRPr="006F7EBB">
        <w:t>, but the surface oxidation of 2H TaS</w:t>
      </w:r>
      <w:r w:rsidRPr="006F7EBB">
        <w:rPr>
          <w:vertAlign w:val="subscript"/>
        </w:rPr>
        <w:t>2</w:t>
      </w:r>
      <w:r w:rsidRPr="006F7EBB">
        <w:t xml:space="preserve"> (see above) most probably hampers its HER performance.  In addition, there are further factors which may reduce HER performance of 2H TaS</w:t>
      </w:r>
      <w:r w:rsidRPr="006F7EBB">
        <w:rPr>
          <w:vertAlign w:val="subscript"/>
        </w:rPr>
        <w:t>2</w:t>
      </w:r>
      <w:r w:rsidRPr="006F7EBB">
        <w:t xml:space="preserve"> such as its lower conductivity, number of active sites, possibly higher reaction barriers for the Volmer-Tafel reaction</w:t>
      </w:r>
      <w:proofErr w:type="gramStart"/>
      <w:r w:rsidRPr="006F7EBB">
        <w:t>.</w:t>
      </w:r>
      <w:r w:rsidRPr="006F7EBB">
        <w:rPr>
          <w:vertAlign w:val="superscript"/>
        </w:rPr>
        <w:t>[</w:t>
      </w:r>
      <w:proofErr w:type="gramEnd"/>
      <w:r w:rsidRPr="006F7EBB">
        <w:rPr>
          <w:vertAlign w:val="superscript"/>
        </w:rPr>
        <w:t>29]</w:t>
      </w:r>
      <w:r w:rsidRPr="006F7EBB">
        <w:t xml:space="preserve"> </w:t>
      </w:r>
    </w:p>
    <w:p w14:paraId="3405F58E" w14:textId="77777777" w:rsidR="006F7EBB" w:rsidRPr="006F7EBB" w:rsidRDefault="009C6FAF" w:rsidP="00E46BB2">
      <w:pPr>
        <w:pStyle w:val="P1"/>
        <w:ind w:firstLine="425"/>
      </w:pPr>
      <w:r w:rsidRPr="00B20836">
        <w:rPr>
          <w:b/>
          <w:noProof/>
          <w:lang w:val="en-GB" w:eastAsia="en-GB"/>
        </w:rPr>
        <w:drawing>
          <wp:anchor distT="0" distB="0" distL="114300" distR="114300" simplePos="0" relativeHeight="251679232" behindDoc="0" locked="0" layoutInCell="1" allowOverlap="1" wp14:anchorId="3CE8C729" wp14:editId="492D5619">
            <wp:simplePos x="0" y="0"/>
            <wp:positionH relativeFrom="column">
              <wp:posOffset>30480</wp:posOffset>
            </wp:positionH>
            <wp:positionV relativeFrom="paragraph">
              <wp:posOffset>1729740</wp:posOffset>
            </wp:positionV>
            <wp:extent cx="3049270" cy="2188845"/>
            <wp:effectExtent l="0" t="0" r="0" b="1905"/>
            <wp:wrapTopAndBottom/>
            <wp:docPr id="23"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9270" cy="21888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46BB2" w:rsidRPr="00B20836">
        <w:rPr>
          <w:b/>
          <w:noProof/>
          <w:lang w:val="en-GB" w:eastAsia="en-GB"/>
        </w:rPr>
        <w:drawing>
          <wp:anchor distT="0" distB="0" distL="114300" distR="114300" simplePos="0" relativeHeight="251681280" behindDoc="0" locked="0" layoutInCell="1" allowOverlap="1" wp14:anchorId="6B4CCDA1" wp14:editId="7C797D70">
            <wp:simplePos x="0" y="0"/>
            <wp:positionH relativeFrom="column">
              <wp:posOffset>3321685</wp:posOffset>
            </wp:positionH>
            <wp:positionV relativeFrom="paragraph">
              <wp:posOffset>184785</wp:posOffset>
            </wp:positionV>
            <wp:extent cx="3064510" cy="2195830"/>
            <wp:effectExtent l="0" t="0" r="2540" b="0"/>
            <wp:wrapTopAndBottom/>
            <wp:docPr id="24"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4510" cy="21958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F7EBB" w:rsidRPr="006F7EBB">
        <w:t>Another key parameter easily accessible from the LSV curves is the Tafel slope. Beside the information about the voltage differential needed for an increase of current density by one order, it also gives information about the rate limiting step. Several rate limiting steps were proposed on the basis of previous studies</w:t>
      </w:r>
      <w:proofErr w:type="gramStart"/>
      <w:r w:rsidR="006F7EBB" w:rsidRPr="006F7EBB">
        <w:t>.</w:t>
      </w:r>
      <w:r w:rsidR="006F7EBB" w:rsidRPr="006F7EBB">
        <w:rPr>
          <w:vertAlign w:val="superscript"/>
        </w:rPr>
        <w:t>[</w:t>
      </w:r>
      <w:proofErr w:type="gramEnd"/>
      <w:r w:rsidR="006F7EBB" w:rsidRPr="006F7EBB">
        <w:rPr>
          <w:vertAlign w:val="superscript"/>
        </w:rPr>
        <w:t>30]</w:t>
      </w:r>
      <w:r w:rsidR="006F7EBB" w:rsidRPr="006F7EBB">
        <w:t xml:space="preserve"> Volmer adsorption step has been shown to be rate limiting when the Tafel slope is 120 mV/dec or higher. Heyrovsky desorption step is rate limiting when the Tafel slope is around 40 mV/dec and Tafel desorption step is rate limiting with Tafel slope values around 30 mV/dec. Tafel slope curves and their average values together with standard deviations are shown in </w:t>
      </w:r>
      <w:r w:rsidR="006F7EBB" w:rsidRPr="006F7EBB">
        <w:rPr>
          <w:b/>
        </w:rPr>
        <w:t>Figure 10</w:t>
      </w:r>
      <w:r w:rsidR="006F7EBB" w:rsidRPr="006F7EBB">
        <w:t>.</w:t>
      </w:r>
    </w:p>
    <w:p w14:paraId="63AA092C" w14:textId="77777777" w:rsidR="006F7EBB" w:rsidRPr="006F7EBB" w:rsidRDefault="006F7EBB" w:rsidP="006F7EBB">
      <w:pPr>
        <w:pStyle w:val="P1"/>
        <w:rPr>
          <w:b/>
        </w:rPr>
      </w:pPr>
    </w:p>
    <w:p w14:paraId="0D2ECCDB" w14:textId="77777777" w:rsidR="006F7EBB" w:rsidRPr="00BB3C34" w:rsidRDefault="006F7EBB" w:rsidP="006F7EBB">
      <w:pPr>
        <w:pStyle w:val="P1"/>
        <w:rPr>
          <w:sz w:val="14"/>
          <w:szCs w:val="14"/>
        </w:rPr>
      </w:pPr>
      <w:r w:rsidRPr="00BB3C34">
        <w:rPr>
          <w:b/>
          <w:sz w:val="14"/>
          <w:szCs w:val="14"/>
        </w:rPr>
        <w:t xml:space="preserve">Figure 10. </w:t>
      </w:r>
      <w:r w:rsidRPr="00BB3C34">
        <w:rPr>
          <w:sz w:val="14"/>
          <w:szCs w:val="14"/>
        </w:rPr>
        <w:t>Tafel slope curves of (A) 2H TaS</w:t>
      </w:r>
      <w:r w:rsidRPr="00BB3C34">
        <w:rPr>
          <w:sz w:val="14"/>
          <w:szCs w:val="14"/>
          <w:vertAlign w:val="subscript"/>
        </w:rPr>
        <w:t>2</w:t>
      </w:r>
      <w:r w:rsidRPr="00BB3C34">
        <w:rPr>
          <w:sz w:val="14"/>
          <w:szCs w:val="14"/>
        </w:rPr>
        <w:t xml:space="preserve"> and (C) 1T TaS</w:t>
      </w:r>
      <w:r w:rsidRPr="00BB3C34">
        <w:rPr>
          <w:sz w:val="14"/>
          <w:szCs w:val="14"/>
          <w:vertAlign w:val="subscript"/>
        </w:rPr>
        <w:t>2</w:t>
      </w:r>
      <w:r w:rsidRPr="00BB3C34">
        <w:rPr>
          <w:sz w:val="14"/>
          <w:szCs w:val="14"/>
        </w:rPr>
        <w:t xml:space="preserve"> and their respective average values of (B) 2H TaS</w:t>
      </w:r>
      <w:r w:rsidRPr="00BB3C34">
        <w:rPr>
          <w:sz w:val="14"/>
          <w:szCs w:val="14"/>
          <w:vertAlign w:val="subscript"/>
        </w:rPr>
        <w:t>2</w:t>
      </w:r>
      <w:r w:rsidRPr="00BB3C34">
        <w:rPr>
          <w:sz w:val="14"/>
          <w:szCs w:val="14"/>
        </w:rPr>
        <w:t xml:space="preserve"> and (D) 1T TaS</w:t>
      </w:r>
      <w:r w:rsidRPr="00BB3C34">
        <w:rPr>
          <w:sz w:val="14"/>
          <w:szCs w:val="14"/>
          <w:vertAlign w:val="subscript"/>
        </w:rPr>
        <w:t>2</w:t>
      </w:r>
      <w:r w:rsidRPr="00BB3C34">
        <w:rPr>
          <w:sz w:val="14"/>
          <w:szCs w:val="14"/>
        </w:rPr>
        <w:t>. Error bars are based on triplicate measurements.</w:t>
      </w:r>
    </w:p>
    <w:p w14:paraId="5775A84D" w14:textId="77777777" w:rsidR="006F7EBB" w:rsidRPr="006F7EBB" w:rsidRDefault="006F7EBB" w:rsidP="006F7EBB">
      <w:pPr>
        <w:pStyle w:val="P1"/>
      </w:pPr>
    </w:p>
    <w:p w14:paraId="57C67B65" w14:textId="77777777" w:rsidR="006F7EBB" w:rsidRPr="006F7EBB" w:rsidRDefault="006F7EBB" w:rsidP="00E46BB2">
      <w:pPr>
        <w:pStyle w:val="P1"/>
        <w:ind w:firstLine="425"/>
      </w:pPr>
      <w:r w:rsidRPr="006F7EBB">
        <w:t>All the 2H TaS</w:t>
      </w:r>
      <w:r w:rsidRPr="006F7EBB">
        <w:rPr>
          <w:vertAlign w:val="subscript"/>
        </w:rPr>
        <w:t>2</w:t>
      </w:r>
      <w:r w:rsidRPr="006F7EBB">
        <w:t xml:space="preserve"> samples exhibit large Tafel slope above the value of 120 mV/dec indicating that the Volmer adsorption step is the rate limiting. Only 2H TaS</w:t>
      </w:r>
      <w:r w:rsidRPr="006F7EBB">
        <w:rPr>
          <w:vertAlign w:val="subscript"/>
        </w:rPr>
        <w:t>2</w:t>
      </w:r>
      <w:r w:rsidRPr="006F7EBB">
        <w:t xml:space="preserve"> red. </w:t>
      </w:r>
      <w:proofErr w:type="gramStart"/>
      <w:r w:rsidRPr="006F7EBB">
        <w:t>exhibits</w:t>
      </w:r>
      <w:proofErr w:type="gramEnd"/>
      <w:r w:rsidRPr="006F7EBB">
        <w:t xml:space="preserve"> a slightly lower Tafel slope, nevertheless this is in good agreement with the total HER activity improvement. In the case of 1T TaS</w:t>
      </w:r>
      <w:r w:rsidRPr="006F7EBB">
        <w:rPr>
          <w:vertAlign w:val="subscript"/>
        </w:rPr>
        <w:t>2</w:t>
      </w:r>
      <w:r w:rsidRPr="006F7EBB">
        <w:t xml:space="preserve"> and 1T TaS</w:t>
      </w:r>
      <w:r w:rsidRPr="006F7EBB">
        <w:rPr>
          <w:vertAlign w:val="subscript"/>
        </w:rPr>
        <w:t>2</w:t>
      </w:r>
      <w:r w:rsidRPr="006F7EBB">
        <w:t xml:space="preserve"> red., which both have Tafel slope below 100 mV/dec we can infer, that the combination of Volmer and Heyrovsky is the rate limiting step. Finally 1T TaS</w:t>
      </w:r>
      <w:r w:rsidRPr="006F7EBB">
        <w:rPr>
          <w:vertAlign w:val="subscript"/>
        </w:rPr>
        <w:t>2</w:t>
      </w:r>
      <w:r w:rsidRPr="006F7EBB">
        <w:t xml:space="preserve"> ox. </w:t>
      </w:r>
      <w:proofErr w:type="gramStart"/>
      <w:r w:rsidRPr="006F7EBB">
        <w:t>has</w:t>
      </w:r>
      <w:proofErr w:type="gramEnd"/>
      <w:r w:rsidRPr="006F7EBB">
        <w:t xml:space="preserve"> a large Tafel slope and a Volmer step is the rate limiting.</w:t>
      </w:r>
    </w:p>
    <w:p w14:paraId="7478C155" w14:textId="77777777" w:rsidR="006F7EBB" w:rsidRPr="006F7EBB" w:rsidRDefault="006F7EBB" w:rsidP="00E46BB2">
      <w:pPr>
        <w:pStyle w:val="P1"/>
        <w:ind w:firstLine="425"/>
      </w:pPr>
      <w:r w:rsidRPr="006F7EBB">
        <w:t xml:space="preserve">Ultimately, catalytic activity towards the oxygen reduction reaction (ORR) of </w:t>
      </w:r>
      <w:proofErr w:type="gramStart"/>
      <w:r w:rsidRPr="006F7EBB">
        <w:t>TaS</w:t>
      </w:r>
      <w:r w:rsidRPr="006F7EBB">
        <w:rPr>
          <w:vertAlign w:val="subscript"/>
        </w:rPr>
        <w:t xml:space="preserve">2  </w:t>
      </w:r>
      <w:r w:rsidRPr="006F7EBB">
        <w:t>was</w:t>
      </w:r>
      <w:proofErr w:type="gramEnd"/>
      <w:r w:rsidRPr="006F7EBB">
        <w:t xml:space="preserve"> tested (</w:t>
      </w:r>
      <w:r w:rsidRPr="006F7EBB">
        <w:rPr>
          <w:b/>
        </w:rPr>
        <w:t>Figure 11</w:t>
      </w:r>
      <w:r w:rsidRPr="006F7EBB">
        <w:t>). In this case, the onset potential was taken as a comparative value. Both 2H and 1T TaS</w:t>
      </w:r>
      <w:r w:rsidRPr="006F7EBB">
        <w:rPr>
          <w:vertAlign w:val="subscript"/>
        </w:rPr>
        <w:t>2</w:t>
      </w:r>
      <w:r w:rsidRPr="006F7EBB">
        <w:t xml:space="preserve"> outperform bare GC electrode and have their onset potential close to that of Pt/C catalyst. 2H TaS</w:t>
      </w:r>
      <w:r w:rsidRPr="006F7EBB">
        <w:rPr>
          <w:vertAlign w:val="subscript"/>
        </w:rPr>
        <w:t>2</w:t>
      </w:r>
      <w:r w:rsidRPr="006F7EBB">
        <w:t xml:space="preserve"> has an onset potential at ca. -0.26V which lowers after electrochemical treatment up to -0.23V in case of 2H TaS</w:t>
      </w:r>
      <w:r w:rsidRPr="006F7EBB">
        <w:rPr>
          <w:vertAlign w:val="subscript"/>
        </w:rPr>
        <w:t>2</w:t>
      </w:r>
      <w:r w:rsidRPr="006F7EBB">
        <w:t xml:space="preserve"> ox. The increased activity of 2H TaS</w:t>
      </w:r>
      <w:r w:rsidRPr="006F7EBB">
        <w:rPr>
          <w:vertAlign w:val="subscript"/>
        </w:rPr>
        <w:t>2</w:t>
      </w:r>
      <w:r w:rsidRPr="006F7EBB">
        <w:t xml:space="preserve"> may actually stem from the presence of oxides (Ta</w:t>
      </w:r>
      <w:r w:rsidRPr="006F7EBB">
        <w:rPr>
          <w:vertAlign w:val="subscript"/>
        </w:rPr>
        <w:t>2</w:t>
      </w:r>
      <w:r w:rsidRPr="006F7EBB">
        <w:t>O</w:t>
      </w:r>
      <w:r w:rsidRPr="006F7EBB">
        <w:rPr>
          <w:vertAlign w:val="subscript"/>
        </w:rPr>
        <w:t>5</w:t>
      </w:r>
      <w:r w:rsidRPr="006F7EBB">
        <w:t>) formed during the oxidation. This is in good agreement with previous reports on tantalum oxides used for ORR catalysis, where they exhibited improved performance compared to GC electrode</w:t>
      </w:r>
      <w:proofErr w:type="gramStart"/>
      <w:r w:rsidRPr="006F7EBB">
        <w:t>.</w:t>
      </w:r>
      <w:r w:rsidRPr="006F7EBB">
        <w:rPr>
          <w:vertAlign w:val="superscript"/>
        </w:rPr>
        <w:t>[</w:t>
      </w:r>
      <w:proofErr w:type="gramEnd"/>
      <w:r w:rsidRPr="006F7EBB">
        <w:rPr>
          <w:vertAlign w:val="superscript"/>
        </w:rPr>
        <w:t>31]</w:t>
      </w:r>
      <w:r w:rsidRPr="006F7EBB">
        <w:t xml:space="preserve">  The case of 1T TaS</w:t>
      </w:r>
      <w:r w:rsidRPr="006F7EBB">
        <w:rPr>
          <w:vertAlign w:val="subscript"/>
        </w:rPr>
        <w:t>2</w:t>
      </w:r>
      <w:r w:rsidRPr="006F7EBB">
        <w:t xml:space="preserve"> exhibits the same trend and can be explained in the same manner as for 2H TaS</w:t>
      </w:r>
      <w:r w:rsidRPr="006F7EBB">
        <w:rPr>
          <w:vertAlign w:val="subscript"/>
        </w:rPr>
        <w:t>2</w:t>
      </w:r>
      <w:r w:rsidRPr="006F7EBB">
        <w:t>. Also the additional peak in the LSV line of 1T TaS</w:t>
      </w:r>
      <w:r w:rsidRPr="006F7EBB">
        <w:rPr>
          <w:vertAlign w:val="subscript"/>
        </w:rPr>
        <w:t>2</w:t>
      </w:r>
      <w:r w:rsidRPr="006F7EBB">
        <w:t xml:space="preserve"> at ca -0.7V originates from inherent electrochemistry. Therefore, it would be necessary to use potential lower than -0.6V when used in practice. </w:t>
      </w:r>
    </w:p>
    <w:p w14:paraId="579DCC71" w14:textId="77777777" w:rsidR="006F7EBB" w:rsidRPr="006F7EBB" w:rsidRDefault="006F7EBB" w:rsidP="006F7EBB">
      <w:pPr>
        <w:pStyle w:val="P1"/>
        <w:rPr>
          <w:b/>
        </w:rPr>
      </w:pPr>
    </w:p>
    <w:p w14:paraId="5BB900E9" w14:textId="77777777" w:rsidR="006F7EBB" w:rsidRPr="00BB3C34" w:rsidRDefault="006F7EBB" w:rsidP="006F7EBB">
      <w:pPr>
        <w:pStyle w:val="P1"/>
        <w:rPr>
          <w:sz w:val="14"/>
          <w:szCs w:val="14"/>
        </w:rPr>
      </w:pPr>
      <w:r w:rsidRPr="00BB3C34">
        <w:rPr>
          <w:b/>
          <w:sz w:val="14"/>
          <w:szCs w:val="14"/>
        </w:rPr>
        <w:t xml:space="preserve">Figure 11. </w:t>
      </w:r>
      <w:r w:rsidRPr="00BB3C34">
        <w:rPr>
          <w:sz w:val="14"/>
          <w:szCs w:val="14"/>
        </w:rPr>
        <w:t>ORR LSV curves of (A) 2H TaS</w:t>
      </w:r>
      <w:r w:rsidRPr="00BB3C34">
        <w:rPr>
          <w:sz w:val="14"/>
          <w:szCs w:val="14"/>
          <w:vertAlign w:val="subscript"/>
        </w:rPr>
        <w:t>2</w:t>
      </w:r>
      <w:r w:rsidRPr="00BB3C34">
        <w:rPr>
          <w:sz w:val="14"/>
          <w:szCs w:val="14"/>
        </w:rPr>
        <w:t xml:space="preserve"> and (C) 1T TaS</w:t>
      </w:r>
      <w:r w:rsidRPr="00BB3C34">
        <w:rPr>
          <w:sz w:val="14"/>
          <w:szCs w:val="14"/>
          <w:vertAlign w:val="subscript"/>
        </w:rPr>
        <w:t>2</w:t>
      </w:r>
      <w:r w:rsidRPr="00BB3C34">
        <w:rPr>
          <w:sz w:val="14"/>
          <w:szCs w:val="14"/>
        </w:rPr>
        <w:t xml:space="preserve"> and their respective average values of (B) 2H TaS</w:t>
      </w:r>
      <w:r w:rsidRPr="00BB3C34">
        <w:rPr>
          <w:sz w:val="14"/>
          <w:szCs w:val="14"/>
          <w:vertAlign w:val="subscript"/>
        </w:rPr>
        <w:t>2</w:t>
      </w:r>
      <w:r w:rsidRPr="00BB3C34">
        <w:rPr>
          <w:sz w:val="14"/>
          <w:szCs w:val="14"/>
        </w:rPr>
        <w:t xml:space="preserve"> and (D) 1T TaS</w:t>
      </w:r>
      <w:r w:rsidRPr="00BB3C34">
        <w:rPr>
          <w:sz w:val="14"/>
          <w:szCs w:val="14"/>
          <w:vertAlign w:val="subscript"/>
        </w:rPr>
        <w:t>2</w:t>
      </w:r>
      <w:r w:rsidRPr="00BB3C34">
        <w:rPr>
          <w:sz w:val="14"/>
          <w:szCs w:val="14"/>
        </w:rPr>
        <w:t xml:space="preserve">. Error bars are based on triplicate measurements. Measurements </w:t>
      </w:r>
      <w:proofErr w:type="gramStart"/>
      <w:r w:rsidRPr="00BB3C34">
        <w:rPr>
          <w:sz w:val="14"/>
          <w:szCs w:val="14"/>
        </w:rPr>
        <w:t>were performed</w:t>
      </w:r>
      <w:proofErr w:type="gramEnd"/>
      <w:r w:rsidRPr="00BB3C34">
        <w:rPr>
          <w:sz w:val="14"/>
          <w:szCs w:val="14"/>
        </w:rPr>
        <w:t xml:space="preserve"> in a 0.5M KOH solution with a scan rate of 50 mV/s. Solution was bubbled with air for at least 5 minutes prior to each measurement. Onset potential is shown as an absolute value.</w:t>
      </w:r>
    </w:p>
    <w:p w14:paraId="6364E021" w14:textId="77777777" w:rsidR="00854A3E" w:rsidRDefault="00854A3E" w:rsidP="00854A3E">
      <w:pPr>
        <w:pStyle w:val="H1"/>
      </w:pPr>
      <w:r>
        <w:t>Conclusions</w:t>
      </w:r>
    </w:p>
    <w:p w14:paraId="2FF74B00" w14:textId="77777777" w:rsidR="009C6FAF" w:rsidRPr="009C6FAF" w:rsidRDefault="009C6FAF" w:rsidP="009C6FAF">
      <w:pPr>
        <w:pStyle w:val="P1"/>
        <w:ind w:firstLine="425"/>
      </w:pPr>
      <w:r w:rsidRPr="009C6FAF">
        <w:t>We have prepared bulk single phase 2H TaS</w:t>
      </w:r>
      <w:r w:rsidRPr="009C6FAF">
        <w:rPr>
          <w:vertAlign w:val="subscript"/>
        </w:rPr>
        <w:t xml:space="preserve">2 </w:t>
      </w:r>
      <w:r w:rsidRPr="009C6FAF">
        <w:t>and 1T TaS</w:t>
      </w:r>
      <w:r w:rsidRPr="009C6FAF">
        <w:rPr>
          <w:vertAlign w:val="subscript"/>
        </w:rPr>
        <w:t>2</w:t>
      </w:r>
      <w:r w:rsidRPr="009C6FAF">
        <w:t>. The prepared materials are formed of large uniform crystals with good crystallinity, which was confirmed by both SEM and XRD. Homogeneous distribution of elements was confirmed by SEM-EDS. Electrochemical treatment by means of oxidation/reduction introduces higher concentration of Ta</w:t>
      </w:r>
      <w:r w:rsidRPr="009C6FAF">
        <w:rPr>
          <w:vertAlign w:val="superscript"/>
        </w:rPr>
        <w:t>V</w:t>
      </w:r>
      <w:r w:rsidRPr="009C6FAF">
        <w:t xml:space="preserve"> species in both cases, but reduction also yields tantalum in Ta</w:t>
      </w:r>
      <w:r w:rsidRPr="009C6FAF">
        <w:rPr>
          <w:vertAlign w:val="superscript"/>
        </w:rPr>
        <w:t>0</w:t>
      </w:r>
      <w:r w:rsidRPr="009C6FAF">
        <w:t xml:space="preserve"> state. The increase of Ta</w:t>
      </w:r>
      <w:r w:rsidRPr="009C6FAF">
        <w:rPr>
          <w:vertAlign w:val="superscript"/>
        </w:rPr>
        <w:t>V</w:t>
      </w:r>
      <w:r w:rsidRPr="009C6FAF">
        <w:t xml:space="preserve"> concentration in the reduced samples most likely originates from a formation of unstable products which undergo degradation into Ta</w:t>
      </w:r>
      <w:r w:rsidRPr="009C6FAF">
        <w:rPr>
          <w:vertAlign w:val="superscript"/>
        </w:rPr>
        <w:t>V</w:t>
      </w:r>
      <w:r w:rsidRPr="009C6FAF">
        <w:t xml:space="preserve"> species. As far as heterogeneous electron transfer goes, all TaS</w:t>
      </w:r>
      <w:r w:rsidRPr="009C6FAF">
        <w:rPr>
          <w:vertAlign w:val="subscript"/>
        </w:rPr>
        <w:t>2</w:t>
      </w:r>
      <w:r w:rsidRPr="009C6FAF">
        <w:t xml:space="preserve"> samples exhibit slow HET rates, compared to GC electrode, which impairs their employment in devices such as electrochemical sensors. Moreover electrochemical treatment does not lead to any improvement in HET rates. Application in hydrogen evolution is also unfavorable as </w:t>
      </w:r>
      <w:proofErr w:type="gramStart"/>
      <w:r w:rsidRPr="009C6FAF">
        <w:t>these</w:t>
      </w:r>
      <w:proofErr w:type="gramEnd"/>
      <w:r w:rsidRPr="009C6FAF">
        <w:t xml:space="preserve"> materials exhibit relatively large overpotentials required for the current density of -10 mA/cm</w:t>
      </w:r>
      <w:r w:rsidRPr="009C6FAF">
        <w:rPr>
          <w:vertAlign w:val="superscript"/>
        </w:rPr>
        <w:t>2</w:t>
      </w:r>
      <w:r w:rsidRPr="009C6FAF">
        <w:t>. Only untreated 1T TaS</w:t>
      </w:r>
      <w:r w:rsidRPr="009C6FAF">
        <w:rPr>
          <w:vertAlign w:val="subscript"/>
        </w:rPr>
        <w:t>2</w:t>
      </w:r>
      <w:r w:rsidRPr="009C6FAF">
        <w:t xml:space="preserve"> exhibits overpotential lower than that of bare GC electrode but still requires much larger potential compared to Pt/C catalyst. 1T TaS</w:t>
      </w:r>
      <w:r w:rsidRPr="009C6FAF">
        <w:rPr>
          <w:vertAlign w:val="subscript"/>
        </w:rPr>
        <w:t>2</w:t>
      </w:r>
      <w:r w:rsidRPr="009C6FAF">
        <w:t xml:space="preserve"> exhibits higher catalytic activity than 2H TaS</w:t>
      </w:r>
      <w:r w:rsidRPr="009C6FAF">
        <w:rPr>
          <w:vertAlign w:val="subscript"/>
        </w:rPr>
        <w:t>2</w:t>
      </w:r>
      <w:r w:rsidRPr="009C6FAF">
        <w:t>,</w:t>
      </w:r>
      <w:r w:rsidRPr="009C6FAF">
        <w:rPr>
          <w:vertAlign w:val="subscript"/>
        </w:rPr>
        <w:t xml:space="preserve"> </w:t>
      </w:r>
      <w:r w:rsidRPr="009C6FAF">
        <w:t>although the theoretical calculations indicated the opposite.</w:t>
      </w:r>
      <w:r w:rsidRPr="009C6FAF">
        <w:rPr>
          <w:vertAlign w:val="subscript"/>
        </w:rPr>
        <w:t xml:space="preserve"> </w:t>
      </w:r>
      <w:r w:rsidRPr="009C6FAF">
        <w:t>However, this discrepancy can be explained in terms of inherent electrochemistry, which seems to dominate the electrochemical performance of both TaS</w:t>
      </w:r>
      <w:r w:rsidRPr="009C6FAF">
        <w:rPr>
          <w:vertAlign w:val="subscript"/>
        </w:rPr>
        <w:t>2</w:t>
      </w:r>
      <w:r w:rsidRPr="009C6FAF">
        <w:t xml:space="preserve"> polytypes. The most promising seems to be the employment in the oxygen reduction reaction catalysis, where both 2H TaS</w:t>
      </w:r>
      <w:r w:rsidRPr="009C6FAF">
        <w:rPr>
          <w:vertAlign w:val="subscript"/>
        </w:rPr>
        <w:t>2</w:t>
      </w:r>
      <w:r w:rsidRPr="009C6FAF">
        <w:t xml:space="preserve"> and 1T TaS</w:t>
      </w:r>
      <w:r w:rsidRPr="009C6FAF">
        <w:rPr>
          <w:vertAlign w:val="subscript"/>
        </w:rPr>
        <w:t>2</w:t>
      </w:r>
      <w:r w:rsidRPr="009C6FAF">
        <w:t xml:space="preserve"> show performance relatively close to that of Pt/C catalyst. This effect is even more pronounced when subjected to electrochemical pretreatment.</w:t>
      </w:r>
    </w:p>
    <w:p w14:paraId="3D04FFE3" w14:textId="77777777" w:rsidR="00D80821" w:rsidRPr="005D1EBB" w:rsidRDefault="00D80821" w:rsidP="00D80821">
      <w:pPr>
        <w:pStyle w:val="P1"/>
      </w:pPr>
    </w:p>
    <w:p w14:paraId="03D98CD9" w14:textId="77777777" w:rsidR="007D2ED9" w:rsidRPr="00C8278A" w:rsidRDefault="000E76B8" w:rsidP="000E76B8">
      <w:pPr>
        <w:pStyle w:val="HExperimentalSection"/>
        <w:rPr>
          <w:lang w:val="en-US"/>
        </w:rPr>
      </w:pPr>
      <w:r w:rsidRPr="00C8278A">
        <w:rPr>
          <w:lang w:val="en-US"/>
        </w:rPr>
        <w:t>Experimental Section</w:t>
      </w:r>
    </w:p>
    <w:p w14:paraId="4BFD0B17" w14:textId="77777777" w:rsidR="009C6FAF" w:rsidRPr="009C6FAF" w:rsidRDefault="009C6FAF" w:rsidP="009C6FAF">
      <w:pPr>
        <w:pStyle w:val="ExperimentalSection"/>
        <w:rPr>
          <w:b/>
          <w:lang w:val="en-US"/>
        </w:rPr>
      </w:pPr>
      <w:r w:rsidRPr="009C6FAF">
        <w:rPr>
          <w:b/>
          <w:lang w:val="en-US"/>
        </w:rPr>
        <w:t>Materials</w:t>
      </w:r>
    </w:p>
    <w:p w14:paraId="459F5C47" w14:textId="77777777" w:rsidR="009C6FAF" w:rsidRPr="009C6FAF" w:rsidRDefault="009C6FAF" w:rsidP="009C6FAF">
      <w:pPr>
        <w:pStyle w:val="ExperimentalSection"/>
        <w:rPr>
          <w:lang w:val="en-US"/>
        </w:rPr>
      </w:pPr>
      <w:r w:rsidRPr="009C6FAF">
        <w:rPr>
          <w:lang w:val="en-US"/>
        </w:rPr>
        <w:t>Tantalum (99.9%) and sulfur (99.999%) were obtained from Strem, USA. Potassium hydrogenphosphate, potassium dihydrogenphosphate, sulfuric acid and potassium ferrocyanide were obtained from PENTA, Czech Republic.</w:t>
      </w:r>
    </w:p>
    <w:p w14:paraId="0DA3F15A" w14:textId="77777777" w:rsidR="009C6FAF" w:rsidRPr="009C6FAF" w:rsidRDefault="009C6FAF" w:rsidP="009C6FAF">
      <w:pPr>
        <w:pStyle w:val="ExperimentalSection"/>
        <w:rPr>
          <w:b/>
          <w:lang w:val="en-US"/>
        </w:rPr>
      </w:pPr>
      <w:r w:rsidRPr="009C6FAF">
        <w:rPr>
          <w:b/>
          <w:lang w:val="en-US"/>
        </w:rPr>
        <w:t>Synthesis procedure</w:t>
      </w:r>
    </w:p>
    <w:p w14:paraId="656ED033" w14:textId="77777777" w:rsidR="009C6FAF" w:rsidRPr="009C6FAF" w:rsidRDefault="009C6FAF" w:rsidP="009C6FAF">
      <w:pPr>
        <w:pStyle w:val="ExperimentalSection"/>
        <w:rPr>
          <w:lang w:val="en-US"/>
        </w:rPr>
      </w:pPr>
      <w:r w:rsidRPr="009C6FAF">
        <w:rPr>
          <w:lang w:val="en-US"/>
        </w:rPr>
        <w:t>Stoichiometric amounts of sulfur and tantalum necessary for the synthesis of 12 g of TaS</w:t>
      </w:r>
      <w:r w:rsidRPr="009C6FAF">
        <w:rPr>
          <w:vertAlign w:val="subscript"/>
          <w:lang w:val="en-US"/>
        </w:rPr>
        <w:t>2</w:t>
      </w:r>
      <w:r w:rsidRPr="009C6FAF">
        <w:rPr>
          <w:lang w:val="en-US"/>
        </w:rPr>
        <w:t xml:space="preserve"> were placed in quartz glass ampoule and 100 mg of additional sulfur were added. The ampoule was sealed under vacuum (&lt; 5x10</w:t>
      </w:r>
      <w:r w:rsidRPr="009C6FAF">
        <w:rPr>
          <w:vertAlign w:val="superscript"/>
          <w:lang w:val="en-US"/>
        </w:rPr>
        <w:t>-3</w:t>
      </w:r>
      <w:r w:rsidRPr="009C6FAF">
        <w:rPr>
          <w:lang w:val="en-US"/>
        </w:rPr>
        <w:t xml:space="preserve"> Pa) using oxygen-hydrogen welding torch. The ampoule was placed in the furnace and heated at 600 °C for 48 hours using 1 K/min heating rate and 5 K/min cooling rate. Subsequently the ampoule was heated at 800 °C for 48 hours with a heating rate and cooling rate of 5 K/min. The obtained TaS</w:t>
      </w:r>
      <w:r w:rsidRPr="009C6FAF">
        <w:rPr>
          <w:vertAlign w:val="subscript"/>
          <w:lang w:val="en-US"/>
        </w:rPr>
        <w:t>2</w:t>
      </w:r>
      <w:r w:rsidRPr="009C6FAF">
        <w:rPr>
          <w:lang w:val="en-US"/>
        </w:rPr>
        <w:t xml:space="preserve"> consisted of a mixture of 2H and 3R phase. In order to obtain a pure 2H or 1T TaS</w:t>
      </w:r>
      <w:r w:rsidRPr="009C6FAF">
        <w:rPr>
          <w:vertAlign w:val="subscript"/>
          <w:lang w:val="en-US"/>
        </w:rPr>
        <w:t>2</w:t>
      </w:r>
      <w:r w:rsidRPr="009C6FAF">
        <w:rPr>
          <w:lang w:val="en-US"/>
        </w:rPr>
        <w:t>, further thermal treatment was necessary. For the synthesis of 1T TaS</w:t>
      </w:r>
      <w:r w:rsidRPr="009C6FAF">
        <w:rPr>
          <w:vertAlign w:val="subscript"/>
          <w:lang w:val="en-US"/>
        </w:rPr>
        <w:t>2</w:t>
      </w:r>
      <w:r w:rsidRPr="009C6FAF">
        <w:rPr>
          <w:lang w:val="en-US"/>
        </w:rPr>
        <w:t xml:space="preserve"> 5g of synthesized TaS</w:t>
      </w:r>
      <w:r w:rsidRPr="009C6FAF">
        <w:rPr>
          <w:vertAlign w:val="subscript"/>
          <w:lang w:val="en-US"/>
        </w:rPr>
        <w:t>2</w:t>
      </w:r>
      <w:r w:rsidRPr="009C6FAF">
        <w:rPr>
          <w:lang w:val="en-US"/>
        </w:rPr>
        <w:t xml:space="preserve"> was placed in a quartz glass ampoule and heated to 300 °C under high vacuum (&lt; 5x10</w:t>
      </w:r>
      <w:r w:rsidRPr="009C6FAF">
        <w:rPr>
          <w:vertAlign w:val="superscript"/>
          <w:lang w:val="en-US"/>
        </w:rPr>
        <w:t>-3</w:t>
      </w:r>
      <w:r w:rsidRPr="009C6FAF">
        <w:rPr>
          <w:lang w:val="en-US"/>
        </w:rPr>
        <w:t xml:space="preserve"> Pa) in order to remove traces of excess sulfur from the previous synthesis. Subsequently, the ampoule was melt sealed under a similar vacuum using oxygen-hydrogen welding torch. The ampoule was heated at 900 °C for 48 hours and subsequently quenched in liquid nitrogen. For the synthesis of 2H TaS</w:t>
      </w:r>
      <w:r w:rsidRPr="009C6FAF">
        <w:rPr>
          <w:vertAlign w:val="subscript"/>
          <w:lang w:val="en-US"/>
        </w:rPr>
        <w:t>2</w:t>
      </w:r>
      <w:r w:rsidRPr="009C6FAF">
        <w:rPr>
          <w:lang w:val="en-US"/>
        </w:rPr>
        <w:t xml:space="preserve"> 5g of the synthesized TaS</w:t>
      </w:r>
      <w:r w:rsidRPr="009C6FAF">
        <w:rPr>
          <w:vertAlign w:val="subscript"/>
          <w:lang w:val="en-US"/>
        </w:rPr>
        <w:t>2</w:t>
      </w:r>
      <w:r w:rsidRPr="009C6FAF">
        <w:rPr>
          <w:lang w:val="en-US"/>
        </w:rPr>
        <w:t xml:space="preserve"> were placed in a quartz glass ampoule and heated at 300 °C under high vacuum (&lt; 5x10</w:t>
      </w:r>
      <w:r w:rsidRPr="009C6FAF">
        <w:rPr>
          <w:vertAlign w:val="superscript"/>
          <w:lang w:val="en-US"/>
        </w:rPr>
        <w:t>-3</w:t>
      </w:r>
      <w:r w:rsidRPr="009C6FAF">
        <w:rPr>
          <w:lang w:val="en-US"/>
        </w:rPr>
        <w:t xml:space="preserve"> Pa) in order to remove traces of excess sulfur from the previous synthesis. Subsequently, the ampoule was melt sealed under similar vacuum using oxygen-hydrogen welding torch. The ampoule was then heated at 900 °C with a heating rate of 5°C/min and held at the temperature for 48 hours and subsequently slowly cooled to room temperature (0.1 K/min). A faster cooling led to a formation of 2H and 3R phase mixture.</w:t>
      </w:r>
    </w:p>
    <w:p w14:paraId="673631CE" w14:textId="77777777" w:rsidR="009C6FAF" w:rsidRPr="009C6FAF" w:rsidRDefault="009C6FAF" w:rsidP="009C6FAF">
      <w:pPr>
        <w:pStyle w:val="ExperimentalSection"/>
        <w:rPr>
          <w:b/>
          <w:lang w:val="en-US"/>
        </w:rPr>
      </w:pPr>
      <w:r w:rsidRPr="009C6FAF">
        <w:rPr>
          <w:b/>
          <w:lang w:val="en-US"/>
        </w:rPr>
        <w:t>Analytic techniques</w:t>
      </w:r>
    </w:p>
    <w:p w14:paraId="2521A0A7" w14:textId="77777777" w:rsidR="009C6FAF" w:rsidRPr="009C6FAF" w:rsidRDefault="009C6FAF" w:rsidP="009C6FAF">
      <w:pPr>
        <w:pStyle w:val="ExperimentalSection"/>
      </w:pPr>
      <w:r w:rsidRPr="009C6FAF">
        <w:t xml:space="preserve">X-ray powder diffraction data were collected at room temperature on Bruker D8 Discoverer </w:t>
      </w:r>
      <w:r w:rsidRPr="009C6FAF">
        <w:t>-</w:t>
      </w:r>
      <w:r w:rsidRPr="009C6FAF">
        <w:t>  powder diffractometer with parafocusing Bragg–Brentano geometry using CuK</w:t>
      </w:r>
      <w:r w:rsidRPr="009C6FAF">
        <w:t> radiation (</w:t>
      </w:r>
      <w:r w:rsidRPr="009C6FAF">
        <w:t> = 0.15418 nm, U = 40 kV, I = 40 mA). Data were scanned with an ultrafast detector LYNXEYE XE over the angular range 5 - 80° (2</w:t>
      </w:r>
      <w:r w:rsidRPr="009C6FAF">
        <w:t>) with a step size of 0.019° (2</w:t>
      </w:r>
      <w:r w:rsidRPr="009C6FAF">
        <w:t>) and a counting time of 1 s step</w:t>
      </w:r>
      <w:r w:rsidRPr="009C6FAF">
        <w:rPr>
          <w:vertAlign w:val="superscript"/>
        </w:rPr>
        <w:t>-1</w:t>
      </w:r>
      <w:r w:rsidRPr="009C6FAF">
        <w:t>. Data evaluation was performed using the EVA software package.</w:t>
      </w:r>
    </w:p>
    <w:p w14:paraId="161CE0F7" w14:textId="77777777" w:rsidR="009C6FAF" w:rsidRPr="009C6FAF" w:rsidRDefault="009C6FAF" w:rsidP="009C6FAF">
      <w:pPr>
        <w:pStyle w:val="ExperimentalSection"/>
      </w:pPr>
      <w:r w:rsidRPr="009C6FAF">
        <w:t>The morphology was observed by scanning electron microscope (SEM) equipped with FEG source of electron (Tescan Lyra dual beam microscope). Composition of the samples was determined by means of energy dispersive spectroscopy (EDS) analyzer (X-MaxN) with a 20 mm</w:t>
      </w:r>
      <w:r w:rsidRPr="009C6FAF">
        <w:rPr>
          <w:vertAlign w:val="superscript"/>
        </w:rPr>
        <w:t>2</w:t>
      </w:r>
      <w:r w:rsidRPr="009C6FAF">
        <w:t xml:space="preserve"> SDD detector (Oxford instruments). Data were evaluated using AZtecEnergy software. Before the measurement, samples were placed onto a conductive carbon tape. All measurements </w:t>
      </w:r>
      <w:proofErr w:type="gramStart"/>
      <w:r w:rsidRPr="009C6FAF">
        <w:t>were carried out</w:t>
      </w:r>
      <w:proofErr w:type="gramEnd"/>
      <w:r w:rsidRPr="009C6FAF">
        <w:t xml:space="preserve"> with 15 kV acceleration voltage. </w:t>
      </w:r>
    </w:p>
    <w:p w14:paraId="6CEF2358" w14:textId="77777777" w:rsidR="009C6FAF" w:rsidRPr="009C6FAF" w:rsidRDefault="009C6FAF" w:rsidP="009C6FAF">
      <w:pPr>
        <w:pStyle w:val="ExperimentalSection"/>
      </w:pPr>
      <w:r w:rsidRPr="009C6FAF">
        <w:t xml:space="preserve">Further structural analyses were carried out </w:t>
      </w:r>
      <w:r w:rsidRPr="009C6FAF">
        <w:rPr>
          <w:lang w:val="en-US"/>
        </w:rPr>
        <w:t>by using a Cs-corrected JEOL ARM200F (cold-FEG) TEM/STEM operated at 200 kV providing information on the atomic structure of the produced materials was observed.</w:t>
      </w:r>
      <w:r w:rsidRPr="009C6FAF">
        <w:t xml:space="preserve"> TEM samples were prepared for observations by drop-casting of isopropanol suspension (1 mg.mL</w:t>
      </w:r>
      <w:r w:rsidRPr="009C6FAF">
        <w:rPr>
          <w:vertAlign w:val="superscript"/>
        </w:rPr>
        <w:t>-1</w:t>
      </w:r>
      <w:r w:rsidRPr="009C6FAF">
        <w:t>) on copper TEM grids.</w:t>
      </w:r>
    </w:p>
    <w:p w14:paraId="2D2BC8FA" w14:textId="77777777" w:rsidR="009C6FAF" w:rsidRPr="009C6FAF" w:rsidRDefault="009C6FAF" w:rsidP="009C6FAF">
      <w:pPr>
        <w:pStyle w:val="ExperimentalSection"/>
      </w:pPr>
      <w:r w:rsidRPr="009C6FAF">
        <w:t>High resolution X-ray photoelectron spectroscopy (XPS) was performed using ESCAProbeP (Omicron Nanotechnology Ltd, Germany) spectrometer with a monochromatic aluminium X-ray radiation source (1486.7 eV). A wide-scan survey of all elements was performed by acquiring subsequent high-resolution scans of the C 1s, Mo 3d, W 4f, S 2p and O 1s core level spectra. Relative sensitivity factors were used in evaluation of element concentrations from the survey spectra. Samples were applied onto conductive carbon tape and the electron gun was used to eliminate sample charging during measurement (1–5 V).</w:t>
      </w:r>
    </w:p>
    <w:p w14:paraId="03C9E8C7" w14:textId="77777777" w:rsidR="009C6FAF" w:rsidRPr="009C6FAF" w:rsidRDefault="009C6FAF" w:rsidP="009C6FAF">
      <w:pPr>
        <w:pStyle w:val="ExperimentalSection"/>
        <w:rPr>
          <w:lang w:val="en-US"/>
        </w:rPr>
      </w:pPr>
      <w:r w:rsidRPr="009C6FAF">
        <w:rPr>
          <w:lang w:val="en-US"/>
        </w:rPr>
        <w:t>The electrochemical characterization was performed by cyclic voltammetry using potentiostat Autolab PGSTAT with three electrode set-up</w:t>
      </w:r>
      <w:r w:rsidRPr="009C6FAF">
        <w:t>. Glassy carbon working electrode (GC), platinum auxiliary electrode (Pt) and saturated Ag/AgCl reference electrode were obtained from Gamry. For the inherent electrochemistry measurements a 1 µl of 1 mg/ml of TaS</w:t>
      </w:r>
      <w:r w:rsidRPr="009C6FAF">
        <w:rPr>
          <w:vertAlign w:val="subscript"/>
        </w:rPr>
        <w:t>2</w:t>
      </w:r>
      <w:r w:rsidRPr="009C6FAF">
        <w:t xml:space="preserve"> in DMF was drop-casted onto the surface of GC electrode and dried to obtain a homogeneous layer. CV curves </w:t>
      </w:r>
      <w:proofErr w:type="gramStart"/>
      <w:r w:rsidRPr="009C6FAF">
        <w:t>were then measured</w:t>
      </w:r>
      <w:proofErr w:type="gramEnd"/>
      <w:r w:rsidRPr="009C6FAF">
        <w:t xml:space="preserve"> in an argon purged 50 mM phosphate buffer solution with a scan rate of 100 mV/s. A new portion of material was applied before every measurement. An argon purged 5 mM solution of potassium </w:t>
      </w:r>
      <w:r w:rsidRPr="009C6FAF">
        <w:rPr>
          <w:lang w:val="en-US"/>
        </w:rPr>
        <w:t xml:space="preserve">ferrocyanide/ferricyanide in 50 mM PBS was used for heterogeneous electron transfer (HET) measurements. A scan rate of 100 mV/s </w:t>
      </w:r>
      <w:proofErr w:type="gramStart"/>
      <w:r w:rsidRPr="009C6FAF">
        <w:rPr>
          <w:lang w:val="en-US"/>
        </w:rPr>
        <w:t>was applied</w:t>
      </w:r>
      <w:proofErr w:type="gramEnd"/>
      <w:r w:rsidRPr="009C6FAF">
        <w:rPr>
          <w:lang w:val="en-US"/>
        </w:rPr>
        <w:t xml:space="preserve"> for HET measurements. Hydrogen evolution reaction (HER) </w:t>
      </w:r>
      <w:proofErr w:type="gramStart"/>
      <w:r w:rsidRPr="009C6FAF">
        <w:rPr>
          <w:lang w:val="en-US"/>
        </w:rPr>
        <w:t>was performed</w:t>
      </w:r>
      <w:proofErr w:type="gramEnd"/>
      <w:r w:rsidRPr="009C6FAF">
        <w:rPr>
          <w:lang w:val="en-US"/>
        </w:rPr>
        <w:t xml:space="preserve"> in an argon purged 0.5M H</w:t>
      </w:r>
      <w:r w:rsidRPr="009C6FAF">
        <w:rPr>
          <w:vertAlign w:val="subscript"/>
          <w:lang w:val="en-US"/>
        </w:rPr>
        <w:t>2</w:t>
      </w:r>
      <w:r w:rsidRPr="009C6FAF">
        <w:rPr>
          <w:lang w:val="en-US"/>
        </w:rPr>
        <w:t>SO</w:t>
      </w:r>
      <w:r w:rsidRPr="009C6FAF">
        <w:rPr>
          <w:vertAlign w:val="subscript"/>
          <w:lang w:val="en-US"/>
        </w:rPr>
        <w:t xml:space="preserve">4 </w:t>
      </w:r>
      <w:r w:rsidRPr="009C6FAF">
        <w:rPr>
          <w:lang w:val="en-US"/>
        </w:rPr>
        <w:t xml:space="preserve">solution with a scan rate of 2 mV/s. Oxygen reduction reaction (ORR) was performed in air purged 0.5M KOH solution with a scan rate of 50 mV/s. All the measurements were performed three times, always with a new portion of material drop-casted on the GC electrode. For the electrochemical treatment measurements, materials were reduced/oxidized at potentials given in </w:t>
      </w:r>
      <w:r w:rsidRPr="009C6FAF">
        <w:rPr>
          <w:b/>
          <w:lang w:val="en-US"/>
        </w:rPr>
        <w:t xml:space="preserve">Table S1 </w:t>
      </w:r>
      <w:r w:rsidRPr="009C6FAF">
        <w:rPr>
          <w:lang w:val="en-US"/>
        </w:rPr>
        <w:t>for 5 minutes, rinsed in distilled water, dried and then used for individual measurements with conditions described above.</w:t>
      </w:r>
    </w:p>
    <w:p w14:paraId="73F3D87B" w14:textId="77777777" w:rsidR="009C6FAF" w:rsidRPr="009C6FAF" w:rsidRDefault="009C6FAF" w:rsidP="009C6FAF">
      <w:pPr>
        <w:pStyle w:val="ExperimentalSection"/>
        <w:rPr>
          <w:b/>
          <w:lang w:val="en-US"/>
        </w:rPr>
      </w:pPr>
      <w:r w:rsidRPr="009C6FAF">
        <w:rPr>
          <w:b/>
          <w:lang w:val="en-US"/>
        </w:rPr>
        <w:t>Theoretical calculations</w:t>
      </w:r>
    </w:p>
    <w:p w14:paraId="6CC4DDBE" w14:textId="77777777" w:rsidR="009C6FAF" w:rsidRPr="009C6FAF" w:rsidRDefault="009C6FAF" w:rsidP="009C6FAF">
      <w:pPr>
        <w:pStyle w:val="ExperimentalSection"/>
        <w:rPr>
          <w:lang w:val="en-US"/>
        </w:rPr>
      </w:pPr>
      <w:r w:rsidRPr="009C6FAF">
        <w:rPr>
          <w:lang w:val="en-US"/>
        </w:rPr>
        <w:t>DFT calculations were performed using the projector-augmented wave method implemented in the Vienna Ab initio Simulation Package (VASP)</w:t>
      </w:r>
      <w:proofErr w:type="gramStart"/>
      <w:r w:rsidRPr="009C6FAF">
        <w:rPr>
          <w:lang w:val="en-US"/>
        </w:rPr>
        <w:t>.</w:t>
      </w:r>
      <w:r w:rsidRPr="009C6FAF">
        <w:rPr>
          <w:vertAlign w:val="superscript"/>
          <w:lang w:val="en-US"/>
        </w:rPr>
        <w:t>[</w:t>
      </w:r>
      <w:proofErr w:type="gramEnd"/>
      <w:r w:rsidRPr="009C6FAF">
        <w:rPr>
          <w:vertAlign w:val="superscript"/>
          <w:lang w:val="en-US"/>
        </w:rPr>
        <w:t>16]</w:t>
      </w:r>
      <w:r w:rsidRPr="009C6FAF">
        <w:rPr>
          <w:lang w:val="en-US"/>
        </w:rPr>
        <w:t xml:space="preserve"> The energy cutoff for the plane-wave expansion was set to 350 eV. We used an optimized van der Waals functional optB86b-vdW functional</w:t>
      </w:r>
      <w:proofErr w:type="gramStart"/>
      <w:r w:rsidRPr="009C6FAF">
        <w:rPr>
          <w:lang w:val="en-US"/>
        </w:rPr>
        <w:t>,</w:t>
      </w:r>
      <w:r w:rsidRPr="009C6FAF">
        <w:rPr>
          <w:vertAlign w:val="superscript"/>
          <w:lang w:val="en-US"/>
        </w:rPr>
        <w:t>[</w:t>
      </w:r>
      <w:proofErr w:type="gramEnd"/>
      <w:r w:rsidRPr="009C6FAF">
        <w:rPr>
          <w:vertAlign w:val="superscript"/>
          <w:lang w:val="en-US"/>
        </w:rPr>
        <w:t>17]</w:t>
      </w:r>
      <w:r w:rsidRPr="009C6FAF">
        <w:rPr>
          <w:lang w:val="en-US"/>
        </w:rPr>
        <w:t xml:space="preserve"> that proved to describe the structural properties of various TaS</w:t>
      </w:r>
      <w:r w:rsidRPr="009C6FAF">
        <w:rPr>
          <w:vertAlign w:val="subscript"/>
          <w:lang w:val="en-US"/>
        </w:rPr>
        <w:t>2</w:t>
      </w:r>
      <w:r w:rsidRPr="009C6FAF">
        <w:rPr>
          <w:lang w:val="en-US"/>
        </w:rPr>
        <w:t xml:space="preserve"> phases including the commensurate charge density wave phase.</w:t>
      </w:r>
      <w:r w:rsidRPr="009C6FAF">
        <w:rPr>
          <w:vertAlign w:val="superscript"/>
          <w:lang w:val="en-US"/>
        </w:rPr>
        <w:t>[17b]</w:t>
      </w:r>
      <w:r w:rsidRPr="009C6FAF">
        <w:rPr>
          <w:lang w:val="en-US"/>
        </w:rPr>
        <w:t xml:space="preserve"> We calculated the catalytic properties of 2H TaS</w:t>
      </w:r>
      <w:r w:rsidRPr="009C6FAF">
        <w:rPr>
          <w:vertAlign w:val="subscript"/>
          <w:lang w:val="en-US"/>
        </w:rPr>
        <w:t xml:space="preserve">2 </w:t>
      </w:r>
      <w:r w:rsidRPr="009C6FAF">
        <w:rPr>
          <w:lang w:val="en-US"/>
        </w:rPr>
        <w:t>and 1T TaS</w:t>
      </w:r>
      <w:r w:rsidRPr="009C6FAF">
        <w:rPr>
          <w:vertAlign w:val="subscript"/>
          <w:lang w:val="en-US"/>
        </w:rPr>
        <w:t>2</w:t>
      </w:r>
      <w:r w:rsidRPr="009C6FAF">
        <w:rPr>
          <w:lang w:val="en-US"/>
        </w:rPr>
        <w:t>. The free energy of the adsorption of atomic hydrogen (∆G</w:t>
      </w:r>
      <w:r w:rsidRPr="009C6FAF">
        <w:rPr>
          <w:vertAlign w:val="subscript"/>
          <w:lang w:val="en-SG"/>
        </w:rPr>
        <w:t>H</w:t>
      </w:r>
      <w:r w:rsidRPr="009C6FAF">
        <w:rPr>
          <w:lang w:val="en-US"/>
        </w:rPr>
        <w:t>) was a quantity used to describe the HER activity of the catalyst</w:t>
      </w:r>
      <w:proofErr w:type="gramStart"/>
      <w:r w:rsidRPr="009C6FAF">
        <w:rPr>
          <w:lang w:val="en-US"/>
        </w:rPr>
        <w:t>.</w:t>
      </w:r>
      <w:r w:rsidRPr="009C6FAF">
        <w:rPr>
          <w:vertAlign w:val="superscript"/>
          <w:lang w:val="en-US"/>
        </w:rPr>
        <w:t>[</w:t>
      </w:r>
      <w:proofErr w:type="gramEnd"/>
      <w:r w:rsidRPr="009C6FAF">
        <w:rPr>
          <w:vertAlign w:val="superscript"/>
          <w:lang w:val="en-US"/>
        </w:rPr>
        <w:t>18]</w:t>
      </w:r>
      <w:r w:rsidRPr="009C6FAF">
        <w:rPr>
          <w:lang w:val="en-US"/>
        </w:rPr>
        <w:t xml:space="preserve"> We considered the adsorption of hydrogen onto the surface and edge sites of single layered TaS</w:t>
      </w:r>
      <w:r w:rsidRPr="009C6FAF">
        <w:rPr>
          <w:vertAlign w:val="subscript"/>
          <w:lang w:val="en-US"/>
        </w:rPr>
        <w:t>2</w:t>
      </w:r>
      <w:r w:rsidRPr="009C6FAF">
        <w:rPr>
          <w:lang w:val="en-US"/>
        </w:rPr>
        <w:t>. The surface (basal plane) was modeled by a 4×4 supercell (16 Ta and 32 S atoms) in connection with 3×3×1 k-point sampling. The layers were separated by 18 Å of vacuum. The edge of 1T TaS</w:t>
      </w:r>
      <w:r w:rsidRPr="009C6FAF">
        <w:rPr>
          <w:vertAlign w:val="subscript"/>
          <w:lang w:val="en-US"/>
        </w:rPr>
        <w:t>2</w:t>
      </w:r>
      <w:r w:rsidRPr="009C6FAF">
        <w:rPr>
          <w:lang w:val="en-US"/>
        </w:rPr>
        <w:t xml:space="preserve"> was modeled by a 4×4 nanostripe, i.e. it contained four Ta atoms along the edge and the nanostripe was four atoms wide. The edge of 1T TaS</w:t>
      </w:r>
      <w:r w:rsidRPr="009C6FAF">
        <w:rPr>
          <w:vertAlign w:val="subscript"/>
          <w:lang w:val="en-US"/>
        </w:rPr>
        <w:t>2</w:t>
      </w:r>
      <w:r w:rsidRPr="009C6FAF">
        <w:rPr>
          <w:lang w:val="en-US"/>
        </w:rPr>
        <w:t xml:space="preserve"> was modeled by a 6×4 nanostripe, i.e. it contained six Ta atoms along the edge. The nanostripe model of the as-cleaved edge of the 2H structure einvolved both sulfur terminated edge (S-edge) and metal terminated edge (Ta-edge). We focused on the metal terminated edge, which should be more stable than the S-edge. The specific structure (the coverage of sulfur atoms on the edge) depends mainly on the chemical potential of sulfur containing compounds under the operating conditions. The nanostripe of the 1T structure is symmetric in the sense that it exposes the same edge having 50% sulfur coverage at both sides. The Brillouin zone of the nanostripes was sampled by 1×3×1 k-points where three k-points belonged to the only direction in which the cells were periodically repeated.   As the edge of 1T TaS</w:t>
      </w:r>
      <w:r w:rsidRPr="009C6FAF">
        <w:rPr>
          <w:vertAlign w:val="subscript"/>
          <w:lang w:val="en-US"/>
        </w:rPr>
        <w:t>2</w:t>
      </w:r>
      <w:r w:rsidRPr="009C6FAF">
        <w:rPr>
          <w:lang w:val="en-US"/>
        </w:rPr>
        <w:t xml:space="preserve"> contained four adsorption sites on sulfur atoms, possible hydrogen coverages of the edges were 25%, 50%, 75%, and 100%. The edge was gradually (one-by-one) covered with hydrogen atoms and the differential energy of adsorption </w:t>
      </w:r>
      <w:r w:rsidRPr="009C6FAF">
        <w:rPr>
          <w:bCs/>
          <w:lang w:val="en-US"/>
        </w:rPr>
        <w:t>∆E</w:t>
      </w:r>
      <w:r w:rsidRPr="009C6FAF">
        <w:rPr>
          <w:lang w:val="en-US"/>
        </w:rPr>
        <w:t xml:space="preserve"> was calculated as </w:t>
      </w:r>
      <w:r w:rsidRPr="009C6FAF">
        <w:rPr>
          <w:bCs/>
          <w:lang w:val="en-US"/>
        </w:rPr>
        <w:t>∆E=</w:t>
      </w:r>
      <w:r w:rsidRPr="009C6FAF">
        <w:rPr>
          <w:bCs/>
          <w:i/>
          <w:lang w:val="en-US"/>
        </w:rPr>
        <w:t xml:space="preserve"> </w:t>
      </w:r>
      <w:proofErr w:type="gramStart"/>
      <w:r w:rsidRPr="009C6FAF">
        <w:rPr>
          <w:bCs/>
          <w:i/>
          <w:lang w:val="en-US"/>
        </w:rPr>
        <w:t>E</w:t>
      </w:r>
      <w:r w:rsidRPr="009C6FAF">
        <w:rPr>
          <w:bCs/>
          <w:i/>
          <w:vertAlign w:val="subscript"/>
          <w:lang w:val="en-US"/>
        </w:rPr>
        <w:t>TOT</w:t>
      </w:r>
      <w:r w:rsidRPr="009C6FAF">
        <w:rPr>
          <w:bCs/>
          <w:lang w:val="en-US"/>
        </w:rPr>
        <w:t>(</w:t>
      </w:r>
      <w:proofErr w:type="gramEnd"/>
      <w:r w:rsidRPr="009C6FAF">
        <w:rPr>
          <w:bCs/>
          <w:i/>
          <w:lang w:val="en-US"/>
        </w:rPr>
        <w:t>n</w:t>
      </w:r>
      <w:r w:rsidRPr="009C6FAF">
        <w:rPr>
          <w:bCs/>
          <w:lang w:val="en-US"/>
        </w:rPr>
        <w:t>H</w:t>
      </w:r>
      <w:r w:rsidRPr="009C6FAF">
        <w:rPr>
          <w:bCs/>
          <w:vertAlign w:val="superscript"/>
          <w:lang w:val="en-US"/>
        </w:rPr>
        <w:t>*</w:t>
      </w:r>
      <w:r w:rsidRPr="009C6FAF">
        <w:rPr>
          <w:bCs/>
          <w:lang w:val="en-US"/>
        </w:rPr>
        <w:t>) -</w:t>
      </w:r>
      <w:r w:rsidRPr="009C6FAF">
        <w:rPr>
          <w:bCs/>
          <w:i/>
          <w:lang w:val="en-US"/>
        </w:rPr>
        <w:t xml:space="preserve"> E</w:t>
      </w:r>
      <w:r w:rsidRPr="009C6FAF">
        <w:rPr>
          <w:bCs/>
          <w:i/>
          <w:vertAlign w:val="subscript"/>
          <w:lang w:val="en-US"/>
        </w:rPr>
        <w:t>TOT</w:t>
      </w:r>
      <w:r w:rsidRPr="009C6FAF">
        <w:rPr>
          <w:bCs/>
          <w:lang w:val="en-US"/>
        </w:rPr>
        <w:t>[(</w:t>
      </w:r>
      <w:r w:rsidRPr="009C6FAF">
        <w:rPr>
          <w:bCs/>
          <w:i/>
          <w:lang w:val="en-US"/>
        </w:rPr>
        <w:t>n</w:t>
      </w:r>
      <w:r w:rsidRPr="009C6FAF">
        <w:rPr>
          <w:bCs/>
          <w:lang w:val="en-US"/>
        </w:rPr>
        <w:t>-1)H</w:t>
      </w:r>
      <w:r w:rsidRPr="009C6FAF">
        <w:rPr>
          <w:bCs/>
          <w:vertAlign w:val="superscript"/>
          <w:lang w:val="en-US"/>
        </w:rPr>
        <w:t>*</w:t>
      </w:r>
      <w:r w:rsidRPr="009C6FAF">
        <w:rPr>
          <w:bCs/>
          <w:lang w:val="en-US"/>
        </w:rPr>
        <w:t>] - 1/2</w:t>
      </w:r>
      <w:r w:rsidRPr="009C6FAF">
        <w:rPr>
          <w:bCs/>
          <w:i/>
          <w:lang w:val="en-US"/>
        </w:rPr>
        <w:t xml:space="preserve"> E</w:t>
      </w:r>
      <w:r w:rsidRPr="009C6FAF">
        <w:rPr>
          <w:bCs/>
          <w:i/>
          <w:vertAlign w:val="subscript"/>
          <w:lang w:val="en-US"/>
        </w:rPr>
        <w:t>TOT</w:t>
      </w:r>
      <w:r w:rsidRPr="009C6FAF">
        <w:rPr>
          <w:bCs/>
          <w:lang w:val="en-US"/>
        </w:rPr>
        <w:t>(H</w:t>
      </w:r>
      <w:r w:rsidRPr="009C6FAF">
        <w:rPr>
          <w:bCs/>
          <w:vertAlign w:val="subscript"/>
          <w:lang w:val="en-US"/>
        </w:rPr>
        <w:t>2</w:t>
      </w:r>
      <w:r w:rsidRPr="009C6FAF">
        <w:rPr>
          <w:bCs/>
          <w:lang w:val="en-US"/>
        </w:rPr>
        <w:t>).</w:t>
      </w:r>
      <w:r w:rsidRPr="009C6FAF">
        <w:rPr>
          <w:lang w:val="en-US"/>
        </w:rPr>
        <w:t xml:space="preserve"> </w:t>
      </w:r>
      <w:r w:rsidRPr="009C6FAF">
        <w:rPr>
          <w:bCs/>
          <w:lang w:val="en-US"/>
        </w:rPr>
        <w:t>The Gibbs free-energy of the atomic hydrogen adsorption (∆G</w:t>
      </w:r>
      <w:r w:rsidRPr="009C6FAF">
        <w:rPr>
          <w:vertAlign w:val="subscript"/>
          <w:lang w:val="en-SG"/>
        </w:rPr>
        <w:t>H</w:t>
      </w:r>
      <w:r w:rsidRPr="009C6FAF">
        <w:rPr>
          <w:bCs/>
          <w:lang w:val="en-US"/>
        </w:rPr>
        <w:t>) was obtained as ∆G</w:t>
      </w:r>
      <w:r w:rsidRPr="009C6FAF">
        <w:rPr>
          <w:vertAlign w:val="subscript"/>
          <w:lang w:val="en-SG"/>
        </w:rPr>
        <w:t>H</w:t>
      </w:r>
      <w:r w:rsidRPr="009C6FAF">
        <w:rPr>
          <w:bCs/>
          <w:lang w:val="en-US"/>
        </w:rPr>
        <w:t>=∆E+∆E</w:t>
      </w:r>
      <w:r w:rsidRPr="009C6FAF">
        <w:rPr>
          <w:bCs/>
          <w:vertAlign w:val="subscript"/>
          <w:lang w:val="en-US"/>
        </w:rPr>
        <w:t>ZPE</w:t>
      </w:r>
      <w:r w:rsidRPr="009C6FAF">
        <w:rPr>
          <w:bCs/>
          <w:lang w:val="en-US"/>
        </w:rPr>
        <w:t>-T∆S</w:t>
      </w:r>
      <w:r w:rsidRPr="009C6FAF">
        <w:rPr>
          <w:bCs/>
          <w:vertAlign w:val="subscript"/>
          <w:lang w:val="en-US"/>
        </w:rPr>
        <w:t>H</w:t>
      </w:r>
      <w:r w:rsidRPr="009C6FAF">
        <w:rPr>
          <w:bCs/>
          <w:lang w:val="en-US"/>
        </w:rPr>
        <w:t>, where ∆E</w:t>
      </w:r>
      <w:r w:rsidRPr="009C6FAF">
        <w:rPr>
          <w:bCs/>
          <w:vertAlign w:val="subscript"/>
          <w:lang w:val="en-US"/>
        </w:rPr>
        <w:t>ZPE</w:t>
      </w:r>
      <w:r w:rsidRPr="009C6FAF">
        <w:rPr>
          <w:bCs/>
          <w:lang w:val="en-US"/>
        </w:rPr>
        <w:t xml:space="preserve"> and ∆S</w:t>
      </w:r>
      <w:r w:rsidRPr="009C6FAF">
        <w:rPr>
          <w:bCs/>
          <w:vertAlign w:val="subscript"/>
          <w:lang w:val="en-US"/>
        </w:rPr>
        <w:t>H</w:t>
      </w:r>
      <w:r w:rsidRPr="009C6FAF">
        <w:rPr>
          <w:bCs/>
          <w:lang w:val="en-US"/>
        </w:rPr>
        <w:t xml:space="preserve"> are, respectively, the difference in zero point energy and entropy between the adsorbed hydrogen and hydrogen in the gas phase. These thermal corrections were found to be independent of the particular adsorption site, and thus ∆G</w:t>
      </w:r>
      <w:r w:rsidRPr="009C6FAF">
        <w:rPr>
          <w:bCs/>
          <w:vertAlign w:val="subscript"/>
          <w:lang w:val="en-US"/>
        </w:rPr>
        <w:t>H</w:t>
      </w:r>
      <w:r w:rsidRPr="009C6FAF">
        <w:rPr>
          <w:bCs/>
          <w:lang w:val="en-US"/>
        </w:rPr>
        <w:t xml:space="preserve"> at standard conditions was determined by ∆E plus a thermal correction constant of 0.29 eV</w:t>
      </w:r>
      <w:proofErr w:type="gramStart"/>
      <w:r w:rsidRPr="009C6FAF">
        <w:rPr>
          <w:bCs/>
          <w:lang w:val="en-US"/>
        </w:rPr>
        <w:t>.</w:t>
      </w:r>
      <w:r w:rsidRPr="009C6FAF">
        <w:rPr>
          <w:bCs/>
          <w:vertAlign w:val="superscript"/>
          <w:lang w:val="en-US"/>
        </w:rPr>
        <w:t>[</w:t>
      </w:r>
      <w:proofErr w:type="gramEnd"/>
      <w:r w:rsidRPr="009C6FAF">
        <w:rPr>
          <w:bCs/>
          <w:vertAlign w:val="superscript"/>
          <w:lang w:val="en-US"/>
        </w:rPr>
        <w:t>18]</w:t>
      </w:r>
    </w:p>
    <w:p w14:paraId="577BB3FD" w14:textId="77777777" w:rsidR="001F45C3" w:rsidRDefault="001F45C3" w:rsidP="001F45C3">
      <w:pPr>
        <w:pStyle w:val="ExperimentalSection"/>
      </w:pPr>
    </w:p>
    <w:p w14:paraId="3FB4D564" w14:textId="77777777" w:rsidR="009C6FAF" w:rsidRDefault="009C6FAF" w:rsidP="00E4350D">
      <w:pPr>
        <w:pStyle w:val="HAcknowledgements"/>
      </w:pPr>
    </w:p>
    <w:p w14:paraId="176B270F" w14:textId="77777777" w:rsidR="00E4350D" w:rsidRDefault="00E4350D" w:rsidP="00E4350D">
      <w:pPr>
        <w:pStyle w:val="HAcknowledgements"/>
      </w:pPr>
      <w:r>
        <w:t xml:space="preserve">Acknowledgements </w:t>
      </w:r>
    </w:p>
    <w:p w14:paraId="04C63A1A" w14:textId="77777777" w:rsidR="009C6FAF" w:rsidRPr="009C6FAF" w:rsidRDefault="009C6FAF" w:rsidP="009C6FAF">
      <w:pPr>
        <w:pStyle w:val="Acknowledgements"/>
        <w:rPr>
          <w:lang w:val="en-US"/>
        </w:rPr>
      </w:pPr>
      <w:r w:rsidRPr="009C6FAF">
        <w:rPr>
          <w:lang w:val="en-US"/>
        </w:rPr>
        <w:t>The project was supported by Czech Science Foundation (project GACR No. 16-05167S) and by specific university research (MSMT no. 20/2016). M.P. was supported by Tier 2 grant. M.C acknowledges support of EPSRC (EP/K040375/1) grant. P.L. acknowledges the support by the LO1305 of the Ministry of Education, Youth and Sports of Czech Republic.</w:t>
      </w:r>
    </w:p>
    <w:p w14:paraId="43AFAE25" w14:textId="77777777" w:rsidR="00E4350D" w:rsidRDefault="00E4350D" w:rsidP="00EB27E9">
      <w:pPr>
        <w:pStyle w:val="Acknowledgements"/>
      </w:pPr>
    </w:p>
    <w:p w14:paraId="45B88BD8" w14:textId="77777777" w:rsidR="004556E1" w:rsidRDefault="00F45722" w:rsidP="00F45722">
      <w:pPr>
        <w:pStyle w:val="Keywords"/>
      </w:pPr>
      <w:r w:rsidRPr="009B7AB7">
        <w:rPr>
          <w:b/>
        </w:rPr>
        <w:t>Keywords:</w:t>
      </w:r>
      <w:r w:rsidRPr="009B7AB7">
        <w:t xml:space="preserve"> </w:t>
      </w:r>
      <w:r w:rsidR="009C6FAF" w:rsidRPr="009C6FAF">
        <w:rPr>
          <w:lang w:val="en-US"/>
        </w:rPr>
        <w:t>Transition metal dichalcogenides, Electrocatalysis, Tantalum disulfide, Hydrogen evolution reaction, Oxygen reduction reaction</w:t>
      </w:r>
    </w:p>
    <w:p w14:paraId="53D9C578" w14:textId="77777777" w:rsidR="009C6FAF" w:rsidRPr="009C6FAF" w:rsidRDefault="009C6FAF" w:rsidP="009C6FAF">
      <w:pPr>
        <w:ind w:left="375" w:hanging="375"/>
        <w:rPr>
          <w:rFonts w:ascii="Arial" w:hAnsi="Arial" w:cs="Arial"/>
          <w:sz w:val="14"/>
          <w:szCs w:val="14"/>
          <w:lang w:val="en-US"/>
        </w:rPr>
      </w:pPr>
      <w:bookmarkStart w:id="1" w:name="_ENREF_1"/>
      <w:r w:rsidRPr="009C6FAF">
        <w:rPr>
          <w:rFonts w:ascii="Arial" w:hAnsi="Arial" w:cs="Arial"/>
          <w:sz w:val="14"/>
          <w:szCs w:val="14"/>
          <w:lang w:val="en-US"/>
        </w:rPr>
        <w:t>[1]</w:t>
      </w:r>
      <w:r>
        <w:rPr>
          <w:rFonts w:ascii="Arial" w:hAnsi="Arial" w:cs="Arial"/>
          <w:sz w:val="14"/>
          <w:szCs w:val="14"/>
          <w:lang w:val="en-US"/>
        </w:rPr>
        <w:tab/>
      </w:r>
      <w:proofErr w:type="gramStart"/>
      <w:r w:rsidRPr="009C6FAF">
        <w:rPr>
          <w:rFonts w:ascii="Arial" w:hAnsi="Arial" w:cs="Arial"/>
          <w:sz w:val="14"/>
          <w:szCs w:val="14"/>
          <w:lang w:val="en-US"/>
        </w:rPr>
        <w:t>a</w:t>
      </w:r>
      <w:proofErr w:type="gramEnd"/>
      <w:r w:rsidRPr="009C6FAF">
        <w:rPr>
          <w:rFonts w:ascii="Arial" w:hAnsi="Arial" w:cs="Arial"/>
          <w:sz w:val="14"/>
          <w:szCs w:val="14"/>
          <w:lang w:val="en-US"/>
        </w:rPr>
        <w:t xml:space="preserve">) H. Wang, L. Yu, Y.-H. Lee, W. Fang, A. Hsu, P. Herring, M. Chin, M. Dubey, L.-J. Li and J. Kong, </w:t>
      </w:r>
      <w:r w:rsidRPr="009C6FAF">
        <w:rPr>
          <w:rFonts w:ascii="Arial" w:hAnsi="Arial" w:cs="Arial"/>
          <w:i/>
          <w:sz w:val="14"/>
          <w:szCs w:val="14"/>
          <w:lang w:val="en-US"/>
        </w:rPr>
        <w:t xml:space="preserve">arXiv preprint arXiv:1302.4027 </w:t>
      </w:r>
      <w:r w:rsidRPr="009C6FAF">
        <w:rPr>
          <w:rFonts w:ascii="Arial" w:hAnsi="Arial" w:cs="Arial"/>
          <w:b/>
          <w:sz w:val="14"/>
          <w:szCs w:val="14"/>
          <w:lang w:val="en-US"/>
        </w:rPr>
        <w:t>2013</w:t>
      </w:r>
      <w:r w:rsidRPr="009C6FAF">
        <w:rPr>
          <w:rFonts w:ascii="Arial" w:hAnsi="Arial" w:cs="Arial"/>
          <w:sz w:val="14"/>
          <w:szCs w:val="14"/>
          <w:lang w:val="en-US"/>
        </w:rPr>
        <w:t>;</w:t>
      </w:r>
      <w:bookmarkEnd w:id="1"/>
      <w:r w:rsidRPr="009C6FAF">
        <w:rPr>
          <w:rFonts w:ascii="Arial" w:hAnsi="Arial" w:cs="Arial"/>
          <w:sz w:val="14"/>
          <w:szCs w:val="14"/>
          <w:lang w:val="en-US"/>
        </w:rPr>
        <w:t xml:space="preserve"> </w:t>
      </w:r>
      <w:bookmarkStart w:id="2" w:name="_ENREF_2"/>
      <w:r w:rsidRPr="009C6FAF">
        <w:rPr>
          <w:rFonts w:ascii="Arial" w:hAnsi="Arial" w:cs="Arial"/>
          <w:sz w:val="14"/>
          <w:szCs w:val="14"/>
          <w:lang w:val="en-US"/>
        </w:rPr>
        <w:t xml:space="preserve">b) M. Chhowalla, D. Voiry, J. Yang, H. S. Shin and K. P. Loh, </w:t>
      </w:r>
      <w:r w:rsidRPr="009C6FAF">
        <w:rPr>
          <w:rFonts w:ascii="Arial" w:hAnsi="Arial" w:cs="Arial"/>
          <w:i/>
          <w:sz w:val="14"/>
          <w:szCs w:val="14"/>
          <w:lang w:val="en-US"/>
        </w:rPr>
        <w:t xml:space="preserve">MRS Bull </w:t>
      </w:r>
      <w:r w:rsidRPr="009C6FAF">
        <w:rPr>
          <w:rFonts w:ascii="Arial" w:hAnsi="Arial" w:cs="Arial"/>
          <w:b/>
          <w:sz w:val="14"/>
          <w:szCs w:val="14"/>
          <w:lang w:val="en-US"/>
        </w:rPr>
        <w:t>2015</w:t>
      </w:r>
      <w:r w:rsidRPr="009C6FAF">
        <w:rPr>
          <w:rFonts w:ascii="Arial" w:hAnsi="Arial" w:cs="Arial"/>
          <w:sz w:val="14"/>
          <w:szCs w:val="14"/>
          <w:lang w:val="en-US"/>
        </w:rPr>
        <w:t xml:space="preserve">, </w:t>
      </w:r>
      <w:r w:rsidRPr="009C6FAF">
        <w:rPr>
          <w:rFonts w:ascii="Arial" w:hAnsi="Arial" w:cs="Arial"/>
          <w:i/>
          <w:sz w:val="14"/>
          <w:szCs w:val="14"/>
          <w:lang w:val="en-US"/>
        </w:rPr>
        <w:t>40</w:t>
      </w:r>
      <w:r w:rsidRPr="009C6FAF">
        <w:rPr>
          <w:rFonts w:ascii="Arial" w:hAnsi="Arial" w:cs="Arial"/>
          <w:sz w:val="14"/>
          <w:szCs w:val="14"/>
          <w:lang w:val="en-US"/>
        </w:rPr>
        <w:t>, 585-591;</w:t>
      </w:r>
      <w:bookmarkEnd w:id="2"/>
      <w:r w:rsidRPr="009C6FAF">
        <w:rPr>
          <w:rFonts w:ascii="Arial" w:hAnsi="Arial" w:cs="Arial"/>
          <w:sz w:val="14"/>
          <w:szCs w:val="14"/>
          <w:lang w:val="en-US"/>
        </w:rPr>
        <w:t xml:space="preserve"> </w:t>
      </w:r>
      <w:bookmarkStart w:id="3" w:name="_ENREF_3"/>
      <w:r w:rsidRPr="009C6FAF">
        <w:rPr>
          <w:rFonts w:ascii="Arial" w:hAnsi="Arial" w:cs="Arial"/>
          <w:sz w:val="14"/>
          <w:szCs w:val="14"/>
          <w:lang w:val="en-US"/>
        </w:rPr>
        <w:t xml:space="preserve">c) W. Cao, J. Kang, W. Liu, Y. Khatami, D. Sarkar and K. Banerjee, </w:t>
      </w:r>
      <w:r w:rsidRPr="009C6FAF">
        <w:rPr>
          <w:rFonts w:ascii="Arial" w:hAnsi="Arial" w:cs="Arial"/>
          <w:i/>
          <w:sz w:val="14"/>
          <w:szCs w:val="14"/>
          <w:lang w:val="en-US"/>
        </w:rPr>
        <w:t xml:space="preserve">ESSDERC </w:t>
      </w:r>
      <w:r w:rsidRPr="009C6FAF">
        <w:rPr>
          <w:rFonts w:ascii="Arial" w:hAnsi="Arial" w:cs="Arial"/>
          <w:b/>
          <w:sz w:val="14"/>
          <w:szCs w:val="14"/>
          <w:lang w:val="en-US"/>
        </w:rPr>
        <w:t>2013</w:t>
      </w:r>
      <w:r w:rsidRPr="009C6FAF">
        <w:rPr>
          <w:rFonts w:ascii="Arial" w:hAnsi="Arial" w:cs="Arial"/>
          <w:sz w:val="14"/>
          <w:szCs w:val="14"/>
          <w:lang w:val="en-US"/>
        </w:rPr>
        <w:t>, pp. 37-44.</w:t>
      </w:r>
      <w:bookmarkEnd w:id="3"/>
    </w:p>
    <w:p w14:paraId="64796AED" w14:textId="77777777" w:rsidR="009C6FAF" w:rsidRPr="009C6FAF" w:rsidRDefault="009C6FAF" w:rsidP="009C6FAF">
      <w:pPr>
        <w:ind w:left="375" w:hanging="375"/>
        <w:rPr>
          <w:rFonts w:ascii="Arial" w:hAnsi="Arial" w:cs="Arial"/>
          <w:sz w:val="14"/>
          <w:szCs w:val="14"/>
          <w:lang w:val="en-US"/>
        </w:rPr>
      </w:pPr>
      <w:bookmarkStart w:id="4" w:name="_ENREF_4"/>
      <w:r w:rsidRPr="009C6FAF">
        <w:rPr>
          <w:rFonts w:ascii="Arial" w:hAnsi="Arial" w:cs="Arial"/>
          <w:sz w:val="14"/>
          <w:szCs w:val="14"/>
          <w:lang w:val="en-US"/>
        </w:rPr>
        <w:t xml:space="preserve">[2] </w:t>
      </w:r>
      <w:r>
        <w:rPr>
          <w:rFonts w:ascii="Arial" w:hAnsi="Arial" w:cs="Arial"/>
          <w:sz w:val="14"/>
          <w:szCs w:val="14"/>
          <w:lang w:val="en-US"/>
        </w:rPr>
        <w:tab/>
      </w:r>
      <w:r w:rsidRPr="009C6FAF">
        <w:rPr>
          <w:rFonts w:ascii="Arial" w:hAnsi="Arial" w:cs="Arial"/>
          <w:sz w:val="14"/>
          <w:szCs w:val="14"/>
          <w:lang w:val="en-US"/>
        </w:rPr>
        <w:t xml:space="preserve">a) Q. H. Wang, K. Kalantar-Zadeh, A. Kis, J. N. Coleman and M. S. Strano, </w:t>
      </w:r>
      <w:r w:rsidRPr="009C6FAF">
        <w:rPr>
          <w:rFonts w:ascii="Arial" w:hAnsi="Arial" w:cs="Arial"/>
          <w:i/>
          <w:sz w:val="14"/>
          <w:szCs w:val="14"/>
          <w:lang w:val="en-US"/>
        </w:rPr>
        <w:t>Nat</w:t>
      </w:r>
      <w:r>
        <w:rPr>
          <w:rFonts w:ascii="Arial" w:hAnsi="Arial" w:cs="Arial"/>
          <w:i/>
          <w:sz w:val="14"/>
          <w:szCs w:val="14"/>
          <w:lang w:val="en-US"/>
        </w:rPr>
        <w:t>.</w:t>
      </w:r>
      <w:r w:rsidRPr="009C6FAF">
        <w:rPr>
          <w:rFonts w:ascii="Arial" w:hAnsi="Arial" w:cs="Arial"/>
          <w:i/>
          <w:sz w:val="14"/>
          <w:szCs w:val="14"/>
          <w:lang w:val="en-US"/>
        </w:rPr>
        <w:t xml:space="preserve"> Nano</w:t>
      </w:r>
      <w:r>
        <w:rPr>
          <w:rFonts w:ascii="Arial" w:hAnsi="Arial" w:cs="Arial"/>
          <w:i/>
          <w:sz w:val="14"/>
          <w:szCs w:val="14"/>
          <w:lang w:val="en-US"/>
        </w:rPr>
        <w:t>.</w:t>
      </w:r>
      <w:r w:rsidRPr="009C6FAF">
        <w:rPr>
          <w:rFonts w:ascii="Arial" w:hAnsi="Arial" w:cs="Arial"/>
          <w:i/>
          <w:sz w:val="14"/>
          <w:szCs w:val="14"/>
          <w:lang w:val="en-US"/>
        </w:rPr>
        <w:t xml:space="preserve"> </w:t>
      </w:r>
      <w:proofErr w:type="gramStart"/>
      <w:r w:rsidRPr="009C6FAF">
        <w:rPr>
          <w:rFonts w:ascii="Arial" w:hAnsi="Arial" w:cs="Arial"/>
          <w:b/>
          <w:sz w:val="14"/>
          <w:szCs w:val="14"/>
          <w:lang w:val="en-US"/>
        </w:rPr>
        <w:t>2012</w:t>
      </w:r>
      <w:proofErr w:type="gramEnd"/>
      <w:r w:rsidRPr="009C6FAF">
        <w:rPr>
          <w:rFonts w:ascii="Arial" w:hAnsi="Arial" w:cs="Arial"/>
          <w:sz w:val="14"/>
          <w:szCs w:val="14"/>
          <w:lang w:val="en-US"/>
        </w:rPr>
        <w:t xml:space="preserve">, </w:t>
      </w:r>
      <w:r w:rsidRPr="009C6FAF">
        <w:rPr>
          <w:rFonts w:ascii="Arial" w:hAnsi="Arial" w:cs="Arial"/>
          <w:i/>
          <w:sz w:val="14"/>
          <w:szCs w:val="14"/>
          <w:lang w:val="en-US"/>
        </w:rPr>
        <w:t>7</w:t>
      </w:r>
      <w:r w:rsidRPr="009C6FAF">
        <w:rPr>
          <w:rFonts w:ascii="Arial" w:hAnsi="Arial" w:cs="Arial"/>
          <w:sz w:val="14"/>
          <w:szCs w:val="14"/>
          <w:lang w:val="en-US"/>
        </w:rPr>
        <w:t>, 699-712;</w:t>
      </w:r>
      <w:bookmarkEnd w:id="4"/>
      <w:r w:rsidRPr="009C6FAF">
        <w:rPr>
          <w:rFonts w:ascii="Arial" w:hAnsi="Arial" w:cs="Arial"/>
          <w:sz w:val="14"/>
          <w:szCs w:val="14"/>
          <w:lang w:val="en-US"/>
        </w:rPr>
        <w:t xml:space="preserve"> </w:t>
      </w:r>
      <w:bookmarkStart w:id="5" w:name="_ENREF_5"/>
      <w:r w:rsidRPr="009C6FAF">
        <w:rPr>
          <w:rFonts w:ascii="Arial" w:hAnsi="Arial" w:cs="Arial"/>
          <w:sz w:val="14"/>
          <w:szCs w:val="14"/>
          <w:lang w:val="en-US"/>
        </w:rPr>
        <w:t xml:space="preserve">b) K. F. Mak and J. Shan, </w:t>
      </w:r>
      <w:r w:rsidRPr="009C6FAF">
        <w:rPr>
          <w:rFonts w:ascii="Arial" w:hAnsi="Arial" w:cs="Arial"/>
          <w:i/>
          <w:sz w:val="14"/>
          <w:szCs w:val="14"/>
          <w:lang w:val="en-US"/>
        </w:rPr>
        <w:t>Nat</w:t>
      </w:r>
      <w:r>
        <w:rPr>
          <w:rFonts w:ascii="Arial" w:hAnsi="Arial" w:cs="Arial"/>
          <w:i/>
          <w:sz w:val="14"/>
          <w:szCs w:val="14"/>
          <w:lang w:val="en-US"/>
        </w:rPr>
        <w:t>.</w:t>
      </w:r>
      <w:r w:rsidRPr="009C6FAF">
        <w:rPr>
          <w:rFonts w:ascii="Arial" w:hAnsi="Arial" w:cs="Arial"/>
          <w:i/>
          <w:sz w:val="14"/>
          <w:szCs w:val="14"/>
          <w:lang w:val="en-US"/>
        </w:rPr>
        <w:t xml:space="preserve"> Photon</w:t>
      </w:r>
      <w:r>
        <w:rPr>
          <w:rFonts w:ascii="Arial" w:hAnsi="Arial" w:cs="Arial"/>
          <w:i/>
          <w:sz w:val="14"/>
          <w:szCs w:val="14"/>
          <w:lang w:val="en-US"/>
        </w:rPr>
        <w:t>.</w:t>
      </w:r>
      <w:r w:rsidRPr="009C6FAF">
        <w:rPr>
          <w:rFonts w:ascii="Arial" w:hAnsi="Arial" w:cs="Arial"/>
          <w:i/>
          <w:sz w:val="14"/>
          <w:szCs w:val="14"/>
          <w:lang w:val="en-US"/>
        </w:rPr>
        <w:t xml:space="preserve"> </w:t>
      </w:r>
      <w:proofErr w:type="gramStart"/>
      <w:r w:rsidRPr="009C6FAF">
        <w:rPr>
          <w:rFonts w:ascii="Arial" w:hAnsi="Arial" w:cs="Arial"/>
          <w:b/>
          <w:sz w:val="14"/>
          <w:szCs w:val="14"/>
          <w:lang w:val="en-US"/>
        </w:rPr>
        <w:t>2016</w:t>
      </w:r>
      <w:proofErr w:type="gramEnd"/>
      <w:r w:rsidRPr="009C6FAF">
        <w:rPr>
          <w:rFonts w:ascii="Arial" w:hAnsi="Arial" w:cs="Arial"/>
          <w:sz w:val="14"/>
          <w:szCs w:val="14"/>
          <w:lang w:val="en-US"/>
        </w:rPr>
        <w:t xml:space="preserve">, </w:t>
      </w:r>
      <w:r w:rsidRPr="009C6FAF">
        <w:rPr>
          <w:rFonts w:ascii="Arial" w:hAnsi="Arial" w:cs="Arial"/>
          <w:i/>
          <w:sz w:val="14"/>
          <w:szCs w:val="14"/>
          <w:lang w:val="en-US"/>
        </w:rPr>
        <w:t>10</w:t>
      </w:r>
      <w:r w:rsidRPr="009C6FAF">
        <w:rPr>
          <w:rFonts w:ascii="Arial" w:hAnsi="Arial" w:cs="Arial"/>
          <w:sz w:val="14"/>
          <w:szCs w:val="14"/>
          <w:lang w:val="en-US"/>
        </w:rPr>
        <w:t>, 216-226;</w:t>
      </w:r>
      <w:bookmarkEnd w:id="5"/>
      <w:r w:rsidRPr="009C6FAF">
        <w:rPr>
          <w:rFonts w:ascii="Arial" w:hAnsi="Arial" w:cs="Arial"/>
          <w:sz w:val="14"/>
          <w:szCs w:val="14"/>
          <w:lang w:val="en-US"/>
        </w:rPr>
        <w:t xml:space="preserve"> </w:t>
      </w:r>
      <w:bookmarkStart w:id="6" w:name="_ENREF_6"/>
      <w:r w:rsidRPr="009C6FAF">
        <w:rPr>
          <w:rFonts w:ascii="Arial" w:hAnsi="Arial" w:cs="Arial"/>
          <w:sz w:val="14"/>
          <w:szCs w:val="14"/>
          <w:lang w:val="en-US"/>
        </w:rPr>
        <w:t xml:space="preserve">c) F. Bonaccorso, Z. Sun, T. Hasan and A. C. Ferrari, </w:t>
      </w:r>
      <w:r w:rsidRPr="009C6FAF">
        <w:rPr>
          <w:rFonts w:ascii="Arial" w:hAnsi="Arial" w:cs="Arial"/>
          <w:i/>
          <w:sz w:val="14"/>
          <w:szCs w:val="14"/>
          <w:lang w:val="en-US"/>
        </w:rPr>
        <w:t>Nat</w:t>
      </w:r>
      <w:r>
        <w:rPr>
          <w:rFonts w:ascii="Arial" w:hAnsi="Arial" w:cs="Arial"/>
          <w:i/>
          <w:sz w:val="14"/>
          <w:szCs w:val="14"/>
          <w:lang w:val="en-US"/>
        </w:rPr>
        <w:t>.</w:t>
      </w:r>
      <w:r w:rsidRPr="009C6FAF">
        <w:rPr>
          <w:rFonts w:ascii="Arial" w:hAnsi="Arial" w:cs="Arial"/>
          <w:i/>
          <w:sz w:val="14"/>
          <w:szCs w:val="14"/>
          <w:lang w:val="en-US"/>
        </w:rPr>
        <w:t xml:space="preserve"> Photon</w:t>
      </w:r>
      <w:r>
        <w:rPr>
          <w:rFonts w:ascii="Arial" w:hAnsi="Arial" w:cs="Arial"/>
          <w:i/>
          <w:sz w:val="14"/>
          <w:szCs w:val="14"/>
          <w:lang w:val="en-US"/>
        </w:rPr>
        <w:t>.</w:t>
      </w:r>
      <w:r w:rsidRPr="009C6FAF">
        <w:rPr>
          <w:rFonts w:ascii="Arial" w:hAnsi="Arial" w:cs="Arial"/>
          <w:i/>
          <w:sz w:val="14"/>
          <w:szCs w:val="14"/>
          <w:lang w:val="en-US"/>
        </w:rPr>
        <w:t xml:space="preserve"> </w:t>
      </w:r>
      <w:r w:rsidRPr="009C6FAF">
        <w:rPr>
          <w:rFonts w:ascii="Arial" w:hAnsi="Arial" w:cs="Arial"/>
          <w:b/>
          <w:sz w:val="14"/>
          <w:szCs w:val="14"/>
          <w:lang w:val="en-US"/>
        </w:rPr>
        <w:t>2010</w:t>
      </w:r>
      <w:r w:rsidRPr="009C6FAF">
        <w:rPr>
          <w:rFonts w:ascii="Arial" w:hAnsi="Arial" w:cs="Arial"/>
          <w:sz w:val="14"/>
          <w:szCs w:val="14"/>
          <w:lang w:val="en-US"/>
        </w:rPr>
        <w:t xml:space="preserve">, </w:t>
      </w:r>
      <w:r w:rsidRPr="009C6FAF">
        <w:rPr>
          <w:rFonts w:ascii="Arial" w:hAnsi="Arial" w:cs="Arial"/>
          <w:i/>
          <w:sz w:val="14"/>
          <w:szCs w:val="14"/>
          <w:lang w:val="en-US"/>
        </w:rPr>
        <w:t>4</w:t>
      </w:r>
      <w:r w:rsidRPr="009C6FAF">
        <w:rPr>
          <w:rFonts w:ascii="Arial" w:hAnsi="Arial" w:cs="Arial"/>
          <w:sz w:val="14"/>
          <w:szCs w:val="14"/>
          <w:lang w:val="en-US"/>
        </w:rPr>
        <w:t>, 611-622.</w:t>
      </w:r>
      <w:bookmarkEnd w:id="6"/>
    </w:p>
    <w:p w14:paraId="2107FA3D" w14:textId="77777777" w:rsidR="009C6FAF" w:rsidRPr="009C6FAF" w:rsidRDefault="009C6FAF" w:rsidP="009C6FAF">
      <w:pPr>
        <w:ind w:left="375" w:hanging="375"/>
        <w:rPr>
          <w:rFonts w:ascii="Arial" w:hAnsi="Arial" w:cs="Arial"/>
          <w:sz w:val="14"/>
          <w:szCs w:val="14"/>
          <w:lang w:val="en-US"/>
        </w:rPr>
      </w:pPr>
      <w:bookmarkStart w:id="7" w:name="_ENREF_7"/>
      <w:r w:rsidRPr="009C6FAF">
        <w:rPr>
          <w:rFonts w:ascii="Arial" w:hAnsi="Arial" w:cs="Arial"/>
          <w:sz w:val="14"/>
          <w:szCs w:val="14"/>
          <w:lang w:val="en-US"/>
        </w:rPr>
        <w:t>[3]</w:t>
      </w:r>
      <w:r>
        <w:rPr>
          <w:rFonts w:ascii="Arial" w:hAnsi="Arial" w:cs="Arial"/>
          <w:sz w:val="14"/>
          <w:szCs w:val="14"/>
          <w:lang w:val="en-US"/>
        </w:rPr>
        <w:tab/>
      </w:r>
      <w:r w:rsidRPr="009C6FAF">
        <w:rPr>
          <w:rFonts w:ascii="Arial" w:hAnsi="Arial" w:cs="Arial"/>
          <w:sz w:val="14"/>
          <w:szCs w:val="14"/>
          <w:lang w:val="en-US"/>
        </w:rPr>
        <w:t xml:space="preserve"> a) E. Yang, H. Ji and Y. Jung, </w:t>
      </w:r>
      <w:r>
        <w:rPr>
          <w:rFonts w:ascii="Arial" w:hAnsi="Arial" w:cs="Arial"/>
          <w:i/>
          <w:sz w:val="14"/>
          <w:szCs w:val="14"/>
          <w:lang w:val="en-US"/>
        </w:rPr>
        <w:t>J. Phys. Chem. C,</w:t>
      </w:r>
      <w:r w:rsidRPr="009C6FAF">
        <w:rPr>
          <w:rFonts w:ascii="Arial" w:hAnsi="Arial" w:cs="Arial"/>
          <w:i/>
          <w:sz w:val="14"/>
          <w:szCs w:val="14"/>
          <w:lang w:val="en-US"/>
        </w:rPr>
        <w:t xml:space="preserve"> </w:t>
      </w:r>
      <w:r w:rsidRPr="009C6FAF">
        <w:rPr>
          <w:rFonts w:ascii="Arial" w:hAnsi="Arial" w:cs="Arial"/>
          <w:b/>
          <w:sz w:val="14"/>
          <w:szCs w:val="14"/>
          <w:lang w:val="en-US"/>
        </w:rPr>
        <w:t>2015</w:t>
      </w:r>
      <w:r w:rsidRPr="009C6FAF">
        <w:rPr>
          <w:rFonts w:ascii="Arial" w:hAnsi="Arial" w:cs="Arial"/>
          <w:sz w:val="14"/>
          <w:szCs w:val="14"/>
          <w:lang w:val="en-US"/>
        </w:rPr>
        <w:t xml:space="preserve">, </w:t>
      </w:r>
      <w:r w:rsidRPr="009C6FAF">
        <w:rPr>
          <w:rFonts w:ascii="Arial" w:hAnsi="Arial" w:cs="Arial"/>
          <w:i/>
          <w:sz w:val="14"/>
          <w:szCs w:val="14"/>
          <w:lang w:val="en-US"/>
        </w:rPr>
        <w:t>119</w:t>
      </w:r>
      <w:r w:rsidRPr="009C6FAF">
        <w:rPr>
          <w:rFonts w:ascii="Arial" w:hAnsi="Arial" w:cs="Arial"/>
          <w:sz w:val="14"/>
          <w:szCs w:val="14"/>
          <w:lang w:val="en-US"/>
        </w:rPr>
        <w:t>, 26374-26380;</w:t>
      </w:r>
      <w:bookmarkEnd w:id="7"/>
      <w:r w:rsidRPr="009C6FAF">
        <w:rPr>
          <w:rFonts w:ascii="Arial" w:hAnsi="Arial" w:cs="Arial"/>
          <w:sz w:val="14"/>
          <w:szCs w:val="14"/>
          <w:lang w:val="en-US"/>
        </w:rPr>
        <w:t xml:space="preserve"> </w:t>
      </w:r>
      <w:bookmarkStart w:id="8" w:name="_ENREF_8"/>
      <w:r w:rsidRPr="009C6FAF">
        <w:rPr>
          <w:rFonts w:ascii="Arial" w:hAnsi="Arial" w:cs="Arial"/>
          <w:sz w:val="14"/>
          <w:szCs w:val="14"/>
          <w:lang w:val="en-US"/>
        </w:rPr>
        <w:t xml:space="preserve">b) H. Wang, H. Feng and J. Li, </w:t>
      </w:r>
      <w:r w:rsidRPr="009C6FAF">
        <w:rPr>
          <w:rFonts w:ascii="Arial" w:hAnsi="Arial" w:cs="Arial"/>
          <w:i/>
          <w:sz w:val="14"/>
          <w:szCs w:val="14"/>
          <w:lang w:val="en-US"/>
        </w:rPr>
        <w:t xml:space="preserve">Small </w:t>
      </w:r>
      <w:r w:rsidRPr="009C6FAF">
        <w:rPr>
          <w:rFonts w:ascii="Arial" w:hAnsi="Arial" w:cs="Arial"/>
          <w:b/>
          <w:sz w:val="14"/>
          <w:szCs w:val="14"/>
          <w:lang w:val="en-US"/>
        </w:rPr>
        <w:t>2014</w:t>
      </w:r>
      <w:r w:rsidRPr="009C6FAF">
        <w:rPr>
          <w:rFonts w:ascii="Arial" w:hAnsi="Arial" w:cs="Arial"/>
          <w:sz w:val="14"/>
          <w:szCs w:val="14"/>
          <w:lang w:val="en-US"/>
        </w:rPr>
        <w:t xml:space="preserve">, </w:t>
      </w:r>
      <w:r w:rsidRPr="009C6FAF">
        <w:rPr>
          <w:rFonts w:ascii="Arial" w:hAnsi="Arial" w:cs="Arial"/>
          <w:i/>
          <w:sz w:val="14"/>
          <w:szCs w:val="14"/>
          <w:lang w:val="en-US"/>
        </w:rPr>
        <w:t>10</w:t>
      </w:r>
      <w:r w:rsidRPr="009C6FAF">
        <w:rPr>
          <w:rFonts w:ascii="Arial" w:hAnsi="Arial" w:cs="Arial"/>
          <w:sz w:val="14"/>
          <w:szCs w:val="14"/>
          <w:lang w:val="en-US"/>
        </w:rPr>
        <w:t>, 2165-2181;</w:t>
      </w:r>
      <w:bookmarkEnd w:id="8"/>
      <w:r w:rsidRPr="009C6FAF">
        <w:rPr>
          <w:rFonts w:ascii="Arial" w:hAnsi="Arial" w:cs="Arial"/>
          <w:sz w:val="14"/>
          <w:szCs w:val="14"/>
          <w:lang w:val="en-US"/>
        </w:rPr>
        <w:t xml:space="preserve"> </w:t>
      </w:r>
      <w:bookmarkStart w:id="9" w:name="_ENREF_9"/>
      <w:r w:rsidRPr="009C6FAF">
        <w:rPr>
          <w:rFonts w:ascii="Arial" w:hAnsi="Arial" w:cs="Arial"/>
          <w:sz w:val="14"/>
          <w:szCs w:val="14"/>
          <w:lang w:val="en-US"/>
        </w:rPr>
        <w:t xml:space="preserve">c) J. B. Cook, H.-S. Kim, Y. Yan, J. S. Ko, S. Robbennolt, B. Dunn and S. H. Tolbert, </w:t>
      </w:r>
      <w:r>
        <w:rPr>
          <w:rFonts w:ascii="Arial" w:hAnsi="Arial" w:cs="Arial"/>
          <w:i/>
          <w:sz w:val="14"/>
          <w:szCs w:val="14"/>
          <w:lang w:val="en-US"/>
        </w:rPr>
        <w:t>Adv.</w:t>
      </w:r>
      <w:r w:rsidRPr="009C6FAF">
        <w:rPr>
          <w:rFonts w:ascii="Arial" w:hAnsi="Arial" w:cs="Arial"/>
          <w:i/>
          <w:sz w:val="14"/>
          <w:szCs w:val="14"/>
          <w:lang w:val="en-US"/>
        </w:rPr>
        <w:t xml:space="preserve"> Energ</w:t>
      </w:r>
      <w:r>
        <w:rPr>
          <w:rFonts w:ascii="Arial" w:hAnsi="Arial" w:cs="Arial"/>
          <w:i/>
          <w:sz w:val="14"/>
          <w:szCs w:val="14"/>
          <w:lang w:val="en-US"/>
        </w:rPr>
        <w:t>. Mater.</w:t>
      </w:r>
      <w:r w:rsidRPr="009C6FAF">
        <w:rPr>
          <w:rFonts w:ascii="Arial" w:hAnsi="Arial" w:cs="Arial"/>
          <w:i/>
          <w:sz w:val="14"/>
          <w:szCs w:val="14"/>
          <w:lang w:val="en-US"/>
        </w:rPr>
        <w:t xml:space="preserve"> </w:t>
      </w:r>
      <w:proofErr w:type="gramStart"/>
      <w:r w:rsidRPr="009C6FAF">
        <w:rPr>
          <w:rFonts w:ascii="Arial" w:hAnsi="Arial" w:cs="Arial"/>
          <w:b/>
          <w:sz w:val="14"/>
          <w:szCs w:val="14"/>
          <w:lang w:val="en-US"/>
        </w:rPr>
        <w:t>2016</w:t>
      </w:r>
      <w:proofErr w:type="gramEnd"/>
      <w:r w:rsidRPr="009C6FAF">
        <w:rPr>
          <w:rFonts w:ascii="Arial" w:hAnsi="Arial" w:cs="Arial"/>
          <w:sz w:val="14"/>
          <w:szCs w:val="14"/>
          <w:lang w:val="en-US"/>
        </w:rPr>
        <w:t xml:space="preserve">, </w:t>
      </w:r>
      <w:r w:rsidRPr="009C6FAF">
        <w:rPr>
          <w:rFonts w:ascii="Arial" w:hAnsi="Arial" w:cs="Arial"/>
          <w:i/>
          <w:sz w:val="14"/>
          <w:szCs w:val="14"/>
          <w:lang w:val="en-US"/>
        </w:rPr>
        <w:t>6</w:t>
      </w:r>
      <w:r w:rsidRPr="009C6FAF">
        <w:rPr>
          <w:rFonts w:ascii="Arial" w:hAnsi="Arial" w:cs="Arial"/>
          <w:sz w:val="14"/>
          <w:szCs w:val="14"/>
          <w:lang w:val="en-US"/>
        </w:rPr>
        <w:t>, n/a-n/a.</w:t>
      </w:r>
      <w:bookmarkEnd w:id="9"/>
    </w:p>
    <w:p w14:paraId="4A17BE77" w14:textId="77777777" w:rsidR="009C6FAF" w:rsidRPr="009C6FAF" w:rsidRDefault="009C6FAF" w:rsidP="009C6FAF">
      <w:pPr>
        <w:ind w:left="375" w:hanging="375"/>
        <w:rPr>
          <w:rFonts w:ascii="Arial" w:hAnsi="Arial" w:cs="Arial"/>
          <w:sz w:val="14"/>
          <w:szCs w:val="14"/>
          <w:lang w:val="en-US"/>
        </w:rPr>
      </w:pPr>
      <w:bookmarkStart w:id="10" w:name="_ENREF_10"/>
      <w:r w:rsidRPr="009C6FAF">
        <w:rPr>
          <w:rFonts w:ascii="Arial" w:hAnsi="Arial" w:cs="Arial"/>
          <w:sz w:val="14"/>
          <w:szCs w:val="14"/>
          <w:lang w:val="en-US"/>
        </w:rPr>
        <w:t xml:space="preserve">[4] </w:t>
      </w:r>
      <w:r>
        <w:rPr>
          <w:rFonts w:ascii="Arial" w:hAnsi="Arial" w:cs="Arial"/>
          <w:sz w:val="14"/>
          <w:szCs w:val="14"/>
          <w:lang w:val="en-US"/>
        </w:rPr>
        <w:tab/>
      </w:r>
      <w:proofErr w:type="gramStart"/>
      <w:r w:rsidRPr="009C6FAF">
        <w:rPr>
          <w:rFonts w:ascii="Arial" w:hAnsi="Arial" w:cs="Arial"/>
          <w:sz w:val="14"/>
          <w:szCs w:val="14"/>
          <w:lang w:val="en-US"/>
        </w:rPr>
        <w:t>a</w:t>
      </w:r>
      <w:proofErr w:type="gramEnd"/>
      <w:r w:rsidRPr="009C6FAF">
        <w:rPr>
          <w:rFonts w:ascii="Arial" w:hAnsi="Arial" w:cs="Arial"/>
          <w:sz w:val="14"/>
          <w:szCs w:val="14"/>
          <w:lang w:val="en-US"/>
        </w:rPr>
        <w:t xml:space="preserve">) J. Yang and H. S. Shin, </w:t>
      </w:r>
      <w:r>
        <w:rPr>
          <w:rFonts w:ascii="Arial" w:hAnsi="Arial" w:cs="Arial"/>
          <w:i/>
          <w:sz w:val="14"/>
          <w:szCs w:val="14"/>
          <w:lang w:val="en-US"/>
        </w:rPr>
        <w:t>J. Mat. Chem.</w:t>
      </w:r>
      <w:r w:rsidRPr="009C6FAF">
        <w:rPr>
          <w:rFonts w:ascii="Arial" w:hAnsi="Arial" w:cs="Arial"/>
          <w:i/>
          <w:sz w:val="14"/>
          <w:szCs w:val="14"/>
          <w:lang w:val="en-US"/>
        </w:rPr>
        <w:t xml:space="preserve"> A </w:t>
      </w:r>
      <w:r w:rsidRPr="009C6FAF">
        <w:rPr>
          <w:rFonts w:ascii="Arial" w:hAnsi="Arial" w:cs="Arial"/>
          <w:b/>
          <w:sz w:val="14"/>
          <w:szCs w:val="14"/>
          <w:lang w:val="en-US"/>
        </w:rPr>
        <w:t>2014</w:t>
      </w:r>
      <w:r w:rsidRPr="009C6FAF">
        <w:rPr>
          <w:rFonts w:ascii="Arial" w:hAnsi="Arial" w:cs="Arial"/>
          <w:sz w:val="14"/>
          <w:szCs w:val="14"/>
          <w:lang w:val="en-US"/>
        </w:rPr>
        <w:t xml:space="preserve">, </w:t>
      </w:r>
      <w:r w:rsidRPr="009C6FAF">
        <w:rPr>
          <w:rFonts w:ascii="Arial" w:hAnsi="Arial" w:cs="Arial"/>
          <w:i/>
          <w:sz w:val="14"/>
          <w:szCs w:val="14"/>
          <w:lang w:val="en-US"/>
        </w:rPr>
        <w:t>2</w:t>
      </w:r>
      <w:r w:rsidRPr="009C6FAF">
        <w:rPr>
          <w:rFonts w:ascii="Arial" w:hAnsi="Arial" w:cs="Arial"/>
          <w:sz w:val="14"/>
          <w:szCs w:val="14"/>
          <w:lang w:val="en-US"/>
        </w:rPr>
        <w:t>, 5979-5985;</w:t>
      </w:r>
      <w:bookmarkEnd w:id="10"/>
      <w:r w:rsidRPr="009C6FAF">
        <w:rPr>
          <w:rFonts w:ascii="Arial" w:hAnsi="Arial" w:cs="Arial"/>
          <w:sz w:val="14"/>
          <w:szCs w:val="14"/>
          <w:lang w:val="en-US"/>
        </w:rPr>
        <w:t xml:space="preserve"> </w:t>
      </w:r>
      <w:bookmarkStart w:id="11" w:name="_ENREF_11"/>
      <w:r w:rsidRPr="009C6FAF">
        <w:rPr>
          <w:rFonts w:ascii="Arial" w:hAnsi="Arial" w:cs="Arial"/>
          <w:sz w:val="14"/>
          <w:szCs w:val="14"/>
          <w:lang w:val="en-US"/>
        </w:rPr>
        <w:t xml:space="preserve">b) L. Li, Y. Yu, G. J. Ye, Q. Ge, X. Ou, H. Wu, D. Feng, X. H. Chen and Y. Zhang, </w:t>
      </w:r>
      <w:r>
        <w:rPr>
          <w:rFonts w:ascii="Arial" w:hAnsi="Arial" w:cs="Arial"/>
          <w:i/>
          <w:sz w:val="14"/>
          <w:szCs w:val="14"/>
          <w:lang w:val="en-US"/>
        </w:rPr>
        <w:t>Nat. Nano.</w:t>
      </w:r>
      <w:r w:rsidRPr="009C6FAF">
        <w:rPr>
          <w:rFonts w:ascii="Arial" w:hAnsi="Arial" w:cs="Arial"/>
          <w:i/>
          <w:sz w:val="14"/>
          <w:szCs w:val="14"/>
          <w:lang w:val="en-US"/>
        </w:rPr>
        <w:t xml:space="preserve"> </w:t>
      </w:r>
      <w:r w:rsidRPr="009C6FAF">
        <w:rPr>
          <w:rFonts w:ascii="Arial" w:hAnsi="Arial" w:cs="Arial"/>
          <w:b/>
          <w:sz w:val="14"/>
          <w:szCs w:val="14"/>
          <w:lang w:val="en-US"/>
        </w:rPr>
        <w:t>2014</w:t>
      </w:r>
      <w:r w:rsidRPr="009C6FAF">
        <w:rPr>
          <w:rFonts w:ascii="Arial" w:hAnsi="Arial" w:cs="Arial"/>
          <w:sz w:val="14"/>
          <w:szCs w:val="14"/>
          <w:lang w:val="en-US"/>
        </w:rPr>
        <w:t xml:space="preserve">, </w:t>
      </w:r>
      <w:r w:rsidRPr="009C6FAF">
        <w:rPr>
          <w:rFonts w:ascii="Arial" w:hAnsi="Arial" w:cs="Arial"/>
          <w:i/>
          <w:sz w:val="14"/>
          <w:szCs w:val="14"/>
          <w:lang w:val="en-US"/>
        </w:rPr>
        <w:t>9</w:t>
      </w:r>
      <w:r w:rsidRPr="009C6FAF">
        <w:rPr>
          <w:rFonts w:ascii="Arial" w:hAnsi="Arial" w:cs="Arial"/>
          <w:sz w:val="14"/>
          <w:szCs w:val="14"/>
          <w:lang w:val="en-US"/>
        </w:rPr>
        <w:t>, 372-377;</w:t>
      </w:r>
      <w:bookmarkEnd w:id="11"/>
      <w:r w:rsidRPr="009C6FAF">
        <w:rPr>
          <w:rFonts w:ascii="Arial" w:hAnsi="Arial" w:cs="Arial"/>
          <w:sz w:val="14"/>
          <w:szCs w:val="14"/>
          <w:lang w:val="en-US"/>
        </w:rPr>
        <w:t xml:space="preserve"> </w:t>
      </w:r>
      <w:bookmarkStart w:id="12" w:name="_ENREF_12"/>
      <w:r w:rsidRPr="009C6FAF">
        <w:rPr>
          <w:rFonts w:ascii="Arial" w:hAnsi="Arial" w:cs="Arial"/>
          <w:sz w:val="14"/>
          <w:szCs w:val="14"/>
          <w:lang w:val="en-US"/>
        </w:rPr>
        <w:t xml:space="preserve">c) D. R. Cummins, U. Martinez, A. Sherehiy, R. Kappera, A. Martinez-Garcia, R. K. Schulze, J. Jasinski, J. Zhang, R. K. Gupta, J. Lou, M. Chhowalla, G. Sumanasekera, A. D. Mohite, M. K. Sunkara and G. Gupta, </w:t>
      </w:r>
      <w:r w:rsidRPr="009C6FAF">
        <w:rPr>
          <w:rFonts w:ascii="Arial" w:hAnsi="Arial" w:cs="Arial"/>
          <w:i/>
          <w:sz w:val="14"/>
          <w:szCs w:val="14"/>
          <w:lang w:val="en-US"/>
        </w:rPr>
        <w:t>Nat</w:t>
      </w:r>
      <w:r>
        <w:rPr>
          <w:rFonts w:ascii="Arial" w:hAnsi="Arial" w:cs="Arial"/>
          <w:i/>
          <w:sz w:val="14"/>
          <w:szCs w:val="14"/>
          <w:lang w:val="en-US"/>
        </w:rPr>
        <w:t>.</w:t>
      </w:r>
      <w:r w:rsidRPr="009C6FAF">
        <w:rPr>
          <w:rFonts w:ascii="Arial" w:hAnsi="Arial" w:cs="Arial"/>
          <w:i/>
          <w:sz w:val="14"/>
          <w:szCs w:val="14"/>
          <w:lang w:val="en-US"/>
        </w:rPr>
        <w:t xml:space="preserve"> Commun</w:t>
      </w:r>
      <w:r>
        <w:rPr>
          <w:rFonts w:ascii="Arial" w:hAnsi="Arial" w:cs="Arial"/>
          <w:i/>
          <w:sz w:val="14"/>
          <w:szCs w:val="14"/>
          <w:lang w:val="en-US"/>
        </w:rPr>
        <w:t>.</w:t>
      </w:r>
      <w:r w:rsidRPr="009C6FAF">
        <w:rPr>
          <w:rFonts w:ascii="Arial" w:hAnsi="Arial" w:cs="Arial"/>
          <w:i/>
          <w:sz w:val="14"/>
          <w:szCs w:val="14"/>
          <w:lang w:val="en-US"/>
        </w:rPr>
        <w:t xml:space="preserve"> </w:t>
      </w:r>
      <w:r w:rsidRPr="009C6FAF">
        <w:rPr>
          <w:rFonts w:ascii="Arial" w:hAnsi="Arial" w:cs="Arial"/>
          <w:b/>
          <w:sz w:val="14"/>
          <w:szCs w:val="14"/>
          <w:lang w:val="en-US"/>
        </w:rPr>
        <w:t>2016</w:t>
      </w:r>
      <w:r w:rsidRPr="009C6FAF">
        <w:rPr>
          <w:rFonts w:ascii="Arial" w:hAnsi="Arial" w:cs="Arial"/>
          <w:sz w:val="14"/>
          <w:szCs w:val="14"/>
          <w:lang w:val="en-US"/>
        </w:rPr>
        <w:t xml:space="preserve">, </w:t>
      </w:r>
      <w:r w:rsidRPr="009C6FAF">
        <w:rPr>
          <w:rFonts w:ascii="Arial" w:hAnsi="Arial" w:cs="Arial"/>
          <w:i/>
          <w:sz w:val="14"/>
          <w:szCs w:val="14"/>
          <w:lang w:val="en-US"/>
        </w:rPr>
        <w:t>7</w:t>
      </w:r>
      <w:r w:rsidRPr="009C6FAF">
        <w:rPr>
          <w:rFonts w:ascii="Arial" w:hAnsi="Arial" w:cs="Arial"/>
          <w:sz w:val="14"/>
          <w:szCs w:val="14"/>
          <w:lang w:val="en-US"/>
        </w:rPr>
        <w:t>;</w:t>
      </w:r>
      <w:bookmarkEnd w:id="12"/>
      <w:r w:rsidRPr="009C6FAF">
        <w:rPr>
          <w:rFonts w:ascii="Arial" w:hAnsi="Arial" w:cs="Arial"/>
          <w:sz w:val="14"/>
          <w:szCs w:val="14"/>
          <w:lang w:val="en-US"/>
        </w:rPr>
        <w:t xml:space="preserve"> </w:t>
      </w:r>
      <w:bookmarkStart w:id="13" w:name="_ENREF_13"/>
      <w:r w:rsidRPr="009C6FAF">
        <w:rPr>
          <w:rFonts w:ascii="Arial" w:hAnsi="Arial" w:cs="Arial"/>
          <w:sz w:val="14"/>
          <w:szCs w:val="14"/>
          <w:lang w:val="en-US"/>
        </w:rPr>
        <w:t xml:space="preserve">d) X. Chia, A. Y. S. Eng, A. Ambrosi, S. M. Tan and M. Pumera, </w:t>
      </w:r>
      <w:r>
        <w:rPr>
          <w:rFonts w:ascii="Arial" w:hAnsi="Arial" w:cs="Arial"/>
          <w:i/>
          <w:sz w:val="14"/>
          <w:szCs w:val="14"/>
          <w:lang w:val="en-US"/>
        </w:rPr>
        <w:t>Chem. Rev.,</w:t>
      </w:r>
      <w:r w:rsidRPr="009C6FAF">
        <w:rPr>
          <w:rFonts w:ascii="Arial" w:hAnsi="Arial" w:cs="Arial"/>
          <w:i/>
          <w:sz w:val="14"/>
          <w:szCs w:val="14"/>
          <w:lang w:val="en-US"/>
        </w:rPr>
        <w:t xml:space="preserve"> </w:t>
      </w:r>
      <w:r w:rsidRPr="009C6FAF">
        <w:rPr>
          <w:rFonts w:ascii="Arial" w:hAnsi="Arial" w:cs="Arial"/>
          <w:b/>
          <w:sz w:val="14"/>
          <w:szCs w:val="14"/>
          <w:lang w:val="en-US"/>
        </w:rPr>
        <w:t>2015</w:t>
      </w:r>
      <w:r w:rsidRPr="009C6FAF">
        <w:rPr>
          <w:rFonts w:ascii="Arial" w:hAnsi="Arial" w:cs="Arial"/>
          <w:sz w:val="14"/>
          <w:szCs w:val="14"/>
          <w:lang w:val="en-US"/>
        </w:rPr>
        <w:t xml:space="preserve">, </w:t>
      </w:r>
      <w:r w:rsidRPr="009C6FAF">
        <w:rPr>
          <w:rFonts w:ascii="Arial" w:hAnsi="Arial" w:cs="Arial"/>
          <w:i/>
          <w:sz w:val="14"/>
          <w:szCs w:val="14"/>
          <w:lang w:val="en-US"/>
        </w:rPr>
        <w:t>115</w:t>
      </w:r>
      <w:r w:rsidRPr="009C6FAF">
        <w:rPr>
          <w:rFonts w:ascii="Arial" w:hAnsi="Arial" w:cs="Arial"/>
          <w:sz w:val="14"/>
          <w:szCs w:val="14"/>
          <w:lang w:val="en-US"/>
        </w:rPr>
        <w:t>, 11941-11966;</w:t>
      </w:r>
      <w:bookmarkEnd w:id="13"/>
      <w:r w:rsidRPr="009C6FAF">
        <w:rPr>
          <w:rFonts w:ascii="Arial" w:hAnsi="Arial" w:cs="Arial"/>
          <w:sz w:val="14"/>
          <w:szCs w:val="14"/>
          <w:lang w:val="en-US"/>
        </w:rPr>
        <w:t xml:space="preserve"> </w:t>
      </w:r>
      <w:bookmarkStart w:id="14" w:name="_ENREF_14"/>
      <w:r w:rsidRPr="009C6FAF">
        <w:rPr>
          <w:rFonts w:ascii="Arial" w:hAnsi="Arial" w:cs="Arial"/>
          <w:sz w:val="14"/>
          <w:szCs w:val="14"/>
          <w:lang w:val="en-US"/>
        </w:rPr>
        <w:t xml:space="preserve">e) C. Zhu and S. Dong, </w:t>
      </w:r>
      <w:r w:rsidRPr="009C6FAF">
        <w:rPr>
          <w:rFonts w:ascii="Arial" w:hAnsi="Arial" w:cs="Arial"/>
          <w:i/>
          <w:sz w:val="14"/>
          <w:szCs w:val="14"/>
          <w:lang w:val="en-US"/>
        </w:rPr>
        <w:t xml:space="preserve">Nanoscale </w:t>
      </w:r>
      <w:r w:rsidRPr="009C6FAF">
        <w:rPr>
          <w:rFonts w:ascii="Arial" w:hAnsi="Arial" w:cs="Arial"/>
          <w:b/>
          <w:sz w:val="14"/>
          <w:szCs w:val="14"/>
          <w:lang w:val="en-US"/>
        </w:rPr>
        <w:t>2013</w:t>
      </w:r>
      <w:r w:rsidRPr="009C6FAF">
        <w:rPr>
          <w:rFonts w:ascii="Arial" w:hAnsi="Arial" w:cs="Arial"/>
          <w:sz w:val="14"/>
          <w:szCs w:val="14"/>
          <w:lang w:val="en-US"/>
        </w:rPr>
        <w:t xml:space="preserve">, </w:t>
      </w:r>
      <w:r w:rsidRPr="009C6FAF">
        <w:rPr>
          <w:rFonts w:ascii="Arial" w:hAnsi="Arial" w:cs="Arial"/>
          <w:i/>
          <w:sz w:val="14"/>
          <w:szCs w:val="14"/>
          <w:lang w:val="en-US"/>
        </w:rPr>
        <w:t>5</w:t>
      </w:r>
      <w:r w:rsidRPr="009C6FAF">
        <w:rPr>
          <w:rFonts w:ascii="Arial" w:hAnsi="Arial" w:cs="Arial"/>
          <w:sz w:val="14"/>
          <w:szCs w:val="14"/>
          <w:lang w:val="en-US"/>
        </w:rPr>
        <w:t>, 1753-1767;</w:t>
      </w:r>
      <w:bookmarkEnd w:id="14"/>
      <w:r w:rsidRPr="009C6FAF">
        <w:rPr>
          <w:rFonts w:ascii="Arial" w:hAnsi="Arial" w:cs="Arial"/>
          <w:sz w:val="14"/>
          <w:szCs w:val="14"/>
          <w:lang w:val="en-US"/>
        </w:rPr>
        <w:t xml:space="preserve"> </w:t>
      </w:r>
      <w:bookmarkStart w:id="15" w:name="_ENREF_15"/>
      <w:r w:rsidRPr="009C6FAF">
        <w:rPr>
          <w:rFonts w:ascii="Arial" w:hAnsi="Arial" w:cs="Arial"/>
          <w:sz w:val="14"/>
          <w:szCs w:val="14"/>
          <w:lang w:val="en-US"/>
        </w:rPr>
        <w:t xml:space="preserve">f) Y. Li, H. Wang, L. Xie, Y. Liang, G. Hong and H. Dai, </w:t>
      </w:r>
      <w:r>
        <w:rPr>
          <w:rFonts w:ascii="Arial" w:hAnsi="Arial" w:cs="Arial"/>
          <w:i/>
          <w:sz w:val="14"/>
          <w:szCs w:val="14"/>
          <w:lang w:val="en-US"/>
        </w:rPr>
        <w:t>J. Am. Chem. Soc.</w:t>
      </w:r>
      <w:r w:rsidRPr="009C6FAF">
        <w:rPr>
          <w:rFonts w:ascii="Arial" w:hAnsi="Arial" w:cs="Arial"/>
          <w:i/>
          <w:sz w:val="14"/>
          <w:szCs w:val="14"/>
          <w:lang w:val="en-US"/>
        </w:rPr>
        <w:t xml:space="preserve"> </w:t>
      </w:r>
      <w:r w:rsidRPr="009C6FAF">
        <w:rPr>
          <w:rFonts w:ascii="Arial" w:hAnsi="Arial" w:cs="Arial"/>
          <w:b/>
          <w:sz w:val="14"/>
          <w:szCs w:val="14"/>
          <w:lang w:val="en-US"/>
        </w:rPr>
        <w:t>2011</w:t>
      </w:r>
      <w:r w:rsidRPr="009C6FAF">
        <w:rPr>
          <w:rFonts w:ascii="Arial" w:hAnsi="Arial" w:cs="Arial"/>
          <w:sz w:val="14"/>
          <w:szCs w:val="14"/>
          <w:lang w:val="en-US"/>
        </w:rPr>
        <w:t xml:space="preserve">, </w:t>
      </w:r>
      <w:r w:rsidRPr="009C6FAF">
        <w:rPr>
          <w:rFonts w:ascii="Arial" w:hAnsi="Arial" w:cs="Arial"/>
          <w:i/>
          <w:sz w:val="14"/>
          <w:szCs w:val="14"/>
          <w:lang w:val="en-US"/>
        </w:rPr>
        <w:t>133</w:t>
      </w:r>
      <w:r w:rsidRPr="009C6FAF">
        <w:rPr>
          <w:rFonts w:ascii="Arial" w:hAnsi="Arial" w:cs="Arial"/>
          <w:sz w:val="14"/>
          <w:szCs w:val="14"/>
          <w:lang w:val="en-US"/>
        </w:rPr>
        <w:t>, 7296-7299.</w:t>
      </w:r>
      <w:bookmarkEnd w:id="15"/>
    </w:p>
    <w:p w14:paraId="0BF2BFF0" w14:textId="77777777" w:rsidR="009C6FAF" w:rsidRPr="009C6FAF" w:rsidRDefault="009C6FAF" w:rsidP="009C6FAF">
      <w:pPr>
        <w:ind w:left="375" w:hanging="375"/>
        <w:rPr>
          <w:rFonts w:ascii="Arial" w:hAnsi="Arial" w:cs="Arial"/>
          <w:sz w:val="14"/>
          <w:szCs w:val="14"/>
          <w:lang w:val="en-US"/>
        </w:rPr>
      </w:pPr>
      <w:bookmarkStart w:id="16" w:name="_ENREF_16"/>
      <w:r w:rsidRPr="009C6FAF">
        <w:rPr>
          <w:rFonts w:ascii="Arial" w:hAnsi="Arial" w:cs="Arial"/>
          <w:sz w:val="14"/>
          <w:szCs w:val="14"/>
          <w:lang w:val="en-US"/>
        </w:rPr>
        <w:t xml:space="preserve">[5] </w:t>
      </w:r>
      <w:r>
        <w:rPr>
          <w:rFonts w:ascii="Arial" w:hAnsi="Arial" w:cs="Arial"/>
          <w:sz w:val="14"/>
          <w:szCs w:val="14"/>
          <w:lang w:val="en-US"/>
        </w:rPr>
        <w:tab/>
      </w:r>
      <w:proofErr w:type="gramStart"/>
      <w:r w:rsidRPr="009C6FAF">
        <w:rPr>
          <w:rFonts w:ascii="Arial" w:hAnsi="Arial" w:cs="Arial"/>
          <w:sz w:val="14"/>
          <w:szCs w:val="14"/>
          <w:lang w:val="en-US"/>
        </w:rPr>
        <w:t>a</w:t>
      </w:r>
      <w:proofErr w:type="gramEnd"/>
      <w:r w:rsidRPr="009C6FAF">
        <w:rPr>
          <w:rFonts w:ascii="Arial" w:hAnsi="Arial" w:cs="Arial"/>
          <w:sz w:val="14"/>
          <w:szCs w:val="14"/>
          <w:lang w:val="en-US"/>
        </w:rPr>
        <w:t xml:space="preserve">) J. Benson, M. Li, S. Wang, P. Wang and P. Papakonstantinou, </w:t>
      </w:r>
      <w:r w:rsidRPr="009C6FAF">
        <w:rPr>
          <w:rFonts w:ascii="Arial" w:hAnsi="Arial" w:cs="Arial"/>
          <w:i/>
          <w:sz w:val="14"/>
          <w:szCs w:val="14"/>
          <w:lang w:val="en-US"/>
        </w:rPr>
        <w:t xml:space="preserve">ACS </w:t>
      </w:r>
      <w:r>
        <w:rPr>
          <w:rFonts w:ascii="Arial" w:hAnsi="Arial" w:cs="Arial"/>
          <w:i/>
          <w:sz w:val="14"/>
          <w:szCs w:val="14"/>
          <w:lang w:val="en-US"/>
        </w:rPr>
        <w:t xml:space="preserve">Appl. Mater. </w:t>
      </w:r>
      <w:r w:rsidRPr="009C6FAF">
        <w:rPr>
          <w:rFonts w:ascii="Arial" w:hAnsi="Arial" w:cs="Arial"/>
          <w:i/>
          <w:sz w:val="14"/>
          <w:szCs w:val="14"/>
          <w:lang w:val="en-US"/>
        </w:rPr>
        <w:t xml:space="preserve">Interfaces </w:t>
      </w:r>
      <w:r w:rsidRPr="009C6FAF">
        <w:rPr>
          <w:rFonts w:ascii="Arial" w:hAnsi="Arial" w:cs="Arial"/>
          <w:b/>
          <w:sz w:val="14"/>
          <w:szCs w:val="14"/>
          <w:lang w:val="en-US"/>
        </w:rPr>
        <w:t>2015</w:t>
      </w:r>
      <w:r w:rsidRPr="009C6FAF">
        <w:rPr>
          <w:rFonts w:ascii="Arial" w:hAnsi="Arial" w:cs="Arial"/>
          <w:sz w:val="14"/>
          <w:szCs w:val="14"/>
          <w:lang w:val="en-US"/>
        </w:rPr>
        <w:t xml:space="preserve">, </w:t>
      </w:r>
      <w:r w:rsidRPr="009C6FAF">
        <w:rPr>
          <w:rFonts w:ascii="Arial" w:hAnsi="Arial" w:cs="Arial"/>
          <w:i/>
          <w:sz w:val="14"/>
          <w:szCs w:val="14"/>
          <w:lang w:val="en-US"/>
        </w:rPr>
        <w:t>7</w:t>
      </w:r>
      <w:r w:rsidRPr="009C6FAF">
        <w:rPr>
          <w:rFonts w:ascii="Arial" w:hAnsi="Arial" w:cs="Arial"/>
          <w:sz w:val="14"/>
          <w:szCs w:val="14"/>
          <w:lang w:val="en-US"/>
        </w:rPr>
        <w:t>, 14113-14122;</w:t>
      </w:r>
      <w:bookmarkEnd w:id="16"/>
      <w:r w:rsidRPr="009C6FAF">
        <w:rPr>
          <w:rFonts w:ascii="Arial" w:hAnsi="Arial" w:cs="Arial"/>
          <w:sz w:val="14"/>
          <w:szCs w:val="14"/>
          <w:lang w:val="en-US"/>
        </w:rPr>
        <w:t xml:space="preserve"> </w:t>
      </w:r>
      <w:bookmarkStart w:id="17" w:name="_ENREF_17"/>
      <w:r w:rsidRPr="009C6FAF">
        <w:rPr>
          <w:rFonts w:ascii="Arial" w:hAnsi="Arial" w:cs="Arial"/>
          <w:sz w:val="14"/>
          <w:szCs w:val="14"/>
          <w:lang w:val="en-US"/>
        </w:rPr>
        <w:t xml:space="preserve">b) D. Voiry, H. Yamaguchi, J. Li, R. Silva, D. C. B. Alves, T. Fujita, M. Chen, T. Asefa, V. B. Shenoy, G. Eda and M. Chhowalla, </w:t>
      </w:r>
      <w:r w:rsidRPr="009C6FAF">
        <w:rPr>
          <w:rFonts w:ascii="Arial" w:hAnsi="Arial" w:cs="Arial"/>
          <w:i/>
          <w:sz w:val="14"/>
          <w:szCs w:val="14"/>
          <w:lang w:val="en-US"/>
        </w:rPr>
        <w:t>Nat</w:t>
      </w:r>
      <w:r w:rsidR="001D40FE">
        <w:rPr>
          <w:rFonts w:ascii="Arial" w:hAnsi="Arial" w:cs="Arial"/>
          <w:i/>
          <w:sz w:val="14"/>
          <w:szCs w:val="14"/>
          <w:lang w:val="en-US"/>
        </w:rPr>
        <w:t>.</w:t>
      </w:r>
      <w:r w:rsidRPr="009C6FAF">
        <w:rPr>
          <w:rFonts w:ascii="Arial" w:hAnsi="Arial" w:cs="Arial"/>
          <w:i/>
          <w:sz w:val="14"/>
          <w:szCs w:val="14"/>
          <w:lang w:val="en-US"/>
        </w:rPr>
        <w:t xml:space="preserve"> Mater</w:t>
      </w:r>
      <w:r w:rsidR="001D40FE">
        <w:rPr>
          <w:rFonts w:ascii="Arial" w:hAnsi="Arial" w:cs="Arial"/>
          <w:i/>
          <w:sz w:val="14"/>
          <w:szCs w:val="14"/>
          <w:lang w:val="en-US"/>
        </w:rPr>
        <w:t>.</w:t>
      </w:r>
      <w:r w:rsidRPr="009C6FAF">
        <w:rPr>
          <w:rFonts w:ascii="Arial" w:hAnsi="Arial" w:cs="Arial"/>
          <w:i/>
          <w:sz w:val="14"/>
          <w:szCs w:val="14"/>
          <w:lang w:val="en-US"/>
        </w:rPr>
        <w:t xml:space="preserve"> </w:t>
      </w:r>
      <w:r w:rsidRPr="009C6FAF">
        <w:rPr>
          <w:rFonts w:ascii="Arial" w:hAnsi="Arial" w:cs="Arial"/>
          <w:b/>
          <w:sz w:val="14"/>
          <w:szCs w:val="14"/>
          <w:lang w:val="en-US"/>
        </w:rPr>
        <w:t>2013</w:t>
      </w:r>
      <w:r w:rsidRPr="009C6FAF">
        <w:rPr>
          <w:rFonts w:ascii="Arial" w:hAnsi="Arial" w:cs="Arial"/>
          <w:sz w:val="14"/>
          <w:szCs w:val="14"/>
          <w:lang w:val="en-US"/>
        </w:rPr>
        <w:t xml:space="preserve">, </w:t>
      </w:r>
      <w:r w:rsidRPr="009C6FAF">
        <w:rPr>
          <w:rFonts w:ascii="Arial" w:hAnsi="Arial" w:cs="Arial"/>
          <w:i/>
          <w:sz w:val="14"/>
          <w:szCs w:val="14"/>
          <w:lang w:val="en-US"/>
        </w:rPr>
        <w:t>12</w:t>
      </w:r>
      <w:r w:rsidRPr="009C6FAF">
        <w:rPr>
          <w:rFonts w:ascii="Arial" w:hAnsi="Arial" w:cs="Arial"/>
          <w:sz w:val="14"/>
          <w:szCs w:val="14"/>
          <w:lang w:val="en-US"/>
        </w:rPr>
        <w:t>, 850-855.</w:t>
      </w:r>
      <w:bookmarkEnd w:id="17"/>
    </w:p>
    <w:p w14:paraId="7ABA1275" w14:textId="77777777" w:rsidR="009C6FAF" w:rsidRPr="009C6FAF" w:rsidRDefault="009C6FAF" w:rsidP="009C6FAF">
      <w:pPr>
        <w:ind w:left="375" w:hanging="375"/>
        <w:rPr>
          <w:rFonts w:ascii="Arial" w:hAnsi="Arial" w:cs="Arial"/>
          <w:sz w:val="14"/>
          <w:szCs w:val="14"/>
          <w:lang w:val="en-US"/>
        </w:rPr>
      </w:pPr>
      <w:bookmarkStart w:id="18" w:name="_ENREF_18"/>
      <w:r w:rsidRPr="009C6FAF">
        <w:rPr>
          <w:rFonts w:ascii="Arial" w:hAnsi="Arial" w:cs="Arial"/>
          <w:sz w:val="14"/>
          <w:szCs w:val="14"/>
          <w:lang w:val="en-US"/>
        </w:rPr>
        <w:t xml:space="preserve">[6] </w:t>
      </w:r>
      <w:r>
        <w:rPr>
          <w:rFonts w:ascii="Arial" w:hAnsi="Arial" w:cs="Arial"/>
          <w:sz w:val="14"/>
          <w:szCs w:val="14"/>
          <w:lang w:val="en-US"/>
        </w:rPr>
        <w:tab/>
      </w:r>
      <w:r w:rsidRPr="009C6FAF">
        <w:rPr>
          <w:rFonts w:ascii="Arial" w:hAnsi="Arial" w:cs="Arial"/>
          <w:sz w:val="14"/>
          <w:szCs w:val="14"/>
          <w:lang w:val="en-US"/>
        </w:rPr>
        <w:t xml:space="preserve">X. Chia, A. Adriano, P. Lazar, Z. Sofer, J. Luxa and M. Pumera, </w:t>
      </w:r>
      <w:r w:rsidR="001D40FE">
        <w:rPr>
          <w:rFonts w:ascii="Arial" w:hAnsi="Arial" w:cs="Arial"/>
          <w:i/>
          <w:sz w:val="14"/>
          <w:szCs w:val="14"/>
          <w:lang w:val="en-US"/>
        </w:rPr>
        <w:t>Adv. Funct. Mater.</w:t>
      </w:r>
      <w:r w:rsidRPr="009C6FAF">
        <w:rPr>
          <w:rFonts w:ascii="Arial" w:hAnsi="Arial" w:cs="Arial"/>
          <w:i/>
          <w:sz w:val="14"/>
          <w:szCs w:val="14"/>
          <w:lang w:val="en-US"/>
        </w:rPr>
        <w:t xml:space="preserve"> </w:t>
      </w:r>
      <w:r w:rsidRPr="009C6FAF">
        <w:rPr>
          <w:rFonts w:ascii="Arial" w:hAnsi="Arial" w:cs="Arial"/>
          <w:b/>
          <w:sz w:val="14"/>
          <w:szCs w:val="14"/>
          <w:lang w:val="en-US"/>
        </w:rPr>
        <w:t>2016</w:t>
      </w:r>
      <w:r w:rsidRPr="009C6FAF">
        <w:rPr>
          <w:rFonts w:ascii="Arial" w:hAnsi="Arial" w:cs="Arial"/>
          <w:sz w:val="14"/>
          <w:szCs w:val="14"/>
          <w:lang w:val="en-US"/>
        </w:rPr>
        <w:t xml:space="preserve">, </w:t>
      </w:r>
      <w:r w:rsidRPr="009C6FAF">
        <w:rPr>
          <w:rFonts w:ascii="Arial" w:hAnsi="Arial" w:cs="Arial"/>
          <w:i/>
          <w:sz w:val="14"/>
          <w:szCs w:val="14"/>
          <w:lang w:val="en-US"/>
        </w:rPr>
        <w:t>26</w:t>
      </w:r>
      <w:r w:rsidRPr="009C6FAF">
        <w:rPr>
          <w:rFonts w:ascii="Arial" w:hAnsi="Arial" w:cs="Arial"/>
          <w:sz w:val="14"/>
          <w:szCs w:val="14"/>
          <w:lang w:val="en-US"/>
        </w:rPr>
        <w:t>, 4306-4318.</w:t>
      </w:r>
      <w:bookmarkEnd w:id="18"/>
    </w:p>
    <w:p w14:paraId="4F62FC27" w14:textId="77777777" w:rsidR="009C6FAF" w:rsidRPr="009C6FAF" w:rsidRDefault="009C6FAF" w:rsidP="009C6FAF">
      <w:pPr>
        <w:ind w:left="375" w:hanging="375"/>
        <w:rPr>
          <w:rFonts w:ascii="Arial" w:hAnsi="Arial" w:cs="Arial"/>
          <w:sz w:val="14"/>
          <w:szCs w:val="14"/>
          <w:lang w:val="en-US"/>
        </w:rPr>
      </w:pPr>
      <w:bookmarkStart w:id="19" w:name="_ENREF_19"/>
      <w:r w:rsidRPr="009C6FAF">
        <w:rPr>
          <w:rFonts w:ascii="Arial" w:hAnsi="Arial" w:cs="Arial"/>
          <w:sz w:val="14"/>
          <w:szCs w:val="14"/>
          <w:lang w:val="en-US"/>
        </w:rPr>
        <w:t>[7]</w:t>
      </w:r>
      <w:r>
        <w:rPr>
          <w:rFonts w:ascii="Arial" w:hAnsi="Arial" w:cs="Arial"/>
          <w:sz w:val="14"/>
          <w:szCs w:val="14"/>
          <w:lang w:val="en-US"/>
        </w:rPr>
        <w:tab/>
      </w:r>
      <w:r w:rsidRPr="009C6FAF">
        <w:rPr>
          <w:rFonts w:ascii="Arial" w:hAnsi="Arial" w:cs="Arial"/>
          <w:sz w:val="14"/>
          <w:szCs w:val="14"/>
          <w:lang w:val="en-US"/>
        </w:rPr>
        <w:t xml:space="preserve"> X. Chia, A. Ambrosi, Z. Sofer, J. Luxa, D. Sedmidubský and M. Pumera, </w:t>
      </w:r>
      <w:r w:rsidRPr="009C6FAF">
        <w:rPr>
          <w:rFonts w:ascii="Arial" w:hAnsi="Arial" w:cs="Arial"/>
          <w:i/>
          <w:sz w:val="14"/>
          <w:szCs w:val="14"/>
          <w:lang w:val="en-US"/>
        </w:rPr>
        <w:t xml:space="preserve">ACS Nano </w:t>
      </w:r>
      <w:r w:rsidRPr="009C6FAF">
        <w:rPr>
          <w:rFonts w:ascii="Arial" w:hAnsi="Arial" w:cs="Arial"/>
          <w:b/>
          <w:sz w:val="14"/>
          <w:szCs w:val="14"/>
          <w:lang w:val="en-US"/>
        </w:rPr>
        <w:t>2016</w:t>
      </w:r>
      <w:r w:rsidRPr="009C6FAF">
        <w:rPr>
          <w:rFonts w:ascii="Arial" w:hAnsi="Arial" w:cs="Arial"/>
          <w:sz w:val="14"/>
          <w:szCs w:val="14"/>
          <w:lang w:val="en-US"/>
        </w:rPr>
        <w:t xml:space="preserve">, </w:t>
      </w:r>
      <w:r w:rsidRPr="009C6FAF">
        <w:rPr>
          <w:rFonts w:ascii="Arial" w:hAnsi="Arial" w:cs="Arial"/>
          <w:i/>
          <w:sz w:val="14"/>
          <w:szCs w:val="14"/>
          <w:lang w:val="en-US"/>
        </w:rPr>
        <w:t>10</w:t>
      </w:r>
      <w:r w:rsidRPr="009C6FAF">
        <w:rPr>
          <w:rFonts w:ascii="Arial" w:hAnsi="Arial" w:cs="Arial"/>
          <w:sz w:val="14"/>
          <w:szCs w:val="14"/>
          <w:lang w:val="en-US"/>
        </w:rPr>
        <w:t>, 112-123.</w:t>
      </w:r>
      <w:bookmarkEnd w:id="19"/>
    </w:p>
    <w:p w14:paraId="23704281" w14:textId="77777777" w:rsidR="009C6FAF" w:rsidRPr="009C6FAF" w:rsidRDefault="009C6FAF" w:rsidP="009C6FAF">
      <w:pPr>
        <w:ind w:left="375" w:hanging="375"/>
        <w:rPr>
          <w:rFonts w:ascii="Arial" w:hAnsi="Arial" w:cs="Arial"/>
          <w:sz w:val="14"/>
          <w:szCs w:val="14"/>
          <w:lang w:val="en-US"/>
        </w:rPr>
      </w:pPr>
      <w:bookmarkStart w:id="20" w:name="_ENREF_20"/>
      <w:r w:rsidRPr="009C6FAF">
        <w:rPr>
          <w:rFonts w:ascii="Arial" w:hAnsi="Arial" w:cs="Arial"/>
          <w:sz w:val="14"/>
          <w:szCs w:val="14"/>
          <w:lang w:val="en-US"/>
        </w:rPr>
        <w:t xml:space="preserve">[8] </w:t>
      </w:r>
      <w:r>
        <w:rPr>
          <w:rFonts w:ascii="Arial" w:hAnsi="Arial" w:cs="Arial"/>
          <w:sz w:val="14"/>
          <w:szCs w:val="14"/>
          <w:lang w:val="en-US"/>
        </w:rPr>
        <w:tab/>
      </w:r>
      <w:r w:rsidRPr="009C6FAF">
        <w:rPr>
          <w:rFonts w:ascii="Arial" w:hAnsi="Arial" w:cs="Arial"/>
          <w:sz w:val="14"/>
          <w:szCs w:val="14"/>
          <w:lang w:val="en-US"/>
        </w:rPr>
        <w:t xml:space="preserve">A. Y. S. Eng, A. Ambrosi, Z. Sofer, P. Šimek and M. Pumera, </w:t>
      </w:r>
      <w:r w:rsidRPr="009C6FAF">
        <w:rPr>
          <w:rFonts w:ascii="Arial" w:hAnsi="Arial" w:cs="Arial"/>
          <w:i/>
          <w:sz w:val="14"/>
          <w:szCs w:val="14"/>
          <w:lang w:val="en-US"/>
        </w:rPr>
        <w:t xml:space="preserve">ACS Nano </w:t>
      </w:r>
      <w:r w:rsidRPr="009C6FAF">
        <w:rPr>
          <w:rFonts w:ascii="Arial" w:hAnsi="Arial" w:cs="Arial"/>
          <w:b/>
          <w:sz w:val="14"/>
          <w:szCs w:val="14"/>
          <w:lang w:val="en-US"/>
        </w:rPr>
        <w:t>2014</w:t>
      </w:r>
      <w:r w:rsidRPr="009C6FAF">
        <w:rPr>
          <w:rFonts w:ascii="Arial" w:hAnsi="Arial" w:cs="Arial"/>
          <w:sz w:val="14"/>
          <w:szCs w:val="14"/>
          <w:lang w:val="en-US"/>
        </w:rPr>
        <w:t xml:space="preserve">, </w:t>
      </w:r>
      <w:r w:rsidRPr="009C6FAF">
        <w:rPr>
          <w:rFonts w:ascii="Arial" w:hAnsi="Arial" w:cs="Arial"/>
          <w:i/>
          <w:sz w:val="14"/>
          <w:szCs w:val="14"/>
          <w:lang w:val="en-US"/>
        </w:rPr>
        <w:t>8</w:t>
      </w:r>
      <w:r w:rsidRPr="009C6FAF">
        <w:rPr>
          <w:rFonts w:ascii="Arial" w:hAnsi="Arial" w:cs="Arial"/>
          <w:sz w:val="14"/>
          <w:szCs w:val="14"/>
          <w:lang w:val="en-US"/>
        </w:rPr>
        <w:t>, 12185-12198.</w:t>
      </w:r>
      <w:bookmarkEnd w:id="20"/>
    </w:p>
    <w:p w14:paraId="24B41CA4" w14:textId="77777777" w:rsidR="009C6FAF" w:rsidRPr="009C6FAF" w:rsidRDefault="009C6FAF" w:rsidP="009C6FAF">
      <w:pPr>
        <w:ind w:left="375" w:hanging="375"/>
        <w:rPr>
          <w:rFonts w:ascii="Arial" w:hAnsi="Arial" w:cs="Arial"/>
          <w:sz w:val="14"/>
          <w:szCs w:val="14"/>
          <w:lang w:val="en-US"/>
        </w:rPr>
      </w:pPr>
      <w:bookmarkStart w:id="21" w:name="_ENREF_21"/>
      <w:r w:rsidRPr="009C6FAF">
        <w:rPr>
          <w:rFonts w:ascii="Arial" w:hAnsi="Arial" w:cs="Arial"/>
          <w:sz w:val="14"/>
          <w:szCs w:val="14"/>
          <w:lang w:val="en-US"/>
        </w:rPr>
        <w:t>[9]</w:t>
      </w:r>
      <w:r>
        <w:rPr>
          <w:rFonts w:ascii="Arial" w:hAnsi="Arial" w:cs="Arial"/>
          <w:sz w:val="14"/>
          <w:szCs w:val="14"/>
          <w:lang w:val="en-US"/>
        </w:rPr>
        <w:tab/>
      </w:r>
      <w:r w:rsidRPr="009C6FAF">
        <w:rPr>
          <w:rFonts w:ascii="Arial" w:hAnsi="Arial" w:cs="Arial"/>
          <w:sz w:val="14"/>
          <w:szCs w:val="14"/>
          <w:lang w:val="en-US"/>
        </w:rPr>
        <w:t xml:space="preserve"> Y. Yu, F. Yang, X. F. Lu, Y. J. Yan, H. ChoYong, L. Ma, X. Niu, S. Kim, Y.-W. Son, D. Feng, S. Li, S.-W. Cheong, X. H. Chen and Y. Zhang, </w:t>
      </w:r>
      <w:r w:rsidRPr="009C6FAF">
        <w:rPr>
          <w:rFonts w:ascii="Arial" w:hAnsi="Arial" w:cs="Arial"/>
          <w:i/>
          <w:sz w:val="14"/>
          <w:szCs w:val="14"/>
          <w:lang w:val="en-US"/>
        </w:rPr>
        <w:t>Nat</w:t>
      </w:r>
      <w:r w:rsidR="001D40FE">
        <w:rPr>
          <w:rFonts w:ascii="Arial" w:hAnsi="Arial" w:cs="Arial"/>
          <w:i/>
          <w:sz w:val="14"/>
          <w:szCs w:val="14"/>
          <w:lang w:val="en-US"/>
        </w:rPr>
        <w:t>.</w:t>
      </w:r>
      <w:r w:rsidRPr="009C6FAF">
        <w:rPr>
          <w:rFonts w:ascii="Arial" w:hAnsi="Arial" w:cs="Arial"/>
          <w:i/>
          <w:sz w:val="14"/>
          <w:szCs w:val="14"/>
          <w:lang w:val="en-US"/>
        </w:rPr>
        <w:t xml:space="preserve"> Nano</w:t>
      </w:r>
      <w:r w:rsidR="001D40FE">
        <w:rPr>
          <w:rFonts w:ascii="Arial" w:hAnsi="Arial" w:cs="Arial"/>
          <w:i/>
          <w:sz w:val="14"/>
          <w:szCs w:val="14"/>
          <w:lang w:val="en-US"/>
        </w:rPr>
        <w:t>.</w:t>
      </w:r>
      <w:r w:rsidRPr="009C6FAF">
        <w:rPr>
          <w:rFonts w:ascii="Arial" w:hAnsi="Arial" w:cs="Arial"/>
          <w:i/>
          <w:sz w:val="14"/>
          <w:szCs w:val="14"/>
          <w:lang w:val="en-US"/>
        </w:rPr>
        <w:t xml:space="preserve"> </w:t>
      </w:r>
      <w:r w:rsidRPr="009C6FAF">
        <w:rPr>
          <w:rFonts w:ascii="Arial" w:hAnsi="Arial" w:cs="Arial"/>
          <w:b/>
          <w:sz w:val="14"/>
          <w:szCs w:val="14"/>
          <w:lang w:val="en-US"/>
        </w:rPr>
        <w:t>2015</w:t>
      </w:r>
      <w:r w:rsidRPr="009C6FAF">
        <w:rPr>
          <w:rFonts w:ascii="Arial" w:hAnsi="Arial" w:cs="Arial"/>
          <w:sz w:val="14"/>
          <w:szCs w:val="14"/>
          <w:lang w:val="en-US"/>
        </w:rPr>
        <w:t xml:space="preserve">, </w:t>
      </w:r>
      <w:r w:rsidRPr="009C6FAF">
        <w:rPr>
          <w:rFonts w:ascii="Arial" w:hAnsi="Arial" w:cs="Arial"/>
          <w:i/>
          <w:sz w:val="14"/>
          <w:szCs w:val="14"/>
          <w:lang w:val="en-US"/>
        </w:rPr>
        <w:t>10</w:t>
      </w:r>
      <w:r w:rsidRPr="009C6FAF">
        <w:rPr>
          <w:rFonts w:ascii="Arial" w:hAnsi="Arial" w:cs="Arial"/>
          <w:sz w:val="14"/>
          <w:szCs w:val="14"/>
          <w:lang w:val="en-US"/>
        </w:rPr>
        <w:t>, 270-276.</w:t>
      </w:r>
      <w:bookmarkEnd w:id="21"/>
    </w:p>
    <w:p w14:paraId="2CBB87E3" w14:textId="77777777" w:rsidR="009C6FAF" w:rsidRPr="009C6FAF" w:rsidRDefault="009C6FAF" w:rsidP="009C6FAF">
      <w:pPr>
        <w:ind w:left="375" w:hanging="375"/>
        <w:rPr>
          <w:rFonts w:ascii="Arial" w:hAnsi="Arial" w:cs="Arial"/>
          <w:sz w:val="14"/>
          <w:szCs w:val="14"/>
          <w:lang w:val="en-US"/>
        </w:rPr>
      </w:pPr>
      <w:bookmarkStart w:id="22" w:name="_ENREF_22"/>
      <w:r w:rsidRPr="009C6FAF">
        <w:rPr>
          <w:rFonts w:ascii="Arial" w:hAnsi="Arial" w:cs="Arial"/>
          <w:sz w:val="14"/>
          <w:szCs w:val="14"/>
          <w:lang w:val="en-US"/>
        </w:rPr>
        <w:t>[10]</w:t>
      </w:r>
      <w:r>
        <w:rPr>
          <w:rFonts w:ascii="Arial" w:hAnsi="Arial" w:cs="Arial"/>
          <w:sz w:val="14"/>
          <w:szCs w:val="14"/>
          <w:lang w:val="en-US"/>
        </w:rPr>
        <w:tab/>
      </w:r>
      <w:r w:rsidRPr="009C6FAF">
        <w:rPr>
          <w:rFonts w:ascii="Arial" w:hAnsi="Arial" w:cs="Arial"/>
          <w:sz w:val="14"/>
          <w:szCs w:val="14"/>
          <w:lang w:val="en-US"/>
        </w:rPr>
        <w:t xml:space="preserve"> a) A. Thompson, </w:t>
      </w:r>
      <w:r w:rsidRPr="009C6FAF">
        <w:rPr>
          <w:rFonts w:ascii="Arial" w:hAnsi="Arial" w:cs="Arial"/>
          <w:i/>
          <w:sz w:val="14"/>
          <w:szCs w:val="14"/>
          <w:lang w:val="en-US"/>
        </w:rPr>
        <w:t xml:space="preserve">Physica B+ C </w:t>
      </w:r>
      <w:r w:rsidRPr="009C6FAF">
        <w:rPr>
          <w:rFonts w:ascii="Arial" w:hAnsi="Arial" w:cs="Arial"/>
          <w:b/>
          <w:sz w:val="14"/>
          <w:szCs w:val="14"/>
          <w:lang w:val="en-US"/>
        </w:rPr>
        <w:t>1980</w:t>
      </w:r>
      <w:r w:rsidRPr="009C6FAF">
        <w:rPr>
          <w:rFonts w:ascii="Arial" w:hAnsi="Arial" w:cs="Arial"/>
          <w:sz w:val="14"/>
          <w:szCs w:val="14"/>
          <w:lang w:val="en-US"/>
        </w:rPr>
        <w:t xml:space="preserve">, </w:t>
      </w:r>
      <w:r w:rsidRPr="009C6FAF">
        <w:rPr>
          <w:rFonts w:ascii="Arial" w:hAnsi="Arial" w:cs="Arial"/>
          <w:i/>
          <w:sz w:val="14"/>
          <w:szCs w:val="14"/>
          <w:lang w:val="en-US"/>
        </w:rPr>
        <w:t>99</w:t>
      </w:r>
      <w:r w:rsidRPr="009C6FAF">
        <w:rPr>
          <w:rFonts w:ascii="Arial" w:hAnsi="Arial" w:cs="Arial"/>
          <w:sz w:val="14"/>
          <w:szCs w:val="14"/>
          <w:lang w:val="en-US"/>
        </w:rPr>
        <w:t>, 100-106;</w:t>
      </w:r>
      <w:bookmarkEnd w:id="22"/>
      <w:r w:rsidRPr="009C6FAF">
        <w:rPr>
          <w:rFonts w:ascii="Arial" w:hAnsi="Arial" w:cs="Arial"/>
          <w:sz w:val="14"/>
          <w:szCs w:val="14"/>
          <w:lang w:val="en-US"/>
        </w:rPr>
        <w:t xml:space="preserve"> </w:t>
      </w:r>
      <w:bookmarkStart w:id="23" w:name="_ENREF_23"/>
      <w:r w:rsidRPr="009C6FAF">
        <w:rPr>
          <w:rFonts w:ascii="Arial" w:hAnsi="Arial" w:cs="Arial"/>
          <w:sz w:val="14"/>
          <w:szCs w:val="14"/>
          <w:lang w:val="en-US"/>
        </w:rPr>
        <w:t xml:space="preserve">b) G. Boebinger, N. Wakefield, E. Marseglia, R. Friend and G. Tatlock, </w:t>
      </w:r>
      <w:r w:rsidRPr="009C6FAF">
        <w:rPr>
          <w:rFonts w:ascii="Arial" w:hAnsi="Arial" w:cs="Arial"/>
          <w:i/>
          <w:sz w:val="14"/>
          <w:szCs w:val="14"/>
          <w:lang w:val="en-US"/>
        </w:rPr>
        <w:t xml:space="preserve">Physica B+ C </w:t>
      </w:r>
      <w:r w:rsidRPr="009C6FAF">
        <w:rPr>
          <w:rFonts w:ascii="Arial" w:hAnsi="Arial" w:cs="Arial"/>
          <w:b/>
          <w:sz w:val="14"/>
          <w:szCs w:val="14"/>
          <w:lang w:val="en-US"/>
        </w:rPr>
        <w:t>1983</w:t>
      </w:r>
      <w:r w:rsidRPr="009C6FAF">
        <w:rPr>
          <w:rFonts w:ascii="Arial" w:hAnsi="Arial" w:cs="Arial"/>
          <w:sz w:val="14"/>
          <w:szCs w:val="14"/>
          <w:lang w:val="en-US"/>
        </w:rPr>
        <w:t xml:space="preserve">, </w:t>
      </w:r>
      <w:r w:rsidRPr="009C6FAF">
        <w:rPr>
          <w:rFonts w:ascii="Arial" w:hAnsi="Arial" w:cs="Arial"/>
          <w:i/>
          <w:sz w:val="14"/>
          <w:szCs w:val="14"/>
          <w:lang w:val="en-US"/>
        </w:rPr>
        <w:t>117</w:t>
      </w:r>
      <w:r w:rsidRPr="009C6FAF">
        <w:rPr>
          <w:rFonts w:ascii="Arial" w:hAnsi="Arial" w:cs="Arial"/>
          <w:sz w:val="14"/>
          <w:szCs w:val="14"/>
          <w:lang w:val="en-US"/>
        </w:rPr>
        <w:t>, 608-610;</w:t>
      </w:r>
      <w:bookmarkEnd w:id="23"/>
      <w:r w:rsidRPr="009C6FAF">
        <w:rPr>
          <w:rFonts w:ascii="Arial" w:hAnsi="Arial" w:cs="Arial"/>
          <w:sz w:val="14"/>
          <w:szCs w:val="14"/>
          <w:lang w:val="en-US"/>
        </w:rPr>
        <w:t xml:space="preserve"> </w:t>
      </w:r>
      <w:bookmarkStart w:id="24" w:name="_ENREF_24"/>
      <w:r w:rsidRPr="009C6FAF">
        <w:rPr>
          <w:rFonts w:ascii="Arial" w:hAnsi="Arial" w:cs="Arial"/>
          <w:sz w:val="14"/>
          <w:szCs w:val="14"/>
          <w:lang w:val="en-US"/>
        </w:rPr>
        <w:t xml:space="preserve">c) A. S. Nagelberg and W. L. Worrell, </w:t>
      </w:r>
      <w:r w:rsidR="001D40FE">
        <w:rPr>
          <w:rFonts w:ascii="Arial" w:hAnsi="Arial" w:cs="Arial"/>
          <w:i/>
          <w:sz w:val="14"/>
          <w:szCs w:val="14"/>
          <w:lang w:val="en-US"/>
        </w:rPr>
        <w:t>J. Solid State Chem.</w:t>
      </w:r>
      <w:r w:rsidRPr="009C6FAF">
        <w:rPr>
          <w:rFonts w:ascii="Arial" w:hAnsi="Arial" w:cs="Arial"/>
          <w:i/>
          <w:sz w:val="14"/>
          <w:szCs w:val="14"/>
          <w:lang w:val="en-US"/>
        </w:rPr>
        <w:t xml:space="preserve"> </w:t>
      </w:r>
      <w:r w:rsidRPr="009C6FAF">
        <w:rPr>
          <w:rFonts w:ascii="Arial" w:hAnsi="Arial" w:cs="Arial"/>
          <w:b/>
          <w:sz w:val="14"/>
          <w:szCs w:val="14"/>
          <w:lang w:val="en-US"/>
        </w:rPr>
        <w:t>1979</w:t>
      </w:r>
      <w:r w:rsidRPr="009C6FAF">
        <w:rPr>
          <w:rFonts w:ascii="Arial" w:hAnsi="Arial" w:cs="Arial"/>
          <w:sz w:val="14"/>
          <w:szCs w:val="14"/>
          <w:lang w:val="en-US"/>
        </w:rPr>
        <w:t xml:space="preserve">, </w:t>
      </w:r>
      <w:r w:rsidRPr="009C6FAF">
        <w:rPr>
          <w:rFonts w:ascii="Arial" w:hAnsi="Arial" w:cs="Arial"/>
          <w:i/>
          <w:sz w:val="14"/>
          <w:szCs w:val="14"/>
          <w:lang w:val="en-US"/>
        </w:rPr>
        <w:t>29</w:t>
      </w:r>
      <w:r w:rsidRPr="009C6FAF">
        <w:rPr>
          <w:rFonts w:ascii="Arial" w:hAnsi="Arial" w:cs="Arial"/>
          <w:sz w:val="14"/>
          <w:szCs w:val="14"/>
          <w:lang w:val="en-US"/>
        </w:rPr>
        <w:t>, 345-354.</w:t>
      </w:r>
      <w:bookmarkEnd w:id="24"/>
    </w:p>
    <w:p w14:paraId="3158CDCE" w14:textId="77777777" w:rsidR="009C6FAF" w:rsidRPr="009C6FAF" w:rsidRDefault="009C6FAF" w:rsidP="009C6FAF">
      <w:pPr>
        <w:ind w:left="375" w:hanging="375"/>
        <w:rPr>
          <w:rFonts w:ascii="Arial" w:hAnsi="Arial" w:cs="Arial"/>
          <w:sz w:val="14"/>
          <w:szCs w:val="14"/>
          <w:lang w:val="en-US"/>
        </w:rPr>
      </w:pPr>
      <w:bookmarkStart w:id="25" w:name="_ENREF_25"/>
      <w:r w:rsidRPr="009C6FAF">
        <w:rPr>
          <w:rFonts w:ascii="Arial" w:hAnsi="Arial" w:cs="Arial"/>
          <w:sz w:val="14"/>
          <w:szCs w:val="14"/>
          <w:lang w:val="en-US"/>
        </w:rPr>
        <w:t>[11]</w:t>
      </w:r>
      <w:r>
        <w:rPr>
          <w:rFonts w:ascii="Arial" w:hAnsi="Arial" w:cs="Arial"/>
          <w:sz w:val="14"/>
          <w:szCs w:val="14"/>
          <w:lang w:val="en-US"/>
        </w:rPr>
        <w:tab/>
      </w:r>
      <w:r w:rsidRPr="009C6FAF">
        <w:rPr>
          <w:rFonts w:ascii="Arial" w:hAnsi="Arial" w:cs="Arial"/>
          <w:sz w:val="14"/>
          <w:szCs w:val="14"/>
          <w:lang w:val="en-US"/>
        </w:rPr>
        <w:t xml:space="preserve"> a) Z. Zeng, C. Tan, X. Huang, S. Bao and H. Zhang, </w:t>
      </w:r>
      <w:r w:rsidR="001D40FE">
        <w:rPr>
          <w:rFonts w:ascii="Arial" w:hAnsi="Arial" w:cs="Arial"/>
          <w:i/>
          <w:sz w:val="14"/>
          <w:szCs w:val="14"/>
          <w:lang w:val="en-US"/>
        </w:rPr>
        <w:t>Energ. Environ. Sci.</w:t>
      </w:r>
      <w:r w:rsidRPr="009C6FAF">
        <w:rPr>
          <w:rFonts w:ascii="Arial" w:hAnsi="Arial" w:cs="Arial"/>
          <w:i/>
          <w:sz w:val="14"/>
          <w:szCs w:val="14"/>
          <w:lang w:val="en-US"/>
        </w:rPr>
        <w:t xml:space="preserve"> </w:t>
      </w:r>
      <w:r w:rsidRPr="009C6FAF">
        <w:rPr>
          <w:rFonts w:ascii="Arial" w:hAnsi="Arial" w:cs="Arial"/>
          <w:b/>
          <w:sz w:val="14"/>
          <w:szCs w:val="14"/>
          <w:lang w:val="en-US"/>
        </w:rPr>
        <w:t>2014</w:t>
      </w:r>
      <w:r w:rsidRPr="009C6FAF">
        <w:rPr>
          <w:rFonts w:ascii="Arial" w:hAnsi="Arial" w:cs="Arial"/>
          <w:sz w:val="14"/>
          <w:szCs w:val="14"/>
          <w:lang w:val="en-US"/>
        </w:rPr>
        <w:t xml:space="preserve">, </w:t>
      </w:r>
      <w:r w:rsidRPr="009C6FAF">
        <w:rPr>
          <w:rFonts w:ascii="Arial" w:hAnsi="Arial" w:cs="Arial"/>
          <w:i/>
          <w:sz w:val="14"/>
          <w:szCs w:val="14"/>
          <w:lang w:val="en-US"/>
        </w:rPr>
        <w:t>7</w:t>
      </w:r>
      <w:r w:rsidRPr="009C6FAF">
        <w:rPr>
          <w:rFonts w:ascii="Arial" w:hAnsi="Arial" w:cs="Arial"/>
          <w:sz w:val="14"/>
          <w:szCs w:val="14"/>
          <w:lang w:val="en-US"/>
        </w:rPr>
        <w:t>, 797-803;</w:t>
      </w:r>
      <w:bookmarkEnd w:id="25"/>
      <w:r w:rsidRPr="009C6FAF">
        <w:rPr>
          <w:rFonts w:ascii="Arial" w:hAnsi="Arial" w:cs="Arial"/>
          <w:sz w:val="14"/>
          <w:szCs w:val="14"/>
          <w:lang w:val="en-US"/>
        </w:rPr>
        <w:t xml:space="preserve"> </w:t>
      </w:r>
      <w:bookmarkStart w:id="26" w:name="_ENREF_26"/>
      <w:r w:rsidRPr="009C6FAF">
        <w:rPr>
          <w:rFonts w:ascii="Arial" w:hAnsi="Arial" w:cs="Arial"/>
          <w:sz w:val="14"/>
          <w:szCs w:val="14"/>
          <w:lang w:val="en-US"/>
        </w:rPr>
        <w:t xml:space="preserve">b) J. Wu, M. Liu, K. Chatterjee, K. P. Hackenberg, J. Shen, X. Zou, Y. Yan, J. Gu, Y. Yang, J. Lou and P. M. Ajayan, </w:t>
      </w:r>
      <w:r w:rsidR="001D40FE">
        <w:rPr>
          <w:rFonts w:ascii="Arial" w:hAnsi="Arial" w:cs="Arial"/>
          <w:i/>
          <w:sz w:val="14"/>
          <w:szCs w:val="14"/>
          <w:lang w:val="en-US"/>
        </w:rPr>
        <w:t>Adv. Mater.</w:t>
      </w:r>
      <w:r w:rsidRPr="009C6FAF">
        <w:rPr>
          <w:rFonts w:ascii="Arial" w:hAnsi="Arial" w:cs="Arial"/>
          <w:i/>
          <w:sz w:val="14"/>
          <w:szCs w:val="14"/>
          <w:lang w:val="en-US"/>
        </w:rPr>
        <w:t xml:space="preserve"> Interfaces </w:t>
      </w:r>
      <w:r w:rsidRPr="009C6FAF">
        <w:rPr>
          <w:rFonts w:ascii="Arial" w:hAnsi="Arial" w:cs="Arial"/>
          <w:b/>
          <w:sz w:val="14"/>
          <w:szCs w:val="14"/>
          <w:lang w:val="en-US"/>
        </w:rPr>
        <w:t>2016</w:t>
      </w:r>
      <w:r w:rsidRPr="009C6FAF">
        <w:rPr>
          <w:rFonts w:ascii="Arial" w:hAnsi="Arial" w:cs="Arial"/>
          <w:sz w:val="14"/>
          <w:szCs w:val="14"/>
          <w:lang w:val="en-US"/>
        </w:rPr>
        <w:t xml:space="preserve">, </w:t>
      </w:r>
      <w:r w:rsidRPr="009C6FAF">
        <w:rPr>
          <w:rFonts w:ascii="Arial" w:hAnsi="Arial" w:cs="Arial"/>
          <w:i/>
          <w:sz w:val="14"/>
          <w:szCs w:val="14"/>
          <w:lang w:val="en-US"/>
        </w:rPr>
        <w:t>3</w:t>
      </w:r>
      <w:r w:rsidRPr="009C6FAF">
        <w:rPr>
          <w:rFonts w:ascii="Arial" w:hAnsi="Arial" w:cs="Arial"/>
          <w:sz w:val="14"/>
          <w:szCs w:val="14"/>
          <w:lang w:val="en-US"/>
        </w:rPr>
        <w:t>, n/a-n/a.</w:t>
      </w:r>
      <w:bookmarkEnd w:id="26"/>
    </w:p>
    <w:p w14:paraId="36DC3679" w14:textId="77777777" w:rsidR="009C6FAF" w:rsidRPr="009C6FAF" w:rsidRDefault="009C6FAF" w:rsidP="009C6FAF">
      <w:pPr>
        <w:ind w:left="375" w:hanging="375"/>
        <w:rPr>
          <w:rFonts w:ascii="Arial" w:hAnsi="Arial" w:cs="Arial"/>
          <w:sz w:val="14"/>
          <w:szCs w:val="14"/>
          <w:lang w:val="en-US"/>
        </w:rPr>
      </w:pPr>
      <w:bookmarkStart w:id="27" w:name="_ENREF_27"/>
      <w:r w:rsidRPr="009C6FAF">
        <w:rPr>
          <w:rFonts w:ascii="Arial" w:hAnsi="Arial" w:cs="Arial"/>
          <w:sz w:val="14"/>
          <w:szCs w:val="14"/>
          <w:lang w:val="en-US"/>
        </w:rPr>
        <w:t>[12]</w:t>
      </w:r>
      <w:r>
        <w:rPr>
          <w:rFonts w:ascii="Arial" w:hAnsi="Arial" w:cs="Arial"/>
          <w:sz w:val="14"/>
          <w:szCs w:val="14"/>
          <w:lang w:val="en-US"/>
        </w:rPr>
        <w:tab/>
      </w:r>
      <w:r w:rsidRPr="009C6FAF">
        <w:rPr>
          <w:rFonts w:ascii="Arial" w:hAnsi="Arial" w:cs="Arial"/>
          <w:sz w:val="14"/>
          <w:szCs w:val="14"/>
          <w:lang w:val="en-US"/>
        </w:rPr>
        <w:t xml:space="preserve"> </w:t>
      </w:r>
      <w:proofErr w:type="gramStart"/>
      <w:r w:rsidRPr="009C6FAF">
        <w:rPr>
          <w:rFonts w:ascii="Arial" w:hAnsi="Arial" w:cs="Arial"/>
          <w:sz w:val="14"/>
          <w:szCs w:val="14"/>
          <w:lang w:val="en-US"/>
        </w:rPr>
        <w:t>a</w:t>
      </w:r>
      <w:proofErr w:type="gramEnd"/>
      <w:r w:rsidRPr="009C6FAF">
        <w:rPr>
          <w:rFonts w:ascii="Arial" w:hAnsi="Arial" w:cs="Arial"/>
          <w:sz w:val="14"/>
          <w:szCs w:val="14"/>
          <w:lang w:val="en-US"/>
        </w:rPr>
        <w:t xml:space="preserve">) S. Uchida, K. Tanabe and S. Tanaka, </w:t>
      </w:r>
      <w:r w:rsidR="001D40FE">
        <w:rPr>
          <w:rFonts w:ascii="Arial" w:hAnsi="Arial" w:cs="Arial"/>
          <w:i/>
          <w:sz w:val="14"/>
          <w:szCs w:val="14"/>
          <w:lang w:val="en-US"/>
        </w:rPr>
        <w:t>Solid State Commun.</w:t>
      </w:r>
      <w:r w:rsidRPr="009C6FAF">
        <w:rPr>
          <w:rFonts w:ascii="Arial" w:hAnsi="Arial" w:cs="Arial"/>
          <w:i/>
          <w:sz w:val="14"/>
          <w:szCs w:val="14"/>
          <w:lang w:val="en-US"/>
        </w:rPr>
        <w:t xml:space="preserve"> </w:t>
      </w:r>
      <w:proofErr w:type="gramStart"/>
      <w:r w:rsidRPr="009C6FAF">
        <w:rPr>
          <w:rFonts w:ascii="Arial" w:hAnsi="Arial" w:cs="Arial"/>
          <w:b/>
          <w:sz w:val="14"/>
          <w:szCs w:val="14"/>
          <w:lang w:val="en-US"/>
        </w:rPr>
        <w:t>1978</w:t>
      </w:r>
      <w:proofErr w:type="gramEnd"/>
      <w:r w:rsidRPr="009C6FAF">
        <w:rPr>
          <w:rFonts w:ascii="Arial" w:hAnsi="Arial" w:cs="Arial"/>
          <w:sz w:val="14"/>
          <w:szCs w:val="14"/>
          <w:lang w:val="en-US"/>
        </w:rPr>
        <w:t xml:space="preserve">, </w:t>
      </w:r>
      <w:r w:rsidRPr="009C6FAF">
        <w:rPr>
          <w:rFonts w:ascii="Arial" w:hAnsi="Arial" w:cs="Arial"/>
          <w:i/>
          <w:sz w:val="14"/>
          <w:szCs w:val="14"/>
          <w:lang w:val="en-US"/>
        </w:rPr>
        <w:t>27</w:t>
      </w:r>
      <w:r w:rsidRPr="009C6FAF">
        <w:rPr>
          <w:rFonts w:ascii="Arial" w:hAnsi="Arial" w:cs="Arial"/>
          <w:sz w:val="14"/>
          <w:szCs w:val="14"/>
          <w:lang w:val="en-US"/>
        </w:rPr>
        <w:t>, 637-640;</w:t>
      </w:r>
      <w:bookmarkEnd w:id="27"/>
      <w:r w:rsidRPr="009C6FAF">
        <w:rPr>
          <w:rFonts w:ascii="Arial" w:hAnsi="Arial" w:cs="Arial"/>
          <w:sz w:val="14"/>
          <w:szCs w:val="14"/>
          <w:lang w:val="en-US"/>
        </w:rPr>
        <w:t xml:space="preserve"> </w:t>
      </w:r>
      <w:bookmarkStart w:id="28" w:name="_ENREF_28"/>
      <w:r w:rsidRPr="009C6FAF">
        <w:rPr>
          <w:rFonts w:ascii="Arial" w:hAnsi="Arial" w:cs="Arial"/>
          <w:sz w:val="14"/>
          <w:szCs w:val="14"/>
          <w:lang w:val="en-US"/>
        </w:rPr>
        <w:t xml:space="preserve">b) S. Tanda, T. Sambongi, T. Tani and S. Tanaka, </w:t>
      </w:r>
      <w:r w:rsidR="001D40FE">
        <w:rPr>
          <w:rFonts w:ascii="Arial" w:hAnsi="Arial" w:cs="Arial"/>
          <w:i/>
          <w:sz w:val="14"/>
          <w:szCs w:val="14"/>
          <w:lang w:val="en-US"/>
        </w:rPr>
        <w:t>J. Phsy. Soc.</w:t>
      </w:r>
      <w:r w:rsidRPr="009C6FAF">
        <w:rPr>
          <w:rFonts w:ascii="Arial" w:hAnsi="Arial" w:cs="Arial"/>
          <w:i/>
          <w:sz w:val="14"/>
          <w:szCs w:val="14"/>
          <w:lang w:val="en-US"/>
        </w:rPr>
        <w:t xml:space="preserve"> Japan </w:t>
      </w:r>
      <w:r w:rsidRPr="009C6FAF">
        <w:rPr>
          <w:rFonts w:ascii="Arial" w:hAnsi="Arial" w:cs="Arial"/>
          <w:b/>
          <w:sz w:val="14"/>
          <w:szCs w:val="14"/>
          <w:lang w:val="en-US"/>
        </w:rPr>
        <w:t>1984</w:t>
      </w:r>
      <w:r w:rsidRPr="009C6FAF">
        <w:rPr>
          <w:rFonts w:ascii="Arial" w:hAnsi="Arial" w:cs="Arial"/>
          <w:sz w:val="14"/>
          <w:szCs w:val="14"/>
          <w:lang w:val="en-US"/>
        </w:rPr>
        <w:t xml:space="preserve">, </w:t>
      </w:r>
      <w:r w:rsidRPr="009C6FAF">
        <w:rPr>
          <w:rFonts w:ascii="Arial" w:hAnsi="Arial" w:cs="Arial"/>
          <w:i/>
          <w:sz w:val="14"/>
          <w:szCs w:val="14"/>
          <w:lang w:val="en-US"/>
        </w:rPr>
        <w:t>53</w:t>
      </w:r>
      <w:r w:rsidRPr="009C6FAF">
        <w:rPr>
          <w:rFonts w:ascii="Arial" w:hAnsi="Arial" w:cs="Arial"/>
          <w:sz w:val="14"/>
          <w:szCs w:val="14"/>
          <w:lang w:val="en-US"/>
        </w:rPr>
        <w:t>, 476-479;</w:t>
      </w:r>
      <w:bookmarkEnd w:id="28"/>
      <w:r w:rsidRPr="009C6FAF">
        <w:rPr>
          <w:rFonts w:ascii="Arial" w:hAnsi="Arial" w:cs="Arial"/>
          <w:sz w:val="14"/>
          <w:szCs w:val="14"/>
          <w:lang w:val="en-US"/>
        </w:rPr>
        <w:t xml:space="preserve"> </w:t>
      </w:r>
      <w:bookmarkStart w:id="29" w:name="_ENREF_29"/>
      <w:r w:rsidRPr="009C6FAF">
        <w:rPr>
          <w:rFonts w:ascii="Arial" w:hAnsi="Arial" w:cs="Arial"/>
          <w:sz w:val="14"/>
          <w:szCs w:val="14"/>
          <w:lang w:val="en-US"/>
        </w:rPr>
        <w:t xml:space="preserve">c) B. Sipos, A. F. Kusmartseva, A. Akrap, H. Berger, L. Forró and E. Tutiš, </w:t>
      </w:r>
      <w:r w:rsidR="001D40FE">
        <w:rPr>
          <w:rFonts w:ascii="Arial" w:hAnsi="Arial" w:cs="Arial"/>
          <w:i/>
          <w:sz w:val="14"/>
          <w:szCs w:val="14"/>
          <w:lang w:val="en-US"/>
        </w:rPr>
        <w:t>Nat. mater.</w:t>
      </w:r>
      <w:r w:rsidRPr="009C6FAF">
        <w:rPr>
          <w:rFonts w:ascii="Arial" w:hAnsi="Arial" w:cs="Arial"/>
          <w:i/>
          <w:sz w:val="14"/>
          <w:szCs w:val="14"/>
          <w:lang w:val="en-US"/>
        </w:rPr>
        <w:t xml:space="preserve"> </w:t>
      </w:r>
      <w:proofErr w:type="gramStart"/>
      <w:r w:rsidRPr="009C6FAF">
        <w:rPr>
          <w:rFonts w:ascii="Arial" w:hAnsi="Arial" w:cs="Arial"/>
          <w:b/>
          <w:sz w:val="14"/>
          <w:szCs w:val="14"/>
          <w:lang w:val="en-US"/>
        </w:rPr>
        <w:t>2008</w:t>
      </w:r>
      <w:proofErr w:type="gramEnd"/>
      <w:r w:rsidRPr="009C6FAF">
        <w:rPr>
          <w:rFonts w:ascii="Arial" w:hAnsi="Arial" w:cs="Arial"/>
          <w:sz w:val="14"/>
          <w:szCs w:val="14"/>
          <w:lang w:val="en-US"/>
        </w:rPr>
        <w:t xml:space="preserve">, </w:t>
      </w:r>
      <w:r w:rsidRPr="009C6FAF">
        <w:rPr>
          <w:rFonts w:ascii="Arial" w:hAnsi="Arial" w:cs="Arial"/>
          <w:i/>
          <w:sz w:val="14"/>
          <w:szCs w:val="14"/>
          <w:lang w:val="en-US"/>
        </w:rPr>
        <w:t>7</w:t>
      </w:r>
      <w:r w:rsidRPr="009C6FAF">
        <w:rPr>
          <w:rFonts w:ascii="Arial" w:hAnsi="Arial" w:cs="Arial"/>
          <w:sz w:val="14"/>
          <w:szCs w:val="14"/>
          <w:lang w:val="en-US"/>
        </w:rPr>
        <w:t>, 960-965;</w:t>
      </w:r>
      <w:bookmarkEnd w:id="29"/>
      <w:r w:rsidRPr="009C6FAF">
        <w:rPr>
          <w:rFonts w:ascii="Arial" w:hAnsi="Arial" w:cs="Arial"/>
          <w:sz w:val="14"/>
          <w:szCs w:val="14"/>
          <w:lang w:val="en-US"/>
        </w:rPr>
        <w:t xml:space="preserve"> </w:t>
      </w:r>
      <w:bookmarkStart w:id="30" w:name="_ENREF_30"/>
      <w:r w:rsidRPr="009C6FAF">
        <w:rPr>
          <w:rFonts w:ascii="Arial" w:hAnsi="Arial" w:cs="Arial"/>
          <w:sz w:val="14"/>
          <w:szCs w:val="14"/>
          <w:lang w:val="en-US"/>
        </w:rPr>
        <w:t xml:space="preserve">d) R. Delaplace, P. Molinie and D. Jerome, </w:t>
      </w:r>
      <w:r w:rsidR="001D40FE">
        <w:rPr>
          <w:rFonts w:ascii="Arial" w:hAnsi="Arial" w:cs="Arial"/>
          <w:i/>
          <w:sz w:val="14"/>
          <w:szCs w:val="14"/>
          <w:lang w:val="en-US"/>
        </w:rPr>
        <w:t>J. Phys. Lett.</w:t>
      </w:r>
      <w:r w:rsidRPr="009C6FAF">
        <w:rPr>
          <w:rFonts w:ascii="Arial" w:hAnsi="Arial" w:cs="Arial"/>
          <w:i/>
          <w:sz w:val="14"/>
          <w:szCs w:val="14"/>
          <w:lang w:val="en-US"/>
        </w:rPr>
        <w:t xml:space="preserve"> </w:t>
      </w:r>
      <w:r w:rsidRPr="009C6FAF">
        <w:rPr>
          <w:rFonts w:ascii="Arial" w:hAnsi="Arial" w:cs="Arial"/>
          <w:b/>
          <w:sz w:val="14"/>
          <w:szCs w:val="14"/>
          <w:lang w:val="en-US"/>
        </w:rPr>
        <w:t>1976</w:t>
      </w:r>
      <w:r w:rsidRPr="009C6FAF">
        <w:rPr>
          <w:rFonts w:ascii="Arial" w:hAnsi="Arial" w:cs="Arial"/>
          <w:sz w:val="14"/>
          <w:szCs w:val="14"/>
          <w:lang w:val="en-US"/>
        </w:rPr>
        <w:t xml:space="preserve">, </w:t>
      </w:r>
      <w:r w:rsidRPr="009C6FAF">
        <w:rPr>
          <w:rFonts w:ascii="Arial" w:hAnsi="Arial" w:cs="Arial"/>
          <w:i/>
          <w:sz w:val="14"/>
          <w:szCs w:val="14"/>
          <w:lang w:val="en-US"/>
        </w:rPr>
        <w:t>37</w:t>
      </w:r>
      <w:r w:rsidRPr="009C6FAF">
        <w:rPr>
          <w:rFonts w:ascii="Arial" w:hAnsi="Arial" w:cs="Arial"/>
          <w:sz w:val="14"/>
          <w:szCs w:val="14"/>
          <w:lang w:val="en-US"/>
        </w:rPr>
        <w:t>, 13-15;</w:t>
      </w:r>
      <w:bookmarkEnd w:id="30"/>
      <w:r w:rsidRPr="009C6FAF">
        <w:rPr>
          <w:rFonts w:ascii="Arial" w:hAnsi="Arial" w:cs="Arial"/>
          <w:sz w:val="14"/>
          <w:szCs w:val="14"/>
          <w:lang w:val="en-US"/>
        </w:rPr>
        <w:t xml:space="preserve"> </w:t>
      </w:r>
      <w:bookmarkStart w:id="31" w:name="_ENREF_31"/>
      <w:r w:rsidRPr="009C6FAF">
        <w:rPr>
          <w:rFonts w:ascii="Arial" w:hAnsi="Arial" w:cs="Arial"/>
          <w:sz w:val="14"/>
          <w:szCs w:val="14"/>
          <w:lang w:val="en-US"/>
        </w:rPr>
        <w:t xml:space="preserve">e) J. A. Wilson, F. J. Di Salvo and S. Mahajan, </w:t>
      </w:r>
      <w:r w:rsidR="001D40FE">
        <w:rPr>
          <w:rFonts w:ascii="Arial" w:hAnsi="Arial" w:cs="Arial"/>
          <w:i/>
          <w:sz w:val="14"/>
          <w:szCs w:val="14"/>
          <w:lang w:val="en-US"/>
        </w:rPr>
        <w:t>Adv. Phys.</w:t>
      </w:r>
      <w:r w:rsidRPr="009C6FAF">
        <w:rPr>
          <w:rFonts w:ascii="Arial" w:hAnsi="Arial" w:cs="Arial"/>
          <w:i/>
          <w:sz w:val="14"/>
          <w:szCs w:val="14"/>
          <w:lang w:val="en-US"/>
        </w:rPr>
        <w:t xml:space="preserve"> </w:t>
      </w:r>
      <w:r w:rsidRPr="009C6FAF">
        <w:rPr>
          <w:rFonts w:ascii="Arial" w:hAnsi="Arial" w:cs="Arial"/>
          <w:b/>
          <w:sz w:val="14"/>
          <w:szCs w:val="14"/>
          <w:lang w:val="en-US"/>
        </w:rPr>
        <w:t>2001</w:t>
      </w:r>
      <w:r w:rsidRPr="009C6FAF">
        <w:rPr>
          <w:rFonts w:ascii="Arial" w:hAnsi="Arial" w:cs="Arial"/>
          <w:sz w:val="14"/>
          <w:szCs w:val="14"/>
          <w:lang w:val="en-US"/>
        </w:rPr>
        <w:t xml:space="preserve">, </w:t>
      </w:r>
      <w:r w:rsidRPr="009C6FAF">
        <w:rPr>
          <w:rFonts w:ascii="Arial" w:hAnsi="Arial" w:cs="Arial"/>
          <w:i/>
          <w:sz w:val="14"/>
          <w:szCs w:val="14"/>
          <w:lang w:val="en-US"/>
        </w:rPr>
        <w:t>50</w:t>
      </w:r>
      <w:r w:rsidRPr="009C6FAF">
        <w:rPr>
          <w:rFonts w:ascii="Arial" w:hAnsi="Arial" w:cs="Arial"/>
          <w:sz w:val="14"/>
          <w:szCs w:val="14"/>
          <w:lang w:val="en-US"/>
        </w:rPr>
        <w:t>, 1171-1248.</w:t>
      </w:r>
      <w:bookmarkEnd w:id="31"/>
    </w:p>
    <w:p w14:paraId="3922833E" w14:textId="77777777" w:rsidR="009C6FAF" w:rsidRPr="009C6FAF" w:rsidRDefault="009C6FAF" w:rsidP="009C6FAF">
      <w:pPr>
        <w:rPr>
          <w:rFonts w:ascii="Arial" w:hAnsi="Arial" w:cs="Arial"/>
          <w:sz w:val="14"/>
          <w:szCs w:val="14"/>
          <w:lang w:val="en-US"/>
        </w:rPr>
      </w:pPr>
      <w:bookmarkStart w:id="32" w:name="_ENREF_32"/>
      <w:r w:rsidRPr="009C6FAF">
        <w:rPr>
          <w:rFonts w:ascii="Arial" w:hAnsi="Arial" w:cs="Arial"/>
          <w:sz w:val="14"/>
          <w:szCs w:val="14"/>
          <w:lang w:val="en-US"/>
        </w:rPr>
        <w:t>[13]</w:t>
      </w:r>
      <w:r>
        <w:rPr>
          <w:rFonts w:ascii="Arial" w:hAnsi="Arial" w:cs="Arial"/>
          <w:sz w:val="14"/>
          <w:szCs w:val="14"/>
          <w:lang w:val="en-US"/>
        </w:rPr>
        <w:tab/>
      </w:r>
      <w:r w:rsidRPr="009C6FAF">
        <w:rPr>
          <w:rFonts w:ascii="Arial" w:hAnsi="Arial" w:cs="Arial"/>
          <w:sz w:val="14"/>
          <w:szCs w:val="14"/>
          <w:lang w:val="en-US"/>
        </w:rPr>
        <w:t xml:space="preserve"> F. Jellinek, </w:t>
      </w:r>
      <w:r w:rsidR="001D40FE">
        <w:rPr>
          <w:rFonts w:ascii="Arial" w:hAnsi="Arial" w:cs="Arial"/>
          <w:i/>
          <w:sz w:val="14"/>
          <w:szCs w:val="14"/>
          <w:lang w:val="en-US"/>
        </w:rPr>
        <w:t>J. Less Common Met.</w:t>
      </w:r>
      <w:r w:rsidRPr="009C6FAF">
        <w:rPr>
          <w:rFonts w:ascii="Arial" w:hAnsi="Arial" w:cs="Arial"/>
          <w:i/>
          <w:sz w:val="14"/>
          <w:szCs w:val="14"/>
          <w:lang w:val="en-US"/>
        </w:rPr>
        <w:t xml:space="preserve"> </w:t>
      </w:r>
      <w:r w:rsidRPr="009C6FAF">
        <w:rPr>
          <w:rFonts w:ascii="Arial" w:hAnsi="Arial" w:cs="Arial"/>
          <w:b/>
          <w:sz w:val="14"/>
          <w:szCs w:val="14"/>
          <w:lang w:val="en-US"/>
        </w:rPr>
        <w:t>1962</w:t>
      </w:r>
      <w:r w:rsidRPr="009C6FAF">
        <w:rPr>
          <w:rFonts w:ascii="Arial" w:hAnsi="Arial" w:cs="Arial"/>
          <w:sz w:val="14"/>
          <w:szCs w:val="14"/>
          <w:lang w:val="en-US"/>
        </w:rPr>
        <w:t xml:space="preserve">, </w:t>
      </w:r>
      <w:r w:rsidRPr="009C6FAF">
        <w:rPr>
          <w:rFonts w:ascii="Arial" w:hAnsi="Arial" w:cs="Arial"/>
          <w:i/>
          <w:sz w:val="14"/>
          <w:szCs w:val="14"/>
          <w:lang w:val="en-US"/>
        </w:rPr>
        <w:t>4</w:t>
      </w:r>
      <w:r w:rsidRPr="009C6FAF">
        <w:rPr>
          <w:rFonts w:ascii="Arial" w:hAnsi="Arial" w:cs="Arial"/>
          <w:sz w:val="14"/>
          <w:szCs w:val="14"/>
          <w:lang w:val="en-US"/>
        </w:rPr>
        <w:t>, 9-15.</w:t>
      </w:r>
      <w:bookmarkEnd w:id="32"/>
    </w:p>
    <w:p w14:paraId="7C11BFB4" w14:textId="77777777" w:rsidR="009C6FAF" w:rsidRPr="009C6FAF" w:rsidRDefault="009C6FAF" w:rsidP="009C6FAF">
      <w:pPr>
        <w:ind w:left="425" w:hanging="425"/>
        <w:rPr>
          <w:rFonts w:ascii="Arial" w:hAnsi="Arial" w:cs="Arial"/>
          <w:sz w:val="14"/>
          <w:szCs w:val="14"/>
          <w:lang w:val="en-US"/>
        </w:rPr>
      </w:pPr>
      <w:bookmarkStart w:id="33" w:name="_ENREF_33"/>
      <w:r w:rsidRPr="009C6FAF">
        <w:rPr>
          <w:rFonts w:ascii="Arial" w:hAnsi="Arial" w:cs="Arial"/>
          <w:sz w:val="14"/>
          <w:szCs w:val="14"/>
          <w:lang w:val="en-US"/>
        </w:rPr>
        <w:t>[14]</w:t>
      </w:r>
      <w:r>
        <w:rPr>
          <w:rFonts w:ascii="Arial" w:hAnsi="Arial" w:cs="Arial"/>
          <w:sz w:val="14"/>
          <w:szCs w:val="14"/>
          <w:lang w:val="en-US"/>
        </w:rPr>
        <w:tab/>
      </w:r>
      <w:r w:rsidRPr="009C6FAF">
        <w:rPr>
          <w:rFonts w:ascii="Arial" w:hAnsi="Arial" w:cs="Arial"/>
          <w:sz w:val="14"/>
          <w:szCs w:val="14"/>
          <w:lang w:val="en-US"/>
        </w:rPr>
        <w:t xml:space="preserve"> R. Lieth, </w:t>
      </w:r>
      <w:r w:rsidRPr="009C6FAF">
        <w:rPr>
          <w:rFonts w:ascii="Arial" w:hAnsi="Arial" w:cs="Arial"/>
          <w:i/>
          <w:sz w:val="14"/>
          <w:szCs w:val="14"/>
          <w:lang w:val="en-US"/>
        </w:rPr>
        <w:t>Preparation and crystal growth of materials with layered structures</w:t>
      </w:r>
      <w:r w:rsidRPr="009C6FAF">
        <w:rPr>
          <w:rFonts w:ascii="Arial" w:hAnsi="Arial" w:cs="Arial"/>
          <w:sz w:val="14"/>
          <w:szCs w:val="14"/>
          <w:lang w:val="en-US"/>
        </w:rPr>
        <w:t xml:space="preserve">, Springer Science &amp; Business Media, </w:t>
      </w:r>
      <w:r w:rsidRPr="009C6FAF">
        <w:rPr>
          <w:rFonts w:ascii="Arial" w:hAnsi="Arial" w:cs="Arial"/>
          <w:b/>
          <w:sz w:val="14"/>
          <w:szCs w:val="14"/>
          <w:lang w:val="en-US"/>
        </w:rPr>
        <w:t>1977</w:t>
      </w:r>
      <w:r w:rsidRPr="009C6FAF">
        <w:rPr>
          <w:rFonts w:ascii="Arial" w:hAnsi="Arial" w:cs="Arial"/>
          <w:sz w:val="14"/>
          <w:szCs w:val="14"/>
          <w:lang w:val="en-US"/>
        </w:rPr>
        <w:t>, p.</w:t>
      </w:r>
      <w:bookmarkEnd w:id="33"/>
    </w:p>
    <w:p w14:paraId="4FF468F5" w14:textId="77777777" w:rsidR="009C6FAF" w:rsidRPr="009C6FAF" w:rsidRDefault="009C6FAF" w:rsidP="009C6FAF">
      <w:pPr>
        <w:ind w:left="420" w:hanging="420"/>
        <w:rPr>
          <w:rFonts w:ascii="Arial" w:hAnsi="Arial" w:cs="Arial"/>
          <w:sz w:val="14"/>
          <w:szCs w:val="14"/>
          <w:lang w:val="en-US"/>
        </w:rPr>
      </w:pPr>
      <w:bookmarkStart w:id="34" w:name="_ENREF_34"/>
      <w:r w:rsidRPr="009C6FAF">
        <w:rPr>
          <w:rFonts w:ascii="Arial" w:hAnsi="Arial" w:cs="Arial"/>
          <w:sz w:val="14"/>
          <w:szCs w:val="14"/>
          <w:lang w:val="en-US"/>
        </w:rPr>
        <w:t xml:space="preserve">[15] </w:t>
      </w:r>
      <w:r>
        <w:rPr>
          <w:rFonts w:ascii="Arial" w:hAnsi="Arial" w:cs="Arial"/>
          <w:sz w:val="14"/>
          <w:szCs w:val="14"/>
          <w:lang w:val="en-US"/>
        </w:rPr>
        <w:tab/>
      </w:r>
      <w:r w:rsidRPr="009C6FAF">
        <w:rPr>
          <w:rFonts w:ascii="Arial" w:hAnsi="Arial" w:cs="Arial"/>
          <w:sz w:val="14"/>
          <w:szCs w:val="14"/>
          <w:lang w:val="en-US"/>
        </w:rPr>
        <w:t xml:space="preserve">A. Ambrosi, Z. Sofer and M. Pumera, </w:t>
      </w:r>
      <w:r w:rsidR="001D40FE">
        <w:rPr>
          <w:rFonts w:ascii="Arial" w:hAnsi="Arial" w:cs="Arial"/>
          <w:i/>
          <w:sz w:val="14"/>
          <w:szCs w:val="14"/>
          <w:lang w:val="en-US"/>
        </w:rPr>
        <w:t>Chem. Commun.</w:t>
      </w:r>
      <w:r w:rsidRPr="009C6FAF">
        <w:rPr>
          <w:rFonts w:ascii="Arial" w:hAnsi="Arial" w:cs="Arial"/>
          <w:i/>
          <w:sz w:val="14"/>
          <w:szCs w:val="14"/>
          <w:lang w:val="en-US"/>
        </w:rPr>
        <w:t xml:space="preserve"> </w:t>
      </w:r>
      <w:r w:rsidRPr="009C6FAF">
        <w:rPr>
          <w:rFonts w:ascii="Arial" w:hAnsi="Arial" w:cs="Arial"/>
          <w:b/>
          <w:sz w:val="14"/>
          <w:szCs w:val="14"/>
          <w:lang w:val="en-US"/>
        </w:rPr>
        <w:t>2015</w:t>
      </w:r>
      <w:r w:rsidRPr="009C6FAF">
        <w:rPr>
          <w:rFonts w:ascii="Arial" w:hAnsi="Arial" w:cs="Arial"/>
          <w:sz w:val="14"/>
          <w:szCs w:val="14"/>
          <w:lang w:val="en-US"/>
        </w:rPr>
        <w:t xml:space="preserve">, </w:t>
      </w:r>
      <w:r w:rsidRPr="009C6FAF">
        <w:rPr>
          <w:rFonts w:ascii="Arial" w:hAnsi="Arial" w:cs="Arial"/>
          <w:i/>
          <w:sz w:val="14"/>
          <w:szCs w:val="14"/>
          <w:lang w:val="en-US"/>
        </w:rPr>
        <w:t>51</w:t>
      </w:r>
      <w:r w:rsidRPr="009C6FAF">
        <w:rPr>
          <w:rFonts w:ascii="Arial" w:hAnsi="Arial" w:cs="Arial"/>
          <w:sz w:val="14"/>
          <w:szCs w:val="14"/>
          <w:lang w:val="en-US"/>
        </w:rPr>
        <w:t>, 8450-8453.</w:t>
      </w:r>
      <w:bookmarkEnd w:id="34"/>
    </w:p>
    <w:p w14:paraId="6E6B4F8D" w14:textId="77777777" w:rsidR="009C6FAF" w:rsidRPr="009C6FAF" w:rsidRDefault="009C6FAF" w:rsidP="009C6FAF">
      <w:pPr>
        <w:ind w:left="420" w:hanging="420"/>
        <w:rPr>
          <w:rFonts w:ascii="Arial" w:hAnsi="Arial" w:cs="Arial"/>
          <w:sz w:val="14"/>
          <w:szCs w:val="14"/>
          <w:lang w:val="en-US"/>
        </w:rPr>
      </w:pPr>
      <w:bookmarkStart w:id="35" w:name="_ENREF_35"/>
      <w:r w:rsidRPr="009C6FAF">
        <w:rPr>
          <w:rFonts w:ascii="Arial" w:hAnsi="Arial" w:cs="Arial"/>
          <w:sz w:val="14"/>
          <w:szCs w:val="14"/>
          <w:lang w:val="en-US"/>
        </w:rPr>
        <w:t xml:space="preserve">[16] </w:t>
      </w:r>
      <w:r>
        <w:rPr>
          <w:rFonts w:ascii="Arial" w:hAnsi="Arial" w:cs="Arial"/>
          <w:sz w:val="14"/>
          <w:szCs w:val="14"/>
          <w:lang w:val="en-US"/>
        </w:rPr>
        <w:tab/>
      </w:r>
      <w:r w:rsidRPr="009C6FAF">
        <w:rPr>
          <w:rFonts w:ascii="Arial" w:hAnsi="Arial" w:cs="Arial"/>
          <w:sz w:val="14"/>
          <w:szCs w:val="14"/>
          <w:lang w:val="en-US"/>
        </w:rPr>
        <w:t xml:space="preserve">a) P. E. Blochl, </w:t>
      </w:r>
      <w:r w:rsidR="001D40FE">
        <w:rPr>
          <w:rFonts w:ascii="Arial" w:hAnsi="Arial" w:cs="Arial"/>
          <w:i/>
          <w:sz w:val="14"/>
          <w:szCs w:val="14"/>
          <w:lang w:val="en-US"/>
        </w:rPr>
        <w:t xml:space="preserve">Phys. Rev. </w:t>
      </w:r>
      <w:r w:rsidRPr="009C6FAF">
        <w:rPr>
          <w:rFonts w:ascii="Arial" w:hAnsi="Arial" w:cs="Arial"/>
          <w:i/>
          <w:sz w:val="14"/>
          <w:szCs w:val="14"/>
          <w:lang w:val="en-US"/>
        </w:rPr>
        <w:t xml:space="preserve">B </w:t>
      </w:r>
      <w:r w:rsidRPr="009C6FAF">
        <w:rPr>
          <w:rFonts w:ascii="Arial" w:hAnsi="Arial" w:cs="Arial"/>
          <w:b/>
          <w:sz w:val="14"/>
          <w:szCs w:val="14"/>
          <w:lang w:val="en-US"/>
        </w:rPr>
        <w:t>1994</w:t>
      </w:r>
      <w:r w:rsidRPr="009C6FAF">
        <w:rPr>
          <w:rFonts w:ascii="Arial" w:hAnsi="Arial" w:cs="Arial"/>
          <w:sz w:val="14"/>
          <w:szCs w:val="14"/>
          <w:lang w:val="en-US"/>
        </w:rPr>
        <w:t xml:space="preserve">, </w:t>
      </w:r>
      <w:r w:rsidRPr="009C6FAF">
        <w:rPr>
          <w:rFonts w:ascii="Arial" w:hAnsi="Arial" w:cs="Arial"/>
          <w:i/>
          <w:sz w:val="14"/>
          <w:szCs w:val="14"/>
          <w:lang w:val="en-US"/>
        </w:rPr>
        <w:t>50</w:t>
      </w:r>
      <w:r w:rsidRPr="009C6FAF">
        <w:rPr>
          <w:rFonts w:ascii="Arial" w:hAnsi="Arial" w:cs="Arial"/>
          <w:sz w:val="14"/>
          <w:szCs w:val="14"/>
          <w:lang w:val="en-US"/>
        </w:rPr>
        <w:t>, 17953-17979;</w:t>
      </w:r>
      <w:bookmarkEnd w:id="35"/>
      <w:r w:rsidRPr="009C6FAF">
        <w:rPr>
          <w:rFonts w:ascii="Arial" w:hAnsi="Arial" w:cs="Arial"/>
          <w:sz w:val="14"/>
          <w:szCs w:val="14"/>
          <w:lang w:val="en-US"/>
        </w:rPr>
        <w:t xml:space="preserve"> </w:t>
      </w:r>
      <w:bookmarkStart w:id="36" w:name="_ENREF_36"/>
      <w:r w:rsidRPr="009C6FAF">
        <w:rPr>
          <w:rFonts w:ascii="Arial" w:hAnsi="Arial" w:cs="Arial"/>
          <w:sz w:val="14"/>
          <w:szCs w:val="14"/>
          <w:lang w:val="en-US"/>
        </w:rPr>
        <w:t xml:space="preserve">b) G. Kresse and D. Joubert, </w:t>
      </w:r>
      <w:r w:rsidR="001D40FE">
        <w:rPr>
          <w:rFonts w:ascii="Arial" w:hAnsi="Arial" w:cs="Arial"/>
          <w:i/>
          <w:sz w:val="14"/>
          <w:szCs w:val="14"/>
          <w:lang w:val="en-US"/>
        </w:rPr>
        <w:t>Phys. Rev.</w:t>
      </w:r>
      <w:r w:rsidRPr="009C6FAF">
        <w:rPr>
          <w:rFonts w:ascii="Arial" w:hAnsi="Arial" w:cs="Arial"/>
          <w:i/>
          <w:sz w:val="14"/>
          <w:szCs w:val="14"/>
          <w:lang w:val="en-US"/>
        </w:rPr>
        <w:t xml:space="preserve"> B </w:t>
      </w:r>
      <w:r w:rsidRPr="009C6FAF">
        <w:rPr>
          <w:rFonts w:ascii="Arial" w:hAnsi="Arial" w:cs="Arial"/>
          <w:b/>
          <w:sz w:val="14"/>
          <w:szCs w:val="14"/>
          <w:lang w:val="en-US"/>
        </w:rPr>
        <w:t>1999</w:t>
      </w:r>
      <w:r w:rsidRPr="009C6FAF">
        <w:rPr>
          <w:rFonts w:ascii="Arial" w:hAnsi="Arial" w:cs="Arial"/>
          <w:sz w:val="14"/>
          <w:szCs w:val="14"/>
          <w:lang w:val="en-US"/>
        </w:rPr>
        <w:t xml:space="preserve">, </w:t>
      </w:r>
      <w:r w:rsidRPr="009C6FAF">
        <w:rPr>
          <w:rFonts w:ascii="Arial" w:hAnsi="Arial" w:cs="Arial"/>
          <w:i/>
          <w:sz w:val="14"/>
          <w:szCs w:val="14"/>
          <w:lang w:val="en-US"/>
        </w:rPr>
        <w:t>59</w:t>
      </w:r>
      <w:r w:rsidRPr="009C6FAF">
        <w:rPr>
          <w:rFonts w:ascii="Arial" w:hAnsi="Arial" w:cs="Arial"/>
          <w:sz w:val="14"/>
          <w:szCs w:val="14"/>
          <w:lang w:val="en-US"/>
        </w:rPr>
        <w:t>, 1758-1775.</w:t>
      </w:r>
      <w:bookmarkEnd w:id="36"/>
    </w:p>
    <w:p w14:paraId="25D7B82E" w14:textId="77777777" w:rsidR="009C6FAF" w:rsidRPr="009C6FAF" w:rsidRDefault="009C6FAF" w:rsidP="009C6FAF">
      <w:pPr>
        <w:ind w:left="420" w:hanging="420"/>
        <w:rPr>
          <w:rFonts w:ascii="Arial" w:hAnsi="Arial" w:cs="Arial"/>
          <w:sz w:val="14"/>
          <w:szCs w:val="14"/>
          <w:lang w:val="en-US"/>
        </w:rPr>
      </w:pPr>
      <w:bookmarkStart w:id="37" w:name="_ENREF_37"/>
      <w:r w:rsidRPr="009C6FAF">
        <w:rPr>
          <w:rFonts w:ascii="Arial" w:hAnsi="Arial" w:cs="Arial"/>
          <w:sz w:val="14"/>
          <w:szCs w:val="14"/>
          <w:lang w:val="en-US"/>
        </w:rPr>
        <w:t xml:space="preserve">[17] </w:t>
      </w:r>
      <w:r>
        <w:rPr>
          <w:rFonts w:ascii="Arial" w:hAnsi="Arial" w:cs="Arial"/>
          <w:sz w:val="14"/>
          <w:szCs w:val="14"/>
          <w:lang w:val="en-US"/>
        </w:rPr>
        <w:tab/>
      </w:r>
      <w:r w:rsidRPr="009C6FAF">
        <w:rPr>
          <w:rFonts w:ascii="Arial" w:hAnsi="Arial" w:cs="Arial"/>
          <w:sz w:val="14"/>
          <w:szCs w:val="14"/>
          <w:lang w:val="en-US"/>
        </w:rPr>
        <w:t xml:space="preserve">a) J. Klimes, D. R. Bowler and A. Michaelides, </w:t>
      </w:r>
      <w:r w:rsidR="001D40FE">
        <w:rPr>
          <w:rFonts w:ascii="Arial" w:hAnsi="Arial" w:cs="Arial"/>
          <w:i/>
          <w:sz w:val="14"/>
          <w:szCs w:val="14"/>
          <w:lang w:val="en-US"/>
        </w:rPr>
        <w:t>Phys. Rev.</w:t>
      </w:r>
      <w:r w:rsidRPr="009C6FAF">
        <w:rPr>
          <w:rFonts w:ascii="Arial" w:hAnsi="Arial" w:cs="Arial"/>
          <w:i/>
          <w:sz w:val="14"/>
          <w:szCs w:val="14"/>
          <w:lang w:val="en-US"/>
        </w:rPr>
        <w:t xml:space="preserve"> B </w:t>
      </w:r>
      <w:r w:rsidRPr="009C6FAF">
        <w:rPr>
          <w:rFonts w:ascii="Arial" w:hAnsi="Arial" w:cs="Arial"/>
          <w:b/>
          <w:sz w:val="14"/>
          <w:szCs w:val="14"/>
          <w:lang w:val="en-US"/>
        </w:rPr>
        <w:t>2011</w:t>
      </w:r>
      <w:r w:rsidRPr="009C6FAF">
        <w:rPr>
          <w:rFonts w:ascii="Arial" w:hAnsi="Arial" w:cs="Arial"/>
          <w:sz w:val="14"/>
          <w:szCs w:val="14"/>
          <w:lang w:val="en-US"/>
        </w:rPr>
        <w:t xml:space="preserve">, </w:t>
      </w:r>
      <w:r w:rsidRPr="009C6FAF">
        <w:rPr>
          <w:rFonts w:ascii="Arial" w:hAnsi="Arial" w:cs="Arial"/>
          <w:i/>
          <w:sz w:val="14"/>
          <w:szCs w:val="14"/>
          <w:lang w:val="en-US"/>
        </w:rPr>
        <w:t>83</w:t>
      </w:r>
      <w:r w:rsidRPr="009C6FAF">
        <w:rPr>
          <w:rFonts w:ascii="Arial" w:hAnsi="Arial" w:cs="Arial"/>
          <w:sz w:val="14"/>
          <w:szCs w:val="14"/>
          <w:lang w:val="en-US"/>
        </w:rPr>
        <w:t>;</w:t>
      </w:r>
      <w:bookmarkEnd w:id="37"/>
      <w:r w:rsidRPr="009C6FAF">
        <w:rPr>
          <w:rFonts w:ascii="Arial" w:hAnsi="Arial" w:cs="Arial"/>
          <w:sz w:val="14"/>
          <w:szCs w:val="14"/>
          <w:lang w:val="en-US"/>
        </w:rPr>
        <w:t xml:space="preserve"> </w:t>
      </w:r>
      <w:bookmarkStart w:id="38" w:name="_ENREF_38"/>
      <w:r w:rsidRPr="009C6FAF">
        <w:rPr>
          <w:rFonts w:ascii="Arial" w:hAnsi="Arial" w:cs="Arial"/>
          <w:sz w:val="14"/>
          <w:szCs w:val="14"/>
          <w:lang w:val="en-US"/>
        </w:rPr>
        <w:t xml:space="preserve">b) P. Lazar, J. Martincova and M. Otyepka, </w:t>
      </w:r>
      <w:r w:rsidR="001D40FE">
        <w:rPr>
          <w:rFonts w:ascii="Arial" w:hAnsi="Arial" w:cs="Arial"/>
          <w:i/>
          <w:sz w:val="14"/>
          <w:szCs w:val="14"/>
          <w:lang w:val="en-US"/>
        </w:rPr>
        <w:t>Phys. Rev.</w:t>
      </w:r>
      <w:r w:rsidRPr="009C6FAF">
        <w:rPr>
          <w:rFonts w:ascii="Arial" w:hAnsi="Arial" w:cs="Arial"/>
          <w:i/>
          <w:sz w:val="14"/>
          <w:szCs w:val="14"/>
          <w:lang w:val="en-US"/>
        </w:rPr>
        <w:t xml:space="preserve"> B </w:t>
      </w:r>
      <w:r w:rsidRPr="009C6FAF">
        <w:rPr>
          <w:rFonts w:ascii="Arial" w:hAnsi="Arial" w:cs="Arial"/>
          <w:b/>
          <w:sz w:val="14"/>
          <w:szCs w:val="14"/>
          <w:lang w:val="en-US"/>
        </w:rPr>
        <w:t>2015</w:t>
      </w:r>
      <w:r w:rsidRPr="009C6FAF">
        <w:rPr>
          <w:rFonts w:ascii="Arial" w:hAnsi="Arial" w:cs="Arial"/>
          <w:sz w:val="14"/>
          <w:szCs w:val="14"/>
          <w:lang w:val="en-US"/>
        </w:rPr>
        <w:t xml:space="preserve">, </w:t>
      </w:r>
      <w:r w:rsidRPr="009C6FAF">
        <w:rPr>
          <w:rFonts w:ascii="Arial" w:hAnsi="Arial" w:cs="Arial"/>
          <w:i/>
          <w:sz w:val="14"/>
          <w:szCs w:val="14"/>
          <w:lang w:val="en-US"/>
        </w:rPr>
        <w:t>92</w:t>
      </w:r>
      <w:r w:rsidRPr="009C6FAF">
        <w:rPr>
          <w:rFonts w:ascii="Arial" w:hAnsi="Arial" w:cs="Arial"/>
          <w:sz w:val="14"/>
          <w:szCs w:val="14"/>
          <w:lang w:val="en-US"/>
        </w:rPr>
        <w:t>.</w:t>
      </w:r>
      <w:bookmarkEnd w:id="38"/>
    </w:p>
    <w:p w14:paraId="5FC17C2C" w14:textId="77777777" w:rsidR="009C6FAF" w:rsidRPr="009C6FAF" w:rsidRDefault="009C6FAF" w:rsidP="009C6FAF">
      <w:pPr>
        <w:ind w:left="420" w:hanging="420"/>
        <w:rPr>
          <w:rFonts w:ascii="Arial" w:hAnsi="Arial" w:cs="Arial"/>
          <w:sz w:val="14"/>
          <w:szCs w:val="14"/>
          <w:lang w:val="en-US"/>
        </w:rPr>
      </w:pPr>
      <w:bookmarkStart w:id="39" w:name="_ENREF_39"/>
      <w:r w:rsidRPr="009C6FAF">
        <w:rPr>
          <w:rFonts w:ascii="Arial" w:hAnsi="Arial" w:cs="Arial"/>
          <w:sz w:val="14"/>
          <w:szCs w:val="14"/>
          <w:lang w:val="en-US"/>
        </w:rPr>
        <w:t>[18]</w:t>
      </w:r>
      <w:r>
        <w:rPr>
          <w:rFonts w:ascii="Arial" w:hAnsi="Arial" w:cs="Arial"/>
          <w:sz w:val="14"/>
          <w:szCs w:val="14"/>
          <w:lang w:val="en-US"/>
        </w:rPr>
        <w:tab/>
      </w:r>
      <w:r w:rsidRPr="009C6FAF">
        <w:rPr>
          <w:rFonts w:ascii="Arial" w:hAnsi="Arial" w:cs="Arial"/>
          <w:sz w:val="14"/>
          <w:szCs w:val="14"/>
          <w:lang w:val="en-US"/>
        </w:rPr>
        <w:t xml:space="preserve"> B. Hinnemann, P. G. Moses, J. Bonde, K. P. Jørgensen, J. H. Nielsen, S. Horch, I. Chorkendorff and J. K. Nørskov, </w:t>
      </w:r>
      <w:r w:rsidR="001D40FE">
        <w:rPr>
          <w:rFonts w:ascii="Arial" w:hAnsi="Arial" w:cs="Arial"/>
          <w:i/>
          <w:sz w:val="14"/>
          <w:szCs w:val="14"/>
          <w:lang w:val="en-US"/>
        </w:rPr>
        <w:t>J. Am. Chem. Soc.</w:t>
      </w:r>
      <w:r w:rsidRPr="009C6FAF">
        <w:rPr>
          <w:rFonts w:ascii="Arial" w:hAnsi="Arial" w:cs="Arial"/>
          <w:i/>
          <w:sz w:val="14"/>
          <w:szCs w:val="14"/>
          <w:lang w:val="en-US"/>
        </w:rPr>
        <w:t xml:space="preserve"> </w:t>
      </w:r>
      <w:r w:rsidRPr="009C6FAF">
        <w:rPr>
          <w:rFonts w:ascii="Arial" w:hAnsi="Arial" w:cs="Arial"/>
          <w:b/>
          <w:sz w:val="14"/>
          <w:szCs w:val="14"/>
          <w:lang w:val="en-US"/>
        </w:rPr>
        <w:t>2005</w:t>
      </w:r>
      <w:r w:rsidRPr="009C6FAF">
        <w:rPr>
          <w:rFonts w:ascii="Arial" w:hAnsi="Arial" w:cs="Arial"/>
          <w:sz w:val="14"/>
          <w:szCs w:val="14"/>
          <w:lang w:val="en-US"/>
        </w:rPr>
        <w:t xml:space="preserve">, </w:t>
      </w:r>
      <w:r w:rsidRPr="009C6FAF">
        <w:rPr>
          <w:rFonts w:ascii="Arial" w:hAnsi="Arial" w:cs="Arial"/>
          <w:i/>
          <w:sz w:val="14"/>
          <w:szCs w:val="14"/>
          <w:lang w:val="en-US"/>
        </w:rPr>
        <w:t>127</w:t>
      </w:r>
      <w:r w:rsidRPr="009C6FAF">
        <w:rPr>
          <w:rFonts w:ascii="Arial" w:hAnsi="Arial" w:cs="Arial"/>
          <w:sz w:val="14"/>
          <w:szCs w:val="14"/>
          <w:lang w:val="en-US"/>
        </w:rPr>
        <w:t>, 5308-5309.</w:t>
      </w:r>
      <w:bookmarkEnd w:id="39"/>
    </w:p>
    <w:p w14:paraId="1CC59E6B" w14:textId="77777777" w:rsidR="009C6FAF" w:rsidRPr="009C6FAF" w:rsidRDefault="009C6FAF" w:rsidP="009C6FAF">
      <w:pPr>
        <w:ind w:left="420" w:hanging="420"/>
        <w:rPr>
          <w:rFonts w:ascii="Arial" w:hAnsi="Arial" w:cs="Arial"/>
          <w:sz w:val="14"/>
          <w:szCs w:val="14"/>
          <w:lang w:val="en-US"/>
        </w:rPr>
      </w:pPr>
      <w:bookmarkStart w:id="40" w:name="_ENREF_40"/>
      <w:r w:rsidRPr="009C6FAF">
        <w:rPr>
          <w:rFonts w:ascii="Arial" w:hAnsi="Arial" w:cs="Arial"/>
          <w:sz w:val="14"/>
          <w:szCs w:val="14"/>
          <w:lang w:val="en-US"/>
        </w:rPr>
        <w:t>[19]</w:t>
      </w:r>
      <w:r>
        <w:rPr>
          <w:rFonts w:ascii="Arial" w:hAnsi="Arial" w:cs="Arial"/>
          <w:sz w:val="14"/>
          <w:szCs w:val="14"/>
          <w:lang w:val="en-US"/>
        </w:rPr>
        <w:tab/>
      </w:r>
      <w:r w:rsidRPr="009C6FAF">
        <w:rPr>
          <w:rFonts w:ascii="Arial" w:hAnsi="Arial" w:cs="Arial"/>
          <w:sz w:val="14"/>
          <w:szCs w:val="14"/>
          <w:lang w:val="en-US"/>
        </w:rPr>
        <w:t xml:space="preserve"> R. V. Siriwardane and J. M. Cook, </w:t>
      </w:r>
      <w:r w:rsidR="001D40FE" w:rsidRPr="001D40FE">
        <w:rPr>
          <w:rFonts w:ascii="Arial" w:hAnsi="Arial" w:cs="Arial"/>
          <w:i/>
          <w:sz w:val="14"/>
          <w:szCs w:val="14"/>
          <w:lang w:val="en-US"/>
        </w:rPr>
        <w:t>J. Colloid Interface Sci.</w:t>
      </w:r>
      <w:r w:rsidRPr="009C6FAF">
        <w:rPr>
          <w:rFonts w:ascii="Arial" w:hAnsi="Arial" w:cs="Arial"/>
          <w:i/>
          <w:sz w:val="14"/>
          <w:szCs w:val="14"/>
          <w:lang w:val="en-US"/>
        </w:rPr>
        <w:t xml:space="preserve"> </w:t>
      </w:r>
      <w:r w:rsidRPr="009C6FAF">
        <w:rPr>
          <w:rFonts w:ascii="Arial" w:hAnsi="Arial" w:cs="Arial"/>
          <w:b/>
          <w:sz w:val="14"/>
          <w:szCs w:val="14"/>
          <w:lang w:val="en-US"/>
        </w:rPr>
        <w:t>1986</w:t>
      </w:r>
      <w:r w:rsidRPr="009C6FAF">
        <w:rPr>
          <w:rFonts w:ascii="Arial" w:hAnsi="Arial" w:cs="Arial"/>
          <w:sz w:val="14"/>
          <w:szCs w:val="14"/>
          <w:lang w:val="en-US"/>
        </w:rPr>
        <w:t xml:space="preserve">, </w:t>
      </w:r>
      <w:r w:rsidRPr="009C6FAF">
        <w:rPr>
          <w:rFonts w:ascii="Arial" w:hAnsi="Arial" w:cs="Arial"/>
          <w:i/>
          <w:sz w:val="14"/>
          <w:szCs w:val="14"/>
          <w:lang w:val="en-US"/>
        </w:rPr>
        <w:t>114</w:t>
      </w:r>
      <w:r w:rsidRPr="009C6FAF">
        <w:rPr>
          <w:rFonts w:ascii="Arial" w:hAnsi="Arial" w:cs="Arial"/>
          <w:sz w:val="14"/>
          <w:szCs w:val="14"/>
          <w:lang w:val="en-US"/>
        </w:rPr>
        <w:t>, 525-535.</w:t>
      </w:r>
      <w:bookmarkEnd w:id="40"/>
    </w:p>
    <w:p w14:paraId="645B4111" w14:textId="77777777" w:rsidR="009C6FAF" w:rsidRPr="009C6FAF" w:rsidRDefault="009C6FAF" w:rsidP="001D40FE">
      <w:pPr>
        <w:ind w:left="375" w:hanging="330"/>
        <w:rPr>
          <w:rFonts w:ascii="Arial" w:hAnsi="Arial" w:cs="Arial"/>
          <w:sz w:val="14"/>
          <w:szCs w:val="14"/>
          <w:lang w:val="en-US"/>
        </w:rPr>
      </w:pPr>
      <w:bookmarkStart w:id="41" w:name="_ENREF_41"/>
      <w:r w:rsidRPr="009C6FAF">
        <w:rPr>
          <w:rFonts w:ascii="Arial" w:hAnsi="Arial" w:cs="Arial"/>
          <w:sz w:val="14"/>
          <w:szCs w:val="14"/>
          <w:lang w:val="en-US"/>
        </w:rPr>
        <w:t xml:space="preserve">[20] </w:t>
      </w:r>
      <w:r>
        <w:rPr>
          <w:rFonts w:ascii="Arial" w:hAnsi="Arial" w:cs="Arial"/>
          <w:sz w:val="14"/>
          <w:szCs w:val="14"/>
          <w:lang w:val="en-US"/>
        </w:rPr>
        <w:tab/>
      </w:r>
      <w:r w:rsidRPr="009C6FAF">
        <w:rPr>
          <w:rFonts w:ascii="Arial" w:hAnsi="Arial" w:cs="Arial"/>
          <w:sz w:val="14"/>
          <w:szCs w:val="14"/>
          <w:lang w:val="en-US"/>
        </w:rPr>
        <w:t xml:space="preserve">X. Chia, A. Ambrosi, Z. Sofer, J. Luxa and M. Pumera, </w:t>
      </w:r>
      <w:r w:rsidRPr="009C6FAF">
        <w:rPr>
          <w:rFonts w:ascii="Arial" w:hAnsi="Arial" w:cs="Arial"/>
          <w:i/>
          <w:sz w:val="14"/>
          <w:szCs w:val="14"/>
          <w:lang w:val="en-US"/>
        </w:rPr>
        <w:t xml:space="preserve">ACS Nano </w:t>
      </w:r>
      <w:r w:rsidRPr="009C6FAF">
        <w:rPr>
          <w:rFonts w:ascii="Arial" w:hAnsi="Arial" w:cs="Arial"/>
          <w:b/>
          <w:sz w:val="14"/>
          <w:szCs w:val="14"/>
          <w:lang w:val="en-US"/>
        </w:rPr>
        <w:t>2015</w:t>
      </w:r>
      <w:r w:rsidRPr="009C6FAF">
        <w:rPr>
          <w:rFonts w:ascii="Arial" w:hAnsi="Arial" w:cs="Arial"/>
          <w:sz w:val="14"/>
          <w:szCs w:val="14"/>
          <w:lang w:val="en-US"/>
        </w:rPr>
        <w:t xml:space="preserve">, </w:t>
      </w:r>
      <w:r w:rsidRPr="009C6FAF">
        <w:rPr>
          <w:rFonts w:ascii="Arial" w:hAnsi="Arial" w:cs="Arial"/>
          <w:i/>
          <w:sz w:val="14"/>
          <w:szCs w:val="14"/>
          <w:lang w:val="en-US"/>
        </w:rPr>
        <w:t>9</w:t>
      </w:r>
      <w:r w:rsidRPr="009C6FAF">
        <w:rPr>
          <w:rFonts w:ascii="Arial" w:hAnsi="Arial" w:cs="Arial"/>
          <w:sz w:val="14"/>
          <w:szCs w:val="14"/>
          <w:lang w:val="en-US"/>
        </w:rPr>
        <w:t>, 5164-5179.</w:t>
      </w:r>
      <w:bookmarkEnd w:id="41"/>
    </w:p>
    <w:p w14:paraId="1BDC0CFC" w14:textId="77777777" w:rsidR="009C6FAF" w:rsidRPr="009C6FAF" w:rsidRDefault="009C6FAF" w:rsidP="009C6FAF">
      <w:pPr>
        <w:ind w:left="375" w:hanging="375"/>
        <w:rPr>
          <w:rFonts w:ascii="Arial" w:hAnsi="Arial" w:cs="Arial"/>
          <w:sz w:val="14"/>
          <w:szCs w:val="14"/>
          <w:lang w:val="en-US"/>
        </w:rPr>
      </w:pPr>
      <w:bookmarkStart w:id="42" w:name="_ENREF_42"/>
      <w:r w:rsidRPr="009C6FAF">
        <w:rPr>
          <w:rFonts w:ascii="Arial" w:hAnsi="Arial" w:cs="Arial"/>
          <w:sz w:val="14"/>
          <w:szCs w:val="14"/>
          <w:lang w:val="en-US"/>
        </w:rPr>
        <w:t>[21]</w:t>
      </w:r>
      <w:r>
        <w:rPr>
          <w:rFonts w:ascii="Arial" w:hAnsi="Arial" w:cs="Arial"/>
          <w:sz w:val="14"/>
          <w:szCs w:val="14"/>
          <w:lang w:val="en-US"/>
        </w:rPr>
        <w:tab/>
      </w:r>
      <w:r w:rsidRPr="009C6FAF">
        <w:rPr>
          <w:rFonts w:ascii="Arial" w:hAnsi="Arial" w:cs="Arial"/>
          <w:sz w:val="14"/>
          <w:szCs w:val="14"/>
          <w:lang w:val="en-US"/>
        </w:rPr>
        <w:t xml:space="preserve"> a) E. Coronado, M. Giménez-Marqués, C. Martí-Gastaldo, G. M. Espallargas, E. Navarro-Moratalla and J. C. Waerenborgh, </w:t>
      </w:r>
      <w:r w:rsidR="001D40FE">
        <w:rPr>
          <w:rFonts w:ascii="Arial" w:hAnsi="Arial" w:cs="Arial"/>
          <w:i/>
          <w:sz w:val="14"/>
          <w:szCs w:val="14"/>
          <w:lang w:val="en-US"/>
        </w:rPr>
        <w:t>Inorg. Chem.</w:t>
      </w:r>
      <w:r w:rsidRPr="009C6FAF">
        <w:rPr>
          <w:rFonts w:ascii="Arial" w:hAnsi="Arial" w:cs="Arial"/>
          <w:i/>
          <w:sz w:val="14"/>
          <w:szCs w:val="14"/>
          <w:lang w:val="en-US"/>
        </w:rPr>
        <w:t xml:space="preserve"> </w:t>
      </w:r>
      <w:r w:rsidRPr="009C6FAF">
        <w:rPr>
          <w:rFonts w:ascii="Arial" w:hAnsi="Arial" w:cs="Arial"/>
          <w:b/>
          <w:sz w:val="14"/>
          <w:szCs w:val="14"/>
          <w:lang w:val="en-US"/>
        </w:rPr>
        <w:t>2013</w:t>
      </w:r>
      <w:r w:rsidRPr="009C6FAF">
        <w:rPr>
          <w:rFonts w:ascii="Arial" w:hAnsi="Arial" w:cs="Arial"/>
          <w:sz w:val="14"/>
          <w:szCs w:val="14"/>
          <w:lang w:val="en-US"/>
        </w:rPr>
        <w:t xml:space="preserve">, </w:t>
      </w:r>
      <w:r w:rsidRPr="009C6FAF">
        <w:rPr>
          <w:rFonts w:ascii="Arial" w:hAnsi="Arial" w:cs="Arial"/>
          <w:i/>
          <w:sz w:val="14"/>
          <w:szCs w:val="14"/>
          <w:lang w:val="en-US"/>
        </w:rPr>
        <w:t>52</w:t>
      </w:r>
      <w:r w:rsidRPr="009C6FAF">
        <w:rPr>
          <w:rFonts w:ascii="Arial" w:hAnsi="Arial" w:cs="Arial"/>
          <w:sz w:val="14"/>
          <w:szCs w:val="14"/>
          <w:lang w:val="en-US"/>
        </w:rPr>
        <w:t>, 8451-8460;</w:t>
      </w:r>
      <w:bookmarkEnd w:id="42"/>
      <w:r w:rsidRPr="009C6FAF">
        <w:rPr>
          <w:rFonts w:ascii="Arial" w:hAnsi="Arial" w:cs="Arial"/>
          <w:sz w:val="14"/>
          <w:szCs w:val="14"/>
          <w:lang w:val="en-US"/>
        </w:rPr>
        <w:t xml:space="preserve"> </w:t>
      </w:r>
      <w:bookmarkStart w:id="43" w:name="_ENREF_43"/>
      <w:r w:rsidRPr="009C6FAF">
        <w:rPr>
          <w:rFonts w:ascii="Arial" w:hAnsi="Arial" w:cs="Arial"/>
          <w:sz w:val="14"/>
          <w:szCs w:val="14"/>
          <w:lang w:val="en-US"/>
        </w:rPr>
        <w:t xml:space="preserve">b) Y. Tison, H. Martinez, I. Baraille, M. Loudet and D. Gonbeau, </w:t>
      </w:r>
      <w:r w:rsidR="001D40FE">
        <w:rPr>
          <w:rFonts w:ascii="Arial" w:hAnsi="Arial" w:cs="Arial"/>
          <w:i/>
          <w:sz w:val="14"/>
          <w:szCs w:val="14"/>
          <w:lang w:val="en-US"/>
        </w:rPr>
        <w:t>Surf. Sci.</w:t>
      </w:r>
      <w:r w:rsidRPr="009C6FAF">
        <w:rPr>
          <w:rFonts w:ascii="Arial" w:hAnsi="Arial" w:cs="Arial"/>
          <w:i/>
          <w:sz w:val="14"/>
          <w:szCs w:val="14"/>
          <w:lang w:val="en-US"/>
        </w:rPr>
        <w:t xml:space="preserve"> </w:t>
      </w:r>
      <w:r w:rsidRPr="009C6FAF">
        <w:rPr>
          <w:rFonts w:ascii="Arial" w:hAnsi="Arial" w:cs="Arial"/>
          <w:b/>
          <w:sz w:val="14"/>
          <w:szCs w:val="14"/>
          <w:lang w:val="en-US"/>
        </w:rPr>
        <w:t>2004</w:t>
      </w:r>
      <w:r w:rsidRPr="009C6FAF">
        <w:rPr>
          <w:rFonts w:ascii="Arial" w:hAnsi="Arial" w:cs="Arial"/>
          <w:sz w:val="14"/>
          <w:szCs w:val="14"/>
          <w:lang w:val="en-US"/>
        </w:rPr>
        <w:t xml:space="preserve">, </w:t>
      </w:r>
      <w:r w:rsidRPr="009C6FAF">
        <w:rPr>
          <w:rFonts w:ascii="Arial" w:hAnsi="Arial" w:cs="Arial"/>
          <w:i/>
          <w:sz w:val="14"/>
          <w:szCs w:val="14"/>
          <w:lang w:val="en-US"/>
        </w:rPr>
        <w:t>563</w:t>
      </w:r>
      <w:r w:rsidRPr="009C6FAF">
        <w:rPr>
          <w:rFonts w:ascii="Arial" w:hAnsi="Arial" w:cs="Arial"/>
          <w:sz w:val="14"/>
          <w:szCs w:val="14"/>
          <w:lang w:val="en-US"/>
        </w:rPr>
        <w:t>, 83-98.</w:t>
      </w:r>
      <w:bookmarkEnd w:id="43"/>
    </w:p>
    <w:p w14:paraId="63EAD0EC" w14:textId="77777777" w:rsidR="009C6FAF" w:rsidRPr="009C6FAF" w:rsidRDefault="009C6FAF" w:rsidP="009C6FAF">
      <w:pPr>
        <w:ind w:left="375" w:hanging="375"/>
        <w:rPr>
          <w:rFonts w:ascii="Arial" w:hAnsi="Arial" w:cs="Arial"/>
          <w:sz w:val="14"/>
          <w:szCs w:val="14"/>
          <w:lang w:val="en-US"/>
        </w:rPr>
      </w:pPr>
      <w:bookmarkStart w:id="44" w:name="_ENREF_44"/>
      <w:r w:rsidRPr="009C6FAF">
        <w:rPr>
          <w:rFonts w:ascii="Arial" w:hAnsi="Arial" w:cs="Arial"/>
          <w:sz w:val="14"/>
          <w:szCs w:val="14"/>
          <w:lang w:val="en-US"/>
        </w:rPr>
        <w:t xml:space="preserve">[22] </w:t>
      </w:r>
      <w:r>
        <w:rPr>
          <w:rFonts w:ascii="Arial" w:hAnsi="Arial" w:cs="Arial"/>
          <w:sz w:val="14"/>
          <w:szCs w:val="14"/>
          <w:lang w:val="en-US"/>
        </w:rPr>
        <w:tab/>
      </w:r>
      <w:r w:rsidRPr="009C6FAF">
        <w:rPr>
          <w:rFonts w:ascii="Arial" w:hAnsi="Arial" w:cs="Arial"/>
          <w:sz w:val="14"/>
          <w:szCs w:val="14"/>
          <w:lang w:val="en-US"/>
        </w:rPr>
        <w:t xml:space="preserve">G. R. Gruzalski and D. M. Zehner, </w:t>
      </w:r>
      <w:r w:rsidR="001D40FE">
        <w:rPr>
          <w:rFonts w:ascii="Arial" w:hAnsi="Arial" w:cs="Arial"/>
          <w:i/>
          <w:sz w:val="14"/>
          <w:szCs w:val="14"/>
          <w:lang w:val="en-US"/>
        </w:rPr>
        <w:t>Phys. Rev.</w:t>
      </w:r>
      <w:r w:rsidRPr="009C6FAF">
        <w:rPr>
          <w:rFonts w:ascii="Arial" w:hAnsi="Arial" w:cs="Arial"/>
          <w:i/>
          <w:sz w:val="14"/>
          <w:szCs w:val="14"/>
          <w:lang w:val="en-US"/>
        </w:rPr>
        <w:t xml:space="preserve"> B </w:t>
      </w:r>
      <w:r w:rsidRPr="009C6FAF">
        <w:rPr>
          <w:rFonts w:ascii="Arial" w:hAnsi="Arial" w:cs="Arial"/>
          <w:b/>
          <w:sz w:val="14"/>
          <w:szCs w:val="14"/>
          <w:lang w:val="en-US"/>
        </w:rPr>
        <w:t>1986</w:t>
      </w:r>
      <w:r w:rsidRPr="009C6FAF">
        <w:rPr>
          <w:rFonts w:ascii="Arial" w:hAnsi="Arial" w:cs="Arial"/>
          <w:sz w:val="14"/>
          <w:szCs w:val="14"/>
          <w:lang w:val="en-US"/>
        </w:rPr>
        <w:t xml:space="preserve">, </w:t>
      </w:r>
      <w:r w:rsidRPr="009C6FAF">
        <w:rPr>
          <w:rFonts w:ascii="Arial" w:hAnsi="Arial" w:cs="Arial"/>
          <w:i/>
          <w:sz w:val="14"/>
          <w:szCs w:val="14"/>
          <w:lang w:val="en-US"/>
        </w:rPr>
        <w:t>34</w:t>
      </w:r>
      <w:r w:rsidRPr="009C6FAF">
        <w:rPr>
          <w:rFonts w:ascii="Arial" w:hAnsi="Arial" w:cs="Arial"/>
          <w:sz w:val="14"/>
          <w:szCs w:val="14"/>
          <w:lang w:val="en-US"/>
        </w:rPr>
        <w:t>, 3841-3848.</w:t>
      </w:r>
      <w:bookmarkEnd w:id="44"/>
    </w:p>
    <w:p w14:paraId="425DE279" w14:textId="77777777" w:rsidR="009C6FAF" w:rsidRPr="009C6FAF" w:rsidRDefault="009C6FAF" w:rsidP="009C6FAF">
      <w:pPr>
        <w:ind w:left="375" w:hanging="375"/>
        <w:rPr>
          <w:rFonts w:ascii="Arial" w:hAnsi="Arial" w:cs="Arial"/>
          <w:sz w:val="14"/>
          <w:szCs w:val="14"/>
          <w:lang w:val="en-US"/>
        </w:rPr>
      </w:pPr>
      <w:bookmarkStart w:id="45" w:name="_ENREF_45"/>
      <w:r w:rsidRPr="009C6FAF">
        <w:rPr>
          <w:rFonts w:ascii="Arial" w:hAnsi="Arial" w:cs="Arial"/>
          <w:sz w:val="14"/>
          <w:szCs w:val="14"/>
          <w:lang w:val="en-US"/>
        </w:rPr>
        <w:t>[23]</w:t>
      </w:r>
      <w:r>
        <w:rPr>
          <w:rFonts w:ascii="Arial" w:hAnsi="Arial" w:cs="Arial"/>
          <w:sz w:val="14"/>
          <w:szCs w:val="14"/>
          <w:lang w:val="en-US"/>
        </w:rPr>
        <w:tab/>
      </w:r>
      <w:r w:rsidRPr="009C6FAF">
        <w:rPr>
          <w:rFonts w:ascii="Arial" w:hAnsi="Arial" w:cs="Arial"/>
          <w:sz w:val="14"/>
          <w:szCs w:val="14"/>
          <w:lang w:val="en-US"/>
        </w:rPr>
        <w:t xml:space="preserve"> M. Z. M. Nasir, Z. Sofer, A. Ambrosi and M. Pumera, </w:t>
      </w:r>
      <w:r w:rsidRPr="009C6FAF">
        <w:rPr>
          <w:rFonts w:ascii="Arial" w:hAnsi="Arial" w:cs="Arial"/>
          <w:i/>
          <w:sz w:val="14"/>
          <w:szCs w:val="14"/>
          <w:lang w:val="en-US"/>
        </w:rPr>
        <w:t xml:space="preserve">Nanoscale </w:t>
      </w:r>
      <w:r w:rsidRPr="009C6FAF">
        <w:rPr>
          <w:rFonts w:ascii="Arial" w:hAnsi="Arial" w:cs="Arial"/>
          <w:b/>
          <w:sz w:val="14"/>
          <w:szCs w:val="14"/>
          <w:lang w:val="en-US"/>
        </w:rPr>
        <w:t>2015</w:t>
      </w:r>
      <w:r w:rsidRPr="009C6FAF">
        <w:rPr>
          <w:rFonts w:ascii="Arial" w:hAnsi="Arial" w:cs="Arial"/>
          <w:sz w:val="14"/>
          <w:szCs w:val="14"/>
          <w:lang w:val="en-US"/>
        </w:rPr>
        <w:t xml:space="preserve">, </w:t>
      </w:r>
      <w:r w:rsidRPr="009C6FAF">
        <w:rPr>
          <w:rFonts w:ascii="Arial" w:hAnsi="Arial" w:cs="Arial"/>
          <w:i/>
          <w:sz w:val="14"/>
          <w:szCs w:val="14"/>
          <w:lang w:val="en-US"/>
        </w:rPr>
        <w:t>7</w:t>
      </w:r>
      <w:r w:rsidRPr="009C6FAF">
        <w:rPr>
          <w:rFonts w:ascii="Arial" w:hAnsi="Arial" w:cs="Arial"/>
          <w:sz w:val="14"/>
          <w:szCs w:val="14"/>
          <w:lang w:val="en-US"/>
        </w:rPr>
        <w:t>, 3126-3129.</w:t>
      </w:r>
      <w:bookmarkEnd w:id="45"/>
    </w:p>
    <w:p w14:paraId="26C615A6" w14:textId="77777777" w:rsidR="009C6FAF" w:rsidRPr="009C6FAF" w:rsidRDefault="009C6FAF" w:rsidP="009C6FAF">
      <w:pPr>
        <w:rPr>
          <w:rFonts w:ascii="Arial" w:hAnsi="Arial" w:cs="Arial"/>
          <w:sz w:val="14"/>
          <w:szCs w:val="14"/>
          <w:lang w:val="en-US"/>
        </w:rPr>
      </w:pPr>
      <w:bookmarkStart w:id="46" w:name="_ENREF_46"/>
      <w:r w:rsidRPr="009C6FAF">
        <w:rPr>
          <w:rFonts w:ascii="Arial" w:hAnsi="Arial" w:cs="Arial"/>
          <w:sz w:val="14"/>
          <w:szCs w:val="14"/>
          <w:lang w:val="en-US"/>
        </w:rPr>
        <w:t>[24]</w:t>
      </w:r>
      <w:r>
        <w:rPr>
          <w:rFonts w:ascii="Arial" w:hAnsi="Arial" w:cs="Arial"/>
          <w:sz w:val="14"/>
          <w:szCs w:val="14"/>
          <w:lang w:val="en-US"/>
        </w:rPr>
        <w:tab/>
      </w:r>
      <w:r w:rsidRPr="009C6FAF">
        <w:rPr>
          <w:rFonts w:ascii="Arial" w:hAnsi="Arial" w:cs="Arial"/>
          <w:sz w:val="14"/>
          <w:szCs w:val="14"/>
          <w:lang w:val="en-US"/>
        </w:rPr>
        <w:t xml:space="preserve"> W. Kautek and H. Gerischer, </w:t>
      </w:r>
      <w:r w:rsidR="001D40FE">
        <w:rPr>
          <w:rFonts w:ascii="Arial" w:hAnsi="Arial" w:cs="Arial"/>
          <w:i/>
          <w:sz w:val="14"/>
          <w:szCs w:val="14"/>
          <w:lang w:val="en-US"/>
        </w:rPr>
        <w:t>Surf. Sci.</w:t>
      </w:r>
      <w:r w:rsidRPr="009C6FAF">
        <w:rPr>
          <w:rFonts w:ascii="Arial" w:hAnsi="Arial" w:cs="Arial"/>
          <w:i/>
          <w:sz w:val="14"/>
          <w:szCs w:val="14"/>
          <w:lang w:val="en-US"/>
        </w:rPr>
        <w:t xml:space="preserve"> </w:t>
      </w:r>
      <w:r w:rsidRPr="009C6FAF">
        <w:rPr>
          <w:rFonts w:ascii="Arial" w:hAnsi="Arial" w:cs="Arial"/>
          <w:b/>
          <w:sz w:val="14"/>
          <w:szCs w:val="14"/>
          <w:lang w:val="en-US"/>
        </w:rPr>
        <w:t>1982</w:t>
      </w:r>
      <w:r w:rsidRPr="009C6FAF">
        <w:rPr>
          <w:rFonts w:ascii="Arial" w:hAnsi="Arial" w:cs="Arial"/>
          <w:sz w:val="14"/>
          <w:szCs w:val="14"/>
          <w:lang w:val="en-US"/>
        </w:rPr>
        <w:t xml:space="preserve">, </w:t>
      </w:r>
      <w:r w:rsidRPr="009C6FAF">
        <w:rPr>
          <w:rFonts w:ascii="Arial" w:hAnsi="Arial" w:cs="Arial"/>
          <w:i/>
          <w:sz w:val="14"/>
          <w:szCs w:val="14"/>
          <w:lang w:val="en-US"/>
        </w:rPr>
        <w:t>119</w:t>
      </w:r>
      <w:r w:rsidRPr="009C6FAF">
        <w:rPr>
          <w:rFonts w:ascii="Arial" w:hAnsi="Arial" w:cs="Arial"/>
          <w:sz w:val="14"/>
          <w:szCs w:val="14"/>
          <w:lang w:val="en-US"/>
        </w:rPr>
        <w:t>, 46-60.</w:t>
      </w:r>
      <w:bookmarkEnd w:id="46"/>
    </w:p>
    <w:p w14:paraId="1839450B" w14:textId="77777777" w:rsidR="009C6FAF" w:rsidRPr="009C6FAF" w:rsidRDefault="009C6FAF" w:rsidP="009C6FAF">
      <w:pPr>
        <w:ind w:left="425" w:hanging="425"/>
        <w:rPr>
          <w:rFonts w:ascii="Arial" w:hAnsi="Arial" w:cs="Arial"/>
          <w:sz w:val="14"/>
          <w:szCs w:val="14"/>
          <w:lang w:val="en-US"/>
        </w:rPr>
      </w:pPr>
      <w:bookmarkStart w:id="47" w:name="_ENREF_47"/>
      <w:r w:rsidRPr="009C6FAF">
        <w:rPr>
          <w:rFonts w:ascii="Arial" w:hAnsi="Arial" w:cs="Arial"/>
          <w:sz w:val="14"/>
          <w:szCs w:val="14"/>
          <w:lang w:val="en-US"/>
        </w:rPr>
        <w:t>[25]</w:t>
      </w:r>
      <w:r>
        <w:rPr>
          <w:rFonts w:ascii="Arial" w:hAnsi="Arial" w:cs="Arial"/>
          <w:sz w:val="14"/>
          <w:szCs w:val="14"/>
          <w:lang w:val="en-US"/>
        </w:rPr>
        <w:tab/>
      </w:r>
      <w:r w:rsidRPr="009C6FAF">
        <w:rPr>
          <w:rFonts w:ascii="Arial" w:hAnsi="Arial" w:cs="Arial"/>
          <w:sz w:val="14"/>
          <w:szCs w:val="14"/>
          <w:lang w:val="en-US"/>
        </w:rPr>
        <w:t xml:space="preserve"> C. Punckt, M. A. Pope, Y. M. Liu and I. A. Aksay, </w:t>
      </w:r>
      <w:r w:rsidRPr="009C6FAF">
        <w:rPr>
          <w:rFonts w:ascii="Arial" w:hAnsi="Arial" w:cs="Arial"/>
          <w:i/>
          <w:sz w:val="14"/>
          <w:szCs w:val="14"/>
          <w:lang w:val="en-US"/>
        </w:rPr>
        <w:t>J</w:t>
      </w:r>
      <w:r w:rsidR="001D40FE">
        <w:rPr>
          <w:rFonts w:ascii="Arial" w:hAnsi="Arial" w:cs="Arial"/>
          <w:i/>
          <w:sz w:val="14"/>
          <w:szCs w:val="14"/>
          <w:lang w:val="en-US"/>
        </w:rPr>
        <w:t>. Electrochem. Soc.</w:t>
      </w:r>
      <w:r w:rsidRPr="009C6FAF">
        <w:rPr>
          <w:rFonts w:ascii="Arial" w:hAnsi="Arial" w:cs="Arial"/>
          <w:i/>
          <w:sz w:val="14"/>
          <w:szCs w:val="14"/>
          <w:lang w:val="en-US"/>
        </w:rPr>
        <w:t xml:space="preserve"> </w:t>
      </w:r>
      <w:r w:rsidRPr="009C6FAF">
        <w:rPr>
          <w:rFonts w:ascii="Arial" w:hAnsi="Arial" w:cs="Arial"/>
          <w:b/>
          <w:sz w:val="14"/>
          <w:szCs w:val="14"/>
          <w:lang w:val="en-US"/>
        </w:rPr>
        <w:t>2016</w:t>
      </w:r>
      <w:r w:rsidRPr="009C6FAF">
        <w:rPr>
          <w:rFonts w:ascii="Arial" w:hAnsi="Arial" w:cs="Arial"/>
          <w:sz w:val="14"/>
          <w:szCs w:val="14"/>
          <w:lang w:val="en-US"/>
        </w:rPr>
        <w:t xml:space="preserve">, </w:t>
      </w:r>
      <w:r w:rsidRPr="009C6FAF">
        <w:rPr>
          <w:rFonts w:ascii="Arial" w:hAnsi="Arial" w:cs="Arial"/>
          <w:i/>
          <w:sz w:val="14"/>
          <w:szCs w:val="14"/>
          <w:lang w:val="en-US"/>
        </w:rPr>
        <w:t>163</w:t>
      </w:r>
      <w:r w:rsidRPr="009C6FAF">
        <w:rPr>
          <w:rFonts w:ascii="Arial" w:hAnsi="Arial" w:cs="Arial"/>
          <w:sz w:val="14"/>
          <w:szCs w:val="14"/>
          <w:lang w:val="en-US"/>
        </w:rPr>
        <w:t>, H491-H498.</w:t>
      </w:r>
      <w:bookmarkEnd w:id="47"/>
    </w:p>
    <w:p w14:paraId="681A7243" w14:textId="77777777" w:rsidR="009C6FAF" w:rsidRPr="009C6FAF" w:rsidRDefault="009C6FAF" w:rsidP="009C6FAF">
      <w:pPr>
        <w:rPr>
          <w:rFonts w:ascii="Arial" w:hAnsi="Arial" w:cs="Arial"/>
          <w:sz w:val="14"/>
          <w:szCs w:val="14"/>
          <w:lang w:val="en-US"/>
        </w:rPr>
      </w:pPr>
      <w:bookmarkStart w:id="48" w:name="_ENREF_48"/>
      <w:r w:rsidRPr="009C6FAF">
        <w:rPr>
          <w:rFonts w:ascii="Arial" w:hAnsi="Arial" w:cs="Arial"/>
          <w:sz w:val="14"/>
          <w:szCs w:val="14"/>
          <w:lang w:val="en-US"/>
        </w:rPr>
        <w:t xml:space="preserve">[26] </w:t>
      </w:r>
      <w:r>
        <w:rPr>
          <w:rFonts w:ascii="Arial" w:hAnsi="Arial" w:cs="Arial"/>
          <w:sz w:val="14"/>
          <w:szCs w:val="14"/>
          <w:lang w:val="en-US"/>
        </w:rPr>
        <w:tab/>
      </w:r>
      <w:r w:rsidRPr="009C6FAF">
        <w:rPr>
          <w:rFonts w:ascii="Arial" w:hAnsi="Arial" w:cs="Arial"/>
          <w:sz w:val="14"/>
          <w:szCs w:val="14"/>
          <w:lang w:val="en-US"/>
        </w:rPr>
        <w:t xml:space="preserve">R. S. Nicholson, </w:t>
      </w:r>
      <w:r w:rsidR="001D40FE">
        <w:rPr>
          <w:rFonts w:ascii="Arial" w:hAnsi="Arial" w:cs="Arial"/>
          <w:i/>
          <w:sz w:val="14"/>
          <w:szCs w:val="14"/>
          <w:lang w:val="en-US"/>
        </w:rPr>
        <w:t>Anal. Chem.</w:t>
      </w:r>
      <w:r w:rsidRPr="009C6FAF">
        <w:rPr>
          <w:rFonts w:ascii="Arial" w:hAnsi="Arial" w:cs="Arial"/>
          <w:i/>
          <w:sz w:val="14"/>
          <w:szCs w:val="14"/>
          <w:lang w:val="en-US"/>
        </w:rPr>
        <w:t xml:space="preserve"> </w:t>
      </w:r>
      <w:r w:rsidRPr="009C6FAF">
        <w:rPr>
          <w:rFonts w:ascii="Arial" w:hAnsi="Arial" w:cs="Arial"/>
          <w:b/>
          <w:sz w:val="14"/>
          <w:szCs w:val="14"/>
          <w:lang w:val="en-US"/>
        </w:rPr>
        <w:t>1965</w:t>
      </w:r>
      <w:r w:rsidRPr="009C6FAF">
        <w:rPr>
          <w:rFonts w:ascii="Arial" w:hAnsi="Arial" w:cs="Arial"/>
          <w:sz w:val="14"/>
          <w:szCs w:val="14"/>
          <w:lang w:val="en-US"/>
        </w:rPr>
        <w:t xml:space="preserve">, </w:t>
      </w:r>
      <w:r w:rsidRPr="009C6FAF">
        <w:rPr>
          <w:rFonts w:ascii="Arial" w:hAnsi="Arial" w:cs="Arial"/>
          <w:i/>
          <w:sz w:val="14"/>
          <w:szCs w:val="14"/>
          <w:lang w:val="en-US"/>
        </w:rPr>
        <w:t>37</w:t>
      </w:r>
      <w:r w:rsidRPr="009C6FAF">
        <w:rPr>
          <w:rFonts w:ascii="Arial" w:hAnsi="Arial" w:cs="Arial"/>
          <w:sz w:val="14"/>
          <w:szCs w:val="14"/>
          <w:lang w:val="en-US"/>
        </w:rPr>
        <w:t>, 1351-1355.</w:t>
      </w:r>
      <w:bookmarkEnd w:id="48"/>
    </w:p>
    <w:p w14:paraId="599E682E" w14:textId="77777777" w:rsidR="009C6FAF" w:rsidRPr="009C6FAF" w:rsidRDefault="009C6FAF" w:rsidP="009C6FAF">
      <w:pPr>
        <w:ind w:left="425" w:hanging="425"/>
        <w:rPr>
          <w:rFonts w:ascii="Arial" w:hAnsi="Arial" w:cs="Arial"/>
          <w:sz w:val="14"/>
          <w:szCs w:val="14"/>
          <w:lang w:val="en-US"/>
        </w:rPr>
      </w:pPr>
      <w:bookmarkStart w:id="49" w:name="_ENREF_49"/>
      <w:r w:rsidRPr="009C6FAF">
        <w:rPr>
          <w:rFonts w:ascii="Arial" w:hAnsi="Arial" w:cs="Arial"/>
          <w:sz w:val="14"/>
          <w:szCs w:val="14"/>
          <w:lang w:val="en-US"/>
        </w:rPr>
        <w:t>[27]</w:t>
      </w:r>
      <w:r>
        <w:rPr>
          <w:rFonts w:ascii="Arial" w:hAnsi="Arial" w:cs="Arial"/>
          <w:sz w:val="14"/>
          <w:szCs w:val="14"/>
          <w:lang w:val="en-US"/>
        </w:rPr>
        <w:tab/>
      </w:r>
      <w:r w:rsidRPr="009C6FAF">
        <w:rPr>
          <w:rFonts w:ascii="Arial" w:hAnsi="Arial" w:cs="Arial"/>
          <w:sz w:val="14"/>
          <w:szCs w:val="14"/>
          <w:lang w:val="en-US"/>
        </w:rPr>
        <w:t xml:space="preserve"> C. Tsai, K. R. Chan, J. K. Norskov and F. Abild-Pedersen, </w:t>
      </w:r>
      <w:r w:rsidR="001D40FE">
        <w:rPr>
          <w:rFonts w:ascii="Arial" w:hAnsi="Arial" w:cs="Arial"/>
          <w:i/>
          <w:sz w:val="14"/>
          <w:szCs w:val="14"/>
          <w:lang w:val="en-US"/>
        </w:rPr>
        <w:t>Surf. Sci.</w:t>
      </w:r>
      <w:r w:rsidRPr="009C6FAF">
        <w:rPr>
          <w:rFonts w:ascii="Arial" w:hAnsi="Arial" w:cs="Arial"/>
          <w:i/>
          <w:sz w:val="14"/>
          <w:szCs w:val="14"/>
          <w:lang w:val="en-US"/>
        </w:rPr>
        <w:t xml:space="preserve"> </w:t>
      </w:r>
      <w:r w:rsidRPr="009C6FAF">
        <w:rPr>
          <w:rFonts w:ascii="Arial" w:hAnsi="Arial" w:cs="Arial"/>
          <w:b/>
          <w:sz w:val="14"/>
          <w:szCs w:val="14"/>
          <w:lang w:val="en-US"/>
        </w:rPr>
        <w:t>2015</w:t>
      </w:r>
      <w:r w:rsidRPr="009C6FAF">
        <w:rPr>
          <w:rFonts w:ascii="Arial" w:hAnsi="Arial" w:cs="Arial"/>
          <w:sz w:val="14"/>
          <w:szCs w:val="14"/>
          <w:lang w:val="en-US"/>
        </w:rPr>
        <w:t xml:space="preserve">, </w:t>
      </w:r>
      <w:r w:rsidRPr="009C6FAF">
        <w:rPr>
          <w:rFonts w:ascii="Arial" w:hAnsi="Arial" w:cs="Arial"/>
          <w:i/>
          <w:sz w:val="14"/>
          <w:szCs w:val="14"/>
          <w:lang w:val="en-US"/>
        </w:rPr>
        <w:t>640</w:t>
      </w:r>
      <w:r w:rsidRPr="009C6FAF">
        <w:rPr>
          <w:rFonts w:ascii="Arial" w:hAnsi="Arial" w:cs="Arial"/>
          <w:sz w:val="14"/>
          <w:szCs w:val="14"/>
          <w:lang w:val="en-US"/>
        </w:rPr>
        <w:t>, 133-140.</w:t>
      </w:r>
      <w:bookmarkEnd w:id="49"/>
    </w:p>
    <w:p w14:paraId="2D0F7F82" w14:textId="77777777" w:rsidR="009C6FAF" w:rsidRPr="009C6FAF" w:rsidRDefault="009C6FAF" w:rsidP="009C6FAF">
      <w:pPr>
        <w:ind w:left="425" w:hanging="425"/>
        <w:rPr>
          <w:rFonts w:ascii="Arial" w:hAnsi="Arial" w:cs="Arial"/>
          <w:sz w:val="14"/>
          <w:szCs w:val="14"/>
          <w:lang w:val="en-US"/>
        </w:rPr>
      </w:pPr>
      <w:bookmarkStart w:id="50" w:name="_ENREF_50"/>
      <w:r w:rsidRPr="009C6FAF">
        <w:rPr>
          <w:rFonts w:ascii="Arial" w:hAnsi="Arial" w:cs="Arial"/>
          <w:sz w:val="14"/>
          <w:szCs w:val="14"/>
          <w:lang w:val="en-US"/>
        </w:rPr>
        <w:t>[28]</w:t>
      </w:r>
      <w:r>
        <w:rPr>
          <w:rFonts w:ascii="Arial" w:hAnsi="Arial" w:cs="Arial"/>
          <w:sz w:val="14"/>
          <w:szCs w:val="14"/>
          <w:lang w:val="en-US"/>
        </w:rPr>
        <w:tab/>
      </w:r>
      <w:r w:rsidRPr="009C6FAF">
        <w:rPr>
          <w:rFonts w:ascii="Arial" w:hAnsi="Arial" w:cs="Arial"/>
          <w:sz w:val="14"/>
          <w:szCs w:val="14"/>
          <w:lang w:val="en-US"/>
        </w:rPr>
        <w:t xml:space="preserve"> P. Raybaud, J. Hafner, G. Kresse, S. Kasztelan and H. Toulhoat, </w:t>
      </w:r>
      <w:r w:rsidR="001D40FE">
        <w:rPr>
          <w:rFonts w:ascii="Arial" w:hAnsi="Arial" w:cs="Arial"/>
          <w:i/>
          <w:sz w:val="14"/>
          <w:szCs w:val="14"/>
          <w:lang w:val="en-US"/>
        </w:rPr>
        <w:t>J. Catal.</w:t>
      </w:r>
      <w:r w:rsidRPr="009C6FAF">
        <w:rPr>
          <w:rFonts w:ascii="Arial" w:hAnsi="Arial" w:cs="Arial"/>
          <w:i/>
          <w:sz w:val="14"/>
          <w:szCs w:val="14"/>
          <w:lang w:val="en-US"/>
        </w:rPr>
        <w:t xml:space="preserve"> </w:t>
      </w:r>
      <w:r w:rsidRPr="009C6FAF">
        <w:rPr>
          <w:rFonts w:ascii="Arial" w:hAnsi="Arial" w:cs="Arial"/>
          <w:b/>
          <w:sz w:val="14"/>
          <w:szCs w:val="14"/>
          <w:lang w:val="en-US"/>
        </w:rPr>
        <w:t>2000</w:t>
      </w:r>
      <w:r w:rsidRPr="009C6FAF">
        <w:rPr>
          <w:rFonts w:ascii="Arial" w:hAnsi="Arial" w:cs="Arial"/>
          <w:sz w:val="14"/>
          <w:szCs w:val="14"/>
          <w:lang w:val="en-US"/>
        </w:rPr>
        <w:t xml:space="preserve">, </w:t>
      </w:r>
      <w:r w:rsidRPr="009C6FAF">
        <w:rPr>
          <w:rFonts w:ascii="Arial" w:hAnsi="Arial" w:cs="Arial"/>
          <w:i/>
          <w:sz w:val="14"/>
          <w:szCs w:val="14"/>
          <w:lang w:val="en-US"/>
        </w:rPr>
        <w:t>189</w:t>
      </w:r>
      <w:r w:rsidRPr="009C6FAF">
        <w:rPr>
          <w:rFonts w:ascii="Arial" w:hAnsi="Arial" w:cs="Arial"/>
          <w:sz w:val="14"/>
          <w:szCs w:val="14"/>
          <w:lang w:val="en-US"/>
        </w:rPr>
        <w:t>, 129-146.</w:t>
      </w:r>
      <w:bookmarkEnd w:id="50"/>
    </w:p>
    <w:p w14:paraId="469B6D0D" w14:textId="77777777" w:rsidR="009C6FAF" w:rsidRPr="009C6FAF" w:rsidRDefault="009C6FAF" w:rsidP="009C6FAF">
      <w:pPr>
        <w:ind w:left="420" w:hanging="420"/>
        <w:rPr>
          <w:rFonts w:ascii="Arial" w:hAnsi="Arial" w:cs="Arial"/>
          <w:sz w:val="14"/>
          <w:szCs w:val="14"/>
          <w:lang w:val="en-US"/>
        </w:rPr>
      </w:pPr>
      <w:bookmarkStart w:id="51" w:name="_ENREF_51"/>
      <w:r w:rsidRPr="009C6FAF">
        <w:rPr>
          <w:rFonts w:ascii="Arial" w:hAnsi="Arial" w:cs="Arial"/>
          <w:sz w:val="14"/>
          <w:szCs w:val="14"/>
          <w:lang w:val="en-US"/>
        </w:rPr>
        <w:t xml:space="preserve">[29] </w:t>
      </w:r>
      <w:r>
        <w:rPr>
          <w:rFonts w:ascii="Arial" w:hAnsi="Arial" w:cs="Arial"/>
          <w:sz w:val="14"/>
          <w:szCs w:val="14"/>
          <w:lang w:val="en-US"/>
        </w:rPr>
        <w:tab/>
      </w:r>
      <w:r w:rsidRPr="009C6FAF">
        <w:rPr>
          <w:rFonts w:ascii="Arial" w:hAnsi="Arial" w:cs="Arial"/>
          <w:sz w:val="14"/>
          <w:szCs w:val="14"/>
          <w:lang w:val="en-US"/>
        </w:rPr>
        <w:t xml:space="preserve">Y. F. Huang, R. J. Nielsen, W. A. Goddard and M. P. Soriaga, </w:t>
      </w:r>
      <w:r w:rsidR="001D40FE" w:rsidRPr="001D40FE">
        <w:rPr>
          <w:rFonts w:ascii="Arial" w:hAnsi="Arial" w:cs="Arial"/>
          <w:i/>
          <w:sz w:val="14"/>
          <w:szCs w:val="14"/>
          <w:lang w:val="en-US"/>
        </w:rPr>
        <w:t>J. Am. Chem. Soc.</w:t>
      </w:r>
      <w:r w:rsidRPr="009C6FAF">
        <w:rPr>
          <w:rFonts w:ascii="Arial" w:hAnsi="Arial" w:cs="Arial"/>
          <w:i/>
          <w:sz w:val="14"/>
          <w:szCs w:val="14"/>
          <w:lang w:val="en-US"/>
        </w:rPr>
        <w:t xml:space="preserve"> </w:t>
      </w:r>
      <w:r w:rsidRPr="009C6FAF">
        <w:rPr>
          <w:rFonts w:ascii="Arial" w:hAnsi="Arial" w:cs="Arial"/>
          <w:b/>
          <w:sz w:val="14"/>
          <w:szCs w:val="14"/>
          <w:lang w:val="en-US"/>
        </w:rPr>
        <w:t>2015</w:t>
      </w:r>
      <w:r w:rsidRPr="009C6FAF">
        <w:rPr>
          <w:rFonts w:ascii="Arial" w:hAnsi="Arial" w:cs="Arial"/>
          <w:sz w:val="14"/>
          <w:szCs w:val="14"/>
          <w:lang w:val="en-US"/>
        </w:rPr>
        <w:t xml:space="preserve">, </w:t>
      </w:r>
      <w:r w:rsidRPr="009C6FAF">
        <w:rPr>
          <w:rFonts w:ascii="Arial" w:hAnsi="Arial" w:cs="Arial"/>
          <w:i/>
          <w:sz w:val="14"/>
          <w:szCs w:val="14"/>
          <w:lang w:val="en-US"/>
        </w:rPr>
        <w:t>137</w:t>
      </w:r>
      <w:r w:rsidRPr="009C6FAF">
        <w:rPr>
          <w:rFonts w:ascii="Arial" w:hAnsi="Arial" w:cs="Arial"/>
          <w:sz w:val="14"/>
          <w:szCs w:val="14"/>
          <w:lang w:val="en-US"/>
        </w:rPr>
        <w:t>, 6692-6698.</w:t>
      </w:r>
      <w:bookmarkEnd w:id="51"/>
    </w:p>
    <w:p w14:paraId="53B368DC" w14:textId="77777777" w:rsidR="009C6FAF" w:rsidRDefault="009C6FAF" w:rsidP="001D40FE">
      <w:pPr>
        <w:ind w:left="420" w:hanging="420"/>
        <w:rPr>
          <w:rFonts w:ascii="Arial" w:hAnsi="Arial" w:cs="Arial"/>
          <w:sz w:val="14"/>
          <w:szCs w:val="14"/>
          <w:lang w:val="en-US"/>
        </w:rPr>
      </w:pPr>
      <w:bookmarkStart w:id="52" w:name="_ENREF_52"/>
      <w:r w:rsidRPr="009C6FAF">
        <w:rPr>
          <w:rFonts w:ascii="Arial" w:hAnsi="Arial" w:cs="Arial"/>
          <w:sz w:val="14"/>
          <w:szCs w:val="14"/>
          <w:lang w:val="en-US"/>
        </w:rPr>
        <w:t>[30]</w:t>
      </w:r>
      <w:r>
        <w:rPr>
          <w:rFonts w:ascii="Arial" w:hAnsi="Arial" w:cs="Arial"/>
          <w:sz w:val="14"/>
          <w:szCs w:val="14"/>
          <w:lang w:val="en-US"/>
        </w:rPr>
        <w:tab/>
      </w:r>
      <w:r w:rsidRPr="009C6FAF">
        <w:rPr>
          <w:rFonts w:ascii="Arial" w:hAnsi="Arial" w:cs="Arial"/>
          <w:sz w:val="14"/>
          <w:szCs w:val="14"/>
          <w:lang w:val="en-US"/>
        </w:rPr>
        <w:t xml:space="preserve"> </w:t>
      </w:r>
      <w:proofErr w:type="gramStart"/>
      <w:r w:rsidRPr="009C6FAF">
        <w:rPr>
          <w:rFonts w:ascii="Arial" w:hAnsi="Arial" w:cs="Arial"/>
          <w:sz w:val="14"/>
          <w:szCs w:val="14"/>
          <w:lang w:val="en-US"/>
        </w:rPr>
        <w:t>a</w:t>
      </w:r>
      <w:proofErr w:type="gramEnd"/>
      <w:r w:rsidRPr="009C6FAF">
        <w:rPr>
          <w:rFonts w:ascii="Arial" w:hAnsi="Arial" w:cs="Arial"/>
          <w:sz w:val="14"/>
          <w:szCs w:val="14"/>
          <w:lang w:val="en-US"/>
        </w:rPr>
        <w:t xml:space="preserve">) J. G. N. Thomas, </w:t>
      </w:r>
      <w:r w:rsidR="001D40FE">
        <w:rPr>
          <w:rFonts w:ascii="Arial" w:hAnsi="Arial" w:cs="Arial"/>
          <w:i/>
          <w:sz w:val="14"/>
          <w:szCs w:val="14"/>
          <w:lang w:val="en-US"/>
        </w:rPr>
        <w:t>Trans. Farad. Soc.</w:t>
      </w:r>
      <w:r w:rsidRPr="009C6FAF">
        <w:rPr>
          <w:rFonts w:ascii="Arial" w:hAnsi="Arial" w:cs="Arial"/>
          <w:i/>
          <w:sz w:val="14"/>
          <w:szCs w:val="14"/>
          <w:lang w:val="en-US"/>
        </w:rPr>
        <w:t xml:space="preserve"> </w:t>
      </w:r>
      <w:r w:rsidRPr="009C6FAF">
        <w:rPr>
          <w:rFonts w:ascii="Arial" w:hAnsi="Arial" w:cs="Arial"/>
          <w:b/>
          <w:sz w:val="14"/>
          <w:szCs w:val="14"/>
          <w:lang w:val="en-US"/>
        </w:rPr>
        <w:t>1961</w:t>
      </w:r>
      <w:r w:rsidRPr="009C6FAF">
        <w:rPr>
          <w:rFonts w:ascii="Arial" w:hAnsi="Arial" w:cs="Arial"/>
          <w:sz w:val="14"/>
          <w:szCs w:val="14"/>
          <w:lang w:val="en-US"/>
        </w:rPr>
        <w:t xml:space="preserve">, </w:t>
      </w:r>
      <w:r w:rsidRPr="009C6FAF">
        <w:rPr>
          <w:rFonts w:ascii="Arial" w:hAnsi="Arial" w:cs="Arial"/>
          <w:i/>
          <w:sz w:val="14"/>
          <w:szCs w:val="14"/>
          <w:lang w:val="en-US"/>
        </w:rPr>
        <w:t>57</w:t>
      </w:r>
      <w:r w:rsidRPr="009C6FAF">
        <w:rPr>
          <w:rFonts w:ascii="Arial" w:hAnsi="Arial" w:cs="Arial"/>
          <w:sz w:val="14"/>
          <w:szCs w:val="14"/>
          <w:lang w:val="en-US"/>
        </w:rPr>
        <w:t>, 1603-1611;</w:t>
      </w:r>
      <w:bookmarkEnd w:id="52"/>
      <w:r w:rsidRPr="009C6FAF">
        <w:rPr>
          <w:rFonts w:ascii="Arial" w:hAnsi="Arial" w:cs="Arial"/>
          <w:sz w:val="14"/>
          <w:szCs w:val="14"/>
          <w:lang w:val="en-US"/>
        </w:rPr>
        <w:t xml:space="preserve"> </w:t>
      </w:r>
      <w:bookmarkStart w:id="53" w:name="_ENREF_53"/>
      <w:r w:rsidRPr="009C6FAF">
        <w:rPr>
          <w:rFonts w:ascii="Arial" w:hAnsi="Arial" w:cs="Arial"/>
          <w:sz w:val="14"/>
          <w:szCs w:val="14"/>
          <w:lang w:val="en-US"/>
        </w:rPr>
        <w:t xml:space="preserve">b) J. O. M. Bockris and E. C. Potter, </w:t>
      </w:r>
      <w:r w:rsidR="001D40FE">
        <w:rPr>
          <w:rFonts w:ascii="Arial" w:hAnsi="Arial" w:cs="Arial"/>
          <w:i/>
          <w:sz w:val="14"/>
          <w:szCs w:val="14"/>
          <w:lang w:val="en-US"/>
        </w:rPr>
        <w:t xml:space="preserve">J. </w:t>
      </w:r>
      <w:r>
        <w:rPr>
          <w:rFonts w:ascii="Arial" w:hAnsi="Arial" w:cs="Arial"/>
          <w:i/>
          <w:sz w:val="14"/>
          <w:szCs w:val="14"/>
          <w:lang w:val="en-US"/>
        </w:rPr>
        <w:t>E</w:t>
      </w:r>
      <w:r w:rsidR="001D40FE">
        <w:rPr>
          <w:rFonts w:ascii="Arial" w:hAnsi="Arial" w:cs="Arial"/>
          <w:i/>
          <w:sz w:val="14"/>
          <w:szCs w:val="14"/>
          <w:lang w:val="en-US"/>
        </w:rPr>
        <w:t>lectrochem. Soc.</w:t>
      </w:r>
      <w:r w:rsidRPr="009C6FAF">
        <w:rPr>
          <w:rFonts w:ascii="Arial" w:hAnsi="Arial" w:cs="Arial"/>
          <w:i/>
          <w:sz w:val="14"/>
          <w:szCs w:val="14"/>
          <w:lang w:val="en-US"/>
        </w:rPr>
        <w:t xml:space="preserve"> </w:t>
      </w:r>
      <w:r w:rsidRPr="009C6FAF">
        <w:rPr>
          <w:rFonts w:ascii="Arial" w:hAnsi="Arial" w:cs="Arial"/>
          <w:b/>
          <w:sz w:val="14"/>
          <w:szCs w:val="14"/>
          <w:lang w:val="en-US"/>
        </w:rPr>
        <w:t>1952</w:t>
      </w:r>
      <w:r w:rsidRPr="009C6FAF">
        <w:rPr>
          <w:rFonts w:ascii="Arial" w:hAnsi="Arial" w:cs="Arial"/>
          <w:sz w:val="14"/>
          <w:szCs w:val="14"/>
          <w:lang w:val="en-US"/>
        </w:rPr>
        <w:t xml:space="preserve">, </w:t>
      </w:r>
      <w:r w:rsidRPr="009C6FAF">
        <w:rPr>
          <w:rFonts w:ascii="Arial" w:hAnsi="Arial" w:cs="Arial"/>
          <w:i/>
          <w:sz w:val="14"/>
          <w:szCs w:val="14"/>
          <w:lang w:val="en-US"/>
        </w:rPr>
        <w:t>99</w:t>
      </w:r>
      <w:r w:rsidRPr="009C6FAF">
        <w:rPr>
          <w:rFonts w:ascii="Arial" w:hAnsi="Arial" w:cs="Arial"/>
          <w:sz w:val="14"/>
          <w:szCs w:val="14"/>
          <w:lang w:val="en-US"/>
        </w:rPr>
        <w:t>, 169-186.</w:t>
      </w:r>
      <w:bookmarkStart w:id="54" w:name="_ENREF_54"/>
      <w:bookmarkEnd w:id="53"/>
      <w:r w:rsidRPr="009C6FAF">
        <w:rPr>
          <w:rFonts w:ascii="Arial" w:hAnsi="Arial" w:cs="Arial"/>
          <w:sz w:val="14"/>
          <w:szCs w:val="14"/>
          <w:lang w:val="en-US"/>
        </w:rPr>
        <w:t xml:space="preserve"> </w:t>
      </w:r>
    </w:p>
    <w:p w14:paraId="24CA914C" w14:textId="77777777" w:rsidR="009C6FAF" w:rsidRPr="009C6FAF" w:rsidRDefault="009C6FAF" w:rsidP="009C6FAF">
      <w:pPr>
        <w:ind w:left="420" w:hanging="420"/>
        <w:rPr>
          <w:rFonts w:ascii="Arial" w:hAnsi="Arial" w:cs="Arial"/>
          <w:sz w:val="14"/>
          <w:szCs w:val="14"/>
          <w:lang w:val="en-US"/>
        </w:rPr>
      </w:pPr>
      <w:r w:rsidRPr="009C6FAF">
        <w:rPr>
          <w:rFonts w:ascii="Arial" w:hAnsi="Arial" w:cs="Arial"/>
          <w:sz w:val="14"/>
          <w:szCs w:val="14"/>
          <w:lang w:val="en-US"/>
        </w:rPr>
        <w:t>[31]</w:t>
      </w:r>
      <w:r>
        <w:rPr>
          <w:rFonts w:ascii="Arial" w:hAnsi="Arial" w:cs="Arial"/>
          <w:sz w:val="14"/>
          <w:szCs w:val="14"/>
          <w:lang w:val="en-US"/>
        </w:rPr>
        <w:tab/>
      </w:r>
      <w:r w:rsidRPr="009C6FAF">
        <w:rPr>
          <w:rFonts w:ascii="Arial" w:hAnsi="Arial" w:cs="Arial"/>
          <w:sz w:val="14"/>
          <w:szCs w:val="14"/>
          <w:lang w:val="en-US"/>
        </w:rPr>
        <w:t xml:space="preserve">Z. Awaludin, T. Okajima and T. Ohsaka, </w:t>
      </w:r>
      <w:r w:rsidR="001D40FE" w:rsidRPr="001D40FE">
        <w:rPr>
          <w:rFonts w:ascii="Arial" w:hAnsi="Arial" w:cs="Arial"/>
          <w:i/>
          <w:sz w:val="14"/>
          <w:szCs w:val="14"/>
          <w:lang w:val="en-US"/>
        </w:rPr>
        <w:t>J</w:t>
      </w:r>
      <w:r w:rsidR="001D40FE">
        <w:rPr>
          <w:rFonts w:ascii="Arial" w:hAnsi="Arial" w:cs="Arial"/>
          <w:i/>
          <w:sz w:val="14"/>
          <w:szCs w:val="14"/>
          <w:lang w:val="en-US"/>
        </w:rPr>
        <w:t>.</w:t>
      </w:r>
      <w:r w:rsidRPr="009C6FAF">
        <w:rPr>
          <w:rFonts w:ascii="Arial" w:hAnsi="Arial" w:cs="Arial"/>
          <w:i/>
          <w:sz w:val="14"/>
          <w:szCs w:val="14"/>
          <w:lang w:val="en-US"/>
        </w:rPr>
        <w:t xml:space="preserve"> Power Sources </w:t>
      </w:r>
      <w:r w:rsidRPr="009C6FAF">
        <w:rPr>
          <w:rFonts w:ascii="Arial" w:hAnsi="Arial" w:cs="Arial"/>
          <w:b/>
          <w:sz w:val="14"/>
          <w:szCs w:val="14"/>
          <w:lang w:val="en-US"/>
        </w:rPr>
        <w:t>2014</w:t>
      </w:r>
      <w:r w:rsidRPr="009C6FAF">
        <w:rPr>
          <w:rFonts w:ascii="Arial" w:hAnsi="Arial" w:cs="Arial"/>
          <w:sz w:val="14"/>
          <w:szCs w:val="14"/>
          <w:lang w:val="en-US"/>
        </w:rPr>
        <w:t xml:space="preserve">, </w:t>
      </w:r>
      <w:r w:rsidRPr="009C6FAF">
        <w:rPr>
          <w:rFonts w:ascii="Arial" w:hAnsi="Arial" w:cs="Arial"/>
          <w:i/>
          <w:sz w:val="14"/>
          <w:szCs w:val="14"/>
          <w:lang w:val="en-US"/>
        </w:rPr>
        <w:t>268</w:t>
      </w:r>
      <w:r w:rsidRPr="009C6FAF">
        <w:rPr>
          <w:rFonts w:ascii="Arial" w:hAnsi="Arial" w:cs="Arial"/>
          <w:sz w:val="14"/>
          <w:szCs w:val="14"/>
          <w:lang w:val="en-US"/>
        </w:rPr>
        <w:t>, 728-732.</w:t>
      </w:r>
      <w:bookmarkEnd w:id="54"/>
    </w:p>
    <w:p w14:paraId="0A34CE21" w14:textId="77777777" w:rsidR="009C6FAF" w:rsidRPr="009C6FAF" w:rsidRDefault="009C6FAF" w:rsidP="009C6FAF">
      <w:pPr>
        <w:ind w:left="420" w:hanging="420"/>
        <w:rPr>
          <w:rFonts w:ascii="Arial" w:hAnsi="Arial" w:cs="Arial"/>
          <w:sz w:val="14"/>
          <w:szCs w:val="14"/>
          <w:lang w:val="en-US"/>
        </w:rPr>
      </w:pPr>
    </w:p>
    <w:p w14:paraId="26D48056" w14:textId="77777777" w:rsidR="009C6FAF" w:rsidRPr="009C6FAF" w:rsidRDefault="009C6FAF" w:rsidP="009C6FAF">
      <w:pPr>
        <w:rPr>
          <w:rFonts w:ascii="Arial" w:hAnsi="Arial" w:cs="Arial"/>
          <w:sz w:val="14"/>
          <w:szCs w:val="14"/>
          <w:lang w:val="en-US"/>
        </w:rPr>
      </w:pPr>
    </w:p>
    <w:p w14:paraId="414C2D7F" w14:textId="77777777" w:rsidR="009C6FAF" w:rsidRPr="006722A0" w:rsidRDefault="009C6FAF" w:rsidP="00773C4B">
      <w:pPr>
        <w:rPr>
          <w:lang w:val="en-GB"/>
        </w:rPr>
        <w:sectPr w:rsidR="009C6FAF" w:rsidRPr="006722A0" w:rsidSect="0095126A">
          <w:type w:val="continuous"/>
          <w:pgSz w:w="11906" w:h="16838" w:code="9"/>
          <w:pgMar w:top="1673" w:right="936" w:bottom="1134" w:left="936" w:header="709" w:footer="709" w:gutter="0"/>
          <w:cols w:num="2" w:space="284"/>
          <w:docGrid w:linePitch="360"/>
        </w:sectPr>
      </w:pPr>
    </w:p>
    <w:p w14:paraId="227A3B34" w14:textId="77777777" w:rsidR="00773C4B" w:rsidRDefault="00773C4B" w:rsidP="00773C4B">
      <w:pPr>
        <w:rPr>
          <w:bCs/>
          <w:lang w:val="en-GB"/>
        </w:rPr>
      </w:pPr>
    </w:p>
    <w:p w14:paraId="463DFA1B" w14:textId="77777777" w:rsidR="00773C4B" w:rsidRDefault="00773C4B" w:rsidP="00773C4B">
      <w:pPr>
        <w:rPr>
          <w:bCs/>
          <w:lang w:val="en-GB"/>
        </w:rPr>
      </w:pPr>
    </w:p>
    <w:p w14:paraId="52B0AAD6" w14:textId="77777777" w:rsidR="009C6FAF" w:rsidRDefault="009C6FAF" w:rsidP="00773C4B">
      <w:pPr>
        <w:rPr>
          <w:bCs/>
          <w:lang w:val="en-GB"/>
        </w:rPr>
      </w:pPr>
    </w:p>
    <w:p w14:paraId="5E96A317" w14:textId="77777777" w:rsidR="009C6FAF" w:rsidRDefault="009C6FAF" w:rsidP="00773C4B">
      <w:pPr>
        <w:rPr>
          <w:bCs/>
          <w:lang w:val="en-GB"/>
        </w:rPr>
      </w:pPr>
    </w:p>
    <w:p w14:paraId="53FB90E8" w14:textId="77777777" w:rsidR="009C6FAF" w:rsidRDefault="009C6FAF" w:rsidP="00773C4B">
      <w:pPr>
        <w:rPr>
          <w:bCs/>
          <w:lang w:val="en-GB"/>
        </w:rPr>
        <w:sectPr w:rsidR="009C6FAF" w:rsidSect="0095126A">
          <w:type w:val="continuous"/>
          <w:pgSz w:w="11906" w:h="16838" w:code="9"/>
          <w:pgMar w:top="1134" w:right="936" w:bottom="1134" w:left="936" w:header="1021" w:footer="0" w:gutter="0"/>
          <w:cols w:num="2" w:space="284"/>
          <w:docGrid w:linePitch="360"/>
        </w:sectPr>
      </w:pPr>
    </w:p>
    <w:p w14:paraId="74F2EF2B" w14:textId="77777777" w:rsidR="00773C4B" w:rsidRDefault="00773C4B" w:rsidP="00773C4B">
      <w:pPr>
        <w:rPr>
          <w:bCs/>
          <w:lang w:val="en-GB"/>
        </w:rPr>
      </w:pPr>
    </w:p>
    <w:p w14:paraId="26CE2B20" w14:textId="77777777" w:rsidR="007E773A" w:rsidRDefault="007E773A" w:rsidP="007E773A">
      <w:pPr>
        <w:rPr>
          <w:b/>
          <w:lang w:val="en-GB"/>
        </w:rPr>
      </w:pPr>
      <w:r w:rsidRPr="00621868">
        <w:rPr>
          <w:b/>
          <w:lang w:val="en-GB"/>
        </w:rPr>
        <w:t>Entry for the Table of Contents</w:t>
      </w:r>
      <w:r>
        <w:rPr>
          <w:lang w:val="en-GB"/>
        </w:rPr>
        <w:t xml:space="preserve"> (Please choose one layout)</w:t>
      </w:r>
    </w:p>
    <w:p w14:paraId="4E5930AF" w14:textId="77777777" w:rsidR="007E773A" w:rsidRPr="00621868" w:rsidRDefault="007E773A" w:rsidP="007E773A">
      <w:pPr>
        <w:rPr>
          <w:b/>
          <w:lang w:val="en-GB"/>
        </w:rPr>
      </w:pPr>
    </w:p>
    <w:p w14:paraId="4EAD7D0B" w14:textId="77777777" w:rsidR="007E773A" w:rsidRPr="00621868" w:rsidRDefault="007E773A" w:rsidP="007E773A">
      <w:pPr>
        <w:spacing w:after="240"/>
        <w:rPr>
          <w:lang w:val="en-GB"/>
        </w:rPr>
      </w:pPr>
      <w:r w:rsidRPr="00621868">
        <w:rPr>
          <w:lang w:val="en-GB"/>
        </w:rPr>
        <w:t>Layout 1:</w:t>
      </w:r>
    </w:p>
    <w:p w14:paraId="70A2F62B" w14:textId="77777777" w:rsidR="007E773A" w:rsidRDefault="007E773A" w:rsidP="007E773A">
      <w:pPr>
        <w:rPr>
          <w:lang w:val="en-GB"/>
        </w:rPr>
      </w:pPr>
    </w:p>
    <w:tbl>
      <w:tblPr>
        <w:tblW w:w="10093" w:type="dxa"/>
        <w:tblLook w:val="01E0" w:firstRow="1" w:lastRow="1" w:firstColumn="1" w:lastColumn="1" w:noHBand="0" w:noVBand="0"/>
      </w:tblPr>
      <w:tblGrid>
        <w:gridCol w:w="3118"/>
        <w:gridCol w:w="284"/>
        <w:gridCol w:w="3118"/>
        <w:gridCol w:w="284"/>
        <w:gridCol w:w="3289"/>
      </w:tblGrid>
      <w:tr w:rsidR="007E773A" w14:paraId="1E42FB70" w14:textId="77777777" w:rsidTr="00323B68">
        <w:trPr>
          <w:trHeight w:hRule="exact" w:val="340"/>
        </w:trPr>
        <w:tc>
          <w:tcPr>
            <w:tcW w:w="10093" w:type="dxa"/>
            <w:gridSpan w:val="5"/>
            <w:tcBorders>
              <w:bottom w:val="single" w:sz="36" w:space="0" w:color="BFBFBF"/>
            </w:tcBorders>
            <w:shd w:val="clear" w:color="auto" w:fill="auto"/>
          </w:tcPr>
          <w:p w14:paraId="36CAD465" w14:textId="77777777" w:rsidR="007E773A" w:rsidRDefault="00816397" w:rsidP="00720CC1">
            <w:pPr>
              <w:pStyle w:val="ColumnTitleTOC"/>
            </w:pPr>
            <w:r>
              <w:t>FULL PAPER</w:t>
            </w:r>
          </w:p>
        </w:tc>
      </w:tr>
      <w:tr w:rsidR="007E773A" w14:paraId="6A9C06C0" w14:textId="77777777" w:rsidTr="00323B68">
        <w:trPr>
          <w:trHeight w:val="340"/>
        </w:trPr>
        <w:tc>
          <w:tcPr>
            <w:tcW w:w="3118" w:type="dxa"/>
            <w:vMerge w:val="restart"/>
            <w:tcBorders>
              <w:top w:val="single" w:sz="36" w:space="0" w:color="BFBFBF"/>
            </w:tcBorders>
            <w:shd w:val="clear" w:color="auto" w:fill="auto"/>
          </w:tcPr>
          <w:p w14:paraId="0AB4BBE0" w14:textId="77777777" w:rsidR="007E773A" w:rsidRDefault="007E773A" w:rsidP="00720CC1">
            <w:pPr>
              <w:pStyle w:val="TableOfContentText"/>
            </w:pPr>
            <w:r w:rsidRPr="00AB0A33">
              <w:t>Text for Table of Contents</w:t>
            </w:r>
          </w:p>
        </w:tc>
        <w:tc>
          <w:tcPr>
            <w:tcW w:w="284" w:type="dxa"/>
            <w:tcBorders>
              <w:top w:val="single" w:sz="36" w:space="0" w:color="BFBFBF"/>
            </w:tcBorders>
            <w:shd w:val="clear" w:color="auto" w:fill="auto"/>
          </w:tcPr>
          <w:p w14:paraId="52983F17" w14:textId="77777777" w:rsidR="007E773A" w:rsidRDefault="007E773A" w:rsidP="00720CC1">
            <w:pPr>
              <w:rPr>
                <w:lang w:val="en-GB"/>
              </w:rPr>
            </w:pPr>
          </w:p>
        </w:tc>
        <w:tc>
          <w:tcPr>
            <w:tcW w:w="3118" w:type="dxa"/>
            <w:vMerge w:val="restart"/>
            <w:tcBorders>
              <w:top w:val="single" w:sz="36" w:space="0" w:color="BFBFBF"/>
            </w:tcBorders>
            <w:shd w:val="clear" w:color="auto" w:fill="auto"/>
          </w:tcPr>
          <w:p w14:paraId="35B93078" w14:textId="77777777" w:rsidR="007E773A" w:rsidRDefault="00501C5B" w:rsidP="00720CC1">
            <w:pPr>
              <w:rPr>
                <w:lang w:val="en-GB"/>
              </w:rPr>
            </w:pPr>
            <w:r>
              <w:rPr>
                <w:noProof/>
                <w:lang w:val="en-GB" w:eastAsia="en-GB"/>
              </w:rPr>
              <mc:AlternateContent>
                <mc:Choice Requires="wps">
                  <w:drawing>
                    <wp:anchor distT="0" distB="0" distL="114300" distR="114300" simplePos="0" relativeHeight="251657728" behindDoc="0" locked="0" layoutInCell="1" allowOverlap="1" wp14:anchorId="5BCE3DE1" wp14:editId="1228B4E3">
                      <wp:simplePos x="0" y="0"/>
                      <wp:positionH relativeFrom="column">
                        <wp:posOffset>-67310</wp:posOffset>
                      </wp:positionH>
                      <wp:positionV relativeFrom="paragraph">
                        <wp:posOffset>97790</wp:posOffset>
                      </wp:positionV>
                      <wp:extent cx="1988185" cy="1857375"/>
                      <wp:effectExtent l="0" t="2540" r="3175" b="0"/>
                      <wp:wrapNone/>
                      <wp:docPr id="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185737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3A7D74" w14:textId="77777777" w:rsidR="009C6FAF" w:rsidRPr="00B14EAD" w:rsidRDefault="009C6FAF" w:rsidP="007E773A">
                                  <w:pPr>
                                    <w:spacing w:before="1200"/>
                                    <w:jc w:val="center"/>
                                    <w:rPr>
                                      <w:sz w:val="18"/>
                                      <w:lang w:val="en-US"/>
                                    </w:rPr>
                                  </w:pPr>
                                  <w:r w:rsidRPr="00B14EAD">
                                    <w:rPr>
                                      <w:sz w:val="18"/>
                                      <w:lang w:val="en-US"/>
                                    </w:rPr>
                                    <w:t>((Insert TOC Graphic here: max. width: 5.5 cm; max. height: 5.0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E3DE1" id="Rectangle 38" o:spid="_x0000_s1027" style="position:absolute;margin-left:-5.3pt;margin-top:7.7pt;width:156.55pt;height:14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" fillcolor="#eaeaea" stroked="f">
                      <v:textbox>
                        <w:txbxContent>
                          <w:p w14:paraId="5D3A7D74" w14:textId="77777777" w:rsidR="009C6FAF" w:rsidRPr="00B14EAD" w:rsidRDefault="009C6FAF" w:rsidP="007E773A">
                            <w:pPr>
                              <w:spacing w:before="1200"/>
                              <w:jc w:val="center"/>
                              <w:rPr>
                                <w:sz w:val="18"/>
                                <w:lang w:val="en-US"/>
                              </w:rPr>
                            </w:pPr>
                            <w:r w:rsidRPr="00B14EAD">
                              <w:rPr>
                                <w:sz w:val="18"/>
                                <w:lang w:val="en-US"/>
                              </w:rPr>
                              <w:t>((Insert TOC Graphic here: max. width: 5.5 cm; max. height: 5.0 cm))</w:t>
                            </w:r>
                          </w:p>
                        </w:txbxContent>
                      </v:textbox>
                    </v:rect>
                  </w:pict>
                </mc:Fallback>
              </mc:AlternateContent>
            </w:r>
          </w:p>
        </w:tc>
        <w:tc>
          <w:tcPr>
            <w:tcW w:w="284" w:type="dxa"/>
            <w:tcBorders>
              <w:top w:val="single" w:sz="36" w:space="0" w:color="BFBFBF"/>
            </w:tcBorders>
            <w:shd w:val="clear" w:color="auto" w:fill="auto"/>
          </w:tcPr>
          <w:p w14:paraId="1C8540A4" w14:textId="77777777" w:rsidR="007E773A" w:rsidRDefault="007E773A" w:rsidP="00720CC1">
            <w:pPr>
              <w:rPr>
                <w:lang w:val="en-GB"/>
              </w:rPr>
            </w:pPr>
          </w:p>
        </w:tc>
        <w:tc>
          <w:tcPr>
            <w:tcW w:w="3289" w:type="dxa"/>
            <w:vMerge w:val="restart"/>
            <w:tcBorders>
              <w:top w:val="single" w:sz="36" w:space="0" w:color="BFBFBF"/>
            </w:tcBorders>
            <w:shd w:val="clear" w:color="auto" w:fill="auto"/>
          </w:tcPr>
          <w:p w14:paraId="3F0D8D46" w14:textId="77777777" w:rsidR="007E773A" w:rsidRDefault="007E773A" w:rsidP="00720CC1">
            <w:pPr>
              <w:pStyle w:val="AuthorsTOC"/>
            </w:pPr>
            <w:r w:rsidRPr="006B3956">
              <w:t>Auth</w:t>
            </w:r>
            <w:r w:rsidR="004F7F41">
              <w:t>or(s), Corresponding Author(s)*</w:t>
            </w:r>
          </w:p>
          <w:p w14:paraId="05F18B07" w14:textId="77777777" w:rsidR="007E773A" w:rsidRPr="004B0B74" w:rsidRDefault="007E773A" w:rsidP="00720CC1">
            <w:pPr>
              <w:pStyle w:val="PageNumbers"/>
              <w:rPr>
                <w:lang w:val="en-GB"/>
              </w:rPr>
            </w:pPr>
            <w:r w:rsidRPr="004B0B74">
              <w:rPr>
                <w:lang w:val="en-GB"/>
              </w:rPr>
              <w:t>Page No. – Page No.</w:t>
            </w:r>
          </w:p>
          <w:p w14:paraId="1E6F41CB" w14:textId="77777777" w:rsidR="007E773A" w:rsidRDefault="007E773A" w:rsidP="00720CC1">
            <w:pPr>
              <w:pStyle w:val="TitleTOC"/>
              <w:framePr w:hSpace="141" w:wrap="around" w:vAnchor="page" w:hAnchor="margin" w:y="1504"/>
            </w:pPr>
            <w:r>
              <w:t>Title</w:t>
            </w:r>
          </w:p>
          <w:p w14:paraId="2D3BCFB4" w14:textId="77777777" w:rsidR="007E773A" w:rsidRPr="00AE01EC" w:rsidRDefault="007E773A" w:rsidP="00720CC1">
            <w:pPr>
              <w:framePr w:hSpace="141" w:wrap="around" w:vAnchor="page" w:hAnchor="margin" w:y="1504"/>
              <w:rPr>
                <w:lang w:val="en-GB"/>
              </w:rPr>
            </w:pPr>
          </w:p>
        </w:tc>
      </w:tr>
      <w:tr w:rsidR="007E773A" w14:paraId="7857D516" w14:textId="77777777" w:rsidTr="00720CC1">
        <w:trPr>
          <w:trHeight w:hRule="exact" w:val="2796"/>
        </w:trPr>
        <w:tc>
          <w:tcPr>
            <w:tcW w:w="3118" w:type="dxa"/>
            <w:vMerge/>
            <w:shd w:val="clear" w:color="auto" w:fill="auto"/>
          </w:tcPr>
          <w:p w14:paraId="7EBBF632" w14:textId="77777777" w:rsidR="007E773A" w:rsidRDefault="007E773A" w:rsidP="00720CC1">
            <w:pPr>
              <w:rPr>
                <w:lang w:val="en-GB"/>
              </w:rPr>
            </w:pPr>
          </w:p>
        </w:tc>
        <w:tc>
          <w:tcPr>
            <w:tcW w:w="284" w:type="dxa"/>
            <w:shd w:val="clear" w:color="auto" w:fill="auto"/>
          </w:tcPr>
          <w:p w14:paraId="0BE0E570" w14:textId="77777777" w:rsidR="007E773A" w:rsidRDefault="007E773A" w:rsidP="00720CC1">
            <w:pPr>
              <w:rPr>
                <w:lang w:val="en-GB"/>
              </w:rPr>
            </w:pPr>
          </w:p>
        </w:tc>
        <w:tc>
          <w:tcPr>
            <w:tcW w:w="3118" w:type="dxa"/>
            <w:vMerge/>
            <w:shd w:val="clear" w:color="auto" w:fill="auto"/>
          </w:tcPr>
          <w:p w14:paraId="4DCEA42C" w14:textId="77777777" w:rsidR="007E773A" w:rsidRDefault="007E773A" w:rsidP="00720CC1">
            <w:pPr>
              <w:rPr>
                <w:lang w:val="en-GB"/>
              </w:rPr>
            </w:pPr>
          </w:p>
        </w:tc>
        <w:tc>
          <w:tcPr>
            <w:tcW w:w="284" w:type="dxa"/>
            <w:shd w:val="clear" w:color="auto" w:fill="auto"/>
          </w:tcPr>
          <w:p w14:paraId="0B7D0574" w14:textId="77777777" w:rsidR="007E773A" w:rsidRDefault="007E773A" w:rsidP="00720CC1">
            <w:pPr>
              <w:rPr>
                <w:lang w:val="en-GB"/>
              </w:rPr>
            </w:pPr>
          </w:p>
        </w:tc>
        <w:tc>
          <w:tcPr>
            <w:tcW w:w="3289" w:type="dxa"/>
            <w:vMerge/>
            <w:shd w:val="clear" w:color="auto" w:fill="auto"/>
          </w:tcPr>
          <w:p w14:paraId="5646E1F8" w14:textId="77777777" w:rsidR="007E773A" w:rsidRDefault="007E773A" w:rsidP="00720CC1">
            <w:pPr>
              <w:rPr>
                <w:lang w:val="en-GB"/>
              </w:rPr>
            </w:pPr>
          </w:p>
        </w:tc>
      </w:tr>
    </w:tbl>
    <w:p w14:paraId="5C969FB5" w14:textId="77777777" w:rsidR="007E773A" w:rsidRDefault="007E773A" w:rsidP="007E773A">
      <w:pPr>
        <w:rPr>
          <w:lang w:val="en-GB"/>
        </w:rPr>
      </w:pPr>
    </w:p>
    <w:p w14:paraId="1979C031" w14:textId="77777777" w:rsidR="007E773A" w:rsidRDefault="007E773A" w:rsidP="007E773A">
      <w:pPr>
        <w:rPr>
          <w:lang w:val="en-GB"/>
        </w:rPr>
      </w:pPr>
    </w:p>
    <w:p w14:paraId="6ECEDEAE" w14:textId="77777777" w:rsidR="007E773A" w:rsidRDefault="007E773A" w:rsidP="007E773A">
      <w:pPr>
        <w:spacing w:after="240"/>
        <w:rPr>
          <w:lang w:val="en-GB"/>
        </w:rPr>
      </w:pPr>
      <w:r w:rsidRPr="00621868">
        <w:rPr>
          <w:lang w:val="en-GB"/>
        </w:rPr>
        <w:t>Layout 2:</w:t>
      </w:r>
    </w:p>
    <w:tbl>
      <w:tblPr>
        <w:tblW w:w="10093" w:type="dxa"/>
        <w:tblLayout w:type="fixed"/>
        <w:tblLook w:val="01E0" w:firstRow="1" w:lastRow="1" w:firstColumn="1" w:lastColumn="1" w:noHBand="0" w:noVBand="0"/>
      </w:tblPr>
      <w:tblGrid>
        <w:gridCol w:w="6520"/>
        <w:gridCol w:w="284"/>
        <w:gridCol w:w="3289"/>
      </w:tblGrid>
      <w:tr w:rsidR="007E773A" w14:paraId="207BB461" w14:textId="77777777" w:rsidTr="00323B68">
        <w:trPr>
          <w:trHeight w:hRule="exact" w:val="340"/>
        </w:trPr>
        <w:tc>
          <w:tcPr>
            <w:tcW w:w="10093" w:type="dxa"/>
            <w:gridSpan w:val="3"/>
            <w:tcBorders>
              <w:bottom w:val="single" w:sz="36" w:space="0" w:color="BFBFBF"/>
            </w:tcBorders>
            <w:shd w:val="clear" w:color="auto" w:fill="auto"/>
          </w:tcPr>
          <w:p w14:paraId="1141B2F9" w14:textId="77777777" w:rsidR="007E773A" w:rsidRDefault="00816397" w:rsidP="00720CC1">
            <w:pPr>
              <w:pStyle w:val="ColumnTitleTOC"/>
            </w:pPr>
            <w:r>
              <w:t>FULL PAPER</w:t>
            </w:r>
          </w:p>
        </w:tc>
      </w:tr>
      <w:tr w:rsidR="007E773A" w14:paraId="24864A7A" w14:textId="77777777" w:rsidTr="00323B68">
        <w:trPr>
          <w:trHeight w:val="340"/>
        </w:trPr>
        <w:tc>
          <w:tcPr>
            <w:tcW w:w="6520" w:type="dxa"/>
            <w:vMerge w:val="restart"/>
            <w:tcBorders>
              <w:top w:val="single" w:sz="36" w:space="0" w:color="BFBFBF"/>
            </w:tcBorders>
            <w:shd w:val="clear" w:color="auto" w:fill="auto"/>
          </w:tcPr>
          <w:p w14:paraId="44C3B060" w14:textId="77777777" w:rsidR="007E773A" w:rsidRDefault="00501C5B" w:rsidP="00720CC1">
            <w:pPr>
              <w:pStyle w:val="TableOfContentText"/>
              <w:spacing w:before="1680"/>
            </w:pPr>
            <w:r>
              <w:rPr>
                <w:noProof/>
                <w:lang w:eastAsia="en-GB"/>
              </w:rPr>
              <mc:AlternateContent>
                <mc:Choice Requires="wps">
                  <w:drawing>
                    <wp:anchor distT="0" distB="0" distL="114300" distR="114300" simplePos="0" relativeHeight="251658752" behindDoc="0" locked="0" layoutInCell="1" allowOverlap="1" wp14:anchorId="3EB01B44" wp14:editId="0512DF64">
                      <wp:simplePos x="0" y="0"/>
                      <wp:positionH relativeFrom="column">
                        <wp:posOffset>-73660</wp:posOffset>
                      </wp:positionH>
                      <wp:positionV relativeFrom="paragraph">
                        <wp:posOffset>73025</wp:posOffset>
                      </wp:positionV>
                      <wp:extent cx="4140200" cy="808990"/>
                      <wp:effectExtent l="2540" t="0" r="635" b="3810"/>
                      <wp:wrapNone/>
                      <wp:docPr id="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80899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134A2" w14:textId="77777777" w:rsidR="009C6FAF" w:rsidRPr="00B14EAD" w:rsidRDefault="009C6FAF" w:rsidP="007E773A">
                                  <w:pPr>
                                    <w:spacing w:before="360"/>
                                    <w:jc w:val="center"/>
                                    <w:rPr>
                                      <w:sz w:val="18"/>
                                      <w:lang w:val="en-US"/>
                                    </w:rPr>
                                  </w:pPr>
                                  <w:r w:rsidRPr="00B14EAD">
                                    <w:rPr>
                                      <w:sz w:val="18"/>
                                      <w:lang w:val="en-US"/>
                                    </w:rPr>
                                    <w:t>((Insert TOC Graphic here; max. width: 11.5 cm; max. height: 2.5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01B44" id="Rectangle 39" o:spid="_x0000_s1028" style="position:absolute;margin-left:-5.8pt;margin-top:5.75pt;width:326pt;height:63.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" fillcolor="#eaeaea" stroked="f">
                      <v:textbox>
                        <w:txbxContent>
                          <w:p w14:paraId="176134A2" w14:textId="77777777" w:rsidR="009C6FAF" w:rsidRPr="00B14EAD" w:rsidRDefault="009C6FAF" w:rsidP="007E773A">
                            <w:pPr>
                              <w:spacing w:before="360"/>
                              <w:jc w:val="center"/>
                              <w:rPr>
                                <w:sz w:val="18"/>
                                <w:lang w:val="en-US"/>
                              </w:rPr>
                            </w:pPr>
                            <w:r w:rsidRPr="00B14EAD">
                              <w:rPr>
                                <w:sz w:val="18"/>
                                <w:lang w:val="en-US"/>
                              </w:rPr>
                              <w:t>((Insert TOC Graphic here; max. width: 11.5 cm; max. height: 2.5 cm))</w:t>
                            </w:r>
                          </w:p>
                        </w:txbxContent>
                      </v:textbox>
                    </v:rect>
                  </w:pict>
                </mc:Fallback>
              </mc:AlternateContent>
            </w:r>
            <w:r w:rsidR="007E773A" w:rsidRPr="0071268F">
              <w:t>Text for Table of Contents</w:t>
            </w:r>
          </w:p>
        </w:tc>
        <w:tc>
          <w:tcPr>
            <w:tcW w:w="284" w:type="dxa"/>
            <w:tcBorders>
              <w:top w:val="single" w:sz="36" w:space="0" w:color="BFBFBF"/>
            </w:tcBorders>
            <w:shd w:val="clear" w:color="auto" w:fill="auto"/>
          </w:tcPr>
          <w:p w14:paraId="22522320" w14:textId="77777777" w:rsidR="007E773A" w:rsidRDefault="007E773A" w:rsidP="00720CC1">
            <w:pPr>
              <w:rPr>
                <w:lang w:val="en-GB"/>
              </w:rPr>
            </w:pPr>
          </w:p>
        </w:tc>
        <w:tc>
          <w:tcPr>
            <w:tcW w:w="3289" w:type="dxa"/>
            <w:vMerge w:val="restart"/>
            <w:tcBorders>
              <w:top w:val="single" w:sz="36" w:space="0" w:color="BFBFBF"/>
            </w:tcBorders>
            <w:shd w:val="clear" w:color="auto" w:fill="auto"/>
          </w:tcPr>
          <w:p w14:paraId="441A4AB5" w14:textId="77777777" w:rsidR="007E773A" w:rsidRDefault="007E773A" w:rsidP="00720CC1">
            <w:pPr>
              <w:pStyle w:val="AuthorsTOC"/>
            </w:pPr>
            <w:r w:rsidRPr="006B3956">
              <w:t>Author(s), Corresponding Author(s)*</w:t>
            </w:r>
          </w:p>
          <w:p w14:paraId="3FB0D18E" w14:textId="77777777" w:rsidR="007E773A" w:rsidRPr="009E5C87" w:rsidRDefault="007E773A" w:rsidP="00720CC1">
            <w:pPr>
              <w:pStyle w:val="PageNumbers"/>
              <w:rPr>
                <w:lang w:val="en-GB"/>
              </w:rPr>
            </w:pPr>
            <w:r w:rsidRPr="009E5C87">
              <w:rPr>
                <w:lang w:val="en-GB"/>
              </w:rPr>
              <w:t>Page No. – Page No.</w:t>
            </w:r>
          </w:p>
          <w:p w14:paraId="7D63F938" w14:textId="77777777" w:rsidR="007E773A" w:rsidRDefault="007E773A" w:rsidP="00720CC1">
            <w:pPr>
              <w:pStyle w:val="TitleTOC"/>
              <w:framePr w:hSpace="141" w:wrap="around" w:vAnchor="page" w:hAnchor="margin" w:y="1504"/>
            </w:pPr>
            <w:r>
              <w:t>Title</w:t>
            </w:r>
          </w:p>
          <w:p w14:paraId="7F5CC1DD" w14:textId="77777777" w:rsidR="007E773A" w:rsidRPr="009E5C87" w:rsidRDefault="007E773A" w:rsidP="00720CC1">
            <w:pPr>
              <w:framePr w:hSpace="141" w:wrap="around" w:vAnchor="page" w:hAnchor="margin" w:y="1504"/>
              <w:rPr>
                <w:lang w:val="en-GB"/>
              </w:rPr>
            </w:pPr>
          </w:p>
        </w:tc>
      </w:tr>
      <w:tr w:rsidR="007E773A" w14:paraId="0AEEBCC1" w14:textId="77777777" w:rsidTr="00720CC1">
        <w:trPr>
          <w:trHeight w:hRule="exact" w:val="2722"/>
        </w:trPr>
        <w:tc>
          <w:tcPr>
            <w:tcW w:w="6520" w:type="dxa"/>
            <w:vMerge/>
            <w:shd w:val="clear" w:color="auto" w:fill="auto"/>
          </w:tcPr>
          <w:p w14:paraId="4EE3E24B" w14:textId="77777777" w:rsidR="007E773A" w:rsidRDefault="007E773A" w:rsidP="00720CC1">
            <w:pPr>
              <w:rPr>
                <w:lang w:val="en-GB"/>
              </w:rPr>
            </w:pPr>
          </w:p>
        </w:tc>
        <w:tc>
          <w:tcPr>
            <w:tcW w:w="284" w:type="dxa"/>
            <w:shd w:val="clear" w:color="auto" w:fill="auto"/>
          </w:tcPr>
          <w:p w14:paraId="176D2506" w14:textId="77777777" w:rsidR="007E773A" w:rsidRDefault="007E773A" w:rsidP="00720CC1">
            <w:pPr>
              <w:rPr>
                <w:lang w:val="en-GB"/>
              </w:rPr>
            </w:pPr>
          </w:p>
        </w:tc>
        <w:tc>
          <w:tcPr>
            <w:tcW w:w="3289" w:type="dxa"/>
            <w:vMerge/>
            <w:shd w:val="clear" w:color="auto" w:fill="auto"/>
          </w:tcPr>
          <w:p w14:paraId="51321F7C" w14:textId="77777777" w:rsidR="007E773A" w:rsidRDefault="007E773A" w:rsidP="00720CC1">
            <w:pPr>
              <w:rPr>
                <w:lang w:val="en-GB"/>
              </w:rPr>
            </w:pPr>
          </w:p>
        </w:tc>
      </w:tr>
    </w:tbl>
    <w:p w14:paraId="03CBF063" w14:textId="77777777" w:rsidR="007E773A" w:rsidRDefault="007E773A" w:rsidP="007E773A">
      <w:pPr>
        <w:rPr>
          <w:lang w:val="en-GB"/>
        </w:rPr>
      </w:pPr>
    </w:p>
    <w:p w14:paraId="41D1C940" w14:textId="77777777" w:rsidR="00773C4B" w:rsidRPr="008F525A" w:rsidRDefault="00773C4B" w:rsidP="00773C4B">
      <w:pPr>
        <w:rPr>
          <w:bCs/>
          <w:lang w:val="en-GB"/>
        </w:rPr>
      </w:pPr>
    </w:p>
    <w:sectPr w:rsidR="00773C4B" w:rsidRPr="008F525A" w:rsidSect="0095126A">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33D178" w14:textId="77777777" w:rsidR="00181B1E" w:rsidRDefault="00181B1E">
      <w:r>
        <w:separator/>
      </w:r>
    </w:p>
  </w:endnote>
  <w:endnote w:type="continuationSeparator" w:id="0">
    <w:p w14:paraId="6B2B04B3" w14:textId="77777777" w:rsidR="00181B1E" w:rsidRDefault="00181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AA5FA" w14:textId="77777777" w:rsidR="009C6FAF" w:rsidRDefault="009C6F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01311" w14:textId="77777777" w:rsidR="009C6FAF" w:rsidRDefault="009C6FAF" w:rsidP="0095126A">
    <w:pPr>
      <w:pStyle w:val="Footer"/>
      <w:pBdr>
        <w:top w:val="single" w:sz="18" w:space="1" w:color="C0C0C0"/>
      </w:pBdr>
    </w:pPr>
  </w:p>
  <w:p w14:paraId="6A184FA3" w14:textId="77777777" w:rsidR="009C6FAF" w:rsidRDefault="009C6FAF" w:rsidP="0095126A">
    <w:pPr>
      <w:pStyle w:val="Footer"/>
    </w:pPr>
  </w:p>
  <w:p w14:paraId="41B3FF99" w14:textId="77777777" w:rsidR="009C6FAF" w:rsidRDefault="009C6FAF" w:rsidP="0095126A">
    <w:pPr>
      <w:pStyle w:val="Footer"/>
    </w:pPr>
  </w:p>
  <w:p w14:paraId="31617330" w14:textId="77777777" w:rsidR="009C6FAF" w:rsidRPr="00205632" w:rsidRDefault="009C6FAF" w:rsidP="0095126A">
    <w:pPr>
      <w:pStyle w:val="Footer"/>
    </w:pPr>
  </w:p>
  <w:p w14:paraId="028CD3C7" w14:textId="77777777" w:rsidR="009C6FAF" w:rsidRPr="0095126A" w:rsidRDefault="009C6FAF" w:rsidP="0095126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9D756" w14:textId="77777777" w:rsidR="009C6FAF" w:rsidRDefault="009C6F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10B115" w14:textId="77777777" w:rsidR="00181B1E" w:rsidRDefault="00181B1E">
      <w:r>
        <w:separator/>
      </w:r>
    </w:p>
  </w:footnote>
  <w:footnote w:type="continuationSeparator" w:id="0">
    <w:p w14:paraId="7C518321" w14:textId="77777777" w:rsidR="00181B1E" w:rsidRDefault="00181B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F3A26" w14:textId="77777777" w:rsidR="009C6FAF" w:rsidRPr="00C8278A" w:rsidRDefault="0049238D" w:rsidP="00FB4551">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56FFFE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4" o:spid="_x0000_s2055"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9C6FAF">
      <w:rPr>
        <w:rFonts w:ascii="Arial Narrow" w:hAnsi="Arial Narrow" w:cs="Arial"/>
        <w:b/>
        <w:bCs/>
        <w:noProof/>
        <w:color w:val="C0C0C0"/>
        <w:sz w:val="40"/>
        <w:szCs w:val="36"/>
        <w:lang w:val="en-GB" w:eastAsia="en-GB"/>
      </w:rPr>
      <w:drawing>
        <wp:inline distT="0" distB="0" distL="0" distR="0" wp14:anchorId="35E36513" wp14:editId="6FA94C5C">
          <wp:extent cx="1439545" cy="416560"/>
          <wp:effectExtent l="0" t="0" r="8255"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9545" cy="416560"/>
                  </a:xfrm>
                  <a:prstGeom prst="rect">
                    <a:avLst/>
                  </a:prstGeom>
                  <a:noFill/>
                  <a:ln>
                    <a:noFill/>
                  </a:ln>
                </pic:spPr>
              </pic:pic>
            </a:graphicData>
          </a:graphic>
        </wp:inline>
      </w:drawing>
    </w:r>
    <w:r w:rsidR="009C6FAF">
      <w:rPr>
        <w:rFonts w:ascii="Arial Narrow" w:hAnsi="Arial Narrow" w:cs="Arial"/>
        <w:b/>
        <w:bCs/>
        <w:color w:val="C0C0C0"/>
        <w:sz w:val="40"/>
        <w:szCs w:val="36"/>
      </w:rPr>
      <w:tab/>
    </w:r>
    <w:r w:rsidR="009C6FAF">
      <w:rPr>
        <w:rFonts w:ascii="Arial Narrow" w:hAnsi="Arial Narrow" w:cs="Arial"/>
        <w:b/>
        <w:bCs/>
        <w:color w:val="C0C0C0"/>
        <w:sz w:val="40"/>
        <w:szCs w:val="36"/>
      </w:rPr>
      <w:tab/>
      <w:t xml:space="preserve">                            </w:t>
    </w:r>
    <w:r w:rsidR="009C6FAF" w:rsidRPr="00FB4551">
      <w:rPr>
        <w:rFonts w:ascii="Arial" w:hAnsi="Arial" w:cs="Arial"/>
        <w:b/>
        <w:bCs/>
        <w:color w:val="C0C0C0"/>
      </w:rPr>
      <w:t>www.chemsuschem.org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D9FFF" w14:textId="77777777" w:rsidR="009C6FAF" w:rsidRPr="00863DFC" w:rsidRDefault="0049238D" w:rsidP="00863DFC">
    <w:pPr>
      <w:pStyle w:val="Header"/>
      <w:pBdr>
        <w:bottom w:val="single" w:sz="18" w:space="1" w:color="C0C0C0"/>
      </w:pBdr>
    </w:pPr>
    <w:r>
      <w:rPr>
        <w:rFonts w:ascii="Arial Narrow" w:hAnsi="Arial Narrow" w:cs="Arial"/>
        <w:b/>
        <w:bCs/>
        <w:noProof/>
        <w:color w:val="C0C0C0"/>
        <w:sz w:val="32"/>
        <w:szCs w:val="36"/>
        <w:lang w:eastAsia="zh-CN"/>
      </w:rPr>
      <w:pict w14:anchorId="4CE36A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6"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9C6FAF">
      <w:rPr>
        <w:rFonts w:ascii="Arial Narrow" w:hAnsi="Arial Narrow" w:cs="Arial"/>
        <w:b/>
        <w:bCs/>
        <w:noProof/>
        <w:color w:val="C0C0C0"/>
        <w:sz w:val="32"/>
        <w:szCs w:val="36"/>
        <w:lang w:val="en-GB" w:eastAsia="en-GB"/>
      </w:rPr>
      <w:drawing>
        <wp:anchor distT="0" distB="0" distL="114300" distR="114300" simplePos="0" relativeHeight="251656192" behindDoc="0" locked="0" layoutInCell="1" allowOverlap="1" wp14:anchorId="4B681551" wp14:editId="73069EC9">
          <wp:simplePos x="0" y="0"/>
          <wp:positionH relativeFrom="column">
            <wp:posOffset>5344160</wp:posOffset>
          </wp:positionH>
          <wp:positionV relativeFrom="paragraph">
            <wp:posOffset>-40005</wp:posOffset>
          </wp:positionV>
          <wp:extent cx="1079500" cy="273050"/>
          <wp:effectExtent l="0" t="0" r="635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6FAF">
      <w:rPr>
        <w:rFonts w:ascii="Arial Narrow" w:hAnsi="Arial Narrow" w:cs="Arial"/>
        <w:b/>
        <w:bCs/>
        <w:color w:val="C0C0C0"/>
        <w:sz w:val="32"/>
        <w:szCs w:val="36"/>
      </w:rPr>
      <w:t>FULL PAPER</w:t>
    </w:r>
    <w:r w:rsidR="009C6FAF" w:rsidRPr="00971FC5">
      <w:rPr>
        <w:rFonts w:ascii="Arial Narrow" w:hAnsi="Arial Narrow" w:cs="Arial"/>
        <w:sz w:val="32"/>
        <w:szCs w:val="36"/>
      </w:rPr>
      <w:tab/>
    </w:r>
    <w:r w:rsidR="009C6FAF" w:rsidRPr="00971FC5">
      <w:rPr>
        <w:rFonts w:ascii="Arial Narrow" w:hAnsi="Arial Narrow" w:cs="Arial"/>
        <w:sz w:val="32"/>
        <w:szCs w:val="36"/>
      </w:rPr>
      <w:tab/>
    </w:r>
    <w:r w:rsidR="009C6FAF">
      <w:rPr>
        <w:rFonts w:ascii="Arial Narrow" w:hAnsi="Arial Narrow" w:cs="Arial"/>
        <w:sz w:val="32"/>
        <w:szCs w:val="3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D5770" w14:textId="77777777" w:rsidR="009C6FAF" w:rsidRDefault="0049238D">
    <w:pPr>
      <w:pStyle w:val="Header"/>
    </w:pPr>
    <w:r>
      <w:rPr>
        <w:noProof/>
        <w:lang w:eastAsia="zh-CN"/>
      </w:rPr>
      <w:pict w14:anchorId="60068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7">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C5B"/>
    <w:rsid w:val="0000214A"/>
    <w:rsid w:val="00002DBC"/>
    <w:rsid w:val="00003927"/>
    <w:rsid w:val="0000457A"/>
    <w:rsid w:val="00010410"/>
    <w:rsid w:val="00011D51"/>
    <w:rsid w:val="00013DD7"/>
    <w:rsid w:val="000208F6"/>
    <w:rsid w:val="00022DB4"/>
    <w:rsid w:val="00033C26"/>
    <w:rsid w:val="00033D1A"/>
    <w:rsid w:val="00033F43"/>
    <w:rsid w:val="00036490"/>
    <w:rsid w:val="0004091A"/>
    <w:rsid w:val="00042BF0"/>
    <w:rsid w:val="00045AB9"/>
    <w:rsid w:val="0005096E"/>
    <w:rsid w:val="0005140E"/>
    <w:rsid w:val="00055485"/>
    <w:rsid w:val="0006281D"/>
    <w:rsid w:val="00063E0F"/>
    <w:rsid w:val="0006489B"/>
    <w:rsid w:val="000650AB"/>
    <w:rsid w:val="0006694D"/>
    <w:rsid w:val="000669E3"/>
    <w:rsid w:val="00066B8E"/>
    <w:rsid w:val="00070B55"/>
    <w:rsid w:val="00070E0D"/>
    <w:rsid w:val="0007315F"/>
    <w:rsid w:val="00077560"/>
    <w:rsid w:val="000806F8"/>
    <w:rsid w:val="0008077D"/>
    <w:rsid w:val="0009539C"/>
    <w:rsid w:val="00095C2F"/>
    <w:rsid w:val="000A37F3"/>
    <w:rsid w:val="000A77DC"/>
    <w:rsid w:val="000B6DF3"/>
    <w:rsid w:val="000C1DBD"/>
    <w:rsid w:val="000C53F1"/>
    <w:rsid w:val="000D70F8"/>
    <w:rsid w:val="000D75B7"/>
    <w:rsid w:val="000D7701"/>
    <w:rsid w:val="000E0815"/>
    <w:rsid w:val="000E0CEA"/>
    <w:rsid w:val="000E0EC4"/>
    <w:rsid w:val="000E1C81"/>
    <w:rsid w:val="000E517A"/>
    <w:rsid w:val="000E5FDC"/>
    <w:rsid w:val="000E76B8"/>
    <w:rsid w:val="000F29A4"/>
    <w:rsid w:val="000F2C63"/>
    <w:rsid w:val="000F2EA1"/>
    <w:rsid w:val="000F5BD1"/>
    <w:rsid w:val="000F7847"/>
    <w:rsid w:val="001037A1"/>
    <w:rsid w:val="00103EF7"/>
    <w:rsid w:val="00104119"/>
    <w:rsid w:val="0010543E"/>
    <w:rsid w:val="00105F97"/>
    <w:rsid w:val="00107E8C"/>
    <w:rsid w:val="001158DE"/>
    <w:rsid w:val="00120F2E"/>
    <w:rsid w:val="001237B3"/>
    <w:rsid w:val="0012381E"/>
    <w:rsid w:val="001322FF"/>
    <w:rsid w:val="0013316F"/>
    <w:rsid w:val="001344F7"/>
    <w:rsid w:val="001348CD"/>
    <w:rsid w:val="0014043E"/>
    <w:rsid w:val="00141356"/>
    <w:rsid w:val="00143551"/>
    <w:rsid w:val="0014374D"/>
    <w:rsid w:val="00143B89"/>
    <w:rsid w:val="001475BF"/>
    <w:rsid w:val="00152E6D"/>
    <w:rsid w:val="00155FB7"/>
    <w:rsid w:val="0015631F"/>
    <w:rsid w:val="00157C67"/>
    <w:rsid w:val="0016203E"/>
    <w:rsid w:val="001639AE"/>
    <w:rsid w:val="001654DF"/>
    <w:rsid w:val="00166BEB"/>
    <w:rsid w:val="00166D41"/>
    <w:rsid w:val="001678B6"/>
    <w:rsid w:val="0017048F"/>
    <w:rsid w:val="00170D5C"/>
    <w:rsid w:val="00172B86"/>
    <w:rsid w:val="00172F48"/>
    <w:rsid w:val="001732A4"/>
    <w:rsid w:val="001800AA"/>
    <w:rsid w:val="0018165B"/>
    <w:rsid w:val="00181774"/>
    <w:rsid w:val="00181B1E"/>
    <w:rsid w:val="00184380"/>
    <w:rsid w:val="00186601"/>
    <w:rsid w:val="001878D0"/>
    <w:rsid w:val="0019014F"/>
    <w:rsid w:val="00194818"/>
    <w:rsid w:val="00194A21"/>
    <w:rsid w:val="00196DEB"/>
    <w:rsid w:val="00197F42"/>
    <w:rsid w:val="001A0D55"/>
    <w:rsid w:val="001A2FE3"/>
    <w:rsid w:val="001A3120"/>
    <w:rsid w:val="001A39AE"/>
    <w:rsid w:val="001A438D"/>
    <w:rsid w:val="001B0DFC"/>
    <w:rsid w:val="001B286E"/>
    <w:rsid w:val="001B73B9"/>
    <w:rsid w:val="001B7620"/>
    <w:rsid w:val="001C1039"/>
    <w:rsid w:val="001C21E3"/>
    <w:rsid w:val="001C26A7"/>
    <w:rsid w:val="001D1155"/>
    <w:rsid w:val="001D13EA"/>
    <w:rsid w:val="001D216B"/>
    <w:rsid w:val="001D29CA"/>
    <w:rsid w:val="001D40FE"/>
    <w:rsid w:val="001D54CA"/>
    <w:rsid w:val="001D7ECC"/>
    <w:rsid w:val="001E164A"/>
    <w:rsid w:val="001E2F1C"/>
    <w:rsid w:val="001F16EF"/>
    <w:rsid w:val="001F1A2D"/>
    <w:rsid w:val="001F252B"/>
    <w:rsid w:val="001F3ACC"/>
    <w:rsid w:val="001F4235"/>
    <w:rsid w:val="001F45C3"/>
    <w:rsid w:val="001F4EE4"/>
    <w:rsid w:val="0020306E"/>
    <w:rsid w:val="002124FA"/>
    <w:rsid w:val="00213D0E"/>
    <w:rsid w:val="002221BA"/>
    <w:rsid w:val="00222D97"/>
    <w:rsid w:val="0022537E"/>
    <w:rsid w:val="0022582C"/>
    <w:rsid w:val="00232C14"/>
    <w:rsid w:val="002362C7"/>
    <w:rsid w:val="00241D85"/>
    <w:rsid w:val="00242E54"/>
    <w:rsid w:val="002433F0"/>
    <w:rsid w:val="00243927"/>
    <w:rsid w:val="00260EDA"/>
    <w:rsid w:val="00261387"/>
    <w:rsid w:val="00261882"/>
    <w:rsid w:val="00265DCA"/>
    <w:rsid w:val="00267F8A"/>
    <w:rsid w:val="002702BC"/>
    <w:rsid w:val="0027068B"/>
    <w:rsid w:val="00287256"/>
    <w:rsid w:val="00287B32"/>
    <w:rsid w:val="00291C93"/>
    <w:rsid w:val="002A36FA"/>
    <w:rsid w:val="002A561E"/>
    <w:rsid w:val="002A69D1"/>
    <w:rsid w:val="002B16E2"/>
    <w:rsid w:val="002B22BA"/>
    <w:rsid w:val="002B25E2"/>
    <w:rsid w:val="002B453B"/>
    <w:rsid w:val="002B56C9"/>
    <w:rsid w:val="002B7CA9"/>
    <w:rsid w:val="002C36E0"/>
    <w:rsid w:val="002D0B17"/>
    <w:rsid w:val="002D24CB"/>
    <w:rsid w:val="002D42FF"/>
    <w:rsid w:val="002D5148"/>
    <w:rsid w:val="002E066F"/>
    <w:rsid w:val="002E2CA8"/>
    <w:rsid w:val="002E3FFF"/>
    <w:rsid w:val="002F0269"/>
    <w:rsid w:val="002F1479"/>
    <w:rsid w:val="002F17FB"/>
    <w:rsid w:val="002F56D6"/>
    <w:rsid w:val="002F6A4C"/>
    <w:rsid w:val="002F73A5"/>
    <w:rsid w:val="003006A7"/>
    <w:rsid w:val="00301167"/>
    <w:rsid w:val="00301D1E"/>
    <w:rsid w:val="00303FBE"/>
    <w:rsid w:val="003040CB"/>
    <w:rsid w:val="003079D2"/>
    <w:rsid w:val="00307C5A"/>
    <w:rsid w:val="003116F4"/>
    <w:rsid w:val="00312ED2"/>
    <w:rsid w:val="0032022A"/>
    <w:rsid w:val="0032048F"/>
    <w:rsid w:val="003219A5"/>
    <w:rsid w:val="00322D02"/>
    <w:rsid w:val="00322E1F"/>
    <w:rsid w:val="00323B68"/>
    <w:rsid w:val="00323FC3"/>
    <w:rsid w:val="00324724"/>
    <w:rsid w:val="00325147"/>
    <w:rsid w:val="003254D1"/>
    <w:rsid w:val="00325516"/>
    <w:rsid w:val="003275FF"/>
    <w:rsid w:val="0033054D"/>
    <w:rsid w:val="00331B5E"/>
    <w:rsid w:val="00333FAD"/>
    <w:rsid w:val="0033586B"/>
    <w:rsid w:val="00336A5A"/>
    <w:rsid w:val="003403BB"/>
    <w:rsid w:val="00340A08"/>
    <w:rsid w:val="003447D7"/>
    <w:rsid w:val="0034496B"/>
    <w:rsid w:val="00354B57"/>
    <w:rsid w:val="00364753"/>
    <w:rsid w:val="00364A2A"/>
    <w:rsid w:val="003657B6"/>
    <w:rsid w:val="00366676"/>
    <w:rsid w:val="003674A7"/>
    <w:rsid w:val="00375415"/>
    <w:rsid w:val="00376792"/>
    <w:rsid w:val="00376F37"/>
    <w:rsid w:val="0038506F"/>
    <w:rsid w:val="00390DD7"/>
    <w:rsid w:val="00396BE2"/>
    <w:rsid w:val="003A6168"/>
    <w:rsid w:val="003B04BA"/>
    <w:rsid w:val="003B0FC4"/>
    <w:rsid w:val="003B6C60"/>
    <w:rsid w:val="003B70C8"/>
    <w:rsid w:val="003C134A"/>
    <w:rsid w:val="003C1CCA"/>
    <w:rsid w:val="003C2972"/>
    <w:rsid w:val="003C2C9C"/>
    <w:rsid w:val="003C6E1A"/>
    <w:rsid w:val="003D0F51"/>
    <w:rsid w:val="003D1C1A"/>
    <w:rsid w:val="003D3F9A"/>
    <w:rsid w:val="003E54CD"/>
    <w:rsid w:val="003E7319"/>
    <w:rsid w:val="003F1223"/>
    <w:rsid w:val="003F2556"/>
    <w:rsid w:val="003F50D4"/>
    <w:rsid w:val="0040080D"/>
    <w:rsid w:val="0040270E"/>
    <w:rsid w:val="00403876"/>
    <w:rsid w:val="004062B1"/>
    <w:rsid w:val="004070B6"/>
    <w:rsid w:val="004072DD"/>
    <w:rsid w:val="00411AA6"/>
    <w:rsid w:val="00414412"/>
    <w:rsid w:val="00415971"/>
    <w:rsid w:val="00416B05"/>
    <w:rsid w:val="00422AFE"/>
    <w:rsid w:val="00423593"/>
    <w:rsid w:val="00424978"/>
    <w:rsid w:val="0042545B"/>
    <w:rsid w:val="00427CBD"/>
    <w:rsid w:val="00431151"/>
    <w:rsid w:val="00432307"/>
    <w:rsid w:val="004344FB"/>
    <w:rsid w:val="00435D6F"/>
    <w:rsid w:val="00436338"/>
    <w:rsid w:val="00437B5A"/>
    <w:rsid w:val="00444E3C"/>
    <w:rsid w:val="00445D5C"/>
    <w:rsid w:val="004465F9"/>
    <w:rsid w:val="004466B0"/>
    <w:rsid w:val="00454A2D"/>
    <w:rsid w:val="004556E1"/>
    <w:rsid w:val="004609E1"/>
    <w:rsid w:val="00460C28"/>
    <w:rsid w:val="00461BD2"/>
    <w:rsid w:val="00462A09"/>
    <w:rsid w:val="004644E1"/>
    <w:rsid w:val="0046574E"/>
    <w:rsid w:val="004657E8"/>
    <w:rsid w:val="00467E99"/>
    <w:rsid w:val="00470790"/>
    <w:rsid w:val="00473029"/>
    <w:rsid w:val="00473EE4"/>
    <w:rsid w:val="00477B4C"/>
    <w:rsid w:val="00477B99"/>
    <w:rsid w:val="004823EF"/>
    <w:rsid w:val="004841CA"/>
    <w:rsid w:val="00485C84"/>
    <w:rsid w:val="00486215"/>
    <w:rsid w:val="0048630D"/>
    <w:rsid w:val="004921CF"/>
    <w:rsid w:val="0049238D"/>
    <w:rsid w:val="004930F0"/>
    <w:rsid w:val="004952D8"/>
    <w:rsid w:val="004A0BA8"/>
    <w:rsid w:val="004A489D"/>
    <w:rsid w:val="004A4A2E"/>
    <w:rsid w:val="004A4CD0"/>
    <w:rsid w:val="004A73A8"/>
    <w:rsid w:val="004A75D5"/>
    <w:rsid w:val="004A771F"/>
    <w:rsid w:val="004A78AE"/>
    <w:rsid w:val="004B004E"/>
    <w:rsid w:val="004B0589"/>
    <w:rsid w:val="004B0B74"/>
    <w:rsid w:val="004B1783"/>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DB8"/>
    <w:rsid w:val="004E3010"/>
    <w:rsid w:val="004E3F83"/>
    <w:rsid w:val="004E4A53"/>
    <w:rsid w:val="004E4DFF"/>
    <w:rsid w:val="004E5278"/>
    <w:rsid w:val="004E74F4"/>
    <w:rsid w:val="004F0129"/>
    <w:rsid w:val="004F257F"/>
    <w:rsid w:val="004F35CD"/>
    <w:rsid w:val="004F7F41"/>
    <w:rsid w:val="00501639"/>
    <w:rsid w:val="00501C5B"/>
    <w:rsid w:val="00501EFF"/>
    <w:rsid w:val="0050277D"/>
    <w:rsid w:val="005035EB"/>
    <w:rsid w:val="0050689B"/>
    <w:rsid w:val="005068AA"/>
    <w:rsid w:val="00506EDB"/>
    <w:rsid w:val="00511093"/>
    <w:rsid w:val="00512A8E"/>
    <w:rsid w:val="00520422"/>
    <w:rsid w:val="0052085F"/>
    <w:rsid w:val="0052404D"/>
    <w:rsid w:val="00530284"/>
    <w:rsid w:val="005321B0"/>
    <w:rsid w:val="0053418A"/>
    <w:rsid w:val="005349D6"/>
    <w:rsid w:val="00536BC1"/>
    <w:rsid w:val="00537F36"/>
    <w:rsid w:val="00541205"/>
    <w:rsid w:val="005433DE"/>
    <w:rsid w:val="0054420E"/>
    <w:rsid w:val="005472E5"/>
    <w:rsid w:val="0055057E"/>
    <w:rsid w:val="00550B0C"/>
    <w:rsid w:val="0055113D"/>
    <w:rsid w:val="005551F3"/>
    <w:rsid w:val="00556A65"/>
    <w:rsid w:val="00561C0E"/>
    <w:rsid w:val="005662EA"/>
    <w:rsid w:val="00567B5A"/>
    <w:rsid w:val="00567C18"/>
    <w:rsid w:val="0057009B"/>
    <w:rsid w:val="005735B3"/>
    <w:rsid w:val="005801F0"/>
    <w:rsid w:val="005826CC"/>
    <w:rsid w:val="005839B9"/>
    <w:rsid w:val="00586DF8"/>
    <w:rsid w:val="00591262"/>
    <w:rsid w:val="00591AB8"/>
    <w:rsid w:val="00597954"/>
    <w:rsid w:val="005B10C2"/>
    <w:rsid w:val="005B15A7"/>
    <w:rsid w:val="005B3509"/>
    <w:rsid w:val="005B430B"/>
    <w:rsid w:val="005B43B7"/>
    <w:rsid w:val="005B5D4F"/>
    <w:rsid w:val="005B6716"/>
    <w:rsid w:val="005B6C80"/>
    <w:rsid w:val="005B71FC"/>
    <w:rsid w:val="005C08BF"/>
    <w:rsid w:val="005C4CEE"/>
    <w:rsid w:val="005C4F38"/>
    <w:rsid w:val="005C5196"/>
    <w:rsid w:val="005D1EBB"/>
    <w:rsid w:val="005D43FD"/>
    <w:rsid w:val="005D65E6"/>
    <w:rsid w:val="005F19CB"/>
    <w:rsid w:val="005F5348"/>
    <w:rsid w:val="005F74E7"/>
    <w:rsid w:val="006011C8"/>
    <w:rsid w:val="006024FD"/>
    <w:rsid w:val="0060310C"/>
    <w:rsid w:val="00605FAC"/>
    <w:rsid w:val="006134A3"/>
    <w:rsid w:val="006150DB"/>
    <w:rsid w:val="006200AB"/>
    <w:rsid w:val="00620450"/>
    <w:rsid w:val="00620753"/>
    <w:rsid w:val="00620911"/>
    <w:rsid w:val="00620C61"/>
    <w:rsid w:val="00627F57"/>
    <w:rsid w:val="00636481"/>
    <w:rsid w:val="00644209"/>
    <w:rsid w:val="00647525"/>
    <w:rsid w:val="006479FE"/>
    <w:rsid w:val="00654E17"/>
    <w:rsid w:val="00656634"/>
    <w:rsid w:val="0066216C"/>
    <w:rsid w:val="00665E34"/>
    <w:rsid w:val="006675EA"/>
    <w:rsid w:val="00671E1E"/>
    <w:rsid w:val="006722A0"/>
    <w:rsid w:val="006724B9"/>
    <w:rsid w:val="00672587"/>
    <w:rsid w:val="0067512C"/>
    <w:rsid w:val="00677AB5"/>
    <w:rsid w:val="00677D6F"/>
    <w:rsid w:val="006812E2"/>
    <w:rsid w:val="00681A96"/>
    <w:rsid w:val="00685DA5"/>
    <w:rsid w:val="0068673B"/>
    <w:rsid w:val="00694EC1"/>
    <w:rsid w:val="006956E5"/>
    <w:rsid w:val="0069644B"/>
    <w:rsid w:val="006976AD"/>
    <w:rsid w:val="00697E3B"/>
    <w:rsid w:val="006A108F"/>
    <w:rsid w:val="006A2254"/>
    <w:rsid w:val="006A6116"/>
    <w:rsid w:val="006A7E4F"/>
    <w:rsid w:val="006B04A7"/>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F18"/>
    <w:rsid w:val="006D02C0"/>
    <w:rsid w:val="006D184F"/>
    <w:rsid w:val="006D2D7B"/>
    <w:rsid w:val="006D3595"/>
    <w:rsid w:val="006D4F77"/>
    <w:rsid w:val="006D6793"/>
    <w:rsid w:val="006E041E"/>
    <w:rsid w:val="006E5BEA"/>
    <w:rsid w:val="006F0EB7"/>
    <w:rsid w:val="006F6671"/>
    <w:rsid w:val="006F7EBB"/>
    <w:rsid w:val="00700F72"/>
    <w:rsid w:val="007013DE"/>
    <w:rsid w:val="00701830"/>
    <w:rsid w:val="00702F63"/>
    <w:rsid w:val="00710812"/>
    <w:rsid w:val="00711E9D"/>
    <w:rsid w:val="007130CE"/>
    <w:rsid w:val="00713548"/>
    <w:rsid w:val="00713B1C"/>
    <w:rsid w:val="00714DB9"/>
    <w:rsid w:val="00714DC9"/>
    <w:rsid w:val="0071700B"/>
    <w:rsid w:val="00717BD5"/>
    <w:rsid w:val="00720CC1"/>
    <w:rsid w:val="00720FED"/>
    <w:rsid w:val="007249D7"/>
    <w:rsid w:val="007252DA"/>
    <w:rsid w:val="00732798"/>
    <w:rsid w:val="00737264"/>
    <w:rsid w:val="007406C2"/>
    <w:rsid w:val="007407AE"/>
    <w:rsid w:val="00740CE1"/>
    <w:rsid w:val="0074126C"/>
    <w:rsid w:val="00741B47"/>
    <w:rsid w:val="00745DE7"/>
    <w:rsid w:val="00746C0D"/>
    <w:rsid w:val="00750326"/>
    <w:rsid w:val="0075278E"/>
    <w:rsid w:val="00754F5F"/>
    <w:rsid w:val="00757401"/>
    <w:rsid w:val="00757673"/>
    <w:rsid w:val="007576FA"/>
    <w:rsid w:val="00757C71"/>
    <w:rsid w:val="00763D77"/>
    <w:rsid w:val="00763EDE"/>
    <w:rsid w:val="00764F01"/>
    <w:rsid w:val="00765C4D"/>
    <w:rsid w:val="007663E0"/>
    <w:rsid w:val="00773904"/>
    <w:rsid w:val="00773C4B"/>
    <w:rsid w:val="00773D16"/>
    <w:rsid w:val="007740A8"/>
    <w:rsid w:val="00775C8A"/>
    <w:rsid w:val="00775F73"/>
    <w:rsid w:val="007776E8"/>
    <w:rsid w:val="007815C4"/>
    <w:rsid w:val="00783FBE"/>
    <w:rsid w:val="0078628B"/>
    <w:rsid w:val="0078784C"/>
    <w:rsid w:val="007958BF"/>
    <w:rsid w:val="007A0D98"/>
    <w:rsid w:val="007A6D99"/>
    <w:rsid w:val="007A7E01"/>
    <w:rsid w:val="007B05F5"/>
    <w:rsid w:val="007B6A97"/>
    <w:rsid w:val="007C2805"/>
    <w:rsid w:val="007C3D60"/>
    <w:rsid w:val="007C5712"/>
    <w:rsid w:val="007C672F"/>
    <w:rsid w:val="007D0337"/>
    <w:rsid w:val="007D0701"/>
    <w:rsid w:val="007D2ED9"/>
    <w:rsid w:val="007E2CB8"/>
    <w:rsid w:val="007E3A49"/>
    <w:rsid w:val="007E52D5"/>
    <w:rsid w:val="007E6725"/>
    <w:rsid w:val="007E7187"/>
    <w:rsid w:val="007E773A"/>
    <w:rsid w:val="007F00BA"/>
    <w:rsid w:val="007F202F"/>
    <w:rsid w:val="007F20D9"/>
    <w:rsid w:val="007F46F6"/>
    <w:rsid w:val="007F664A"/>
    <w:rsid w:val="007F66E6"/>
    <w:rsid w:val="007F68CC"/>
    <w:rsid w:val="00804822"/>
    <w:rsid w:val="00813005"/>
    <w:rsid w:val="00813FEF"/>
    <w:rsid w:val="00816397"/>
    <w:rsid w:val="00817ACD"/>
    <w:rsid w:val="00823310"/>
    <w:rsid w:val="008249B7"/>
    <w:rsid w:val="00826879"/>
    <w:rsid w:val="008272FD"/>
    <w:rsid w:val="00827A4E"/>
    <w:rsid w:val="00832891"/>
    <w:rsid w:val="008339A8"/>
    <w:rsid w:val="00836959"/>
    <w:rsid w:val="00847D4E"/>
    <w:rsid w:val="00851D03"/>
    <w:rsid w:val="008536CE"/>
    <w:rsid w:val="00854A3E"/>
    <w:rsid w:val="00854C3B"/>
    <w:rsid w:val="00855988"/>
    <w:rsid w:val="00856D80"/>
    <w:rsid w:val="00860C40"/>
    <w:rsid w:val="00862A5B"/>
    <w:rsid w:val="00862D4C"/>
    <w:rsid w:val="00863DFC"/>
    <w:rsid w:val="0086441B"/>
    <w:rsid w:val="00865C7C"/>
    <w:rsid w:val="00870558"/>
    <w:rsid w:val="00873E64"/>
    <w:rsid w:val="00875FFC"/>
    <w:rsid w:val="008773A8"/>
    <w:rsid w:val="00880861"/>
    <w:rsid w:val="00884733"/>
    <w:rsid w:val="00886901"/>
    <w:rsid w:val="0089069D"/>
    <w:rsid w:val="008935DC"/>
    <w:rsid w:val="00896252"/>
    <w:rsid w:val="0089651C"/>
    <w:rsid w:val="00896608"/>
    <w:rsid w:val="008A75A2"/>
    <w:rsid w:val="008C0905"/>
    <w:rsid w:val="008C26A3"/>
    <w:rsid w:val="008C4A56"/>
    <w:rsid w:val="008D05CC"/>
    <w:rsid w:val="008D0D68"/>
    <w:rsid w:val="008D306F"/>
    <w:rsid w:val="008D3292"/>
    <w:rsid w:val="008D3912"/>
    <w:rsid w:val="008E1877"/>
    <w:rsid w:val="008E4C32"/>
    <w:rsid w:val="008F195C"/>
    <w:rsid w:val="008F3789"/>
    <w:rsid w:val="008F525A"/>
    <w:rsid w:val="008F5663"/>
    <w:rsid w:val="008F6D3F"/>
    <w:rsid w:val="008F71A1"/>
    <w:rsid w:val="008F7FE1"/>
    <w:rsid w:val="00900B9E"/>
    <w:rsid w:val="00901A45"/>
    <w:rsid w:val="00902AF3"/>
    <w:rsid w:val="00915FA4"/>
    <w:rsid w:val="009179FB"/>
    <w:rsid w:val="009203FD"/>
    <w:rsid w:val="0092483C"/>
    <w:rsid w:val="009264DF"/>
    <w:rsid w:val="009317ED"/>
    <w:rsid w:val="0093355D"/>
    <w:rsid w:val="00935D92"/>
    <w:rsid w:val="009361EB"/>
    <w:rsid w:val="00941003"/>
    <w:rsid w:val="009425B3"/>
    <w:rsid w:val="00945BF2"/>
    <w:rsid w:val="0094711E"/>
    <w:rsid w:val="0094724E"/>
    <w:rsid w:val="0095126A"/>
    <w:rsid w:val="00952951"/>
    <w:rsid w:val="00953A07"/>
    <w:rsid w:val="00954442"/>
    <w:rsid w:val="00955B6D"/>
    <w:rsid w:val="009570F0"/>
    <w:rsid w:val="00957398"/>
    <w:rsid w:val="0096219B"/>
    <w:rsid w:val="00963289"/>
    <w:rsid w:val="00963607"/>
    <w:rsid w:val="009658DA"/>
    <w:rsid w:val="0096675F"/>
    <w:rsid w:val="00966884"/>
    <w:rsid w:val="00971D8C"/>
    <w:rsid w:val="00972425"/>
    <w:rsid w:val="009733F5"/>
    <w:rsid w:val="0097560B"/>
    <w:rsid w:val="009767DE"/>
    <w:rsid w:val="0098401D"/>
    <w:rsid w:val="009849E5"/>
    <w:rsid w:val="00985D3C"/>
    <w:rsid w:val="0098683C"/>
    <w:rsid w:val="0098753E"/>
    <w:rsid w:val="009923A9"/>
    <w:rsid w:val="00996071"/>
    <w:rsid w:val="009964CD"/>
    <w:rsid w:val="00997637"/>
    <w:rsid w:val="009A27D2"/>
    <w:rsid w:val="009A53C8"/>
    <w:rsid w:val="009A6414"/>
    <w:rsid w:val="009B3D65"/>
    <w:rsid w:val="009B426B"/>
    <w:rsid w:val="009B5513"/>
    <w:rsid w:val="009B626F"/>
    <w:rsid w:val="009B7251"/>
    <w:rsid w:val="009C0ABF"/>
    <w:rsid w:val="009C43E7"/>
    <w:rsid w:val="009C6FAF"/>
    <w:rsid w:val="009D14CA"/>
    <w:rsid w:val="009D5757"/>
    <w:rsid w:val="009D7DB0"/>
    <w:rsid w:val="009E1D78"/>
    <w:rsid w:val="009E20AB"/>
    <w:rsid w:val="009E295D"/>
    <w:rsid w:val="009E5B17"/>
    <w:rsid w:val="009E78B5"/>
    <w:rsid w:val="009E7925"/>
    <w:rsid w:val="009E798E"/>
    <w:rsid w:val="009F1127"/>
    <w:rsid w:val="009F4D3D"/>
    <w:rsid w:val="009F6FBF"/>
    <w:rsid w:val="009F70DC"/>
    <w:rsid w:val="00A001C3"/>
    <w:rsid w:val="00A02C15"/>
    <w:rsid w:val="00A0349A"/>
    <w:rsid w:val="00A04427"/>
    <w:rsid w:val="00A04B91"/>
    <w:rsid w:val="00A04D83"/>
    <w:rsid w:val="00A054B0"/>
    <w:rsid w:val="00A069E1"/>
    <w:rsid w:val="00A1019C"/>
    <w:rsid w:val="00A11648"/>
    <w:rsid w:val="00A2029A"/>
    <w:rsid w:val="00A24878"/>
    <w:rsid w:val="00A25ED4"/>
    <w:rsid w:val="00A26E89"/>
    <w:rsid w:val="00A30DC0"/>
    <w:rsid w:val="00A32D0C"/>
    <w:rsid w:val="00A33868"/>
    <w:rsid w:val="00A3587B"/>
    <w:rsid w:val="00A41956"/>
    <w:rsid w:val="00A42756"/>
    <w:rsid w:val="00A43EB3"/>
    <w:rsid w:val="00A44DD4"/>
    <w:rsid w:val="00A47DD9"/>
    <w:rsid w:val="00A50FB9"/>
    <w:rsid w:val="00A51F4E"/>
    <w:rsid w:val="00A5397B"/>
    <w:rsid w:val="00A54DA6"/>
    <w:rsid w:val="00A57D58"/>
    <w:rsid w:val="00A6116D"/>
    <w:rsid w:val="00A65F2C"/>
    <w:rsid w:val="00A71DC3"/>
    <w:rsid w:val="00A72188"/>
    <w:rsid w:val="00A734EF"/>
    <w:rsid w:val="00A737D3"/>
    <w:rsid w:val="00A73873"/>
    <w:rsid w:val="00A8041F"/>
    <w:rsid w:val="00A8062A"/>
    <w:rsid w:val="00A807A5"/>
    <w:rsid w:val="00A842F8"/>
    <w:rsid w:val="00A8458D"/>
    <w:rsid w:val="00A87B0A"/>
    <w:rsid w:val="00A93198"/>
    <w:rsid w:val="00A9668D"/>
    <w:rsid w:val="00A97137"/>
    <w:rsid w:val="00AA1BF0"/>
    <w:rsid w:val="00AA4441"/>
    <w:rsid w:val="00AA5045"/>
    <w:rsid w:val="00AA73FE"/>
    <w:rsid w:val="00AA7D8F"/>
    <w:rsid w:val="00AB14AF"/>
    <w:rsid w:val="00AC390C"/>
    <w:rsid w:val="00AC51F3"/>
    <w:rsid w:val="00AC532F"/>
    <w:rsid w:val="00AC710B"/>
    <w:rsid w:val="00AC768E"/>
    <w:rsid w:val="00AC7B67"/>
    <w:rsid w:val="00AD0B89"/>
    <w:rsid w:val="00AD47D4"/>
    <w:rsid w:val="00AD62D8"/>
    <w:rsid w:val="00AD78DA"/>
    <w:rsid w:val="00AE1546"/>
    <w:rsid w:val="00AE33D9"/>
    <w:rsid w:val="00AE7A63"/>
    <w:rsid w:val="00AF267E"/>
    <w:rsid w:val="00AF63C3"/>
    <w:rsid w:val="00AF7CE1"/>
    <w:rsid w:val="00B00E7C"/>
    <w:rsid w:val="00B011E3"/>
    <w:rsid w:val="00B0301F"/>
    <w:rsid w:val="00B0351C"/>
    <w:rsid w:val="00B03934"/>
    <w:rsid w:val="00B048B1"/>
    <w:rsid w:val="00B11686"/>
    <w:rsid w:val="00B12C6B"/>
    <w:rsid w:val="00B13276"/>
    <w:rsid w:val="00B139D9"/>
    <w:rsid w:val="00B14EAD"/>
    <w:rsid w:val="00B22DD8"/>
    <w:rsid w:val="00B26826"/>
    <w:rsid w:val="00B31D15"/>
    <w:rsid w:val="00B31D8E"/>
    <w:rsid w:val="00B32E81"/>
    <w:rsid w:val="00B34146"/>
    <w:rsid w:val="00B351C5"/>
    <w:rsid w:val="00B437D7"/>
    <w:rsid w:val="00B43C10"/>
    <w:rsid w:val="00B46744"/>
    <w:rsid w:val="00B477DB"/>
    <w:rsid w:val="00B50307"/>
    <w:rsid w:val="00B5050B"/>
    <w:rsid w:val="00B50EBF"/>
    <w:rsid w:val="00B53ED3"/>
    <w:rsid w:val="00B549C0"/>
    <w:rsid w:val="00B54E3D"/>
    <w:rsid w:val="00B55214"/>
    <w:rsid w:val="00B55FAF"/>
    <w:rsid w:val="00B64AEB"/>
    <w:rsid w:val="00B64D08"/>
    <w:rsid w:val="00B70A39"/>
    <w:rsid w:val="00B70AB2"/>
    <w:rsid w:val="00B72EEE"/>
    <w:rsid w:val="00B76F72"/>
    <w:rsid w:val="00B809B1"/>
    <w:rsid w:val="00B824F1"/>
    <w:rsid w:val="00B87183"/>
    <w:rsid w:val="00B92AD4"/>
    <w:rsid w:val="00BA1684"/>
    <w:rsid w:val="00BB1819"/>
    <w:rsid w:val="00BB3C34"/>
    <w:rsid w:val="00BB42DF"/>
    <w:rsid w:val="00BB4EBA"/>
    <w:rsid w:val="00BB5DA9"/>
    <w:rsid w:val="00BC014F"/>
    <w:rsid w:val="00BC0164"/>
    <w:rsid w:val="00BC28D4"/>
    <w:rsid w:val="00BC5B54"/>
    <w:rsid w:val="00BC78A2"/>
    <w:rsid w:val="00BD142D"/>
    <w:rsid w:val="00BD505D"/>
    <w:rsid w:val="00BD61A7"/>
    <w:rsid w:val="00BE09CA"/>
    <w:rsid w:val="00BE114C"/>
    <w:rsid w:val="00BE7761"/>
    <w:rsid w:val="00BF03A9"/>
    <w:rsid w:val="00BF0F57"/>
    <w:rsid w:val="00BF14BC"/>
    <w:rsid w:val="00C00948"/>
    <w:rsid w:val="00C00B45"/>
    <w:rsid w:val="00C047F9"/>
    <w:rsid w:val="00C06CDB"/>
    <w:rsid w:val="00C06D0F"/>
    <w:rsid w:val="00C070FB"/>
    <w:rsid w:val="00C13799"/>
    <w:rsid w:val="00C2460C"/>
    <w:rsid w:val="00C2552A"/>
    <w:rsid w:val="00C308BE"/>
    <w:rsid w:val="00C31F5F"/>
    <w:rsid w:val="00C32053"/>
    <w:rsid w:val="00C40FD8"/>
    <w:rsid w:val="00C41730"/>
    <w:rsid w:val="00C41733"/>
    <w:rsid w:val="00C43D44"/>
    <w:rsid w:val="00C462C4"/>
    <w:rsid w:val="00C55A65"/>
    <w:rsid w:val="00C60C71"/>
    <w:rsid w:val="00C632B3"/>
    <w:rsid w:val="00C63B7C"/>
    <w:rsid w:val="00C70D48"/>
    <w:rsid w:val="00C71038"/>
    <w:rsid w:val="00C77158"/>
    <w:rsid w:val="00C77DFE"/>
    <w:rsid w:val="00C80D4B"/>
    <w:rsid w:val="00C8278A"/>
    <w:rsid w:val="00C8558C"/>
    <w:rsid w:val="00C85ABE"/>
    <w:rsid w:val="00C90A57"/>
    <w:rsid w:val="00C91F07"/>
    <w:rsid w:val="00C92120"/>
    <w:rsid w:val="00C942FC"/>
    <w:rsid w:val="00C966DA"/>
    <w:rsid w:val="00C976B2"/>
    <w:rsid w:val="00CA1213"/>
    <w:rsid w:val="00CA16E3"/>
    <w:rsid w:val="00CA2E29"/>
    <w:rsid w:val="00CA3607"/>
    <w:rsid w:val="00CA72F1"/>
    <w:rsid w:val="00CB2DCB"/>
    <w:rsid w:val="00CB4591"/>
    <w:rsid w:val="00CB6F85"/>
    <w:rsid w:val="00CC0473"/>
    <w:rsid w:val="00CC1E8D"/>
    <w:rsid w:val="00CC3970"/>
    <w:rsid w:val="00CC3ED1"/>
    <w:rsid w:val="00CC4988"/>
    <w:rsid w:val="00CD66D5"/>
    <w:rsid w:val="00CE0A40"/>
    <w:rsid w:val="00CE1852"/>
    <w:rsid w:val="00CE2946"/>
    <w:rsid w:val="00CE4329"/>
    <w:rsid w:val="00CF1014"/>
    <w:rsid w:val="00CF7619"/>
    <w:rsid w:val="00D00EA0"/>
    <w:rsid w:val="00D01999"/>
    <w:rsid w:val="00D01A50"/>
    <w:rsid w:val="00D05D33"/>
    <w:rsid w:val="00D160F3"/>
    <w:rsid w:val="00D17B72"/>
    <w:rsid w:val="00D17E86"/>
    <w:rsid w:val="00D201E6"/>
    <w:rsid w:val="00D20FFB"/>
    <w:rsid w:val="00D23118"/>
    <w:rsid w:val="00D2517E"/>
    <w:rsid w:val="00D25CD7"/>
    <w:rsid w:val="00D3261D"/>
    <w:rsid w:val="00D33A08"/>
    <w:rsid w:val="00D35F06"/>
    <w:rsid w:val="00D36226"/>
    <w:rsid w:val="00D43886"/>
    <w:rsid w:val="00D455D4"/>
    <w:rsid w:val="00D45E62"/>
    <w:rsid w:val="00D46DC4"/>
    <w:rsid w:val="00D5062B"/>
    <w:rsid w:val="00D53541"/>
    <w:rsid w:val="00D55E39"/>
    <w:rsid w:val="00D60633"/>
    <w:rsid w:val="00D620FF"/>
    <w:rsid w:val="00D63E1C"/>
    <w:rsid w:val="00D64AFB"/>
    <w:rsid w:val="00D65A90"/>
    <w:rsid w:val="00D65BF3"/>
    <w:rsid w:val="00D73D35"/>
    <w:rsid w:val="00D74C34"/>
    <w:rsid w:val="00D7679A"/>
    <w:rsid w:val="00D76A3B"/>
    <w:rsid w:val="00D80821"/>
    <w:rsid w:val="00D83505"/>
    <w:rsid w:val="00D872B1"/>
    <w:rsid w:val="00D91D07"/>
    <w:rsid w:val="00DC1CC0"/>
    <w:rsid w:val="00DC273F"/>
    <w:rsid w:val="00DC38B8"/>
    <w:rsid w:val="00DC4475"/>
    <w:rsid w:val="00DC58C0"/>
    <w:rsid w:val="00DD3A2B"/>
    <w:rsid w:val="00DD61DE"/>
    <w:rsid w:val="00DE11A5"/>
    <w:rsid w:val="00DE25A0"/>
    <w:rsid w:val="00DE4E91"/>
    <w:rsid w:val="00DF0B35"/>
    <w:rsid w:val="00DF39D2"/>
    <w:rsid w:val="00DF56A7"/>
    <w:rsid w:val="00DF6BBB"/>
    <w:rsid w:val="00DF7125"/>
    <w:rsid w:val="00E017F3"/>
    <w:rsid w:val="00E01912"/>
    <w:rsid w:val="00E04749"/>
    <w:rsid w:val="00E07A22"/>
    <w:rsid w:val="00E16674"/>
    <w:rsid w:val="00E21911"/>
    <w:rsid w:val="00E2417A"/>
    <w:rsid w:val="00E25B4B"/>
    <w:rsid w:val="00E26437"/>
    <w:rsid w:val="00E30E17"/>
    <w:rsid w:val="00E37F4B"/>
    <w:rsid w:val="00E411A9"/>
    <w:rsid w:val="00E4350D"/>
    <w:rsid w:val="00E4387D"/>
    <w:rsid w:val="00E43A22"/>
    <w:rsid w:val="00E46BB2"/>
    <w:rsid w:val="00E5325E"/>
    <w:rsid w:val="00E54CEB"/>
    <w:rsid w:val="00E557D7"/>
    <w:rsid w:val="00E55E85"/>
    <w:rsid w:val="00E560EA"/>
    <w:rsid w:val="00E62588"/>
    <w:rsid w:val="00E6313E"/>
    <w:rsid w:val="00E7396A"/>
    <w:rsid w:val="00E73FD6"/>
    <w:rsid w:val="00E74EFA"/>
    <w:rsid w:val="00E76CD4"/>
    <w:rsid w:val="00E86CF4"/>
    <w:rsid w:val="00E90586"/>
    <w:rsid w:val="00E9183E"/>
    <w:rsid w:val="00E91C1D"/>
    <w:rsid w:val="00E936B6"/>
    <w:rsid w:val="00E94476"/>
    <w:rsid w:val="00E948E4"/>
    <w:rsid w:val="00E960BA"/>
    <w:rsid w:val="00E96C90"/>
    <w:rsid w:val="00E9768D"/>
    <w:rsid w:val="00EA067A"/>
    <w:rsid w:val="00EA1A26"/>
    <w:rsid w:val="00EA2F92"/>
    <w:rsid w:val="00EA5A23"/>
    <w:rsid w:val="00EA7141"/>
    <w:rsid w:val="00EB27E9"/>
    <w:rsid w:val="00EB5774"/>
    <w:rsid w:val="00EB6169"/>
    <w:rsid w:val="00EB64CF"/>
    <w:rsid w:val="00EB74A3"/>
    <w:rsid w:val="00EC1F3E"/>
    <w:rsid w:val="00EC65CA"/>
    <w:rsid w:val="00ED2C01"/>
    <w:rsid w:val="00ED7B9C"/>
    <w:rsid w:val="00EE3131"/>
    <w:rsid w:val="00EE6D9A"/>
    <w:rsid w:val="00EE7426"/>
    <w:rsid w:val="00EF0027"/>
    <w:rsid w:val="00EF0F49"/>
    <w:rsid w:val="00EF26EB"/>
    <w:rsid w:val="00EF291C"/>
    <w:rsid w:val="00EF584E"/>
    <w:rsid w:val="00F007F5"/>
    <w:rsid w:val="00F01D4C"/>
    <w:rsid w:val="00F02583"/>
    <w:rsid w:val="00F04C12"/>
    <w:rsid w:val="00F052B6"/>
    <w:rsid w:val="00F115D4"/>
    <w:rsid w:val="00F14219"/>
    <w:rsid w:val="00F14A3D"/>
    <w:rsid w:val="00F1565A"/>
    <w:rsid w:val="00F156C3"/>
    <w:rsid w:val="00F25E14"/>
    <w:rsid w:val="00F271F7"/>
    <w:rsid w:val="00F36B32"/>
    <w:rsid w:val="00F444F7"/>
    <w:rsid w:val="00F45722"/>
    <w:rsid w:val="00F462EB"/>
    <w:rsid w:val="00F50082"/>
    <w:rsid w:val="00F519C6"/>
    <w:rsid w:val="00F51B2D"/>
    <w:rsid w:val="00F54B9B"/>
    <w:rsid w:val="00F55497"/>
    <w:rsid w:val="00F56075"/>
    <w:rsid w:val="00F57A5E"/>
    <w:rsid w:val="00F607AE"/>
    <w:rsid w:val="00F62599"/>
    <w:rsid w:val="00F62C3C"/>
    <w:rsid w:val="00F63B47"/>
    <w:rsid w:val="00F64602"/>
    <w:rsid w:val="00F65701"/>
    <w:rsid w:val="00F7230C"/>
    <w:rsid w:val="00F74C22"/>
    <w:rsid w:val="00F80B2F"/>
    <w:rsid w:val="00F81D1A"/>
    <w:rsid w:val="00F84389"/>
    <w:rsid w:val="00F851EC"/>
    <w:rsid w:val="00F854CA"/>
    <w:rsid w:val="00F855A7"/>
    <w:rsid w:val="00F86B1F"/>
    <w:rsid w:val="00F87AF0"/>
    <w:rsid w:val="00F94259"/>
    <w:rsid w:val="00F96F1F"/>
    <w:rsid w:val="00FA0025"/>
    <w:rsid w:val="00FA0E7F"/>
    <w:rsid w:val="00FA24B0"/>
    <w:rsid w:val="00FA4314"/>
    <w:rsid w:val="00FA45BB"/>
    <w:rsid w:val="00FA5099"/>
    <w:rsid w:val="00FA72FD"/>
    <w:rsid w:val="00FB04B7"/>
    <w:rsid w:val="00FB4551"/>
    <w:rsid w:val="00FB698B"/>
    <w:rsid w:val="00FC2F44"/>
    <w:rsid w:val="00FC62BC"/>
    <w:rsid w:val="00FC63D2"/>
    <w:rsid w:val="00FD1481"/>
    <w:rsid w:val="00FD30D6"/>
    <w:rsid w:val="00FD6378"/>
    <w:rsid w:val="00FE2612"/>
    <w:rsid w:val="00FE2DE8"/>
    <w:rsid w:val="00FF018B"/>
    <w:rsid w:val="00FF0708"/>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7">
      <o:colormru v:ext="edit" colors="#eaeaea"/>
    </o:shapedefaults>
    <o:shapelayout v:ext="edit">
      <o:idmap v:ext="edit" data="1"/>
    </o:shapelayout>
  </w:shapeDefaults>
  <w:decimalSymbol w:val="."/>
  <w:listSeparator w:val=","/>
  <w14:docId w14:val="5936C515"/>
  <w15:docId w15:val="{3E55D180-66F8-49CB-B879-4C716FB5C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header" Target="header2.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l\AppData\Local\Temp\Rar$DIa0.296\full_paper.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full_paper.dot</Template>
  <TotalTime>0</TotalTime>
  <Pages>10</Pages>
  <Words>6600</Words>
  <Characters>37622</Characters>
  <Application>Microsoft Office Word</Application>
  <DocSecurity>4</DocSecurity>
  <Lines>313</Lines>
  <Paragraphs>88</Paragraphs>
  <ScaleCrop>false</ScaleCrop>
  <HeadingPairs>
    <vt:vector size="6" baseType="variant">
      <vt:variant>
        <vt:lpstr>Title</vt:lpstr>
      </vt:variant>
      <vt:variant>
        <vt:i4>1</vt:i4>
      </vt:variant>
      <vt:variant>
        <vt:lpstr>Název</vt:lpstr>
      </vt:variant>
      <vt:variant>
        <vt:i4>1</vt:i4>
      </vt:variant>
      <vt:variant>
        <vt:lpstr>Titel</vt:lpstr>
      </vt:variant>
      <vt:variant>
        <vt:i4>1</vt:i4>
      </vt:variant>
    </vt:vector>
  </HeadingPairs>
  <TitlesOfParts>
    <vt:vector size="3" baseType="lpstr">
      <vt:lpstr>((Title))</vt:lpstr>
      <vt:lpstr>((Title))</vt:lpstr>
      <vt:lpstr>((Title))</vt:lpstr>
    </vt:vector>
  </TitlesOfParts>
  <Company>WILEY-VCH Verlag GmbH &amp; Co. KGaA</Company>
  <LinksUpToDate>false</LinksUpToDate>
  <CharactersWithSpaces>44134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Karel</dc:creator>
  <cp:lastModifiedBy>Polcar T.</cp:lastModifiedBy>
  <cp:revision>2</cp:revision>
  <cp:lastPrinted>2012-11-08T14:19:00Z</cp:lastPrinted>
  <dcterms:created xsi:type="dcterms:W3CDTF">2017-04-10T16:42:00Z</dcterms:created>
  <dcterms:modified xsi:type="dcterms:W3CDTF">2017-04-10T16:42:00Z</dcterms:modified>
</cp:coreProperties>
</file>