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F2F" w:rsidRPr="00086743" w:rsidRDefault="00D94223" w:rsidP="00681477">
      <w:pPr>
        <w:spacing w:before="240" w:line="360" w:lineRule="auto"/>
        <w:jc w:val="center"/>
        <w:rPr>
          <w:rFonts w:ascii="Cambria" w:hAnsi="Cambria" w:cstheme="majorBidi"/>
          <w:b/>
        </w:rPr>
      </w:pPr>
      <w:r w:rsidRPr="00086743">
        <w:rPr>
          <w:rFonts w:ascii="Cambria" w:hAnsi="Cambria" w:cstheme="majorBidi"/>
          <w:b/>
        </w:rPr>
        <w:t xml:space="preserve">REVISED </w:t>
      </w:r>
      <w:r w:rsidR="00165F2F" w:rsidRPr="00086743">
        <w:rPr>
          <w:rFonts w:ascii="Cambria" w:hAnsi="Cambria" w:cstheme="majorBidi"/>
          <w:b/>
        </w:rPr>
        <w:t xml:space="preserve">VERSION </w:t>
      </w:r>
    </w:p>
    <w:p w:rsidR="00826AE1" w:rsidRPr="00086743" w:rsidRDefault="00826AE1" w:rsidP="00681477">
      <w:pPr>
        <w:spacing w:before="240" w:line="360" w:lineRule="auto"/>
        <w:jc w:val="center"/>
        <w:rPr>
          <w:rFonts w:ascii="Cambria" w:hAnsi="Cambria" w:cstheme="majorBidi"/>
          <w:b/>
        </w:rPr>
      </w:pPr>
      <w:r w:rsidRPr="00086743">
        <w:rPr>
          <w:rFonts w:ascii="Cambria" w:hAnsi="Cambria" w:cstheme="majorBidi"/>
          <w:b/>
        </w:rPr>
        <w:t>TITLE PAGE</w:t>
      </w:r>
    </w:p>
    <w:p w:rsidR="002E5DDA" w:rsidRPr="006C2B29" w:rsidRDefault="00EC2F30" w:rsidP="00681477">
      <w:pPr>
        <w:spacing w:before="240" w:line="360" w:lineRule="auto"/>
        <w:rPr>
          <w:rFonts w:cstheme="majorBidi"/>
          <w:b/>
        </w:rPr>
      </w:pPr>
      <w:r w:rsidRPr="006C2B29">
        <w:rPr>
          <w:rFonts w:cstheme="majorBidi"/>
          <w:b/>
        </w:rPr>
        <w:t xml:space="preserve">Has </w:t>
      </w:r>
      <w:r w:rsidR="00445F67" w:rsidRPr="006C2B29">
        <w:rPr>
          <w:rFonts w:cstheme="majorBidi"/>
          <w:b/>
        </w:rPr>
        <w:t xml:space="preserve">the </w:t>
      </w:r>
      <w:r w:rsidRPr="006C2B29">
        <w:rPr>
          <w:rFonts w:cstheme="majorBidi"/>
          <w:b/>
        </w:rPr>
        <w:t xml:space="preserve">NHS 111 </w:t>
      </w:r>
      <w:r w:rsidR="00445F67" w:rsidRPr="006C2B29">
        <w:rPr>
          <w:rFonts w:cstheme="majorBidi"/>
          <w:b/>
        </w:rPr>
        <w:t xml:space="preserve">urgent care telephone service </w:t>
      </w:r>
      <w:r w:rsidRPr="006C2B29">
        <w:rPr>
          <w:rFonts w:cstheme="majorBidi"/>
          <w:b/>
        </w:rPr>
        <w:t xml:space="preserve">been </w:t>
      </w:r>
      <w:r w:rsidR="00F35A05" w:rsidRPr="006C2B29">
        <w:rPr>
          <w:rFonts w:cstheme="majorBidi"/>
          <w:b/>
        </w:rPr>
        <w:t xml:space="preserve">a </w:t>
      </w:r>
      <w:r w:rsidRPr="006C2B29">
        <w:rPr>
          <w:rFonts w:cstheme="majorBidi"/>
          <w:b/>
        </w:rPr>
        <w:t>success?</w:t>
      </w:r>
      <w:r w:rsidR="00D255F1" w:rsidRPr="006C2B29">
        <w:rPr>
          <w:rFonts w:cstheme="majorBidi"/>
          <w:b/>
        </w:rPr>
        <w:t xml:space="preserve"> Case study and secondary data analysis</w:t>
      </w:r>
      <w:r w:rsidR="006C2B29" w:rsidRPr="006C2B29">
        <w:rPr>
          <w:rFonts w:cstheme="majorBidi"/>
          <w:b/>
        </w:rPr>
        <w:t xml:space="preserve"> </w:t>
      </w:r>
      <w:r w:rsidR="006C2B29" w:rsidRPr="006C2B29">
        <w:rPr>
          <w:rFonts w:cs="Arial"/>
          <w:b/>
          <w:color w:val="222222"/>
          <w:shd w:val="clear" w:color="auto" w:fill="FFFFFF"/>
        </w:rPr>
        <w:t>in England</w:t>
      </w:r>
    </w:p>
    <w:p w:rsidR="00445F67" w:rsidRPr="00086743" w:rsidRDefault="00445F67" w:rsidP="00681477">
      <w:pPr>
        <w:spacing w:before="240" w:line="360" w:lineRule="auto"/>
        <w:rPr>
          <w:rFonts w:ascii="Cambria" w:hAnsi="Cambria" w:cstheme="majorBidi"/>
          <w:b/>
          <w:bCs/>
        </w:rPr>
      </w:pPr>
      <w:r w:rsidRPr="00086743">
        <w:rPr>
          <w:rFonts w:ascii="Cambria" w:hAnsi="Cambria" w:cstheme="majorBidi"/>
          <w:b/>
          <w:bCs/>
        </w:rPr>
        <w:t xml:space="preserve">Authors: </w:t>
      </w:r>
    </w:p>
    <w:p w:rsidR="00445F67" w:rsidRPr="00086743" w:rsidRDefault="00445F67" w:rsidP="00681477">
      <w:pPr>
        <w:spacing w:before="240" w:line="360" w:lineRule="auto"/>
        <w:rPr>
          <w:rFonts w:ascii="Cambria" w:hAnsi="Cambria" w:cstheme="majorBidi"/>
          <w:b/>
          <w:bCs/>
        </w:rPr>
      </w:pPr>
      <w:r w:rsidRPr="00086743">
        <w:rPr>
          <w:rFonts w:ascii="Cambria" w:hAnsi="Cambria" w:cstheme="majorBidi"/>
          <w:b/>
          <w:bCs/>
        </w:rPr>
        <w:t xml:space="preserve">Catherine Pope </w:t>
      </w:r>
      <w:r w:rsidRPr="00086743">
        <w:rPr>
          <w:rFonts w:ascii="Cambria" w:hAnsi="Cambria" w:cstheme="majorBidi"/>
        </w:rPr>
        <w:t>(corresponding author)</w:t>
      </w:r>
      <w:r w:rsidRPr="00086743">
        <w:rPr>
          <w:rFonts w:ascii="Cambria" w:hAnsi="Cambria" w:cstheme="majorBidi"/>
          <w:b/>
          <w:bCs/>
        </w:rPr>
        <w:t xml:space="preserve"> </w:t>
      </w:r>
    </w:p>
    <w:p w:rsidR="00445F67" w:rsidRPr="00086743" w:rsidRDefault="00445F67" w:rsidP="00681477">
      <w:pPr>
        <w:spacing w:before="240" w:line="360" w:lineRule="auto"/>
        <w:rPr>
          <w:rFonts w:ascii="Cambria" w:hAnsi="Cambria" w:cstheme="majorBidi"/>
        </w:rPr>
      </w:pPr>
      <w:r w:rsidRPr="00086743">
        <w:rPr>
          <w:rFonts w:ascii="Cambria" w:hAnsi="Cambria" w:cstheme="majorBidi"/>
        </w:rPr>
        <w:t xml:space="preserve">Faculty of Health Sciences, University of Southampton, Nightingale Building 67, Highfield, Southampton SO17 1BJ, UK </w:t>
      </w:r>
    </w:p>
    <w:p w:rsidR="00445F67" w:rsidRPr="00086743" w:rsidRDefault="00577919" w:rsidP="00681477">
      <w:pPr>
        <w:spacing w:before="240" w:line="360" w:lineRule="auto"/>
        <w:rPr>
          <w:rFonts w:ascii="Cambria" w:hAnsi="Cambria" w:cstheme="majorBidi"/>
        </w:rPr>
      </w:pPr>
      <w:r w:rsidRPr="00086743">
        <w:rPr>
          <w:rFonts w:ascii="Cambria" w:hAnsi="Cambria" w:cstheme="majorBidi"/>
        </w:rPr>
        <w:t xml:space="preserve">Email </w:t>
      </w:r>
      <w:r w:rsidR="00445F67" w:rsidRPr="00086743">
        <w:rPr>
          <w:rFonts w:ascii="Cambria" w:hAnsi="Cambria" w:cstheme="majorBidi"/>
        </w:rPr>
        <w:t>:</w:t>
      </w:r>
      <w:r w:rsidR="00AD2160" w:rsidRPr="00086743">
        <w:rPr>
          <w:rFonts w:ascii="Cambria" w:hAnsi="Cambria" w:cstheme="majorBidi"/>
        </w:rPr>
        <w:t xml:space="preserve"> </w:t>
      </w:r>
      <w:r w:rsidR="00445F67" w:rsidRPr="00086743">
        <w:rPr>
          <w:rFonts w:ascii="Cambria" w:hAnsi="Cambria" w:cstheme="majorBidi"/>
        </w:rPr>
        <w:t xml:space="preserve">cjp@soton.ac.uk </w:t>
      </w:r>
    </w:p>
    <w:p w:rsidR="00445F67" w:rsidRPr="00086743" w:rsidRDefault="00577919" w:rsidP="00681477">
      <w:pPr>
        <w:spacing w:before="240" w:line="360" w:lineRule="auto"/>
        <w:rPr>
          <w:rFonts w:ascii="Cambria" w:hAnsi="Cambria" w:cstheme="majorBidi"/>
        </w:rPr>
      </w:pPr>
      <w:r w:rsidRPr="00086743">
        <w:rPr>
          <w:rFonts w:ascii="Cambria" w:hAnsi="Cambria" w:cstheme="majorBidi"/>
        </w:rPr>
        <w:t>T</w:t>
      </w:r>
      <w:r w:rsidR="00445F67" w:rsidRPr="00086743">
        <w:rPr>
          <w:rFonts w:ascii="Cambria" w:hAnsi="Cambria" w:cstheme="majorBidi"/>
        </w:rPr>
        <w:t>el:</w:t>
      </w:r>
      <w:r w:rsidR="00AD2160" w:rsidRPr="00086743">
        <w:rPr>
          <w:rFonts w:ascii="Cambria" w:hAnsi="Cambria" w:cstheme="majorBidi"/>
        </w:rPr>
        <w:t xml:space="preserve"> </w:t>
      </w:r>
      <w:r w:rsidR="00445F67" w:rsidRPr="00086743">
        <w:rPr>
          <w:rFonts w:ascii="Cambria" w:hAnsi="Cambria" w:cstheme="majorBidi"/>
        </w:rPr>
        <w:t>+44</w:t>
      </w:r>
      <w:r w:rsidR="00AD2160" w:rsidRPr="00086743">
        <w:rPr>
          <w:rFonts w:ascii="Cambria" w:hAnsi="Cambria" w:cstheme="majorBidi"/>
        </w:rPr>
        <w:t xml:space="preserve"> </w:t>
      </w:r>
      <w:r w:rsidR="00445F67" w:rsidRPr="00086743">
        <w:rPr>
          <w:rFonts w:ascii="Cambria" w:hAnsi="Cambria" w:cstheme="majorBidi"/>
        </w:rPr>
        <w:t>2380598293</w:t>
      </w:r>
    </w:p>
    <w:p w:rsidR="006E0F58" w:rsidRPr="00086743" w:rsidRDefault="006E0F58" w:rsidP="00681477">
      <w:pPr>
        <w:spacing w:before="240" w:line="360" w:lineRule="auto"/>
        <w:rPr>
          <w:rFonts w:ascii="Cambria" w:hAnsi="Cambria" w:cstheme="majorBidi"/>
        </w:rPr>
      </w:pPr>
    </w:p>
    <w:p w:rsidR="00445F67" w:rsidRPr="00086743" w:rsidRDefault="00445F67" w:rsidP="00681477">
      <w:pPr>
        <w:spacing w:before="240" w:line="360" w:lineRule="auto"/>
        <w:rPr>
          <w:rFonts w:ascii="Cambria" w:hAnsi="Cambria" w:cstheme="majorBidi"/>
        </w:rPr>
      </w:pPr>
      <w:r w:rsidRPr="00086743">
        <w:rPr>
          <w:rFonts w:ascii="Cambria" w:hAnsi="Cambria" w:cstheme="majorBidi"/>
          <w:b/>
          <w:bCs/>
        </w:rPr>
        <w:t>Joanne Turnbull,</w:t>
      </w:r>
      <w:r w:rsidRPr="00086743">
        <w:rPr>
          <w:rFonts w:ascii="Cambria" w:hAnsi="Cambria" w:cstheme="majorBidi"/>
        </w:rPr>
        <w:t xml:space="preserve"> Faculty of Health Sciences, University of Southampton, Southampton, UK </w:t>
      </w:r>
    </w:p>
    <w:p w:rsidR="00445F67" w:rsidRPr="00086743" w:rsidRDefault="00445F67" w:rsidP="00681477">
      <w:pPr>
        <w:spacing w:before="240" w:line="360" w:lineRule="auto"/>
        <w:rPr>
          <w:rFonts w:ascii="Cambria" w:hAnsi="Cambria" w:cstheme="majorBidi"/>
        </w:rPr>
      </w:pPr>
      <w:r w:rsidRPr="00086743">
        <w:rPr>
          <w:rFonts w:ascii="Cambria" w:hAnsi="Cambria" w:cstheme="majorBidi"/>
          <w:b/>
          <w:bCs/>
        </w:rPr>
        <w:t>Jeremy Jones,</w:t>
      </w:r>
      <w:r w:rsidRPr="00086743">
        <w:rPr>
          <w:rFonts w:ascii="Cambria" w:hAnsi="Cambria" w:cstheme="majorBidi"/>
        </w:rPr>
        <w:t xml:space="preserve"> Faculty of Health Sciences, University of Southampton, Southampton, UK </w:t>
      </w:r>
    </w:p>
    <w:p w:rsidR="00445F67" w:rsidRPr="00086743" w:rsidRDefault="00445F67" w:rsidP="00681477">
      <w:pPr>
        <w:spacing w:before="240" w:line="360" w:lineRule="auto"/>
        <w:rPr>
          <w:rFonts w:ascii="Cambria" w:hAnsi="Cambria" w:cstheme="majorBidi"/>
        </w:rPr>
      </w:pPr>
      <w:r w:rsidRPr="00086743">
        <w:rPr>
          <w:rFonts w:ascii="Cambria" w:hAnsi="Cambria" w:cstheme="majorBidi"/>
          <w:b/>
          <w:bCs/>
        </w:rPr>
        <w:t>Jane Prichard,</w:t>
      </w:r>
      <w:r w:rsidRPr="00086743">
        <w:rPr>
          <w:rFonts w:ascii="Cambria" w:hAnsi="Cambria" w:cstheme="majorBidi"/>
        </w:rPr>
        <w:t xml:space="preserve"> Faculty of Health Sciences, University of Southampton, Southampton, UK </w:t>
      </w:r>
    </w:p>
    <w:p w:rsidR="00445F67" w:rsidRPr="00086743" w:rsidRDefault="00445F67" w:rsidP="00681477">
      <w:pPr>
        <w:spacing w:before="240" w:line="360" w:lineRule="auto"/>
        <w:rPr>
          <w:rFonts w:ascii="Cambria" w:hAnsi="Cambria" w:cstheme="majorBidi"/>
        </w:rPr>
      </w:pPr>
      <w:r w:rsidRPr="00086743">
        <w:rPr>
          <w:rFonts w:ascii="Cambria" w:hAnsi="Cambria" w:cstheme="majorBidi"/>
          <w:b/>
          <w:bCs/>
        </w:rPr>
        <w:t>Ali Rowsell,</w:t>
      </w:r>
      <w:r w:rsidRPr="00086743">
        <w:rPr>
          <w:rFonts w:ascii="Cambria" w:hAnsi="Cambria" w:cstheme="majorBidi"/>
        </w:rPr>
        <w:t xml:space="preserve"> Faculty of Health Sciences, University of Southampton, Southampton, UK </w:t>
      </w:r>
    </w:p>
    <w:p w:rsidR="002F6CD8" w:rsidRPr="00086743" w:rsidRDefault="002F6CD8" w:rsidP="00681477">
      <w:pPr>
        <w:spacing w:before="240" w:line="360" w:lineRule="auto"/>
        <w:rPr>
          <w:rFonts w:ascii="Cambria" w:hAnsi="Cambria" w:cstheme="majorBidi"/>
        </w:rPr>
      </w:pPr>
      <w:r w:rsidRPr="00086743">
        <w:rPr>
          <w:rFonts w:ascii="Cambria" w:hAnsi="Cambria" w:cstheme="majorBidi"/>
          <w:b/>
          <w:bCs/>
        </w:rPr>
        <w:t>Susan Halford,</w:t>
      </w:r>
      <w:r w:rsidRPr="00086743">
        <w:rPr>
          <w:rFonts w:ascii="Cambria" w:hAnsi="Cambria" w:cstheme="majorBidi"/>
        </w:rPr>
        <w:t xml:space="preserve"> Faculty of Social and Human Sciences, University of Southampton, Southampton, UK</w:t>
      </w:r>
    </w:p>
    <w:p w:rsidR="002F6CD8" w:rsidRPr="00086743" w:rsidRDefault="002F6CD8" w:rsidP="00681477">
      <w:pPr>
        <w:spacing w:before="240" w:line="360" w:lineRule="auto"/>
        <w:rPr>
          <w:rFonts w:ascii="Cambria" w:hAnsi="Cambria" w:cstheme="majorBidi"/>
        </w:rPr>
      </w:pPr>
    </w:p>
    <w:p w:rsidR="00445F67" w:rsidRPr="00086743" w:rsidRDefault="00445F67" w:rsidP="00681477">
      <w:pPr>
        <w:spacing w:before="240" w:line="360" w:lineRule="auto"/>
        <w:rPr>
          <w:rFonts w:ascii="Cambria" w:hAnsi="Cambria" w:cstheme="majorBidi"/>
        </w:rPr>
      </w:pPr>
    </w:p>
    <w:p w:rsidR="00445F67" w:rsidRPr="00086743" w:rsidRDefault="00445F67" w:rsidP="00681477">
      <w:pPr>
        <w:spacing w:before="240" w:line="360" w:lineRule="auto"/>
        <w:rPr>
          <w:rFonts w:ascii="Cambria" w:hAnsi="Cambria" w:cstheme="majorBidi"/>
        </w:rPr>
      </w:pPr>
      <w:r w:rsidRPr="00086743">
        <w:rPr>
          <w:rFonts w:ascii="Cambria" w:hAnsi="Cambria" w:cstheme="majorBidi"/>
          <w:b/>
          <w:bCs/>
        </w:rPr>
        <w:t>WORD COUNT</w:t>
      </w:r>
      <w:r w:rsidRPr="00086743">
        <w:rPr>
          <w:rFonts w:ascii="Cambria" w:hAnsi="Cambria" w:cstheme="majorBidi"/>
        </w:rPr>
        <w:t xml:space="preserve"> </w:t>
      </w:r>
      <w:r w:rsidR="00952984" w:rsidRPr="00086743">
        <w:rPr>
          <w:rFonts w:ascii="Cambria" w:hAnsi="Cambria" w:cstheme="majorBidi"/>
        </w:rPr>
        <w:t>3</w:t>
      </w:r>
      <w:r w:rsidR="000A0423" w:rsidRPr="00086743">
        <w:rPr>
          <w:rFonts w:ascii="Cambria" w:hAnsi="Cambria" w:cstheme="majorBidi"/>
        </w:rPr>
        <w:t>546</w:t>
      </w:r>
      <w:r w:rsidR="005B1069" w:rsidRPr="00086743">
        <w:rPr>
          <w:rFonts w:ascii="Cambria" w:hAnsi="Cambria" w:cstheme="majorBidi"/>
        </w:rPr>
        <w:t xml:space="preserve">  (excluding title page, abstract, references, figures and tables)</w:t>
      </w:r>
    </w:p>
    <w:p w:rsidR="00494AA1" w:rsidRPr="00086743" w:rsidRDefault="00494AA1" w:rsidP="00681477">
      <w:pPr>
        <w:spacing w:before="240" w:line="360" w:lineRule="auto"/>
        <w:rPr>
          <w:rFonts w:ascii="Cambria" w:hAnsi="Cambria" w:cstheme="majorBidi"/>
        </w:rPr>
      </w:pPr>
      <w:r w:rsidRPr="00086743">
        <w:rPr>
          <w:rFonts w:ascii="Cambria" w:hAnsi="Cambria" w:cstheme="majorBidi"/>
          <w:b/>
          <w:bCs/>
        </w:rPr>
        <w:t xml:space="preserve">KEYWORDS: </w:t>
      </w:r>
      <w:r w:rsidRPr="00086743">
        <w:rPr>
          <w:rFonts w:ascii="Cambria" w:hAnsi="Cambria" w:cstheme="majorBidi"/>
        </w:rPr>
        <w:t xml:space="preserve">NHS 111; urgent care; case study; secondary analysis </w:t>
      </w:r>
    </w:p>
    <w:p w:rsidR="00445F67" w:rsidRPr="00086743" w:rsidRDefault="00445F67" w:rsidP="00681477">
      <w:pPr>
        <w:spacing w:before="240" w:line="360" w:lineRule="auto"/>
        <w:rPr>
          <w:rFonts w:ascii="Cambria" w:hAnsi="Cambria" w:cstheme="majorBidi"/>
          <w:b/>
          <w:bCs/>
        </w:rPr>
      </w:pPr>
      <w:r w:rsidRPr="00086743">
        <w:rPr>
          <w:rFonts w:ascii="Cambria" w:hAnsi="Cambria" w:cstheme="majorBidi"/>
          <w:b/>
          <w:bCs/>
        </w:rPr>
        <w:br/>
      </w:r>
    </w:p>
    <w:p w:rsidR="00445F67" w:rsidRPr="00086743" w:rsidRDefault="00445F67" w:rsidP="00681477">
      <w:pPr>
        <w:spacing w:line="360" w:lineRule="auto"/>
        <w:rPr>
          <w:rFonts w:ascii="Cambria" w:hAnsi="Cambria" w:cstheme="majorBidi"/>
          <w:b/>
          <w:bCs/>
        </w:rPr>
      </w:pPr>
      <w:r w:rsidRPr="00086743">
        <w:rPr>
          <w:rFonts w:ascii="Cambria" w:hAnsi="Cambria" w:cstheme="majorBidi"/>
          <w:b/>
          <w:bCs/>
        </w:rPr>
        <w:br w:type="page"/>
      </w:r>
    </w:p>
    <w:p w:rsidR="00826AE1" w:rsidRPr="00086743" w:rsidRDefault="00445F67" w:rsidP="00681477">
      <w:pPr>
        <w:spacing w:before="240" w:line="360" w:lineRule="auto"/>
        <w:rPr>
          <w:rFonts w:ascii="Cambria" w:hAnsi="Cambria" w:cstheme="majorBidi"/>
          <w:b/>
          <w:bCs/>
        </w:rPr>
      </w:pPr>
      <w:r w:rsidRPr="00086743">
        <w:rPr>
          <w:rFonts w:ascii="Cambria" w:hAnsi="Cambria" w:cstheme="majorBidi"/>
          <w:b/>
          <w:bCs/>
        </w:rPr>
        <w:lastRenderedPageBreak/>
        <w:t>ABSTRACT</w:t>
      </w:r>
    </w:p>
    <w:p w:rsidR="00826AE1" w:rsidRPr="00086743" w:rsidRDefault="00826AE1" w:rsidP="00681477">
      <w:pPr>
        <w:spacing w:before="240" w:line="360" w:lineRule="auto"/>
        <w:rPr>
          <w:rFonts w:ascii="Cambria" w:hAnsi="Cambria" w:cstheme="majorBidi"/>
          <w:b/>
          <w:bCs/>
        </w:rPr>
      </w:pPr>
      <w:r w:rsidRPr="00086743">
        <w:rPr>
          <w:rFonts w:ascii="Cambria" w:hAnsi="Cambria" w:cstheme="majorBidi"/>
          <w:b/>
          <w:bCs/>
        </w:rPr>
        <w:t>Objectives:</w:t>
      </w:r>
      <w:r w:rsidRPr="00086743">
        <w:rPr>
          <w:rFonts w:ascii="Cambria" w:hAnsi="Cambria" w:cstheme="majorBidi"/>
        </w:rPr>
        <w:t xml:space="preserve"> to explore the success of the introduction of the NHS 111 urgent care service and describe service activity in the period 2014-16. </w:t>
      </w:r>
    </w:p>
    <w:p w:rsidR="00826AE1" w:rsidRPr="00086743" w:rsidRDefault="00826AE1" w:rsidP="00681477">
      <w:pPr>
        <w:autoSpaceDE w:val="0"/>
        <w:autoSpaceDN w:val="0"/>
        <w:adjustRightInd w:val="0"/>
        <w:spacing w:before="240" w:after="0" w:line="360" w:lineRule="auto"/>
        <w:rPr>
          <w:rFonts w:ascii="Cambria" w:hAnsi="Cambria" w:cs="AdvOT30a32c65"/>
        </w:rPr>
      </w:pPr>
      <w:r w:rsidRPr="00086743">
        <w:rPr>
          <w:rFonts w:ascii="Cambria" w:hAnsi="Cambria" w:cstheme="majorBidi"/>
          <w:b/>
          <w:bCs/>
        </w:rPr>
        <w:t xml:space="preserve">Design: </w:t>
      </w:r>
      <w:r w:rsidRPr="00086743">
        <w:rPr>
          <w:rFonts w:ascii="Cambria" w:hAnsi="Cambria" w:cstheme="majorBidi"/>
        </w:rPr>
        <w:t>comparative mixed method</w:t>
      </w:r>
      <w:r w:rsidRPr="00086743">
        <w:rPr>
          <w:rFonts w:ascii="Cambria" w:hAnsi="Cambria" w:cstheme="majorBidi"/>
          <w:b/>
          <w:bCs/>
        </w:rPr>
        <w:t xml:space="preserve"> </w:t>
      </w:r>
      <w:r w:rsidRPr="00086743">
        <w:rPr>
          <w:rFonts w:ascii="Cambria" w:hAnsi="Cambria" w:cs="AdvOT30a32c65"/>
        </w:rPr>
        <w:t xml:space="preserve">case study of </w:t>
      </w:r>
      <w:r w:rsidR="00AB414C" w:rsidRPr="00086743">
        <w:rPr>
          <w:rFonts w:ascii="Cambria" w:hAnsi="Cambria" w:cs="AdvOT30a32c65"/>
        </w:rPr>
        <w:t xml:space="preserve">five </w:t>
      </w:r>
      <w:r w:rsidRPr="00086743">
        <w:rPr>
          <w:rFonts w:ascii="Cambria" w:hAnsi="Cambria" w:cs="AdvOT30a32c65"/>
        </w:rPr>
        <w:t xml:space="preserve">NHS 111 service providers and analysis of </w:t>
      </w:r>
      <w:r w:rsidR="00AB414C" w:rsidRPr="00086743">
        <w:rPr>
          <w:rFonts w:ascii="Cambria" w:hAnsi="Cambria" w:cs="AdvOT30a32c65"/>
        </w:rPr>
        <w:t xml:space="preserve">national level </w:t>
      </w:r>
      <w:r w:rsidRPr="00086743">
        <w:rPr>
          <w:rFonts w:ascii="Cambria" w:hAnsi="Cambria" w:cs="AdvOT30a32c65"/>
        </w:rPr>
        <w:t>routine data on activity and service use.</w:t>
      </w:r>
    </w:p>
    <w:p w:rsidR="00826AE1" w:rsidRPr="00086743" w:rsidRDefault="00826AE1" w:rsidP="00681477">
      <w:pPr>
        <w:autoSpaceDE w:val="0"/>
        <w:autoSpaceDN w:val="0"/>
        <w:adjustRightInd w:val="0"/>
        <w:spacing w:before="240" w:after="0" w:line="360" w:lineRule="auto"/>
        <w:rPr>
          <w:rFonts w:ascii="Cambria" w:hAnsi="Cambria" w:cstheme="majorBidi"/>
          <w:b/>
          <w:bCs/>
        </w:rPr>
      </w:pPr>
      <w:r w:rsidRPr="00086743">
        <w:rPr>
          <w:rFonts w:ascii="Cambria" w:hAnsi="Cambria" w:cstheme="majorBidi"/>
          <w:b/>
          <w:bCs/>
        </w:rPr>
        <w:t xml:space="preserve">Settings and data: </w:t>
      </w:r>
      <w:r w:rsidRPr="00086743">
        <w:rPr>
          <w:rFonts w:ascii="Cambria" w:hAnsi="Cambria" w:cstheme="majorBidi"/>
        </w:rPr>
        <w:t>Our primary research involved f</w:t>
      </w:r>
      <w:r w:rsidRPr="00086743">
        <w:rPr>
          <w:rFonts w:ascii="Cambria" w:hAnsi="Cambria" w:cs="AdvTTebabd7da"/>
        </w:rPr>
        <w:t>ive NHS 111 sites in England. W</w:t>
      </w:r>
      <w:r w:rsidRPr="00086743">
        <w:rPr>
          <w:rFonts w:ascii="Cambria" w:hAnsi="Cambria" w:cs="AdvOT30a32c65"/>
        </w:rPr>
        <w:t xml:space="preserve">e conducted 356 hours of non-participant observation in NHS 111 call centres and the urgent care centres and, linked to these observations, </w:t>
      </w:r>
      <w:r w:rsidR="00AB414C" w:rsidRPr="00086743">
        <w:rPr>
          <w:rFonts w:ascii="Cambria" w:hAnsi="Cambria" w:cs="AdvOT30a32c65"/>
        </w:rPr>
        <w:t xml:space="preserve">held </w:t>
      </w:r>
      <w:r w:rsidRPr="00086743">
        <w:rPr>
          <w:rFonts w:ascii="Cambria" w:hAnsi="Cambria" w:cs="AdvOT30a32c65"/>
        </w:rPr>
        <w:t>six focus group interviews with 47 call advisors, clinical and managerial staff. This</w:t>
      </w:r>
      <w:r w:rsidR="00AB414C" w:rsidRPr="00086743">
        <w:rPr>
          <w:rFonts w:ascii="Cambria" w:hAnsi="Cambria" w:cs="AdvOT30a32c65"/>
        </w:rPr>
        <w:t xml:space="preserve"> primary research is </w:t>
      </w:r>
      <w:r w:rsidRPr="00086743">
        <w:rPr>
          <w:rFonts w:ascii="Cambria" w:hAnsi="Cambria" w:cs="AdvOT30a32c65"/>
        </w:rPr>
        <w:t xml:space="preserve">augmented by </w:t>
      </w:r>
      <w:r w:rsidR="00AB414C" w:rsidRPr="00086743">
        <w:rPr>
          <w:rFonts w:ascii="Cambria" w:hAnsi="Cambria" w:cs="AdvOT30a32c65"/>
        </w:rPr>
        <w:t xml:space="preserve">a </w:t>
      </w:r>
      <w:r w:rsidRPr="00086743">
        <w:rPr>
          <w:rFonts w:ascii="Cambria" w:hAnsi="Cambria" w:cs="AdvOT30a32c65"/>
        </w:rPr>
        <w:t>secondary analysis of routine data about the 44 NHS 111 sites in England contained in the NHS 111 Minimum Data Set made available by NHS England.</w:t>
      </w:r>
    </w:p>
    <w:p w:rsidR="00826AE1" w:rsidRPr="00086743" w:rsidRDefault="00826AE1" w:rsidP="00681477">
      <w:pPr>
        <w:spacing w:before="240" w:line="360" w:lineRule="auto"/>
        <w:rPr>
          <w:rFonts w:ascii="Cambria" w:hAnsi="Cambria" w:cstheme="majorBidi"/>
        </w:rPr>
      </w:pPr>
      <w:r w:rsidRPr="00086743">
        <w:rPr>
          <w:rFonts w:ascii="Cambria" w:hAnsi="Cambria" w:cstheme="majorBidi"/>
          <w:b/>
          <w:bCs/>
        </w:rPr>
        <w:t xml:space="preserve">Results: </w:t>
      </w:r>
      <w:r w:rsidRPr="00086743">
        <w:rPr>
          <w:rFonts w:ascii="Cambria" w:hAnsi="Cambria" w:cstheme="majorBidi"/>
        </w:rPr>
        <w:t xml:space="preserve">Opinions vary depending on the criteria used to judge the success of NHS 111.  The service has been rolled out across 44 sites. The 111 phone number is operational and the service has replaced it predecessor NHS Direct. This new service has led to changes in who does the work of managing urgent care demand, achieving significant labour substitution. Judged against internal performance criteria the service appears not to meet some targets such as call answering times, but it has seen a steady increase in use over time. Patients appear largely satisfied with NHS 111, but the view from some stakeholders is more </w:t>
      </w:r>
      <w:r w:rsidR="00AB414C" w:rsidRPr="00086743">
        <w:rPr>
          <w:rFonts w:ascii="Cambria" w:hAnsi="Cambria" w:cstheme="majorBidi"/>
        </w:rPr>
        <w:t>mixed</w:t>
      </w:r>
      <w:r w:rsidRPr="00086743">
        <w:rPr>
          <w:rFonts w:ascii="Cambria" w:hAnsi="Cambria" w:cstheme="majorBidi"/>
        </w:rPr>
        <w:t xml:space="preserve">. The impact of NHS 111 on other health services is difficult to assess and cost-effectiveness has not been established.  </w:t>
      </w:r>
    </w:p>
    <w:p w:rsidR="00826AE1" w:rsidRPr="00086743" w:rsidRDefault="00826AE1" w:rsidP="00681477">
      <w:pPr>
        <w:spacing w:before="240" w:line="360" w:lineRule="auto"/>
        <w:rPr>
          <w:rFonts w:ascii="Cambria" w:hAnsi="Cambria" w:cstheme="majorBidi"/>
        </w:rPr>
      </w:pPr>
      <w:r w:rsidRPr="00086743">
        <w:rPr>
          <w:rFonts w:ascii="Cambria" w:hAnsi="Cambria" w:cstheme="majorBidi"/>
          <w:b/>
          <w:bCs/>
        </w:rPr>
        <w:t xml:space="preserve">Conclusion: </w:t>
      </w:r>
      <w:r w:rsidRPr="00086743">
        <w:rPr>
          <w:rFonts w:ascii="Cambria" w:hAnsi="Cambria" w:cstheme="majorBidi"/>
        </w:rPr>
        <w:t>The new urgent care service NHS 111 has been brought into use but its success</w:t>
      </w:r>
      <w:r w:rsidR="00AA0EF8" w:rsidRPr="00086743">
        <w:rPr>
          <w:rFonts w:ascii="Cambria" w:hAnsi="Cambria" w:cstheme="majorBidi"/>
        </w:rPr>
        <w:t xml:space="preserve"> against some key criteria</w:t>
      </w:r>
      <w:r w:rsidRPr="00086743">
        <w:rPr>
          <w:rFonts w:ascii="Cambria" w:hAnsi="Cambria" w:cstheme="majorBidi"/>
        </w:rPr>
        <w:t xml:space="preserve"> has not been comprehensively proven.  </w:t>
      </w:r>
    </w:p>
    <w:p w:rsidR="00826AE1" w:rsidRPr="00086743" w:rsidRDefault="00826AE1" w:rsidP="00681477">
      <w:pPr>
        <w:spacing w:before="240" w:line="360" w:lineRule="auto"/>
        <w:rPr>
          <w:rFonts w:ascii="Cambria" w:hAnsi="Cambria" w:cstheme="majorBidi"/>
          <w:b/>
        </w:rPr>
      </w:pPr>
    </w:p>
    <w:p w:rsidR="00AD32E4" w:rsidRPr="00086743" w:rsidRDefault="00AD32E4" w:rsidP="00681477">
      <w:pPr>
        <w:rPr>
          <w:rFonts w:ascii="Cambria" w:hAnsi="Cambria" w:cstheme="majorBidi"/>
          <w:b/>
          <w:bCs/>
        </w:rPr>
      </w:pPr>
      <w:r w:rsidRPr="00086743">
        <w:rPr>
          <w:rFonts w:ascii="Cambria" w:hAnsi="Cambria" w:cstheme="majorBidi"/>
          <w:b/>
          <w:bCs/>
        </w:rPr>
        <w:br w:type="page"/>
      </w:r>
    </w:p>
    <w:p w:rsidR="00AD32E4" w:rsidRPr="00086743" w:rsidRDefault="00AD32E4" w:rsidP="00681477">
      <w:pPr>
        <w:autoSpaceDE w:val="0"/>
        <w:autoSpaceDN w:val="0"/>
        <w:adjustRightInd w:val="0"/>
        <w:spacing w:before="240" w:after="0" w:line="360" w:lineRule="auto"/>
        <w:rPr>
          <w:rFonts w:ascii="Cambria" w:hAnsi="Cambria" w:cs="AdvTTebabd7da"/>
          <w:b/>
          <w:bCs/>
        </w:rPr>
      </w:pPr>
      <w:r w:rsidRPr="00086743">
        <w:rPr>
          <w:rFonts w:ascii="Cambria" w:hAnsi="Cambria" w:cs="AdvTTebabd7da"/>
          <w:b/>
          <w:bCs/>
        </w:rPr>
        <w:lastRenderedPageBreak/>
        <w:t xml:space="preserve">Strengths and limitations </w:t>
      </w:r>
    </w:p>
    <w:p w:rsidR="00A15C5B" w:rsidRPr="00086743" w:rsidRDefault="00AD32E4" w:rsidP="00681477">
      <w:pPr>
        <w:pStyle w:val="ListParagraph"/>
        <w:numPr>
          <w:ilvl w:val="0"/>
          <w:numId w:val="6"/>
        </w:numPr>
        <w:autoSpaceDE w:val="0"/>
        <w:autoSpaceDN w:val="0"/>
        <w:adjustRightInd w:val="0"/>
        <w:spacing w:before="240" w:after="0" w:line="360" w:lineRule="auto"/>
        <w:rPr>
          <w:rFonts w:ascii="Cambria" w:hAnsi="Cambria" w:cs="AdvTTebabd7da"/>
        </w:rPr>
      </w:pPr>
      <w:r w:rsidRPr="00086743">
        <w:rPr>
          <w:rFonts w:ascii="Cambria" w:hAnsi="Cambria" w:cs="AdvTTebabd7da"/>
        </w:rPr>
        <w:t>Unique primary study of five NHS 111 provides rich detail</w:t>
      </w:r>
      <w:r w:rsidR="00EF032B" w:rsidRPr="00086743">
        <w:rPr>
          <w:rFonts w:ascii="Cambria" w:hAnsi="Cambria" w:cs="AdvTTebabd7da"/>
        </w:rPr>
        <w:t xml:space="preserve"> about service provision </w:t>
      </w:r>
      <w:r w:rsidRPr="00086743">
        <w:rPr>
          <w:rFonts w:ascii="Cambria" w:hAnsi="Cambria" w:cs="AdvTTebabd7da"/>
        </w:rPr>
        <w:t xml:space="preserve">and </w:t>
      </w:r>
      <w:r w:rsidR="00EF032B" w:rsidRPr="00086743">
        <w:rPr>
          <w:rFonts w:ascii="Cambria" w:hAnsi="Cambria" w:cs="AdvTTebabd7da"/>
        </w:rPr>
        <w:t xml:space="preserve">wider </w:t>
      </w:r>
      <w:r w:rsidRPr="00086743">
        <w:rPr>
          <w:rFonts w:ascii="Cambria" w:hAnsi="Cambria" w:cs="AdvTTebabd7da"/>
        </w:rPr>
        <w:t>impact, notably on Urgent Care Centres</w:t>
      </w:r>
      <w:r w:rsidR="00A15C5B" w:rsidRPr="00086743">
        <w:rPr>
          <w:rFonts w:ascii="Cambria" w:hAnsi="Cambria" w:cs="AdvTTebabd7da"/>
        </w:rPr>
        <w:t xml:space="preserve">. </w:t>
      </w:r>
    </w:p>
    <w:p w:rsidR="00A15C5B" w:rsidRPr="00086743" w:rsidRDefault="00A15C5B" w:rsidP="00681477">
      <w:pPr>
        <w:pStyle w:val="ListParagraph"/>
        <w:numPr>
          <w:ilvl w:val="0"/>
          <w:numId w:val="6"/>
        </w:numPr>
        <w:autoSpaceDE w:val="0"/>
        <w:autoSpaceDN w:val="0"/>
        <w:adjustRightInd w:val="0"/>
        <w:spacing w:before="240" w:after="0" w:line="360" w:lineRule="auto"/>
        <w:rPr>
          <w:rFonts w:ascii="Cambria" w:hAnsi="Cambria" w:cs="AdvTTebabd7da"/>
        </w:rPr>
      </w:pPr>
      <w:r w:rsidRPr="00086743">
        <w:rPr>
          <w:rFonts w:ascii="Cambria" w:hAnsi="Cambria" w:cs="AdvTTebabd7da"/>
        </w:rPr>
        <w:t>Complementary a</w:t>
      </w:r>
      <w:r w:rsidR="00AD32E4" w:rsidRPr="00086743">
        <w:rPr>
          <w:rFonts w:ascii="Cambria" w:hAnsi="Cambria" w:cs="AdvTTebabd7da"/>
        </w:rPr>
        <w:t xml:space="preserve">nalysis of </w:t>
      </w:r>
      <w:r w:rsidRPr="00086743">
        <w:rPr>
          <w:rFonts w:ascii="Cambria" w:hAnsi="Cambria" w:cs="AdvTTebabd7da"/>
        </w:rPr>
        <w:t xml:space="preserve">routine data on activity provides a higher level, national view of the service.  </w:t>
      </w:r>
    </w:p>
    <w:p w:rsidR="00A15C5B" w:rsidRPr="00086743" w:rsidRDefault="00A15C5B" w:rsidP="00681477">
      <w:pPr>
        <w:pStyle w:val="ListParagraph"/>
        <w:numPr>
          <w:ilvl w:val="0"/>
          <w:numId w:val="6"/>
        </w:numPr>
        <w:autoSpaceDE w:val="0"/>
        <w:autoSpaceDN w:val="0"/>
        <w:adjustRightInd w:val="0"/>
        <w:spacing w:before="240" w:after="0" w:line="360" w:lineRule="auto"/>
        <w:rPr>
          <w:rFonts w:ascii="Cambria" w:hAnsi="Cambria" w:cs="AdvTTebabd7da"/>
        </w:rPr>
      </w:pPr>
      <w:r w:rsidRPr="00086743">
        <w:rPr>
          <w:rFonts w:ascii="Cambria" w:hAnsi="Cambria" w:cs="AdvTTebabd7da"/>
        </w:rPr>
        <w:t>Together these analyses can be used to assess the success of this new model of urgent care provision.</w:t>
      </w:r>
    </w:p>
    <w:p w:rsidR="00A15C5B" w:rsidRPr="00086743" w:rsidRDefault="00A15C5B" w:rsidP="00681477">
      <w:pPr>
        <w:pStyle w:val="ListParagraph"/>
        <w:numPr>
          <w:ilvl w:val="0"/>
          <w:numId w:val="6"/>
        </w:numPr>
        <w:autoSpaceDE w:val="0"/>
        <w:autoSpaceDN w:val="0"/>
        <w:adjustRightInd w:val="0"/>
        <w:spacing w:before="240" w:after="0" w:line="360" w:lineRule="auto"/>
        <w:rPr>
          <w:rFonts w:ascii="Cambria" w:hAnsi="Cambria" w:cs="AdvTTebabd7da"/>
        </w:rPr>
      </w:pPr>
      <w:r w:rsidRPr="00086743">
        <w:rPr>
          <w:rFonts w:ascii="Cambria" w:hAnsi="Cambria" w:cs="AdvTTebabd7da"/>
        </w:rPr>
        <w:t>The case study data are qualitative and not statistically generalizable, but they provide useful insights about the service</w:t>
      </w:r>
      <w:r w:rsidR="00165F2F" w:rsidRPr="00086743">
        <w:rPr>
          <w:rFonts w:ascii="Cambria" w:hAnsi="Cambria" w:cs="AdvTTebabd7da"/>
        </w:rPr>
        <w:t>.</w:t>
      </w:r>
      <w:r w:rsidRPr="00086743">
        <w:rPr>
          <w:rFonts w:ascii="Cambria" w:hAnsi="Cambria" w:cs="AdvTTebabd7da"/>
        </w:rPr>
        <w:t xml:space="preserve"> </w:t>
      </w:r>
    </w:p>
    <w:p w:rsidR="00AD32E4" w:rsidRPr="00086743" w:rsidRDefault="00A15C5B" w:rsidP="00681477">
      <w:pPr>
        <w:pStyle w:val="ListParagraph"/>
        <w:numPr>
          <w:ilvl w:val="0"/>
          <w:numId w:val="6"/>
        </w:numPr>
        <w:autoSpaceDE w:val="0"/>
        <w:autoSpaceDN w:val="0"/>
        <w:adjustRightInd w:val="0"/>
        <w:spacing w:before="240" w:after="0" w:line="360" w:lineRule="auto"/>
        <w:rPr>
          <w:rFonts w:ascii="Cambria" w:hAnsi="Cambria" w:cs="AdvTTebabd7da"/>
        </w:rPr>
      </w:pPr>
      <w:r w:rsidRPr="00086743">
        <w:rPr>
          <w:rFonts w:ascii="Cambria" w:hAnsi="Cambria" w:cs="AdvTTebabd7da"/>
        </w:rPr>
        <w:t>The quantitative analysis was reliant on publicly available data and is thus limited in terms of what is collected</w:t>
      </w:r>
      <w:r w:rsidR="00EF032B" w:rsidRPr="00086743">
        <w:rPr>
          <w:rFonts w:ascii="Cambria" w:hAnsi="Cambria" w:cs="AdvTTebabd7da"/>
        </w:rPr>
        <w:t xml:space="preserve">/reported </w:t>
      </w:r>
      <w:r w:rsidRPr="00086743">
        <w:rPr>
          <w:rFonts w:ascii="Cambria" w:hAnsi="Cambria" w:cs="AdvTTebabd7da"/>
        </w:rPr>
        <w:t xml:space="preserve">and there are </w:t>
      </w:r>
      <w:r w:rsidR="00AD32E4" w:rsidRPr="00086743">
        <w:rPr>
          <w:rFonts w:ascii="Cambria" w:hAnsi="Cambria" w:cs="AdvTTebabd7da"/>
        </w:rPr>
        <w:t xml:space="preserve">substantial missing data </w:t>
      </w:r>
      <w:r w:rsidRPr="00086743">
        <w:rPr>
          <w:rFonts w:ascii="Cambria" w:hAnsi="Cambria" w:cs="AdvTTebabd7da"/>
        </w:rPr>
        <w:t xml:space="preserve">notably on </w:t>
      </w:r>
      <w:r w:rsidR="00AD32E4" w:rsidRPr="00086743">
        <w:rPr>
          <w:rFonts w:ascii="Cambria" w:hAnsi="Cambria" w:cs="AdvTTebabd7da"/>
        </w:rPr>
        <w:t xml:space="preserve"> resource use and cost</w:t>
      </w:r>
      <w:r w:rsidRPr="00086743">
        <w:rPr>
          <w:rFonts w:ascii="Cambria" w:hAnsi="Cambria" w:cs="AdvTTebabd7da"/>
        </w:rPr>
        <w:t xml:space="preserve">s. </w:t>
      </w:r>
      <w:r w:rsidR="00AD32E4" w:rsidRPr="00086743">
        <w:rPr>
          <w:rFonts w:ascii="Cambria" w:hAnsi="Cambria" w:cs="AdvTTebabd7da"/>
        </w:rPr>
        <w:t xml:space="preserve"> However the</w:t>
      </w:r>
      <w:r w:rsidR="00EF032B" w:rsidRPr="00086743">
        <w:rPr>
          <w:rFonts w:ascii="Cambria" w:hAnsi="Cambria" w:cs="AdvTTebabd7da"/>
        </w:rPr>
        <w:t xml:space="preserve">se data provide </w:t>
      </w:r>
      <w:r w:rsidR="00AD32E4" w:rsidRPr="00086743">
        <w:rPr>
          <w:rFonts w:ascii="Cambria" w:hAnsi="Cambria" w:cs="AdvTTebabd7da"/>
        </w:rPr>
        <w:t>a consistent time-series and it is unlikely that the trends we have observed are data collection or classification artefact.</w:t>
      </w:r>
    </w:p>
    <w:p w:rsidR="00AD32E4" w:rsidRPr="00086743" w:rsidRDefault="00AD32E4" w:rsidP="00681477">
      <w:pPr>
        <w:autoSpaceDE w:val="0"/>
        <w:autoSpaceDN w:val="0"/>
        <w:adjustRightInd w:val="0"/>
        <w:spacing w:before="240" w:after="0" w:line="360" w:lineRule="auto"/>
        <w:rPr>
          <w:rFonts w:ascii="Cambria" w:hAnsi="Cambria" w:cs="AdvTTebabd7da"/>
          <w:b/>
          <w:bCs/>
        </w:rPr>
      </w:pPr>
    </w:p>
    <w:p w:rsidR="00826AE1" w:rsidRPr="00086743" w:rsidRDefault="00826AE1" w:rsidP="00681477">
      <w:pPr>
        <w:spacing w:before="240" w:line="360" w:lineRule="auto"/>
        <w:rPr>
          <w:rFonts w:ascii="Cambria" w:hAnsi="Cambria" w:cstheme="majorBidi"/>
          <w:b/>
          <w:bCs/>
        </w:rPr>
      </w:pPr>
      <w:r w:rsidRPr="00086743">
        <w:rPr>
          <w:rFonts w:ascii="Cambria" w:hAnsi="Cambria" w:cstheme="majorBidi"/>
          <w:b/>
          <w:bCs/>
        </w:rPr>
        <w:br w:type="page"/>
      </w:r>
    </w:p>
    <w:p w:rsidR="007D5F68" w:rsidRPr="00086743" w:rsidRDefault="00445F67" w:rsidP="00681477">
      <w:pPr>
        <w:spacing w:before="240" w:line="360" w:lineRule="auto"/>
        <w:rPr>
          <w:rFonts w:ascii="Cambria" w:hAnsi="Cambria" w:cstheme="majorBidi"/>
          <w:b/>
        </w:rPr>
      </w:pPr>
      <w:r w:rsidRPr="00086743">
        <w:rPr>
          <w:rFonts w:ascii="Cambria" w:hAnsi="Cambria" w:cstheme="majorBidi"/>
          <w:b/>
        </w:rPr>
        <w:lastRenderedPageBreak/>
        <w:t xml:space="preserve">INTRODUCTION </w:t>
      </w:r>
      <w:r w:rsidR="007D5F68" w:rsidRPr="00086743">
        <w:rPr>
          <w:rFonts w:ascii="Cambria" w:hAnsi="Cambria" w:cstheme="majorBidi"/>
          <w:b/>
        </w:rPr>
        <w:t xml:space="preserve"> </w:t>
      </w:r>
    </w:p>
    <w:p w:rsidR="005F3F44" w:rsidRPr="00086743" w:rsidRDefault="00EA011C" w:rsidP="00681477">
      <w:pPr>
        <w:autoSpaceDE w:val="0"/>
        <w:autoSpaceDN w:val="0"/>
        <w:adjustRightInd w:val="0"/>
        <w:spacing w:before="240" w:after="0" w:line="360" w:lineRule="auto"/>
        <w:rPr>
          <w:rFonts w:ascii="Cambria" w:hAnsi="Cambria" w:cstheme="majorBidi"/>
        </w:rPr>
      </w:pPr>
      <w:r w:rsidRPr="00086743">
        <w:rPr>
          <w:rFonts w:ascii="Cambria" w:hAnsi="Cambria" w:cstheme="majorBidi"/>
        </w:rPr>
        <w:t>NHS 111 provide</w:t>
      </w:r>
      <w:r w:rsidR="00165F2F" w:rsidRPr="00086743">
        <w:rPr>
          <w:rFonts w:ascii="Cambria" w:hAnsi="Cambria" w:cstheme="majorBidi"/>
        </w:rPr>
        <w:t>s</w:t>
      </w:r>
      <w:r w:rsidRPr="00086743">
        <w:rPr>
          <w:rFonts w:ascii="Cambria" w:hAnsi="Cambria" w:cstheme="majorBidi"/>
        </w:rPr>
        <w:t xml:space="preserve"> telephone triage for urgent care in England. The service is free to use and is available 24 hours a day, 365 days a year across England</w:t>
      </w:r>
      <w:r w:rsidR="00B51048" w:rsidRPr="00086743">
        <w:rPr>
          <w:rFonts w:ascii="Cambria" w:hAnsi="Cambria" w:cstheme="majorBidi"/>
        </w:rPr>
        <w:t>. It</w:t>
      </w:r>
      <w:r w:rsidRPr="00086743">
        <w:rPr>
          <w:rFonts w:ascii="Cambria" w:hAnsi="Cambria" w:cstheme="majorBidi"/>
        </w:rPr>
        <w:t xml:space="preserve"> is positioned at the heart of the policy vision for integrated care set out in the Five Year Forward View (2014) and the more recent GP Forward View (2016)</w:t>
      </w:r>
      <w:r w:rsidR="008F57F3" w:rsidRPr="00086743">
        <w:rPr>
          <w:rFonts w:ascii="Cambria" w:hAnsi="Cambria" w:cstheme="majorBidi"/>
        </w:rPr>
        <w:t>.</w:t>
      </w:r>
      <w:r w:rsidR="00E424CB"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ExcludeYear="1"&gt;&lt;Author&gt;NHS England&lt;/Author&gt;&lt;Year&gt;October 2014&lt;/Year&gt;&lt;RecNum&gt;1&lt;/RecNum&gt;&lt;DisplayText&gt;(1, 2)&lt;/DisplayText&gt;&lt;record&gt;&lt;rec-number&gt;1&lt;/rec-number&gt;&lt;foreign-keys&gt;&lt;key app="EN" db-id="0eprwd9r99dr2nefav5vwvtge0axsza5fs0z" timestamp="1474642087"&gt;1&lt;/key&gt;&lt;/foreign-keys&gt;&lt;ref-type name="Web Page"&gt;12&lt;/ref-type&gt;&lt;contributors&gt;&lt;authors&gt;&lt;author&gt;NHS England,&lt;/author&gt;&lt;author&gt;Public Health England,&lt;/author&gt;&lt;author&gt;Health Education England, &lt;/author&gt;&lt;author&gt;Monitor,&lt;/author&gt;&lt;author&gt;Care Quality Commission, &lt;/author&gt;&lt;author&gt;NHS Trust Development Authority&lt;/author&gt;&lt;/authors&gt;&lt;/contributors&gt;&lt;titles&gt;&lt;title&gt;Five year forward view&lt;/title&gt;&lt;/titles&gt;&lt;dates&gt;&lt;year&gt;October 2014&lt;/year&gt;&lt;/dates&gt;&lt;urls&gt;&lt;related-urls&gt;&lt;url&gt;www.england.nhs.uk/wp-content/uploads/2014/10/5yfv-web.pdf.&lt;/url&gt;&lt;/related-urls&gt;&lt;/urls&gt;&lt;/record&gt;&lt;/Cite&gt;&lt;Cite ExcludeAuth="1" ExcludeYear="1"&gt;&lt;Author&gt;NHS England&lt;/Author&gt;&lt;Year&gt;2016&lt;/Year&gt;&lt;RecNum&gt;2&lt;/RecNum&gt;&lt;record&gt;&lt;rec-number&gt;2&lt;/rec-number&gt;&lt;foreign-keys&gt;&lt;key app="EN" db-id="0eprwd9r99dr2nefav5vwvtge0axsza5fs0z" timestamp="1474642351"&gt;2&lt;/key&gt;&lt;/foreign-keys&gt;&lt;ref-type name="Web Page"&gt;12&lt;/ref-type&gt;&lt;contributors&gt;&lt;authors&gt;&lt;author&gt;NHS England, &lt;/author&gt;&lt;/authors&gt;&lt;/contributors&gt;&lt;titles&gt;&lt;title&gt;General Practice Forward View&lt;/title&gt;&lt;/titles&gt;&lt;dates&gt;&lt;year&gt;2016&lt;/year&gt;&lt;/dates&gt;&lt;urls&gt;&lt;related-urls&gt;&lt;url&gt;https://www.england.nhs.uk/wp-content/uploads/2016/04/gpfv.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(1, 2)</w:t>
      </w:r>
      <w:r w:rsidR="00077D32" w:rsidRPr="00086743">
        <w:rPr>
          <w:rFonts w:ascii="Cambria" w:hAnsi="Cambria" w:cstheme="majorBidi"/>
        </w:rPr>
        <w:fldChar w:fldCharType="end"/>
      </w:r>
    </w:p>
    <w:p w:rsidR="00BA03C3" w:rsidRPr="00086743" w:rsidRDefault="00B51048" w:rsidP="00681477">
      <w:pPr>
        <w:autoSpaceDE w:val="0"/>
        <w:autoSpaceDN w:val="0"/>
        <w:adjustRightInd w:val="0"/>
        <w:spacing w:before="240" w:after="0" w:line="360" w:lineRule="auto"/>
        <w:rPr>
          <w:rFonts w:ascii="Cambria" w:hAnsi="Cambria" w:cstheme="majorBidi"/>
        </w:rPr>
      </w:pPr>
      <w:r w:rsidRPr="00086743">
        <w:rPr>
          <w:rFonts w:ascii="Cambria" w:hAnsi="Cambria" w:cstheme="majorBidi"/>
        </w:rPr>
        <w:t>D</w:t>
      </w:r>
      <w:r w:rsidR="00012767" w:rsidRPr="00086743">
        <w:rPr>
          <w:rFonts w:ascii="Cambria" w:hAnsi="Cambria" w:cstheme="majorBidi"/>
        </w:rPr>
        <w:t>epending on who you ask</w:t>
      </w:r>
      <w:r w:rsidR="007A3B42" w:rsidRPr="00086743">
        <w:rPr>
          <w:rFonts w:ascii="Cambria" w:hAnsi="Cambria" w:cstheme="majorBidi"/>
        </w:rPr>
        <w:t xml:space="preserve">, </w:t>
      </w:r>
      <w:r w:rsidR="00012767" w:rsidRPr="00086743">
        <w:rPr>
          <w:rFonts w:ascii="Cambria" w:hAnsi="Cambria" w:cstheme="majorBidi"/>
        </w:rPr>
        <w:t>NHS 111</w:t>
      </w:r>
      <w:r w:rsidR="007A3B42" w:rsidRPr="00086743">
        <w:rPr>
          <w:rFonts w:ascii="Cambria" w:hAnsi="Cambria" w:cstheme="majorBidi"/>
        </w:rPr>
        <w:t xml:space="preserve"> </w:t>
      </w:r>
      <w:r w:rsidR="00504859" w:rsidRPr="00086743">
        <w:rPr>
          <w:rFonts w:ascii="Cambria" w:hAnsi="Cambria" w:cstheme="majorBidi"/>
        </w:rPr>
        <w:t>is</w:t>
      </w:r>
      <w:r w:rsidR="006B05E6" w:rsidRPr="00086743">
        <w:rPr>
          <w:rFonts w:ascii="Cambria" w:hAnsi="Cambria" w:cstheme="majorBidi"/>
        </w:rPr>
        <w:t xml:space="preserve"> “a high quality service in the face of high demand”</w:t>
      </w:r>
      <w:r w:rsidR="00E476B6"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ExcludeYear="1"&gt;&lt;Author&gt;National Health Executive&lt;/Author&gt;&lt;Year&gt;2015&lt;/Year&gt;&lt;RecNum&gt;3&lt;/RecNum&gt;&lt;DisplayText&gt;(3)&lt;/DisplayText&gt;&lt;record&gt;&lt;rec-number&gt;3&lt;/rec-number&gt;&lt;foreign-keys&gt;&lt;key app="EN" db-id="0eprwd9r99dr2nefav5vwvtge0axsza5fs0z" timestamp="1474642538"&gt;3&lt;/key&gt;&lt;/foreign-keys&gt;&lt;ref-type name="Journal Article"&gt;17&lt;/ref-type&gt;&lt;contributors&gt;&lt;authors&gt;&lt;author&gt;National Health Executive,&lt;/author&gt;&lt;/authors&gt;&lt;/contributors&gt;&lt;titles&gt;&lt;title&gt;NHS 111 sends more patients than necessary to A&amp;amp;E: study suggests&lt;/title&gt;&lt;/titles&gt;&lt;dates&gt;&lt;year&gt;2015&lt;/year&gt;&lt;/dates&gt;&lt;urls&gt;&lt;related-urls&gt;&lt;url&gt;http://www.nationalhealthexecutive.com/Health-Care-News/nhs-111-sends-more-patients-than-necessary-to-ae-study-suggests&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(3)</w:t>
      </w:r>
      <w:r w:rsidR="00077D32" w:rsidRPr="00086743">
        <w:rPr>
          <w:rFonts w:ascii="Cambria" w:hAnsi="Cambria" w:cstheme="majorBidi"/>
        </w:rPr>
        <w:fldChar w:fldCharType="end"/>
      </w:r>
      <w:r w:rsidR="00E424CB" w:rsidRPr="00086743">
        <w:rPr>
          <w:rFonts w:ascii="Cambria" w:hAnsi="Cambria" w:cstheme="majorBidi"/>
        </w:rPr>
        <w:t xml:space="preserve"> </w:t>
      </w:r>
      <w:r w:rsidR="00E476B6" w:rsidRPr="00086743">
        <w:rPr>
          <w:rFonts w:ascii="Cambria" w:hAnsi="Cambria" w:cstheme="majorBidi"/>
        </w:rPr>
        <w:t>a serial killer of babies</w:t>
      </w:r>
      <w:r w:rsidR="00E424CB"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ExcludeYear="1"&gt;&lt;Author&gt;Faulkner&lt;/Author&gt;&lt;Year&gt;2015&lt;/Year&gt;&lt;RecNum&gt;4&lt;/RecNum&gt;&lt;DisplayText&gt;(4, 5)&lt;/DisplayText&gt;&lt;record&gt;&lt;rec-number&gt;4&lt;/rec-number&gt;&lt;foreign-keys&gt;&lt;key app="EN" db-id="0eprwd9r99dr2nefav5vwvtge0axsza5fs0z" timestamp="1474642667"&gt;4&lt;/key&gt;&lt;/foreign-keys&gt;&lt;ref-type name="Web Page"&gt;12&lt;/ref-type&gt;&lt;contributors&gt;&lt;authors&gt;&lt;author&gt;Faulkner, K&lt;/author&gt;&lt;author&gt;Dolan, A&lt;/author&gt;&lt;author&gt;White, J&lt;/author&gt;&lt;author&gt;Bentley, P&lt;/author&gt;&lt;/authors&gt;&lt;/contributors&gt;&lt;titles&gt;&lt;title&gt;The tragic cost  of NHS out-hours hotline’s descent into meltdown&lt;/title&gt;&lt;/titles&gt;&lt;dates&gt;&lt;year&gt;2015&lt;/year&gt;&lt;/dates&gt;&lt;urls&gt;&lt;related-urls&gt;&lt;url&gt;http://www.dailymail.co.uk/news/article-3252724/The-tragic-cost-NHS-hours-hotline-s-descent-meltdown-Two-babies-died-parents-given-wrong-advice-investigation-finds-ONE-nurse-duty-2-million-people.html&lt;/url&gt;&lt;/related-urls&gt;&lt;/urls&gt;&lt;access-date&gt;25/8/2016&lt;/access-date&gt;&lt;/record&gt;&lt;/Cite&gt;&lt;Cite ExcludeAuth="1" ExcludeYear="1"&gt;&lt;Author&gt;Torjesen&lt;/Author&gt;&lt;Year&gt;2016&lt;/Year&gt;&lt;RecNum&gt;5&lt;/RecNum&gt;&lt;record&gt;&lt;rec-number&gt;5&lt;/rec-number&gt;&lt;foreign-keys&gt;&lt;key app="EN" db-id="0eprwd9r99dr2nefav5vwvtge0axsza5fs0z" timestamp="1474642729"&gt;5&lt;/key&gt;&lt;/foreign-keys&gt;&lt;ref-type name="Journal Article"&gt;17&lt;/ref-type&gt;&lt;contributors&gt;&lt;authors&gt;&lt;author&gt;Torjesen, I&lt;/author&gt;&lt;/authors&gt;&lt;/contributors&gt;&lt;titles&gt;&lt;title&gt;Ignorance about sepsis was a factor in child’s death, says report&lt;/title&gt;&lt;secondary-title&gt;BMJ&lt;/secondary-title&gt;&lt;/titles&gt;&lt;periodical&gt;&lt;full-title&gt;BMJ&lt;/full-title&gt;&lt;/periodical&gt;&lt;pages&gt;i541&lt;/pages&gt;&lt;volume&gt;352&lt;/volume&gt;&lt;dates&gt;&lt;year&gt;2016&lt;/year&gt;&lt;/dates&gt;&lt;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(4, 5)</w:t>
      </w:r>
      <w:r w:rsidR="00077D32" w:rsidRPr="00086743">
        <w:rPr>
          <w:rFonts w:ascii="Cambria" w:hAnsi="Cambria" w:cstheme="majorBidi"/>
        </w:rPr>
        <w:fldChar w:fldCharType="end"/>
      </w:r>
      <w:r w:rsidR="006B05E6" w:rsidRPr="00086743">
        <w:rPr>
          <w:rFonts w:ascii="Cambria" w:hAnsi="Cambria" w:cstheme="majorBidi"/>
        </w:rPr>
        <w:t xml:space="preserve"> </w:t>
      </w:r>
      <w:r w:rsidR="00DD3CD4" w:rsidRPr="00086743">
        <w:rPr>
          <w:rFonts w:ascii="Cambria" w:hAnsi="Cambria" w:cstheme="majorBidi"/>
        </w:rPr>
        <w:t xml:space="preserve">or </w:t>
      </w:r>
      <w:r w:rsidR="006B05E6" w:rsidRPr="00086743">
        <w:rPr>
          <w:rFonts w:ascii="Cambria" w:hAnsi="Cambria" w:cstheme="majorBidi"/>
        </w:rPr>
        <w:t xml:space="preserve">the source of an </w:t>
      </w:r>
      <w:r w:rsidR="00BA03C3" w:rsidRPr="00086743">
        <w:rPr>
          <w:rFonts w:ascii="Cambria" w:hAnsi="Cambria" w:cstheme="majorBidi"/>
        </w:rPr>
        <w:t>increasing</w:t>
      </w:r>
      <w:r w:rsidR="00DD3CD4" w:rsidRPr="00086743">
        <w:rPr>
          <w:rFonts w:ascii="Cambria" w:hAnsi="Cambria" w:cstheme="majorBidi"/>
        </w:rPr>
        <w:t xml:space="preserve"> and</w:t>
      </w:r>
      <w:r w:rsidR="00BA03C3" w:rsidRPr="00086743">
        <w:rPr>
          <w:rFonts w:ascii="Cambria" w:hAnsi="Cambria" w:cstheme="majorBidi"/>
        </w:rPr>
        <w:t xml:space="preserve"> </w:t>
      </w:r>
      <w:r w:rsidR="006B05E6" w:rsidRPr="00086743">
        <w:rPr>
          <w:rFonts w:ascii="Cambria" w:hAnsi="Cambria" w:cstheme="majorBidi"/>
        </w:rPr>
        <w:t xml:space="preserve">inappropriate </w:t>
      </w:r>
      <w:r w:rsidR="00BA03C3" w:rsidRPr="00086743">
        <w:rPr>
          <w:rFonts w:ascii="Cambria" w:hAnsi="Cambria" w:cstheme="majorBidi"/>
        </w:rPr>
        <w:t xml:space="preserve">burden </w:t>
      </w:r>
      <w:r w:rsidR="00012767" w:rsidRPr="00086743">
        <w:rPr>
          <w:rFonts w:ascii="Cambria" w:hAnsi="Cambria" w:cstheme="majorBidi"/>
        </w:rPr>
        <w:t xml:space="preserve">on over stretched </w:t>
      </w:r>
      <w:r w:rsidR="00DD3CD4" w:rsidRPr="00086743">
        <w:rPr>
          <w:rFonts w:ascii="Cambria" w:hAnsi="Cambria" w:cstheme="majorBidi"/>
        </w:rPr>
        <w:t xml:space="preserve">NHS </w:t>
      </w:r>
      <w:r w:rsidR="00012767" w:rsidRPr="00086743">
        <w:rPr>
          <w:rFonts w:ascii="Cambria" w:hAnsi="Cambria" w:cstheme="majorBidi"/>
        </w:rPr>
        <w:t xml:space="preserve">ambulance </w:t>
      </w:r>
      <w:r w:rsidR="00AD2160" w:rsidRPr="00086743">
        <w:rPr>
          <w:rFonts w:ascii="Cambria" w:hAnsi="Cambria" w:cstheme="majorBidi"/>
        </w:rPr>
        <w:t>and emergency care</w:t>
      </w:r>
      <w:r w:rsidR="0011738D" w:rsidRPr="00086743">
        <w:rPr>
          <w:rFonts w:ascii="Cambria" w:hAnsi="Cambria" w:cstheme="majorBidi"/>
        </w:rPr>
        <w:t xml:space="preserve"> services</w:t>
      </w:r>
      <w:r w:rsidR="008F57F3" w:rsidRPr="00086743">
        <w:rPr>
          <w:rFonts w:ascii="Cambria" w:hAnsi="Cambria" w:cstheme="majorBidi"/>
        </w:rPr>
        <w:t>.</w:t>
      </w:r>
      <w:r w:rsidR="00012767"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ExcludeYear="1"&gt;&lt;Author&gt;Iacobucci&lt;/Author&gt;&lt;Year&gt;2013&lt;/Year&gt;&lt;RecNum&gt;6&lt;/RecNum&gt;&lt;DisplayText&gt;(6, 7)&lt;/DisplayText&gt;&lt;record&gt;&lt;rec-number&gt;6&lt;/rec-number&gt;&lt;foreign-keys&gt;&lt;key app="EN" db-id="0eprwd9r99dr2nefav5vwvtge0axsza5fs0z" timestamp="1474642770"&gt;6&lt;/key&gt;&lt;/foreign-keys&gt;&lt;ref-type name="Journal Article"&gt;17&lt;/ref-type&gt;&lt;contributors&gt;&lt;authors&gt;&lt;author&gt;Iacobucci, G&lt;/author&gt;&lt;/authors&gt;&lt;/contributors&gt;&lt;titles&gt;&lt;title&gt;GPs back call for independent review of “dreadful” NHS 111&lt;/title&gt;&lt;secondary-title&gt;BMJ &lt;/secondary-title&gt;&lt;/titles&gt;&lt;periodical&gt;&lt;full-title&gt;BMJ&lt;/full-title&gt;&lt;/periodical&gt;&lt;pages&gt;f3437&lt;/pages&gt;&lt;volume&gt;346&lt;/volume&gt;&lt;dates&gt;&lt;year&gt;2013&lt;/year&gt;&lt;/dates&gt;&lt;urls&gt;&lt;/urls&gt;&lt;/record&gt;&lt;/Cite&gt;&lt;Cite ExcludeAuth="1" ExcludeYear="1"&gt;&lt;Author&gt;Anderson&lt;/Author&gt;&lt;Year&gt;2015&lt;/Year&gt;&lt;RecNum&gt;7&lt;/RecNum&gt;&lt;record&gt;&lt;rec-number&gt;7&lt;/rec-number&gt;&lt;foreign-keys&gt;&lt;key app="EN" db-id="0eprwd9r99dr2nefav5vwvtge0axsza5fs0z" timestamp="1474642839"&gt;7&lt;/key&gt;&lt;/foreign-keys&gt;&lt;ref-type name="Electronic Article"&gt;43&lt;/ref-type&gt;&lt;contributors&gt;&lt;authors&gt;&lt;author&gt;Anderson, A&lt;/author&gt;&lt;author&gt;Roland, M&lt;/author&gt;&lt;/authors&gt;&lt;/contributors&gt;&lt;titles&gt;&lt;title&gt;Potential for advice from doctors to reduce the number of patients referred to emergency departments by NHS 111 call handlers: observational study&lt;/title&gt;&lt;secondary-title&gt;BMJ Open &lt;/secondary-title&gt;&lt;/titles&gt;&lt;periodical&gt;&lt;full-title&gt;BMJ Open&lt;/full-title&gt;&lt;/periodical&gt;&lt;pages&gt;e009444 &lt;/pages&gt;&lt;volume&gt;5&lt;/volume&gt;&lt;dates&gt;&lt;year&gt;2015&lt;/year&gt;&lt;/dates&gt;&lt;urls&gt;&lt;/urls&gt;&lt;/record&gt;&lt;/Cite&gt;&lt;/EndNote&gt;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(6, 7)</w:t>
      </w:r>
      <w:r w:rsidR="00077D32" w:rsidRPr="00086743">
        <w:rPr>
          <w:rFonts w:ascii="Cambria" w:hAnsi="Cambria" w:cstheme="majorBidi"/>
        </w:rPr>
        <w:fldChar w:fldCharType="end"/>
      </w:r>
      <w:r w:rsidR="00796BE5" w:rsidRPr="00086743">
        <w:rPr>
          <w:rFonts w:ascii="Cambria" w:hAnsi="Cambria" w:cstheme="majorBidi"/>
        </w:rPr>
        <w:t xml:space="preserve"> </w:t>
      </w:r>
      <w:r w:rsidR="006B05E6" w:rsidRPr="00086743">
        <w:rPr>
          <w:rFonts w:ascii="Cambria" w:hAnsi="Cambria" w:cstheme="majorBidi"/>
        </w:rPr>
        <w:t>These wildly contrasting views suggest</w:t>
      </w:r>
      <w:r w:rsidR="00B6276D" w:rsidRPr="00086743">
        <w:rPr>
          <w:rFonts w:ascii="Cambria" w:hAnsi="Cambria" w:cstheme="majorBidi"/>
        </w:rPr>
        <w:t xml:space="preserve"> that</w:t>
      </w:r>
      <w:r w:rsidR="006B05E6" w:rsidRPr="00086743">
        <w:rPr>
          <w:rFonts w:ascii="Cambria" w:hAnsi="Cambria" w:cstheme="majorBidi"/>
        </w:rPr>
        <w:t xml:space="preserve"> </w:t>
      </w:r>
      <w:r w:rsidR="005306D5" w:rsidRPr="00086743">
        <w:rPr>
          <w:rFonts w:ascii="Cambria" w:hAnsi="Cambria" w:cstheme="majorBidi"/>
        </w:rPr>
        <w:t>evaluating</w:t>
      </w:r>
      <w:r w:rsidR="00B6276D" w:rsidRPr="00086743">
        <w:rPr>
          <w:rFonts w:ascii="Cambria" w:hAnsi="Cambria" w:cstheme="majorBidi"/>
        </w:rPr>
        <w:t xml:space="preserve"> the success </w:t>
      </w:r>
      <w:r w:rsidR="004C58CD" w:rsidRPr="00086743">
        <w:rPr>
          <w:rFonts w:ascii="Cambria" w:hAnsi="Cambria" w:cstheme="majorBidi"/>
        </w:rPr>
        <w:t xml:space="preserve">or otherwise </w:t>
      </w:r>
      <w:r w:rsidR="00B6276D" w:rsidRPr="00086743">
        <w:rPr>
          <w:rFonts w:ascii="Cambria" w:hAnsi="Cambria" w:cstheme="majorBidi"/>
        </w:rPr>
        <w:t>of this service</w:t>
      </w:r>
      <w:r w:rsidR="00AA0EF8" w:rsidRPr="00086743">
        <w:rPr>
          <w:rFonts w:ascii="Cambria" w:hAnsi="Cambria" w:cstheme="majorBidi"/>
        </w:rPr>
        <w:t xml:space="preserve"> depends on the criteria used</w:t>
      </w:r>
      <w:r w:rsidR="006B05E6" w:rsidRPr="00086743">
        <w:rPr>
          <w:rFonts w:ascii="Cambria" w:hAnsi="Cambria" w:cstheme="majorBidi"/>
        </w:rPr>
        <w:t xml:space="preserve">. </w:t>
      </w:r>
      <w:r w:rsidR="00B6276D" w:rsidRPr="00086743">
        <w:rPr>
          <w:rFonts w:ascii="Cambria" w:hAnsi="Cambria" w:cstheme="majorBidi"/>
        </w:rPr>
        <w:t>Nonetheless</w:t>
      </w:r>
      <w:r w:rsidR="004C58CD" w:rsidRPr="00086743">
        <w:rPr>
          <w:rFonts w:ascii="Cambria" w:hAnsi="Cambria" w:cstheme="majorBidi"/>
        </w:rPr>
        <w:t>,</w:t>
      </w:r>
      <w:r w:rsidR="00B6276D" w:rsidRPr="00086743">
        <w:rPr>
          <w:rFonts w:ascii="Cambria" w:hAnsi="Cambria" w:cstheme="majorBidi"/>
        </w:rPr>
        <w:t xml:space="preserve"> </w:t>
      </w:r>
      <w:r w:rsidR="00DD3CD4" w:rsidRPr="00086743">
        <w:rPr>
          <w:rFonts w:ascii="Cambria" w:hAnsi="Cambria" w:cstheme="majorBidi"/>
        </w:rPr>
        <w:t xml:space="preserve">given the centrality of NHS 111 </w:t>
      </w:r>
      <w:r w:rsidR="00CF6245" w:rsidRPr="00086743">
        <w:rPr>
          <w:rFonts w:ascii="Cambria" w:hAnsi="Cambria" w:cstheme="majorBidi"/>
        </w:rPr>
        <w:t>as the ‘front door’ for the newly</w:t>
      </w:r>
      <w:r w:rsidR="00DD3CD4" w:rsidRPr="00086743">
        <w:rPr>
          <w:rFonts w:ascii="Cambria" w:hAnsi="Cambria" w:cstheme="majorBidi"/>
        </w:rPr>
        <w:t xml:space="preserve"> propos</w:t>
      </w:r>
      <w:r w:rsidR="00CF6245" w:rsidRPr="00086743">
        <w:rPr>
          <w:rFonts w:ascii="Cambria" w:hAnsi="Cambria" w:cstheme="majorBidi"/>
        </w:rPr>
        <w:t>ed</w:t>
      </w:r>
      <w:r w:rsidR="00DD3CD4" w:rsidRPr="00086743">
        <w:rPr>
          <w:rFonts w:ascii="Cambria" w:hAnsi="Cambria" w:cstheme="majorBidi"/>
        </w:rPr>
        <w:t xml:space="preserve"> Clinical Hubs</w:t>
      </w:r>
      <w:r w:rsidR="00AA0EF8" w:rsidRPr="00086743">
        <w:rPr>
          <w:rFonts w:ascii="Cambria" w:hAnsi="Cambria" w:cstheme="majorBidi"/>
        </w:rPr>
        <w:t xml:space="preserve"> (which will provide clinical advice and support to patients and professionals outside hospital settings)</w:t>
      </w:r>
      <w:r w:rsidR="00DD3CD4" w:rsidRPr="00086743">
        <w:rPr>
          <w:rFonts w:ascii="Cambria" w:hAnsi="Cambria" w:cstheme="majorBidi"/>
        </w:rPr>
        <w:t xml:space="preserve"> it seems </w:t>
      </w:r>
      <w:r w:rsidR="00B6276D" w:rsidRPr="00086743">
        <w:rPr>
          <w:rFonts w:ascii="Cambria" w:hAnsi="Cambria" w:cstheme="majorBidi"/>
        </w:rPr>
        <w:t xml:space="preserve">timely to consider </w:t>
      </w:r>
      <w:r w:rsidR="00213091" w:rsidRPr="00086743">
        <w:rPr>
          <w:rFonts w:ascii="Cambria" w:hAnsi="Cambria" w:cstheme="majorBidi"/>
        </w:rPr>
        <w:t xml:space="preserve">what we have learned about </w:t>
      </w:r>
      <w:r w:rsidR="00B47607" w:rsidRPr="00086743">
        <w:rPr>
          <w:rFonts w:ascii="Cambria" w:hAnsi="Cambria" w:cstheme="majorBidi"/>
        </w:rPr>
        <w:t>NHS 111</w:t>
      </w:r>
      <w:r w:rsidR="00B6276D" w:rsidRPr="00086743">
        <w:rPr>
          <w:rFonts w:ascii="Cambria" w:hAnsi="Cambria" w:cstheme="majorBidi"/>
        </w:rPr>
        <w:t xml:space="preserve">. </w:t>
      </w:r>
    </w:p>
    <w:p w:rsidR="007A1058" w:rsidRPr="00086743" w:rsidRDefault="00BA03C3" w:rsidP="00681477">
      <w:pPr>
        <w:spacing w:before="240" w:line="360" w:lineRule="auto"/>
        <w:rPr>
          <w:rFonts w:ascii="Cambria" w:hAnsi="Cambria" w:cstheme="majorBidi"/>
        </w:rPr>
      </w:pPr>
      <w:r w:rsidRPr="00086743">
        <w:rPr>
          <w:rFonts w:ascii="Cambria" w:hAnsi="Cambria" w:cstheme="majorBidi"/>
        </w:rPr>
        <w:t>NHS 111 was</w:t>
      </w:r>
      <w:r w:rsidR="00CF6245" w:rsidRPr="00086743">
        <w:rPr>
          <w:rFonts w:ascii="Cambria" w:hAnsi="Cambria" w:cstheme="majorBidi"/>
        </w:rPr>
        <w:t xml:space="preserve"> officially </w:t>
      </w:r>
      <w:r w:rsidRPr="00086743">
        <w:rPr>
          <w:rFonts w:ascii="Cambria" w:hAnsi="Cambria" w:cstheme="majorBidi"/>
        </w:rPr>
        <w:t>launched in February 2014</w:t>
      </w:r>
      <w:r w:rsidR="003E5373" w:rsidRPr="00086743">
        <w:rPr>
          <w:rFonts w:ascii="Cambria" w:hAnsi="Cambria" w:cstheme="majorBidi"/>
        </w:rPr>
        <w:t xml:space="preserve"> </w:t>
      </w:r>
      <w:r w:rsidR="00B51048" w:rsidRPr="00086743">
        <w:rPr>
          <w:rFonts w:ascii="Cambria" w:hAnsi="Cambria" w:cstheme="majorBidi"/>
        </w:rPr>
        <w:t>follow</w:t>
      </w:r>
      <w:r w:rsidR="003E5373" w:rsidRPr="00086743">
        <w:rPr>
          <w:rFonts w:ascii="Cambria" w:hAnsi="Cambria" w:cstheme="majorBidi"/>
        </w:rPr>
        <w:t>ing</w:t>
      </w:r>
      <w:r w:rsidR="00B51048" w:rsidRPr="00086743">
        <w:rPr>
          <w:rFonts w:ascii="Cambria" w:hAnsi="Cambria" w:cstheme="majorBidi"/>
        </w:rPr>
        <w:t xml:space="preserve"> piloting in </w:t>
      </w:r>
      <w:r w:rsidR="00785FD9" w:rsidRPr="00086743">
        <w:rPr>
          <w:rFonts w:ascii="Cambria" w:hAnsi="Cambria" w:cstheme="majorBidi"/>
        </w:rPr>
        <w:t>four</w:t>
      </w:r>
      <w:r w:rsidR="00B51048" w:rsidRPr="00086743">
        <w:rPr>
          <w:rFonts w:ascii="Cambria" w:hAnsi="Cambria" w:cstheme="majorBidi"/>
        </w:rPr>
        <w:t xml:space="preserve"> sites in England in 2010</w:t>
      </w:r>
      <w:r w:rsidR="00785FD9" w:rsidRPr="00086743">
        <w:rPr>
          <w:rFonts w:ascii="Cambria" w:eastAsia="FreeSans" w:hAnsi="Cambria" w:cs="FreeSans"/>
        </w:rPr>
        <w:t xml:space="preserve">, </w:t>
      </w:r>
      <w:r w:rsidR="003E5373" w:rsidRPr="00086743">
        <w:rPr>
          <w:rFonts w:ascii="Cambria" w:eastAsia="FreeSans" w:hAnsi="Cambria" w:cs="FreeSans"/>
        </w:rPr>
        <w:t>(</w:t>
      </w:r>
      <w:r w:rsidR="00785FD9" w:rsidRPr="00086743">
        <w:rPr>
          <w:rFonts w:ascii="Cambria" w:eastAsia="FreeSans" w:hAnsi="Cambria" w:cs="FreeSans"/>
        </w:rPr>
        <w:t>evaluat</w:t>
      </w:r>
      <w:r w:rsidR="003E5373" w:rsidRPr="00086743">
        <w:rPr>
          <w:rFonts w:ascii="Cambria" w:eastAsia="FreeSans" w:hAnsi="Cambria" w:cs="FreeSans"/>
        </w:rPr>
        <w:t>ed</w:t>
      </w:r>
      <w:r w:rsidR="00785FD9" w:rsidRPr="00086743">
        <w:rPr>
          <w:rFonts w:ascii="Cambria" w:eastAsia="FreeSans" w:hAnsi="Cambria" w:cs="FreeSans"/>
        </w:rPr>
        <w:t xml:space="preserve"> by researchers at the University of Sheffield</w:t>
      </w:r>
      <w:r w:rsidR="008F57F3" w:rsidRPr="00086743">
        <w:rPr>
          <w:rFonts w:ascii="Cambria" w:eastAsia="FreeSans" w:hAnsi="Cambria" w:cs="FreeSans"/>
        </w:rPr>
        <w:t>.</w:t>
      </w:r>
      <w:r w:rsidR="00E424CB" w:rsidRPr="00086743">
        <w:rPr>
          <w:rFonts w:ascii="Cambria" w:eastAsia="FreeSans" w:hAnsi="Cambria" w:cs="FreeSans"/>
        </w:rPr>
        <w:t xml:space="preserve"> </w:t>
      </w:r>
      <w:r w:rsidR="00077D32" w:rsidRPr="00086743">
        <w:rPr>
          <w:rFonts w:ascii="Cambria" w:eastAsia="FreeSans" w:hAnsi="Cambria" w:cs="FreeSans"/>
        </w:rPr>
        <w:fldChar w:fldCharType="begin"/>
      </w:r>
      <w:r w:rsidR="00170111" w:rsidRPr="00086743">
        <w:rPr>
          <w:rFonts w:ascii="Cambria" w:eastAsia="FreeSans" w:hAnsi="Cambria" w:cs="FreeSans"/>
        </w:rPr>
        <w:instrText xml:space="preserve"> ADDIN EN.CITE &lt;EndNote&gt;&lt;Cite ExcludeAuth="1" ExcludeYear="1"&gt;&lt;Author&gt;Turner&lt;/Author&gt;&lt;Year&gt;2012&lt;/Year&gt;&lt;RecNum&gt;30&lt;/RecNum&gt;&lt;DisplayText&gt;(8, 9)&lt;/DisplayText&gt;&lt;record&gt;&lt;rec-number&gt;30&lt;/rec-number&gt;&lt;foreign-keys&gt;&lt;key app="EN" db-id="0eprwd9r99dr2nefav5vwvtge0axsza5fs0z" timestamp="1488233964"&gt;30&lt;/key&gt;&lt;/foreign-keys&gt;&lt;ref-type name="Report"&gt;27&lt;/ref-type&gt;&lt;contributors&gt;&lt;authors&gt;&lt;author&gt;Turner, J&lt;/author&gt;&lt;author&gt;O’Cathain, A&lt;/author&gt;&lt;author&gt;Knowles, E&lt;/author&gt;&lt;author&gt;Nicholl, J&lt;/author&gt;&lt;author&gt;Tosh, J&lt;/author&gt;&lt;author&gt;Sampson, F&lt;/author&gt;&lt;author&gt;Coleman, P&lt;/author&gt;&lt;author&gt;Coster, J&lt;/author&gt;&lt;/authors&gt;&lt;/contributors&gt;&lt;titles&gt;&lt;title&gt;Evaluation of NHS 111 Pilot sites. Final Report to the Department of Health&lt;/title&gt;&lt;/titles&gt;&lt;dates&gt;&lt;year&gt;2012&lt;/year&gt;&lt;/dates&gt;&lt;pub-location&gt;Medical Care Research Unit&lt;/pub-location&gt;&lt;publisher&gt;University of Sheffield&lt;/publisher&gt;&lt;urls&gt;&lt;related-urls&gt;&lt;url&gt;http://www.shef.ac.uk/polopoly_fs/1.227404!/file/NHS_111_final_report_August_2012.pdf&lt;/url&gt;&lt;/related-urls&gt;&lt;/urls&gt;&lt;/record&gt;&lt;/Cite&gt;&lt;Cite ExcludeAuth="1" ExcludeYear="1"&gt;&lt;Author&gt;Turner&lt;/Author&gt;&lt;Year&gt;2013&lt;/Year&gt;&lt;RecNum&gt;8&lt;/RecNum&gt;&lt;record&gt;&lt;rec-number&gt;8&lt;/rec-number&gt;&lt;foreign-keys&gt;&lt;key app="EN" db-id="0eprwd9r99dr2nefav5vwvtge0axsza5fs0z" timestamp="1474642921"&gt;8&lt;/key&gt;&lt;/foreign-keys&gt;&lt;ref-type name="Journal Article"&gt;17&lt;/ref-type&gt;&lt;contributors&gt;&lt;authors&gt;&lt;author&gt;Turner, J&lt;/author&gt;&lt;author&gt;O’Cathain, A&lt;/author&gt;&lt;author&gt;Knowles, E&lt;/author&gt;&lt;author&gt;Nicholl, J&lt;/author&gt;&lt;/authors&gt;&lt;/contributors&gt;&lt;titles&gt;&lt;title&gt;Impact of the urgent care telephone service NHS 111 pilot sites: a controlled before and after study&lt;/title&gt;&lt;secondary-title&gt;BMJ Open&lt;/secondary-title&gt;&lt;/titles&gt;&lt;periodical&gt;&lt;full-title&gt;BMJ Open&lt;/full-title&gt;&lt;/periodical&gt;&lt;pages&gt;e003451&lt;/pages&gt;&lt;volume&gt;3&lt;/volume&gt;&lt;dates&gt;&lt;year&gt;2013&lt;/year&gt;&lt;/dates&gt;&lt;urls&gt;&lt;/urls&gt;&lt;/record&gt;&lt;/Cite&gt;&lt;/EndNote&gt;</w:instrText>
      </w:r>
      <w:r w:rsidR="00077D32" w:rsidRPr="00086743">
        <w:rPr>
          <w:rFonts w:ascii="Cambria" w:eastAsia="FreeSans" w:hAnsi="Cambria" w:cs="FreeSans"/>
        </w:rPr>
        <w:fldChar w:fldCharType="separate"/>
      </w:r>
      <w:r w:rsidR="00170111" w:rsidRPr="00086743">
        <w:rPr>
          <w:rFonts w:ascii="Cambria" w:eastAsia="FreeSans" w:hAnsi="Cambria" w:cs="FreeSans"/>
          <w:noProof/>
        </w:rPr>
        <w:t>(8, 9)</w:t>
      </w:r>
      <w:r w:rsidR="00077D32" w:rsidRPr="00086743">
        <w:rPr>
          <w:rFonts w:ascii="Cambria" w:eastAsia="FreeSans" w:hAnsi="Cambria" w:cs="FreeSans"/>
        </w:rPr>
        <w:fldChar w:fldCharType="end"/>
      </w:r>
      <w:r w:rsidR="003E5373" w:rsidRPr="00086743">
        <w:rPr>
          <w:rFonts w:ascii="Cambria" w:eastAsia="FreeSans" w:hAnsi="Cambria" w:cs="FreeSans"/>
        </w:rPr>
        <w:t xml:space="preserve">) and the establishment of further ‘first wave’ services in the intervening years. </w:t>
      </w:r>
      <w:r w:rsidR="00785FD9" w:rsidRPr="00086743">
        <w:rPr>
          <w:rFonts w:ascii="Cambria" w:eastAsia="FreeSans" w:hAnsi="Cambria" w:cs="FreeSans"/>
        </w:rPr>
        <w:t xml:space="preserve"> </w:t>
      </w:r>
      <w:r w:rsidR="003E5373" w:rsidRPr="00086743">
        <w:rPr>
          <w:rFonts w:ascii="Cambria" w:eastAsia="FreeSans" w:hAnsi="Cambria" w:cs="FreeSans"/>
        </w:rPr>
        <w:t xml:space="preserve">Its predecessor, </w:t>
      </w:r>
      <w:r w:rsidR="00785FD9" w:rsidRPr="00086743">
        <w:rPr>
          <w:rFonts w:ascii="Cambria" w:hAnsi="Cambria" w:cstheme="majorBidi"/>
        </w:rPr>
        <w:t xml:space="preserve">NHS Direct, previously available on an 0845 telephone number, was discontinued in March </w:t>
      </w:r>
      <w:r w:rsidR="003E5373" w:rsidRPr="00086743">
        <w:rPr>
          <w:rFonts w:ascii="Cambria" w:hAnsi="Cambria" w:cstheme="majorBidi"/>
        </w:rPr>
        <w:t>2014</w:t>
      </w:r>
      <w:r w:rsidR="008F57F3" w:rsidRPr="00086743">
        <w:rPr>
          <w:rFonts w:ascii="Cambria" w:hAnsi="Cambria" w:cstheme="majorBidi"/>
        </w:rPr>
        <w:t xml:space="preserve">, </w:t>
      </w:r>
      <w:r w:rsidR="005F3F44" w:rsidRPr="00086743">
        <w:rPr>
          <w:rFonts w:ascii="Cambria" w:hAnsi="Cambria" w:cstheme="majorBidi"/>
        </w:rPr>
        <w:t xml:space="preserve">and </w:t>
      </w:r>
      <w:r w:rsidR="00785FD9" w:rsidRPr="00086743">
        <w:rPr>
          <w:rFonts w:ascii="Cambria" w:hAnsi="Cambria" w:cstheme="majorBidi"/>
        </w:rPr>
        <w:t>there extant plans to extend NHS</w:t>
      </w:r>
      <w:r w:rsidR="00B47607" w:rsidRPr="00086743">
        <w:rPr>
          <w:rFonts w:ascii="Cambria" w:hAnsi="Cambria" w:cstheme="majorBidi"/>
        </w:rPr>
        <w:t xml:space="preserve"> </w:t>
      </w:r>
      <w:r w:rsidR="00785FD9" w:rsidRPr="00086743">
        <w:rPr>
          <w:rFonts w:ascii="Cambria" w:hAnsi="Cambria" w:cstheme="majorBidi"/>
        </w:rPr>
        <w:t>111 to Wales</w:t>
      </w:r>
      <w:r w:rsidR="005F3F44" w:rsidRPr="00086743">
        <w:rPr>
          <w:rFonts w:ascii="Cambria" w:hAnsi="Cambria" w:cstheme="majorBidi"/>
        </w:rPr>
        <w:t>.</w:t>
      </w:r>
      <w:r w:rsidR="00785FD9" w:rsidRPr="00086743">
        <w:rPr>
          <w:rFonts w:ascii="Cambria" w:hAnsi="Cambria" w:cstheme="majorBidi"/>
        </w:rPr>
        <w:t xml:space="preserve"> Badged as the service “for when it is less urgent than 999” </w:t>
      </w:r>
      <w:r w:rsidR="0014751F" w:rsidRPr="00086743">
        <w:rPr>
          <w:rFonts w:ascii="Cambria" w:hAnsi="Cambria" w:cstheme="majorBidi"/>
        </w:rPr>
        <w:t xml:space="preserve">NHS 111 is </w:t>
      </w:r>
      <w:r w:rsidR="0017145D" w:rsidRPr="00086743">
        <w:rPr>
          <w:rFonts w:ascii="Cambria" w:hAnsi="Cambria" w:cstheme="majorBidi"/>
        </w:rPr>
        <w:t>incorporated i</w:t>
      </w:r>
      <w:r w:rsidR="004C58CD" w:rsidRPr="00086743">
        <w:rPr>
          <w:rFonts w:ascii="Cambria" w:hAnsi="Cambria" w:cstheme="majorBidi"/>
        </w:rPr>
        <w:t xml:space="preserve">n a </w:t>
      </w:r>
      <w:r w:rsidR="00B47607" w:rsidRPr="00086743">
        <w:rPr>
          <w:rFonts w:ascii="Cambria" w:hAnsi="Cambria" w:cstheme="majorBidi"/>
        </w:rPr>
        <w:t xml:space="preserve">policy </w:t>
      </w:r>
      <w:r w:rsidR="004C58CD" w:rsidRPr="00086743">
        <w:rPr>
          <w:rFonts w:ascii="Cambria" w:hAnsi="Cambria" w:cstheme="majorBidi"/>
        </w:rPr>
        <w:t>vision for “</w:t>
      </w:r>
      <w:r w:rsidR="005E3B4A" w:rsidRPr="00086743">
        <w:rPr>
          <w:rFonts w:ascii="Cambria" w:hAnsi="Cambria" w:cstheme="majorBidi"/>
        </w:rPr>
        <w:t>a functionally</w:t>
      </w:r>
      <w:r w:rsidR="004C58CD" w:rsidRPr="00086743">
        <w:rPr>
          <w:rFonts w:ascii="Cambria" w:hAnsi="Cambria" w:cstheme="majorBidi"/>
        </w:rPr>
        <w:t xml:space="preserve"> </w:t>
      </w:r>
      <w:r w:rsidR="005E3B4A" w:rsidRPr="00086743">
        <w:rPr>
          <w:rFonts w:ascii="Cambria" w:hAnsi="Cambria" w:cstheme="majorBidi"/>
        </w:rPr>
        <w:t>integrated 24/7 urgent care service that is the ‘front door’ of the NHS and which</w:t>
      </w:r>
      <w:r w:rsidR="004C58CD" w:rsidRPr="00086743">
        <w:rPr>
          <w:rFonts w:ascii="Cambria" w:hAnsi="Cambria" w:cstheme="majorBidi"/>
        </w:rPr>
        <w:t xml:space="preserve"> </w:t>
      </w:r>
      <w:r w:rsidR="005E3B4A" w:rsidRPr="00086743">
        <w:rPr>
          <w:rFonts w:ascii="Cambria" w:hAnsi="Cambria" w:cstheme="majorBidi"/>
        </w:rPr>
        <w:t>provides the public with access to both treatment and clinical advice</w:t>
      </w:r>
      <w:r w:rsidR="004C58CD" w:rsidRPr="00086743">
        <w:rPr>
          <w:rFonts w:ascii="Cambria" w:hAnsi="Cambria" w:cstheme="majorBidi"/>
        </w:rPr>
        <w:t>”</w:t>
      </w:r>
      <w:r w:rsidR="008F57F3" w:rsidRPr="00086743">
        <w:rPr>
          <w:rFonts w:ascii="Cambria" w:hAnsi="Cambria" w:cstheme="majorBidi"/>
        </w:rPr>
        <w:t xml:space="preserve"> (p</w:t>
      </w:r>
      <w:r w:rsidR="0011738D" w:rsidRPr="00086743">
        <w:rPr>
          <w:rFonts w:ascii="Cambria" w:hAnsi="Cambria" w:cstheme="majorBidi"/>
        </w:rPr>
        <w:t xml:space="preserve">age 4,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ExcludeYear="1"&gt;&lt;Author&gt;NHS England&lt;/Author&gt;&lt;Year&gt;September 2015&lt;/Year&gt;&lt;RecNum&gt;9&lt;/RecNum&gt;&lt;DisplayText&gt;(10)&lt;/DisplayText&gt;&lt;record&gt;&lt;rec-number&gt;9&lt;/rec-number&gt;&lt;foreign-keys&gt;&lt;key app="EN" db-id="0eprwd9r99dr2nefav5vwvtge0axsza5fs0z" timestamp="1474643039"&gt;9&lt;/key&gt;&lt;/foreign-keys&gt;&lt;ref-type name="Web Page"&gt;12&lt;/ref-type&gt;&lt;contributors&gt;&lt;authors&gt;&lt;author&gt;NHS England,&lt;/author&gt;&lt;/authors&gt;&lt;/contributors&gt;&lt;titles&gt;&lt;title&gt;Commissioning Standards Integrated Urgent Care&lt;/title&gt;&lt;/titles&gt;&lt;dates&gt;&lt;year&gt;September 2015&lt;/year&gt;&lt;/dates&gt;&lt;urls&gt;&lt;related-urls&gt;&lt;url&gt;https://www.england.nhs.uk/wp-content/uploads/2015/10/integrtd-urgnt-care-comms-standrds-oct15.pdf&lt;/url&gt;&lt;/related-urls&gt;&lt;/urls&gt;&lt;/record&gt;&lt;/Cite&gt;&lt;/EndNote&gt;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(10)</w:t>
      </w:r>
      <w:r w:rsidR="00077D32" w:rsidRPr="00086743">
        <w:rPr>
          <w:rFonts w:ascii="Cambria" w:hAnsi="Cambria" w:cstheme="majorBidi"/>
        </w:rPr>
        <w:fldChar w:fldCharType="end"/>
      </w:r>
      <w:r w:rsidR="0011738D" w:rsidRPr="00086743">
        <w:rPr>
          <w:rFonts w:ascii="Cambria" w:hAnsi="Cambria" w:cstheme="majorBidi"/>
        </w:rPr>
        <w:t>)</w:t>
      </w:r>
      <w:r w:rsidR="005F3F44" w:rsidRPr="00086743">
        <w:rPr>
          <w:rFonts w:ascii="Cambria" w:hAnsi="Cambria" w:cstheme="majorBidi"/>
        </w:rPr>
        <w:t xml:space="preserve"> </w:t>
      </w:r>
      <w:r w:rsidR="00DD6D97" w:rsidRPr="00086743">
        <w:rPr>
          <w:rFonts w:ascii="Cambria" w:hAnsi="Cambria" w:cstheme="majorBidi"/>
        </w:rPr>
        <w:t xml:space="preserve">that has emerged following the </w:t>
      </w:r>
      <w:r w:rsidR="004C58CD" w:rsidRPr="00086743">
        <w:rPr>
          <w:rFonts w:ascii="Cambria" w:hAnsi="Cambria" w:cstheme="majorBidi"/>
        </w:rPr>
        <w:t>Urgent and Emergency Care Review</w:t>
      </w:r>
      <w:r w:rsidR="00CE78A8" w:rsidRPr="00086743">
        <w:rPr>
          <w:rFonts w:ascii="Cambria" w:hAnsi="Cambria" w:cstheme="majorBidi"/>
        </w:rPr>
        <w:t xml:space="preserve"> led by Sir Bruce Keogh</w:t>
      </w:r>
      <w:r w:rsidR="008F57F3" w:rsidRPr="00086743">
        <w:rPr>
          <w:rFonts w:ascii="Cambria" w:hAnsi="Cambria" w:cstheme="majorBidi"/>
        </w:rPr>
        <w:t>.</w:t>
      </w:r>
      <w:r w:rsidR="00E424CB"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ExcludeYear="1"&gt;&lt;Author&gt;NHS England&lt;/Author&gt;&lt;Year&gt;2013 &lt;/Year&gt;&lt;RecNum&gt;10&lt;/RecNum&gt;&lt;DisplayText&gt;(11)&lt;/DisplayText&gt;&lt;record&gt;&lt;rec-number&gt;10&lt;/rec-number&gt;&lt;foreign-keys&gt;&lt;key app="EN" db-id="0eprwd9r99dr2nefav5vwvtge0axsza5fs0z" timestamp="1474643111"&gt;10&lt;/key&gt;&lt;/foreign-keys&gt;&lt;ref-type name="Web Page"&gt;12&lt;/ref-type&gt;&lt;contributors&gt;&lt;authors&gt;&lt;author&gt;NHS England,&lt;/author&gt;&lt;/authors&gt;&lt;/contributors&gt;&lt;titles&gt;&lt;title&gt;High quality care for all, now and for future generations: Transforming urgent and emergency care services in England - Urgent and Emergency Care Review End of Phase 1 Report&lt;/title&gt;&lt;/titles&gt;&lt;dates&gt;&lt;year&gt;2013 &lt;/year&gt;&lt;/dates&gt;&lt;urls&gt;&lt;related-urls&gt;&lt;url&gt;http://www.nhs.uk/NHSEngland/keogh-review/Documents/UECR.Ph1Report.FV.pdf&lt;/url&gt;&lt;/related-urls&gt;&lt;/urls&gt;&lt;/record&gt;&lt;/Cite&gt;&lt;/EndNote&gt;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(11)</w:t>
      </w:r>
      <w:r w:rsidR="00077D32" w:rsidRPr="00086743">
        <w:rPr>
          <w:rFonts w:ascii="Cambria" w:hAnsi="Cambria" w:cstheme="majorBidi"/>
        </w:rPr>
        <w:fldChar w:fldCharType="end"/>
      </w:r>
      <w:r w:rsidR="007A1058" w:rsidRPr="00086743">
        <w:rPr>
          <w:rFonts w:ascii="Cambria" w:hAnsi="Cambria" w:cstheme="majorBidi"/>
        </w:rPr>
        <w:t xml:space="preserve"> </w:t>
      </w:r>
    </w:p>
    <w:p w:rsidR="00D055C5" w:rsidRPr="00086743" w:rsidRDefault="00BB2D29" w:rsidP="00681477">
      <w:pPr>
        <w:spacing w:before="240" w:line="360" w:lineRule="auto"/>
        <w:rPr>
          <w:rFonts w:ascii="Cambria" w:hAnsi="Cambria" w:cstheme="majorBidi"/>
        </w:rPr>
      </w:pPr>
      <w:r w:rsidRPr="00086743">
        <w:rPr>
          <w:rFonts w:ascii="Cambria" w:hAnsi="Cambria" w:cstheme="majorBidi"/>
        </w:rPr>
        <w:t>NHS</w:t>
      </w:r>
      <w:r w:rsidR="005D1131" w:rsidRPr="00086743">
        <w:rPr>
          <w:rFonts w:ascii="Cambria" w:hAnsi="Cambria" w:cstheme="majorBidi"/>
        </w:rPr>
        <w:t xml:space="preserve"> </w:t>
      </w:r>
      <w:r w:rsidRPr="00086743">
        <w:rPr>
          <w:rFonts w:ascii="Cambria" w:hAnsi="Cambria" w:cstheme="majorBidi"/>
        </w:rPr>
        <w:t xml:space="preserve">111 </w:t>
      </w:r>
      <w:r w:rsidR="00DD6D97" w:rsidRPr="00086743">
        <w:rPr>
          <w:rFonts w:ascii="Cambria" w:hAnsi="Cambria" w:cstheme="majorBidi"/>
        </w:rPr>
        <w:t>use</w:t>
      </w:r>
      <w:r w:rsidRPr="00086743">
        <w:rPr>
          <w:rFonts w:ascii="Cambria" w:hAnsi="Cambria" w:cstheme="majorBidi"/>
        </w:rPr>
        <w:t>s</w:t>
      </w:r>
      <w:r w:rsidR="00DD6D97" w:rsidRPr="00086743">
        <w:rPr>
          <w:rFonts w:ascii="Cambria" w:hAnsi="Cambria" w:cstheme="majorBidi"/>
        </w:rPr>
        <w:t xml:space="preserve"> </w:t>
      </w:r>
      <w:r w:rsidR="006B05E6" w:rsidRPr="00086743">
        <w:rPr>
          <w:rFonts w:ascii="Cambria" w:hAnsi="Cambria" w:cstheme="majorBidi"/>
        </w:rPr>
        <w:t>a computer decision support system (CDSS)</w:t>
      </w:r>
      <w:r w:rsidR="0017145D" w:rsidRPr="00086743">
        <w:rPr>
          <w:rFonts w:ascii="Cambria" w:hAnsi="Cambria" w:cstheme="majorBidi"/>
        </w:rPr>
        <w:t xml:space="preserve"> </w:t>
      </w:r>
      <w:r w:rsidR="006B05E6" w:rsidRPr="00086743">
        <w:rPr>
          <w:rFonts w:ascii="Cambria" w:hAnsi="Cambria" w:cstheme="majorBidi"/>
        </w:rPr>
        <w:t>called NHS Pathways</w:t>
      </w:r>
      <w:r w:rsidR="00CE78A8" w:rsidRPr="00086743">
        <w:rPr>
          <w:rFonts w:ascii="Cambria" w:hAnsi="Cambria" w:cstheme="majorBidi"/>
        </w:rPr>
        <w:t xml:space="preserve"> to manage call</w:t>
      </w:r>
      <w:r w:rsidR="0017145D" w:rsidRPr="00086743">
        <w:rPr>
          <w:rFonts w:ascii="Cambria" w:hAnsi="Cambria" w:cstheme="majorBidi"/>
        </w:rPr>
        <w:t>s</w:t>
      </w:r>
      <w:r w:rsidR="00B51048" w:rsidRPr="00086743">
        <w:rPr>
          <w:rFonts w:ascii="Cambria" w:hAnsi="Cambria" w:cstheme="majorBidi"/>
        </w:rPr>
        <w:t xml:space="preserve">. Pathways </w:t>
      </w:r>
      <w:r w:rsidR="006B05E6" w:rsidRPr="00086743">
        <w:rPr>
          <w:rFonts w:ascii="Cambria" w:hAnsi="Cambria" w:cstheme="majorBidi"/>
        </w:rPr>
        <w:t>is an algorithm</w:t>
      </w:r>
      <w:r w:rsidR="00E83FC4" w:rsidRPr="00086743">
        <w:rPr>
          <w:rFonts w:ascii="Cambria" w:hAnsi="Cambria" w:cstheme="majorBidi"/>
        </w:rPr>
        <w:t xml:space="preserve"> built on an extensive library of current</w:t>
      </w:r>
      <w:r w:rsidR="00D055C5" w:rsidRPr="00086743">
        <w:rPr>
          <w:rFonts w:ascii="Cambria" w:hAnsi="Cambria" w:cstheme="majorBidi"/>
        </w:rPr>
        <w:t>, regularly updated</w:t>
      </w:r>
      <w:r w:rsidR="009708F5" w:rsidRPr="00086743">
        <w:rPr>
          <w:rFonts w:ascii="Cambria" w:hAnsi="Cambria" w:cstheme="majorBidi"/>
        </w:rPr>
        <w:t>,</w:t>
      </w:r>
      <w:r w:rsidR="00E83FC4" w:rsidRPr="00086743">
        <w:rPr>
          <w:rFonts w:ascii="Cambria" w:hAnsi="Cambria" w:cstheme="majorBidi"/>
        </w:rPr>
        <w:t xml:space="preserve"> clinical </w:t>
      </w:r>
      <w:r w:rsidR="00D055C5" w:rsidRPr="00086743">
        <w:rPr>
          <w:rFonts w:ascii="Cambria" w:hAnsi="Cambria" w:cstheme="majorBidi"/>
        </w:rPr>
        <w:t>expertise</w:t>
      </w:r>
      <w:r w:rsidR="00F0008A" w:rsidRPr="00086743">
        <w:rPr>
          <w:rFonts w:ascii="Cambria" w:hAnsi="Cambria" w:cstheme="majorBidi"/>
        </w:rPr>
        <w:t xml:space="preserve"> combined with a</w:t>
      </w:r>
      <w:r w:rsidR="0017145D" w:rsidRPr="00086743">
        <w:rPr>
          <w:rFonts w:ascii="Cambria" w:hAnsi="Cambria" w:cstheme="majorBidi"/>
        </w:rPr>
        <w:t xml:space="preserve"> real-time</w:t>
      </w:r>
      <w:r w:rsidR="00F0008A" w:rsidRPr="00086743">
        <w:rPr>
          <w:rFonts w:ascii="Cambria" w:hAnsi="Cambria" w:cstheme="majorBidi"/>
        </w:rPr>
        <w:t xml:space="preserve"> directory of services </w:t>
      </w:r>
      <w:r w:rsidR="0017145D" w:rsidRPr="00086743">
        <w:rPr>
          <w:rFonts w:ascii="Cambria" w:hAnsi="Cambria" w:cstheme="majorBidi"/>
        </w:rPr>
        <w:t xml:space="preserve">(DoS) </w:t>
      </w:r>
      <w:r w:rsidR="00F0008A" w:rsidRPr="00086743">
        <w:rPr>
          <w:rFonts w:ascii="Cambria" w:hAnsi="Cambria" w:cstheme="majorBidi"/>
        </w:rPr>
        <w:t>available</w:t>
      </w:r>
      <w:r w:rsidR="0017145D" w:rsidRPr="00086743">
        <w:rPr>
          <w:rFonts w:ascii="Cambria" w:hAnsi="Cambria" w:cstheme="majorBidi"/>
        </w:rPr>
        <w:t xml:space="preserve"> for patients who need to be seen</w:t>
      </w:r>
      <w:r w:rsidR="00F0008A" w:rsidRPr="00086743">
        <w:rPr>
          <w:rFonts w:ascii="Cambria" w:hAnsi="Cambria" w:cstheme="majorBidi"/>
        </w:rPr>
        <w:t xml:space="preserve">. </w:t>
      </w:r>
      <w:r w:rsidR="00B51048" w:rsidRPr="00086743">
        <w:rPr>
          <w:rFonts w:ascii="Cambria" w:hAnsi="Cambria" w:cstheme="majorBidi"/>
        </w:rPr>
        <w:t xml:space="preserve">This </w:t>
      </w:r>
      <w:r w:rsidR="006B05E6" w:rsidRPr="00086743">
        <w:rPr>
          <w:rFonts w:ascii="Cambria" w:hAnsi="Cambria" w:cstheme="majorBidi"/>
        </w:rPr>
        <w:t>software</w:t>
      </w:r>
      <w:r w:rsidR="00B51048" w:rsidRPr="00086743">
        <w:rPr>
          <w:rFonts w:ascii="Cambria" w:hAnsi="Cambria" w:cstheme="majorBidi"/>
        </w:rPr>
        <w:t xml:space="preserve"> i</w:t>
      </w:r>
      <w:r w:rsidR="006B05E6" w:rsidRPr="00086743">
        <w:rPr>
          <w:rFonts w:ascii="Cambria" w:hAnsi="Cambria" w:cstheme="majorBidi"/>
        </w:rPr>
        <w:t>s unusual in</w:t>
      </w:r>
      <w:r w:rsidR="00AD42AA" w:rsidRPr="00086743">
        <w:rPr>
          <w:rFonts w:ascii="Cambria" w:hAnsi="Cambria" w:cstheme="majorBidi"/>
        </w:rPr>
        <w:t xml:space="preserve"> the UK health system in </w:t>
      </w:r>
      <w:r w:rsidR="00D055C5" w:rsidRPr="00086743">
        <w:rPr>
          <w:rFonts w:ascii="Cambria" w:hAnsi="Cambria" w:cstheme="majorBidi"/>
        </w:rPr>
        <w:t>that</w:t>
      </w:r>
      <w:r w:rsidR="006B05E6" w:rsidRPr="00086743">
        <w:rPr>
          <w:rFonts w:ascii="Cambria" w:hAnsi="Cambria" w:cstheme="majorBidi"/>
        </w:rPr>
        <w:t xml:space="preserve"> it was </w:t>
      </w:r>
      <w:r w:rsidR="00BA03C3" w:rsidRPr="00086743">
        <w:rPr>
          <w:rFonts w:ascii="Cambria" w:hAnsi="Cambria" w:cstheme="majorBidi"/>
        </w:rPr>
        <w:t xml:space="preserve">designed </w:t>
      </w:r>
      <w:r w:rsidR="006B05E6" w:rsidRPr="00086743">
        <w:rPr>
          <w:rFonts w:ascii="Cambria" w:hAnsi="Cambria" w:cstheme="majorBidi"/>
        </w:rPr>
        <w:t xml:space="preserve">and developed </w:t>
      </w:r>
      <w:r w:rsidR="00AD42AA" w:rsidRPr="00086743">
        <w:rPr>
          <w:rFonts w:ascii="Cambria" w:hAnsi="Cambria" w:cstheme="majorBidi"/>
        </w:rPr>
        <w:t xml:space="preserve">by, </w:t>
      </w:r>
      <w:r w:rsidR="006B05E6" w:rsidRPr="00086743">
        <w:rPr>
          <w:rFonts w:ascii="Cambria" w:hAnsi="Cambria" w:cstheme="majorBidi"/>
        </w:rPr>
        <w:t xml:space="preserve">and continues to be owned and licensed by </w:t>
      </w:r>
      <w:r w:rsidR="00AD42AA" w:rsidRPr="00086743">
        <w:rPr>
          <w:rFonts w:ascii="Cambria" w:hAnsi="Cambria" w:cstheme="majorBidi"/>
        </w:rPr>
        <w:t>the NHS</w:t>
      </w:r>
      <w:r w:rsidR="00BA03C3" w:rsidRPr="00086743">
        <w:rPr>
          <w:rFonts w:ascii="Cambria" w:hAnsi="Cambria" w:cstheme="majorBidi"/>
        </w:rPr>
        <w:t xml:space="preserve">. </w:t>
      </w:r>
      <w:r w:rsidR="00AD42AA" w:rsidRPr="00086743">
        <w:rPr>
          <w:rFonts w:ascii="Cambria" w:hAnsi="Cambria" w:cstheme="majorBidi"/>
        </w:rPr>
        <w:t xml:space="preserve">Most other </w:t>
      </w:r>
      <w:r w:rsidR="0054624B" w:rsidRPr="00086743">
        <w:rPr>
          <w:rFonts w:ascii="Cambria" w:hAnsi="Cambria" w:cstheme="majorBidi"/>
        </w:rPr>
        <w:t>CDSS</w:t>
      </w:r>
      <w:r w:rsidR="00AD42AA" w:rsidRPr="00086743">
        <w:rPr>
          <w:rFonts w:ascii="Cambria" w:hAnsi="Cambria" w:cstheme="majorBidi"/>
        </w:rPr>
        <w:t xml:space="preserve"> </w:t>
      </w:r>
      <w:r w:rsidR="0054624B" w:rsidRPr="00086743">
        <w:rPr>
          <w:rFonts w:ascii="Cambria" w:hAnsi="Cambria" w:cstheme="majorBidi"/>
        </w:rPr>
        <w:t xml:space="preserve">are </w:t>
      </w:r>
      <w:r w:rsidR="00AD42AA" w:rsidRPr="00086743">
        <w:rPr>
          <w:rFonts w:ascii="Cambria" w:hAnsi="Cambria" w:cstheme="majorBidi"/>
        </w:rPr>
        <w:t xml:space="preserve">developed and owned by private corporations. </w:t>
      </w:r>
      <w:r w:rsidR="009708F5" w:rsidRPr="00086743">
        <w:rPr>
          <w:rFonts w:ascii="Cambria" w:hAnsi="Cambria" w:cstheme="majorBidi"/>
        </w:rPr>
        <w:t>Th</w:t>
      </w:r>
      <w:r w:rsidR="0017145D" w:rsidRPr="00086743">
        <w:rPr>
          <w:rFonts w:ascii="Cambria" w:hAnsi="Cambria" w:cstheme="majorBidi"/>
        </w:rPr>
        <w:t xml:space="preserve">e Pathways </w:t>
      </w:r>
      <w:r w:rsidR="00D055C5" w:rsidRPr="00086743">
        <w:rPr>
          <w:rFonts w:ascii="Cambria" w:hAnsi="Cambria" w:cstheme="majorBidi"/>
        </w:rPr>
        <w:t>CDSS i</w:t>
      </w:r>
      <w:r w:rsidR="006B05E6" w:rsidRPr="00086743">
        <w:rPr>
          <w:rFonts w:ascii="Cambria" w:hAnsi="Cambria" w:cstheme="majorBidi"/>
        </w:rPr>
        <w:t>s</w:t>
      </w:r>
      <w:r w:rsidR="009708F5" w:rsidRPr="00086743">
        <w:rPr>
          <w:rFonts w:ascii="Cambria" w:hAnsi="Cambria" w:cstheme="majorBidi"/>
        </w:rPr>
        <w:t xml:space="preserve"> also</w:t>
      </w:r>
      <w:r w:rsidR="006B05E6" w:rsidRPr="00086743">
        <w:rPr>
          <w:rFonts w:ascii="Cambria" w:hAnsi="Cambria" w:cstheme="majorBidi"/>
        </w:rPr>
        <w:t xml:space="preserve"> </w:t>
      </w:r>
      <w:r w:rsidR="00BA03C3" w:rsidRPr="00086743">
        <w:rPr>
          <w:rFonts w:ascii="Cambria" w:hAnsi="Cambria" w:cstheme="majorBidi"/>
        </w:rPr>
        <w:t xml:space="preserve">licensed </w:t>
      </w:r>
      <w:r w:rsidR="006B05E6" w:rsidRPr="00086743">
        <w:rPr>
          <w:rFonts w:ascii="Cambria" w:hAnsi="Cambria" w:cstheme="majorBidi"/>
        </w:rPr>
        <w:t>for</w:t>
      </w:r>
      <w:r w:rsidR="00D055C5" w:rsidRPr="00086743">
        <w:rPr>
          <w:rFonts w:ascii="Cambria" w:hAnsi="Cambria" w:cstheme="majorBidi"/>
        </w:rPr>
        <w:t>,</w:t>
      </w:r>
      <w:r w:rsidR="006B05E6" w:rsidRPr="00086743">
        <w:rPr>
          <w:rFonts w:ascii="Cambria" w:hAnsi="Cambria" w:cstheme="majorBidi"/>
        </w:rPr>
        <w:t xml:space="preserve"> and used in</w:t>
      </w:r>
      <w:r w:rsidR="009708F5" w:rsidRPr="00086743">
        <w:rPr>
          <w:rFonts w:ascii="Cambria" w:hAnsi="Cambria" w:cstheme="majorBidi"/>
        </w:rPr>
        <w:t xml:space="preserve"> </w:t>
      </w:r>
      <w:r w:rsidR="00D055C5" w:rsidRPr="00086743">
        <w:rPr>
          <w:rFonts w:ascii="Cambria" w:hAnsi="Cambria" w:cstheme="majorBidi"/>
        </w:rPr>
        <w:t xml:space="preserve">UK NHS </w:t>
      </w:r>
      <w:r w:rsidR="00AD2160" w:rsidRPr="00086743">
        <w:rPr>
          <w:rFonts w:ascii="Cambria" w:hAnsi="Cambria" w:cstheme="majorBidi"/>
        </w:rPr>
        <w:t>ambulance s</w:t>
      </w:r>
      <w:r w:rsidR="00BA03C3" w:rsidRPr="00086743">
        <w:rPr>
          <w:rFonts w:ascii="Cambria" w:hAnsi="Cambria" w:cstheme="majorBidi"/>
        </w:rPr>
        <w:t>ervice</w:t>
      </w:r>
      <w:r w:rsidR="00D055C5" w:rsidRPr="00086743">
        <w:rPr>
          <w:rFonts w:ascii="Cambria" w:hAnsi="Cambria" w:cstheme="majorBidi"/>
        </w:rPr>
        <w:t>s</w:t>
      </w:r>
      <w:r w:rsidR="0017145D" w:rsidRPr="00086743">
        <w:rPr>
          <w:rFonts w:ascii="Cambria" w:hAnsi="Cambria" w:cstheme="majorBidi"/>
        </w:rPr>
        <w:t>, several of whom provide NHS 111</w:t>
      </w:r>
      <w:r w:rsidR="00AD42AA" w:rsidRPr="00086743">
        <w:rPr>
          <w:rFonts w:ascii="Cambria" w:hAnsi="Cambria" w:cstheme="majorBidi"/>
        </w:rPr>
        <w:t xml:space="preserve"> alongside their 999 emergency services</w:t>
      </w:r>
      <w:r w:rsidR="00BA03C3" w:rsidRPr="00086743">
        <w:rPr>
          <w:rFonts w:ascii="Cambria" w:hAnsi="Cambria" w:cstheme="majorBidi"/>
        </w:rPr>
        <w:t xml:space="preserve">. </w:t>
      </w:r>
      <w:r w:rsidR="0054624B" w:rsidRPr="00086743">
        <w:rPr>
          <w:rFonts w:ascii="Cambria" w:hAnsi="Cambria" w:cstheme="majorBidi"/>
        </w:rPr>
        <w:t>NHS 111 c</w:t>
      </w:r>
      <w:r w:rsidR="008F57F3" w:rsidRPr="00086743">
        <w:rPr>
          <w:rFonts w:ascii="Cambria" w:hAnsi="Cambria" w:cstheme="majorBidi"/>
        </w:rPr>
        <w:t xml:space="preserve">alls are answered by non-clinical staff who are supported by a </w:t>
      </w:r>
      <w:r w:rsidR="00D055C5" w:rsidRPr="00086743">
        <w:rPr>
          <w:rFonts w:ascii="Cambria" w:hAnsi="Cambria" w:cstheme="majorBidi"/>
        </w:rPr>
        <w:t>nurses, paramedics and general practitioners</w:t>
      </w:r>
      <w:r w:rsidR="008F57F3" w:rsidRPr="00086743">
        <w:rPr>
          <w:rFonts w:ascii="Cambria" w:hAnsi="Cambria" w:cstheme="majorBidi"/>
        </w:rPr>
        <w:t xml:space="preserve"> (often one or two clinicians are availab</w:t>
      </w:r>
      <w:r w:rsidR="00385B06" w:rsidRPr="00086743">
        <w:rPr>
          <w:rFonts w:ascii="Cambria" w:hAnsi="Cambria" w:cstheme="majorBidi"/>
        </w:rPr>
        <w:t>le</w:t>
      </w:r>
      <w:r w:rsidR="008F57F3" w:rsidRPr="00086743">
        <w:rPr>
          <w:rFonts w:ascii="Cambria" w:hAnsi="Cambria" w:cstheme="majorBidi"/>
        </w:rPr>
        <w:t xml:space="preserve"> on each shift)</w:t>
      </w:r>
      <w:r w:rsidR="00D055C5" w:rsidRPr="00086743">
        <w:rPr>
          <w:rFonts w:ascii="Cambria" w:hAnsi="Cambria" w:cstheme="majorBidi"/>
        </w:rPr>
        <w:t xml:space="preserve">. </w:t>
      </w:r>
      <w:r w:rsidR="003E5373" w:rsidRPr="00086743">
        <w:rPr>
          <w:rFonts w:ascii="Cambria" w:hAnsi="Cambria" w:cstheme="majorBidi"/>
        </w:rPr>
        <w:t>The call handlers u</w:t>
      </w:r>
      <w:r w:rsidR="000E68EE" w:rsidRPr="00086743">
        <w:rPr>
          <w:rFonts w:ascii="Cambria" w:hAnsi="Cambria" w:cstheme="majorBidi"/>
        </w:rPr>
        <w:t xml:space="preserve">se the Pathways CDSS to assess </w:t>
      </w:r>
      <w:r w:rsidR="003E5373" w:rsidRPr="00086743">
        <w:rPr>
          <w:rFonts w:ascii="Cambria" w:hAnsi="Cambria" w:cstheme="majorBidi"/>
        </w:rPr>
        <w:t xml:space="preserve">accounts of symptoms, prioritise care needs and </w:t>
      </w:r>
      <w:r w:rsidR="000E68EE" w:rsidRPr="00086743">
        <w:rPr>
          <w:rFonts w:ascii="Cambria" w:hAnsi="Cambria" w:cstheme="majorBidi"/>
        </w:rPr>
        <w:t xml:space="preserve">direct callers to services or self-care. Calls conclude with a ‘disposition’ which can </w:t>
      </w:r>
      <w:r w:rsidR="000E68EE" w:rsidRPr="00086743">
        <w:rPr>
          <w:rFonts w:ascii="Cambria" w:hAnsi="Cambria" w:cstheme="majorBidi"/>
        </w:rPr>
        <w:lastRenderedPageBreak/>
        <w:t>range from sending an ambulance, arranging a home visit, booking an urgent primary care consultation or advising actions the caller can take to address their health problem.</w:t>
      </w:r>
    </w:p>
    <w:p w:rsidR="0017145D" w:rsidRPr="00086743" w:rsidRDefault="0017145D" w:rsidP="00681477">
      <w:pPr>
        <w:spacing w:before="240" w:line="360" w:lineRule="auto"/>
        <w:rPr>
          <w:rFonts w:ascii="Cambria" w:hAnsi="Cambria" w:cstheme="majorBidi"/>
        </w:rPr>
      </w:pPr>
      <w:r w:rsidRPr="00086743">
        <w:rPr>
          <w:rFonts w:ascii="Cambria" w:hAnsi="Cambria" w:cstheme="majorBidi"/>
        </w:rPr>
        <w:t xml:space="preserve">In this paper we draw on our detailed </w:t>
      </w:r>
      <w:r w:rsidR="00B51048" w:rsidRPr="00086743">
        <w:rPr>
          <w:rFonts w:ascii="Cambria" w:hAnsi="Cambria" w:cstheme="majorBidi"/>
        </w:rPr>
        <w:t xml:space="preserve">case </w:t>
      </w:r>
      <w:r w:rsidRPr="00086743">
        <w:rPr>
          <w:rFonts w:ascii="Cambria" w:hAnsi="Cambria" w:cstheme="majorBidi"/>
        </w:rPr>
        <w:t xml:space="preserve">study </w:t>
      </w:r>
      <w:r w:rsidR="0086274A" w:rsidRPr="00086743">
        <w:rPr>
          <w:rFonts w:ascii="Cambria" w:hAnsi="Cambria" w:cstheme="majorBidi"/>
        </w:rPr>
        <w:t xml:space="preserve">of </w:t>
      </w:r>
      <w:r w:rsidR="0054624B" w:rsidRPr="00086743">
        <w:rPr>
          <w:rFonts w:ascii="Cambria" w:hAnsi="Cambria" w:cstheme="majorBidi"/>
        </w:rPr>
        <w:t xml:space="preserve">five </w:t>
      </w:r>
      <w:r w:rsidR="0086274A" w:rsidRPr="00086743">
        <w:rPr>
          <w:rFonts w:ascii="Cambria" w:hAnsi="Cambria" w:cstheme="majorBidi"/>
        </w:rPr>
        <w:t xml:space="preserve">NHS 111 </w:t>
      </w:r>
      <w:r w:rsidR="0054624B" w:rsidRPr="00086743">
        <w:rPr>
          <w:rFonts w:ascii="Cambria" w:hAnsi="Cambria" w:cstheme="majorBidi"/>
        </w:rPr>
        <w:t xml:space="preserve">sites </w:t>
      </w:r>
      <w:r w:rsidR="0086274A" w:rsidRPr="00086743">
        <w:rPr>
          <w:rFonts w:ascii="Cambria" w:hAnsi="Cambria" w:cstheme="majorBidi"/>
        </w:rPr>
        <w:t xml:space="preserve">and </w:t>
      </w:r>
      <w:r w:rsidR="0054624B" w:rsidRPr="00086743">
        <w:rPr>
          <w:rFonts w:ascii="Cambria" w:hAnsi="Cambria" w:cstheme="majorBidi"/>
        </w:rPr>
        <w:t xml:space="preserve">subsequent </w:t>
      </w:r>
      <w:r w:rsidR="00A234D9" w:rsidRPr="00086743">
        <w:rPr>
          <w:rFonts w:ascii="Cambria" w:hAnsi="Cambria" w:cstheme="majorBidi"/>
        </w:rPr>
        <w:t xml:space="preserve">secondary </w:t>
      </w:r>
      <w:r w:rsidR="0054624B" w:rsidRPr="00086743">
        <w:rPr>
          <w:rFonts w:ascii="Cambria" w:hAnsi="Cambria" w:cstheme="majorBidi"/>
        </w:rPr>
        <w:t xml:space="preserve">analysis of </w:t>
      </w:r>
      <w:r w:rsidR="0086274A" w:rsidRPr="00086743">
        <w:rPr>
          <w:rFonts w:ascii="Cambria" w:hAnsi="Cambria" w:cstheme="majorBidi"/>
        </w:rPr>
        <w:t>routine data</w:t>
      </w:r>
      <w:r w:rsidR="00B51048" w:rsidRPr="00086743">
        <w:rPr>
          <w:rFonts w:ascii="Cambria" w:hAnsi="Cambria" w:cstheme="majorBidi"/>
        </w:rPr>
        <w:t xml:space="preserve"> made available by NHS England</w:t>
      </w:r>
      <w:r w:rsidR="00DD6D97" w:rsidRPr="00086743">
        <w:rPr>
          <w:rFonts w:ascii="Cambria" w:hAnsi="Cambria" w:cstheme="majorBidi"/>
        </w:rPr>
        <w:t xml:space="preserve"> to explore the success or otherwise of this service</w:t>
      </w:r>
      <w:r w:rsidR="00BB2D29" w:rsidRPr="00086743">
        <w:rPr>
          <w:rFonts w:ascii="Cambria" w:hAnsi="Cambria" w:cstheme="majorBidi"/>
        </w:rPr>
        <w:t xml:space="preserve"> against key criteria of deployment (spread), meeting performance targets, satisfaction, impact on other services and cost-effectiveness</w:t>
      </w:r>
      <w:r w:rsidR="00B51048" w:rsidRPr="00086743">
        <w:rPr>
          <w:rFonts w:ascii="Cambria" w:hAnsi="Cambria" w:cstheme="majorBidi"/>
        </w:rPr>
        <w:t xml:space="preserve">. </w:t>
      </w:r>
    </w:p>
    <w:p w:rsidR="005D1131" w:rsidRPr="00086743" w:rsidRDefault="005D1131" w:rsidP="00681477">
      <w:pPr>
        <w:spacing w:before="240" w:line="360" w:lineRule="auto"/>
        <w:rPr>
          <w:rFonts w:ascii="Cambria" w:hAnsi="Cambria" w:cstheme="majorBidi"/>
          <w:b/>
        </w:rPr>
      </w:pPr>
    </w:p>
    <w:p w:rsidR="008019C0" w:rsidRPr="00086743" w:rsidRDefault="008F57F3" w:rsidP="00681477">
      <w:pPr>
        <w:spacing w:before="240" w:line="360" w:lineRule="auto"/>
        <w:rPr>
          <w:rFonts w:ascii="Cambria" w:hAnsi="Cambria" w:cstheme="majorBidi"/>
          <w:b/>
        </w:rPr>
      </w:pPr>
      <w:r w:rsidRPr="00086743">
        <w:rPr>
          <w:rFonts w:ascii="Cambria" w:hAnsi="Cambria" w:cstheme="majorBidi"/>
          <w:b/>
        </w:rPr>
        <w:t>METHODS</w:t>
      </w:r>
    </w:p>
    <w:p w:rsidR="008727EB" w:rsidRPr="00086743" w:rsidRDefault="002D0454" w:rsidP="00681477">
      <w:pPr>
        <w:spacing w:before="240" w:line="360" w:lineRule="auto"/>
        <w:rPr>
          <w:rFonts w:ascii="Cambria" w:hAnsi="Cambria" w:cstheme="majorBidi"/>
        </w:rPr>
      </w:pPr>
      <w:r w:rsidRPr="00086743">
        <w:rPr>
          <w:rFonts w:ascii="Cambria" w:hAnsi="Cambria" w:cstheme="majorBidi"/>
        </w:rPr>
        <w:t xml:space="preserve">We conducted a </w:t>
      </w:r>
      <w:r w:rsidR="008019C0" w:rsidRPr="00086743">
        <w:rPr>
          <w:rFonts w:ascii="Cambria" w:hAnsi="Cambria" w:cstheme="majorBidi"/>
        </w:rPr>
        <w:t xml:space="preserve">comparative case study of </w:t>
      </w:r>
      <w:r w:rsidR="0054624B" w:rsidRPr="00086743">
        <w:rPr>
          <w:rFonts w:ascii="Cambria" w:hAnsi="Cambria" w:cstheme="majorBidi"/>
        </w:rPr>
        <w:t xml:space="preserve">five </w:t>
      </w:r>
      <w:r w:rsidR="008019C0" w:rsidRPr="00086743">
        <w:rPr>
          <w:rFonts w:ascii="Cambria" w:hAnsi="Cambria" w:cstheme="majorBidi"/>
        </w:rPr>
        <w:t xml:space="preserve">English NHS </w:t>
      </w:r>
      <w:r w:rsidRPr="00086743">
        <w:rPr>
          <w:rFonts w:ascii="Cambria" w:hAnsi="Cambria" w:cstheme="majorBidi"/>
        </w:rPr>
        <w:t xml:space="preserve">111 </w:t>
      </w:r>
      <w:r w:rsidR="008019C0" w:rsidRPr="00086743">
        <w:rPr>
          <w:rFonts w:ascii="Cambria" w:hAnsi="Cambria" w:cstheme="majorBidi"/>
        </w:rPr>
        <w:t>call centres</w:t>
      </w:r>
      <w:r w:rsidRPr="00086743">
        <w:rPr>
          <w:rFonts w:ascii="Cambria" w:hAnsi="Cambria" w:cstheme="majorBidi"/>
        </w:rPr>
        <w:t xml:space="preserve"> between 2011-13</w:t>
      </w:r>
      <w:r w:rsidR="008F57F3" w:rsidRPr="00086743">
        <w:rPr>
          <w:rFonts w:ascii="Cambria" w:hAnsi="Cambria" w:cstheme="majorBidi"/>
        </w:rPr>
        <w:t>.</w:t>
      </w:r>
      <w:r w:rsidR="007A1058"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ExcludeYear="1"&gt;&lt;Author&gt;Turnbull&lt;/Author&gt;&lt;Year&gt;2014&lt;/Year&gt;&lt;RecNum&gt;11&lt;/RecNum&gt;&lt;DisplayText&gt;(12)&lt;/DisplayText&gt;&lt;record&gt;&lt;rec-number&gt;11&lt;/rec-number&gt;&lt;foreign-keys&gt;&lt;key app="EN" db-id="0eprwd9r99dr2nefav5vwvtge0axsza5fs0z" timestamp="1474643215"&gt;11&lt;/key&gt;&lt;/foreign-keys&gt;&lt;ref-type name="Journal Article"&gt;17&lt;/ref-type&gt;&lt;contributors&gt;&lt;authors&gt;&lt;author&gt;Turnbull, J&lt;/author&gt;&lt;author&gt;Pope, C&lt;/author&gt;&lt;author&gt;Rowsell, A&lt;/author&gt;&lt;author&gt;Prichard, J&lt;/author&gt;&lt;author&gt;Halford, S&lt;/author&gt;&lt;author&gt;Jones, J&lt;/author&gt;&lt;author&gt;May, C&lt;/author&gt;&lt;author&gt;Lattimer, V&lt;/author&gt;&lt;/authors&gt;&lt;/contributors&gt;&lt;titles&gt;&lt;title&gt;The work, workforce, technology and organisational implications of the ‘111’ single point of access telephone number for urgent (non-emergency) care: a mixed-methods case study&lt;/title&gt;&lt;secondary-title&gt;Health Serv Deliv Res&lt;/secondary-title&gt;&lt;/titles&gt;&lt;periodical&gt;&lt;full-title&gt;Health Serv Deliv Res&lt;/full-title&gt;&lt;/periodical&gt;&lt;volume&gt;2&lt;/volume&gt;&lt;number&gt;3&lt;/number&gt;&lt;dates&gt;&lt;year&gt;2014&lt;/year&gt;&lt;/dates&gt;&lt;urls&gt;&lt;related-urls&gt;&lt;url&gt;http://www.journalslibrary.nihr.ac.uk/hsdr/volume-2/issue-3&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(12)</w:t>
      </w:r>
      <w:r w:rsidR="00077D32" w:rsidRPr="00086743">
        <w:rPr>
          <w:rFonts w:ascii="Cambria" w:hAnsi="Cambria" w:cstheme="majorBidi"/>
        </w:rPr>
        <w:fldChar w:fldCharType="end"/>
      </w:r>
      <w:r w:rsidR="005F255E" w:rsidRPr="00086743">
        <w:rPr>
          <w:rFonts w:ascii="Cambria" w:hAnsi="Cambria" w:cstheme="majorBidi"/>
        </w:rPr>
        <w:t xml:space="preserve"> </w:t>
      </w:r>
      <w:r w:rsidR="00BC5181" w:rsidRPr="00086743">
        <w:rPr>
          <w:rFonts w:ascii="Cambria" w:hAnsi="Cambria" w:cstheme="majorBidi"/>
        </w:rPr>
        <w:t>This</w:t>
      </w:r>
      <w:r w:rsidR="003305B6" w:rsidRPr="00086743">
        <w:rPr>
          <w:rFonts w:ascii="Cambria" w:hAnsi="Cambria" w:cstheme="majorBidi"/>
        </w:rPr>
        <w:t xml:space="preserve"> comprised </w:t>
      </w:r>
      <w:r w:rsidR="008019C0" w:rsidRPr="00086743">
        <w:rPr>
          <w:rFonts w:ascii="Cambria" w:hAnsi="Cambria" w:cstheme="majorBidi"/>
        </w:rPr>
        <w:t>35</w:t>
      </w:r>
      <w:r w:rsidR="00BC5181" w:rsidRPr="00086743">
        <w:rPr>
          <w:rFonts w:ascii="Cambria" w:hAnsi="Cambria" w:cstheme="majorBidi"/>
        </w:rPr>
        <w:t>6</w:t>
      </w:r>
      <w:r w:rsidR="008019C0" w:rsidRPr="00086743">
        <w:rPr>
          <w:rFonts w:ascii="Cambria" w:hAnsi="Cambria" w:cstheme="majorBidi"/>
        </w:rPr>
        <w:t xml:space="preserve"> hours of </w:t>
      </w:r>
      <w:r w:rsidR="008727EB" w:rsidRPr="00086743">
        <w:rPr>
          <w:rFonts w:ascii="Cambria" w:hAnsi="Cambria" w:cstheme="majorBidi"/>
        </w:rPr>
        <w:t xml:space="preserve">non-participant </w:t>
      </w:r>
      <w:r w:rsidR="008019C0" w:rsidRPr="00086743">
        <w:rPr>
          <w:rFonts w:ascii="Cambria" w:hAnsi="Cambria" w:cstheme="majorBidi"/>
        </w:rPr>
        <w:t>observation</w:t>
      </w:r>
      <w:r w:rsidR="00B31FD7" w:rsidRPr="00086743">
        <w:rPr>
          <w:rFonts w:ascii="Cambria" w:hAnsi="Cambria" w:cstheme="majorBidi"/>
        </w:rPr>
        <w:t xml:space="preserve"> of NHS 111 call </w:t>
      </w:r>
      <w:r w:rsidR="008727EB" w:rsidRPr="00086743">
        <w:rPr>
          <w:rFonts w:ascii="Cambria" w:hAnsi="Cambria" w:cstheme="majorBidi"/>
        </w:rPr>
        <w:t>centres</w:t>
      </w:r>
      <w:r w:rsidR="003305B6" w:rsidRPr="00086743">
        <w:rPr>
          <w:rFonts w:ascii="Cambria" w:hAnsi="Cambria" w:cstheme="majorBidi"/>
        </w:rPr>
        <w:t xml:space="preserve"> and </w:t>
      </w:r>
      <w:r w:rsidR="00B31FD7" w:rsidRPr="00086743">
        <w:rPr>
          <w:rFonts w:ascii="Cambria" w:hAnsi="Cambria" w:cstheme="majorBidi"/>
        </w:rPr>
        <w:t xml:space="preserve">linked </w:t>
      </w:r>
      <w:r w:rsidR="003305B6" w:rsidRPr="00086743">
        <w:rPr>
          <w:rFonts w:ascii="Cambria" w:hAnsi="Cambria" w:cstheme="majorBidi"/>
        </w:rPr>
        <w:t>out</w:t>
      </w:r>
      <w:r w:rsidR="000022DC" w:rsidRPr="00086743">
        <w:rPr>
          <w:rFonts w:ascii="Cambria" w:hAnsi="Cambria" w:cstheme="majorBidi"/>
        </w:rPr>
        <w:t>-</w:t>
      </w:r>
      <w:r w:rsidR="003305B6" w:rsidRPr="00086743">
        <w:rPr>
          <w:rFonts w:ascii="Cambria" w:hAnsi="Cambria" w:cstheme="majorBidi"/>
        </w:rPr>
        <w:t>of</w:t>
      </w:r>
      <w:r w:rsidR="000022DC" w:rsidRPr="00086743">
        <w:rPr>
          <w:rFonts w:ascii="Cambria" w:hAnsi="Cambria" w:cstheme="majorBidi"/>
        </w:rPr>
        <w:t>-</w:t>
      </w:r>
      <w:r w:rsidR="003305B6" w:rsidRPr="00086743">
        <w:rPr>
          <w:rFonts w:ascii="Cambria" w:hAnsi="Cambria" w:cstheme="majorBidi"/>
        </w:rPr>
        <w:t>hours services</w:t>
      </w:r>
      <w:r w:rsidR="008019C0" w:rsidRPr="00086743">
        <w:rPr>
          <w:rFonts w:ascii="Cambria" w:hAnsi="Cambria" w:cstheme="majorBidi"/>
        </w:rPr>
        <w:t xml:space="preserve">, </w:t>
      </w:r>
      <w:r w:rsidR="003305B6" w:rsidRPr="00086743">
        <w:rPr>
          <w:rFonts w:ascii="Cambria" w:hAnsi="Cambria" w:cstheme="majorBidi"/>
        </w:rPr>
        <w:t xml:space="preserve">six </w:t>
      </w:r>
      <w:r w:rsidR="008019C0" w:rsidRPr="00086743">
        <w:rPr>
          <w:rFonts w:ascii="Cambria" w:hAnsi="Cambria" w:cstheme="majorBidi"/>
        </w:rPr>
        <w:t>focus group</w:t>
      </w:r>
      <w:r w:rsidR="003305B6" w:rsidRPr="00086743">
        <w:rPr>
          <w:rFonts w:ascii="Cambria" w:hAnsi="Cambria" w:cstheme="majorBidi"/>
        </w:rPr>
        <w:t>s with a total of 47 staff and key stakeholders,</w:t>
      </w:r>
      <w:r w:rsidR="008019C0" w:rsidRPr="00086743">
        <w:rPr>
          <w:rFonts w:ascii="Cambria" w:hAnsi="Cambria" w:cstheme="majorBidi"/>
        </w:rPr>
        <w:t xml:space="preserve"> and </w:t>
      </w:r>
      <w:r w:rsidR="003305B6" w:rsidRPr="00086743">
        <w:rPr>
          <w:rFonts w:ascii="Cambria" w:hAnsi="Cambria" w:cstheme="majorBidi"/>
        </w:rPr>
        <w:t xml:space="preserve">a </w:t>
      </w:r>
      <w:r w:rsidR="008F57F3" w:rsidRPr="00086743">
        <w:rPr>
          <w:rFonts w:ascii="Cambria" w:hAnsi="Cambria" w:cstheme="majorBidi"/>
        </w:rPr>
        <w:t>staff survey (the latter is not reported here)</w:t>
      </w:r>
      <w:r w:rsidR="00B6276D" w:rsidRPr="00086743">
        <w:rPr>
          <w:rFonts w:ascii="Cambria" w:hAnsi="Cambria" w:cstheme="majorBidi"/>
        </w:rPr>
        <w:t xml:space="preserve">.  </w:t>
      </w:r>
      <w:r w:rsidR="003305B6" w:rsidRPr="00086743">
        <w:rPr>
          <w:rFonts w:ascii="Cambria" w:hAnsi="Cambria" w:cstheme="majorBidi"/>
        </w:rPr>
        <w:t xml:space="preserve">This </w:t>
      </w:r>
      <w:r w:rsidR="00B31FD7" w:rsidRPr="00086743">
        <w:rPr>
          <w:rFonts w:ascii="Cambria" w:hAnsi="Cambria" w:cstheme="majorBidi"/>
        </w:rPr>
        <w:t xml:space="preserve">study </w:t>
      </w:r>
      <w:r w:rsidR="003305B6" w:rsidRPr="00086743">
        <w:rPr>
          <w:rFonts w:ascii="Cambria" w:hAnsi="Cambria" w:cstheme="majorBidi"/>
        </w:rPr>
        <w:t>f</w:t>
      </w:r>
      <w:r w:rsidR="00B6276D" w:rsidRPr="00086743">
        <w:rPr>
          <w:rFonts w:ascii="Cambria" w:hAnsi="Cambria" w:cstheme="majorBidi"/>
        </w:rPr>
        <w:t>ollow</w:t>
      </w:r>
      <w:r w:rsidR="003305B6" w:rsidRPr="00086743">
        <w:rPr>
          <w:rFonts w:ascii="Cambria" w:hAnsi="Cambria" w:cstheme="majorBidi"/>
        </w:rPr>
        <w:t>ed</w:t>
      </w:r>
      <w:r w:rsidR="00B6276D" w:rsidRPr="00086743">
        <w:rPr>
          <w:rFonts w:ascii="Cambria" w:hAnsi="Cambria" w:cstheme="majorBidi"/>
        </w:rPr>
        <w:t xml:space="preserve"> on from a</w:t>
      </w:r>
      <w:r w:rsidR="003305B6" w:rsidRPr="00086743">
        <w:rPr>
          <w:rFonts w:ascii="Cambria" w:hAnsi="Cambria" w:cstheme="majorBidi"/>
        </w:rPr>
        <w:t xml:space="preserve">n earlier </w:t>
      </w:r>
      <w:r w:rsidR="00B6276D" w:rsidRPr="00086743">
        <w:rPr>
          <w:rFonts w:ascii="Cambria" w:hAnsi="Cambria" w:cstheme="majorBidi"/>
        </w:rPr>
        <w:t>study</w:t>
      </w:r>
      <w:r w:rsidR="003305B6" w:rsidRPr="00086743">
        <w:rPr>
          <w:rFonts w:ascii="Cambria" w:hAnsi="Cambria" w:cstheme="majorBidi"/>
        </w:rPr>
        <w:t xml:space="preserve"> investigating the </w:t>
      </w:r>
      <w:r w:rsidR="00B6276D" w:rsidRPr="00086743">
        <w:rPr>
          <w:rFonts w:ascii="Cambria" w:hAnsi="Cambria" w:cstheme="majorBidi"/>
        </w:rPr>
        <w:t>deployment</w:t>
      </w:r>
      <w:r w:rsidR="008727EB" w:rsidRPr="00086743">
        <w:rPr>
          <w:rFonts w:ascii="Cambria" w:hAnsi="Cambria" w:cstheme="majorBidi"/>
        </w:rPr>
        <w:t xml:space="preserve"> of NHS P</w:t>
      </w:r>
      <w:r w:rsidR="003305B6" w:rsidRPr="00086743">
        <w:rPr>
          <w:rFonts w:ascii="Cambria" w:hAnsi="Cambria" w:cstheme="majorBidi"/>
        </w:rPr>
        <w:t>athways software</w:t>
      </w:r>
      <w:r w:rsidR="00B6276D" w:rsidRPr="00086743">
        <w:rPr>
          <w:rFonts w:ascii="Cambria" w:hAnsi="Cambria" w:cstheme="majorBidi"/>
        </w:rPr>
        <w:t xml:space="preserve"> in 999 and out of hours call handling sites</w:t>
      </w:r>
      <w:r w:rsidR="00E424CB" w:rsidRPr="00086743">
        <w:rPr>
          <w:rFonts w:ascii="Cambria" w:hAnsi="Cambria" w:cstheme="majorBidi"/>
        </w:rPr>
        <w:t>.</w:t>
      </w:r>
      <w:r w:rsidR="008F57F3"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ExcludeYear="1"&gt;&lt;Author&gt;Pope&lt;/Author&gt;&lt;RecNum&gt;12&lt;/RecNum&gt;&lt;DisplayText&gt;(13)&lt;/DisplayText&gt;&lt;record&gt;&lt;rec-number&gt;12&lt;/rec-number&gt;&lt;foreign-keys&gt;&lt;key app="EN" db-id="0eprwd9r99dr2nefav5vwvtge0axsza5fs0z" timestamp="1474643305"&gt;12&lt;/key&gt;&lt;/foreign-keys&gt;&lt;ref-type name="Report"&gt;27&lt;/ref-type&gt;&lt;contributors&gt;&lt;authors&gt;&lt;author&gt;Pope, C&lt;/author&gt;&lt;author&gt;Turnbull, J&lt;/author&gt;&lt;author&gt;Halford, S&lt;/author&gt;&lt;author&gt;Prichard, J&lt;/author&gt;&lt;author&gt;Calestani, M&lt;/author&gt;&lt;author&gt;Salisbury, C&lt;/author&gt;&lt;author&gt;May, C&lt;/author&gt;&lt;author&gt;Barrett, C&lt;/author&gt;&lt;author&gt;Lattimer, V&lt;/author&gt;&lt;/authors&gt;&lt;/contributors&gt;&lt;titles&gt;&lt;title&gt;Ethnography and survey analysis of a computer decision support system in urgent out-of-hours, single point of access and emergency (999) care. A report to the NIHR SDO Programme&lt;/title&gt;&lt;/titles&gt;&lt;dates&gt;&lt;/dates&gt;&lt;urls&gt;&lt;related-urls&gt;&lt;url&gt;http://www.sdo.nihr.ac.uk/projdetails.php?ref=08-1819-217&lt;/url&gt;&lt;/related-urls&gt;&lt;/urls&gt;&lt;/record&gt;&lt;/Cite&gt;&lt;/EndNote&gt;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(13)</w:t>
      </w:r>
      <w:r w:rsidR="00077D32" w:rsidRPr="00086743">
        <w:rPr>
          <w:rFonts w:ascii="Cambria" w:hAnsi="Cambria" w:cstheme="majorBidi"/>
        </w:rPr>
        <w:fldChar w:fldCharType="end"/>
      </w:r>
      <w:r w:rsidR="00B6276D" w:rsidRPr="00086743">
        <w:rPr>
          <w:rFonts w:ascii="Cambria" w:hAnsi="Cambria" w:cstheme="majorBidi"/>
        </w:rPr>
        <w:t xml:space="preserve"> </w:t>
      </w:r>
      <w:r w:rsidR="00DD66F5" w:rsidRPr="00086743">
        <w:rPr>
          <w:rFonts w:ascii="Cambria" w:hAnsi="Cambria" w:cstheme="majorBidi"/>
        </w:rPr>
        <w:t xml:space="preserve">Our continued interest in </w:t>
      </w:r>
      <w:r w:rsidR="003622E0" w:rsidRPr="00086743">
        <w:rPr>
          <w:rFonts w:ascii="Cambria" w:hAnsi="Cambria" w:cstheme="majorBidi"/>
        </w:rPr>
        <w:t xml:space="preserve">seeing how this service fared after our study completed </w:t>
      </w:r>
      <w:r w:rsidR="00DD66F5" w:rsidRPr="00086743">
        <w:rPr>
          <w:rFonts w:ascii="Cambria" w:hAnsi="Cambria" w:cstheme="majorBidi"/>
        </w:rPr>
        <w:t xml:space="preserve">led us to undertake a </w:t>
      </w:r>
      <w:r w:rsidR="003622E0" w:rsidRPr="00086743">
        <w:rPr>
          <w:rFonts w:ascii="Cambria" w:hAnsi="Cambria" w:cstheme="majorBidi"/>
        </w:rPr>
        <w:t xml:space="preserve">quantitative </w:t>
      </w:r>
      <w:r w:rsidR="00DD66F5" w:rsidRPr="00086743">
        <w:rPr>
          <w:rFonts w:ascii="Cambria" w:hAnsi="Cambria" w:cstheme="majorBidi"/>
        </w:rPr>
        <w:t xml:space="preserve">secondary analysis. To do this </w:t>
      </w:r>
      <w:r w:rsidR="008727EB" w:rsidRPr="00086743">
        <w:rPr>
          <w:rFonts w:ascii="Cambria" w:hAnsi="Cambria" w:cstheme="majorBidi"/>
        </w:rPr>
        <w:t xml:space="preserve">we obtained the NHS 111 </w:t>
      </w:r>
      <w:r w:rsidR="00902A76" w:rsidRPr="00086743">
        <w:rPr>
          <w:rFonts w:ascii="Cambria" w:hAnsi="Cambria" w:cstheme="majorBidi"/>
        </w:rPr>
        <w:t>M</w:t>
      </w:r>
      <w:r w:rsidR="008727EB" w:rsidRPr="00086743">
        <w:rPr>
          <w:rFonts w:ascii="Cambria" w:hAnsi="Cambria" w:cstheme="majorBidi"/>
        </w:rPr>
        <w:t xml:space="preserve">inimum </w:t>
      </w:r>
      <w:r w:rsidR="00902A76" w:rsidRPr="00086743">
        <w:rPr>
          <w:rFonts w:ascii="Cambria" w:hAnsi="Cambria" w:cstheme="majorBidi"/>
        </w:rPr>
        <w:t>D</w:t>
      </w:r>
      <w:r w:rsidR="008727EB" w:rsidRPr="00086743">
        <w:rPr>
          <w:rFonts w:ascii="Cambria" w:hAnsi="Cambria" w:cstheme="majorBidi"/>
        </w:rPr>
        <w:t xml:space="preserve">ata </w:t>
      </w:r>
      <w:r w:rsidR="00902A76" w:rsidRPr="00086743">
        <w:rPr>
          <w:rFonts w:ascii="Cambria" w:hAnsi="Cambria" w:cstheme="majorBidi"/>
        </w:rPr>
        <w:t>S</w:t>
      </w:r>
      <w:r w:rsidR="008727EB" w:rsidRPr="00086743">
        <w:rPr>
          <w:rFonts w:ascii="Cambria" w:hAnsi="Cambria" w:cstheme="majorBidi"/>
        </w:rPr>
        <w:t>et</w:t>
      </w:r>
      <w:r w:rsidR="00902A76" w:rsidRPr="00086743">
        <w:rPr>
          <w:rFonts w:ascii="Cambria" w:hAnsi="Cambria" w:cstheme="majorBidi"/>
        </w:rPr>
        <w:t xml:space="preserve"> (MDS)</w:t>
      </w:r>
      <w:r w:rsidR="008727EB" w:rsidRPr="00086743">
        <w:rPr>
          <w:rFonts w:ascii="Cambria" w:hAnsi="Cambria" w:cstheme="majorBidi"/>
        </w:rPr>
        <w:t xml:space="preserve"> made publi</w:t>
      </w:r>
      <w:r w:rsidR="0011738D" w:rsidRPr="00086743">
        <w:rPr>
          <w:rFonts w:ascii="Cambria" w:hAnsi="Cambria" w:cstheme="majorBidi"/>
        </w:rPr>
        <w:t xml:space="preserve">cally available by NHS England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ExcludeYear="1"&gt;&lt;Author&gt;NHS England&lt;/Author&gt;&lt;Year&gt;2016&lt;/Year&gt;&lt;RecNum&gt;13&lt;/RecNum&gt;&lt;DisplayText&gt;(14)&lt;/DisplayText&gt;&lt;record&gt;&lt;rec-number&gt;13&lt;/rec-number&gt;&lt;foreign-keys&gt;&lt;key app="EN" db-id="0eprwd9r99dr2nefav5vwvtge0axsza5fs0z" timestamp="1474643352"&gt;13&lt;/key&gt;&lt;/foreign-keys&gt;&lt;ref-type name="Web Page"&gt;12&lt;/ref-type&gt;&lt;contributors&gt;&lt;authors&gt;&lt;author&gt;NHS England,  &lt;/author&gt;&lt;/authors&gt;&lt;/contributors&gt;&lt;titles&gt;&lt;title&gt;NHS 111 Minimum Data Set 2015-16&lt;/title&gt;&lt;/titles&gt;&lt;dates&gt;&lt;year&gt;2016&lt;/year&gt;&lt;/dates&gt;&lt;urls&gt;&lt;related-urls&gt;&lt;url&gt;https://www.england.nhs.uk/statistics/statistical-work-areas/nhs-111-minimum-data-set/nhs-111-minimum-data-set-2015-16/&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(14)</w:t>
      </w:r>
      <w:r w:rsidR="00077D32" w:rsidRPr="00086743">
        <w:rPr>
          <w:rFonts w:ascii="Cambria" w:hAnsi="Cambria" w:cstheme="majorBidi"/>
        </w:rPr>
        <w:fldChar w:fldCharType="end"/>
      </w:r>
      <w:r w:rsidR="005306D5" w:rsidRPr="00086743">
        <w:rPr>
          <w:rFonts w:ascii="Cambria" w:hAnsi="Cambria" w:cstheme="majorBidi"/>
        </w:rPr>
        <w:t xml:space="preserve"> </w:t>
      </w:r>
      <w:r w:rsidR="008727EB" w:rsidRPr="00086743">
        <w:rPr>
          <w:rFonts w:ascii="Cambria" w:hAnsi="Cambria" w:cstheme="majorBidi"/>
        </w:rPr>
        <w:t>which comprises call data from the 44 NHS 11</w:t>
      </w:r>
      <w:r w:rsidR="000022DC" w:rsidRPr="00086743">
        <w:rPr>
          <w:rFonts w:ascii="Cambria" w:hAnsi="Cambria" w:cstheme="majorBidi"/>
        </w:rPr>
        <w:t>1</w:t>
      </w:r>
      <w:r w:rsidR="008727EB" w:rsidRPr="00086743">
        <w:rPr>
          <w:rFonts w:ascii="Cambria" w:hAnsi="Cambria" w:cstheme="majorBidi"/>
        </w:rPr>
        <w:t xml:space="preserve"> sites in England for the period 2010-16. </w:t>
      </w:r>
      <w:r w:rsidR="003622E0" w:rsidRPr="00086743">
        <w:rPr>
          <w:rFonts w:ascii="Cambria" w:hAnsi="Cambria" w:cstheme="majorBidi"/>
        </w:rPr>
        <w:t>We provide a</w:t>
      </w:r>
      <w:r w:rsidR="008727EB" w:rsidRPr="00086743">
        <w:rPr>
          <w:rFonts w:ascii="Cambria" w:hAnsi="Cambria" w:cstheme="majorBidi"/>
        </w:rPr>
        <w:t xml:space="preserve"> descriptive analysis </w:t>
      </w:r>
      <w:r w:rsidR="0054624B" w:rsidRPr="00086743">
        <w:rPr>
          <w:rFonts w:ascii="Cambria" w:hAnsi="Cambria" w:cstheme="majorBidi"/>
        </w:rPr>
        <w:t>foc</w:t>
      </w:r>
      <w:r w:rsidR="003622E0" w:rsidRPr="00086743">
        <w:rPr>
          <w:rFonts w:ascii="Cambria" w:hAnsi="Cambria" w:cstheme="majorBidi"/>
        </w:rPr>
        <w:t>used</w:t>
      </w:r>
      <w:r w:rsidR="0054624B" w:rsidRPr="00086743">
        <w:rPr>
          <w:rFonts w:ascii="Cambria" w:hAnsi="Cambria" w:cstheme="majorBidi"/>
        </w:rPr>
        <w:t xml:space="preserve"> on</w:t>
      </w:r>
      <w:r w:rsidR="008727EB" w:rsidRPr="00086743">
        <w:rPr>
          <w:rFonts w:ascii="Cambria" w:hAnsi="Cambria" w:cstheme="majorBidi"/>
        </w:rPr>
        <w:t xml:space="preserve"> the period </w:t>
      </w:r>
      <w:r w:rsidR="005306D5" w:rsidRPr="00086743">
        <w:rPr>
          <w:rFonts w:ascii="Cambria" w:hAnsi="Cambria" w:cstheme="majorBidi"/>
        </w:rPr>
        <w:t xml:space="preserve">February </w:t>
      </w:r>
      <w:r w:rsidR="008727EB" w:rsidRPr="00086743">
        <w:rPr>
          <w:rFonts w:ascii="Cambria" w:hAnsi="Cambria" w:cstheme="majorBidi"/>
        </w:rPr>
        <w:t>2014-</w:t>
      </w:r>
      <w:r w:rsidR="005306D5" w:rsidRPr="00086743">
        <w:rPr>
          <w:rFonts w:ascii="Cambria" w:hAnsi="Cambria" w:cstheme="majorBidi"/>
        </w:rPr>
        <w:t>July</w:t>
      </w:r>
      <w:r w:rsidR="008727EB" w:rsidRPr="00086743">
        <w:rPr>
          <w:rFonts w:ascii="Cambria" w:hAnsi="Cambria" w:cstheme="majorBidi"/>
        </w:rPr>
        <w:t xml:space="preserve"> 2016 (the latest date</w:t>
      </w:r>
      <w:r w:rsidR="005306D5" w:rsidRPr="00086743">
        <w:rPr>
          <w:rFonts w:ascii="Cambria" w:hAnsi="Cambria" w:cstheme="majorBidi"/>
        </w:rPr>
        <w:t xml:space="preserve"> for which data were available)</w:t>
      </w:r>
      <w:r w:rsidR="00BB2D29" w:rsidRPr="00086743">
        <w:rPr>
          <w:rFonts w:ascii="Cambria" w:hAnsi="Cambria" w:cstheme="majorBidi"/>
        </w:rPr>
        <w:t xml:space="preserve"> in order to ex</w:t>
      </w:r>
      <w:r w:rsidR="0054624B" w:rsidRPr="00086743">
        <w:rPr>
          <w:rFonts w:ascii="Cambria" w:hAnsi="Cambria" w:cstheme="majorBidi"/>
        </w:rPr>
        <w:t xml:space="preserve">amine </w:t>
      </w:r>
      <w:r w:rsidR="00BB2D29" w:rsidRPr="00086743">
        <w:rPr>
          <w:rFonts w:ascii="Cambria" w:hAnsi="Cambria" w:cstheme="majorBidi"/>
        </w:rPr>
        <w:t>the period beyond our case study work</w:t>
      </w:r>
      <w:r w:rsidR="005306D5" w:rsidRPr="00086743">
        <w:rPr>
          <w:rFonts w:ascii="Cambria" w:hAnsi="Cambria" w:cstheme="majorBidi"/>
        </w:rPr>
        <w:t>.</w:t>
      </w:r>
    </w:p>
    <w:p w:rsidR="00127663" w:rsidRPr="00086743" w:rsidRDefault="008727EB" w:rsidP="00681477">
      <w:pPr>
        <w:spacing w:before="240" w:line="360" w:lineRule="auto"/>
        <w:rPr>
          <w:rFonts w:ascii="Cambria" w:hAnsi="Cambria" w:cstheme="majorBidi"/>
          <w:b/>
          <w:bCs/>
        </w:rPr>
      </w:pPr>
      <w:r w:rsidRPr="00086743">
        <w:rPr>
          <w:rFonts w:ascii="Cambria" w:hAnsi="Cambria" w:cstheme="majorBidi"/>
        </w:rPr>
        <w:t xml:space="preserve">Qualitative data were analysed together using a broadly inductive method, moving from familiarisation and independent coding to team discussion and recoding </w:t>
      </w:r>
      <w:r w:rsidR="00127663" w:rsidRPr="00086743">
        <w:rPr>
          <w:rFonts w:ascii="Cambria" w:hAnsi="Cambria" w:cstheme="majorBidi"/>
        </w:rPr>
        <w:t>and the development of emerging themes.</w:t>
      </w:r>
      <w:r w:rsidRPr="00086743">
        <w:rPr>
          <w:rFonts w:ascii="Cambria" w:hAnsi="Cambria" w:cstheme="majorBidi"/>
        </w:rPr>
        <w:t xml:space="preserve">  </w:t>
      </w:r>
      <w:r w:rsidR="00127663" w:rsidRPr="00086743">
        <w:rPr>
          <w:rFonts w:ascii="Cambria" w:hAnsi="Cambria" w:cstheme="majorBidi"/>
        </w:rPr>
        <w:t>Charting techniques were used to facilitate cross-case comparisons and to enable further discussion in the team about interpretations.</w:t>
      </w:r>
      <w:r w:rsidR="0011738D" w:rsidRPr="00086743">
        <w:rPr>
          <w:rFonts w:ascii="Cambria" w:hAnsi="Cambria" w:cs="AdvTTebabd7da"/>
        </w:rPr>
        <w:t xml:space="preserve"> </w:t>
      </w:r>
      <w:r w:rsidR="00127663" w:rsidRPr="00086743">
        <w:rPr>
          <w:rFonts w:ascii="Cambria" w:hAnsi="Cambria" w:cs="AdvTTebabd7da"/>
        </w:rPr>
        <w:t xml:space="preserve"> Secondary analysis of the NHS minimum data set was conducted using</w:t>
      </w:r>
      <w:r w:rsidR="005F3F44" w:rsidRPr="00086743">
        <w:rPr>
          <w:rFonts w:ascii="Cambria" w:hAnsi="Cambria" w:cs="AdvTTebabd7da"/>
        </w:rPr>
        <w:t xml:space="preserve"> descriptive </w:t>
      </w:r>
      <w:r w:rsidR="00AE068F" w:rsidRPr="00086743">
        <w:rPr>
          <w:rFonts w:ascii="Cambria" w:hAnsi="Cambria" w:cs="AdvTTebabd7da"/>
        </w:rPr>
        <w:t>and time series</w:t>
      </w:r>
      <w:r w:rsidR="005F3F44" w:rsidRPr="00086743">
        <w:rPr>
          <w:rFonts w:ascii="Cambria" w:hAnsi="Cambria" w:cs="AdvTTebabd7da"/>
        </w:rPr>
        <w:t xml:space="preserve"> functions in</w:t>
      </w:r>
      <w:r w:rsidR="002A05CA" w:rsidRPr="00086743">
        <w:rPr>
          <w:rFonts w:ascii="Cambria" w:hAnsi="Cambria" w:cs="AdvTTebabd7da"/>
        </w:rPr>
        <w:t xml:space="preserve"> R</w:t>
      </w:r>
      <w:r w:rsidR="00E424CB" w:rsidRPr="00086743">
        <w:rPr>
          <w:rFonts w:ascii="Cambria" w:hAnsi="Cambria" w:cs="AdvTTebabd7da"/>
        </w:rPr>
        <w:t>.</w:t>
      </w:r>
      <w:r w:rsidR="00643ADB" w:rsidRPr="00086743">
        <w:rPr>
          <w:rFonts w:ascii="Cambria" w:hAnsi="Cambria" w:cs="AdvTTebabd7da"/>
        </w:rPr>
        <w:t xml:space="preserve"> </w:t>
      </w:r>
      <w:r w:rsidR="00077D32" w:rsidRPr="00086743">
        <w:rPr>
          <w:rFonts w:ascii="Cambria" w:hAnsi="Cambria" w:cs="AdvTTebabd7da"/>
        </w:rPr>
        <w:fldChar w:fldCharType="begin"/>
      </w:r>
      <w:r w:rsidR="00170111" w:rsidRPr="00086743">
        <w:rPr>
          <w:rFonts w:ascii="Cambria" w:hAnsi="Cambria" w:cs="AdvTTebabd7da"/>
        </w:rPr>
        <w:instrText xml:space="preserve"> ADDIN EN.CITE &lt;EndNote&gt;&lt;Cite ExcludeAuth="1" ExcludeYear="1"&gt;&lt;Author&gt;R Development Core Team&lt;/Author&gt;&lt;Year&gt;2012&lt;/Year&gt;&lt;RecNum&gt;16&lt;/RecNum&gt;&lt;DisplayText&gt;(15)&lt;/DisplayText&gt;&lt;record&gt;&lt;rec-number&gt;16&lt;/rec-number&gt;&lt;foreign-keys&gt;&lt;key app="EN" db-id="0eprwd9r99dr2nefav5vwvtge0axsza5fs0z" timestamp="1474643442"&gt;16&lt;/key&gt;&lt;/foreign-keys&gt;&lt;ref-type name="Computer Program"&gt;9&lt;/ref-type&gt;&lt;contributors&gt;&lt;authors&gt;&lt;author&gt;R Development Core Team,&lt;/author&gt;&lt;/authors&gt;&lt;/contributors&gt;&lt;titles&gt;&lt;title&gt;R: A language and environment for statistical computing&lt;/title&gt;&lt;/titles&gt;&lt;dates&gt;&lt;year&gt;2012&lt;/year&gt;&lt;/dates&gt;&lt;pub-location&gt;Vienna, Austria&lt;/pub-location&gt;&lt;publisher&gt;R Foundation for Statistical Computing&lt;/publisher&gt;&lt;isbn&gt;3-900051-07-0&lt;/isbn&gt;&lt;urls&gt;&lt;related-urls&gt;&lt;url&gt;http://www.R-project.org/.&lt;/url&gt;&lt;/related-urls&gt;&lt;/urls&gt;&lt;/record&gt;&lt;/Cite&gt;&lt;/EndNote&gt;</w:instrText>
      </w:r>
      <w:r w:rsidR="00077D32" w:rsidRPr="00086743">
        <w:rPr>
          <w:rFonts w:ascii="Cambria" w:hAnsi="Cambria" w:cs="AdvTTebabd7da"/>
        </w:rPr>
        <w:fldChar w:fldCharType="separate"/>
      </w:r>
      <w:r w:rsidR="00170111" w:rsidRPr="00086743">
        <w:rPr>
          <w:rFonts w:ascii="Cambria" w:hAnsi="Cambria" w:cs="AdvTTebabd7da"/>
          <w:noProof/>
        </w:rPr>
        <w:t>(15)</w:t>
      </w:r>
      <w:r w:rsidR="00077D32" w:rsidRPr="00086743">
        <w:rPr>
          <w:rFonts w:ascii="Cambria" w:hAnsi="Cambria" w:cs="AdvTTebabd7da"/>
        </w:rPr>
        <w:fldChar w:fldCharType="end"/>
      </w:r>
      <w:r w:rsidR="002A05CA" w:rsidRPr="00086743">
        <w:rPr>
          <w:rFonts w:ascii="Cambria" w:hAnsi="Cambria" w:cs="AdvTTebabd7da"/>
          <w:b/>
          <w:bCs/>
        </w:rPr>
        <w:t xml:space="preserve"> </w:t>
      </w:r>
    </w:p>
    <w:p w:rsidR="005D1131" w:rsidRPr="00086743" w:rsidRDefault="005D1131" w:rsidP="00681477">
      <w:pPr>
        <w:spacing w:before="240" w:line="360" w:lineRule="auto"/>
        <w:rPr>
          <w:rFonts w:ascii="Cambria" w:hAnsi="Cambria" w:cstheme="majorBidi"/>
          <w:b/>
        </w:rPr>
      </w:pPr>
    </w:p>
    <w:p w:rsidR="003A6F54" w:rsidRPr="00086743" w:rsidRDefault="00B11A8A" w:rsidP="00681477">
      <w:pPr>
        <w:spacing w:before="240" w:line="360" w:lineRule="auto"/>
        <w:rPr>
          <w:rFonts w:ascii="Cambria" w:hAnsi="Cambria" w:cstheme="majorBidi"/>
          <w:b/>
        </w:rPr>
      </w:pPr>
      <w:r w:rsidRPr="00086743">
        <w:rPr>
          <w:rFonts w:ascii="Cambria" w:hAnsi="Cambria" w:cstheme="majorBidi"/>
          <w:b/>
        </w:rPr>
        <w:t>RESULTS</w:t>
      </w:r>
    </w:p>
    <w:p w:rsidR="005F3F44" w:rsidRPr="00086743" w:rsidRDefault="005F3F44" w:rsidP="00681477">
      <w:pPr>
        <w:spacing w:before="240" w:line="360" w:lineRule="auto"/>
        <w:rPr>
          <w:rFonts w:ascii="Cambria" w:hAnsi="Cambria" w:cstheme="majorBidi"/>
          <w:b/>
        </w:rPr>
      </w:pPr>
      <w:r w:rsidRPr="00086743">
        <w:rPr>
          <w:rFonts w:ascii="Cambria" w:hAnsi="Cambria" w:cstheme="majorBidi"/>
          <w:b/>
        </w:rPr>
        <w:t xml:space="preserve">Successful deployment? </w:t>
      </w:r>
    </w:p>
    <w:p w:rsidR="003B1AB4" w:rsidRPr="00086743" w:rsidRDefault="005F3F44" w:rsidP="00681477">
      <w:pPr>
        <w:spacing w:before="240" w:line="360" w:lineRule="auto"/>
        <w:rPr>
          <w:rFonts w:ascii="Cambria" w:hAnsi="Cambria" w:cstheme="majorBidi"/>
        </w:rPr>
      </w:pPr>
      <w:r w:rsidRPr="00086743">
        <w:rPr>
          <w:rFonts w:ascii="Cambria" w:hAnsi="Cambria" w:cstheme="majorBidi"/>
        </w:rPr>
        <w:t>I</w:t>
      </w:r>
      <w:r w:rsidR="008A2A52" w:rsidRPr="00086743">
        <w:rPr>
          <w:rFonts w:ascii="Cambria" w:hAnsi="Cambria" w:cstheme="majorBidi"/>
        </w:rPr>
        <w:t>n England</w:t>
      </w:r>
      <w:r w:rsidRPr="00086743">
        <w:rPr>
          <w:rFonts w:ascii="Cambria" w:hAnsi="Cambria" w:cstheme="majorBidi"/>
        </w:rPr>
        <w:t xml:space="preserve"> </w:t>
      </w:r>
      <w:r w:rsidR="00B31FD7" w:rsidRPr="00086743">
        <w:rPr>
          <w:rFonts w:ascii="Cambria" w:hAnsi="Cambria" w:cstheme="majorBidi"/>
        </w:rPr>
        <w:t xml:space="preserve">NHS 111 </w:t>
      </w:r>
      <w:r w:rsidR="002E2332" w:rsidRPr="00086743">
        <w:rPr>
          <w:rFonts w:ascii="Cambria" w:hAnsi="Cambria" w:cstheme="majorBidi"/>
        </w:rPr>
        <w:t>has expanded from the original pilots in 2010 in County Durham and Darlington, Nottingham, Lincolnshire and Luton</w:t>
      </w:r>
      <w:r w:rsidR="00630E51" w:rsidRPr="00086743">
        <w:rPr>
          <w:rFonts w:ascii="Cambria" w:hAnsi="Cambria" w:cstheme="majorBidi"/>
        </w:rPr>
        <w:t xml:space="preserve"> and now operates in 44 sites across the country</w:t>
      </w:r>
      <w:r w:rsidR="008A2A52" w:rsidRPr="00086743">
        <w:rPr>
          <w:rFonts w:ascii="Cambria" w:hAnsi="Cambria" w:cstheme="majorBidi"/>
        </w:rPr>
        <w:t>.</w:t>
      </w:r>
      <w:r w:rsidR="00630E51" w:rsidRPr="00086743">
        <w:rPr>
          <w:rFonts w:ascii="Cambria" w:hAnsi="Cambria" w:cstheme="majorBidi"/>
        </w:rPr>
        <w:t xml:space="preserve"> </w:t>
      </w:r>
      <w:r w:rsidR="00796BE5" w:rsidRPr="00086743">
        <w:rPr>
          <w:rFonts w:ascii="Cambria" w:hAnsi="Cambria" w:cstheme="majorBidi"/>
        </w:rPr>
        <w:t xml:space="preserve">So </w:t>
      </w:r>
      <w:r w:rsidR="00630E51" w:rsidRPr="00086743">
        <w:rPr>
          <w:rFonts w:ascii="Cambria" w:hAnsi="Cambria" w:cstheme="majorBidi"/>
        </w:rPr>
        <w:t xml:space="preserve">the overall picture is one of successful roll out of this service. </w:t>
      </w:r>
    </w:p>
    <w:p w:rsidR="00630E51" w:rsidRPr="00086743" w:rsidRDefault="00630E51" w:rsidP="00681477">
      <w:pPr>
        <w:spacing w:before="240" w:line="360" w:lineRule="auto"/>
        <w:rPr>
          <w:rFonts w:ascii="Cambria" w:hAnsi="Cambria"/>
        </w:rPr>
      </w:pPr>
      <w:r w:rsidRPr="00086743">
        <w:rPr>
          <w:rFonts w:ascii="Cambria" w:hAnsi="Cambria" w:cstheme="majorBidi"/>
        </w:rPr>
        <w:lastRenderedPageBreak/>
        <w:t>NHS 111 initially received backing from a number of key stakeholders including the British Medical Association and the Royal Colleges of Medicine (although these organisations have also periodically voiced concerns), and successfully navigated initial turbulence and technical difficulties associated with the pilot phase</w:t>
      </w:r>
      <w:r w:rsidR="0011738D" w:rsidRPr="00086743">
        <w:rPr>
          <w:rFonts w:ascii="Cambria" w:hAnsi="Cambria" w:cstheme="majorBidi"/>
        </w:rPr>
        <w:t>.</w:t>
      </w:r>
      <w:r w:rsidR="00281CEC"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ExcludeYear="1"&gt;&lt;Author&gt;BBC&lt;/Author&gt;&lt;Year&gt;22 November 2014&lt;/Year&gt;&lt;RecNum&gt;17&lt;/RecNum&gt;&lt;DisplayText&gt;(16)&lt;/DisplayText&gt;&lt;record&gt;&lt;rec-number&gt;17&lt;/rec-number&gt;&lt;foreign-keys&gt;&lt;key app="EN" db-id="0eprwd9r99dr2nefav5vwvtge0axsza5fs0z" timestamp="1474643486"&gt;17&lt;/key&gt;&lt;/foreign-keys&gt;&lt;ref-type name="Web Page"&gt;12&lt;/ref-type&gt;&lt;contributors&gt;&lt;authors&gt;&lt;author&gt;BBC,&lt;/author&gt;&lt;/authors&gt;&lt;/contributors&gt;&lt;titles&gt;&lt;title&gt;101 and 111 non-emergency numbers restored after fault&lt;/title&gt;&lt;/titles&gt;&lt;dates&gt;&lt;year&gt;22 November 2014&lt;/year&gt;&lt;/dates&gt;&lt;urls&gt;&lt;related-urls&gt;&lt;url&gt;http://www.bbc.co.uk/news/uk-30159433 &lt;/url&gt;&lt;/related-urls&gt;&lt;/urls&gt;&lt;/record&gt;&lt;/Cite&gt;&lt;/EndNote&gt;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(16)</w:t>
      </w:r>
      <w:r w:rsidR="00077D32" w:rsidRPr="00086743">
        <w:rPr>
          <w:rFonts w:ascii="Cambria" w:hAnsi="Cambria" w:cstheme="majorBidi"/>
        </w:rPr>
        <w:fldChar w:fldCharType="end"/>
      </w:r>
      <w:r w:rsidRPr="00086743">
        <w:rPr>
          <w:rFonts w:ascii="Cambria" w:hAnsi="Cambria" w:cstheme="majorBidi"/>
        </w:rPr>
        <w:t xml:space="preserve">  Our research indicated that considerable effort was expended by central government policy makers and key local stakeholders</w:t>
      </w:r>
      <w:r w:rsidR="00B11A8A" w:rsidRPr="00086743">
        <w:rPr>
          <w:rFonts w:ascii="Cambria" w:hAnsi="Cambria" w:cstheme="majorBidi"/>
        </w:rPr>
        <w:t xml:space="preserve"> locally and nationally</w:t>
      </w:r>
      <w:r w:rsidRPr="00086743">
        <w:rPr>
          <w:rFonts w:ascii="Cambria" w:hAnsi="Cambria" w:cstheme="majorBidi"/>
        </w:rPr>
        <w:t xml:space="preserve"> to smooth the deployment of the software and launch </w:t>
      </w:r>
      <w:r w:rsidR="001D6EF1" w:rsidRPr="00086743">
        <w:rPr>
          <w:rFonts w:ascii="Cambria" w:hAnsi="Cambria" w:cstheme="majorBidi"/>
        </w:rPr>
        <w:t xml:space="preserve">the </w:t>
      </w:r>
      <w:r w:rsidRPr="00086743">
        <w:rPr>
          <w:rFonts w:ascii="Cambria" w:hAnsi="Cambria" w:cstheme="majorBidi"/>
        </w:rPr>
        <w:t>new service</w:t>
      </w:r>
      <w:r w:rsidR="004D1CB8" w:rsidRPr="00086743">
        <w:rPr>
          <w:rFonts w:ascii="Cambria" w:hAnsi="Cambria" w:cstheme="majorBidi"/>
        </w:rPr>
        <w:t>,</w:t>
      </w:r>
      <w:r w:rsidRPr="00086743">
        <w:rPr>
          <w:rFonts w:ascii="Cambria" w:hAnsi="Cambria" w:cstheme="majorBidi"/>
        </w:rPr>
        <w:t xml:space="preserve"> but it is now an established part of the urgent care service landscape</w:t>
      </w:r>
      <w:r w:rsidR="00B11A8A" w:rsidRPr="00086743">
        <w:rPr>
          <w:rFonts w:ascii="Cambria" w:hAnsi="Cambria" w:cstheme="majorBidi"/>
        </w:rPr>
        <w:t xml:space="preserve">. The local effort </w:t>
      </w:r>
      <w:r w:rsidR="00796BE5" w:rsidRPr="00086743">
        <w:rPr>
          <w:rFonts w:ascii="Cambria" w:hAnsi="Cambria" w:cstheme="majorBidi"/>
        </w:rPr>
        <w:t xml:space="preserve">in terms of additional staff and additional work </w:t>
      </w:r>
      <w:r w:rsidR="00B11A8A" w:rsidRPr="00086743">
        <w:rPr>
          <w:rFonts w:ascii="Cambria" w:hAnsi="Cambria" w:cstheme="majorBidi"/>
        </w:rPr>
        <w:t xml:space="preserve">is captured in the focus group exchange below: </w:t>
      </w:r>
      <w:r w:rsidRPr="00086743">
        <w:rPr>
          <w:rFonts w:ascii="Cambria" w:hAnsi="Cambria" w:cstheme="majorBidi"/>
        </w:rPr>
        <w:t xml:space="preserve">  </w:t>
      </w:r>
    </w:p>
    <w:p w:rsidR="00EC0C15" w:rsidRPr="00086743" w:rsidRDefault="00B11A8A" w:rsidP="00681477">
      <w:pPr>
        <w:tabs>
          <w:tab w:val="left" w:pos="837"/>
          <w:tab w:val="left" w:pos="1080"/>
          <w:tab w:val="left" w:pos="1260"/>
          <w:tab w:val="left" w:pos="5040"/>
        </w:tabs>
        <w:autoSpaceDE w:val="0"/>
        <w:autoSpaceDN w:val="0"/>
        <w:adjustRightInd w:val="0"/>
        <w:spacing w:before="240" w:after="0" w:line="360" w:lineRule="auto"/>
        <w:rPr>
          <w:rFonts w:ascii="Cambria" w:hAnsi="Cambria" w:cs="Calibri"/>
          <w:i/>
          <w:iCs/>
        </w:rPr>
      </w:pPr>
      <w:r w:rsidRPr="00086743">
        <w:rPr>
          <w:rFonts w:ascii="Cambria" w:hAnsi="Cambria" w:cs="Calibri"/>
          <w:i/>
          <w:iCs/>
        </w:rPr>
        <w:t>111 M</w:t>
      </w:r>
      <w:r w:rsidR="00EC0C15" w:rsidRPr="00086743">
        <w:rPr>
          <w:rFonts w:ascii="Cambria" w:hAnsi="Cambria" w:cs="Calibri"/>
          <w:i/>
          <w:iCs/>
        </w:rPr>
        <w:t>anager 1: It was…it very quickly leapt from being, you know, a very short term thing to a very long term thing. I have a deputy that works with me, to help run the team, and I was told she was going to be seconded for three months. And 18 months later, she’s still here [</w:t>
      </w:r>
      <w:r w:rsidRPr="00086743">
        <w:rPr>
          <w:rFonts w:ascii="Cambria" w:hAnsi="Cambria" w:cs="Calibri"/>
          <w:i/>
          <w:iCs/>
        </w:rPr>
        <w:t>l</w:t>
      </w:r>
      <w:r w:rsidR="00EC0C15" w:rsidRPr="00086743">
        <w:rPr>
          <w:rFonts w:ascii="Cambria" w:hAnsi="Cambria" w:cs="Calibri"/>
          <w:i/>
          <w:iCs/>
        </w:rPr>
        <w:t xml:space="preserve">aughter]. So it sort of started off as this small thing, then all of a sudden, whoa, it was something much, much bigger [   ] </w:t>
      </w:r>
    </w:p>
    <w:p w:rsidR="00EC0C15" w:rsidRPr="00086743" w:rsidRDefault="00EC0C15" w:rsidP="00681477">
      <w:pPr>
        <w:tabs>
          <w:tab w:val="left" w:pos="837"/>
          <w:tab w:val="left" w:pos="1080"/>
          <w:tab w:val="left" w:pos="1260"/>
          <w:tab w:val="left" w:pos="5040"/>
        </w:tabs>
        <w:autoSpaceDE w:val="0"/>
        <w:autoSpaceDN w:val="0"/>
        <w:adjustRightInd w:val="0"/>
        <w:spacing w:before="240" w:after="0" w:line="360" w:lineRule="auto"/>
        <w:rPr>
          <w:rFonts w:ascii="Cambria" w:hAnsi="Cambria" w:cs="Calibri"/>
          <w:i/>
          <w:iCs/>
        </w:rPr>
      </w:pPr>
      <w:r w:rsidRPr="00086743">
        <w:rPr>
          <w:rFonts w:ascii="Cambria" w:hAnsi="Cambria" w:cs="Calibri"/>
          <w:i/>
          <w:iCs/>
        </w:rPr>
        <w:t>Interviewer: And what have been the effects of that, do you think?</w:t>
      </w:r>
    </w:p>
    <w:p w:rsidR="00EC0C15" w:rsidRPr="00086743" w:rsidRDefault="00B11A8A" w:rsidP="00681477">
      <w:pPr>
        <w:tabs>
          <w:tab w:val="left" w:pos="837"/>
          <w:tab w:val="left" w:pos="1080"/>
          <w:tab w:val="left" w:pos="1260"/>
          <w:tab w:val="left" w:pos="5040"/>
        </w:tabs>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UCC </w:t>
      </w:r>
      <w:r w:rsidR="00EC0C15" w:rsidRPr="00086743">
        <w:rPr>
          <w:rFonts w:ascii="Cambria" w:hAnsi="Cambria" w:cs="Calibri"/>
          <w:i/>
          <w:iCs/>
        </w:rPr>
        <w:t>Nurse 1: Stress. At all levels, I think. From, you know…</w:t>
      </w:r>
    </w:p>
    <w:p w:rsidR="00EC0C15" w:rsidRPr="00086743" w:rsidRDefault="00B11A8A" w:rsidP="00681477">
      <w:pPr>
        <w:tabs>
          <w:tab w:val="left" w:pos="837"/>
          <w:tab w:val="left" w:pos="1080"/>
          <w:tab w:val="left" w:pos="1260"/>
          <w:tab w:val="left" w:pos="5040"/>
        </w:tabs>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111 </w:t>
      </w:r>
      <w:r w:rsidR="00EC0C15" w:rsidRPr="00086743">
        <w:rPr>
          <w:rFonts w:ascii="Cambria" w:hAnsi="Cambria" w:cs="Calibri"/>
          <w:i/>
          <w:iCs/>
        </w:rPr>
        <w:t xml:space="preserve">Nurse 2: Fear… </w:t>
      </w:r>
      <w:r w:rsidRPr="00086743">
        <w:rPr>
          <w:rFonts w:ascii="Cambria" w:hAnsi="Cambria" w:cs="Calibri"/>
          <w:i/>
          <w:iCs/>
        </w:rPr>
        <w:t>[…]</w:t>
      </w:r>
    </w:p>
    <w:p w:rsidR="00EC0C15" w:rsidRPr="00086743" w:rsidRDefault="00B11A8A" w:rsidP="00681477">
      <w:pPr>
        <w:tabs>
          <w:tab w:val="left" w:pos="837"/>
          <w:tab w:val="left" w:pos="1080"/>
          <w:tab w:val="left" w:pos="1260"/>
          <w:tab w:val="left" w:pos="5040"/>
        </w:tabs>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111 </w:t>
      </w:r>
      <w:r w:rsidR="00EC0C15" w:rsidRPr="00086743">
        <w:rPr>
          <w:rFonts w:ascii="Cambria" w:hAnsi="Cambria" w:cs="Calibri"/>
          <w:i/>
          <w:iCs/>
        </w:rPr>
        <w:t xml:space="preserve">Nurse 1: Everybody’s wearing three or four different hats and doing extra work over and above what they used to do. </w:t>
      </w:r>
    </w:p>
    <w:p w:rsidR="00EC0C15" w:rsidRPr="00086743" w:rsidRDefault="00B11A8A" w:rsidP="00681477">
      <w:pPr>
        <w:tabs>
          <w:tab w:val="left" w:pos="837"/>
          <w:tab w:val="left" w:pos="1080"/>
          <w:tab w:val="left" w:pos="1260"/>
          <w:tab w:val="left" w:pos="5040"/>
        </w:tabs>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111 </w:t>
      </w:r>
      <w:r w:rsidR="00E55838" w:rsidRPr="00086743">
        <w:rPr>
          <w:rFonts w:ascii="Cambria" w:hAnsi="Cambria" w:cs="Calibri"/>
          <w:i/>
          <w:iCs/>
        </w:rPr>
        <w:t xml:space="preserve">Site 4, focus group 2 </w:t>
      </w:r>
    </w:p>
    <w:p w:rsidR="005D1131" w:rsidRPr="00086743" w:rsidRDefault="005D1131" w:rsidP="00681477">
      <w:pPr>
        <w:spacing w:before="240" w:line="360" w:lineRule="auto"/>
        <w:rPr>
          <w:rFonts w:ascii="Cambria" w:hAnsi="Cambria" w:cstheme="majorBidi"/>
        </w:rPr>
      </w:pPr>
    </w:p>
    <w:p w:rsidR="004D1CB8" w:rsidRPr="00086743" w:rsidRDefault="00630E51" w:rsidP="00681477">
      <w:pPr>
        <w:spacing w:before="240" w:line="360" w:lineRule="auto"/>
        <w:rPr>
          <w:rFonts w:ascii="Cambria" w:hAnsi="Cambria" w:cstheme="majorBidi"/>
        </w:rPr>
      </w:pPr>
      <w:r w:rsidRPr="00086743">
        <w:rPr>
          <w:rFonts w:ascii="Cambria" w:hAnsi="Cambria" w:cstheme="majorBidi"/>
        </w:rPr>
        <w:t xml:space="preserve">Analysis of the minimum data set shows that the service </w:t>
      </w:r>
      <w:r w:rsidR="0051091E" w:rsidRPr="00086743">
        <w:rPr>
          <w:rFonts w:ascii="Cambria" w:hAnsi="Cambria" w:cstheme="majorBidi"/>
        </w:rPr>
        <w:t xml:space="preserve">currently </w:t>
      </w:r>
      <w:r w:rsidR="002E2332" w:rsidRPr="00086743">
        <w:rPr>
          <w:rFonts w:ascii="Cambria" w:hAnsi="Cambria" w:cstheme="majorBidi"/>
        </w:rPr>
        <w:t xml:space="preserve">takes over 1 million calls per month </w:t>
      </w:r>
      <w:r w:rsidR="007B025E" w:rsidRPr="00086743">
        <w:rPr>
          <w:rFonts w:ascii="Cambria" w:hAnsi="Cambria" w:cstheme="majorBidi"/>
        </w:rPr>
        <w:t xml:space="preserve">(see </w:t>
      </w:r>
      <w:r w:rsidR="00B7579B">
        <w:fldChar w:fldCharType="begin"/>
      </w:r>
      <w:r w:rsidR="00B7579B">
        <w:instrText xml:space="preserve"> REF _Ref464215275 \h  \* MERGEFORMAT </w:instrText>
      </w:r>
      <w:r w:rsidR="00B7579B">
        <w:fldChar w:fldCharType="separate"/>
      </w:r>
      <w:r w:rsidR="00093FB8" w:rsidRPr="00086743">
        <w:rPr>
          <w:rFonts w:ascii="Cambria" w:hAnsi="Cambria"/>
        </w:rPr>
        <w:t>Table 1</w:t>
      </w:r>
      <w:r w:rsidR="00B7579B">
        <w:fldChar w:fldCharType="end"/>
      </w:r>
      <w:r w:rsidR="007B025E" w:rsidRPr="00086743">
        <w:rPr>
          <w:rFonts w:ascii="Cambria" w:hAnsi="Cambria" w:cstheme="majorBidi"/>
        </w:rPr>
        <w:t xml:space="preserve">). Time-series decomposition (using the R stl() function) indicates an increasing trend in the number of calls initiated, from just over 1 million per month at launch to approximately </w:t>
      </w:r>
      <w:r w:rsidR="004A45FA" w:rsidRPr="00086743">
        <w:rPr>
          <w:rFonts w:ascii="Cambria" w:hAnsi="Cambria" w:cstheme="majorBidi"/>
        </w:rPr>
        <w:t xml:space="preserve">1¼ </w:t>
      </w:r>
      <w:r w:rsidR="00F51612" w:rsidRPr="00086743">
        <w:rPr>
          <w:rFonts w:ascii="Cambria" w:hAnsi="Cambria" w:cstheme="majorBidi"/>
        </w:rPr>
        <w:t xml:space="preserve">million </w:t>
      </w:r>
      <w:r w:rsidR="007B025E" w:rsidRPr="00086743">
        <w:rPr>
          <w:rFonts w:ascii="Cambria" w:hAnsi="Cambria" w:cstheme="majorBidi"/>
        </w:rPr>
        <w:t>by the middle of 2016 (</w:t>
      </w:r>
      <w:r w:rsidR="007B025E" w:rsidRPr="00083B0F">
        <w:rPr>
          <w:rFonts w:ascii="Cambria" w:hAnsi="Cambria" w:cstheme="majorBidi"/>
          <w:highlight w:val="yellow"/>
        </w:rPr>
        <w:t>see supplementary figure</w:t>
      </w:r>
      <w:r w:rsidR="00083B0F" w:rsidRPr="00083B0F">
        <w:rPr>
          <w:rFonts w:ascii="Cambria" w:hAnsi="Cambria" w:cstheme="majorBidi"/>
          <w:highlight w:val="yellow"/>
        </w:rPr>
        <w:t xml:space="preserve"> 1</w:t>
      </w:r>
      <w:r w:rsidR="007B025E" w:rsidRPr="00083B0F">
        <w:rPr>
          <w:rFonts w:ascii="Cambria" w:hAnsi="Cambria" w:cstheme="majorBidi"/>
          <w:highlight w:val="yellow"/>
        </w:rPr>
        <w:t>).</w:t>
      </w:r>
    </w:p>
    <w:p w:rsidR="00625C93" w:rsidRPr="00086743" w:rsidRDefault="00625C93" w:rsidP="00681477">
      <w:pPr>
        <w:spacing w:before="240" w:after="0" w:line="240" w:lineRule="auto"/>
        <w:rPr>
          <w:rFonts w:ascii="Cambria" w:hAnsi="Cambria" w:cstheme="majorBidi"/>
        </w:rPr>
      </w:pPr>
      <w:bookmarkStart w:id="0" w:name="_Ref464215275"/>
      <w:r w:rsidRPr="00086743">
        <w:rPr>
          <w:rFonts w:ascii="Cambria" w:hAnsi="Cambria"/>
          <w:b/>
          <w:bCs/>
        </w:rPr>
        <w:t xml:space="preserve">Table </w:t>
      </w:r>
      <w:r w:rsidR="00077D32" w:rsidRPr="00086743">
        <w:rPr>
          <w:rFonts w:ascii="Cambria" w:hAnsi="Cambria"/>
          <w:b/>
          <w:bCs/>
        </w:rPr>
        <w:fldChar w:fldCharType="begin"/>
      </w:r>
      <w:r w:rsidRPr="00086743">
        <w:rPr>
          <w:rFonts w:ascii="Cambria" w:hAnsi="Cambria"/>
          <w:b/>
          <w:bCs/>
        </w:rPr>
        <w:instrText xml:space="preserve"> SEQ Table \* ARABIC </w:instrText>
      </w:r>
      <w:r w:rsidR="00077D32" w:rsidRPr="00086743">
        <w:rPr>
          <w:rFonts w:ascii="Cambria" w:hAnsi="Cambria"/>
          <w:b/>
          <w:bCs/>
        </w:rPr>
        <w:fldChar w:fldCharType="separate"/>
      </w:r>
      <w:r w:rsidR="00093FB8" w:rsidRPr="00086743">
        <w:rPr>
          <w:rFonts w:ascii="Cambria" w:hAnsi="Cambria"/>
          <w:b/>
          <w:bCs/>
          <w:noProof/>
        </w:rPr>
        <w:t>1</w:t>
      </w:r>
      <w:r w:rsidR="00077D32" w:rsidRPr="00086743">
        <w:rPr>
          <w:rFonts w:ascii="Cambria" w:hAnsi="Cambria"/>
          <w:b/>
          <w:bCs/>
          <w:noProof/>
        </w:rPr>
        <w:fldChar w:fldCharType="end"/>
      </w:r>
      <w:bookmarkEnd w:id="0"/>
      <w:r w:rsidRPr="00086743">
        <w:rPr>
          <w:rFonts w:ascii="Cambria" w:hAnsi="Cambria"/>
          <w:b/>
          <w:bCs/>
        </w:rPr>
        <w:t xml:space="preserve"> Call volumes, transfers / use of call back and performance against standards</w:t>
      </w:r>
    </w:p>
    <w:tbl>
      <w:tblPr>
        <w:tblStyle w:val="TableGrid"/>
        <w:tblW w:w="5000" w:type="pct"/>
        <w:tblLayout w:type="fixed"/>
        <w:tblCellMar>
          <w:top w:w="28" w:type="dxa"/>
          <w:left w:w="85" w:type="dxa"/>
          <w:bottom w:w="28" w:type="dxa"/>
          <w:right w:w="85" w:type="dxa"/>
        </w:tblCellMar>
        <w:tblLook w:val="04A0" w:firstRow="1" w:lastRow="0" w:firstColumn="1" w:lastColumn="0" w:noHBand="0" w:noVBand="1"/>
      </w:tblPr>
      <w:tblGrid>
        <w:gridCol w:w="1411"/>
        <w:gridCol w:w="707"/>
        <w:gridCol w:w="707"/>
        <w:gridCol w:w="707"/>
        <w:gridCol w:w="708"/>
        <w:gridCol w:w="708"/>
        <w:gridCol w:w="708"/>
        <w:gridCol w:w="708"/>
        <w:gridCol w:w="708"/>
        <w:gridCol w:w="708"/>
        <w:gridCol w:w="708"/>
        <w:gridCol w:w="708"/>
      </w:tblGrid>
      <w:tr w:rsidR="00625C93" w:rsidRPr="00086743" w:rsidTr="00AD2160">
        <w:tc>
          <w:tcPr>
            <w:tcW w:w="2248" w:type="dxa"/>
            <w:vAlign w:val="center"/>
          </w:tcPr>
          <w:p w:rsidR="00625C93" w:rsidRPr="00086743" w:rsidRDefault="00625C93" w:rsidP="00681477">
            <w:pPr>
              <w:rPr>
                <w:rFonts w:ascii="Cambria" w:hAnsi="Cambria"/>
              </w:rPr>
            </w:pPr>
          </w:p>
        </w:tc>
        <w:tc>
          <w:tcPr>
            <w:tcW w:w="1063" w:type="dxa"/>
            <w:vAlign w:val="center"/>
          </w:tcPr>
          <w:p w:rsidR="00625C93" w:rsidRPr="00086743" w:rsidRDefault="00625C93" w:rsidP="00681477">
            <w:pPr>
              <w:spacing w:before="240"/>
              <w:jc w:val="center"/>
              <w:rPr>
                <w:rFonts w:ascii="Cambria" w:hAnsi="Cambria"/>
              </w:rPr>
            </w:pPr>
            <w:r w:rsidRPr="00086743">
              <w:rPr>
                <w:rFonts w:ascii="Cambria" w:hAnsi="Cambria"/>
              </w:rPr>
              <w:t>2013/14</w:t>
            </w:r>
          </w:p>
          <w:p w:rsidR="00625C93" w:rsidRPr="00086743" w:rsidRDefault="00625C93" w:rsidP="00681477">
            <w:pPr>
              <w:spacing w:before="240"/>
              <w:jc w:val="center"/>
              <w:rPr>
                <w:rFonts w:ascii="Cambria" w:hAnsi="Cambria"/>
              </w:rPr>
            </w:pPr>
            <w:r w:rsidRPr="00086743">
              <w:rPr>
                <w:rFonts w:ascii="Cambria" w:hAnsi="Cambria"/>
              </w:rPr>
              <w:t>Q4</w:t>
            </w:r>
          </w:p>
        </w:tc>
        <w:tc>
          <w:tcPr>
            <w:tcW w:w="1062" w:type="dxa"/>
            <w:vAlign w:val="center"/>
          </w:tcPr>
          <w:p w:rsidR="00625C93" w:rsidRPr="00086743" w:rsidRDefault="00625C93" w:rsidP="00681477">
            <w:pPr>
              <w:spacing w:before="240"/>
              <w:jc w:val="center"/>
              <w:rPr>
                <w:rFonts w:ascii="Cambria" w:hAnsi="Cambria"/>
              </w:rPr>
            </w:pPr>
            <w:r w:rsidRPr="00086743">
              <w:rPr>
                <w:rFonts w:ascii="Cambria" w:hAnsi="Cambria"/>
              </w:rPr>
              <w:t>2014/15</w:t>
            </w:r>
          </w:p>
          <w:p w:rsidR="00625C93" w:rsidRPr="00086743" w:rsidRDefault="00625C93" w:rsidP="00681477">
            <w:pPr>
              <w:spacing w:before="240"/>
              <w:jc w:val="center"/>
              <w:rPr>
                <w:rFonts w:ascii="Cambria" w:hAnsi="Cambria"/>
              </w:rPr>
            </w:pPr>
            <w:r w:rsidRPr="00086743">
              <w:rPr>
                <w:rFonts w:ascii="Cambria" w:hAnsi="Cambria"/>
              </w:rPr>
              <w:t>Q</w:t>
            </w:r>
            <w:r w:rsidR="005F255E" w:rsidRPr="00086743">
              <w:rPr>
                <w:rFonts w:ascii="Cambria" w:hAnsi="Cambria"/>
              </w:rPr>
              <w:t>1</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hAnsi="Cambria"/>
              </w:rPr>
              <w:t>2014/15</w:t>
            </w:r>
          </w:p>
          <w:p w:rsidR="00625C93" w:rsidRPr="00086743" w:rsidRDefault="00625C93" w:rsidP="00681477">
            <w:pPr>
              <w:spacing w:before="240"/>
              <w:jc w:val="center"/>
              <w:rPr>
                <w:rFonts w:ascii="Cambria" w:hAnsi="Cambria"/>
              </w:rPr>
            </w:pPr>
            <w:r w:rsidRPr="00086743">
              <w:rPr>
                <w:rFonts w:ascii="Cambria" w:hAnsi="Cambria"/>
              </w:rPr>
              <w:t>Q2</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2014/15</w:t>
            </w:r>
          </w:p>
          <w:p w:rsidR="00625C93" w:rsidRPr="00086743" w:rsidRDefault="00625C93" w:rsidP="00681477">
            <w:pPr>
              <w:spacing w:before="240"/>
              <w:jc w:val="center"/>
              <w:rPr>
                <w:rFonts w:ascii="Cambria" w:hAnsi="Cambria"/>
              </w:rPr>
            </w:pPr>
            <w:r w:rsidRPr="00086743">
              <w:rPr>
                <w:rFonts w:ascii="Cambria" w:hAnsi="Cambria"/>
              </w:rPr>
              <w:t>Q3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2014/15</w:t>
            </w:r>
          </w:p>
          <w:p w:rsidR="00625C93" w:rsidRPr="00086743" w:rsidRDefault="00625C93" w:rsidP="00681477">
            <w:pPr>
              <w:spacing w:before="240"/>
              <w:jc w:val="center"/>
              <w:rPr>
                <w:rFonts w:ascii="Cambria" w:hAnsi="Cambria"/>
              </w:rPr>
            </w:pPr>
            <w:r w:rsidRPr="00086743">
              <w:rPr>
                <w:rFonts w:ascii="Cambria" w:hAnsi="Cambria"/>
              </w:rPr>
              <w:t>Q4</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2015/16</w:t>
            </w:r>
          </w:p>
          <w:p w:rsidR="00625C93" w:rsidRPr="00086743" w:rsidRDefault="00625C93" w:rsidP="00681477">
            <w:pPr>
              <w:spacing w:before="240"/>
              <w:jc w:val="center"/>
              <w:rPr>
                <w:rFonts w:ascii="Cambria" w:hAnsi="Cambria"/>
              </w:rPr>
            </w:pPr>
            <w:r w:rsidRPr="00086743">
              <w:rPr>
                <w:rFonts w:ascii="Cambria" w:hAnsi="Cambria"/>
              </w:rPr>
              <w:t>Q1</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2015/16</w:t>
            </w:r>
          </w:p>
          <w:p w:rsidR="00625C93" w:rsidRPr="00086743" w:rsidRDefault="00625C93" w:rsidP="00681477">
            <w:pPr>
              <w:spacing w:before="240"/>
              <w:jc w:val="center"/>
              <w:rPr>
                <w:rFonts w:ascii="Cambria" w:hAnsi="Cambria"/>
              </w:rPr>
            </w:pPr>
            <w:r w:rsidRPr="00086743">
              <w:rPr>
                <w:rFonts w:ascii="Cambria" w:hAnsi="Cambria"/>
              </w:rPr>
              <w:t>Q2</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2015/16</w:t>
            </w:r>
          </w:p>
          <w:p w:rsidR="00625C93" w:rsidRPr="00086743" w:rsidRDefault="00625C93" w:rsidP="00681477">
            <w:pPr>
              <w:spacing w:before="240"/>
              <w:jc w:val="center"/>
              <w:rPr>
                <w:rFonts w:ascii="Cambria" w:hAnsi="Cambria"/>
              </w:rPr>
            </w:pPr>
            <w:r w:rsidRPr="00086743">
              <w:rPr>
                <w:rFonts w:ascii="Cambria" w:hAnsi="Cambria"/>
              </w:rPr>
              <w:t>Q3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2015/16</w:t>
            </w:r>
          </w:p>
          <w:p w:rsidR="00625C93" w:rsidRPr="00086743" w:rsidRDefault="00625C93" w:rsidP="00681477">
            <w:pPr>
              <w:spacing w:before="240"/>
              <w:jc w:val="center"/>
              <w:rPr>
                <w:rFonts w:ascii="Cambria" w:hAnsi="Cambria"/>
              </w:rPr>
            </w:pPr>
            <w:r w:rsidRPr="00086743">
              <w:rPr>
                <w:rFonts w:ascii="Cambria" w:hAnsi="Cambria"/>
              </w:rPr>
              <w:t>Q4</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2016/17</w:t>
            </w:r>
          </w:p>
          <w:p w:rsidR="00625C93" w:rsidRPr="00086743" w:rsidRDefault="00625C93" w:rsidP="00681477">
            <w:pPr>
              <w:spacing w:before="240"/>
              <w:jc w:val="center"/>
              <w:rPr>
                <w:rFonts w:ascii="Cambria" w:hAnsi="Cambria"/>
              </w:rPr>
            </w:pPr>
            <w:r w:rsidRPr="00086743">
              <w:rPr>
                <w:rFonts w:ascii="Cambria" w:hAnsi="Cambria"/>
              </w:rPr>
              <w:t>Q1</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2016/17</w:t>
            </w:r>
          </w:p>
          <w:p w:rsidR="00625C93" w:rsidRPr="00086743" w:rsidRDefault="00625C93" w:rsidP="00681477">
            <w:pPr>
              <w:spacing w:before="240"/>
              <w:jc w:val="center"/>
              <w:rPr>
                <w:rFonts w:ascii="Cambria" w:hAnsi="Cambria"/>
              </w:rPr>
            </w:pPr>
            <w:r w:rsidRPr="00086743">
              <w:rPr>
                <w:rFonts w:ascii="Cambria" w:hAnsi="Cambria"/>
              </w:rPr>
              <w:t>Q2</w:t>
            </w:r>
          </w:p>
        </w:tc>
      </w:tr>
      <w:tr w:rsidR="00625C93" w:rsidRPr="00086743" w:rsidTr="00AD2160">
        <w:tc>
          <w:tcPr>
            <w:tcW w:w="2248" w:type="dxa"/>
            <w:vAlign w:val="center"/>
          </w:tcPr>
          <w:p w:rsidR="00625C93" w:rsidRPr="00086743" w:rsidRDefault="00625C93" w:rsidP="00681477">
            <w:pPr>
              <w:rPr>
                <w:rFonts w:ascii="Cambria" w:hAnsi="Cambria"/>
              </w:rPr>
            </w:pPr>
            <w:r w:rsidRPr="00086743">
              <w:rPr>
                <w:rFonts w:ascii="Cambria" w:hAnsi="Cambria"/>
              </w:rPr>
              <w:t>Observations (months) per quarter</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hAnsi="Cambria"/>
              </w:rPr>
              <w:t>2</w:t>
            </w:r>
          </w:p>
        </w:tc>
        <w:tc>
          <w:tcPr>
            <w:tcW w:w="1062"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w:t>
            </w:r>
          </w:p>
        </w:tc>
      </w:tr>
      <w:tr w:rsidR="00625C93" w:rsidRPr="00086743" w:rsidTr="00625C93">
        <w:trPr>
          <w:trHeight w:val="308"/>
        </w:trPr>
        <w:tc>
          <w:tcPr>
            <w:tcW w:w="13948" w:type="dxa"/>
            <w:gridSpan w:val="12"/>
            <w:vAlign w:val="center"/>
          </w:tcPr>
          <w:p w:rsidR="00625C93" w:rsidRPr="00086743" w:rsidRDefault="00625C93" w:rsidP="00681477">
            <w:pPr>
              <w:rPr>
                <w:rFonts w:ascii="Cambria" w:hAnsi="Cambria"/>
                <w:b/>
                <w:bCs/>
                <w:i/>
                <w:iCs/>
              </w:rPr>
            </w:pPr>
            <w:r w:rsidRPr="00086743">
              <w:rPr>
                <w:rFonts w:ascii="Cambria" w:hAnsi="Cambria"/>
                <w:b/>
                <w:bCs/>
                <w:i/>
                <w:iCs/>
              </w:rPr>
              <w:lastRenderedPageBreak/>
              <w:t>Call volumes</w:t>
            </w:r>
          </w:p>
        </w:tc>
      </w:tr>
      <w:tr w:rsidR="00625C93" w:rsidRPr="00086743" w:rsidTr="00AD2160">
        <w:tc>
          <w:tcPr>
            <w:tcW w:w="2248" w:type="dxa"/>
            <w:vAlign w:val="center"/>
          </w:tcPr>
          <w:p w:rsidR="00625C93" w:rsidRPr="00086743" w:rsidRDefault="00625C93" w:rsidP="00681477">
            <w:pPr>
              <w:rPr>
                <w:rFonts w:ascii="Cambria" w:hAnsi="Cambria"/>
                <w:vertAlign w:val="superscript"/>
              </w:rPr>
            </w:pPr>
            <w:r w:rsidRPr="00086743">
              <w:rPr>
                <w:rFonts w:ascii="Cambria" w:hAnsi="Cambria"/>
              </w:rPr>
              <w:t xml:space="preserve">Calls initiated </w:t>
            </w:r>
            <w:r w:rsidRPr="00086743">
              <w:rPr>
                <w:rFonts w:ascii="Cambria" w:hAnsi="Cambria"/>
                <w:vertAlign w:val="superscript"/>
              </w:rPr>
              <w:t>a</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hAnsi="Cambria"/>
              </w:rPr>
              <w:t>971,718</w:t>
            </w:r>
          </w:p>
        </w:tc>
        <w:tc>
          <w:tcPr>
            <w:tcW w:w="1062" w:type="dxa"/>
            <w:vAlign w:val="center"/>
          </w:tcPr>
          <w:p w:rsidR="00625C93" w:rsidRPr="00086743" w:rsidRDefault="00625C93" w:rsidP="00681477">
            <w:pPr>
              <w:spacing w:before="240"/>
              <w:jc w:val="center"/>
              <w:rPr>
                <w:rFonts w:ascii="Cambria" w:hAnsi="Cambria"/>
              </w:rPr>
            </w:pPr>
            <w:r w:rsidRPr="00086743">
              <w:rPr>
                <w:rFonts w:ascii="Cambria" w:hAnsi="Cambria"/>
              </w:rPr>
              <w:t>1,059,104</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hAnsi="Cambria"/>
              </w:rPr>
              <w:t>958,185</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1,165,760</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1,110,541</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1,100,726</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1,010,607</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1,202,030</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1,366,497</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1,207,808</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hAnsi="Cambria"/>
              </w:rPr>
              <w:t>1,238,972</w:t>
            </w:r>
          </w:p>
        </w:tc>
      </w:tr>
      <w:tr w:rsidR="00625C93" w:rsidRPr="00086743" w:rsidTr="00AD2160">
        <w:tc>
          <w:tcPr>
            <w:tcW w:w="2248" w:type="dxa"/>
            <w:vAlign w:val="center"/>
          </w:tcPr>
          <w:p w:rsidR="00625C93" w:rsidRPr="00086743" w:rsidRDefault="00625C93" w:rsidP="00681477">
            <w:pPr>
              <w:rPr>
                <w:rFonts w:ascii="Cambria" w:hAnsi="Cambria"/>
                <w:vertAlign w:val="superscript"/>
              </w:rPr>
            </w:pPr>
            <w:r w:rsidRPr="00086743">
              <w:rPr>
                <w:rFonts w:ascii="Cambria" w:hAnsi="Cambria"/>
              </w:rPr>
              <w:t xml:space="preserve">Calls answered </w:t>
            </w:r>
            <w:r w:rsidRPr="00086743">
              <w:rPr>
                <w:rFonts w:ascii="Cambria" w:hAnsi="Cambria"/>
                <w:vertAlign w:val="superscript"/>
              </w:rPr>
              <w:t>a</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918,986</w:t>
            </w:r>
          </w:p>
        </w:tc>
        <w:tc>
          <w:tcPr>
            <w:tcW w:w="1062"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998,508</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914,948</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1,076,362</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1,055,134</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1,050,668</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966,416</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1,114,758</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1,204,628</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1,111,211</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1,141,770</w:t>
            </w:r>
          </w:p>
        </w:tc>
      </w:tr>
      <w:tr w:rsidR="00625C93" w:rsidRPr="00086743" w:rsidTr="00AD2160">
        <w:tc>
          <w:tcPr>
            <w:tcW w:w="2248" w:type="dxa"/>
            <w:vAlign w:val="center"/>
          </w:tcPr>
          <w:p w:rsidR="00625C93" w:rsidRPr="00086743" w:rsidRDefault="00625C93" w:rsidP="00681477">
            <w:pPr>
              <w:rPr>
                <w:rFonts w:ascii="Cambria" w:hAnsi="Cambria"/>
                <w:vertAlign w:val="superscript"/>
              </w:rPr>
            </w:pPr>
            <w:r w:rsidRPr="00086743">
              <w:rPr>
                <w:rFonts w:ascii="Cambria" w:hAnsi="Cambria"/>
              </w:rPr>
              <w:t xml:space="preserve">Calls per thousand of population served </w:t>
            </w:r>
            <w:r w:rsidRPr="00086743">
              <w:rPr>
                <w:rFonts w:ascii="Cambria" w:hAnsi="Cambria"/>
                <w:vertAlign w:val="superscript"/>
              </w:rPr>
              <w:t>a</w:t>
            </w:r>
          </w:p>
        </w:tc>
        <w:tc>
          <w:tcPr>
            <w:tcW w:w="1063"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NA</w:t>
            </w:r>
          </w:p>
        </w:tc>
        <w:tc>
          <w:tcPr>
            <w:tcW w:w="1062"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19.5</w:t>
            </w:r>
          </w:p>
        </w:tc>
        <w:tc>
          <w:tcPr>
            <w:tcW w:w="1063"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17.7</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21.5</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20.3</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20.2</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18.5</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22.0</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24.8</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NA</w:t>
            </w:r>
          </w:p>
        </w:tc>
        <w:tc>
          <w:tcPr>
            <w:tcW w:w="1064" w:type="dxa"/>
            <w:vAlign w:val="center"/>
          </w:tcPr>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Cambria" w:eastAsia="Times New Roman" w:hAnsi="Cambria" w:cs="Courier New"/>
                <w:color w:val="000000"/>
              </w:rPr>
            </w:pPr>
            <w:r w:rsidRPr="00086743">
              <w:rPr>
                <w:rFonts w:ascii="Cambria" w:eastAsia="Times New Roman" w:hAnsi="Cambria" w:cs="Courier New"/>
                <w:color w:val="000000"/>
              </w:rPr>
              <w:t>NA</w:t>
            </w:r>
          </w:p>
        </w:tc>
      </w:tr>
      <w:tr w:rsidR="00625C93" w:rsidRPr="00086743" w:rsidTr="00AD2160">
        <w:tc>
          <w:tcPr>
            <w:tcW w:w="13948" w:type="dxa"/>
            <w:gridSpan w:val="12"/>
            <w:vAlign w:val="center"/>
          </w:tcPr>
          <w:p w:rsidR="00625C93" w:rsidRPr="00086743" w:rsidRDefault="00D82FCF" w:rsidP="00681477">
            <w:pPr>
              <w:tabs>
                <w:tab w:val="decimal" w:pos="454"/>
              </w:tabs>
              <w:rPr>
                <w:rFonts w:ascii="Cambria" w:hAnsi="Cambria"/>
                <w:b/>
                <w:bCs/>
                <w:i/>
                <w:iCs/>
                <w:color w:val="000000" w:themeColor="text1"/>
              </w:rPr>
            </w:pPr>
            <w:r w:rsidRPr="00086743">
              <w:rPr>
                <w:rFonts w:ascii="Cambria" w:hAnsi="Cambria"/>
                <w:b/>
                <w:bCs/>
                <w:i/>
                <w:iCs/>
              </w:rPr>
              <w:t>Percentage of t</w:t>
            </w:r>
            <w:r w:rsidR="00625C93" w:rsidRPr="00086743">
              <w:rPr>
                <w:rFonts w:ascii="Cambria" w:hAnsi="Cambria"/>
                <w:b/>
                <w:bCs/>
                <w:i/>
                <w:iCs/>
              </w:rPr>
              <w:t>ransfers to clinical advisors and use of call back</w:t>
            </w:r>
            <w:r w:rsidR="003622E0" w:rsidRPr="00086743">
              <w:rPr>
                <w:rFonts w:ascii="Cambria" w:hAnsi="Cambria"/>
                <w:b/>
                <w:bCs/>
                <w:i/>
                <w:iCs/>
              </w:rPr>
              <w:t xml:space="preserve"> </w:t>
            </w:r>
          </w:p>
        </w:tc>
      </w:tr>
      <w:tr w:rsidR="00625C93" w:rsidRPr="00086743" w:rsidTr="00AD2160">
        <w:tc>
          <w:tcPr>
            <w:tcW w:w="2248"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Calls transferred to clinical advisor</w:t>
            </w:r>
          </w:p>
        </w:tc>
        <w:tc>
          <w:tcPr>
            <w:tcW w:w="1063"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20.2</w:t>
            </w:r>
          </w:p>
        </w:tc>
        <w:tc>
          <w:tcPr>
            <w:tcW w:w="1062"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19.9</w:t>
            </w:r>
          </w:p>
        </w:tc>
        <w:tc>
          <w:tcPr>
            <w:tcW w:w="1063"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20.7</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20.1</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21.3</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21.1</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21.5</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20.6</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18.9</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19.7</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19.6</w:t>
            </w:r>
          </w:p>
        </w:tc>
      </w:tr>
      <w:tr w:rsidR="00625C93" w:rsidRPr="00086743" w:rsidTr="00AD2160">
        <w:tc>
          <w:tcPr>
            <w:tcW w:w="2248" w:type="dxa"/>
            <w:vAlign w:val="center"/>
          </w:tcPr>
          <w:p w:rsidR="00625C93" w:rsidRPr="00086743" w:rsidRDefault="00625C93" w:rsidP="00681477">
            <w:pPr>
              <w:rPr>
                <w:rFonts w:ascii="Cambria" w:hAnsi="Cambria"/>
                <w:color w:val="000000" w:themeColor="text1"/>
                <w:vertAlign w:val="superscript"/>
              </w:rPr>
            </w:pPr>
            <w:r w:rsidRPr="00086743">
              <w:rPr>
                <w:rFonts w:ascii="Cambria" w:hAnsi="Cambria"/>
                <w:color w:val="000000" w:themeColor="text1"/>
              </w:rPr>
              <w:t xml:space="preserve">Calls “warm” transfer to clinical advisor </w:t>
            </w:r>
            <w:r w:rsidRPr="00086743">
              <w:rPr>
                <w:rFonts w:ascii="Cambria" w:hAnsi="Cambria"/>
                <w:color w:val="000000" w:themeColor="text1"/>
                <w:vertAlign w:val="superscript"/>
              </w:rPr>
              <w:t>b</w:t>
            </w:r>
          </w:p>
        </w:tc>
        <w:tc>
          <w:tcPr>
            <w:tcW w:w="1063"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11.8</w:t>
            </w:r>
          </w:p>
        </w:tc>
        <w:tc>
          <w:tcPr>
            <w:tcW w:w="1062"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11.4</w:t>
            </w:r>
          </w:p>
        </w:tc>
        <w:tc>
          <w:tcPr>
            <w:tcW w:w="1063"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12.7</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10.6</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9.9</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10.0</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9.8</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9.1</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6.8</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7.2</w:t>
            </w:r>
          </w:p>
        </w:tc>
        <w:tc>
          <w:tcPr>
            <w:tcW w:w="1064" w:type="dxa"/>
            <w:vAlign w:val="center"/>
          </w:tcPr>
          <w:p w:rsidR="00625C93" w:rsidRPr="00086743" w:rsidRDefault="00625C93" w:rsidP="00681477">
            <w:pPr>
              <w:tabs>
                <w:tab w:val="decimal" w:pos="454"/>
              </w:tabs>
              <w:spacing w:before="240"/>
              <w:rPr>
                <w:rFonts w:ascii="Cambria" w:hAnsi="Cambria"/>
                <w:color w:val="000000" w:themeColor="text1"/>
              </w:rPr>
            </w:pPr>
            <w:r w:rsidRPr="00086743">
              <w:rPr>
                <w:rFonts w:ascii="Cambria" w:hAnsi="Cambria"/>
                <w:color w:val="000000" w:themeColor="text1"/>
              </w:rPr>
              <w:t>7.0</w:t>
            </w:r>
          </w:p>
        </w:tc>
      </w:tr>
      <w:tr w:rsidR="00625C93" w:rsidRPr="00086743" w:rsidTr="00AD2160">
        <w:tc>
          <w:tcPr>
            <w:tcW w:w="2248"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Calls resulting in a call back</w:t>
            </w:r>
          </w:p>
        </w:tc>
        <w:tc>
          <w:tcPr>
            <w:tcW w:w="1063"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8.4</w:t>
            </w:r>
          </w:p>
        </w:tc>
        <w:tc>
          <w:tcPr>
            <w:tcW w:w="1062"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8.5</w:t>
            </w:r>
          </w:p>
        </w:tc>
        <w:tc>
          <w:tcPr>
            <w:tcW w:w="1063"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8.1</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9.4</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11.4</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11.1</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11.7</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11.6</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12.1</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12.5</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12.6</w:t>
            </w:r>
          </w:p>
        </w:tc>
      </w:tr>
      <w:tr w:rsidR="00625C93" w:rsidRPr="00086743" w:rsidTr="00AD2160">
        <w:tc>
          <w:tcPr>
            <w:tcW w:w="2248"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Calls resulting in a call back within 10 minutes</w:t>
            </w:r>
          </w:p>
        </w:tc>
        <w:tc>
          <w:tcPr>
            <w:tcW w:w="1063"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4.0</w:t>
            </w:r>
          </w:p>
        </w:tc>
        <w:tc>
          <w:tcPr>
            <w:tcW w:w="1062"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4.3</w:t>
            </w:r>
          </w:p>
        </w:tc>
        <w:tc>
          <w:tcPr>
            <w:tcW w:w="1063"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4.2</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4.5</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5.1</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5.0</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5.1</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4.8</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4.4</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5.0</w:t>
            </w:r>
          </w:p>
        </w:tc>
        <w:tc>
          <w:tcPr>
            <w:tcW w:w="1064" w:type="dxa"/>
            <w:vAlign w:val="center"/>
          </w:tcPr>
          <w:p w:rsidR="00625C93" w:rsidRPr="00086743" w:rsidRDefault="00625C93" w:rsidP="00681477">
            <w:pPr>
              <w:tabs>
                <w:tab w:val="decimal" w:pos="454"/>
              </w:tabs>
              <w:spacing w:before="240"/>
              <w:rPr>
                <w:rFonts w:ascii="Cambria" w:eastAsia="Times New Roman" w:hAnsi="Cambria" w:cs="Courier New"/>
                <w:color w:val="000000" w:themeColor="text1"/>
              </w:rPr>
            </w:pPr>
            <w:r w:rsidRPr="00086743">
              <w:rPr>
                <w:rFonts w:ascii="Cambria" w:eastAsia="Times New Roman" w:hAnsi="Cambria" w:cs="Courier New"/>
                <w:color w:val="000000" w:themeColor="text1"/>
              </w:rPr>
              <w:t>4.8</w:t>
            </w:r>
          </w:p>
        </w:tc>
      </w:tr>
      <w:tr w:rsidR="00625C93" w:rsidRPr="00086743" w:rsidTr="00AD2160">
        <w:tc>
          <w:tcPr>
            <w:tcW w:w="13948" w:type="dxa"/>
            <w:gridSpan w:val="12"/>
            <w:vAlign w:val="center"/>
          </w:tcPr>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b/>
                <w:bCs/>
                <w:i/>
                <w:iCs/>
                <w:color w:val="000000"/>
              </w:rPr>
            </w:pPr>
            <w:r w:rsidRPr="00086743">
              <w:rPr>
                <w:rFonts w:ascii="Cambria" w:hAnsi="Cambria"/>
                <w:b/>
                <w:bCs/>
                <w:i/>
                <w:iCs/>
              </w:rPr>
              <w:t>Performance against standards</w:t>
            </w:r>
          </w:p>
        </w:tc>
      </w:tr>
      <w:tr w:rsidR="00625C93" w:rsidRPr="00086743" w:rsidTr="00AD2160">
        <w:tc>
          <w:tcPr>
            <w:tcW w:w="2248" w:type="dxa"/>
            <w:vAlign w:val="center"/>
          </w:tcPr>
          <w:p w:rsidR="00625C93" w:rsidRPr="00086743" w:rsidRDefault="00625C93" w:rsidP="00681477">
            <w:pPr>
              <w:rPr>
                <w:rFonts w:ascii="Cambria" w:hAnsi="Cambria"/>
              </w:rPr>
            </w:pPr>
            <w:r w:rsidRPr="00086743">
              <w:rPr>
                <w:rFonts w:ascii="Cambria" w:hAnsi="Cambria"/>
              </w:rPr>
              <w:t>Percent calls answered within 60 seconds</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94.8</w:t>
            </w:r>
          </w:p>
        </w:tc>
        <w:tc>
          <w:tcPr>
            <w:tcW w:w="1062"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93.6</w:t>
            </w:r>
          </w:p>
        </w:tc>
        <w:tc>
          <w:tcPr>
            <w:tcW w:w="1063"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95.5</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87.5</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92.5</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93.9</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93.1</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88.9</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77.3</w:t>
            </w:r>
          </w:p>
        </w:tc>
        <w:tc>
          <w:tcPr>
            <w:tcW w:w="1064" w:type="dxa"/>
            <w:vAlign w:val="center"/>
          </w:tcPr>
          <w:p w:rsidR="00625C93" w:rsidRPr="00086743" w:rsidRDefault="00625C93" w:rsidP="00681477">
            <w:pPr>
              <w:spacing w:before="240"/>
              <w:jc w:val="center"/>
              <w:rPr>
                <w:rFonts w:ascii="Cambria" w:hAnsi="Cambria"/>
              </w:rPr>
            </w:pPr>
            <w:r w:rsidRPr="00086743">
              <w:rPr>
                <w:rFonts w:ascii="Cambria" w:eastAsia="Times New Roman" w:hAnsi="Cambria" w:cs="Courier New"/>
                <w:color w:val="000000"/>
              </w:rPr>
              <w:t>88.6</w:t>
            </w:r>
          </w:p>
        </w:tc>
        <w:tc>
          <w:tcPr>
            <w:tcW w:w="1064" w:type="dxa"/>
            <w:vAlign w:val="center"/>
          </w:tcPr>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Cambria" w:eastAsia="Times New Roman" w:hAnsi="Cambria" w:cs="Courier New"/>
                <w:color w:val="000000"/>
              </w:rPr>
            </w:pPr>
            <w:r w:rsidRPr="00086743">
              <w:rPr>
                <w:rFonts w:ascii="Cambria" w:eastAsia="Times New Roman" w:hAnsi="Cambria" w:cs="Courier New"/>
                <w:color w:val="000000"/>
              </w:rPr>
              <w:t>88.1</w:t>
            </w:r>
          </w:p>
        </w:tc>
      </w:tr>
      <w:tr w:rsidR="00625C93" w:rsidRPr="00086743" w:rsidTr="00AD2160">
        <w:tc>
          <w:tcPr>
            <w:tcW w:w="2248" w:type="dxa"/>
            <w:vAlign w:val="center"/>
          </w:tcPr>
          <w:p w:rsidR="00625C93" w:rsidRPr="00086743" w:rsidRDefault="00625C93" w:rsidP="00681477">
            <w:pPr>
              <w:rPr>
                <w:rFonts w:ascii="Cambria" w:hAnsi="Cambria"/>
              </w:rPr>
            </w:pPr>
            <w:r w:rsidRPr="00086743">
              <w:rPr>
                <w:rFonts w:ascii="Cambria" w:hAnsi="Cambria"/>
              </w:rPr>
              <w:t>Calls abandoned - over 30 seconds wait</w:t>
            </w:r>
            <w:r w:rsidR="005F255E" w:rsidRPr="00086743">
              <w:rPr>
                <w:rFonts w:ascii="Cambria" w:hAnsi="Cambria"/>
                <w:vertAlign w:val="superscript"/>
              </w:rPr>
              <w:t>a</w:t>
            </w:r>
            <w:r w:rsidRPr="00086743">
              <w:rPr>
                <w:rFonts w:ascii="Cambria" w:hAnsi="Cambria"/>
              </w:rPr>
              <w:t xml:space="preserve"> (%)</w:t>
            </w:r>
          </w:p>
        </w:tc>
        <w:tc>
          <w:tcPr>
            <w:tcW w:w="1063"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11,212</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(1.2)</w:t>
            </w:r>
          </w:p>
        </w:tc>
        <w:tc>
          <w:tcPr>
            <w:tcW w:w="1062"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12,834</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(1.2)</w:t>
            </w:r>
          </w:p>
        </w:tc>
        <w:tc>
          <w:tcPr>
            <w:tcW w:w="1063"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8,219</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(0.9)</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39,775</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(3.4)</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17,736</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(1.6)</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16,496</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(1.5)</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14,705</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(1.5)</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32,321</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(2.7)</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83,474</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(6.1)</w:t>
            </w:r>
          </w:p>
        </w:tc>
        <w:tc>
          <w:tcPr>
            <w:tcW w:w="1064" w:type="dxa"/>
            <w:vAlign w:val="center"/>
          </w:tcPr>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28,583</w:t>
            </w:r>
          </w:p>
          <w:p w:rsidR="00625C93" w:rsidRPr="00086743" w:rsidRDefault="00625C93" w:rsidP="00681477">
            <w:pPr>
              <w:spacing w:before="240"/>
              <w:jc w:val="center"/>
              <w:rPr>
                <w:rFonts w:ascii="Cambria" w:eastAsia="Times New Roman" w:hAnsi="Cambria" w:cs="Courier New"/>
                <w:color w:val="000000"/>
              </w:rPr>
            </w:pPr>
            <w:r w:rsidRPr="00086743">
              <w:rPr>
                <w:rFonts w:ascii="Cambria" w:eastAsia="Times New Roman" w:hAnsi="Cambria" w:cs="Courier New"/>
                <w:color w:val="000000"/>
              </w:rPr>
              <w:t>(2.4)</w:t>
            </w:r>
          </w:p>
        </w:tc>
        <w:tc>
          <w:tcPr>
            <w:tcW w:w="1064" w:type="dxa"/>
            <w:vAlign w:val="center"/>
          </w:tcPr>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Cambria" w:eastAsia="Times New Roman" w:hAnsi="Cambria" w:cs="Courier New"/>
                <w:color w:val="000000"/>
              </w:rPr>
            </w:pPr>
            <w:r w:rsidRPr="00086743">
              <w:rPr>
                <w:rFonts w:ascii="Cambria" w:eastAsia="Times New Roman" w:hAnsi="Cambria" w:cs="Courier New"/>
                <w:color w:val="000000"/>
              </w:rPr>
              <w:t>30,790</w:t>
            </w:r>
          </w:p>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jc w:val="center"/>
              <w:rPr>
                <w:rFonts w:ascii="Cambria" w:eastAsia="Times New Roman" w:hAnsi="Cambria" w:cs="Courier New"/>
                <w:color w:val="000000"/>
              </w:rPr>
            </w:pPr>
            <w:r w:rsidRPr="00086743">
              <w:rPr>
                <w:rFonts w:ascii="Cambria" w:eastAsia="Times New Roman" w:hAnsi="Cambria" w:cs="Courier New"/>
                <w:color w:val="000000"/>
              </w:rPr>
              <w:t>(2.5)</w:t>
            </w:r>
          </w:p>
        </w:tc>
      </w:tr>
      <w:tr w:rsidR="00625C93" w:rsidRPr="00086743" w:rsidTr="00AD2160">
        <w:tc>
          <w:tcPr>
            <w:tcW w:w="13948" w:type="dxa"/>
            <w:gridSpan w:val="12"/>
            <w:vAlign w:val="center"/>
          </w:tcPr>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color w:val="000000"/>
              </w:rPr>
            </w:pPr>
            <w:r w:rsidRPr="00086743">
              <w:rPr>
                <w:rFonts w:ascii="Cambria" w:eastAsia="Times New Roman" w:hAnsi="Cambria" w:cs="Courier New"/>
                <w:color w:val="000000"/>
              </w:rPr>
              <w:t>Notes:</w:t>
            </w:r>
          </w:p>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color w:val="000000"/>
              </w:rPr>
            </w:pPr>
            <w:r w:rsidRPr="00086743">
              <w:rPr>
                <w:rFonts w:ascii="Cambria" w:eastAsia="Times New Roman" w:hAnsi="Cambria" w:cs="Courier New"/>
                <w:color w:val="000000"/>
              </w:rPr>
              <w:t>Quarters are defined according to the financial year (consistent with reporting in the MDS). Q1 = Apr-Jun; Q2 = Jul – Sep; Q3 = Oct – Dec; Q4 = Jan – Mar</w:t>
            </w:r>
          </w:p>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color w:val="000000"/>
              </w:rPr>
            </w:pPr>
            <w:r w:rsidRPr="00086743">
              <w:rPr>
                <w:rFonts w:ascii="Cambria" w:eastAsia="Times New Roman" w:hAnsi="Cambria" w:cs="Courier New"/>
                <w:color w:val="000000"/>
                <w:vertAlign w:val="superscript"/>
              </w:rPr>
              <w:t>a</w:t>
            </w:r>
            <w:r w:rsidRPr="00086743">
              <w:rPr>
                <w:rFonts w:ascii="Cambria" w:eastAsia="Times New Roman" w:hAnsi="Cambria" w:cs="Courier New"/>
                <w:color w:val="000000"/>
              </w:rPr>
              <w:t xml:space="preserve"> </w:t>
            </w:r>
            <w:r w:rsidR="005F255E" w:rsidRPr="00086743">
              <w:rPr>
                <w:rFonts w:ascii="Cambria" w:eastAsia="Times New Roman" w:hAnsi="Cambria" w:cs="Courier New"/>
                <w:color w:val="000000"/>
              </w:rPr>
              <w:t xml:space="preserve">absolute </w:t>
            </w:r>
            <w:r w:rsidRPr="00086743">
              <w:rPr>
                <w:rFonts w:ascii="Cambria" w:eastAsia="Times New Roman" w:hAnsi="Cambria" w:cs="Courier New"/>
                <w:color w:val="000000"/>
              </w:rPr>
              <w:t xml:space="preserve">numbers </w:t>
            </w:r>
            <w:r w:rsidR="005F255E" w:rsidRPr="00086743">
              <w:rPr>
                <w:rFonts w:ascii="Cambria" w:eastAsia="Times New Roman" w:hAnsi="Cambria" w:cs="Courier New"/>
                <w:color w:val="000000"/>
              </w:rPr>
              <w:t>are the average per month for quarter (</w:t>
            </w:r>
            <w:r w:rsidRPr="00086743">
              <w:rPr>
                <w:rFonts w:ascii="Cambria" w:eastAsia="Times New Roman" w:hAnsi="Cambria" w:cs="Courier New"/>
                <w:color w:val="000000"/>
              </w:rPr>
              <w:t>i.e. number of calls in quarter divided by number of eligible months in the quarter)</w:t>
            </w:r>
            <w:r w:rsidR="005F255E" w:rsidRPr="00086743">
              <w:rPr>
                <w:rFonts w:ascii="Cambria" w:eastAsia="Times New Roman" w:hAnsi="Cambria" w:cs="Courier New"/>
                <w:color w:val="000000"/>
              </w:rPr>
              <w:t xml:space="preserve">. </w:t>
            </w:r>
            <w:r w:rsidRPr="00086743">
              <w:rPr>
                <w:rFonts w:ascii="Cambria" w:eastAsia="Times New Roman" w:hAnsi="Cambria" w:cs="Courier New"/>
                <w:color w:val="000000"/>
              </w:rPr>
              <w:t>Proportions are calculated across the whole Quarter</w:t>
            </w:r>
            <w:r w:rsidR="005F255E" w:rsidRPr="00086743">
              <w:rPr>
                <w:rFonts w:ascii="Cambria" w:eastAsia="Times New Roman" w:hAnsi="Cambria" w:cs="Courier New"/>
                <w:color w:val="000000"/>
              </w:rPr>
              <w:t>. All values calculated by the authors.</w:t>
            </w:r>
          </w:p>
          <w:p w:rsidR="00625C93" w:rsidRPr="00086743" w:rsidRDefault="00625C93" w:rsidP="00681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eastAsia="Times New Roman" w:hAnsi="Cambria" w:cs="Courier New"/>
                <w:color w:val="000000"/>
              </w:rPr>
            </w:pPr>
            <w:r w:rsidRPr="00086743">
              <w:rPr>
                <w:rFonts w:ascii="Cambria" w:eastAsia="Times New Roman" w:hAnsi="Cambria" w:cs="Courier New"/>
                <w:color w:val="000000" w:themeColor="text1"/>
                <w:vertAlign w:val="superscript"/>
              </w:rPr>
              <w:t>b</w:t>
            </w:r>
            <w:r w:rsidRPr="00086743">
              <w:rPr>
                <w:rFonts w:ascii="Cambria" w:eastAsia="Times New Roman" w:hAnsi="Cambria" w:cs="Courier New"/>
                <w:color w:val="000000" w:themeColor="text1"/>
              </w:rPr>
              <w:t xml:space="preserve"> A “warm” transfer is defined as situations where </w:t>
            </w:r>
            <w:r w:rsidRPr="00086743">
              <w:rPr>
                <w:rFonts w:ascii="Cambria" w:hAnsi="Cambria"/>
              </w:rPr>
              <w:t xml:space="preserve">the call-adviser determines that the call should be transferred to a clinical advisor, the call-adviser speaks to the clinician and then transfers the call </w:t>
            </w:r>
            <w:r w:rsidRPr="00086743">
              <w:rPr>
                <w:rFonts w:ascii="Cambria" w:hAnsi="Cambria"/>
                <w:bCs/>
              </w:rPr>
              <w:t>without any call back</w:t>
            </w:r>
          </w:p>
        </w:tc>
      </w:tr>
    </w:tbl>
    <w:p w:rsidR="00165F2F" w:rsidRPr="00086743" w:rsidRDefault="00165F2F" w:rsidP="00681477">
      <w:pPr>
        <w:spacing w:before="240" w:line="360" w:lineRule="auto"/>
        <w:rPr>
          <w:rFonts w:ascii="Cambria" w:hAnsi="Cambria" w:cstheme="majorBidi"/>
          <w:b/>
          <w:bCs/>
        </w:rPr>
      </w:pPr>
    </w:p>
    <w:p w:rsidR="0051091E" w:rsidRPr="00086743" w:rsidRDefault="005E5297" w:rsidP="00681477">
      <w:pPr>
        <w:spacing w:before="240" w:line="360" w:lineRule="auto"/>
        <w:rPr>
          <w:rFonts w:ascii="Cambria" w:hAnsi="Cambria" w:cstheme="majorBidi"/>
          <w:b/>
          <w:bCs/>
        </w:rPr>
      </w:pPr>
      <w:r w:rsidRPr="00086743">
        <w:rPr>
          <w:rFonts w:ascii="Cambria" w:hAnsi="Cambria" w:cstheme="majorBidi"/>
          <w:b/>
          <w:bCs/>
        </w:rPr>
        <w:lastRenderedPageBreak/>
        <w:t xml:space="preserve">Does the service meet </w:t>
      </w:r>
      <w:r w:rsidR="00A31C42" w:rsidRPr="00086743">
        <w:rPr>
          <w:rFonts w:ascii="Cambria" w:hAnsi="Cambria" w:cstheme="majorBidi"/>
          <w:b/>
          <w:bCs/>
        </w:rPr>
        <w:t>its own</w:t>
      </w:r>
      <w:r w:rsidRPr="00086743">
        <w:rPr>
          <w:rFonts w:ascii="Cambria" w:hAnsi="Cambria" w:cstheme="majorBidi"/>
          <w:b/>
          <w:bCs/>
        </w:rPr>
        <w:t xml:space="preserve"> performance </w:t>
      </w:r>
      <w:r w:rsidR="003C2943" w:rsidRPr="00086743">
        <w:rPr>
          <w:rFonts w:ascii="Cambria" w:hAnsi="Cambria" w:cstheme="majorBidi"/>
          <w:b/>
          <w:bCs/>
        </w:rPr>
        <w:t>targets?</w:t>
      </w:r>
    </w:p>
    <w:p w:rsidR="00A70AE8" w:rsidRPr="00086743" w:rsidRDefault="00A70AE8" w:rsidP="00681477">
      <w:pPr>
        <w:spacing w:before="240" w:line="360" w:lineRule="auto"/>
        <w:rPr>
          <w:rFonts w:ascii="Cambria" w:hAnsi="Cambria" w:cstheme="majorBidi"/>
        </w:rPr>
      </w:pPr>
      <w:r w:rsidRPr="00086743">
        <w:rPr>
          <w:rFonts w:ascii="Cambria" w:hAnsi="Cambria" w:cstheme="majorBidi"/>
        </w:rPr>
        <w:t>Service standard 3.22 in the NHS 111 Commissioning Standards</w:t>
      </w:r>
      <w:r w:rsidR="00281CEC" w:rsidRPr="00086743">
        <w:rPr>
          <w:rFonts w:ascii="Cambria" w:hAnsi="Cambria" w:cstheme="majorBidi"/>
        </w:rPr>
        <w:t>,</w:t>
      </w:r>
      <w:r w:rsidR="00902A76"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ExcludeYear="1"&gt;&lt;Author&gt;England&lt;/Author&gt;&lt;Year&gt;2014&lt;/Year&gt;&lt;RecNum&gt;29&lt;/RecNum&gt;&lt;DisplayText&gt;(17)&lt;/DisplayText&gt;&lt;record&gt;&lt;rec-number&gt;29&lt;/rec-number&gt;&lt;foreign-keys&gt;&lt;key app="EN" db-id="0eprwd9r99dr2nefav5vwvtge0axsza5fs0z" timestamp="1474893220"&gt;29&lt;/key&gt;&lt;/foreign-keys&gt;&lt;ref-type name="Web Page"&gt;12&lt;/ref-type&gt;&lt;contributors&gt;&lt;authors&gt;&lt;author&gt;NHS England&lt;/author&gt;&lt;/authors&gt;&lt;/contributors&gt;&lt;titles&gt;&lt;title&gt;NHS 111 Commissioning Standards&lt;/title&gt;&lt;/titles&gt;&lt;number&gt;23/09/2016&lt;/number&gt;&lt;dates&gt;&lt;year&gt;2014&lt;/year&gt;&lt;/dates&gt;&lt;urls&gt;&lt;related-urls&gt;&lt;url&gt;https://www.england.nhs.uk/wp-content/uploads/2014/06/nhs111-coms-stand.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(17)</w:t>
      </w:r>
      <w:r w:rsidR="00077D32" w:rsidRPr="00086743">
        <w:rPr>
          <w:rFonts w:ascii="Cambria" w:hAnsi="Cambria" w:cstheme="majorBidi"/>
        </w:rPr>
        <w:fldChar w:fldCharType="end"/>
      </w:r>
      <w:r w:rsidR="00902A76" w:rsidRPr="00086743">
        <w:rPr>
          <w:rFonts w:ascii="Cambria" w:hAnsi="Cambria" w:cstheme="majorBidi"/>
        </w:rPr>
        <w:t xml:space="preserve"> </w:t>
      </w:r>
      <w:r w:rsidRPr="00086743">
        <w:rPr>
          <w:rFonts w:ascii="Cambria" w:hAnsi="Cambria" w:cstheme="majorBidi"/>
        </w:rPr>
        <w:t xml:space="preserve"> states that “[p]atient calls … should be resolved in a single contact”.</w:t>
      </w:r>
      <w:r w:rsidR="00E21AFB" w:rsidRPr="00086743">
        <w:rPr>
          <w:rFonts w:ascii="Cambria" w:hAnsi="Cambria" w:cstheme="majorBidi"/>
        </w:rPr>
        <w:t xml:space="preserve"> Two items reported in the MDS indicate that this is not always achieved and that performance against this criterion may be declining over time. </w:t>
      </w:r>
      <w:r w:rsidR="00B7579B">
        <w:fldChar w:fldCharType="begin"/>
      </w:r>
      <w:r w:rsidR="00B7579B">
        <w:instrText xml:space="preserve"> REF _Ref464215275 \h  \* MERGEFORMAT </w:instrText>
      </w:r>
      <w:r w:rsidR="00B7579B">
        <w:fldChar w:fldCharType="separate"/>
      </w:r>
      <w:r w:rsidR="00093FB8" w:rsidRPr="00086743">
        <w:rPr>
          <w:rFonts w:ascii="Cambria" w:hAnsi="Cambria"/>
        </w:rPr>
        <w:t>Table 1</w:t>
      </w:r>
      <w:r w:rsidR="00B7579B">
        <w:fldChar w:fldCharType="end"/>
      </w:r>
      <w:r w:rsidR="00E21AFB" w:rsidRPr="00086743">
        <w:rPr>
          <w:rFonts w:ascii="Cambria" w:hAnsi="Cambria" w:cstheme="majorBidi"/>
        </w:rPr>
        <w:t xml:space="preserve"> shows that, while the proportion of calls transferred to a clinical advisor have remained relatively constant at around 20% of all calls answered, the proportion of </w:t>
      </w:r>
      <w:r w:rsidR="006738FC" w:rsidRPr="00086743">
        <w:rPr>
          <w:rFonts w:ascii="Cambria" w:hAnsi="Cambria" w:cstheme="majorBidi"/>
        </w:rPr>
        <w:t xml:space="preserve">these </w:t>
      </w:r>
      <w:r w:rsidR="00E21AFB" w:rsidRPr="00086743">
        <w:rPr>
          <w:rFonts w:ascii="Cambria" w:hAnsi="Cambria" w:cstheme="majorBidi"/>
        </w:rPr>
        <w:t xml:space="preserve">calls that are </w:t>
      </w:r>
      <w:r w:rsidR="00AE068F" w:rsidRPr="00086743">
        <w:rPr>
          <w:rFonts w:ascii="Cambria" w:hAnsi="Cambria" w:cstheme="majorBidi"/>
        </w:rPr>
        <w:t>transferred directly to a clinical advisor</w:t>
      </w:r>
      <w:r w:rsidR="00030990" w:rsidRPr="00086743">
        <w:rPr>
          <w:rFonts w:ascii="Cambria" w:hAnsi="Cambria" w:cstheme="majorBidi"/>
        </w:rPr>
        <w:t xml:space="preserve"> (referred to as warm transfers)</w:t>
      </w:r>
      <w:r w:rsidR="00AE068F" w:rsidRPr="00086743">
        <w:rPr>
          <w:rFonts w:ascii="Cambria" w:hAnsi="Cambria" w:cstheme="majorBidi"/>
        </w:rPr>
        <w:t xml:space="preserve"> has declined over time (from 58% to 36%). At the same time the </w:t>
      </w:r>
      <w:r w:rsidR="00C76DEF" w:rsidRPr="00086743">
        <w:rPr>
          <w:rFonts w:ascii="Cambria" w:hAnsi="Cambria" w:cstheme="majorBidi"/>
        </w:rPr>
        <w:t xml:space="preserve">overall </w:t>
      </w:r>
      <w:r w:rsidR="00AE068F" w:rsidRPr="00086743">
        <w:rPr>
          <w:rFonts w:ascii="Cambria" w:hAnsi="Cambria" w:cstheme="majorBidi"/>
        </w:rPr>
        <w:t>propor</w:t>
      </w:r>
      <w:r w:rsidR="00C76DEF" w:rsidRPr="00086743">
        <w:rPr>
          <w:rFonts w:ascii="Cambria" w:hAnsi="Cambria" w:cstheme="majorBidi"/>
        </w:rPr>
        <w:t xml:space="preserve">tion of calls resulting in a </w:t>
      </w:r>
      <w:r w:rsidR="00030990" w:rsidRPr="00086743">
        <w:rPr>
          <w:rFonts w:ascii="Cambria" w:hAnsi="Cambria" w:cstheme="majorBidi"/>
        </w:rPr>
        <w:t xml:space="preserve">separate </w:t>
      </w:r>
      <w:r w:rsidR="00C76DEF" w:rsidRPr="00086743">
        <w:rPr>
          <w:rFonts w:ascii="Cambria" w:hAnsi="Cambria" w:cstheme="majorBidi"/>
        </w:rPr>
        <w:t xml:space="preserve">call </w:t>
      </w:r>
      <w:r w:rsidR="00030990" w:rsidRPr="00086743">
        <w:rPr>
          <w:rFonts w:ascii="Cambria" w:hAnsi="Cambria" w:cstheme="majorBidi"/>
        </w:rPr>
        <w:t xml:space="preserve">back phone call </w:t>
      </w:r>
      <w:r w:rsidR="00C76DEF" w:rsidRPr="00086743">
        <w:rPr>
          <w:rFonts w:ascii="Cambria" w:hAnsi="Cambria" w:cstheme="majorBidi"/>
        </w:rPr>
        <w:t xml:space="preserve">has increased from 8.4% to 12.6%. </w:t>
      </w:r>
      <w:r w:rsidR="00030990" w:rsidRPr="00086743">
        <w:rPr>
          <w:rFonts w:ascii="Cambria" w:hAnsi="Cambria" w:cstheme="majorBidi"/>
        </w:rPr>
        <w:t>C</w:t>
      </w:r>
      <w:r w:rsidR="007848DB" w:rsidRPr="00086743">
        <w:rPr>
          <w:rFonts w:ascii="Cambria" w:hAnsi="Cambria" w:cstheme="majorBidi"/>
        </w:rPr>
        <w:t xml:space="preserve">are should be exercised in interpreting these measures, since the </w:t>
      </w:r>
      <w:r w:rsidR="00030990" w:rsidRPr="00086743">
        <w:rPr>
          <w:rFonts w:ascii="Cambria" w:hAnsi="Cambria" w:cstheme="majorBidi"/>
        </w:rPr>
        <w:t xml:space="preserve">proportion of call backs </w:t>
      </w:r>
      <w:r w:rsidR="007848DB" w:rsidRPr="00086743">
        <w:rPr>
          <w:rFonts w:ascii="Cambria" w:hAnsi="Cambria" w:cstheme="majorBidi"/>
        </w:rPr>
        <w:t xml:space="preserve"> is calculated on the total number of calls answered, not </w:t>
      </w:r>
      <w:r w:rsidR="00030990" w:rsidRPr="00086743">
        <w:rPr>
          <w:rFonts w:ascii="Cambria" w:hAnsi="Cambria" w:cstheme="majorBidi"/>
        </w:rPr>
        <w:t>on the smaller number of calls designated as ‘</w:t>
      </w:r>
      <w:r w:rsidR="007848DB" w:rsidRPr="00086743">
        <w:rPr>
          <w:rFonts w:ascii="Cambria" w:hAnsi="Cambria" w:cstheme="majorBidi"/>
        </w:rPr>
        <w:t>transferred to a clinical advisor</w:t>
      </w:r>
      <w:r w:rsidR="00030990" w:rsidRPr="00086743">
        <w:rPr>
          <w:rFonts w:ascii="Cambria" w:hAnsi="Cambria" w:cstheme="majorBidi"/>
        </w:rPr>
        <w:t>’</w:t>
      </w:r>
      <w:r w:rsidR="007848DB" w:rsidRPr="00086743">
        <w:rPr>
          <w:rFonts w:ascii="Cambria" w:hAnsi="Cambria" w:cstheme="majorBidi"/>
        </w:rPr>
        <w:t>.</w:t>
      </w:r>
    </w:p>
    <w:p w:rsidR="003C2943" w:rsidRPr="00086743" w:rsidRDefault="00AE293F" w:rsidP="00681477">
      <w:pPr>
        <w:spacing w:before="240" w:line="360" w:lineRule="auto"/>
        <w:rPr>
          <w:rFonts w:ascii="Cambria" w:hAnsi="Cambria" w:cstheme="majorBidi"/>
        </w:rPr>
      </w:pPr>
      <w:r w:rsidRPr="00086743">
        <w:rPr>
          <w:rFonts w:ascii="Cambria" w:hAnsi="Cambria" w:cstheme="majorBidi"/>
        </w:rPr>
        <w:t xml:space="preserve">The </w:t>
      </w:r>
      <w:r w:rsidR="00902A76" w:rsidRPr="00086743">
        <w:rPr>
          <w:rFonts w:ascii="Cambria" w:hAnsi="Cambria" w:cstheme="majorBidi"/>
        </w:rPr>
        <w:t>MDS</w:t>
      </w:r>
      <w:r w:rsidRPr="00086743">
        <w:rPr>
          <w:rFonts w:ascii="Cambria" w:hAnsi="Cambria" w:cstheme="majorBidi"/>
        </w:rPr>
        <w:t xml:space="preserve"> Providers Version specification</w:t>
      </w:r>
      <w:r w:rsidR="00902A76"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ExcludeYear="1"&gt;&lt;Author&gt;NHS 111 Programme Team&lt;/Author&gt;&lt;Year&gt;October 2012&lt;/Year&gt;&lt;RecNum&gt;26&lt;/RecNum&gt;&lt;DisplayText&gt;(18)&lt;/DisplayText&gt;&lt;record&gt;&lt;rec-number&gt;26&lt;/rec-number&gt;&lt;foreign-keys&gt;&lt;key app="EN" db-id="0eprwd9r99dr2nefav5vwvtge0axsza5fs0z" timestamp="1474644440"&gt;26&lt;/key&gt;&lt;/foreign-keys&gt;&lt;ref-type name="Web Page"&gt;12&lt;/ref-type&gt;&lt;contributors&gt;&lt;authors&gt;&lt;author&gt;NHS 111 Programme Team,&lt;/author&gt;&lt;/authors&gt;&lt;/contributors&gt;&lt;titles&gt;&lt;title&gt;NHS 111 Minimum Data Set – Providers version&lt;/title&gt;&lt;/titles&gt;&lt;number&gt;23/09/2016&lt;/number&gt;&lt;dates&gt;&lt;year&gt;October 2012&lt;/year&gt;&lt;/dates&gt;&lt;urls&gt;&lt;related-urls&gt;&lt;url&gt;https://www.england.nhs.uk/statistics/wp-content/uploads/sites/2/2015/04/NHS-111-Minimum-Dataset-Providers-v0-9.doc&lt;/url&gt;&lt;/related-urls&gt;&lt;/urls&gt;&lt;/record&gt;&lt;/Cite&gt;&lt;/EndNote&gt;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(18)</w:t>
      </w:r>
      <w:r w:rsidR="00077D32" w:rsidRPr="00086743">
        <w:rPr>
          <w:rFonts w:ascii="Cambria" w:hAnsi="Cambria" w:cstheme="majorBidi"/>
        </w:rPr>
        <w:fldChar w:fldCharType="end"/>
      </w:r>
      <w:r w:rsidRPr="00086743">
        <w:rPr>
          <w:rFonts w:ascii="Cambria" w:hAnsi="Cambria" w:cstheme="majorBidi"/>
        </w:rPr>
        <w:t xml:space="preserve"> lists two items indicating conformance with National Quality Standard 8 for delivery of Out-Of-Hours Services (</w:t>
      </w:r>
      <w:r w:rsidR="007848DB" w:rsidRPr="00086743">
        <w:rPr>
          <w:rFonts w:ascii="Cambria" w:hAnsi="Cambria" w:cstheme="majorBidi"/>
        </w:rPr>
        <w:t>to minim</w:t>
      </w:r>
      <w:r w:rsidR="00C97BBA" w:rsidRPr="00086743">
        <w:rPr>
          <w:rFonts w:ascii="Cambria" w:hAnsi="Cambria" w:cstheme="majorBidi"/>
        </w:rPr>
        <w:t>is</w:t>
      </w:r>
      <w:r w:rsidR="007848DB" w:rsidRPr="00086743">
        <w:rPr>
          <w:rFonts w:ascii="Cambria" w:hAnsi="Cambria" w:cstheme="majorBidi"/>
        </w:rPr>
        <w:t xml:space="preserve">e the </w:t>
      </w:r>
      <w:r w:rsidRPr="00086743">
        <w:rPr>
          <w:rFonts w:ascii="Cambria" w:hAnsi="Cambria" w:cstheme="majorBidi"/>
        </w:rPr>
        <w:t xml:space="preserve">number of abandoned calls and </w:t>
      </w:r>
      <w:r w:rsidR="007848DB" w:rsidRPr="00086743">
        <w:rPr>
          <w:rFonts w:ascii="Cambria" w:hAnsi="Cambria" w:cstheme="majorBidi"/>
        </w:rPr>
        <w:t xml:space="preserve">to ensure </w:t>
      </w:r>
      <w:r w:rsidRPr="00086743">
        <w:rPr>
          <w:rFonts w:ascii="Cambria" w:hAnsi="Cambria" w:cstheme="majorBidi"/>
        </w:rPr>
        <w:t xml:space="preserve">calls </w:t>
      </w:r>
      <w:r w:rsidR="007848DB" w:rsidRPr="00086743">
        <w:rPr>
          <w:rFonts w:ascii="Cambria" w:hAnsi="Cambria" w:cstheme="majorBidi"/>
        </w:rPr>
        <w:t xml:space="preserve">are </w:t>
      </w:r>
      <w:r w:rsidRPr="00086743">
        <w:rPr>
          <w:rFonts w:ascii="Cambria" w:hAnsi="Cambria" w:cstheme="majorBidi"/>
        </w:rPr>
        <w:t xml:space="preserve">answered within 60 seconds). </w:t>
      </w:r>
      <w:r w:rsidR="00B7579B">
        <w:fldChar w:fldCharType="begin"/>
      </w:r>
      <w:r w:rsidR="00B7579B">
        <w:instrText xml:space="preserve"> REF _Ref464215275 \h  \* MERGEFORMAT </w:instrText>
      </w:r>
      <w:r w:rsidR="00B7579B">
        <w:fldChar w:fldCharType="separate"/>
      </w:r>
      <w:r w:rsidR="00093FB8" w:rsidRPr="00086743">
        <w:rPr>
          <w:rFonts w:ascii="Cambria" w:hAnsi="Cambria"/>
        </w:rPr>
        <w:t>Table 1</w:t>
      </w:r>
      <w:r w:rsidR="00B7579B">
        <w:fldChar w:fldCharType="end"/>
      </w:r>
      <w:r w:rsidR="00D04EF7" w:rsidRPr="00086743">
        <w:rPr>
          <w:rFonts w:ascii="Cambria" w:hAnsi="Cambria" w:cstheme="majorBidi"/>
        </w:rPr>
        <w:t xml:space="preserve"> indicates that both these standards have been missed in at least one p</w:t>
      </w:r>
      <w:r w:rsidR="007848DB" w:rsidRPr="00086743">
        <w:rPr>
          <w:rFonts w:ascii="Cambria" w:hAnsi="Cambria" w:cstheme="majorBidi"/>
        </w:rPr>
        <w:t xml:space="preserve">eriod since the </w:t>
      </w:r>
      <w:r w:rsidR="00902A76" w:rsidRPr="00086743">
        <w:rPr>
          <w:rFonts w:ascii="Cambria" w:hAnsi="Cambria" w:cstheme="majorBidi"/>
        </w:rPr>
        <w:t xml:space="preserve">official </w:t>
      </w:r>
      <w:r w:rsidR="007848DB" w:rsidRPr="00086743">
        <w:rPr>
          <w:rFonts w:ascii="Cambria" w:hAnsi="Cambria" w:cstheme="majorBidi"/>
        </w:rPr>
        <w:t xml:space="preserve">launch. </w:t>
      </w:r>
      <w:r w:rsidR="00D04EF7" w:rsidRPr="00086743">
        <w:rPr>
          <w:rFonts w:ascii="Cambria" w:hAnsi="Cambria" w:cstheme="majorBidi"/>
        </w:rPr>
        <w:t>The benchmark that 95% of calls should be answered within 60 seconds</w:t>
      </w:r>
      <w:r w:rsidR="00F51612" w:rsidRPr="00086743">
        <w:rPr>
          <w:rFonts w:ascii="Cambria" w:hAnsi="Cambria" w:cstheme="majorBidi"/>
        </w:rPr>
        <w:t xml:space="preserve"> (adopted in MDS statistical reports) has rarely been met, while the maximum of 5% of calls being abandoned</w:t>
      </w:r>
      <w:r w:rsidR="00E53919" w:rsidRPr="00086743">
        <w:rPr>
          <w:rFonts w:ascii="Cambria" w:hAnsi="Cambria" w:cstheme="majorBidi"/>
        </w:rPr>
        <w:t xml:space="preserve"> by the caller</w:t>
      </w:r>
      <w:r w:rsidR="00F51612" w:rsidRPr="00086743">
        <w:rPr>
          <w:rFonts w:ascii="Cambria" w:hAnsi="Cambria" w:cstheme="majorBidi"/>
        </w:rPr>
        <w:t xml:space="preserve"> was breached during Quarter 4 of 2015/16. The service appears to be operating under particular pressure from Quarter 3 2015/16 forward – in terms of all unanswered calls, answering calls within 60 seconds and abandoned calls (see </w:t>
      </w:r>
      <w:r w:rsidR="00F51612" w:rsidRPr="00083B0F">
        <w:rPr>
          <w:rFonts w:ascii="Cambria" w:hAnsi="Cambria" w:cstheme="majorBidi"/>
          <w:highlight w:val="yellow"/>
        </w:rPr>
        <w:t xml:space="preserve">supplementary figure </w:t>
      </w:r>
      <w:r w:rsidR="00083B0F" w:rsidRPr="00083B0F">
        <w:rPr>
          <w:rFonts w:ascii="Cambria" w:hAnsi="Cambria" w:cstheme="majorBidi"/>
          <w:highlight w:val="yellow"/>
        </w:rPr>
        <w:t xml:space="preserve">2 </w:t>
      </w:r>
      <w:r w:rsidR="00F51612" w:rsidRPr="00083B0F">
        <w:rPr>
          <w:rFonts w:ascii="Cambria" w:hAnsi="Cambria" w:cstheme="majorBidi"/>
          <w:highlight w:val="yellow"/>
        </w:rPr>
        <w:t>for</w:t>
      </w:r>
      <w:bookmarkStart w:id="1" w:name="_GoBack"/>
      <w:bookmarkEnd w:id="1"/>
      <w:r w:rsidR="00F51612" w:rsidRPr="00086743">
        <w:rPr>
          <w:rFonts w:ascii="Cambria" w:hAnsi="Cambria" w:cstheme="majorBidi"/>
        </w:rPr>
        <w:t xml:space="preserve"> full details).</w:t>
      </w:r>
    </w:p>
    <w:p w:rsidR="005E5297" w:rsidRPr="00086743" w:rsidRDefault="00902A76" w:rsidP="00681477">
      <w:pPr>
        <w:spacing w:before="240" w:line="360" w:lineRule="auto"/>
        <w:rPr>
          <w:rFonts w:ascii="Cambria" w:hAnsi="Cambria" w:cstheme="majorBidi"/>
          <w:b/>
          <w:bCs/>
        </w:rPr>
      </w:pPr>
      <w:r w:rsidRPr="00086743">
        <w:rPr>
          <w:rFonts w:ascii="Cambria" w:hAnsi="Cambria" w:cstheme="majorBidi"/>
        </w:rPr>
        <w:t xml:space="preserve">Our observational work suggested that staff worked hard to try to meet performance targets but that this was not always possible: </w:t>
      </w:r>
      <w:r w:rsidRPr="00086743">
        <w:rPr>
          <w:rFonts w:ascii="Cambria" w:hAnsi="Cambria" w:cstheme="majorBidi"/>
          <w:b/>
          <w:bCs/>
        </w:rPr>
        <w:t xml:space="preserve"> </w:t>
      </w:r>
    </w:p>
    <w:p w:rsidR="002C0119" w:rsidRPr="00086743" w:rsidRDefault="00902A76" w:rsidP="00681477">
      <w:pPr>
        <w:pStyle w:val="CommentText"/>
        <w:spacing w:line="360" w:lineRule="auto"/>
        <w:rPr>
          <w:rFonts w:ascii="Cambria" w:hAnsi="Cambria" w:cs="Calibri"/>
          <w:i/>
          <w:iCs/>
          <w:sz w:val="22"/>
          <w:szCs w:val="22"/>
        </w:rPr>
      </w:pPr>
      <w:r w:rsidRPr="00086743">
        <w:rPr>
          <w:rFonts w:ascii="Cambria" w:hAnsi="Cambria" w:cs="Calibri"/>
          <w:i/>
          <w:iCs/>
          <w:sz w:val="22"/>
          <w:szCs w:val="22"/>
        </w:rPr>
        <w:t>The dispatcher is controlling the cars for home visits</w:t>
      </w:r>
      <w:r w:rsidR="002C0119" w:rsidRPr="00086743">
        <w:rPr>
          <w:rFonts w:ascii="Cambria" w:hAnsi="Cambria" w:cs="Calibri"/>
          <w:i/>
          <w:iCs/>
          <w:sz w:val="22"/>
          <w:szCs w:val="22"/>
        </w:rPr>
        <w:t xml:space="preserve">. </w:t>
      </w:r>
      <w:r w:rsidRPr="00086743">
        <w:rPr>
          <w:rFonts w:ascii="Cambria" w:hAnsi="Cambria" w:cs="Calibri"/>
          <w:i/>
          <w:iCs/>
          <w:sz w:val="22"/>
          <w:szCs w:val="22"/>
        </w:rPr>
        <w:t>She has to</w:t>
      </w:r>
      <w:r w:rsidR="002C0119" w:rsidRPr="00086743">
        <w:rPr>
          <w:rFonts w:ascii="Cambria" w:hAnsi="Cambria" w:cs="Calibri"/>
          <w:i/>
          <w:iCs/>
          <w:sz w:val="22"/>
          <w:szCs w:val="22"/>
        </w:rPr>
        <w:t xml:space="preserve"> decide </w:t>
      </w:r>
      <w:r w:rsidRPr="00086743">
        <w:rPr>
          <w:rFonts w:ascii="Cambria" w:hAnsi="Cambria" w:cs="Calibri"/>
          <w:i/>
          <w:iCs/>
          <w:sz w:val="22"/>
          <w:szCs w:val="22"/>
        </w:rPr>
        <w:t>how urgent the call is to decide who to send where, also keeping an eye on target times according to category. If it gets close to the target and the patient hasn’t been seen she gets the clinical lead to give them a ‘comfort call’. If it becomes clear that they can’t hit targets she will look again at the urgent</w:t>
      </w:r>
      <w:r w:rsidR="002C0119" w:rsidRPr="00086743">
        <w:rPr>
          <w:rFonts w:ascii="Cambria" w:hAnsi="Cambria" w:cs="Calibri"/>
          <w:i/>
          <w:iCs/>
          <w:sz w:val="22"/>
          <w:szCs w:val="22"/>
        </w:rPr>
        <w:t xml:space="preserve"> call</w:t>
      </w:r>
      <w:r w:rsidRPr="00086743">
        <w:rPr>
          <w:rFonts w:ascii="Cambria" w:hAnsi="Cambria" w:cs="Calibri"/>
          <w:i/>
          <w:iCs/>
          <w:sz w:val="22"/>
          <w:szCs w:val="22"/>
        </w:rPr>
        <w:t xml:space="preserve">s and see </w:t>
      </w:r>
      <w:r w:rsidR="002C0119" w:rsidRPr="00086743">
        <w:rPr>
          <w:rFonts w:ascii="Cambria" w:hAnsi="Cambria" w:cs="Calibri"/>
          <w:i/>
          <w:iCs/>
          <w:sz w:val="22"/>
          <w:szCs w:val="22"/>
        </w:rPr>
        <w:t>if it looks like any can be reg</w:t>
      </w:r>
      <w:r w:rsidRPr="00086743">
        <w:rPr>
          <w:rFonts w:ascii="Cambria" w:hAnsi="Cambria" w:cs="Calibri"/>
          <w:i/>
          <w:iCs/>
          <w:sz w:val="22"/>
          <w:szCs w:val="22"/>
        </w:rPr>
        <w:t>r</w:t>
      </w:r>
      <w:r w:rsidR="002C0119" w:rsidRPr="00086743">
        <w:rPr>
          <w:rFonts w:ascii="Cambria" w:hAnsi="Cambria" w:cs="Calibri"/>
          <w:i/>
          <w:iCs/>
          <w:sz w:val="22"/>
          <w:szCs w:val="22"/>
        </w:rPr>
        <w:t>a</w:t>
      </w:r>
      <w:r w:rsidRPr="00086743">
        <w:rPr>
          <w:rFonts w:ascii="Cambria" w:hAnsi="Cambria" w:cs="Calibri"/>
          <w:i/>
          <w:iCs/>
          <w:sz w:val="22"/>
          <w:szCs w:val="22"/>
        </w:rPr>
        <w:t xml:space="preserve">ded. In fact, she says, she reviews all </w:t>
      </w:r>
      <w:r w:rsidR="0054624B" w:rsidRPr="00086743">
        <w:rPr>
          <w:rFonts w:ascii="Cambria" w:hAnsi="Cambria" w:cs="Calibri"/>
          <w:i/>
          <w:iCs/>
          <w:sz w:val="22"/>
          <w:szCs w:val="22"/>
        </w:rPr>
        <w:t>‘</w:t>
      </w:r>
      <w:r w:rsidRPr="00086743">
        <w:rPr>
          <w:rFonts w:ascii="Cambria" w:hAnsi="Cambria" w:cs="Calibri"/>
          <w:i/>
          <w:iCs/>
          <w:sz w:val="22"/>
          <w:szCs w:val="22"/>
        </w:rPr>
        <w:t>urgents</w:t>
      </w:r>
      <w:r w:rsidR="0054624B" w:rsidRPr="00086743">
        <w:rPr>
          <w:rFonts w:ascii="Cambria" w:hAnsi="Cambria" w:cs="Calibri"/>
          <w:i/>
          <w:iCs/>
          <w:sz w:val="22"/>
          <w:szCs w:val="22"/>
        </w:rPr>
        <w:t>’</w:t>
      </w:r>
      <w:r w:rsidRPr="00086743">
        <w:rPr>
          <w:rFonts w:ascii="Cambria" w:hAnsi="Cambria" w:cs="Calibri"/>
          <w:i/>
          <w:iCs/>
          <w:sz w:val="22"/>
          <w:szCs w:val="22"/>
        </w:rPr>
        <w:t xml:space="preserve"> that come direct from </w:t>
      </w:r>
      <w:r w:rsidR="002C0119" w:rsidRPr="00086743">
        <w:rPr>
          <w:rFonts w:ascii="Cambria" w:hAnsi="Cambria" w:cs="Calibri"/>
          <w:i/>
          <w:iCs/>
          <w:sz w:val="22"/>
          <w:szCs w:val="22"/>
        </w:rPr>
        <w:t xml:space="preserve">call handlers </w:t>
      </w:r>
      <w:r w:rsidRPr="00086743">
        <w:rPr>
          <w:rFonts w:ascii="Cambria" w:hAnsi="Cambria" w:cs="Calibri"/>
          <w:i/>
          <w:iCs/>
          <w:sz w:val="22"/>
          <w:szCs w:val="22"/>
        </w:rPr>
        <w:t>and asks the clinic</w:t>
      </w:r>
      <w:r w:rsidR="002C0119" w:rsidRPr="00086743">
        <w:rPr>
          <w:rFonts w:ascii="Cambria" w:hAnsi="Cambria" w:cs="Calibri"/>
          <w:i/>
          <w:iCs/>
          <w:sz w:val="22"/>
          <w:szCs w:val="22"/>
        </w:rPr>
        <w:t>ian</w:t>
      </w:r>
      <w:r w:rsidRPr="00086743">
        <w:rPr>
          <w:rFonts w:ascii="Cambria" w:hAnsi="Cambria" w:cs="Calibri"/>
          <w:i/>
          <w:iCs/>
          <w:sz w:val="22"/>
          <w:szCs w:val="22"/>
        </w:rPr>
        <w:t xml:space="preserve"> to take another look. </w:t>
      </w:r>
      <w:r w:rsidR="002C0119" w:rsidRPr="00086743">
        <w:rPr>
          <w:rFonts w:ascii="Cambria" w:hAnsi="Cambria" w:cs="Calibri"/>
          <w:i/>
          <w:iCs/>
          <w:sz w:val="22"/>
          <w:szCs w:val="22"/>
        </w:rPr>
        <w:t>I ask “</w:t>
      </w:r>
      <w:r w:rsidRPr="00086743">
        <w:rPr>
          <w:rFonts w:ascii="Cambria" w:hAnsi="Cambria" w:cs="Calibri"/>
          <w:i/>
          <w:iCs/>
          <w:sz w:val="22"/>
          <w:szCs w:val="22"/>
        </w:rPr>
        <w:t>Do they ever run out of cars?</w:t>
      </w:r>
      <w:r w:rsidR="002C0119" w:rsidRPr="00086743">
        <w:rPr>
          <w:rFonts w:ascii="Cambria" w:hAnsi="Cambria" w:cs="Calibri"/>
          <w:i/>
          <w:iCs/>
          <w:sz w:val="22"/>
          <w:szCs w:val="22"/>
        </w:rPr>
        <w:t>”  “</w:t>
      </w:r>
      <w:r w:rsidRPr="00086743">
        <w:rPr>
          <w:rFonts w:ascii="Cambria" w:hAnsi="Cambria" w:cs="Calibri"/>
          <w:i/>
          <w:iCs/>
          <w:sz w:val="22"/>
          <w:szCs w:val="22"/>
        </w:rPr>
        <w:t xml:space="preserve"> Yes, all the time. We have to renegotiate. We use the clinical lead a lot</w:t>
      </w:r>
      <w:r w:rsidR="002C0119" w:rsidRPr="00086743">
        <w:rPr>
          <w:rFonts w:ascii="Cambria" w:hAnsi="Cambria" w:cs="Calibri"/>
          <w:i/>
          <w:iCs/>
          <w:sz w:val="22"/>
          <w:szCs w:val="22"/>
        </w:rPr>
        <w:t>”</w:t>
      </w:r>
      <w:r w:rsidRPr="00086743">
        <w:rPr>
          <w:rFonts w:ascii="Cambria" w:hAnsi="Cambria" w:cs="Calibri"/>
          <w:i/>
          <w:iCs/>
          <w:sz w:val="22"/>
          <w:szCs w:val="22"/>
        </w:rPr>
        <w:t xml:space="preserve">. </w:t>
      </w:r>
    </w:p>
    <w:p w:rsidR="00902A76" w:rsidRPr="00086743" w:rsidRDefault="002C0119" w:rsidP="00681477">
      <w:pPr>
        <w:pStyle w:val="CommentText"/>
        <w:spacing w:line="360" w:lineRule="auto"/>
        <w:rPr>
          <w:rFonts w:ascii="Cambria" w:hAnsi="Cambria"/>
          <w:i/>
          <w:iCs/>
          <w:sz w:val="22"/>
          <w:szCs w:val="22"/>
        </w:rPr>
      </w:pPr>
      <w:r w:rsidRPr="00086743">
        <w:rPr>
          <w:rFonts w:ascii="Cambria" w:hAnsi="Cambria" w:cs="Calibri"/>
          <w:i/>
          <w:iCs/>
          <w:sz w:val="22"/>
          <w:szCs w:val="22"/>
        </w:rPr>
        <w:t xml:space="preserve">111 </w:t>
      </w:r>
      <w:r w:rsidR="00902A76" w:rsidRPr="00086743">
        <w:rPr>
          <w:rFonts w:ascii="Cambria" w:hAnsi="Cambria" w:cs="Calibri"/>
          <w:i/>
          <w:iCs/>
          <w:sz w:val="22"/>
          <w:szCs w:val="22"/>
        </w:rPr>
        <w:t xml:space="preserve">Site 4, </w:t>
      </w:r>
      <w:r w:rsidRPr="00086743">
        <w:rPr>
          <w:rFonts w:ascii="Cambria" w:hAnsi="Cambria" w:cs="Calibri"/>
          <w:i/>
          <w:iCs/>
          <w:sz w:val="22"/>
          <w:szCs w:val="22"/>
        </w:rPr>
        <w:t>Observation</w:t>
      </w:r>
    </w:p>
    <w:p w:rsidR="005D1131" w:rsidRPr="00086743" w:rsidRDefault="005D1131" w:rsidP="00681477">
      <w:pPr>
        <w:spacing w:before="240" w:line="360" w:lineRule="auto"/>
        <w:rPr>
          <w:rFonts w:ascii="Cambria" w:hAnsi="Cambria" w:cstheme="majorBidi"/>
          <w:b/>
          <w:bCs/>
        </w:rPr>
      </w:pPr>
    </w:p>
    <w:p w:rsidR="00C50896" w:rsidRPr="00086743" w:rsidRDefault="00630E51" w:rsidP="00681477">
      <w:pPr>
        <w:spacing w:before="240" w:line="360" w:lineRule="auto"/>
        <w:rPr>
          <w:rFonts w:ascii="Cambria" w:hAnsi="Cambria" w:cstheme="majorBidi"/>
          <w:b/>
          <w:bCs/>
        </w:rPr>
      </w:pPr>
      <w:r w:rsidRPr="00086743">
        <w:rPr>
          <w:rFonts w:ascii="Cambria" w:hAnsi="Cambria" w:cstheme="majorBidi"/>
          <w:b/>
          <w:bCs/>
        </w:rPr>
        <w:lastRenderedPageBreak/>
        <w:t xml:space="preserve">Satisfaction </w:t>
      </w:r>
    </w:p>
    <w:p w:rsidR="00F554F3" w:rsidRPr="00086743" w:rsidRDefault="003A6F54" w:rsidP="00681477">
      <w:pPr>
        <w:spacing w:before="240" w:line="360" w:lineRule="auto"/>
        <w:rPr>
          <w:rFonts w:ascii="Cambria" w:hAnsi="Cambria" w:cstheme="majorBidi"/>
        </w:rPr>
      </w:pPr>
      <w:r w:rsidRPr="00086743">
        <w:rPr>
          <w:rFonts w:ascii="Cambria" w:hAnsi="Cambria" w:cstheme="majorBidi"/>
        </w:rPr>
        <w:t xml:space="preserve">Patients and callers seem </w:t>
      </w:r>
      <w:r w:rsidR="002E2332" w:rsidRPr="00086743">
        <w:rPr>
          <w:rFonts w:ascii="Cambria" w:hAnsi="Cambria" w:cstheme="majorBidi"/>
        </w:rPr>
        <w:t xml:space="preserve">largely satisfied with the </w:t>
      </w:r>
      <w:r w:rsidRPr="00086743">
        <w:rPr>
          <w:rFonts w:ascii="Cambria" w:hAnsi="Cambria" w:cstheme="majorBidi"/>
        </w:rPr>
        <w:t xml:space="preserve">service. </w:t>
      </w:r>
      <w:r w:rsidR="005E5297" w:rsidRPr="00086743">
        <w:rPr>
          <w:rFonts w:ascii="Cambria" w:hAnsi="Cambria" w:cstheme="majorBidi"/>
        </w:rPr>
        <w:t>The</w:t>
      </w:r>
      <w:r w:rsidR="00711DCB" w:rsidRPr="00086743">
        <w:rPr>
          <w:rFonts w:ascii="Cambria" w:hAnsi="Cambria" w:cstheme="majorBidi"/>
        </w:rPr>
        <w:t xml:space="preserve"> evaluation of the pilot </w:t>
      </w:r>
      <w:r w:rsidR="00443047" w:rsidRPr="00086743">
        <w:rPr>
          <w:rFonts w:ascii="Cambria" w:hAnsi="Cambria" w:cstheme="majorBidi"/>
        </w:rPr>
        <w:t xml:space="preserve">sites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ExcludeYear="1"&gt;&lt;Author&gt;Turner&lt;/Author&gt;&lt;Year&gt;2012&lt;/Year&gt;&lt;RecNum&gt;30&lt;/RecNum&gt;&lt;DisplayText&gt;(8)&lt;/DisplayText&gt;&lt;record&gt;&lt;rec-number&gt;30&lt;/rec-number&gt;&lt;foreign-keys&gt;&lt;key app="EN" db-id="0eprwd9r99dr2nefav5vwvtge0axsza5fs0z" timestamp="1488233964"&gt;30&lt;/key&gt;&lt;/foreign-keys&gt;&lt;ref-type name="Report"&gt;27&lt;/ref-type&gt;&lt;contributors&gt;&lt;authors&gt;&lt;author&gt;Turner, J&lt;/author&gt;&lt;author&gt;O’Cathain, A&lt;/author&gt;&lt;author&gt;Knowles, E&lt;/author&gt;&lt;author&gt;Nicholl, J&lt;/author&gt;&lt;author&gt;Tosh, J&lt;/author&gt;&lt;author&gt;Sampson, F&lt;/author&gt;&lt;author&gt;Coleman, P&lt;/author&gt;&lt;author&gt;Coster, J&lt;/author&gt;&lt;/authors&gt;&lt;/contributors&gt;&lt;titles&gt;&lt;title&gt;Evaluation of NHS 111 Pilot sites. Final Report to the Department of Health&lt;/title&gt;&lt;/titles&gt;&lt;dates&gt;&lt;year&gt;2012&lt;/year&gt;&lt;/dates&gt;&lt;pub-location&gt;Medical Care Research Unit&lt;/pub-location&gt;&lt;publisher&gt;University of Sheffield&lt;/publisher&gt;&lt;urls&gt;&lt;related-urls&gt;&lt;url&gt;http://www.shef.ac.uk/polopoly_fs/1.227404!/file/NHS_111_final_report_August_2012.pdf&lt;/url&gt;&lt;/related-urls&gt;&lt;/urls&gt;&lt;/record&gt;&lt;/Cite&gt;&lt;/EndNote&gt;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(8)</w:t>
      </w:r>
      <w:r w:rsidR="00077D32" w:rsidRPr="00086743">
        <w:rPr>
          <w:rFonts w:ascii="Cambria" w:hAnsi="Cambria" w:cstheme="majorBidi"/>
        </w:rPr>
        <w:fldChar w:fldCharType="end"/>
      </w:r>
      <w:r w:rsidR="00711DCB" w:rsidRPr="00086743">
        <w:rPr>
          <w:rFonts w:ascii="Cambria" w:hAnsi="Cambria" w:cstheme="majorBidi"/>
        </w:rPr>
        <w:t xml:space="preserve"> reported that o</w:t>
      </w:r>
      <w:r w:rsidR="00443047" w:rsidRPr="00086743">
        <w:rPr>
          <w:rFonts w:ascii="Cambria" w:hAnsi="Cambria" w:cstheme="majorBidi"/>
        </w:rPr>
        <w:t>verall satisfaction was very good, with 73% (1255/1726) of</w:t>
      </w:r>
      <w:r w:rsidR="00711DCB" w:rsidRPr="00086743">
        <w:rPr>
          <w:rFonts w:ascii="Cambria" w:hAnsi="Cambria" w:cstheme="majorBidi"/>
        </w:rPr>
        <w:t xml:space="preserve"> survey</w:t>
      </w:r>
      <w:r w:rsidR="00443047" w:rsidRPr="00086743">
        <w:rPr>
          <w:rFonts w:ascii="Cambria" w:hAnsi="Cambria" w:cstheme="majorBidi"/>
        </w:rPr>
        <w:t xml:space="preserve"> respondents reporting that they were very satisfied</w:t>
      </w:r>
      <w:r w:rsidR="00711DCB" w:rsidRPr="00086743">
        <w:rPr>
          <w:rFonts w:ascii="Cambria" w:hAnsi="Cambria" w:cstheme="majorBidi"/>
        </w:rPr>
        <w:t xml:space="preserve"> with the new service.  A </w:t>
      </w:r>
      <w:r w:rsidR="005E5297" w:rsidRPr="00086743">
        <w:rPr>
          <w:rFonts w:ascii="Cambria" w:hAnsi="Cambria" w:cstheme="majorBidi"/>
        </w:rPr>
        <w:t xml:space="preserve">more </w:t>
      </w:r>
      <w:r w:rsidR="00711DCB" w:rsidRPr="00086743">
        <w:rPr>
          <w:rFonts w:ascii="Cambria" w:hAnsi="Cambria" w:cstheme="majorBidi"/>
        </w:rPr>
        <w:t xml:space="preserve">recent review led by the </w:t>
      </w:r>
      <w:r w:rsidR="00711DCB" w:rsidRPr="00086743">
        <w:rPr>
          <w:rFonts w:ascii="Cambria" w:hAnsi="Cambria" w:cstheme="majorBidi"/>
          <w:color w:val="242424"/>
          <w:lang w:val="en-US"/>
        </w:rPr>
        <w:t xml:space="preserve">Royal College of Paediatrics and Child Health which looked at 111 services in North West London found that 84% of people calling the helpline ‘got what they needed’ </w:t>
      </w:r>
      <w:r w:rsidRPr="00086743">
        <w:rPr>
          <w:rFonts w:ascii="Cambria" w:hAnsi="Cambria" w:cstheme="majorBidi"/>
          <w:color w:val="242424"/>
          <w:lang w:val="en-US"/>
        </w:rPr>
        <w:t>while 80% said they would call NHS 111 aga</w:t>
      </w:r>
      <w:r w:rsidR="0011738D" w:rsidRPr="00086743">
        <w:rPr>
          <w:rFonts w:ascii="Cambria" w:hAnsi="Cambria" w:cstheme="majorBidi"/>
          <w:color w:val="242424"/>
          <w:lang w:val="en-US"/>
        </w:rPr>
        <w:t>in if they had the same problem.</w:t>
      </w:r>
      <w:r w:rsidR="00077D32" w:rsidRPr="00086743">
        <w:rPr>
          <w:rFonts w:ascii="Cambria" w:hAnsi="Cambria" w:cstheme="majorBidi"/>
          <w:color w:val="242424"/>
          <w:lang w:val="en-US"/>
        </w:rPr>
        <w:fldChar w:fldCharType="begin"/>
      </w:r>
      <w:r w:rsidR="00170111" w:rsidRPr="00086743">
        <w:rPr>
          <w:rFonts w:ascii="Cambria" w:hAnsi="Cambria" w:cstheme="majorBidi"/>
          <w:color w:val="242424"/>
          <w:lang w:val="en-US"/>
        </w:rPr>
        <w:instrText xml:space="preserve"> ADDIN EN.CITE &lt;EndNote&gt;&lt;Cite ExcludeAuth="1" ExcludeYear="1"&gt;&lt;Author&gt;NHS England&lt;/Author&gt;&lt;Year&gt;1 December 2015&lt;/Year&gt;&lt;RecNum&gt;23&lt;/RecNum&gt;&lt;DisplayText&gt;(19)&lt;/DisplayText&gt;&lt;record&gt;&lt;rec-number&gt;23&lt;/rec-number&gt;&lt;foreign-keys&gt;&lt;key app="EN" db-id="0eprwd9r99dr2nefav5vwvtge0axsza5fs0z" timestamp="1474644013"&gt;23&lt;/key&gt;&lt;/foreign-keys&gt;&lt;ref-type name="Web Page"&gt;12&lt;/ref-type&gt;&lt;contributors&gt;&lt;authors&gt;&lt;author&gt;NHS England,&lt;/author&gt;&lt;/authors&gt;&lt;/contributors&gt;&lt;titles&gt;&lt;title&gt;NHS 111 survey reveals callers pleased with the service.&lt;/title&gt;&lt;/titles&gt;&lt;dates&gt;&lt;year&gt;1 December 2015&lt;/year&gt;&lt;/dates&gt;&lt;urls&gt;&lt;related-urls&gt;&lt;url&gt;https://www.england.nhs.uk/2015/12/nhs-111-survey/&lt;/url&gt;&lt;/related-urls&gt;&lt;/urls&gt;&lt;/record&gt;&lt;/Cite&gt;&lt;/EndNote&gt;</w:instrText>
      </w:r>
      <w:r w:rsidR="00077D32" w:rsidRPr="00086743">
        <w:rPr>
          <w:rFonts w:ascii="Cambria" w:hAnsi="Cambria" w:cstheme="majorBidi"/>
          <w:color w:val="242424"/>
          <w:lang w:val="en-US"/>
        </w:rPr>
        <w:fldChar w:fldCharType="separate"/>
      </w:r>
      <w:r w:rsidR="00170111" w:rsidRPr="00086743">
        <w:rPr>
          <w:rFonts w:ascii="Cambria" w:hAnsi="Cambria" w:cstheme="majorBidi"/>
          <w:noProof/>
          <w:color w:val="242424"/>
          <w:lang w:val="en-US"/>
        </w:rPr>
        <w:t>(19)</w:t>
      </w:r>
      <w:r w:rsidR="00077D32" w:rsidRPr="00086743">
        <w:rPr>
          <w:rFonts w:ascii="Cambria" w:hAnsi="Cambria" w:cstheme="majorBidi"/>
          <w:color w:val="242424"/>
          <w:lang w:val="en-US"/>
        </w:rPr>
        <w:fldChar w:fldCharType="end"/>
      </w:r>
      <w:r w:rsidR="00711DCB" w:rsidRPr="00086743">
        <w:rPr>
          <w:rFonts w:ascii="Cambria" w:hAnsi="Cambria" w:cstheme="majorBidi"/>
          <w:color w:val="242424"/>
          <w:lang w:val="en-US"/>
        </w:rPr>
        <w:t xml:space="preserve"> </w:t>
      </w:r>
      <w:r w:rsidR="005E5297" w:rsidRPr="00086743">
        <w:rPr>
          <w:rFonts w:ascii="Cambria" w:hAnsi="Cambria" w:cstheme="majorBidi"/>
          <w:color w:val="242424"/>
          <w:lang w:val="en-US"/>
        </w:rPr>
        <w:t xml:space="preserve">Analysis of the minimum data set </w:t>
      </w:r>
      <w:r w:rsidR="007B025E" w:rsidRPr="00086743">
        <w:rPr>
          <w:rFonts w:ascii="Cambria" w:hAnsi="Cambria" w:cstheme="majorBidi"/>
          <w:color w:val="242424"/>
          <w:lang w:val="en-US"/>
        </w:rPr>
        <w:t xml:space="preserve">indicates that </w:t>
      </w:r>
      <w:r w:rsidR="00ED7AFC" w:rsidRPr="00086743">
        <w:rPr>
          <w:rFonts w:ascii="Cambria" w:hAnsi="Cambria" w:cstheme="majorBidi"/>
        </w:rPr>
        <w:t>87%</w:t>
      </w:r>
      <w:r w:rsidR="002E2332" w:rsidRPr="00086743">
        <w:rPr>
          <w:rFonts w:ascii="Cambria" w:hAnsi="Cambria" w:cstheme="majorBidi"/>
        </w:rPr>
        <w:t xml:space="preserve"> </w:t>
      </w:r>
      <w:r w:rsidR="00F554F3" w:rsidRPr="00086743">
        <w:rPr>
          <w:rFonts w:ascii="Cambria" w:hAnsi="Cambria" w:cstheme="majorBidi"/>
        </w:rPr>
        <w:t>of patients are very or fairly satisfied with the service</w:t>
      </w:r>
      <w:r w:rsidR="00AA7553" w:rsidRPr="00086743">
        <w:rPr>
          <w:rFonts w:ascii="Cambria" w:hAnsi="Cambria" w:cstheme="majorBidi"/>
        </w:rPr>
        <w:t xml:space="preserve"> (see</w:t>
      </w:r>
      <w:r w:rsidR="005F255E" w:rsidRPr="00086743">
        <w:rPr>
          <w:rFonts w:ascii="Cambria" w:hAnsi="Cambria" w:cstheme="majorBidi"/>
        </w:rPr>
        <w:t xml:space="preserve"> </w:t>
      </w:r>
      <w:r w:rsidR="00B7579B">
        <w:fldChar w:fldCharType="begin"/>
      </w:r>
      <w:r w:rsidR="00B7579B">
        <w:instrText xml:space="preserve"> REF _Ref464215608 \h  \* MERGEFORMAT </w:instrText>
      </w:r>
      <w:r w:rsidR="00B7579B">
        <w:fldChar w:fldCharType="separate"/>
      </w:r>
      <w:r w:rsidR="00093FB8" w:rsidRPr="00086743">
        <w:rPr>
          <w:rFonts w:ascii="Cambria" w:hAnsi="Cambria"/>
        </w:rPr>
        <w:t>Table 2</w:t>
      </w:r>
      <w:r w:rsidR="00B7579B">
        <w:fldChar w:fldCharType="end"/>
      </w:r>
      <w:r w:rsidR="00AA7553" w:rsidRPr="00086743">
        <w:rPr>
          <w:rFonts w:ascii="Cambria" w:hAnsi="Cambria" w:cstheme="majorBidi"/>
        </w:rPr>
        <w:t>).</w:t>
      </w:r>
    </w:p>
    <w:p w:rsidR="00625C93" w:rsidRPr="00086743" w:rsidRDefault="00625C93" w:rsidP="00681477">
      <w:pPr>
        <w:pStyle w:val="Caption"/>
        <w:keepNext/>
        <w:spacing w:before="240"/>
        <w:rPr>
          <w:rFonts w:ascii="Cambria" w:hAnsi="Cambria"/>
          <w:sz w:val="22"/>
          <w:szCs w:val="22"/>
        </w:rPr>
      </w:pPr>
      <w:bookmarkStart w:id="2" w:name="_Ref464215608"/>
      <w:r w:rsidRPr="00086743">
        <w:rPr>
          <w:rFonts w:ascii="Cambria" w:hAnsi="Cambria"/>
          <w:sz w:val="22"/>
          <w:szCs w:val="22"/>
        </w:rPr>
        <w:t xml:space="preserve">Table </w:t>
      </w:r>
      <w:r w:rsidR="00077D32" w:rsidRPr="00086743">
        <w:rPr>
          <w:rFonts w:ascii="Cambria" w:hAnsi="Cambria"/>
          <w:sz w:val="22"/>
          <w:szCs w:val="22"/>
        </w:rPr>
        <w:fldChar w:fldCharType="begin"/>
      </w:r>
      <w:r w:rsidRPr="00086743">
        <w:rPr>
          <w:rFonts w:ascii="Cambria" w:hAnsi="Cambria"/>
          <w:sz w:val="22"/>
          <w:szCs w:val="22"/>
        </w:rPr>
        <w:instrText xml:space="preserve"> SEQ Table \* ARABIC </w:instrText>
      </w:r>
      <w:r w:rsidR="00077D32" w:rsidRPr="00086743">
        <w:rPr>
          <w:rFonts w:ascii="Cambria" w:hAnsi="Cambria"/>
          <w:sz w:val="22"/>
          <w:szCs w:val="22"/>
        </w:rPr>
        <w:fldChar w:fldCharType="separate"/>
      </w:r>
      <w:r w:rsidR="00093FB8" w:rsidRPr="00086743">
        <w:rPr>
          <w:rFonts w:ascii="Cambria" w:hAnsi="Cambria"/>
          <w:noProof/>
          <w:sz w:val="22"/>
          <w:szCs w:val="22"/>
        </w:rPr>
        <w:t>2</w:t>
      </w:r>
      <w:r w:rsidR="00077D32" w:rsidRPr="00086743">
        <w:rPr>
          <w:rFonts w:ascii="Cambria" w:hAnsi="Cambria"/>
          <w:sz w:val="22"/>
          <w:szCs w:val="22"/>
        </w:rPr>
        <w:fldChar w:fldCharType="end"/>
      </w:r>
      <w:bookmarkEnd w:id="2"/>
      <w:r w:rsidRPr="00086743">
        <w:rPr>
          <w:rFonts w:ascii="Cambria" w:hAnsi="Cambria"/>
          <w:sz w:val="22"/>
          <w:szCs w:val="22"/>
        </w:rPr>
        <w:t xml:space="preserve"> Caller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276"/>
        <w:gridCol w:w="1277"/>
        <w:gridCol w:w="1277"/>
        <w:gridCol w:w="1277"/>
        <w:gridCol w:w="1277"/>
      </w:tblGrid>
      <w:tr w:rsidR="00625C93" w:rsidRPr="00086743" w:rsidTr="00AD2160">
        <w:trPr>
          <w:trHeight w:val="300"/>
        </w:trPr>
        <w:tc>
          <w:tcPr>
            <w:tcW w:w="3242" w:type="dxa"/>
            <w:shd w:val="clear" w:color="auto" w:fill="auto"/>
            <w:noWrap/>
            <w:vAlign w:val="center"/>
          </w:tcPr>
          <w:p w:rsidR="00625C93" w:rsidRPr="00086743" w:rsidRDefault="00625C93" w:rsidP="00681477">
            <w:pPr>
              <w:spacing w:after="0" w:line="240" w:lineRule="auto"/>
              <w:rPr>
                <w:rFonts w:ascii="Cambria" w:eastAsia="Times New Roman" w:hAnsi="Cambria" w:cs="Arial"/>
                <w:b/>
                <w:bCs/>
                <w:lang w:eastAsia="zh-CN"/>
              </w:rPr>
            </w:pPr>
            <w:r w:rsidRPr="00086743">
              <w:rPr>
                <w:rFonts w:ascii="Cambria" w:eastAsia="Times New Roman" w:hAnsi="Cambria" w:cs="Arial"/>
                <w:b/>
                <w:bCs/>
                <w:lang w:eastAsia="zh-CN"/>
              </w:rPr>
              <w:t>Caller experience</w:t>
            </w:r>
          </w:p>
        </w:tc>
        <w:tc>
          <w:tcPr>
            <w:tcW w:w="1200" w:type="dxa"/>
            <w:shd w:val="clear" w:color="auto" w:fill="auto"/>
            <w:noWrap/>
            <w:vAlign w:val="center"/>
          </w:tcPr>
          <w:p w:rsidR="00625C93" w:rsidRPr="00086743" w:rsidRDefault="00625C93" w:rsidP="00681477">
            <w:pPr>
              <w:spacing w:after="0" w:line="240" w:lineRule="auto"/>
              <w:jc w:val="center"/>
              <w:rPr>
                <w:rFonts w:ascii="Cambria" w:hAnsi="Cambria" w:cs="Arial"/>
                <w:b/>
                <w:bCs/>
              </w:rPr>
            </w:pPr>
            <w:r w:rsidRPr="00086743">
              <w:rPr>
                <w:rFonts w:ascii="Cambria" w:hAnsi="Cambria" w:cs="Arial"/>
                <w:b/>
                <w:bCs/>
              </w:rPr>
              <w:t>Apr-Sep14</w:t>
            </w:r>
          </w:p>
          <w:p w:rsidR="00625C93" w:rsidRPr="00086743" w:rsidRDefault="00625C93" w:rsidP="00681477">
            <w:pPr>
              <w:spacing w:after="0" w:line="240" w:lineRule="auto"/>
              <w:jc w:val="center"/>
              <w:rPr>
                <w:rFonts w:ascii="Cambria" w:eastAsia="Times New Roman" w:hAnsi="Cambria" w:cs="Arial"/>
                <w:lang w:eastAsia="zh-CN"/>
              </w:rPr>
            </w:pPr>
            <w:r w:rsidRPr="00086743">
              <w:rPr>
                <w:rFonts w:ascii="Cambria" w:eastAsia="Times New Roman" w:hAnsi="Cambria" w:cs="Arial"/>
                <w:lang w:eastAsia="zh-CN"/>
              </w:rPr>
              <w:t>(n = 11,572)</w:t>
            </w:r>
          </w:p>
        </w:tc>
        <w:tc>
          <w:tcPr>
            <w:tcW w:w="1200" w:type="dxa"/>
            <w:shd w:val="clear" w:color="auto" w:fill="auto"/>
            <w:noWrap/>
            <w:vAlign w:val="center"/>
          </w:tcPr>
          <w:p w:rsidR="00625C93" w:rsidRPr="00086743" w:rsidRDefault="00625C93" w:rsidP="00681477">
            <w:pPr>
              <w:spacing w:after="0" w:line="240" w:lineRule="auto"/>
              <w:jc w:val="center"/>
              <w:rPr>
                <w:rFonts w:ascii="Cambria" w:hAnsi="Cambria" w:cs="Arial"/>
                <w:b/>
                <w:bCs/>
              </w:rPr>
            </w:pPr>
            <w:r w:rsidRPr="00086743">
              <w:rPr>
                <w:rFonts w:ascii="Cambria" w:hAnsi="Cambria" w:cs="Arial"/>
                <w:b/>
                <w:bCs/>
              </w:rPr>
              <w:t>Oct14-Mar15</w:t>
            </w:r>
          </w:p>
          <w:p w:rsidR="00625C93" w:rsidRPr="00086743" w:rsidRDefault="00625C93" w:rsidP="00681477">
            <w:pPr>
              <w:spacing w:after="0" w:line="240" w:lineRule="auto"/>
              <w:jc w:val="center"/>
              <w:rPr>
                <w:rFonts w:ascii="Cambria" w:eastAsia="Times New Roman" w:hAnsi="Cambria" w:cs="Arial"/>
                <w:b/>
                <w:bCs/>
                <w:lang w:eastAsia="zh-CN"/>
              </w:rPr>
            </w:pPr>
            <w:r w:rsidRPr="00086743">
              <w:rPr>
                <w:rFonts w:ascii="Cambria" w:eastAsia="Times New Roman" w:hAnsi="Cambria" w:cs="Arial"/>
                <w:lang w:eastAsia="zh-CN"/>
              </w:rPr>
              <w:t>(n = 13,138)</w:t>
            </w:r>
          </w:p>
        </w:tc>
        <w:tc>
          <w:tcPr>
            <w:tcW w:w="1200" w:type="dxa"/>
            <w:shd w:val="clear" w:color="auto" w:fill="auto"/>
            <w:noWrap/>
            <w:vAlign w:val="center"/>
          </w:tcPr>
          <w:p w:rsidR="00625C93" w:rsidRPr="00086743" w:rsidRDefault="00625C93" w:rsidP="00681477">
            <w:pPr>
              <w:spacing w:after="0" w:line="240" w:lineRule="auto"/>
              <w:jc w:val="center"/>
              <w:rPr>
                <w:rFonts w:ascii="Cambria" w:hAnsi="Cambria" w:cs="Arial"/>
                <w:b/>
                <w:bCs/>
              </w:rPr>
            </w:pPr>
            <w:r w:rsidRPr="00086743">
              <w:rPr>
                <w:rFonts w:ascii="Cambria" w:hAnsi="Cambria" w:cs="Arial"/>
                <w:b/>
                <w:bCs/>
              </w:rPr>
              <w:t>Apr-Sep15</w:t>
            </w:r>
          </w:p>
          <w:p w:rsidR="00625C93" w:rsidRPr="00086743" w:rsidRDefault="00625C93" w:rsidP="00681477">
            <w:pPr>
              <w:spacing w:after="0" w:line="240" w:lineRule="auto"/>
              <w:jc w:val="center"/>
              <w:rPr>
                <w:rFonts w:ascii="Cambria" w:eastAsia="Times New Roman" w:hAnsi="Cambria" w:cs="Arial"/>
                <w:b/>
                <w:bCs/>
                <w:lang w:eastAsia="zh-CN"/>
              </w:rPr>
            </w:pPr>
            <w:r w:rsidRPr="00086743">
              <w:rPr>
                <w:rFonts w:ascii="Cambria" w:eastAsia="Times New Roman" w:hAnsi="Cambria" w:cs="Arial"/>
                <w:lang w:eastAsia="zh-CN"/>
              </w:rPr>
              <w:t>(n = 12,185)</w:t>
            </w:r>
          </w:p>
        </w:tc>
        <w:tc>
          <w:tcPr>
            <w:tcW w:w="1200" w:type="dxa"/>
            <w:shd w:val="clear" w:color="auto" w:fill="auto"/>
            <w:noWrap/>
            <w:vAlign w:val="center"/>
          </w:tcPr>
          <w:p w:rsidR="00625C93" w:rsidRPr="00086743" w:rsidRDefault="00625C93" w:rsidP="00681477">
            <w:pPr>
              <w:spacing w:after="0" w:line="240" w:lineRule="auto"/>
              <w:jc w:val="center"/>
              <w:rPr>
                <w:rFonts w:ascii="Cambria" w:hAnsi="Cambria" w:cs="Arial"/>
                <w:b/>
                <w:bCs/>
              </w:rPr>
            </w:pPr>
            <w:r w:rsidRPr="00086743">
              <w:rPr>
                <w:rFonts w:ascii="Cambria" w:hAnsi="Cambria" w:cs="Arial"/>
                <w:b/>
                <w:bCs/>
              </w:rPr>
              <w:t>Oct15-Mar16</w:t>
            </w:r>
          </w:p>
          <w:p w:rsidR="00625C93" w:rsidRPr="00086743" w:rsidRDefault="00625C93" w:rsidP="00681477">
            <w:pPr>
              <w:spacing w:after="0" w:line="240" w:lineRule="auto"/>
              <w:jc w:val="center"/>
              <w:rPr>
                <w:rFonts w:ascii="Cambria" w:eastAsia="Times New Roman" w:hAnsi="Cambria" w:cs="Arial"/>
                <w:b/>
                <w:bCs/>
                <w:lang w:eastAsia="zh-CN"/>
              </w:rPr>
            </w:pPr>
            <w:r w:rsidRPr="00086743">
              <w:rPr>
                <w:rFonts w:ascii="Cambria" w:eastAsia="Times New Roman" w:hAnsi="Cambria" w:cs="Arial"/>
                <w:lang w:eastAsia="zh-CN"/>
              </w:rPr>
              <w:t>(n = 10,950)</w:t>
            </w:r>
          </w:p>
        </w:tc>
        <w:tc>
          <w:tcPr>
            <w:tcW w:w="1200" w:type="dxa"/>
            <w:shd w:val="clear" w:color="auto" w:fill="auto"/>
            <w:noWrap/>
            <w:vAlign w:val="center"/>
          </w:tcPr>
          <w:p w:rsidR="00625C93" w:rsidRPr="00086743" w:rsidRDefault="00625C93" w:rsidP="00681477">
            <w:pPr>
              <w:spacing w:after="0" w:line="240" w:lineRule="auto"/>
              <w:jc w:val="center"/>
              <w:rPr>
                <w:rFonts w:ascii="Cambria" w:eastAsia="Times New Roman" w:hAnsi="Cambria" w:cs="Arial"/>
                <w:b/>
                <w:bCs/>
                <w:lang w:eastAsia="zh-CN"/>
              </w:rPr>
            </w:pPr>
            <w:r w:rsidRPr="00086743">
              <w:rPr>
                <w:rFonts w:ascii="Cambria" w:eastAsia="Times New Roman" w:hAnsi="Cambria" w:cs="Arial"/>
                <w:b/>
                <w:bCs/>
                <w:lang w:eastAsia="zh-CN"/>
              </w:rPr>
              <w:t>All surveys</w:t>
            </w:r>
          </w:p>
          <w:p w:rsidR="00625C93" w:rsidRPr="00086743" w:rsidRDefault="00625C93" w:rsidP="00681477">
            <w:pPr>
              <w:spacing w:after="0" w:line="240" w:lineRule="auto"/>
              <w:jc w:val="center"/>
              <w:rPr>
                <w:rFonts w:ascii="Cambria" w:eastAsia="Times New Roman" w:hAnsi="Cambria" w:cs="Arial"/>
                <w:b/>
                <w:bCs/>
                <w:lang w:eastAsia="zh-CN"/>
              </w:rPr>
            </w:pPr>
            <w:r w:rsidRPr="00086743">
              <w:rPr>
                <w:rFonts w:ascii="Cambria" w:eastAsia="Times New Roman" w:hAnsi="Cambria" w:cs="Arial"/>
                <w:lang w:eastAsia="zh-CN"/>
              </w:rPr>
              <w:t>(n = 47,845)</w:t>
            </w:r>
          </w:p>
        </w:tc>
      </w:tr>
      <w:tr w:rsidR="00625C93" w:rsidRPr="00086743" w:rsidTr="00AD2160">
        <w:trPr>
          <w:trHeight w:val="300"/>
        </w:trPr>
        <w:tc>
          <w:tcPr>
            <w:tcW w:w="3242" w:type="dxa"/>
            <w:shd w:val="clear" w:color="auto" w:fill="auto"/>
            <w:noWrap/>
            <w:vAlign w:val="bottom"/>
            <w:hideMark/>
          </w:tcPr>
          <w:p w:rsidR="00625C93" w:rsidRPr="00086743" w:rsidRDefault="00625C93" w:rsidP="00681477">
            <w:pPr>
              <w:spacing w:after="0" w:line="240" w:lineRule="auto"/>
              <w:rPr>
                <w:rFonts w:ascii="Cambria" w:eastAsia="Times New Roman" w:hAnsi="Cambria" w:cs="Arial"/>
                <w:lang w:eastAsia="zh-CN"/>
              </w:rPr>
            </w:pPr>
            <w:r w:rsidRPr="00086743">
              <w:rPr>
                <w:rFonts w:ascii="Cambria" w:eastAsia="Times New Roman" w:hAnsi="Cambria" w:cs="Arial"/>
                <w:lang w:eastAsia="zh-CN"/>
              </w:rPr>
              <w:t>Very satisfied with 111 experience</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68.8%</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68.0%</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70.3%</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64.6%</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68.0%</w:t>
            </w:r>
          </w:p>
        </w:tc>
      </w:tr>
      <w:tr w:rsidR="00625C93" w:rsidRPr="00086743" w:rsidTr="00AD2160">
        <w:trPr>
          <w:trHeight w:val="300"/>
        </w:trPr>
        <w:tc>
          <w:tcPr>
            <w:tcW w:w="3242" w:type="dxa"/>
            <w:shd w:val="clear" w:color="auto" w:fill="auto"/>
            <w:noWrap/>
            <w:vAlign w:val="bottom"/>
            <w:hideMark/>
          </w:tcPr>
          <w:p w:rsidR="00625C93" w:rsidRPr="00086743" w:rsidRDefault="00625C93" w:rsidP="00681477">
            <w:pPr>
              <w:spacing w:after="0" w:line="240" w:lineRule="auto"/>
              <w:rPr>
                <w:rFonts w:ascii="Cambria" w:eastAsia="Times New Roman" w:hAnsi="Cambria" w:cs="Arial"/>
                <w:lang w:eastAsia="zh-CN"/>
              </w:rPr>
            </w:pPr>
            <w:r w:rsidRPr="00086743">
              <w:rPr>
                <w:rFonts w:ascii="Cambria" w:eastAsia="Times New Roman" w:hAnsi="Cambria" w:cs="Arial"/>
                <w:lang w:eastAsia="zh-CN"/>
              </w:rPr>
              <w:t>Fairly satisfied with 111 experience</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18.1%</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19.7%</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19.1%</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19.7%</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19.2%</w:t>
            </w:r>
          </w:p>
        </w:tc>
      </w:tr>
      <w:tr w:rsidR="00625C93" w:rsidRPr="00086743" w:rsidTr="00AD2160">
        <w:trPr>
          <w:trHeight w:val="300"/>
        </w:trPr>
        <w:tc>
          <w:tcPr>
            <w:tcW w:w="3242" w:type="dxa"/>
            <w:shd w:val="clear" w:color="auto" w:fill="auto"/>
            <w:noWrap/>
            <w:vAlign w:val="bottom"/>
            <w:hideMark/>
          </w:tcPr>
          <w:p w:rsidR="00625C93" w:rsidRPr="00086743" w:rsidRDefault="00625C93" w:rsidP="00681477">
            <w:pPr>
              <w:spacing w:after="0" w:line="240" w:lineRule="auto"/>
              <w:rPr>
                <w:rFonts w:ascii="Cambria" w:eastAsia="Times New Roman" w:hAnsi="Cambria" w:cs="Arial"/>
                <w:lang w:eastAsia="zh-CN"/>
              </w:rPr>
            </w:pPr>
            <w:r w:rsidRPr="00086743">
              <w:rPr>
                <w:rFonts w:ascii="Cambria" w:eastAsia="Times New Roman" w:hAnsi="Cambria" w:cs="Arial"/>
                <w:lang w:eastAsia="zh-CN"/>
              </w:rPr>
              <w:t>Neither satisfied nor dissatisfied with 111 experience</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3.8%</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4.3%</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4.1%</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4.8%</w:t>
            </w:r>
          </w:p>
        </w:tc>
        <w:tc>
          <w:tcPr>
            <w:tcW w:w="1200" w:type="dxa"/>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4.3%</w:t>
            </w:r>
          </w:p>
        </w:tc>
      </w:tr>
      <w:tr w:rsidR="00625C93" w:rsidRPr="00086743" w:rsidTr="00AD2160">
        <w:trPr>
          <w:trHeight w:val="300"/>
        </w:trPr>
        <w:tc>
          <w:tcPr>
            <w:tcW w:w="3242" w:type="dxa"/>
            <w:tcBorders>
              <w:bottom w:val="single" w:sz="4" w:space="0" w:color="auto"/>
            </w:tcBorders>
            <w:shd w:val="clear" w:color="auto" w:fill="auto"/>
            <w:noWrap/>
            <w:vAlign w:val="bottom"/>
            <w:hideMark/>
          </w:tcPr>
          <w:p w:rsidR="00625C93" w:rsidRPr="00086743" w:rsidRDefault="00625C93" w:rsidP="00681477">
            <w:pPr>
              <w:spacing w:after="0" w:line="240" w:lineRule="auto"/>
              <w:rPr>
                <w:rFonts w:ascii="Cambria" w:eastAsia="Times New Roman" w:hAnsi="Cambria" w:cs="Arial"/>
                <w:vertAlign w:val="superscript"/>
                <w:lang w:eastAsia="zh-CN"/>
              </w:rPr>
            </w:pPr>
            <w:r w:rsidRPr="00086743">
              <w:rPr>
                <w:rFonts w:ascii="Cambria" w:eastAsia="Times New Roman" w:hAnsi="Cambria" w:cs="Arial"/>
                <w:lang w:eastAsia="zh-CN"/>
              </w:rPr>
              <w:t xml:space="preserve">Dissatisfied with 111 experience </w:t>
            </w:r>
            <w:r w:rsidRPr="00086743">
              <w:rPr>
                <w:rFonts w:ascii="Cambria" w:eastAsia="Times New Roman" w:hAnsi="Cambria" w:cs="Arial"/>
                <w:vertAlign w:val="superscript"/>
                <w:lang w:eastAsia="zh-CN"/>
              </w:rPr>
              <w:t>a</w:t>
            </w:r>
          </w:p>
        </w:tc>
        <w:tc>
          <w:tcPr>
            <w:tcW w:w="1200" w:type="dxa"/>
            <w:tcBorders>
              <w:bottom w:val="sing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6.1%</w:t>
            </w:r>
          </w:p>
        </w:tc>
        <w:tc>
          <w:tcPr>
            <w:tcW w:w="1200" w:type="dxa"/>
            <w:tcBorders>
              <w:bottom w:val="sing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6.1%</w:t>
            </w:r>
          </w:p>
        </w:tc>
        <w:tc>
          <w:tcPr>
            <w:tcW w:w="1200" w:type="dxa"/>
            <w:tcBorders>
              <w:bottom w:val="sing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5.3%</w:t>
            </w:r>
          </w:p>
        </w:tc>
        <w:tc>
          <w:tcPr>
            <w:tcW w:w="1200" w:type="dxa"/>
            <w:tcBorders>
              <w:bottom w:val="sing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6.9%</w:t>
            </w:r>
          </w:p>
        </w:tc>
        <w:tc>
          <w:tcPr>
            <w:tcW w:w="1200" w:type="dxa"/>
            <w:tcBorders>
              <w:bottom w:val="sing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6.1%</w:t>
            </w:r>
          </w:p>
        </w:tc>
      </w:tr>
      <w:tr w:rsidR="00625C93" w:rsidRPr="00086743" w:rsidTr="00AD2160">
        <w:trPr>
          <w:trHeight w:val="300"/>
        </w:trPr>
        <w:tc>
          <w:tcPr>
            <w:tcW w:w="3242" w:type="dxa"/>
            <w:tcBorders>
              <w:bottom w:val="double" w:sz="4" w:space="0" w:color="auto"/>
            </w:tcBorders>
            <w:shd w:val="clear" w:color="auto" w:fill="auto"/>
            <w:noWrap/>
            <w:vAlign w:val="bottom"/>
            <w:hideMark/>
          </w:tcPr>
          <w:p w:rsidR="00625C93" w:rsidRPr="00086743" w:rsidRDefault="00625C93" w:rsidP="00681477">
            <w:pPr>
              <w:spacing w:after="0" w:line="240" w:lineRule="auto"/>
              <w:rPr>
                <w:rFonts w:ascii="Cambria" w:eastAsia="Times New Roman" w:hAnsi="Cambria" w:cs="Arial"/>
                <w:lang w:eastAsia="zh-CN"/>
              </w:rPr>
            </w:pPr>
            <w:r w:rsidRPr="00086743">
              <w:rPr>
                <w:rFonts w:ascii="Cambria" w:eastAsia="Times New Roman" w:hAnsi="Cambria" w:cs="Arial"/>
                <w:lang w:eastAsia="zh-CN"/>
              </w:rPr>
              <w:t>No view on satisfaction with 111 experience</w:t>
            </w:r>
          </w:p>
        </w:tc>
        <w:tc>
          <w:tcPr>
            <w:tcW w:w="1200" w:type="dxa"/>
            <w:tcBorders>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3.2%</w:t>
            </w:r>
          </w:p>
        </w:tc>
        <w:tc>
          <w:tcPr>
            <w:tcW w:w="1200" w:type="dxa"/>
            <w:tcBorders>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1.9%</w:t>
            </w:r>
          </w:p>
        </w:tc>
        <w:tc>
          <w:tcPr>
            <w:tcW w:w="1200" w:type="dxa"/>
            <w:tcBorders>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1.2%</w:t>
            </w:r>
          </w:p>
        </w:tc>
        <w:tc>
          <w:tcPr>
            <w:tcW w:w="1200" w:type="dxa"/>
            <w:tcBorders>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4.0%</w:t>
            </w:r>
          </w:p>
        </w:tc>
        <w:tc>
          <w:tcPr>
            <w:tcW w:w="1200" w:type="dxa"/>
            <w:tcBorders>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2.5%</w:t>
            </w:r>
          </w:p>
        </w:tc>
      </w:tr>
      <w:tr w:rsidR="00625C93" w:rsidRPr="00086743" w:rsidTr="00AD2160">
        <w:trPr>
          <w:trHeight w:val="300"/>
        </w:trPr>
        <w:tc>
          <w:tcPr>
            <w:tcW w:w="3242" w:type="dxa"/>
            <w:tcBorders>
              <w:top w:val="double" w:sz="4" w:space="0" w:color="auto"/>
              <w:bottom w:val="double" w:sz="4" w:space="0" w:color="auto"/>
            </w:tcBorders>
            <w:shd w:val="clear" w:color="auto" w:fill="auto"/>
            <w:noWrap/>
            <w:vAlign w:val="bottom"/>
            <w:hideMark/>
          </w:tcPr>
          <w:p w:rsidR="00625C93" w:rsidRPr="00086743" w:rsidRDefault="00625C93" w:rsidP="00681477">
            <w:pPr>
              <w:spacing w:after="0" w:line="240" w:lineRule="auto"/>
              <w:rPr>
                <w:rFonts w:ascii="Cambria" w:eastAsia="Times New Roman" w:hAnsi="Cambria" w:cs="Arial"/>
                <w:lang w:eastAsia="zh-CN"/>
              </w:rPr>
            </w:pPr>
            <w:r w:rsidRPr="00086743">
              <w:rPr>
                <w:rFonts w:ascii="Cambria" w:eastAsia="Times New Roman" w:hAnsi="Cambria" w:cs="Arial"/>
                <w:lang w:eastAsia="zh-CN"/>
              </w:rPr>
              <w:t>No response</w:t>
            </w:r>
          </w:p>
        </w:tc>
        <w:tc>
          <w:tcPr>
            <w:tcW w:w="1200" w:type="dxa"/>
            <w:tcBorders>
              <w:top w:val="double" w:sz="4" w:space="0" w:color="auto"/>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1.4%</w:t>
            </w:r>
          </w:p>
        </w:tc>
        <w:tc>
          <w:tcPr>
            <w:tcW w:w="1200" w:type="dxa"/>
            <w:tcBorders>
              <w:top w:val="double" w:sz="4" w:space="0" w:color="auto"/>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0.1%</w:t>
            </w:r>
          </w:p>
        </w:tc>
        <w:tc>
          <w:tcPr>
            <w:tcW w:w="1200" w:type="dxa"/>
            <w:tcBorders>
              <w:top w:val="double" w:sz="4" w:space="0" w:color="auto"/>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1.2%</w:t>
            </w:r>
          </w:p>
        </w:tc>
        <w:tc>
          <w:tcPr>
            <w:tcW w:w="1200" w:type="dxa"/>
            <w:tcBorders>
              <w:top w:val="double" w:sz="4" w:space="0" w:color="auto"/>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6.2%</w:t>
            </w:r>
          </w:p>
        </w:tc>
        <w:tc>
          <w:tcPr>
            <w:tcW w:w="1200" w:type="dxa"/>
            <w:tcBorders>
              <w:top w:val="double" w:sz="4" w:space="0" w:color="auto"/>
              <w:bottom w:val="double" w:sz="4" w:space="0" w:color="auto"/>
            </w:tcBorders>
            <w:shd w:val="clear" w:color="auto" w:fill="auto"/>
            <w:noWrap/>
            <w:vAlign w:val="bottom"/>
            <w:hideMark/>
          </w:tcPr>
          <w:p w:rsidR="00625C93" w:rsidRPr="00086743" w:rsidRDefault="00625C93" w:rsidP="00681477">
            <w:pPr>
              <w:tabs>
                <w:tab w:val="decimal" w:pos="851"/>
              </w:tabs>
              <w:spacing w:after="0" w:line="240" w:lineRule="auto"/>
              <w:rPr>
                <w:rFonts w:ascii="Cambria" w:eastAsia="Times New Roman" w:hAnsi="Cambria" w:cs="Arial"/>
                <w:lang w:eastAsia="zh-CN"/>
              </w:rPr>
            </w:pPr>
            <w:r w:rsidRPr="00086743">
              <w:rPr>
                <w:rFonts w:ascii="Cambria" w:eastAsia="Times New Roman" w:hAnsi="Cambria" w:cs="Arial"/>
                <w:lang w:eastAsia="zh-CN"/>
              </w:rPr>
              <w:t>2.1%</w:t>
            </w:r>
          </w:p>
        </w:tc>
      </w:tr>
      <w:tr w:rsidR="00625C93" w:rsidRPr="00086743" w:rsidTr="00AD2160">
        <w:trPr>
          <w:trHeight w:val="300"/>
        </w:trPr>
        <w:tc>
          <w:tcPr>
            <w:tcW w:w="9242" w:type="dxa"/>
            <w:gridSpan w:val="6"/>
            <w:tcBorders>
              <w:top w:val="double" w:sz="4" w:space="0" w:color="auto"/>
            </w:tcBorders>
            <w:shd w:val="clear" w:color="auto" w:fill="auto"/>
            <w:noWrap/>
            <w:vAlign w:val="bottom"/>
          </w:tcPr>
          <w:p w:rsidR="00625C93" w:rsidRPr="00086743" w:rsidRDefault="00625C93" w:rsidP="00681477">
            <w:pPr>
              <w:spacing w:after="0" w:line="240" w:lineRule="auto"/>
              <w:rPr>
                <w:rFonts w:ascii="Cambria" w:eastAsia="Times New Roman" w:hAnsi="Cambria" w:cs="Courier New"/>
                <w:i/>
                <w:iCs/>
                <w:color w:val="000000" w:themeColor="text1"/>
              </w:rPr>
            </w:pPr>
            <w:r w:rsidRPr="00086743">
              <w:rPr>
                <w:rFonts w:ascii="Cambria" w:eastAsia="Times New Roman" w:hAnsi="Cambria" w:cs="Courier New"/>
                <w:i/>
                <w:iCs/>
                <w:color w:val="000000" w:themeColor="text1"/>
              </w:rPr>
              <w:t>Notes</w:t>
            </w:r>
          </w:p>
          <w:p w:rsidR="00625C93" w:rsidRPr="00086743" w:rsidRDefault="00625C93" w:rsidP="00681477">
            <w:pPr>
              <w:spacing w:after="0" w:line="240" w:lineRule="auto"/>
              <w:rPr>
                <w:rFonts w:ascii="Cambria" w:eastAsia="Times New Roman" w:hAnsi="Cambria" w:cs="Courier New"/>
                <w:color w:val="000000" w:themeColor="text1"/>
              </w:rPr>
            </w:pPr>
            <w:r w:rsidRPr="00086743">
              <w:rPr>
                <w:rFonts w:ascii="Cambria" w:eastAsia="Times New Roman" w:hAnsi="Cambria" w:cs="Courier New"/>
                <w:color w:val="000000" w:themeColor="text1"/>
              </w:rPr>
              <w:t>n = number of people responding to the survey as reported in the MDS</w:t>
            </w:r>
          </w:p>
          <w:p w:rsidR="00625C93" w:rsidRPr="00086743" w:rsidRDefault="00625C93" w:rsidP="00681477">
            <w:pPr>
              <w:spacing w:after="0" w:line="240" w:lineRule="auto"/>
              <w:rPr>
                <w:rFonts w:ascii="Cambria" w:eastAsia="Times New Roman" w:hAnsi="Cambria" w:cs="Courier New"/>
                <w:color w:val="000000" w:themeColor="text1"/>
              </w:rPr>
            </w:pPr>
            <w:r w:rsidRPr="00086743">
              <w:rPr>
                <w:rFonts w:ascii="Cambria" w:eastAsia="Times New Roman" w:hAnsi="Cambria" w:cs="Courier New"/>
                <w:color w:val="000000" w:themeColor="text1"/>
              </w:rPr>
              <w:t>Percentages for responses to satisfaction questions were calculated by the authors using the sum of valid responses as denominator (rows 1 to 5 sum to 100%)</w:t>
            </w:r>
          </w:p>
          <w:p w:rsidR="00625C93" w:rsidRPr="00086743" w:rsidRDefault="00625C93" w:rsidP="00681477">
            <w:pPr>
              <w:spacing w:after="0" w:line="240" w:lineRule="auto"/>
              <w:rPr>
                <w:rFonts w:ascii="Cambria" w:eastAsia="Times New Roman" w:hAnsi="Cambria" w:cs="Courier New"/>
                <w:color w:val="000000" w:themeColor="text1"/>
              </w:rPr>
            </w:pPr>
            <w:r w:rsidRPr="00086743">
              <w:rPr>
                <w:rFonts w:ascii="Cambria" w:eastAsia="Times New Roman" w:hAnsi="Cambria" w:cs="Courier New"/>
                <w:color w:val="000000" w:themeColor="text1"/>
              </w:rPr>
              <w:t>No response was calculated by the authors, subtracting the sum of recorded responses satisfaction questions from number responding to the survey (as reported in the MDS)</w:t>
            </w:r>
          </w:p>
          <w:p w:rsidR="00625C93" w:rsidRPr="00086743" w:rsidRDefault="00625C93" w:rsidP="00681477">
            <w:pPr>
              <w:spacing w:after="0" w:line="240" w:lineRule="auto"/>
              <w:rPr>
                <w:rFonts w:ascii="Cambria" w:eastAsia="Times New Roman" w:hAnsi="Cambria" w:cs="Arial"/>
                <w:lang w:eastAsia="zh-CN"/>
              </w:rPr>
            </w:pPr>
            <w:r w:rsidRPr="00086743">
              <w:rPr>
                <w:rFonts w:ascii="Cambria" w:eastAsia="Times New Roman" w:hAnsi="Cambria" w:cs="Arial"/>
                <w:vertAlign w:val="superscript"/>
                <w:lang w:eastAsia="zh-CN"/>
              </w:rPr>
              <w:t>a</w:t>
            </w:r>
            <w:r w:rsidRPr="00086743">
              <w:rPr>
                <w:rFonts w:ascii="Cambria" w:eastAsia="Times New Roman" w:hAnsi="Cambria" w:cs="Arial"/>
                <w:lang w:eastAsia="zh-CN"/>
              </w:rPr>
              <w:t xml:space="preserve"> the MDS collapses the “fairly dissatisfied” and “very dissatisfied” categories into one</w:t>
            </w:r>
          </w:p>
        </w:tc>
      </w:tr>
    </w:tbl>
    <w:p w:rsidR="005D1131" w:rsidRPr="00086743" w:rsidRDefault="005D1131" w:rsidP="00681477">
      <w:pPr>
        <w:spacing w:before="240" w:line="360" w:lineRule="auto"/>
        <w:rPr>
          <w:rFonts w:ascii="Cambria" w:hAnsi="Cambria" w:cstheme="majorBidi"/>
        </w:rPr>
      </w:pPr>
    </w:p>
    <w:p w:rsidR="00C11A77" w:rsidRPr="00086743" w:rsidRDefault="00784E9B" w:rsidP="00681477">
      <w:pPr>
        <w:spacing w:before="240" w:line="360" w:lineRule="auto"/>
        <w:rPr>
          <w:rFonts w:ascii="Cambria" w:hAnsi="Cambria" w:cstheme="majorBidi"/>
          <w:b/>
        </w:rPr>
      </w:pPr>
      <w:r w:rsidRPr="00086743">
        <w:rPr>
          <w:rFonts w:ascii="Cambria" w:hAnsi="Cambria" w:cstheme="majorBidi"/>
        </w:rPr>
        <w:t xml:space="preserve">Healthcare professionals </w:t>
      </w:r>
      <w:r w:rsidR="002E2332" w:rsidRPr="00086743">
        <w:rPr>
          <w:rFonts w:ascii="Cambria" w:hAnsi="Cambria" w:cstheme="majorBidi"/>
        </w:rPr>
        <w:t>appe</w:t>
      </w:r>
      <w:r w:rsidR="00D62DDA" w:rsidRPr="00086743">
        <w:rPr>
          <w:rFonts w:ascii="Cambria" w:hAnsi="Cambria" w:cstheme="majorBidi"/>
        </w:rPr>
        <w:t>ar to have a more mixed response to questions about satisfaction</w:t>
      </w:r>
      <w:r w:rsidR="00F62E72" w:rsidRPr="00086743">
        <w:rPr>
          <w:rFonts w:ascii="Cambria" w:hAnsi="Cambria" w:cstheme="majorBidi"/>
        </w:rPr>
        <w:t xml:space="preserve"> with NHS 111</w:t>
      </w:r>
      <w:r w:rsidR="002E2332" w:rsidRPr="00086743">
        <w:rPr>
          <w:rFonts w:ascii="Cambria" w:hAnsi="Cambria" w:cstheme="majorBidi"/>
        </w:rPr>
        <w:t xml:space="preserve">. </w:t>
      </w:r>
      <w:r w:rsidR="000A3BB8" w:rsidRPr="00086743">
        <w:rPr>
          <w:rFonts w:ascii="Cambria" w:hAnsi="Cambria" w:cstheme="majorBidi"/>
        </w:rPr>
        <w:t>Early on t</w:t>
      </w:r>
      <w:r w:rsidR="00107A35" w:rsidRPr="00086743">
        <w:rPr>
          <w:rFonts w:ascii="Cambria" w:hAnsi="Cambria" w:cstheme="majorBidi"/>
        </w:rPr>
        <w:t xml:space="preserve">he service was called ‘dreadful’ by GP leaders calling for a review of </w:t>
      </w:r>
      <w:r w:rsidR="00E53919" w:rsidRPr="00086743">
        <w:rPr>
          <w:rFonts w:ascii="Cambria" w:hAnsi="Cambria" w:cstheme="majorBidi"/>
        </w:rPr>
        <w:t xml:space="preserve">the </w:t>
      </w:r>
      <w:r w:rsidR="00107A35" w:rsidRPr="00086743">
        <w:rPr>
          <w:rFonts w:ascii="Cambria" w:hAnsi="Cambria" w:cstheme="majorBidi"/>
        </w:rPr>
        <w:t>structure of the service</w:t>
      </w:r>
      <w:r w:rsidR="00F62E72"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ExcludeYear="1"&gt;&lt;Author&gt;Iacobucci&lt;/Author&gt;&lt;Year&gt;2013&lt;/Year&gt;&lt;RecNum&gt;6&lt;/RecNum&gt;&lt;DisplayText&gt;(6)&lt;/DisplayText&gt;&lt;record&gt;&lt;rec-number&gt;6&lt;/rec-number&gt;&lt;foreign-keys&gt;&lt;key app="EN" db-id="0eprwd9r99dr2nefav5vwvtge0axsza5fs0z" timestamp="1474642770"&gt;6&lt;/key&gt;&lt;/foreign-keys&gt;&lt;ref-type name="Journal Article"&gt;17&lt;/ref-type&gt;&lt;contributors&gt;&lt;authors&gt;&lt;author&gt;Iacobucci, G&lt;/author&gt;&lt;/authors&gt;&lt;/contributors&gt;&lt;titles&gt;&lt;title&gt;GPs back call for independent review of “dreadful” NHS 111&lt;/title&gt;&lt;secondary-title&gt;BMJ &lt;/secondary-title&gt;&lt;/titles&gt;&lt;periodical&gt;&lt;full-title&gt;BMJ&lt;/full-title&gt;&lt;/periodical&gt;&lt;pages&gt;f3437&lt;/pages&gt;&lt;volume&gt;346&lt;/volume&gt;&lt;dates&gt;&lt;year&gt;2013&lt;/year&gt;&lt;/dates&gt;&lt;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(6)</w:t>
      </w:r>
      <w:r w:rsidR="00077D32" w:rsidRPr="00086743">
        <w:rPr>
          <w:rFonts w:ascii="Cambria" w:hAnsi="Cambria" w:cstheme="majorBidi"/>
        </w:rPr>
        <w:fldChar w:fldCharType="end"/>
      </w:r>
      <w:r w:rsidR="00107A35" w:rsidRPr="00086743">
        <w:rPr>
          <w:rFonts w:ascii="Cambria" w:hAnsi="Cambria" w:cstheme="majorBidi"/>
        </w:rPr>
        <w:t xml:space="preserve">  but recently a more op</w:t>
      </w:r>
      <w:r w:rsidR="002E2332" w:rsidRPr="00086743">
        <w:rPr>
          <w:rFonts w:ascii="Cambria" w:hAnsi="Cambria" w:cstheme="majorBidi"/>
        </w:rPr>
        <w:t>timistic view</w:t>
      </w:r>
      <w:r w:rsidR="000A3BB8" w:rsidRPr="00086743">
        <w:rPr>
          <w:rFonts w:ascii="Cambria" w:hAnsi="Cambria" w:cstheme="majorBidi"/>
        </w:rPr>
        <w:t xml:space="preserve"> has emerged in some quarters</w:t>
      </w:r>
      <w:r w:rsidR="00281CEC" w:rsidRPr="00086743">
        <w:rPr>
          <w:rFonts w:ascii="Cambria" w:hAnsi="Cambria" w:cstheme="majorBidi"/>
        </w:rPr>
        <w:t>.</w:t>
      </w:r>
      <w:r w:rsidR="002C0119"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ExcludeYear="1"&gt;&lt;Author&gt;Ray&lt;/Author&gt;&lt;Year&gt;2016 &lt;/Year&gt;&lt;RecNum&gt;18&lt;/RecNum&gt;&lt;DisplayText&gt;(20)&lt;/DisplayText&gt;&lt;record&gt;&lt;rec-number&gt;18&lt;/rec-number&gt;&lt;foreign-keys&gt;&lt;key app="EN" db-id="0eprwd9r99dr2nefav5vwvtge0axsza5fs0z" timestamp="1474643531"&gt;18&lt;/key&gt;&lt;/foreign-keys&gt;&lt;ref-type name="Web Page"&gt;12&lt;/ref-type&gt;&lt;contributors&gt;&lt;authors&gt;&lt;author&gt;Ray, J &lt;/author&gt;&lt;/authors&gt;&lt;/contributors&gt;&lt;titles&gt;&lt;title&gt;Why I am optimistic about NHS 111&lt;/title&gt;&lt;/titles&gt;&lt;dates&gt;&lt;year&gt;2016 &lt;/year&gt;&lt;/dates&gt;&lt;urls&gt;&lt;related-urls&gt;&lt;url&gt;https://www.england.nhs.uk/2016/06/james-ray/&lt;/url&gt;&lt;/related-urls&gt;&lt;/urls&gt;&lt;/record&gt;&lt;/Cite&gt;&lt;/EndNote&gt;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(20)</w:t>
      </w:r>
      <w:r w:rsidR="00077D32" w:rsidRPr="00086743">
        <w:rPr>
          <w:rFonts w:ascii="Cambria" w:hAnsi="Cambria" w:cstheme="majorBidi"/>
        </w:rPr>
        <w:fldChar w:fldCharType="end"/>
      </w:r>
      <w:r w:rsidR="00281CEC" w:rsidRPr="00086743">
        <w:rPr>
          <w:rFonts w:ascii="Cambria" w:hAnsi="Cambria" w:cstheme="majorBidi"/>
        </w:rPr>
        <w:t xml:space="preserve"> </w:t>
      </w:r>
      <w:r w:rsidR="002E2332" w:rsidRPr="00086743">
        <w:rPr>
          <w:rFonts w:ascii="Cambria" w:hAnsi="Cambria" w:cstheme="majorBidi"/>
        </w:rPr>
        <w:t xml:space="preserve"> </w:t>
      </w:r>
      <w:r w:rsidR="00107A35" w:rsidRPr="00086743">
        <w:rPr>
          <w:rFonts w:ascii="Cambria" w:hAnsi="Cambria" w:cstheme="majorBidi"/>
        </w:rPr>
        <w:t>Anderson and Roland’s o</w:t>
      </w:r>
      <w:r w:rsidR="002E2332" w:rsidRPr="00086743">
        <w:rPr>
          <w:rFonts w:ascii="Cambria" w:hAnsi="Cambria" w:cstheme="majorBidi"/>
        </w:rPr>
        <w:t xml:space="preserve">bservational analysis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ExcludeYear="1"&gt;&lt;Author&gt;Anderson&lt;/Author&gt;&lt;Year&gt;2015&lt;/Year&gt;&lt;RecNum&gt;7&lt;/RecNum&gt;&lt;DisplayText&gt;(7)&lt;/DisplayText&gt;&lt;record&gt;&lt;rec-number&gt;7&lt;/rec-number&gt;&lt;foreign-keys&gt;&lt;key app="EN" db-id="0eprwd9r99dr2nefav5vwvtge0axsza5fs0z" timestamp="1474642839"&gt;7&lt;/key&gt;&lt;/foreign-keys&gt;&lt;ref-type name="Electronic Article"&gt;43&lt;/ref-type&gt;&lt;contributors&gt;&lt;authors&gt;&lt;author&gt;Anderson, A&lt;/author&gt;&lt;author&gt;Roland, M&lt;/author&gt;&lt;/authors&gt;&lt;/contributors&gt;&lt;titles&gt;&lt;title&gt;Potential for advice from doctors to reduce the number of patients referred to emergency departments by NHS 111 call handlers: observational study&lt;/title&gt;&lt;secondary-title&gt;BMJ Open &lt;/secondary-title&gt;&lt;/titles&gt;&lt;periodical&gt;&lt;full-title&gt;BMJ Open&lt;/full-title&gt;&lt;/periodical&gt;&lt;pages&gt;e009444 &lt;/pages&gt;&lt;volume&gt;5&lt;/volume&gt;&lt;dates&gt;&lt;year&gt;2015&lt;/year&gt;&lt;/dates&gt;&lt;urls&gt;&lt;/urls&gt;&lt;/record&gt;&lt;/Cite&gt;&lt;/EndNote&gt;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(7)</w:t>
      </w:r>
      <w:r w:rsidR="00077D32" w:rsidRPr="00086743">
        <w:rPr>
          <w:rFonts w:ascii="Cambria" w:hAnsi="Cambria" w:cstheme="majorBidi"/>
        </w:rPr>
        <w:fldChar w:fldCharType="end"/>
      </w:r>
      <w:r w:rsidR="00F62E72" w:rsidRPr="00086743">
        <w:rPr>
          <w:rFonts w:ascii="Cambria" w:hAnsi="Cambria" w:cstheme="majorBidi"/>
        </w:rPr>
        <w:t xml:space="preserve"> </w:t>
      </w:r>
      <w:r w:rsidR="002E2332" w:rsidRPr="00086743">
        <w:rPr>
          <w:rFonts w:ascii="Cambria" w:hAnsi="Cambria" w:cstheme="majorBidi"/>
        </w:rPr>
        <w:t>suggest</w:t>
      </w:r>
      <w:r w:rsidR="00107A35" w:rsidRPr="00086743">
        <w:rPr>
          <w:rFonts w:ascii="Cambria" w:hAnsi="Cambria" w:cstheme="majorBidi"/>
        </w:rPr>
        <w:t>ed</w:t>
      </w:r>
      <w:r w:rsidR="002E2332" w:rsidRPr="00086743">
        <w:rPr>
          <w:rFonts w:ascii="Cambria" w:hAnsi="Cambria" w:cstheme="majorBidi"/>
        </w:rPr>
        <w:t xml:space="preserve"> that </w:t>
      </w:r>
      <w:r w:rsidR="00107A35" w:rsidRPr="00086743">
        <w:rPr>
          <w:rFonts w:ascii="Cambria" w:hAnsi="Cambria" w:cstheme="majorBidi"/>
        </w:rPr>
        <w:t>the service would benefit from having more experienced GPs involved in triage decisions</w:t>
      </w:r>
      <w:r w:rsidR="00BE6C4A" w:rsidRPr="00086743">
        <w:rPr>
          <w:rFonts w:ascii="Cambria" w:hAnsi="Cambria" w:cstheme="majorBidi"/>
        </w:rPr>
        <w:t>,  and elsewhere it has been suggested that only 1 in 4 NHS 111 referrals to general practice are clinically appropriate</w:t>
      </w:r>
      <w:r w:rsidR="0054624B"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ExcludeYear="1"&gt;&lt;Author&gt;Nash&lt;/Author&gt;&lt;Year&gt;2015&lt;/Year&gt;&lt;RecNum&gt;19&lt;/RecNum&gt;&lt;DisplayText&gt;(21)&lt;/DisplayText&gt;&lt;record&gt;&lt;rec-number&gt;19&lt;/rec-number&gt;&lt;foreign-keys&gt;&lt;key app="EN" db-id="0eprwd9r99dr2nefav5vwvtge0axsza5fs0z" timestamp="1474643585"&gt;19&lt;/key&gt;&lt;/foreign-keys&gt;&lt;ref-type name="Journal Article"&gt;17&lt;/ref-type&gt;&lt;contributors&gt;&lt;authors&gt;&lt;author&gt;Nash, S&lt;/author&gt;&lt;author&gt;Kaffash, J  &lt;/author&gt;&lt;/authors&gt;&lt;/contributors&gt;&lt;titles&gt;&lt;title&gt;Three-quarters of NHS 111 referrals to general practice are inappropriate&lt;/title&gt;&lt;secondary-title&gt;Pulse&lt;/secondary-title&gt;&lt;/titles&gt;&lt;periodical&gt;&lt;full-title&gt;Pulse&lt;/full-title&gt;&lt;/periodical&gt;&lt;dates&gt;&lt;year&gt;2015&lt;/year&gt;&lt;/dates&gt;&lt;urls&gt;&lt;related-urls&gt;&lt;url&gt;http://www.pulsetoday.co.uk/commissioning/commissioning-topics/urgent-care/three-quarters-of-nhs-111-referrals-to-general-practice-are-inappropriate/20009240.article&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(21)</w:t>
      </w:r>
      <w:r w:rsidR="00077D32" w:rsidRPr="00086743">
        <w:rPr>
          <w:rFonts w:ascii="Cambria" w:hAnsi="Cambria" w:cstheme="majorBidi"/>
        </w:rPr>
        <w:fldChar w:fldCharType="end"/>
      </w:r>
      <w:r w:rsidR="0054624B" w:rsidRPr="00086743">
        <w:rPr>
          <w:rFonts w:ascii="Cambria" w:hAnsi="Cambria" w:cstheme="majorBidi"/>
        </w:rPr>
        <w:t xml:space="preserve">  and this may be the cause of some dissatisfaction amongst primary care professionals</w:t>
      </w:r>
      <w:r w:rsidR="00281CEC" w:rsidRPr="00086743">
        <w:rPr>
          <w:rFonts w:ascii="Cambria" w:hAnsi="Cambria" w:cstheme="majorBidi"/>
        </w:rPr>
        <w:t>.</w:t>
      </w:r>
      <w:r w:rsidR="002C0119" w:rsidRPr="00086743">
        <w:rPr>
          <w:rFonts w:ascii="Cambria" w:hAnsi="Cambria" w:cstheme="majorBidi"/>
        </w:rPr>
        <w:t xml:space="preserve"> </w:t>
      </w:r>
      <w:r w:rsidR="006874E0" w:rsidRPr="00086743">
        <w:rPr>
          <w:rFonts w:ascii="Cambria" w:hAnsi="Cambria" w:cstheme="majorBidi"/>
        </w:rPr>
        <w:t>I</w:t>
      </w:r>
      <w:r w:rsidR="00254E8B" w:rsidRPr="00086743">
        <w:rPr>
          <w:rFonts w:ascii="Cambria" w:hAnsi="Cambria" w:cstheme="majorBidi"/>
        </w:rPr>
        <w:t>n 2014 an</w:t>
      </w:r>
      <w:r w:rsidR="00D62DDA" w:rsidRPr="00086743">
        <w:rPr>
          <w:rFonts w:ascii="Cambria" w:hAnsi="Cambria" w:cstheme="majorBidi"/>
        </w:rPr>
        <w:t xml:space="preserve"> </w:t>
      </w:r>
      <w:r w:rsidR="00254E8B" w:rsidRPr="00086743">
        <w:rPr>
          <w:rFonts w:ascii="Cambria" w:hAnsi="Cambria" w:cstheme="majorBidi"/>
        </w:rPr>
        <w:t xml:space="preserve">NHS England </w:t>
      </w:r>
      <w:r w:rsidR="00711DCB" w:rsidRPr="00086743">
        <w:rPr>
          <w:rFonts w:ascii="Cambria" w:hAnsi="Cambria" w:cstheme="majorBidi"/>
        </w:rPr>
        <w:t>Quality and Safety R</w:t>
      </w:r>
      <w:r w:rsidR="00F62E72" w:rsidRPr="00086743">
        <w:rPr>
          <w:rFonts w:ascii="Cambria" w:hAnsi="Cambria" w:cstheme="majorBidi"/>
        </w:rPr>
        <w:t xml:space="preserve">eport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ExcludeYear="1"&gt;&lt;Author&gt;NHS England&lt;/Author&gt;&lt;Year&gt;July 2014&lt;/Year&gt;&lt;RecNum&gt;20&lt;/RecNum&gt;&lt;DisplayText&gt;(22)&lt;/DisplayText&gt;&lt;record&gt;&lt;rec-number&gt;20&lt;/rec-number&gt;&lt;foreign-keys&gt;&lt;key app="EN" db-id="0eprwd9r99dr2nefav5vwvtge0axsza5fs0z" timestamp="1474643636"&gt;20&lt;/key&gt;&lt;/foreign-keys&gt;&lt;ref-type name="Web Page"&gt;12&lt;/ref-type&gt;&lt;contributors&gt;&lt;authors&gt;&lt;author&gt;NHS England,&lt;/author&gt;&lt;/authors&gt;&lt;/contributors&gt;&lt;titles&gt;&lt;title&gt;NHS 111 Quality and Safety Report&lt;/title&gt;&lt;/titles&gt;&lt;dates&gt;&lt;year&gt;July 2014&lt;/year&gt;&lt;/dates&gt;&lt;urls&gt;&lt;related-urls&gt;&lt;url&gt;https://www.england.nhs.uk/wp-content/uploads/2014/07/nhs111-qual-safety-rep.pdf&lt;/url&gt;&lt;/related-urls&gt;&lt;/urls&gt;&lt;/record&gt;&lt;/Cite&gt;&lt;/EndNote&gt;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(22)</w:t>
      </w:r>
      <w:r w:rsidR="00077D32" w:rsidRPr="00086743">
        <w:rPr>
          <w:rFonts w:ascii="Cambria" w:hAnsi="Cambria" w:cstheme="majorBidi"/>
        </w:rPr>
        <w:fldChar w:fldCharType="end"/>
      </w:r>
      <w:r w:rsidR="00F62E72" w:rsidRPr="00086743">
        <w:rPr>
          <w:rFonts w:ascii="Cambria" w:hAnsi="Cambria" w:cstheme="majorBidi"/>
        </w:rPr>
        <w:t xml:space="preserve"> </w:t>
      </w:r>
      <w:r w:rsidR="00711DCB" w:rsidRPr="00086743">
        <w:rPr>
          <w:rFonts w:ascii="Cambria" w:hAnsi="Cambria" w:cstheme="majorBidi"/>
        </w:rPr>
        <w:t xml:space="preserve">concluded </w:t>
      </w:r>
      <w:r w:rsidR="00D62DDA" w:rsidRPr="00086743">
        <w:rPr>
          <w:rFonts w:ascii="Cambria" w:hAnsi="Cambria" w:cstheme="majorBidi"/>
        </w:rPr>
        <w:t>that there were</w:t>
      </w:r>
      <w:r w:rsidR="00711DCB" w:rsidRPr="00086743">
        <w:rPr>
          <w:rFonts w:ascii="Cambria" w:hAnsi="Cambria" w:cstheme="majorBidi"/>
        </w:rPr>
        <w:t xml:space="preserve"> high levels of</w:t>
      </w:r>
      <w:r w:rsidR="00BE6C4A" w:rsidRPr="00086743">
        <w:rPr>
          <w:rFonts w:ascii="Cambria" w:hAnsi="Cambria" w:cstheme="majorBidi"/>
        </w:rPr>
        <w:t xml:space="preserve"> </w:t>
      </w:r>
      <w:r w:rsidR="00711DCB" w:rsidRPr="00086743">
        <w:rPr>
          <w:rFonts w:ascii="Cambria" w:hAnsi="Cambria" w:cstheme="majorBidi"/>
        </w:rPr>
        <w:lastRenderedPageBreak/>
        <w:t>variation in clinical governance arrangements</w:t>
      </w:r>
      <w:r w:rsidR="004E60BE" w:rsidRPr="00086743">
        <w:rPr>
          <w:rFonts w:ascii="Cambria" w:hAnsi="Cambria" w:cstheme="majorBidi"/>
        </w:rPr>
        <w:t xml:space="preserve"> around</w:t>
      </w:r>
      <w:r w:rsidR="00D62DDA" w:rsidRPr="00086743">
        <w:rPr>
          <w:rFonts w:ascii="Cambria" w:hAnsi="Cambria" w:cstheme="majorBidi"/>
        </w:rPr>
        <w:t xml:space="preserve"> the quality of the </w:t>
      </w:r>
      <w:r w:rsidR="00711DCB" w:rsidRPr="00086743">
        <w:rPr>
          <w:rFonts w:ascii="Cambria" w:hAnsi="Cambria" w:cstheme="majorBidi"/>
        </w:rPr>
        <w:t>D</w:t>
      </w:r>
      <w:r w:rsidR="002C0119" w:rsidRPr="00086743">
        <w:rPr>
          <w:rFonts w:ascii="Cambria" w:hAnsi="Cambria" w:cstheme="majorBidi"/>
        </w:rPr>
        <w:t>irectory of Services</w:t>
      </w:r>
      <w:r w:rsidR="00711DCB" w:rsidRPr="00086743">
        <w:rPr>
          <w:rFonts w:ascii="Cambria" w:hAnsi="Cambria" w:cstheme="majorBidi"/>
        </w:rPr>
        <w:t xml:space="preserve"> </w:t>
      </w:r>
      <w:r w:rsidR="00D62DDA" w:rsidRPr="00086743">
        <w:rPr>
          <w:rFonts w:ascii="Cambria" w:hAnsi="Cambria" w:cstheme="majorBidi"/>
        </w:rPr>
        <w:t xml:space="preserve">and the quality of </w:t>
      </w:r>
      <w:r w:rsidR="00BE6C4A" w:rsidRPr="00086743">
        <w:rPr>
          <w:rFonts w:ascii="Cambria" w:hAnsi="Cambria" w:cstheme="majorBidi"/>
        </w:rPr>
        <w:t>communication</w:t>
      </w:r>
      <w:r w:rsidR="00711DCB" w:rsidRPr="00086743">
        <w:rPr>
          <w:rFonts w:ascii="Cambria" w:hAnsi="Cambria" w:cstheme="majorBidi"/>
        </w:rPr>
        <w:t xml:space="preserve"> </w:t>
      </w:r>
      <w:r w:rsidR="00BE6C4A" w:rsidRPr="00086743">
        <w:rPr>
          <w:rFonts w:ascii="Cambria" w:hAnsi="Cambria" w:cstheme="majorBidi"/>
        </w:rPr>
        <w:t>between</w:t>
      </w:r>
      <w:r w:rsidR="00711DCB" w:rsidRPr="00086743">
        <w:rPr>
          <w:rFonts w:ascii="Cambria" w:hAnsi="Cambria" w:cstheme="majorBidi"/>
        </w:rPr>
        <w:t xml:space="preserve"> </w:t>
      </w:r>
      <w:r w:rsidR="00D62DDA" w:rsidRPr="00086743">
        <w:rPr>
          <w:rFonts w:ascii="Cambria" w:hAnsi="Cambria" w:cstheme="majorBidi"/>
        </w:rPr>
        <w:t>out of hou</w:t>
      </w:r>
      <w:r w:rsidR="002C0119" w:rsidRPr="00086743">
        <w:rPr>
          <w:rFonts w:ascii="Cambria" w:hAnsi="Cambria" w:cstheme="majorBidi"/>
        </w:rPr>
        <w:t>rs services and NHS 111</w:t>
      </w:r>
      <w:r w:rsidR="00D62DDA" w:rsidRPr="00086743">
        <w:rPr>
          <w:rFonts w:ascii="Cambria" w:hAnsi="Cambria" w:cstheme="majorBidi"/>
        </w:rPr>
        <w:t xml:space="preserve">, all of which </w:t>
      </w:r>
      <w:r w:rsidR="00254E8B" w:rsidRPr="00086743">
        <w:rPr>
          <w:rFonts w:ascii="Cambria" w:hAnsi="Cambria" w:cstheme="majorBidi"/>
        </w:rPr>
        <w:t xml:space="preserve">might </w:t>
      </w:r>
      <w:r w:rsidRPr="00086743">
        <w:rPr>
          <w:rFonts w:ascii="Cambria" w:hAnsi="Cambria" w:cstheme="majorBidi"/>
        </w:rPr>
        <w:t xml:space="preserve">contribute to </w:t>
      </w:r>
      <w:r w:rsidR="00D62DDA" w:rsidRPr="00086743">
        <w:rPr>
          <w:rFonts w:ascii="Cambria" w:hAnsi="Cambria" w:cstheme="majorBidi"/>
        </w:rPr>
        <w:t>dissatisfaction</w:t>
      </w:r>
      <w:r w:rsidRPr="00086743">
        <w:rPr>
          <w:rFonts w:ascii="Cambria" w:hAnsi="Cambria" w:cstheme="majorBidi"/>
        </w:rPr>
        <w:t xml:space="preserve"> amongst service providers</w:t>
      </w:r>
      <w:r w:rsidR="00D62DDA" w:rsidRPr="00086743">
        <w:rPr>
          <w:rFonts w:ascii="Cambria" w:hAnsi="Cambria" w:cstheme="majorBidi"/>
        </w:rPr>
        <w:t xml:space="preserve">. Online and print media coverage, perhaps not unsurprisingly focusses on ‘bad news’ and </w:t>
      </w:r>
      <w:r w:rsidR="00254E8B" w:rsidRPr="00086743">
        <w:rPr>
          <w:rFonts w:ascii="Cambria" w:hAnsi="Cambria" w:cstheme="majorBidi"/>
        </w:rPr>
        <w:t xml:space="preserve">patient and public </w:t>
      </w:r>
      <w:r w:rsidR="00D62DDA" w:rsidRPr="00086743">
        <w:rPr>
          <w:rFonts w:ascii="Cambria" w:hAnsi="Cambria" w:cstheme="majorBidi"/>
        </w:rPr>
        <w:t>dissatisfaction (see for example</w:t>
      </w:r>
      <w:r w:rsidR="00254E8B" w:rsidRPr="00086743">
        <w:rPr>
          <w:rFonts w:ascii="Cambria" w:hAnsi="Cambria" w:cstheme="majorBidi"/>
        </w:rPr>
        <w:t>,</w:t>
      </w:r>
      <w:r w:rsidR="00D62DDA" w:rsidRPr="00086743">
        <w:rPr>
          <w:rFonts w:ascii="Cambria" w:hAnsi="Cambria" w:cstheme="majorBidi"/>
        </w:rPr>
        <w:t xml:space="preserve"> </w:t>
      </w:r>
      <w:r w:rsidR="00077D32" w:rsidRPr="00086743">
        <w:rPr>
          <w:rFonts w:ascii="Cambria" w:hAnsi="Cambria" w:cstheme="majorBidi"/>
        </w:rPr>
        <w:fldChar w:fldCharType="begin">
          <w:fldData xml:space="preserve">PEVuZE5vdGU+PENpdGUgRXhjbHVkZUF1dGg9IjEiIEV4Y2x1ZGVZZWFyPSIxIj48QXV0aG9yPlRl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</w:fldData>
        </w:fldChar>
      </w:r>
      <w:r w:rsidR="00170111" w:rsidRPr="00086743">
        <w:rPr>
          <w:rFonts w:ascii="Cambria" w:hAnsi="Cambria" w:cstheme="majorBidi"/>
        </w:rPr>
        <w:instrText xml:space="preserve"> ADDIN EN.CITE </w:instrText>
      </w:r>
      <w:r w:rsidR="00077D32" w:rsidRPr="00086743">
        <w:rPr>
          <w:rFonts w:ascii="Cambria" w:hAnsi="Cambria" w:cstheme="majorBidi"/>
        </w:rPr>
        <w:fldChar w:fldCharType="begin">
          <w:fldData xml:space="preserve">PEVuZE5vdGU+PENpdGUgRXhjbHVkZUF1dGg9IjEiIEV4Y2x1ZGVZZWFyPSIxIj48QXV0aG9yPlRl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</w:fldData>
        </w:fldChar>
      </w:r>
      <w:r w:rsidR="00170111" w:rsidRPr="00086743">
        <w:rPr>
          <w:rFonts w:ascii="Cambria" w:hAnsi="Cambria" w:cstheme="majorBidi"/>
        </w:rPr>
        <w:instrText xml:space="preserve"> ADDIN EN.CITE.DATA </w:instrText>
      </w:r>
      <w:r w:rsidR="00077D32" w:rsidRPr="00086743">
        <w:rPr>
          <w:rFonts w:ascii="Cambria" w:hAnsi="Cambria" w:cstheme="majorBidi"/>
        </w:rPr>
      </w:r>
      <w:r w:rsidR="00077D32" w:rsidRPr="00086743">
        <w:rPr>
          <w:rFonts w:ascii="Cambria" w:hAnsi="Cambria" w:cstheme="majorBidi"/>
        </w:rPr>
        <w:fldChar w:fldCharType="end"/>
      </w:r>
      <w:r w:rsidR="00077D32" w:rsidRPr="00086743">
        <w:rPr>
          <w:rFonts w:ascii="Cambria" w:hAnsi="Cambria" w:cstheme="majorBidi"/>
        </w:rPr>
      </w:r>
      <w:r w:rsidR="00077D32" w:rsidRPr="00086743">
        <w:rPr>
          <w:rFonts w:ascii="Cambria" w:hAnsi="Cambria" w:cstheme="majorBidi"/>
        </w:rPr>
        <w:fldChar w:fldCharType="separate"/>
      </w:r>
      <w:r w:rsidR="00170111" w:rsidRPr="00086743">
        <w:rPr>
          <w:rFonts w:ascii="Cambria" w:hAnsi="Cambria" w:cstheme="majorBidi"/>
          <w:noProof/>
        </w:rPr>
        <w:t>(23-26)</w:t>
      </w:r>
      <w:r w:rsidR="00077D32" w:rsidRPr="00086743">
        <w:rPr>
          <w:rFonts w:ascii="Cambria" w:hAnsi="Cambria" w:cstheme="majorBidi"/>
        </w:rPr>
        <w:fldChar w:fldCharType="end"/>
      </w:r>
      <w:r w:rsidR="00254E8B" w:rsidRPr="00086743">
        <w:rPr>
          <w:rFonts w:ascii="Cambria" w:hAnsi="Cambria" w:cstheme="majorBidi"/>
        </w:rPr>
        <w:t>)</w:t>
      </w:r>
      <w:r w:rsidR="003B78C9" w:rsidRPr="00086743">
        <w:rPr>
          <w:rFonts w:ascii="Cambria" w:hAnsi="Cambria" w:cstheme="majorBidi"/>
        </w:rPr>
        <w:t xml:space="preserve"> but </w:t>
      </w:r>
      <w:r w:rsidR="003B78C9" w:rsidRPr="00086743">
        <w:rPr>
          <w:rFonts w:ascii="Cambria" w:hAnsi="Cambria" w:cstheme="majorBidi"/>
          <w:bCs/>
        </w:rPr>
        <w:t>o</w:t>
      </w:r>
      <w:r w:rsidR="00C11A77" w:rsidRPr="00086743">
        <w:rPr>
          <w:rFonts w:ascii="Cambria" w:hAnsi="Cambria" w:cstheme="majorBidi"/>
          <w:bCs/>
        </w:rPr>
        <w:t xml:space="preserve">ur focus groups </w:t>
      </w:r>
      <w:r w:rsidR="00A04A3D" w:rsidRPr="00086743">
        <w:rPr>
          <w:rFonts w:ascii="Cambria" w:hAnsi="Cambria" w:cstheme="majorBidi"/>
          <w:bCs/>
        </w:rPr>
        <w:t xml:space="preserve">suggested that service providers felt that callers were satisfied with the new service: </w:t>
      </w:r>
    </w:p>
    <w:p w:rsidR="00A04A3D" w:rsidRPr="00086743" w:rsidRDefault="00D24579" w:rsidP="00681477">
      <w:pPr>
        <w:spacing w:before="240" w:line="360" w:lineRule="auto"/>
        <w:rPr>
          <w:rFonts w:ascii="Cambria" w:hAnsi="Cambria" w:cs="Calibri"/>
          <w:i/>
          <w:iCs/>
        </w:rPr>
      </w:pPr>
      <w:r w:rsidRPr="00086743">
        <w:rPr>
          <w:rFonts w:ascii="Cambria" w:hAnsi="Cambria" w:cs="Calibri"/>
          <w:i/>
          <w:iCs/>
        </w:rPr>
        <w:t>Manager</w:t>
      </w:r>
      <w:r w:rsidR="002C0119" w:rsidRPr="00086743">
        <w:rPr>
          <w:rFonts w:ascii="Cambria" w:hAnsi="Cambria" w:cs="Calibri"/>
          <w:i/>
          <w:iCs/>
        </w:rPr>
        <w:t xml:space="preserve">: </w:t>
      </w:r>
      <w:r w:rsidRPr="00086743">
        <w:rPr>
          <w:rFonts w:ascii="Cambria" w:hAnsi="Cambria" w:cs="Calibri"/>
          <w:i/>
          <w:iCs/>
        </w:rPr>
        <w:t>the older generation … they wouldn't phone 999 because, “oh well, you're very busy, and I don't think I need an ambulance”, whereas the 111 has now given them that option that actually, “I can ring that number, because it's there to help me, because it's not going to tie up an ambulance” [Group</w:t>
      </w:r>
      <w:r w:rsidR="002C0119" w:rsidRPr="00086743">
        <w:rPr>
          <w:rFonts w:ascii="Cambria" w:hAnsi="Cambria" w:cs="Calibri"/>
          <w:i/>
          <w:iCs/>
        </w:rPr>
        <w:t xml:space="preserve"> </w:t>
      </w:r>
      <w:r w:rsidR="00A04A3D" w:rsidRPr="00086743">
        <w:rPr>
          <w:rFonts w:ascii="Cambria" w:hAnsi="Cambria" w:cs="Calibri"/>
          <w:i/>
          <w:iCs/>
        </w:rPr>
        <w:t xml:space="preserve"> nodding and sounds of</w:t>
      </w:r>
      <w:r w:rsidRPr="00086743">
        <w:rPr>
          <w:rFonts w:ascii="Cambria" w:hAnsi="Cambria" w:cs="Calibri"/>
          <w:i/>
          <w:iCs/>
        </w:rPr>
        <w:t xml:space="preserve"> agreement] So, you know, it's opened that door, so, and we are seeing that. </w:t>
      </w:r>
    </w:p>
    <w:p w:rsidR="00254E8B" w:rsidRPr="00086743" w:rsidRDefault="00D24579" w:rsidP="00681477">
      <w:pPr>
        <w:spacing w:before="240" w:line="360" w:lineRule="auto"/>
        <w:rPr>
          <w:rFonts w:ascii="Cambria" w:hAnsi="Cambria" w:cstheme="majorBidi"/>
          <w:b/>
        </w:rPr>
      </w:pPr>
      <w:r w:rsidRPr="00086743">
        <w:rPr>
          <w:rFonts w:ascii="Cambria" w:hAnsi="Cambria" w:cs="Calibri"/>
          <w:i/>
          <w:iCs/>
        </w:rPr>
        <w:t xml:space="preserve">Site 3, focus </w:t>
      </w:r>
      <w:r w:rsidRPr="00086743">
        <w:rPr>
          <w:rFonts w:ascii="Cambria" w:hAnsi="Cambria" w:cs="Calibri"/>
        </w:rPr>
        <w:t>group.</w:t>
      </w:r>
    </w:p>
    <w:p w:rsidR="00A04A3D" w:rsidRPr="00086743" w:rsidRDefault="00D24579" w:rsidP="00681477">
      <w:pPr>
        <w:tabs>
          <w:tab w:val="left" w:pos="720"/>
        </w:tabs>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Call handler 1:  </w:t>
      </w:r>
      <w:r w:rsidR="00A04A3D" w:rsidRPr="00086743">
        <w:rPr>
          <w:rFonts w:ascii="Cambria" w:hAnsi="Cambria" w:cs="Calibri"/>
          <w:i/>
          <w:iCs/>
        </w:rPr>
        <w:t>P</w:t>
      </w:r>
      <w:r w:rsidRPr="00086743">
        <w:rPr>
          <w:rFonts w:ascii="Cambria" w:hAnsi="Cambria" w:cs="Calibri"/>
          <w:i/>
          <w:iCs/>
        </w:rPr>
        <w:t xml:space="preserve">eople know that they can go to work and then just ring 111 when they come in on a night-time, and they know they’re going to be seen… or at least have their symptoms triaged </w:t>
      </w:r>
      <w:r w:rsidR="00A04A3D" w:rsidRPr="00086743">
        <w:rPr>
          <w:rFonts w:ascii="Cambria" w:hAnsi="Cambria" w:cs="Calibri"/>
          <w:i/>
          <w:iCs/>
        </w:rPr>
        <w:t>…</w:t>
      </w:r>
      <w:r w:rsidRPr="00086743">
        <w:rPr>
          <w:rFonts w:ascii="Cambria" w:hAnsi="Cambria" w:cs="Calibri"/>
          <w:i/>
          <w:iCs/>
        </w:rPr>
        <w:t xml:space="preserve">.  So I think it’s successful in that extent, </w:t>
      </w:r>
    </w:p>
    <w:p w:rsidR="00D24579" w:rsidRPr="00086743" w:rsidRDefault="00D24579" w:rsidP="00681477">
      <w:pPr>
        <w:tabs>
          <w:tab w:val="left" w:pos="720"/>
        </w:tabs>
        <w:autoSpaceDE w:val="0"/>
        <w:autoSpaceDN w:val="0"/>
        <w:adjustRightInd w:val="0"/>
        <w:spacing w:before="240" w:after="0" w:line="360" w:lineRule="auto"/>
        <w:rPr>
          <w:rFonts w:ascii="Cambria" w:hAnsi="Cambria" w:cstheme="majorBidi"/>
          <w:b/>
        </w:rPr>
      </w:pPr>
      <w:r w:rsidRPr="00086743">
        <w:rPr>
          <w:rFonts w:ascii="Cambria" w:hAnsi="Cambria" w:cs="Calibri"/>
          <w:i/>
          <w:iCs/>
        </w:rPr>
        <w:t>Site 1, focus group</w:t>
      </w:r>
      <w:r w:rsidRPr="00086743">
        <w:rPr>
          <w:rFonts w:ascii="Cambria" w:hAnsi="Cambria" w:cs="Calibri"/>
        </w:rPr>
        <w:t>.</w:t>
      </w:r>
    </w:p>
    <w:p w:rsidR="00625C93" w:rsidRPr="00086743" w:rsidRDefault="00625C93" w:rsidP="00681477">
      <w:pPr>
        <w:spacing w:before="240" w:line="360" w:lineRule="auto"/>
        <w:rPr>
          <w:rFonts w:ascii="Cambria" w:hAnsi="Cambria" w:cstheme="majorBidi"/>
          <w:b/>
        </w:rPr>
      </w:pPr>
    </w:p>
    <w:p w:rsidR="008019C0" w:rsidRPr="00086743" w:rsidRDefault="00C11A77" w:rsidP="00681477">
      <w:pPr>
        <w:spacing w:before="240" w:line="360" w:lineRule="auto"/>
        <w:rPr>
          <w:rFonts w:ascii="Cambria" w:hAnsi="Cambria" w:cstheme="majorBidi"/>
          <w:b/>
        </w:rPr>
      </w:pPr>
      <w:r w:rsidRPr="00086743">
        <w:rPr>
          <w:rFonts w:ascii="Cambria" w:hAnsi="Cambria" w:cstheme="majorBidi"/>
          <w:b/>
        </w:rPr>
        <w:t>I</w:t>
      </w:r>
      <w:r w:rsidR="006D7C89" w:rsidRPr="00086743">
        <w:rPr>
          <w:rFonts w:ascii="Cambria" w:hAnsi="Cambria" w:cstheme="majorBidi"/>
          <w:b/>
        </w:rPr>
        <w:t xml:space="preserve">mpact on other services?  </w:t>
      </w:r>
    </w:p>
    <w:p w:rsidR="00093FB8" w:rsidRPr="00086743" w:rsidRDefault="00643BD7" w:rsidP="00681477">
      <w:pPr>
        <w:spacing w:before="240" w:line="360" w:lineRule="auto"/>
        <w:rPr>
          <w:rFonts w:ascii="Cambria" w:hAnsi="Cambria"/>
        </w:rPr>
      </w:pPr>
      <w:r w:rsidRPr="00086743">
        <w:rPr>
          <w:rFonts w:ascii="Cambria" w:hAnsi="Cambria" w:cstheme="majorBidi"/>
        </w:rPr>
        <w:t>One criteria of the success of NHS 111 might be whether it reduced the demand for other services. However, t</w:t>
      </w:r>
      <w:r w:rsidR="00C11A77" w:rsidRPr="00086743">
        <w:rPr>
          <w:rFonts w:ascii="Cambria" w:hAnsi="Cambria" w:cstheme="majorBidi"/>
        </w:rPr>
        <w:t xml:space="preserve">he impact on other health services is notoriously </w:t>
      </w:r>
      <w:r w:rsidR="006D7C89" w:rsidRPr="00086743">
        <w:rPr>
          <w:rFonts w:ascii="Cambria" w:hAnsi="Cambria" w:cstheme="majorBidi"/>
        </w:rPr>
        <w:t>difficult to</w:t>
      </w:r>
      <w:r w:rsidR="00C11A77" w:rsidRPr="00086743">
        <w:rPr>
          <w:rFonts w:ascii="Cambria" w:hAnsi="Cambria" w:cstheme="majorBidi"/>
        </w:rPr>
        <w:t xml:space="preserve"> assess. Clearly NHS 111 has </w:t>
      </w:r>
      <w:r w:rsidR="008019C0" w:rsidRPr="00086743">
        <w:rPr>
          <w:rFonts w:ascii="Cambria" w:hAnsi="Cambria" w:cstheme="majorBidi"/>
        </w:rPr>
        <w:t>replaced NHS</w:t>
      </w:r>
      <w:r w:rsidR="00C11A77" w:rsidRPr="00086743">
        <w:rPr>
          <w:rFonts w:ascii="Cambria" w:hAnsi="Cambria" w:cstheme="majorBidi"/>
        </w:rPr>
        <w:t xml:space="preserve"> </w:t>
      </w:r>
      <w:r w:rsidR="008019C0" w:rsidRPr="00086743">
        <w:rPr>
          <w:rFonts w:ascii="Cambria" w:hAnsi="Cambria" w:cstheme="majorBidi"/>
        </w:rPr>
        <w:t>D</w:t>
      </w:r>
      <w:r w:rsidR="00C11A77" w:rsidRPr="00086743">
        <w:rPr>
          <w:rFonts w:ascii="Cambria" w:hAnsi="Cambria" w:cstheme="majorBidi"/>
        </w:rPr>
        <w:t>irect, which was officially discontinued in March 2014</w:t>
      </w:r>
      <w:r w:rsidR="007A1B8D" w:rsidRPr="00086743">
        <w:rPr>
          <w:rFonts w:ascii="Cambria" w:hAnsi="Cambria" w:cstheme="majorBidi"/>
        </w:rPr>
        <w:t xml:space="preserve">. </w:t>
      </w:r>
      <w:r w:rsidR="00C11A77" w:rsidRPr="00086743">
        <w:rPr>
          <w:rFonts w:ascii="Cambria" w:hAnsi="Cambria" w:cstheme="majorBidi"/>
        </w:rPr>
        <w:t xml:space="preserve">The </w:t>
      </w:r>
      <w:r w:rsidR="00254E8B" w:rsidRPr="00086743">
        <w:rPr>
          <w:rFonts w:ascii="Cambria" w:hAnsi="Cambria" w:cstheme="majorBidi"/>
        </w:rPr>
        <w:t>pilot</w:t>
      </w:r>
      <w:r w:rsidR="00C11A77" w:rsidRPr="00086743">
        <w:rPr>
          <w:rFonts w:ascii="Cambria" w:hAnsi="Cambria" w:cstheme="majorBidi"/>
        </w:rPr>
        <w:t xml:space="preserve"> evaluation showed that NHS 111 did not have a statistically significant impact on emergency ambulance calls,</w:t>
      </w:r>
      <w:r w:rsidR="00835F5C" w:rsidRPr="00086743">
        <w:rPr>
          <w:rFonts w:ascii="Cambria" w:hAnsi="Cambria" w:cstheme="majorBidi"/>
        </w:rPr>
        <w:t xml:space="preserve"> </w:t>
      </w:r>
      <w:r w:rsidR="00C11A77" w:rsidRPr="00086743">
        <w:rPr>
          <w:rFonts w:ascii="Cambria" w:hAnsi="Cambria" w:cstheme="majorBidi"/>
        </w:rPr>
        <w:t xml:space="preserve">but </w:t>
      </w:r>
      <w:r w:rsidR="00835F5C" w:rsidRPr="00086743">
        <w:rPr>
          <w:rFonts w:ascii="Cambria" w:hAnsi="Cambria" w:cstheme="majorBidi"/>
        </w:rPr>
        <w:t xml:space="preserve">there was a statistically significant </w:t>
      </w:r>
      <w:r w:rsidR="00C11A77" w:rsidRPr="00086743">
        <w:rPr>
          <w:rFonts w:ascii="Cambria" w:hAnsi="Cambria" w:cstheme="majorBidi"/>
        </w:rPr>
        <w:t>increase in emergency ambulance incidents</w:t>
      </w:r>
      <w:r w:rsidR="005F255E" w:rsidRPr="00086743">
        <w:rPr>
          <w:rFonts w:ascii="Cambria" w:hAnsi="Cambria" w:cstheme="majorBidi"/>
        </w:rPr>
        <w:t xml:space="preserve"> attendances</w:t>
      </w:r>
      <w:r w:rsidR="00281CEC" w:rsidRPr="00086743">
        <w:rPr>
          <w:rFonts w:ascii="Cambria" w:hAnsi="Cambria" w:cstheme="majorBidi"/>
        </w:rPr>
        <w:t>.</w:t>
      </w:r>
      <w:r w:rsidR="00A04A3D"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ExcludeYear="1"&gt;&lt;Author&gt;Turner&lt;/Author&gt;&lt;Year&gt;2013&lt;/Year&gt;&lt;RecNum&gt;8&lt;/RecNum&gt;&lt;DisplayText&gt;(9)&lt;/DisplayText&gt;&lt;record&gt;&lt;rec-number&gt;8&lt;/rec-number&gt;&lt;foreign-keys&gt;&lt;key app="EN" db-id="0eprwd9r99dr2nefav5vwvtge0axsza5fs0z" timestamp="1474642921"&gt;8&lt;/key&gt;&lt;/foreign-keys&gt;&lt;ref-type name="Journal Article"&gt;17&lt;/ref-type&gt;&lt;contributors&gt;&lt;authors&gt;&lt;author&gt;Turner, J&lt;/author&gt;&lt;author&gt;O’Cathain, A&lt;/author&gt;&lt;author&gt;Knowles, E&lt;/author&gt;&lt;author&gt;Nicholl, J&lt;/author&gt;&lt;/authors&gt;&lt;/contributors&gt;&lt;titles&gt;&lt;title&gt;Impact of the urgent care telephone service NHS 111 pilot sites: a controlled before and after study&lt;/title&gt;&lt;secondary-title&gt;BMJ Open&lt;/secondary-title&gt;&lt;/titles&gt;&lt;periodical&gt;&lt;full-title&gt;BMJ Open&lt;/full-title&gt;&lt;/periodical&gt;&lt;pages&gt;e003451&lt;/pages&gt;&lt;volume&gt;3&lt;/volume&gt;&lt;dates&gt;&lt;year&gt;2013&lt;/year&gt;&lt;/dates&gt;&lt;urls&gt;&lt;/urls&gt;&lt;/record&gt;&lt;/Cite&gt;&lt;/EndNote&gt;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(9)</w:t>
      </w:r>
      <w:r w:rsidR="00077D32" w:rsidRPr="00086743">
        <w:rPr>
          <w:rFonts w:ascii="Cambria" w:hAnsi="Cambria" w:cstheme="majorBidi"/>
        </w:rPr>
        <w:fldChar w:fldCharType="end"/>
      </w:r>
      <w:r w:rsidR="00281CEC" w:rsidRPr="00086743">
        <w:rPr>
          <w:rFonts w:ascii="Cambria" w:hAnsi="Cambria" w:cstheme="majorBidi"/>
        </w:rPr>
        <w:t xml:space="preserve"> </w:t>
      </w:r>
      <w:r w:rsidR="00C11A77" w:rsidRPr="00086743">
        <w:rPr>
          <w:rFonts w:ascii="Cambria" w:hAnsi="Cambria" w:cstheme="majorBidi"/>
        </w:rPr>
        <w:t xml:space="preserve"> </w:t>
      </w:r>
      <w:r w:rsidR="00577919" w:rsidRPr="00086743">
        <w:rPr>
          <w:rFonts w:ascii="Cambria" w:hAnsi="Cambria" w:cstheme="majorBidi"/>
        </w:rPr>
        <w:t xml:space="preserve">Analysis of the minimum data set shows that, to date, an average of 11.3% of eligible calls resulted in an emergency ambulance dispatch and </w:t>
      </w:r>
      <w:r w:rsidR="004E60BE" w:rsidRPr="00086743">
        <w:rPr>
          <w:rFonts w:ascii="Cambria" w:hAnsi="Cambria" w:cstheme="majorBidi"/>
        </w:rPr>
        <w:t xml:space="preserve">that </w:t>
      </w:r>
      <w:r w:rsidR="00577919" w:rsidRPr="00086743">
        <w:rPr>
          <w:rFonts w:ascii="Cambria" w:hAnsi="Cambria" w:cstheme="majorBidi"/>
        </w:rPr>
        <w:t xml:space="preserve">8.1% of callers were recommended to attend accident and emergency (see </w:t>
      </w:r>
      <w:r w:rsidR="00077D32" w:rsidRPr="00086743">
        <w:rPr>
          <w:rFonts w:ascii="Cambria" w:hAnsi="Cambria" w:cstheme="majorBidi"/>
        </w:rPr>
        <w:fldChar w:fldCharType="begin"/>
      </w:r>
      <w:r w:rsidR="00577919" w:rsidRPr="00086743">
        <w:rPr>
          <w:rFonts w:ascii="Cambria" w:hAnsi="Cambria" w:cstheme="majorBidi"/>
        </w:rPr>
        <w:instrText xml:space="preserve"> REF _Ref462414366 \h  \* MERGEFORMAT </w:instrText>
      </w:r>
      <w:r w:rsidR="00077D32" w:rsidRPr="00086743">
        <w:rPr>
          <w:rFonts w:ascii="Cambria" w:hAnsi="Cambria" w:cstheme="majorBidi"/>
        </w:rPr>
      </w:r>
      <w:r w:rsidR="00077D32" w:rsidRPr="00086743">
        <w:rPr>
          <w:rFonts w:ascii="Cambria" w:hAnsi="Cambria" w:cstheme="majorBidi"/>
        </w:rPr>
        <w:fldChar w:fldCharType="separate"/>
      </w:r>
    </w:p>
    <w:p w:rsidR="00093FB8" w:rsidRPr="00086743" w:rsidRDefault="00093FB8" w:rsidP="00681477">
      <w:pPr>
        <w:spacing w:before="240" w:line="360" w:lineRule="auto"/>
        <w:rPr>
          <w:rFonts w:ascii="Cambria" w:hAnsi="Cambria"/>
        </w:rPr>
      </w:pPr>
    </w:p>
    <w:p w:rsidR="00093FB8" w:rsidRPr="00086743" w:rsidRDefault="00093FB8" w:rsidP="00681477">
      <w:pPr>
        <w:spacing w:before="240" w:line="360" w:lineRule="auto"/>
        <w:rPr>
          <w:rFonts w:ascii="Cambria" w:hAnsi="Cambria"/>
          <w:noProof/>
        </w:rPr>
      </w:pPr>
    </w:p>
    <w:p w:rsidR="00093FB8" w:rsidRPr="00086743" w:rsidRDefault="00093FB8" w:rsidP="00681477">
      <w:pPr>
        <w:pStyle w:val="Caption"/>
        <w:keepNext/>
        <w:rPr>
          <w:rFonts w:ascii="Cambria" w:hAnsi="Cambria"/>
          <w:sz w:val="22"/>
          <w:szCs w:val="22"/>
        </w:rPr>
      </w:pPr>
    </w:p>
    <w:p w:rsidR="00577919" w:rsidRPr="00086743" w:rsidRDefault="00093FB8" w:rsidP="00681477">
      <w:pPr>
        <w:spacing w:before="240" w:line="360" w:lineRule="auto"/>
        <w:rPr>
          <w:rFonts w:ascii="Cambria" w:hAnsi="Cambria"/>
        </w:rPr>
      </w:pPr>
      <w:r w:rsidRPr="00086743">
        <w:rPr>
          <w:rFonts w:ascii="Cambria" w:hAnsi="Cambria"/>
        </w:rPr>
        <w:t xml:space="preserve">Table </w:t>
      </w:r>
      <w:r w:rsidRPr="00086743">
        <w:rPr>
          <w:rFonts w:ascii="Cambria" w:hAnsi="Cambria"/>
          <w:noProof/>
        </w:rPr>
        <w:t>3</w:t>
      </w:r>
      <w:r w:rsidR="00077D32" w:rsidRPr="00086743">
        <w:rPr>
          <w:rFonts w:ascii="Cambria" w:hAnsi="Cambria" w:cstheme="majorBidi"/>
        </w:rPr>
        <w:fldChar w:fldCharType="end"/>
      </w:r>
      <w:r w:rsidR="00577919" w:rsidRPr="00086743">
        <w:rPr>
          <w:rFonts w:ascii="Cambria" w:hAnsi="Cambria" w:cstheme="majorBidi"/>
        </w:rPr>
        <w:t xml:space="preserve"> for quarterly data).</w:t>
      </w:r>
    </w:p>
    <w:p w:rsidR="00173E53" w:rsidRPr="00086743" w:rsidRDefault="00173E53" w:rsidP="00681477">
      <w:pPr>
        <w:pStyle w:val="Caption"/>
        <w:keepNext/>
        <w:rPr>
          <w:rFonts w:ascii="Cambria" w:hAnsi="Cambria"/>
          <w:sz w:val="22"/>
          <w:szCs w:val="22"/>
        </w:rPr>
      </w:pPr>
      <w:bookmarkStart w:id="3" w:name="_Ref462414366"/>
      <w:bookmarkStart w:id="4" w:name="_Ref462414697"/>
    </w:p>
    <w:p w:rsidR="00173E53" w:rsidRPr="00086743" w:rsidRDefault="00173E53" w:rsidP="00681477">
      <w:pPr>
        <w:pStyle w:val="Caption"/>
        <w:keepNext/>
        <w:rPr>
          <w:rFonts w:ascii="Cambria" w:hAnsi="Cambria"/>
          <w:sz w:val="22"/>
          <w:szCs w:val="22"/>
        </w:rPr>
      </w:pPr>
    </w:p>
    <w:p w:rsidR="00173E53" w:rsidRPr="00086743" w:rsidRDefault="00173E53" w:rsidP="00681477"/>
    <w:p w:rsidR="00173E53" w:rsidRPr="00086743" w:rsidRDefault="00173E53" w:rsidP="00681477">
      <w:pPr>
        <w:pStyle w:val="Caption"/>
        <w:keepNext/>
        <w:rPr>
          <w:rFonts w:ascii="Cambria" w:hAnsi="Cambria"/>
          <w:sz w:val="22"/>
          <w:szCs w:val="22"/>
        </w:rPr>
      </w:pPr>
    </w:p>
    <w:p w:rsidR="00625C93" w:rsidRPr="00086743" w:rsidRDefault="00625C93" w:rsidP="00681477">
      <w:pPr>
        <w:pStyle w:val="Caption"/>
        <w:keepNext/>
        <w:rPr>
          <w:rFonts w:ascii="Cambria" w:hAnsi="Cambria"/>
          <w:sz w:val="22"/>
          <w:szCs w:val="22"/>
        </w:rPr>
      </w:pPr>
      <w:r w:rsidRPr="00086743">
        <w:rPr>
          <w:rFonts w:ascii="Cambria" w:hAnsi="Cambria"/>
          <w:sz w:val="22"/>
          <w:szCs w:val="22"/>
        </w:rPr>
        <w:t xml:space="preserve">Table </w:t>
      </w:r>
      <w:r w:rsidR="00077D32" w:rsidRPr="00086743">
        <w:rPr>
          <w:rFonts w:ascii="Cambria" w:hAnsi="Cambria"/>
          <w:sz w:val="22"/>
          <w:szCs w:val="22"/>
        </w:rPr>
        <w:fldChar w:fldCharType="begin"/>
      </w:r>
      <w:r w:rsidRPr="00086743">
        <w:rPr>
          <w:rFonts w:ascii="Cambria" w:hAnsi="Cambria"/>
          <w:sz w:val="22"/>
          <w:szCs w:val="22"/>
        </w:rPr>
        <w:instrText xml:space="preserve"> SEQ Table \* ARABIC </w:instrText>
      </w:r>
      <w:r w:rsidR="00077D32" w:rsidRPr="00086743">
        <w:rPr>
          <w:rFonts w:ascii="Cambria" w:hAnsi="Cambria"/>
          <w:sz w:val="22"/>
          <w:szCs w:val="22"/>
        </w:rPr>
        <w:fldChar w:fldCharType="separate"/>
      </w:r>
      <w:r w:rsidR="00093FB8" w:rsidRPr="00086743">
        <w:rPr>
          <w:rFonts w:ascii="Cambria" w:hAnsi="Cambria"/>
          <w:noProof/>
          <w:sz w:val="22"/>
          <w:szCs w:val="22"/>
        </w:rPr>
        <w:t>3</w:t>
      </w:r>
      <w:r w:rsidR="00077D32" w:rsidRPr="00086743">
        <w:rPr>
          <w:rFonts w:ascii="Cambria" w:hAnsi="Cambria"/>
          <w:noProof/>
          <w:sz w:val="22"/>
          <w:szCs w:val="22"/>
        </w:rPr>
        <w:fldChar w:fldCharType="end"/>
      </w:r>
      <w:bookmarkEnd w:id="3"/>
      <w:r w:rsidRPr="00086743">
        <w:rPr>
          <w:rFonts w:ascii="Cambria" w:hAnsi="Cambria"/>
          <w:sz w:val="22"/>
          <w:szCs w:val="22"/>
        </w:rPr>
        <w:t xml:space="preserve"> Calls resulting in use of emergency services (ambulance calls or recommendation to attend A&amp;E)</w:t>
      </w:r>
      <w:bookmarkEnd w:id="4"/>
    </w:p>
    <w:tbl>
      <w:tblPr>
        <w:tblStyle w:val="TableGrid"/>
        <w:tblW w:w="5000" w:type="pct"/>
        <w:tblLayout w:type="fixed"/>
        <w:tblCellMar>
          <w:top w:w="28" w:type="dxa"/>
          <w:left w:w="85" w:type="dxa"/>
          <w:bottom w:w="28" w:type="dxa"/>
          <w:right w:w="85" w:type="dxa"/>
        </w:tblCellMar>
        <w:tblLook w:val="04A0" w:firstRow="1" w:lastRow="0" w:firstColumn="1" w:lastColumn="0" w:noHBand="0" w:noVBand="1"/>
      </w:tblPr>
      <w:tblGrid>
        <w:gridCol w:w="1411"/>
        <w:gridCol w:w="707"/>
        <w:gridCol w:w="707"/>
        <w:gridCol w:w="707"/>
        <w:gridCol w:w="708"/>
        <w:gridCol w:w="708"/>
        <w:gridCol w:w="708"/>
        <w:gridCol w:w="708"/>
        <w:gridCol w:w="708"/>
        <w:gridCol w:w="708"/>
        <w:gridCol w:w="708"/>
        <w:gridCol w:w="708"/>
      </w:tblGrid>
      <w:tr w:rsidR="00625C93" w:rsidRPr="00086743" w:rsidTr="00AD2160">
        <w:tc>
          <w:tcPr>
            <w:tcW w:w="1411" w:type="dxa"/>
            <w:vAlign w:val="center"/>
          </w:tcPr>
          <w:p w:rsidR="00625C93" w:rsidRPr="00086743" w:rsidRDefault="00625C93" w:rsidP="00681477">
            <w:pPr>
              <w:rPr>
                <w:rFonts w:ascii="Cambria" w:hAnsi="Cambria"/>
                <w:color w:val="000000" w:themeColor="text1"/>
              </w:rPr>
            </w:pP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2013/14</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Q4</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2014/15</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Q1</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2014/15</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Q2</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2014/15</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Q3</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2014/15</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Q4</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2015/16</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Q1</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2015/16</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Q2</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2015/16</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Q3</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2015/16</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Q4</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2016/17</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Q1</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2016/17</w:t>
            </w:r>
          </w:p>
          <w:p w:rsidR="00625C93" w:rsidRPr="00086743" w:rsidRDefault="00625C93" w:rsidP="00681477">
            <w:pPr>
              <w:jc w:val="center"/>
              <w:rPr>
                <w:rFonts w:ascii="Cambria" w:hAnsi="Cambria"/>
                <w:color w:val="000000" w:themeColor="text1"/>
              </w:rPr>
            </w:pPr>
            <w:r w:rsidRPr="00086743">
              <w:rPr>
                <w:rFonts w:ascii="Cambria" w:hAnsi="Cambria"/>
                <w:color w:val="000000" w:themeColor="text1"/>
              </w:rPr>
              <w:t>Q2</w:t>
            </w:r>
          </w:p>
        </w:tc>
      </w:tr>
      <w:tr w:rsidR="00625C93" w:rsidRPr="00086743" w:rsidTr="00AD2160">
        <w:tc>
          <w:tcPr>
            <w:tcW w:w="9196" w:type="dxa"/>
            <w:gridSpan w:val="12"/>
            <w:vAlign w:val="center"/>
          </w:tcPr>
          <w:p w:rsidR="00625C93" w:rsidRPr="00086743" w:rsidRDefault="00625C93" w:rsidP="00681477">
            <w:pPr>
              <w:rPr>
                <w:rFonts w:ascii="Cambria" w:eastAsia="Times New Roman" w:hAnsi="Cambria" w:cs="Courier New"/>
                <w:b/>
                <w:bCs/>
                <w:i/>
                <w:iCs/>
                <w:color w:val="000000" w:themeColor="text1"/>
              </w:rPr>
            </w:pPr>
            <w:r w:rsidRPr="00086743">
              <w:rPr>
                <w:rFonts w:ascii="Cambria" w:hAnsi="Cambria"/>
                <w:b/>
                <w:bCs/>
                <w:i/>
                <w:iCs/>
                <w:color w:val="000000" w:themeColor="text1"/>
              </w:rPr>
              <w:t>Percentage of calls recommended to emergency services</w:t>
            </w:r>
          </w:p>
        </w:tc>
      </w:tr>
      <w:tr w:rsidR="00625C93" w:rsidRPr="00086743" w:rsidTr="00AD2160">
        <w:trPr>
          <w:trHeight w:val="454"/>
        </w:trPr>
        <w:tc>
          <w:tcPr>
            <w:tcW w:w="1411"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emergency ambulance dispositions</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10.8</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10.6</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11.1</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11.1</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10.6</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10.2</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11.4</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11.6</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11.7</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12.1</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12.5</w:t>
            </w:r>
          </w:p>
        </w:tc>
      </w:tr>
      <w:tr w:rsidR="00625C93" w:rsidRPr="00086743" w:rsidTr="00AD2160">
        <w:trPr>
          <w:trHeight w:val="454"/>
        </w:trPr>
        <w:tc>
          <w:tcPr>
            <w:tcW w:w="1411"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recommended to A&amp;E</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7.4</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7.6</w:t>
            </w:r>
          </w:p>
        </w:tc>
        <w:tc>
          <w:tcPr>
            <w:tcW w:w="707"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8.2</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7.2</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7.7</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8.3</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8.9</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8.0</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7.9</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8.8</w:t>
            </w:r>
          </w:p>
        </w:tc>
        <w:tc>
          <w:tcPr>
            <w:tcW w:w="708" w:type="dxa"/>
            <w:vAlign w:val="center"/>
          </w:tcPr>
          <w:p w:rsidR="00625C93" w:rsidRPr="00086743" w:rsidRDefault="00625C93" w:rsidP="00681477">
            <w:pPr>
              <w:jc w:val="center"/>
              <w:rPr>
                <w:rFonts w:ascii="Cambria" w:hAnsi="Cambria"/>
                <w:color w:val="000000" w:themeColor="text1"/>
              </w:rPr>
            </w:pPr>
            <w:r w:rsidRPr="00086743">
              <w:rPr>
                <w:rFonts w:ascii="Cambria" w:eastAsia="Times New Roman" w:hAnsi="Cambria" w:cs="Courier New"/>
                <w:color w:val="000000" w:themeColor="text1"/>
              </w:rPr>
              <w:t>9.0</w:t>
            </w:r>
          </w:p>
        </w:tc>
      </w:tr>
      <w:tr w:rsidR="00625C93" w:rsidRPr="00086743" w:rsidTr="00AD2160">
        <w:tc>
          <w:tcPr>
            <w:tcW w:w="9196" w:type="dxa"/>
            <w:gridSpan w:val="12"/>
            <w:vAlign w:val="center"/>
          </w:tcPr>
          <w:p w:rsidR="00625C93" w:rsidRPr="00086743" w:rsidRDefault="00625C93" w:rsidP="00681477">
            <w:pPr>
              <w:rPr>
                <w:rFonts w:ascii="Cambria" w:eastAsia="Times New Roman" w:hAnsi="Cambria" w:cs="Courier New"/>
                <w:b/>
                <w:bCs/>
                <w:i/>
                <w:iCs/>
                <w:color w:val="000000" w:themeColor="text1"/>
              </w:rPr>
            </w:pPr>
            <w:r w:rsidRPr="00086743">
              <w:rPr>
                <w:rFonts w:ascii="Cambria" w:hAnsi="Cambria"/>
                <w:b/>
                <w:bCs/>
                <w:i/>
                <w:iCs/>
                <w:color w:val="000000" w:themeColor="text1"/>
              </w:rPr>
              <w:t>Percentage of calls recommended to access non-emergency care</w:t>
            </w:r>
          </w:p>
        </w:tc>
      </w:tr>
      <w:tr w:rsidR="00625C93" w:rsidRPr="00086743" w:rsidTr="00AD2160">
        <w:trPr>
          <w:trHeight w:val="454"/>
        </w:trPr>
        <w:tc>
          <w:tcPr>
            <w:tcW w:w="1411"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 xml:space="preserve">recommended to primary care </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63.3</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63.2</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61.0</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62.7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62.5</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62.4</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60.7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62.0</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62.3</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60.9</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60.0</w:t>
            </w:r>
          </w:p>
        </w:tc>
      </w:tr>
      <w:tr w:rsidR="00625C93" w:rsidRPr="00086743" w:rsidTr="00AD2160">
        <w:trPr>
          <w:trHeight w:val="454"/>
        </w:trPr>
        <w:tc>
          <w:tcPr>
            <w:tcW w:w="1411"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recommended to another service</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3.3</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3.7</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3.5</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3.6</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3.8</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3.6</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3.7</w:t>
            </w:r>
          </w:p>
        </w:tc>
      </w:tr>
      <w:tr w:rsidR="00625C93" w:rsidRPr="00086743" w:rsidTr="00AD2160">
        <w:trPr>
          <w:trHeight w:val="454"/>
        </w:trPr>
        <w:tc>
          <w:tcPr>
            <w:tcW w:w="1411" w:type="dxa"/>
            <w:vAlign w:val="center"/>
          </w:tcPr>
          <w:p w:rsidR="00625C93" w:rsidRPr="00086743" w:rsidRDefault="00625C93" w:rsidP="00681477">
            <w:pPr>
              <w:rPr>
                <w:rFonts w:ascii="Cambria" w:hAnsi="Cambria"/>
                <w:color w:val="000000" w:themeColor="text1"/>
              </w:rPr>
            </w:pPr>
            <w:r w:rsidRPr="00086743">
              <w:rPr>
                <w:rFonts w:ascii="Cambria" w:hAnsi="Cambria"/>
                <w:color w:val="000000" w:themeColor="text1"/>
              </w:rPr>
              <w:t>recommended to self care</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15.1</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14.9</w:t>
            </w:r>
          </w:p>
        </w:tc>
        <w:tc>
          <w:tcPr>
            <w:tcW w:w="707"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15.9</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15.5</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15.6</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15.5</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15.4</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14.7</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14.3</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14.5</w:t>
            </w:r>
          </w:p>
        </w:tc>
        <w:tc>
          <w:tcPr>
            <w:tcW w:w="708" w:type="dxa"/>
            <w:vAlign w:val="center"/>
          </w:tcPr>
          <w:p w:rsidR="00625C93" w:rsidRPr="00086743" w:rsidRDefault="00625C93" w:rsidP="00681477">
            <w:pPr>
              <w:jc w:val="center"/>
              <w:rPr>
                <w:rFonts w:ascii="Cambria" w:eastAsia="Times New Roman" w:hAnsi="Cambria" w:cs="Courier New"/>
                <w:color w:val="000000" w:themeColor="text1"/>
              </w:rPr>
            </w:pPr>
            <w:r w:rsidRPr="00086743">
              <w:rPr>
                <w:rFonts w:ascii="Cambria" w:eastAsia="Times New Roman" w:hAnsi="Cambria" w:cs="Courier New"/>
                <w:color w:val="000000" w:themeColor="text1"/>
              </w:rPr>
              <w:t>14.7</w:t>
            </w:r>
          </w:p>
        </w:tc>
      </w:tr>
    </w:tbl>
    <w:p w:rsidR="00625C93" w:rsidRPr="00086743" w:rsidRDefault="00625C93" w:rsidP="00681477">
      <w:pPr>
        <w:autoSpaceDE w:val="0"/>
        <w:autoSpaceDN w:val="0"/>
        <w:adjustRightInd w:val="0"/>
        <w:spacing w:after="0" w:line="240" w:lineRule="auto"/>
        <w:rPr>
          <w:rFonts w:ascii="Cambria" w:hAnsi="Cambria" w:cs="AdvTTebabd7da"/>
        </w:rPr>
      </w:pPr>
    </w:p>
    <w:p w:rsidR="00165F2F" w:rsidRPr="00086743" w:rsidRDefault="00165F2F" w:rsidP="00681477">
      <w:pPr>
        <w:spacing w:before="240" w:line="360" w:lineRule="auto"/>
        <w:rPr>
          <w:rFonts w:ascii="Cambria" w:hAnsi="Cambria" w:cstheme="majorBidi"/>
        </w:rPr>
      </w:pPr>
    </w:p>
    <w:p w:rsidR="002E327F" w:rsidRPr="00086743" w:rsidRDefault="00625F82" w:rsidP="00681477">
      <w:pPr>
        <w:spacing w:before="240" w:line="360" w:lineRule="auto"/>
        <w:rPr>
          <w:rFonts w:ascii="Cambria" w:hAnsi="Cambria" w:cstheme="majorBidi"/>
        </w:rPr>
      </w:pPr>
      <w:r w:rsidRPr="00086743">
        <w:rPr>
          <w:rFonts w:ascii="Cambria" w:hAnsi="Cambria" w:cstheme="majorBidi"/>
        </w:rPr>
        <w:t xml:space="preserve">Our </w:t>
      </w:r>
      <w:r w:rsidR="00577919" w:rsidRPr="00086743">
        <w:rPr>
          <w:rFonts w:ascii="Cambria" w:hAnsi="Cambria" w:cstheme="majorBidi"/>
        </w:rPr>
        <w:t xml:space="preserve">case study </w:t>
      </w:r>
      <w:r w:rsidRPr="00086743">
        <w:rPr>
          <w:rFonts w:ascii="Cambria" w:hAnsi="Cambria" w:cstheme="majorBidi"/>
        </w:rPr>
        <w:t>data suggest</w:t>
      </w:r>
      <w:r w:rsidR="00835F5C" w:rsidRPr="00086743">
        <w:rPr>
          <w:rFonts w:ascii="Cambria" w:hAnsi="Cambria" w:cstheme="majorBidi"/>
        </w:rPr>
        <w:t>ed that</w:t>
      </w:r>
      <w:r w:rsidRPr="00086743">
        <w:rPr>
          <w:rFonts w:ascii="Cambria" w:hAnsi="Cambria" w:cstheme="majorBidi"/>
        </w:rPr>
        <w:t xml:space="preserve"> </w:t>
      </w:r>
      <w:r w:rsidR="00550B64" w:rsidRPr="00086743">
        <w:rPr>
          <w:rFonts w:ascii="Cambria" w:hAnsi="Cambria" w:cstheme="majorBidi"/>
        </w:rPr>
        <w:t xml:space="preserve">staff </w:t>
      </w:r>
      <w:r w:rsidR="00254E8B" w:rsidRPr="00086743">
        <w:rPr>
          <w:rFonts w:ascii="Cambria" w:hAnsi="Cambria" w:cstheme="majorBidi"/>
        </w:rPr>
        <w:t xml:space="preserve">believe that the </w:t>
      </w:r>
      <w:r w:rsidR="00550B64" w:rsidRPr="00086743">
        <w:rPr>
          <w:rFonts w:ascii="Cambria" w:hAnsi="Cambria" w:cstheme="majorBidi"/>
        </w:rPr>
        <w:t xml:space="preserve">NHS 111 service may have increased the number of ‘non-urgent calls’ (compared with </w:t>
      </w:r>
      <w:r w:rsidR="00254E8B" w:rsidRPr="00086743">
        <w:rPr>
          <w:rFonts w:ascii="Cambria" w:hAnsi="Cambria" w:cstheme="majorBidi"/>
        </w:rPr>
        <w:t xml:space="preserve">previous </w:t>
      </w:r>
      <w:r w:rsidR="00550B64" w:rsidRPr="00086743">
        <w:rPr>
          <w:rFonts w:ascii="Cambria" w:hAnsi="Cambria" w:cstheme="majorBidi"/>
        </w:rPr>
        <w:t xml:space="preserve">out-of-hours </w:t>
      </w:r>
      <w:r w:rsidR="00254E8B" w:rsidRPr="00086743">
        <w:rPr>
          <w:rFonts w:ascii="Cambria" w:hAnsi="Cambria" w:cstheme="majorBidi"/>
        </w:rPr>
        <w:t xml:space="preserve">primary care </w:t>
      </w:r>
      <w:r w:rsidR="00550B64" w:rsidRPr="00086743">
        <w:rPr>
          <w:rFonts w:ascii="Cambria" w:hAnsi="Cambria" w:cstheme="majorBidi"/>
        </w:rPr>
        <w:t>services), including those from people seeking medical advice and reassurance</w:t>
      </w:r>
      <w:r w:rsidR="002E327F" w:rsidRPr="00086743">
        <w:rPr>
          <w:rFonts w:ascii="Cambria" w:hAnsi="Cambria" w:cstheme="majorBidi"/>
        </w:rPr>
        <w:t>:</w:t>
      </w:r>
      <w:r w:rsidR="00550B64" w:rsidRPr="00086743">
        <w:rPr>
          <w:rFonts w:ascii="Cambria" w:hAnsi="Cambria" w:cstheme="majorBidi"/>
        </w:rPr>
        <w:t xml:space="preserve"> </w:t>
      </w:r>
    </w:p>
    <w:p w:rsidR="009A48BB" w:rsidRPr="00086743" w:rsidRDefault="009A48BB"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Interviewer:  </w:t>
      </w:r>
      <w:r w:rsidR="00A04A3D" w:rsidRPr="00086743">
        <w:rPr>
          <w:rFonts w:ascii="Cambria" w:hAnsi="Cambria" w:cs="Calibri"/>
          <w:i/>
          <w:iCs/>
        </w:rPr>
        <w:t>I</w:t>
      </w:r>
      <w:r w:rsidRPr="00086743">
        <w:rPr>
          <w:rFonts w:ascii="Cambria" w:hAnsi="Cambria" w:cs="Calibri"/>
          <w:i/>
          <w:iCs/>
        </w:rPr>
        <w:t>n terms of daytime demand for 111</w:t>
      </w:r>
      <w:r w:rsidR="00A04A3D" w:rsidRPr="00086743">
        <w:rPr>
          <w:rFonts w:ascii="Cambria" w:hAnsi="Cambria" w:cs="Calibri"/>
          <w:i/>
          <w:iCs/>
        </w:rPr>
        <w:t>, h</w:t>
      </w:r>
      <w:r w:rsidRPr="00086743">
        <w:rPr>
          <w:rFonts w:ascii="Cambria" w:hAnsi="Cambria" w:cs="Calibri"/>
          <w:i/>
          <w:iCs/>
        </w:rPr>
        <w:t xml:space="preserve">ave you seen changes since it started? </w:t>
      </w:r>
    </w:p>
    <w:p w:rsidR="009A48BB" w:rsidRPr="00086743" w:rsidRDefault="002E327F"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111 </w:t>
      </w:r>
      <w:r w:rsidR="009A48BB" w:rsidRPr="00086743">
        <w:rPr>
          <w:rFonts w:ascii="Cambria" w:hAnsi="Cambria" w:cs="Calibri"/>
          <w:i/>
          <w:iCs/>
        </w:rPr>
        <w:t>Call handler</w:t>
      </w:r>
      <w:r w:rsidRPr="00086743">
        <w:rPr>
          <w:rFonts w:ascii="Cambria" w:hAnsi="Cambria" w:cs="Calibri"/>
          <w:i/>
          <w:iCs/>
        </w:rPr>
        <w:t xml:space="preserve"> 1</w:t>
      </w:r>
      <w:r w:rsidR="009A48BB" w:rsidRPr="00086743">
        <w:rPr>
          <w:rFonts w:ascii="Cambria" w:hAnsi="Cambria" w:cs="Calibri"/>
          <w:i/>
          <w:iCs/>
        </w:rPr>
        <w:t>: It’s doubled.</w:t>
      </w:r>
    </w:p>
    <w:p w:rsidR="009A48BB" w:rsidRPr="00086743" w:rsidRDefault="002E327F"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111 Clinician</w:t>
      </w:r>
      <w:r w:rsidR="009A48BB" w:rsidRPr="00086743">
        <w:rPr>
          <w:rFonts w:ascii="Cambria" w:hAnsi="Cambria" w:cs="Calibri"/>
          <w:i/>
          <w:iCs/>
        </w:rPr>
        <w:t>:</w:t>
      </w:r>
      <w:r w:rsidR="009A48BB" w:rsidRPr="00086743">
        <w:rPr>
          <w:rFonts w:ascii="Cambria" w:hAnsi="Cambria" w:cs="Calibri"/>
          <w:i/>
          <w:iCs/>
        </w:rPr>
        <w:tab/>
        <w:t xml:space="preserve">we have certainly had a huge increase in demand </w:t>
      </w:r>
      <w:r w:rsidRPr="00086743">
        <w:rPr>
          <w:rFonts w:ascii="Cambria" w:hAnsi="Cambria" w:cs="Calibri"/>
          <w:i/>
          <w:iCs/>
        </w:rPr>
        <w:t>…</w:t>
      </w:r>
      <w:r w:rsidR="009A48BB" w:rsidRPr="00086743">
        <w:rPr>
          <w:rFonts w:ascii="Cambria" w:hAnsi="Cambria" w:cs="Calibri"/>
          <w:i/>
          <w:iCs/>
        </w:rPr>
        <w:t>A lot more requests now for health information are coming through, and general advice.</w:t>
      </w:r>
    </w:p>
    <w:p w:rsidR="009A48BB" w:rsidRPr="00086743" w:rsidRDefault="009A48BB"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Interviewer: where do those health information calls go? Who answers them?</w:t>
      </w:r>
    </w:p>
    <w:p w:rsidR="009A48BB" w:rsidRPr="00086743" w:rsidRDefault="002E327F"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111 Clinician</w:t>
      </w:r>
      <w:r w:rsidR="009A48BB" w:rsidRPr="00086743">
        <w:rPr>
          <w:rFonts w:ascii="Cambria" w:hAnsi="Cambria" w:cs="Calibri"/>
          <w:i/>
          <w:iCs/>
        </w:rPr>
        <w:t>: The majority we sort ourselves, within [111]. Some are referred to other areas, more expertise, some back to their own GPs</w:t>
      </w:r>
      <w:r w:rsidRPr="00086743">
        <w:rPr>
          <w:rFonts w:ascii="Cambria" w:hAnsi="Cambria" w:cs="Calibri"/>
          <w:i/>
          <w:iCs/>
        </w:rPr>
        <w:t>…</w:t>
      </w:r>
      <w:r w:rsidR="009A48BB" w:rsidRPr="00086743">
        <w:rPr>
          <w:rFonts w:ascii="Cambria" w:hAnsi="Cambria" w:cs="Calibri"/>
          <w:i/>
          <w:iCs/>
        </w:rPr>
        <w:t xml:space="preserve"> In the out of hours period [</w:t>
      </w:r>
      <w:r w:rsidRPr="00086743">
        <w:rPr>
          <w:rFonts w:ascii="Cambria" w:hAnsi="Cambria" w:cs="Calibri"/>
          <w:i/>
          <w:iCs/>
        </w:rPr>
        <w:t xml:space="preserve">the </w:t>
      </w:r>
      <w:r w:rsidR="009A48BB" w:rsidRPr="00086743">
        <w:rPr>
          <w:rFonts w:ascii="Cambria" w:hAnsi="Cambria" w:cs="Calibri"/>
          <w:i/>
          <w:iCs/>
        </w:rPr>
        <w:t>UCC] assists us</w:t>
      </w:r>
      <w:r w:rsidRPr="00086743">
        <w:rPr>
          <w:rFonts w:ascii="Cambria" w:hAnsi="Cambria" w:cs="Calibri"/>
          <w:i/>
          <w:iCs/>
        </w:rPr>
        <w:t>…</w:t>
      </w:r>
      <w:r w:rsidR="009A48BB" w:rsidRPr="00086743">
        <w:rPr>
          <w:rFonts w:ascii="Cambria" w:hAnsi="Cambria" w:cs="Calibri"/>
          <w:i/>
          <w:iCs/>
        </w:rPr>
        <w:t xml:space="preserve"> but the majority are sourced in-house.</w:t>
      </w:r>
    </w:p>
    <w:p w:rsidR="009A48BB" w:rsidRPr="00086743" w:rsidRDefault="002E327F"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lastRenderedPageBreak/>
        <w:t xml:space="preserve">111 </w:t>
      </w:r>
      <w:r w:rsidR="009A48BB" w:rsidRPr="00086743">
        <w:rPr>
          <w:rFonts w:ascii="Cambria" w:hAnsi="Cambria" w:cs="Calibri"/>
          <w:i/>
          <w:iCs/>
        </w:rPr>
        <w:t xml:space="preserve">Call handler 2: Sometimes it’s just a telephone number </w:t>
      </w:r>
      <w:r w:rsidRPr="00086743">
        <w:rPr>
          <w:rFonts w:ascii="Cambria" w:hAnsi="Cambria" w:cs="Calibri"/>
          <w:i/>
          <w:iCs/>
        </w:rPr>
        <w:t>…</w:t>
      </w:r>
      <w:r w:rsidR="009A48BB" w:rsidRPr="00086743">
        <w:rPr>
          <w:rFonts w:ascii="Cambria" w:hAnsi="Cambria" w:cs="Calibri"/>
          <w:i/>
          <w:iCs/>
        </w:rPr>
        <w:t xml:space="preserve"> very simple...</w:t>
      </w:r>
    </w:p>
    <w:p w:rsidR="002E327F" w:rsidRPr="00086743" w:rsidRDefault="002E327F"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 xml:space="preserve">111 </w:t>
      </w:r>
      <w:r w:rsidR="009A48BB" w:rsidRPr="00086743">
        <w:rPr>
          <w:rFonts w:ascii="Cambria" w:hAnsi="Cambria" w:cs="Calibri"/>
          <w:i/>
          <w:iCs/>
        </w:rPr>
        <w:t xml:space="preserve">Call </w:t>
      </w:r>
      <w:r w:rsidRPr="00086743">
        <w:rPr>
          <w:rFonts w:ascii="Cambria" w:hAnsi="Cambria" w:cs="Calibri"/>
          <w:i/>
          <w:iCs/>
        </w:rPr>
        <w:t>handler 3</w:t>
      </w:r>
      <w:r w:rsidR="009A48BB" w:rsidRPr="00086743">
        <w:rPr>
          <w:rFonts w:ascii="Cambria" w:hAnsi="Cambria" w:cs="Calibri"/>
          <w:i/>
          <w:iCs/>
        </w:rPr>
        <w:t>: Quite often</w:t>
      </w:r>
      <w:r w:rsidRPr="00086743">
        <w:rPr>
          <w:rFonts w:ascii="Cambria" w:hAnsi="Cambria" w:cs="Calibri"/>
          <w:i/>
          <w:iCs/>
        </w:rPr>
        <w:t>…</w:t>
      </w:r>
      <w:r w:rsidR="009A48BB" w:rsidRPr="00086743">
        <w:rPr>
          <w:rFonts w:ascii="Cambria" w:hAnsi="Cambria" w:cs="Calibri"/>
          <w:i/>
          <w:iCs/>
        </w:rPr>
        <w:t xml:space="preserve"> it's a dental help line number, </w:t>
      </w:r>
      <w:r w:rsidRPr="00086743">
        <w:rPr>
          <w:rFonts w:ascii="Cambria" w:hAnsi="Cambria" w:cs="Calibri"/>
          <w:i/>
          <w:iCs/>
        </w:rPr>
        <w:t>…</w:t>
      </w:r>
      <w:r w:rsidR="009A48BB" w:rsidRPr="00086743">
        <w:rPr>
          <w:rFonts w:ascii="Cambria" w:hAnsi="Cambria" w:cs="Calibri"/>
          <w:i/>
          <w:iCs/>
        </w:rPr>
        <w:t xml:space="preserve"> my son's got chicken pox, can he go to school, </w:t>
      </w:r>
      <w:r w:rsidRPr="00086743">
        <w:rPr>
          <w:rFonts w:ascii="Cambria" w:hAnsi="Cambria" w:cs="Calibri"/>
          <w:i/>
          <w:iCs/>
        </w:rPr>
        <w:t>…</w:t>
      </w:r>
      <w:r w:rsidR="009A48BB" w:rsidRPr="00086743">
        <w:rPr>
          <w:rFonts w:ascii="Cambria" w:hAnsi="Cambria" w:cs="Calibri"/>
          <w:i/>
          <w:iCs/>
        </w:rPr>
        <w:t xml:space="preserve"> through </w:t>
      </w:r>
      <w:r w:rsidRPr="00086743">
        <w:rPr>
          <w:rFonts w:ascii="Cambria" w:hAnsi="Cambria" w:cs="Calibri"/>
          <w:i/>
          <w:iCs/>
        </w:rPr>
        <w:t xml:space="preserve">to </w:t>
      </w:r>
      <w:r w:rsidR="009A48BB" w:rsidRPr="00086743">
        <w:rPr>
          <w:rFonts w:ascii="Cambria" w:hAnsi="Cambria" w:cs="Calibri"/>
          <w:i/>
          <w:iCs/>
        </w:rPr>
        <w:t xml:space="preserve">some really quite complex stuff that we've been getting. </w:t>
      </w:r>
    </w:p>
    <w:p w:rsidR="009A48BB" w:rsidRPr="00086743" w:rsidRDefault="009A48BB" w:rsidP="00681477">
      <w:pPr>
        <w:autoSpaceDE w:val="0"/>
        <w:autoSpaceDN w:val="0"/>
        <w:adjustRightInd w:val="0"/>
        <w:spacing w:before="240" w:after="0" w:line="360" w:lineRule="auto"/>
        <w:rPr>
          <w:rFonts w:ascii="Cambria" w:hAnsi="Cambria" w:cs="Calibri"/>
          <w:i/>
          <w:iCs/>
        </w:rPr>
      </w:pPr>
      <w:r w:rsidRPr="00086743">
        <w:rPr>
          <w:rFonts w:ascii="Cambria" w:hAnsi="Cambria" w:cs="Calibri"/>
          <w:i/>
          <w:iCs/>
        </w:rPr>
        <w:t>Site 3, Focus group.</w:t>
      </w:r>
    </w:p>
    <w:p w:rsidR="009A48BB" w:rsidRPr="00086743" w:rsidRDefault="00577919" w:rsidP="00681477">
      <w:pPr>
        <w:spacing w:before="240" w:line="360" w:lineRule="auto"/>
        <w:rPr>
          <w:rFonts w:ascii="Cambria" w:hAnsi="Cambria" w:cstheme="majorBidi"/>
        </w:rPr>
      </w:pPr>
      <w:r w:rsidRPr="00086743">
        <w:rPr>
          <w:rFonts w:ascii="Cambria" w:hAnsi="Cambria" w:cstheme="majorBidi"/>
        </w:rPr>
        <w:t>In addition, t</w:t>
      </w:r>
      <w:r w:rsidR="002E327F" w:rsidRPr="00086743">
        <w:rPr>
          <w:rFonts w:ascii="Cambria" w:hAnsi="Cambria" w:cstheme="majorBidi"/>
        </w:rPr>
        <w:t xml:space="preserve">he referral of patients from NHS 111 to other services sometimes put pressure on working relationships between services: </w:t>
      </w:r>
    </w:p>
    <w:p w:rsidR="002E327F" w:rsidRPr="00086743" w:rsidRDefault="002E327F" w:rsidP="00681477">
      <w:pPr>
        <w:autoSpaceDE w:val="0"/>
        <w:autoSpaceDN w:val="0"/>
        <w:adjustRightInd w:val="0"/>
        <w:spacing w:before="240" w:after="0" w:line="360" w:lineRule="auto"/>
        <w:rPr>
          <w:rFonts w:ascii="Cambria" w:hAnsi="Cambria" w:cs="Times New Roman"/>
          <w:i/>
          <w:iCs/>
        </w:rPr>
      </w:pPr>
      <w:r w:rsidRPr="00086743">
        <w:rPr>
          <w:rFonts w:ascii="Cambria" w:hAnsi="Cambria" w:cs="Times New Roman"/>
          <w:i/>
          <w:iCs/>
        </w:rPr>
        <w:t>Clinician</w:t>
      </w:r>
      <w:r w:rsidR="0022779E" w:rsidRPr="00086743">
        <w:rPr>
          <w:rFonts w:ascii="Cambria" w:hAnsi="Cambria" w:cs="Times New Roman"/>
          <w:i/>
          <w:iCs/>
        </w:rPr>
        <w:t xml:space="preserve"> 2 says that one of the big problems is ‘sending all the home visits through as a 2 hour priority’. </w:t>
      </w:r>
      <w:r w:rsidRPr="00086743">
        <w:rPr>
          <w:rFonts w:ascii="Cambria" w:hAnsi="Cambria" w:cs="Times New Roman"/>
          <w:i/>
          <w:iCs/>
        </w:rPr>
        <w:t>…</w:t>
      </w:r>
      <w:r w:rsidR="0022779E" w:rsidRPr="00086743">
        <w:rPr>
          <w:rFonts w:ascii="Cambria" w:hAnsi="Cambria" w:cs="Times New Roman"/>
          <w:i/>
          <w:iCs/>
        </w:rPr>
        <w:t xml:space="preserve">He says that many of these calls do not need visiting within 2 hours. Other problems include sending cases to the UCC that really require </w:t>
      </w:r>
      <w:r w:rsidRPr="00086743">
        <w:rPr>
          <w:rFonts w:ascii="Cambria" w:hAnsi="Cambria" w:cs="Times New Roman"/>
          <w:i/>
          <w:iCs/>
        </w:rPr>
        <w:t>Emergency Department visit</w:t>
      </w:r>
      <w:r w:rsidR="0022779E" w:rsidRPr="00086743">
        <w:rPr>
          <w:rFonts w:ascii="Cambria" w:hAnsi="Cambria" w:cs="Times New Roman"/>
          <w:i/>
          <w:iCs/>
        </w:rPr>
        <w:t xml:space="preserve">.  </w:t>
      </w:r>
      <w:r w:rsidRPr="00086743">
        <w:rPr>
          <w:rFonts w:ascii="Cambria" w:hAnsi="Cambria" w:cs="Times New Roman"/>
          <w:i/>
          <w:iCs/>
        </w:rPr>
        <w:t>…</w:t>
      </w:r>
      <w:r w:rsidR="0022779E" w:rsidRPr="00086743">
        <w:rPr>
          <w:rFonts w:ascii="Cambria" w:hAnsi="Cambria" w:cs="Times New Roman"/>
          <w:i/>
          <w:iCs/>
        </w:rPr>
        <w:t xml:space="preserve">He says that there is some tension with [111] about triaging and what the </w:t>
      </w:r>
      <w:r w:rsidRPr="00086743">
        <w:rPr>
          <w:rFonts w:ascii="Cambria" w:hAnsi="Cambria" w:cs="Times New Roman"/>
          <w:i/>
          <w:iCs/>
        </w:rPr>
        <w:t>UCC</w:t>
      </w:r>
      <w:r w:rsidR="0022779E" w:rsidRPr="00086743">
        <w:rPr>
          <w:rFonts w:ascii="Cambria" w:hAnsi="Cambria" w:cs="Times New Roman"/>
          <w:i/>
          <w:iCs/>
        </w:rPr>
        <w:t xml:space="preserve"> perceive as incorrect dispositions. He says that [111] will “never admit they are wrong”. </w:t>
      </w:r>
    </w:p>
    <w:p w:rsidR="0022779E" w:rsidRPr="00086743" w:rsidRDefault="002E327F" w:rsidP="00681477">
      <w:pPr>
        <w:autoSpaceDE w:val="0"/>
        <w:autoSpaceDN w:val="0"/>
        <w:adjustRightInd w:val="0"/>
        <w:spacing w:before="240" w:after="0" w:line="360" w:lineRule="auto"/>
        <w:rPr>
          <w:rFonts w:ascii="Cambria" w:hAnsi="Cambria" w:cs="Times New Roman"/>
          <w:i/>
          <w:iCs/>
        </w:rPr>
      </w:pPr>
      <w:r w:rsidRPr="00086743">
        <w:rPr>
          <w:rFonts w:ascii="Cambria" w:hAnsi="Cambria" w:cs="Times New Roman"/>
          <w:i/>
          <w:iCs/>
        </w:rPr>
        <w:t xml:space="preserve">UCC </w:t>
      </w:r>
      <w:r w:rsidR="0022779E" w:rsidRPr="00086743">
        <w:rPr>
          <w:rFonts w:ascii="Cambria" w:hAnsi="Cambria" w:cs="Times New Roman"/>
          <w:i/>
          <w:iCs/>
        </w:rPr>
        <w:t xml:space="preserve">site 1, </w:t>
      </w:r>
      <w:r w:rsidRPr="00086743">
        <w:rPr>
          <w:rFonts w:ascii="Cambria" w:hAnsi="Cambria" w:cs="Times New Roman"/>
          <w:i/>
          <w:iCs/>
        </w:rPr>
        <w:t>Observation.</w:t>
      </w:r>
    </w:p>
    <w:p w:rsidR="00577919" w:rsidRPr="00086743" w:rsidRDefault="00577919" w:rsidP="00681477">
      <w:pPr>
        <w:spacing w:before="240" w:line="360" w:lineRule="auto"/>
        <w:rPr>
          <w:rFonts w:ascii="Cambria" w:hAnsi="Cambria" w:cstheme="majorBidi"/>
          <w:b/>
        </w:rPr>
      </w:pPr>
    </w:p>
    <w:p w:rsidR="006D7C89" w:rsidRPr="00086743" w:rsidRDefault="00012767" w:rsidP="00681477">
      <w:pPr>
        <w:spacing w:before="240" w:line="360" w:lineRule="auto"/>
        <w:rPr>
          <w:rFonts w:ascii="Cambria" w:hAnsi="Cambria" w:cstheme="majorBidi"/>
          <w:b/>
        </w:rPr>
      </w:pPr>
      <w:r w:rsidRPr="00086743">
        <w:rPr>
          <w:rFonts w:ascii="Cambria" w:hAnsi="Cambria" w:cstheme="majorBidi"/>
          <w:b/>
        </w:rPr>
        <w:t xml:space="preserve">Is </w:t>
      </w:r>
      <w:r w:rsidR="00927413" w:rsidRPr="00086743">
        <w:rPr>
          <w:rFonts w:ascii="Cambria" w:hAnsi="Cambria" w:cstheme="majorBidi"/>
          <w:b/>
        </w:rPr>
        <w:t>NHS 111</w:t>
      </w:r>
      <w:r w:rsidRPr="00086743">
        <w:rPr>
          <w:rFonts w:ascii="Cambria" w:hAnsi="Cambria" w:cstheme="majorBidi"/>
          <w:b/>
        </w:rPr>
        <w:t xml:space="preserve"> cost effective? </w:t>
      </w:r>
      <w:r w:rsidR="007A1B8D" w:rsidRPr="00086743">
        <w:rPr>
          <w:rFonts w:ascii="Cambria" w:hAnsi="Cambria" w:cstheme="majorBidi"/>
          <w:b/>
        </w:rPr>
        <w:t xml:space="preserve"> </w:t>
      </w:r>
    </w:p>
    <w:p w:rsidR="00550B64" w:rsidRPr="00086743" w:rsidRDefault="00625F82" w:rsidP="00681477">
      <w:pPr>
        <w:autoSpaceDE w:val="0"/>
        <w:autoSpaceDN w:val="0"/>
        <w:adjustRightInd w:val="0"/>
        <w:spacing w:before="240" w:after="0" w:line="360" w:lineRule="auto"/>
        <w:rPr>
          <w:rFonts w:ascii="Cambria" w:hAnsi="Cambria" w:cstheme="majorBidi"/>
        </w:rPr>
      </w:pPr>
      <w:r w:rsidRPr="00086743">
        <w:rPr>
          <w:rFonts w:ascii="Cambria" w:hAnsi="Cambria" w:cstheme="majorBidi"/>
        </w:rPr>
        <w:t xml:space="preserve">There is a significant </w:t>
      </w:r>
      <w:r w:rsidR="00F35A05" w:rsidRPr="00086743">
        <w:rPr>
          <w:rFonts w:ascii="Cambria" w:hAnsi="Cambria" w:cstheme="majorBidi"/>
        </w:rPr>
        <w:t xml:space="preserve">lack of robust </w:t>
      </w:r>
      <w:r w:rsidRPr="00086743">
        <w:rPr>
          <w:rFonts w:ascii="Cambria" w:hAnsi="Cambria" w:cstheme="majorBidi"/>
        </w:rPr>
        <w:t xml:space="preserve">data about </w:t>
      </w:r>
      <w:r w:rsidR="00F35A05" w:rsidRPr="00086743">
        <w:rPr>
          <w:rFonts w:ascii="Cambria" w:hAnsi="Cambria" w:cstheme="majorBidi"/>
        </w:rPr>
        <w:t>resource use and costing</w:t>
      </w:r>
      <w:r w:rsidRPr="00086743">
        <w:rPr>
          <w:rFonts w:ascii="Cambria" w:hAnsi="Cambria" w:cstheme="majorBidi"/>
        </w:rPr>
        <w:t xml:space="preserve"> of this service, both in terms of initiation and ongoing </w:t>
      </w:r>
      <w:r w:rsidR="007A1B8D" w:rsidRPr="00086743">
        <w:rPr>
          <w:rFonts w:ascii="Cambria" w:hAnsi="Cambria" w:cstheme="majorBidi"/>
        </w:rPr>
        <w:t>running costs</w:t>
      </w:r>
      <w:r w:rsidR="00F35A05" w:rsidRPr="00086743">
        <w:rPr>
          <w:rFonts w:ascii="Cambria" w:hAnsi="Cambria" w:cstheme="majorBidi"/>
        </w:rPr>
        <w:t xml:space="preserve">. </w:t>
      </w:r>
      <w:r w:rsidRPr="00086743">
        <w:rPr>
          <w:rFonts w:ascii="Cambria" w:hAnsi="Cambria" w:cstheme="majorBidi"/>
        </w:rPr>
        <w:t xml:space="preserve">The development </w:t>
      </w:r>
      <w:r w:rsidR="00F35A05" w:rsidRPr="00086743">
        <w:rPr>
          <w:rFonts w:ascii="Cambria" w:hAnsi="Cambria" w:cstheme="majorBidi"/>
        </w:rPr>
        <w:t xml:space="preserve">costs </w:t>
      </w:r>
      <w:r w:rsidRPr="00086743">
        <w:rPr>
          <w:rFonts w:ascii="Cambria" w:hAnsi="Cambria" w:cstheme="majorBidi"/>
        </w:rPr>
        <w:t xml:space="preserve">for the </w:t>
      </w:r>
      <w:r w:rsidR="00F35A05" w:rsidRPr="00086743">
        <w:rPr>
          <w:rFonts w:ascii="Cambria" w:hAnsi="Cambria" w:cstheme="majorBidi"/>
        </w:rPr>
        <w:t>CDSS</w:t>
      </w:r>
      <w:r w:rsidR="007A1B8D" w:rsidRPr="00086743">
        <w:rPr>
          <w:rFonts w:ascii="Cambria" w:hAnsi="Cambria" w:cstheme="majorBidi"/>
        </w:rPr>
        <w:t xml:space="preserve"> </w:t>
      </w:r>
      <w:r w:rsidR="00F35A05" w:rsidRPr="00086743">
        <w:rPr>
          <w:rFonts w:ascii="Cambria" w:hAnsi="Cambria" w:cstheme="majorBidi"/>
        </w:rPr>
        <w:t>software</w:t>
      </w:r>
      <w:r w:rsidRPr="00086743">
        <w:rPr>
          <w:rFonts w:ascii="Cambria" w:hAnsi="Cambria" w:cstheme="majorBidi"/>
        </w:rPr>
        <w:t xml:space="preserve"> are not publically available </w:t>
      </w:r>
      <w:r w:rsidR="00F35A05" w:rsidRPr="00086743">
        <w:rPr>
          <w:rFonts w:ascii="Cambria" w:hAnsi="Cambria" w:cstheme="majorBidi"/>
        </w:rPr>
        <w:t xml:space="preserve">and </w:t>
      </w:r>
      <w:r w:rsidRPr="00086743">
        <w:rPr>
          <w:rFonts w:ascii="Cambria" w:hAnsi="Cambria" w:cstheme="majorBidi"/>
        </w:rPr>
        <w:t>it has been outside the scope of our studies to obtain cost data for individual</w:t>
      </w:r>
      <w:r w:rsidR="001C63E0" w:rsidRPr="00086743">
        <w:rPr>
          <w:rFonts w:ascii="Cambria" w:hAnsi="Cambria" w:cstheme="majorBidi"/>
        </w:rPr>
        <w:t xml:space="preserve"> NHS 111</w:t>
      </w:r>
      <w:r w:rsidRPr="00086743">
        <w:rPr>
          <w:rFonts w:ascii="Cambria" w:hAnsi="Cambria" w:cstheme="majorBidi"/>
        </w:rPr>
        <w:t xml:space="preserve"> services which are separately commissioned</w:t>
      </w:r>
      <w:r w:rsidR="009F0D35" w:rsidRPr="00086743">
        <w:rPr>
          <w:rFonts w:ascii="Cambria" w:hAnsi="Cambria" w:cstheme="majorBidi"/>
        </w:rPr>
        <w:t xml:space="preserve"> by Clinical Commissioning Groups.  The use of some </w:t>
      </w:r>
      <w:r w:rsidR="00F35A05" w:rsidRPr="00086743">
        <w:rPr>
          <w:rFonts w:ascii="Cambria" w:hAnsi="Cambria" w:cstheme="majorBidi"/>
        </w:rPr>
        <w:t xml:space="preserve">existing infrastructure and estate </w:t>
      </w:r>
      <w:r w:rsidR="007A1B8D" w:rsidRPr="00086743">
        <w:rPr>
          <w:rFonts w:ascii="Cambria" w:hAnsi="Cambria" w:cstheme="majorBidi"/>
        </w:rPr>
        <w:t>(</w:t>
      </w:r>
      <w:r w:rsidR="00F35A05" w:rsidRPr="00086743">
        <w:rPr>
          <w:rFonts w:ascii="Cambria" w:hAnsi="Cambria" w:cstheme="majorBidi"/>
        </w:rPr>
        <w:t>call centre accommodation</w:t>
      </w:r>
      <w:r w:rsidR="001C63E0" w:rsidRPr="00086743">
        <w:rPr>
          <w:rFonts w:ascii="Cambria" w:hAnsi="Cambria" w:cstheme="majorBidi"/>
        </w:rPr>
        <w:t>,</w:t>
      </w:r>
      <w:r w:rsidR="009F0D35" w:rsidRPr="00086743">
        <w:rPr>
          <w:rFonts w:ascii="Cambria" w:hAnsi="Cambria" w:cstheme="majorBidi"/>
        </w:rPr>
        <w:t xml:space="preserve"> </w:t>
      </w:r>
      <w:r w:rsidR="00F35A05" w:rsidRPr="00086743">
        <w:rPr>
          <w:rFonts w:ascii="Cambria" w:hAnsi="Cambria" w:cstheme="majorBidi"/>
        </w:rPr>
        <w:t>telephony, computing and training facilities and human resource management capability</w:t>
      </w:r>
      <w:r w:rsidR="007A1B8D" w:rsidRPr="00086743">
        <w:rPr>
          <w:rFonts w:ascii="Cambria" w:hAnsi="Cambria" w:cstheme="majorBidi"/>
        </w:rPr>
        <w:t>)</w:t>
      </w:r>
      <w:r w:rsidR="009F0D35" w:rsidRPr="00086743">
        <w:rPr>
          <w:rFonts w:ascii="Cambria" w:hAnsi="Cambria" w:cstheme="majorBidi"/>
        </w:rPr>
        <w:t xml:space="preserve"> from NHS Direct and or Ambulance Service sites compounds the difficulties in calculating initiation costs</w:t>
      </w:r>
      <w:r w:rsidR="007A1B8D" w:rsidRPr="00086743">
        <w:rPr>
          <w:rFonts w:ascii="Cambria" w:hAnsi="Cambria" w:cstheme="majorBidi"/>
        </w:rPr>
        <w:t xml:space="preserve">. </w:t>
      </w:r>
      <w:r w:rsidR="009F0D35" w:rsidRPr="00086743">
        <w:rPr>
          <w:rFonts w:ascii="Cambria" w:hAnsi="Cambria" w:cstheme="majorBidi"/>
        </w:rPr>
        <w:t xml:space="preserve">The </w:t>
      </w:r>
      <w:r w:rsidR="00F35A05" w:rsidRPr="00086743">
        <w:rPr>
          <w:rFonts w:ascii="Cambria" w:hAnsi="Cambria" w:cstheme="majorBidi"/>
        </w:rPr>
        <w:t xml:space="preserve">Sheffield </w:t>
      </w:r>
      <w:r w:rsidR="001C63E0" w:rsidRPr="00086743">
        <w:rPr>
          <w:rFonts w:ascii="Cambria" w:hAnsi="Cambria" w:cstheme="majorBidi"/>
        </w:rPr>
        <w:t xml:space="preserve">evaluation team </w:t>
      </w:r>
      <w:r w:rsidR="009F0D35" w:rsidRPr="00086743">
        <w:rPr>
          <w:rFonts w:ascii="Cambria" w:hAnsi="Cambria" w:cstheme="majorBidi"/>
        </w:rPr>
        <w:t xml:space="preserve">were able to </w:t>
      </w:r>
      <w:r w:rsidR="00F35A05" w:rsidRPr="00086743">
        <w:rPr>
          <w:rFonts w:ascii="Cambria" w:hAnsi="Cambria" w:cstheme="majorBidi"/>
        </w:rPr>
        <w:t xml:space="preserve">estimate costs </w:t>
      </w:r>
      <w:r w:rsidR="009F0D35" w:rsidRPr="00086743">
        <w:rPr>
          <w:rFonts w:ascii="Cambria" w:hAnsi="Cambria" w:cstheme="majorBidi"/>
        </w:rPr>
        <w:t>for the four pilot sites as £201,000 per month, with a total impact for the NHS of £307,000 per month</w:t>
      </w:r>
      <w:r w:rsidR="00281CEC" w:rsidRPr="00086743">
        <w:rPr>
          <w:rFonts w:ascii="Cambria" w:hAnsi="Cambria" w:cstheme="majorBidi"/>
        </w:rPr>
        <w:t xml:space="preserve">. </w:t>
      </w:r>
      <w:r w:rsidR="00077D32" w:rsidRPr="00086743">
        <w:rPr>
          <w:rFonts w:ascii="Cambria" w:hAnsi="Cambria" w:cstheme="majorBidi"/>
        </w:rPr>
        <w:fldChar w:fldCharType="begin"/>
      </w:r>
      <w:r w:rsidR="00170111" w:rsidRPr="00086743">
        <w:rPr>
          <w:rFonts w:ascii="Cambria" w:hAnsi="Cambria" w:cstheme="majorBidi"/>
        </w:rPr>
        <w:instrText xml:space="preserve"> ADDIN EN.CITE &lt;EndNote&gt;&lt;Cite ExcludeAuth="1" ExcludeYear="1"&gt;&lt;Author&gt;Turner&lt;/Author&gt;&lt;Year&gt;2012&lt;/Year&gt;&lt;RecNum&gt;30&lt;/RecNum&gt;&lt;DisplayText&gt;(8)&lt;/DisplayText&gt;&lt;record&gt;&lt;rec-number&gt;30&lt;/rec-number&gt;&lt;foreign-keys&gt;&lt;key app="EN" db-id="0eprwd9r99dr2nefav5vwvtge0axsza5fs0z" timestamp="1488233964"&gt;30&lt;/key&gt;&lt;/foreign-keys&gt;&lt;ref-type name="Report"&gt;27&lt;/ref-type&gt;&lt;contributors&gt;&lt;authors&gt;&lt;author&gt;Turner, J&lt;/author&gt;&lt;author&gt;O’Cathain, A&lt;/author&gt;&lt;author&gt;Knowles, E&lt;/author&gt;&lt;author&gt;Nicholl, J&lt;/author&gt;&lt;author&gt;Tosh, J&lt;/author&gt;&lt;author&gt;Sampson, F&lt;/author&gt;&lt;author&gt;Coleman, P&lt;/author&gt;&lt;author&gt;Coster, J&lt;/author&gt;&lt;/authors&gt;&lt;/contributors&gt;&lt;titles&gt;&lt;title&gt;Evaluation of NHS 111 Pilot sites. Final Report to the Department of Health&lt;/title&gt;&lt;/titles&gt;&lt;dates&gt;&lt;year&gt;2012&lt;/year&gt;&lt;/dates&gt;&lt;pub-location&gt;Medical Care Research Unit&lt;/pub-location&gt;&lt;publisher&gt;University of Sheffield&lt;/publisher&gt;&lt;urls&gt;&lt;related-urls&gt;&lt;url&gt;http://www.shef.ac.uk/polopoly_fs/1.227404!/file/NHS_111_final_report_August_2012.pdf&lt;/url&gt;&lt;/related-urls&gt;&lt;/urls&gt;&lt;/record&gt;&lt;/Cite&gt;&lt;/EndNote&gt;</w:instrText>
      </w:r>
      <w:r w:rsidR="00077D32" w:rsidRPr="00086743">
        <w:rPr>
          <w:rFonts w:ascii="Cambria" w:hAnsi="Cambria" w:cstheme="majorBidi"/>
        </w:rPr>
        <w:fldChar w:fldCharType="separate"/>
      </w:r>
      <w:r w:rsidR="00170111" w:rsidRPr="00086743">
        <w:rPr>
          <w:rFonts w:ascii="Cambria" w:hAnsi="Cambria" w:cstheme="majorBidi"/>
          <w:noProof/>
        </w:rPr>
        <w:t>(8)</w:t>
      </w:r>
      <w:r w:rsidR="00077D32" w:rsidRPr="00086743">
        <w:rPr>
          <w:rFonts w:ascii="Cambria" w:hAnsi="Cambria" w:cstheme="majorBidi"/>
        </w:rPr>
        <w:fldChar w:fldCharType="end"/>
      </w:r>
      <w:r w:rsidR="003C23CA" w:rsidRPr="00086743">
        <w:rPr>
          <w:rFonts w:ascii="Cambria" w:hAnsi="Cambria" w:cstheme="majorBidi"/>
        </w:rPr>
        <w:t xml:space="preserve"> </w:t>
      </w:r>
      <w:r w:rsidR="009F0D35" w:rsidRPr="00086743">
        <w:rPr>
          <w:rFonts w:ascii="Cambria" w:hAnsi="Cambria" w:cstheme="majorBidi"/>
        </w:rPr>
        <w:t>This averaged as £12.26 per call</w:t>
      </w:r>
      <w:r w:rsidR="00550B64" w:rsidRPr="00086743">
        <w:rPr>
          <w:rFonts w:ascii="Cambria" w:hAnsi="Cambria" w:cstheme="majorBidi"/>
        </w:rPr>
        <w:t xml:space="preserve">, </w:t>
      </w:r>
      <w:r w:rsidR="009F0D35" w:rsidRPr="00086743">
        <w:rPr>
          <w:rFonts w:ascii="Cambria" w:hAnsi="Cambria" w:cstheme="majorBidi"/>
        </w:rPr>
        <w:t>however the report authors urged caution around these estimates due to variability</w:t>
      </w:r>
      <w:r w:rsidR="00550B64" w:rsidRPr="00086743">
        <w:rPr>
          <w:rFonts w:ascii="Cambria" w:hAnsi="Cambria" w:cstheme="majorBidi"/>
        </w:rPr>
        <w:t xml:space="preserve"> in </w:t>
      </w:r>
      <w:r w:rsidR="001C63E0" w:rsidRPr="00086743">
        <w:rPr>
          <w:rFonts w:ascii="Cambria" w:hAnsi="Cambria" w:cstheme="majorBidi"/>
        </w:rPr>
        <w:t>services</w:t>
      </w:r>
      <w:r w:rsidR="00550B64" w:rsidRPr="00086743">
        <w:rPr>
          <w:rFonts w:ascii="Cambria" w:hAnsi="Cambria" w:cstheme="majorBidi"/>
        </w:rPr>
        <w:t xml:space="preserve"> </w:t>
      </w:r>
      <w:r w:rsidR="001C63E0" w:rsidRPr="00086743">
        <w:rPr>
          <w:rFonts w:ascii="Cambria" w:hAnsi="Cambria" w:cstheme="majorBidi"/>
        </w:rPr>
        <w:t>across</w:t>
      </w:r>
      <w:r w:rsidR="00550B64" w:rsidRPr="00086743">
        <w:rPr>
          <w:rFonts w:ascii="Cambria" w:hAnsi="Cambria" w:cstheme="majorBidi"/>
        </w:rPr>
        <w:t xml:space="preserve"> the four sites</w:t>
      </w:r>
      <w:r w:rsidR="009F0D35" w:rsidRPr="00086743">
        <w:rPr>
          <w:rFonts w:ascii="Cambria" w:hAnsi="Cambria" w:cstheme="majorBidi"/>
        </w:rPr>
        <w:t xml:space="preserve">. </w:t>
      </w:r>
      <w:r w:rsidR="00550B64" w:rsidRPr="00086743">
        <w:rPr>
          <w:rFonts w:ascii="Cambria" w:hAnsi="Cambria" w:cstheme="majorBidi"/>
        </w:rPr>
        <w:t xml:space="preserve">A significant barrier to assessing cost effectiveness is the lack of </w:t>
      </w:r>
      <w:r w:rsidR="00F35A05" w:rsidRPr="00086743">
        <w:rPr>
          <w:rFonts w:ascii="Cambria" w:hAnsi="Cambria" w:cstheme="majorBidi"/>
        </w:rPr>
        <w:t>data on</w:t>
      </w:r>
      <w:r w:rsidR="007A1B8D" w:rsidRPr="00086743">
        <w:rPr>
          <w:rFonts w:ascii="Cambria" w:hAnsi="Cambria" w:cstheme="majorBidi"/>
        </w:rPr>
        <w:t xml:space="preserve"> measurable health outcomes</w:t>
      </w:r>
      <w:r w:rsidR="00550B64" w:rsidRPr="00086743">
        <w:rPr>
          <w:rFonts w:ascii="Cambria" w:hAnsi="Cambria" w:cstheme="majorBidi"/>
        </w:rPr>
        <w:t xml:space="preserve"> and the difficulties in capturing and </w:t>
      </w:r>
      <w:r w:rsidR="00F35A05" w:rsidRPr="00086743">
        <w:rPr>
          <w:rFonts w:ascii="Cambria" w:hAnsi="Cambria" w:cstheme="majorBidi"/>
        </w:rPr>
        <w:t xml:space="preserve">disaggregating </w:t>
      </w:r>
      <w:r w:rsidR="00550B64" w:rsidRPr="00086743">
        <w:rPr>
          <w:rFonts w:ascii="Cambria" w:hAnsi="Cambria" w:cstheme="majorBidi"/>
        </w:rPr>
        <w:t>a</w:t>
      </w:r>
      <w:r w:rsidR="00F35A05" w:rsidRPr="00086743">
        <w:rPr>
          <w:rFonts w:ascii="Cambria" w:hAnsi="Cambria" w:cstheme="majorBidi"/>
        </w:rPr>
        <w:t>c</w:t>
      </w:r>
      <w:r w:rsidR="00550B64" w:rsidRPr="00086743">
        <w:rPr>
          <w:rFonts w:ascii="Cambria" w:hAnsi="Cambria" w:cstheme="majorBidi"/>
        </w:rPr>
        <w:t xml:space="preserve">tivity data (e.g. walk-in centre, </w:t>
      </w:r>
      <w:r w:rsidR="00F35A05" w:rsidRPr="00086743">
        <w:rPr>
          <w:rFonts w:ascii="Cambria" w:hAnsi="Cambria" w:cstheme="majorBidi"/>
        </w:rPr>
        <w:t>U</w:t>
      </w:r>
      <w:r w:rsidR="00577919" w:rsidRPr="00086743">
        <w:rPr>
          <w:rFonts w:ascii="Cambria" w:hAnsi="Cambria" w:cstheme="majorBidi"/>
        </w:rPr>
        <w:t>CC</w:t>
      </w:r>
      <w:r w:rsidR="00550B64" w:rsidRPr="00086743">
        <w:rPr>
          <w:rFonts w:ascii="Cambria" w:hAnsi="Cambria" w:cstheme="majorBidi"/>
        </w:rPr>
        <w:t xml:space="preserve"> and Emergency Department use) and </w:t>
      </w:r>
      <w:r w:rsidR="00F35A05" w:rsidRPr="00086743">
        <w:rPr>
          <w:rFonts w:ascii="Cambria" w:hAnsi="Cambria" w:cstheme="majorBidi"/>
        </w:rPr>
        <w:t>lack of data on other key costs (e.g. in-hours general practice dedicated to urgent care)</w:t>
      </w:r>
      <w:r w:rsidR="00550B64" w:rsidRPr="00086743">
        <w:rPr>
          <w:rFonts w:ascii="Cambria" w:hAnsi="Cambria" w:cstheme="majorBidi"/>
        </w:rPr>
        <w:t>. The increasing involvement of private sector providers and competitive contracting processes has introduced comm</w:t>
      </w:r>
      <w:r w:rsidR="001C63E0" w:rsidRPr="00086743">
        <w:rPr>
          <w:rFonts w:ascii="Cambria" w:hAnsi="Cambria" w:cstheme="majorBidi"/>
        </w:rPr>
        <w:t xml:space="preserve">ercial </w:t>
      </w:r>
      <w:r w:rsidR="00550B64" w:rsidRPr="00086743">
        <w:rPr>
          <w:rFonts w:ascii="Cambria" w:hAnsi="Cambria" w:cstheme="majorBidi"/>
        </w:rPr>
        <w:t>sensitivities that are likely to prevent full economic costing of these services in the future.</w:t>
      </w:r>
    </w:p>
    <w:p w:rsidR="00550B64" w:rsidRPr="00086743" w:rsidRDefault="00550B64" w:rsidP="00681477">
      <w:pPr>
        <w:autoSpaceDE w:val="0"/>
        <w:autoSpaceDN w:val="0"/>
        <w:adjustRightInd w:val="0"/>
        <w:spacing w:before="240" w:after="0" w:line="360" w:lineRule="auto"/>
        <w:rPr>
          <w:rFonts w:ascii="Cambria" w:hAnsi="Cambria" w:cstheme="majorBidi"/>
        </w:rPr>
      </w:pPr>
    </w:p>
    <w:p w:rsidR="001C63E0" w:rsidRPr="00086743" w:rsidRDefault="00577919" w:rsidP="00681477">
      <w:pPr>
        <w:spacing w:before="240" w:line="360" w:lineRule="auto"/>
        <w:rPr>
          <w:rFonts w:ascii="Cambria" w:hAnsi="Cambria" w:cstheme="majorBidi"/>
          <w:b/>
        </w:rPr>
      </w:pPr>
      <w:r w:rsidRPr="00086743">
        <w:rPr>
          <w:rFonts w:ascii="Cambria" w:hAnsi="Cambria" w:cstheme="majorBidi"/>
          <w:b/>
        </w:rPr>
        <w:t>DISCUSSION</w:t>
      </w:r>
    </w:p>
    <w:p w:rsidR="001C63E0" w:rsidRPr="00086743" w:rsidRDefault="001C63E0" w:rsidP="00681477">
      <w:pPr>
        <w:autoSpaceDE w:val="0"/>
        <w:autoSpaceDN w:val="0"/>
        <w:adjustRightInd w:val="0"/>
        <w:spacing w:before="240" w:after="0" w:line="360" w:lineRule="auto"/>
        <w:rPr>
          <w:rFonts w:ascii="Cambria" w:hAnsi="Cambria" w:cs="AdvTTebabd7da"/>
          <w:b/>
          <w:bCs/>
        </w:rPr>
      </w:pPr>
      <w:r w:rsidRPr="00086743">
        <w:rPr>
          <w:rFonts w:ascii="Cambria" w:hAnsi="Cambria" w:cs="AdvTTebabd7da"/>
          <w:b/>
          <w:bCs/>
        </w:rPr>
        <w:t xml:space="preserve">Summary of our findings </w:t>
      </w:r>
    </w:p>
    <w:p w:rsidR="00EB7788" w:rsidRPr="00086743" w:rsidRDefault="001C63E0" w:rsidP="00681477">
      <w:pPr>
        <w:autoSpaceDE w:val="0"/>
        <w:autoSpaceDN w:val="0"/>
        <w:adjustRightInd w:val="0"/>
        <w:spacing w:before="240" w:after="0" w:line="360" w:lineRule="auto"/>
        <w:rPr>
          <w:rFonts w:ascii="Cambria" w:hAnsi="Cambria" w:cstheme="majorBidi"/>
        </w:rPr>
      </w:pPr>
      <w:r w:rsidRPr="00086743">
        <w:rPr>
          <w:rFonts w:ascii="Cambria" w:hAnsi="Cambria" w:cs="AdvTTebabd7da"/>
        </w:rPr>
        <w:t xml:space="preserve">The </w:t>
      </w:r>
      <w:r w:rsidR="00B179D9" w:rsidRPr="00086743">
        <w:rPr>
          <w:rFonts w:ascii="Cambria" w:hAnsi="Cambria" w:cs="AdvTTebabd7da"/>
        </w:rPr>
        <w:t xml:space="preserve">UK </w:t>
      </w:r>
      <w:r w:rsidRPr="00086743">
        <w:rPr>
          <w:rFonts w:ascii="Cambria" w:hAnsi="Cambria" w:cs="AdvTTebabd7da"/>
        </w:rPr>
        <w:t>NHS 111 service has fundamentally changed the way in which urgent care is organised and delivered. This service is now predominantly provided by non</w:t>
      </w:r>
      <w:r w:rsidR="00B179D9" w:rsidRPr="00086743">
        <w:rPr>
          <w:rFonts w:ascii="Cambria" w:hAnsi="Cambria" w:cs="AdvTTebabd7da"/>
        </w:rPr>
        <w:t>-</w:t>
      </w:r>
      <w:r w:rsidRPr="00086743">
        <w:rPr>
          <w:rFonts w:ascii="Cambria" w:hAnsi="Cambria" w:cs="AdvTTebabd7da"/>
        </w:rPr>
        <w:t>clinical call handling staff using a specially designed decision support software, supported by clinical advisors.</w:t>
      </w:r>
      <w:r w:rsidR="00EB7788" w:rsidRPr="00086743">
        <w:rPr>
          <w:rFonts w:ascii="Cambria" w:hAnsi="Cambria" w:cs="AdvTTebabd7da"/>
        </w:rPr>
        <w:t xml:space="preserve"> The</w:t>
      </w:r>
      <w:r w:rsidR="006874E0" w:rsidRPr="00086743">
        <w:rPr>
          <w:rFonts w:ascii="Cambria" w:hAnsi="Cambria" w:cs="AdvTTebabd7da"/>
        </w:rPr>
        <w:t xml:space="preserve"> provision of this</w:t>
      </w:r>
      <w:r w:rsidR="00EB7788" w:rsidRPr="00086743">
        <w:rPr>
          <w:rFonts w:ascii="Cambria" w:hAnsi="Cambria" w:cs="AdvTTebabd7da"/>
        </w:rPr>
        <w:t xml:space="preserve"> service has thus moved into the domain formerly occupied by nurses in NHS Direct, and before that by medical doctors who traditionally triaged and managed out-of-hours urgent care services. </w:t>
      </w:r>
      <w:r w:rsidRPr="00086743">
        <w:rPr>
          <w:rFonts w:ascii="Cambria" w:hAnsi="Cambria" w:cs="AdvTTebabd7da"/>
        </w:rPr>
        <w:t xml:space="preserve">This represents a significant labour substitution and </w:t>
      </w:r>
      <w:r w:rsidR="00EB7788" w:rsidRPr="00086743">
        <w:rPr>
          <w:rFonts w:ascii="Cambria" w:hAnsi="Cambria" w:cs="AdvTTebabd7da"/>
        </w:rPr>
        <w:t xml:space="preserve">deployment of </w:t>
      </w:r>
      <w:r w:rsidRPr="00086743">
        <w:rPr>
          <w:rFonts w:ascii="Cambria" w:hAnsi="Cambria" w:cs="AdvTTebabd7da"/>
        </w:rPr>
        <w:t>digital technolog</w:t>
      </w:r>
      <w:r w:rsidR="00EB7788" w:rsidRPr="00086743">
        <w:rPr>
          <w:rFonts w:ascii="Cambria" w:hAnsi="Cambria" w:cs="AdvTTebabd7da"/>
        </w:rPr>
        <w:t xml:space="preserve">y in the NHS. </w:t>
      </w:r>
      <w:r w:rsidR="00EB7788" w:rsidRPr="00086743">
        <w:rPr>
          <w:rFonts w:ascii="Cambria" w:hAnsi="Cambria" w:cstheme="majorBidi"/>
        </w:rPr>
        <w:t xml:space="preserve">The service has been successfully rolled out across 44 sites. It has seen a steady increase in demand over time with significant peaks in Winter months.  </w:t>
      </w:r>
      <w:r w:rsidR="00D82FCF" w:rsidRPr="00086743">
        <w:rPr>
          <w:rFonts w:ascii="Cambria" w:hAnsi="Cambria" w:cstheme="majorBidi"/>
        </w:rPr>
        <w:t xml:space="preserve">Although the </w:t>
      </w:r>
      <w:r w:rsidR="00922EF5" w:rsidRPr="00086743">
        <w:rPr>
          <w:rFonts w:ascii="Cambria" w:hAnsi="Cambria" w:cstheme="majorBidi"/>
        </w:rPr>
        <w:t xml:space="preserve">service </w:t>
      </w:r>
      <w:r w:rsidR="00D82FCF" w:rsidRPr="00086743">
        <w:rPr>
          <w:rFonts w:ascii="Cambria" w:hAnsi="Cambria" w:cstheme="majorBidi"/>
        </w:rPr>
        <w:t>aspir</w:t>
      </w:r>
      <w:r w:rsidR="00922EF5" w:rsidRPr="00086743">
        <w:rPr>
          <w:rFonts w:ascii="Cambria" w:hAnsi="Cambria" w:cstheme="majorBidi"/>
        </w:rPr>
        <w:t>es to en</w:t>
      </w:r>
      <w:r w:rsidR="00D82FCF" w:rsidRPr="00086743">
        <w:rPr>
          <w:rFonts w:ascii="Cambria" w:hAnsi="Cambria" w:cstheme="majorBidi"/>
        </w:rPr>
        <w:t xml:space="preserve">sure that </w:t>
      </w:r>
      <w:r w:rsidR="00D82FCF" w:rsidRPr="00086743">
        <w:rPr>
          <w:rFonts w:ascii="Cambria" w:hAnsi="Cambria"/>
        </w:rPr>
        <w:t>patients receive the ‘right advice in the right place, first time</w:t>
      </w:r>
      <w:r w:rsidR="00922EF5" w:rsidRPr="00086743">
        <w:rPr>
          <w:rFonts w:ascii="Cambria" w:hAnsi="Cambria"/>
        </w:rPr>
        <w:t xml:space="preserve">’ it seems that an increasing percentage of calls require a call suggesting that callers are not getting a one stop service. </w:t>
      </w:r>
      <w:r w:rsidR="00EB7788" w:rsidRPr="00086743">
        <w:rPr>
          <w:rFonts w:ascii="Cambria" w:hAnsi="Cambria" w:cstheme="majorBidi"/>
        </w:rPr>
        <w:t xml:space="preserve">The service appears not to meet some targets such as call answering times, but patients appear largely satisfied.  This satisfaction is not </w:t>
      </w:r>
      <w:r w:rsidR="00B179D9" w:rsidRPr="00086743">
        <w:rPr>
          <w:rFonts w:ascii="Cambria" w:hAnsi="Cambria" w:cstheme="majorBidi"/>
        </w:rPr>
        <w:t xml:space="preserve">consistently </w:t>
      </w:r>
      <w:r w:rsidR="00EB7788" w:rsidRPr="00086743">
        <w:rPr>
          <w:rFonts w:ascii="Cambria" w:hAnsi="Cambria" w:cstheme="majorBidi"/>
        </w:rPr>
        <w:t xml:space="preserve">evident amongst other stakeholders, notably general practice and news media which offer more negative accounts. The impact of NHS 111 on other health services is difficult to assess and cost-effectiveness has not been established.  </w:t>
      </w:r>
      <w:r w:rsidR="00C40005" w:rsidRPr="00086743">
        <w:rPr>
          <w:rFonts w:ascii="Cambria" w:hAnsi="Cambria" w:cstheme="majorBidi"/>
        </w:rPr>
        <w:t xml:space="preserve">While labour substitution is often driven by a desire to reduce costs it should not be </w:t>
      </w:r>
      <w:r w:rsidR="00C40005" w:rsidRPr="00086743">
        <w:rPr>
          <w:rFonts w:ascii="Cambria" w:hAnsi="Cambria" w:cs="AdvTTebabd7da"/>
        </w:rPr>
        <w:t xml:space="preserve">assumed that employing </w:t>
      </w:r>
      <w:r w:rsidR="00C40005" w:rsidRPr="00086743">
        <w:rPr>
          <w:rFonts w:ascii="Cambria" w:hAnsi="Cambria" w:cs="AdvTTebabd7da+20"/>
        </w:rPr>
        <w:t>‘</w:t>
      </w:r>
      <w:r w:rsidR="00C40005" w:rsidRPr="00086743">
        <w:rPr>
          <w:rFonts w:ascii="Cambria" w:hAnsi="Cambria" w:cs="AdvTTebabd7da"/>
        </w:rPr>
        <w:t>cheaper</w:t>
      </w:r>
      <w:r w:rsidR="00C40005" w:rsidRPr="00086743">
        <w:rPr>
          <w:rFonts w:ascii="Cambria" w:hAnsi="Cambria" w:cs="AdvTTebabd7da+20"/>
        </w:rPr>
        <w:t xml:space="preserve">’ </w:t>
      </w:r>
      <w:r w:rsidR="00C40005" w:rsidRPr="00086743">
        <w:rPr>
          <w:rFonts w:ascii="Cambria" w:hAnsi="Cambria" w:cs="AdvTTebabd7da"/>
        </w:rPr>
        <w:t>non-clinical staff to assess calls has reduced overall costs to the NHS</w:t>
      </w:r>
      <w:r w:rsidR="006874E0" w:rsidRPr="00086743">
        <w:rPr>
          <w:rFonts w:ascii="Cambria" w:hAnsi="Cambria" w:cs="AdvTTebabd7da"/>
        </w:rPr>
        <w:t xml:space="preserve">, if for example, </w:t>
      </w:r>
      <w:r w:rsidR="00796BE5" w:rsidRPr="00086743">
        <w:rPr>
          <w:rFonts w:ascii="Cambria" w:hAnsi="Cambria" w:cs="AdvTTebabd7da"/>
        </w:rPr>
        <w:t>considerably more of them are needed to deliver the same service as clinical staff.</w:t>
      </w:r>
      <w:r w:rsidR="00D82FCF" w:rsidRPr="00086743">
        <w:rPr>
          <w:rFonts w:ascii="Cambria" w:hAnsi="Cambria" w:cs="AdvTTebabd7da"/>
        </w:rPr>
        <w:t xml:space="preserve"> </w:t>
      </w:r>
    </w:p>
    <w:p w:rsidR="00577919" w:rsidRPr="00086743" w:rsidRDefault="00577919" w:rsidP="00681477">
      <w:pPr>
        <w:autoSpaceDE w:val="0"/>
        <w:autoSpaceDN w:val="0"/>
        <w:adjustRightInd w:val="0"/>
        <w:spacing w:before="240" w:after="0" w:line="360" w:lineRule="auto"/>
        <w:rPr>
          <w:rFonts w:ascii="Cambria" w:hAnsi="Cambria" w:cs="AdvTTebabd7da"/>
          <w:b/>
          <w:bCs/>
        </w:rPr>
      </w:pPr>
    </w:p>
    <w:p w:rsidR="001C63E0" w:rsidRPr="00086743" w:rsidRDefault="001C63E0" w:rsidP="00681477">
      <w:pPr>
        <w:autoSpaceDE w:val="0"/>
        <w:autoSpaceDN w:val="0"/>
        <w:adjustRightInd w:val="0"/>
        <w:spacing w:before="240" w:after="0" w:line="360" w:lineRule="auto"/>
        <w:rPr>
          <w:rFonts w:ascii="Cambria" w:hAnsi="Cambria" w:cs="AdvTTebabd7da"/>
          <w:b/>
          <w:bCs/>
        </w:rPr>
      </w:pPr>
      <w:r w:rsidRPr="00086743">
        <w:rPr>
          <w:rFonts w:ascii="Cambria" w:hAnsi="Cambria" w:cs="AdvTTebabd7da"/>
          <w:b/>
          <w:bCs/>
        </w:rPr>
        <w:t xml:space="preserve">Strengths and limitations </w:t>
      </w:r>
    </w:p>
    <w:p w:rsidR="00C40005" w:rsidRPr="00086743" w:rsidRDefault="00C40005" w:rsidP="00681477">
      <w:pPr>
        <w:autoSpaceDE w:val="0"/>
        <w:autoSpaceDN w:val="0"/>
        <w:adjustRightInd w:val="0"/>
        <w:spacing w:before="240" w:after="0" w:line="360" w:lineRule="auto"/>
        <w:rPr>
          <w:rFonts w:ascii="Cambria" w:hAnsi="Cambria" w:cs="AdvTTebabd7da"/>
        </w:rPr>
      </w:pPr>
      <w:r w:rsidRPr="00086743">
        <w:rPr>
          <w:rFonts w:ascii="Cambria" w:hAnsi="Cambria" w:cs="AdvTTebabd7da"/>
        </w:rPr>
        <w:t>The primary study reported here</w:t>
      </w:r>
      <w:r w:rsidRPr="00086743">
        <w:rPr>
          <w:rFonts w:ascii="Cambria" w:hAnsi="Cambria" w:cs="AdvTTebabd7da"/>
          <w:b/>
          <w:bCs/>
        </w:rPr>
        <w:t xml:space="preserve"> </w:t>
      </w:r>
      <w:r w:rsidRPr="00086743">
        <w:rPr>
          <w:rFonts w:ascii="Cambria" w:hAnsi="Cambria" w:cs="AdvTTebabd7da"/>
        </w:rPr>
        <w:t>built on a previous project which examined the CDSS used by NHS 111 in different emergency and urgent health</w:t>
      </w:r>
      <w:r w:rsidR="00385B06" w:rsidRPr="00086743">
        <w:rPr>
          <w:rFonts w:ascii="Cambria" w:hAnsi="Cambria" w:cs="AdvTTebabd7da"/>
        </w:rPr>
        <w:t xml:space="preserve"> </w:t>
      </w:r>
      <w:r w:rsidRPr="00086743">
        <w:rPr>
          <w:rFonts w:ascii="Cambria" w:hAnsi="Cambria" w:cs="AdvTTebabd7da"/>
        </w:rPr>
        <w:t xml:space="preserve">care service settings. It provided </w:t>
      </w:r>
      <w:r w:rsidR="006874E0" w:rsidRPr="00086743">
        <w:rPr>
          <w:rFonts w:ascii="Cambria" w:hAnsi="Cambria" w:cs="AdvTTebabd7da"/>
        </w:rPr>
        <w:t xml:space="preserve">rich </w:t>
      </w:r>
      <w:r w:rsidRPr="00086743">
        <w:rPr>
          <w:rFonts w:ascii="Cambria" w:hAnsi="Cambria" w:cs="AdvTTebabd7da"/>
        </w:rPr>
        <w:t>detail about the five case studies and captured the diversity of organisational models in different NHS 111 services at different points in the</w:t>
      </w:r>
      <w:r w:rsidR="00927413" w:rsidRPr="00086743">
        <w:rPr>
          <w:rFonts w:ascii="Cambria" w:hAnsi="Cambria" w:cs="AdvTTebabd7da"/>
        </w:rPr>
        <w:t xml:space="preserve"> deployment cycle </w:t>
      </w:r>
      <w:r w:rsidRPr="00086743">
        <w:rPr>
          <w:rFonts w:ascii="Cambria" w:hAnsi="Cambria" w:cs="AdvTTebabd7da"/>
        </w:rPr>
        <w:t>(</w:t>
      </w:r>
      <w:r w:rsidR="00927413" w:rsidRPr="00086743">
        <w:rPr>
          <w:rFonts w:ascii="Cambria" w:hAnsi="Cambria" w:cs="AdvTTebabd7da"/>
        </w:rPr>
        <w:t>some were early adopters/pilots)</w:t>
      </w:r>
      <w:r w:rsidRPr="00086743">
        <w:rPr>
          <w:rFonts w:ascii="Cambria" w:hAnsi="Cambria" w:cs="AdvTTebabd7da"/>
        </w:rPr>
        <w:t>.</w:t>
      </w:r>
      <w:r w:rsidR="00927413" w:rsidRPr="00086743">
        <w:rPr>
          <w:rFonts w:ascii="Cambria" w:hAnsi="Cambria" w:cs="AdvTTebabd7da"/>
        </w:rPr>
        <w:t xml:space="preserve"> We were only able to explore the impact of NHS 111 on Urgent Care Centres and recognise that a wider network of health services are involved in the provision of urgent care which we were not able to explore. </w:t>
      </w:r>
      <w:r w:rsidR="00577919" w:rsidRPr="00086743">
        <w:rPr>
          <w:rFonts w:ascii="Cambria" w:hAnsi="Cambria" w:cs="AdvTTebabd7da"/>
        </w:rPr>
        <w:t xml:space="preserve">It was beyond the scope of our primary case study work to directly explore patient experiences, so we are only able to report staff perceptions of satisfaction and service use. </w:t>
      </w:r>
      <w:r w:rsidR="0002712A" w:rsidRPr="00086743">
        <w:rPr>
          <w:rFonts w:ascii="Cambria" w:hAnsi="Cambria" w:cs="AdvTTebabd7da"/>
        </w:rPr>
        <w:t xml:space="preserve">The </w:t>
      </w:r>
      <w:r w:rsidR="00E1214E" w:rsidRPr="00086743">
        <w:rPr>
          <w:rFonts w:ascii="Cambria" w:hAnsi="Cambria" w:cs="AdvTTebabd7da"/>
        </w:rPr>
        <w:t xml:space="preserve">analysis of the </w:t>
      </w:r>
      <w:r w:rsidR="0002712A" w:rsidRPr="00086743">
        <w:rPr>
          <w:rFonts w:ascii="Cambria" w:hAnsi="Cambria" w:cs="AdvTTebabd7da"/>
        </w:rPr>
        <w:t xml:space="preserve">MDS </w:t>
      </w:r>
      <w:r w:rsidR="00E1214E" w:rsidRPr="00086743">
        <w:rPr>
          <w:rFonts w:ascii="Cambria" w:hAnsi="Cambria" w:cs="AdvTTebabd7da"/>
        </w:rPr>
        <w:t xml:space="preserve">is limited to the published, </w:t>
      </w:r>
      <w:r w:rsidR="0002712A" w:rsidRPr="00086743">
        <w:rPr>
          <w:rFonts w:ascii="Cambria" w:hAnsi="Cambria" w:cs="AdvTTebabd7da"/>
        </w:rPr>
        <w:t>aggregate</w:t>
      </w:r>
      <w:r w:rsidR="00E1214E" w:rsidRPr="00086743">
        <w:rPr>
          <w:rFonts w:ascii="Cambria" w:hAnsi="Cambria" w:cs="AdvTTebabd7da"/>
        </w:rPr>
        <w:t>,</w:t>
      </w:r>
      <w:r w:rsidR="0002712A" w:rsidRPr="00086743">
        <w:rPr>
          <w:rFonts w:ascii="Cambria" w:hAnsi="Cambria" w:cs="AdvTTebabd7da"/>
        </w:rPr>
        <w:t xml:space="preserve"> data </w:t>
      </w:r>
      <w:r w:rsidR="00E1214E" w:rsidRPr="00086743">
        <w:rPr>
          <w:rFonts w:ascii="Cambria" w:hAnsi="Cambria" w:cs="AdvTTebabd7da"/>
        </w:rPr>
        <w:t xml:space="preserve">and </w:t>
      </w:r>
      <w:r w:rsidR="0002712A" w:rsidRPr="00086743">
        <w:rPr>
          <w:rFonts w:ascii="Cambria" w:hAnsi="Cambria" w:cs="AdvTTebabd7da"/>
        </w:rPr>
        <w:t xml:space="preserve">is </w:t>
      </w:r>
      <w:r w:rsidR="00E1214E" w:rsidRPr="00086743">
        <w:rPr>
          <w:rFonts w:ascii="Cambria" w:hAnsi="Cambria" w:cs="AdvTTebabd7da"/>
        </w:rPr>
        <w:t xml:space="preserve">subject to </w:t>
      </w:r>
      <w:r w:rsidR="00642664" w:rsidRPr="00086743">
        <w:rPr>
          <w:rFonts w:ascii="Cambria" w:hAnsi="Cambria" w:cs="AdvTTebabd7da"/>
        </w:rPr>
        <w:lastRenderedPageBreak/>
        <w:t xml:space="preserve">decisions made by the NHS 111 Programme Team on </w:t>
      </w:r>
      <w:r w:rsidR="006874E0" w:rsidRPr="00086743">
        <w:rPr>
          <w:rFonts w:ascii="Cambria" w:hAnsi="Cambria" w:cs="AdvTTebabd7da"/>
        </w:rPr>
        <w:t xml:space="preserve">reporting </w:t>
      </w:r>
      <w:r w:rsidR="00E1214E" w:rsidRPr="00086743">
        <w:rPr>
          <w:rFonts w:ascii="Cambria" w:hAnsi="Cambria" w:cs="AdvTTebabd7da"/>
        </w:rPr>
        <w:t xml:space="preserve">categories. </w:t>
      </w:r>
      <w:r w:rsidR="00642664" w:rsidRPr="00086743">
        <w:rPr>
          <w:rFonts w:ascii="Cambria" w:hAnsi="Cambria" w:cs="AdvTTebabd7da"/>
        </w:rPr>
        <w:t xml:space="preserve">The analysis is further limited by substantial missing data under some headings – for example, the </w:t>
      </w:r>
      <w:r w:rsidR="00896A15" w:rsidRPr="00086743">
        <w:rPr>
          <w:rFonts w:ascii="Cambria" w:hAnsi="Cambria" w:cs="AdvTTebabd7da"/>
        </w:rPr>
        <w:t xml:space="preserve">resource use </w:t>
      </w:r>
      <w:r w:rsidR="00642664" w:rsidRPr="00086743">
        <w:rPr>
          <w:rFonts w:ascii="Cambria" w:hAnsi="Cambria" w:cs="AdvTTebabd7da"/>
        </w:rPr>
        <w:t xml:space="preserve">and </w:t>
      </w:r>
      <w:r w:rsidR="00896A15" w:rsidRPr="00086743">
        <w:rPr>
          <w:rFonts w:ascii="Cambria" w:hAnsi="Cambria" w:cs="AdvTTebabd7da"/>
        </w:rPr>
        <w:t xml:space="preserve">cost (contract value) items typically have more than 50% observations missing. </w:t>
      </w:r>
      <w:r w:rsidR="00E1214E" w:rsidRPr="00086743">
        <w:rPr>
          <w:rFonts w:ascii="Cambria" w:hAnsi="Cambria" w:cs="AdvTTebabd7da"/>
        </w:rPr>
        <w:t xml:space="preserve">However the MDS represents a consistent time-series over the </w:t>
      </w:r>
      <w:r w:rsidR="006874E0" w:rsidRPr="00086743">
        <w:rPr>
          <w:rFonts w:ascii="Cambria" w:hAnsi="Cambria" w:cs="AdvTTebabd7da"/>
        </w:rPr>
        <w:t xml:space="preserve">period </w:t>
      </w:r>
      <w:r w:rsidR="00E1214E" w:rsidRPr="00086743">
        <w:rPr>
          <w:rFonts w:ascii="Cambria" w:hAnsi="Cambria" w:cs="AdvTTebabd7da"/>
        </w:rPr>
        <w:t>and it is unlikely that the trends we have observed are data collection or classification artefact.</w:t>
      </w:r>
    </w:p>
    <w:p w:rsidR="00927413" w:rsidRPr="00086743" w:rsidRDefault="00927413" w:rsidP="00681477">
      <w:pPr>
        <w:autoSpaceDE w:val="0"/>
        <w:autoSpaceDN w:val="0"/>
        <w:adjustRightInd w:val="0"/>
        <w:spacing w:before="240" w:after="0" w:line="360" w:lineRule="auto"/>
        <w:rPr>
          <w:rFonts w:ascii="Cambria" w:hAnsi="Cambria" w:cs="AdvTTebabd7da"/>
          <w:b/>
          <w:bCs/>
        </w:rPr>
      </w:pPr>
    </w:p>
    <w:p w:rsidR="00927413" w:rsidRPr="00086743" w:rsidRDefault="00927413" w:rsidP="00681477">
      <w:pPr>
        <w:autoSpaceDE w:val="0"/>
        <w:autoSpaceDN w:val="0"/>
        <w:adjustRightInd w:val="0"/>
        <w:spacing w:before="240" w:after="0" w:line="360" w:lineRule="auto"/>
        <w:rPr>
          <w:rFonts w:ascii="Cambria" w:hAnsi="Cambria" w:cs="AdvTTebabd7da"/>
          <w:b/>
          <w:bCs/>
        </w:rPr>
      </w:pPr>
      <w:r w:rsidRPr="00086743">
        <w:rPr>
          <w:rFonts w:ascii="Cambria" w:hAnsi="Cambria" w:cs="AdvTTebabd7da"/>
          <w:b/>
          <w:bCs/>
        </w:rPr>
        <w:t xml:space="preserve">Implications </w:t>
      </w:r>
    </w:p>
    <w:p w:rsidR="00860B8E" w:rsidRPr="00086743" w:rsidRDefault="00725EDE" w:rsidP="00681477">
      <w:pPr>
        <w:autoSpaceDE w:val="0"/>
        <w:autoSpaceDN w:val="0"/>
        <w:adjustRightInd w:val="0"/>
        <w:spacing w:before="240" w:after="0" w:line="360" w:lineRule="auto"/>
        <w:rPr>
          <w:rFonts w:ascii="Cambria" w:hAnsi="Cambria" w:cs="AdvTTebabd7da"/>
        </w:rPr>
      </w:pPr>
      <w:r w:rsidRPr="00086743">
        <w:rPr>
          <w:rFonts w:ascii="Cambria" w:hAnsi="Cambria" w:cs="AdvTTebabd7da"/>
        </w:rPr>
        <w:t>A c</w:t>
      </w:r>
      <w:r w:rsidR="00B263DF" w:rsidRPr="00086743">
        <w:rPr>
          <w:rFonts w:ascii="Cambria" w:hAnsi="Cambria" w:cs="AdvTTebabd7da"/>
        </w:rPr>
        <w:t>ore</w:t>
      </w:r>
      <w:r w:rsidRPr="00086743">
        <w:rPr>
          <w:rFonts w:ascii="Cambria" w:hAnsi="Cambria" w:cs="AdvTTebabd7da"/>
        </w:rPr>
        <w:t xml:space="preserve"> theme of the Hollywood movie ‘Field of Dreams’ </w:t>
      </w:r>
      <w:r w:rsidR="00B263DF" w:rsidRPr="00086743">
        <w:rPr>
          <w:rFonts w:ascii="Cambria" w:hAnsi="Cambria" w:cs="AdvTTebabd7da"/>
        </w:rPr>
        <w:t>is</w:t>
      </w:r>
      <w:r w:rsidRPr="00086743">
        <w:rPr>
          <w:rFonts w:ascii="Cambria" w:hAnsi="Cambria" w:cs="AdvTTebabd7da"/>
        </w:rPr>
        <w:t xml:space="preserve"> ‘build it and people will come’. </w:t>
      </w:r>
      <w:r w:rsidR="00B263DF" w:rsidRPr="00086743">
        <w:rPr>
          <w:rFonts w:ascii="Cambria" w:hAnsi="Cambria" w:cs="AdvTTebabd7da"/>
        </w:rPr>
        <w:t>(</w:t>
      </w:r>
      <w:r w:rsidRPr="00086743">
        <w:rPr>
          <w:rFonts w:ascii="Cambria" w:hAnsi="Cambria" w:cs="AdvTTebabd7da"/>
        </w:rPr>
        <w:t>In the film this refers to a baseball pitch constructed in the Iowan cornfields</w:t>
      </w:r>
      <w:r w:rsidR="00B263DF" w:rsidRPr="00086743">
        <w:rPr>
          <w:rFonts w:ascii="Cambria" w:hAnsi="Cambria" w:cs="AdvTTebabd7da"/>
        </w:rPr>
        <w:t>)</w:t>
      </w:r>
      <w:r w:rsidRPr="00086743">
        <w:rPr>
          <w:rFonts w:ascii="Cambria" w:hAnsi="Cambria" w:cs="AdvTTebabd7da"/>
        </w:rPr>
        <w:t xml:space="preserve">. </w:t>
      </w:r>
      <w:r w:rsidR="00927413" w:rsidRPr="00086743">
        <w:rPr>
          <w:rFonts w:ascii="Cambria" w:hAnsi="Cambria" w:cs="AdvTTebabd7da"/>
        </w:rPr>
        <w:t xml:space="preserve">NHS 111 </w:t>
      </w:r>
      <w:r w:rsidRPr="00086743">
        <w:rPr>
          <w:rFonts w:ascii="Cambria" w:hAnsi="Cambria" w:cs="AdvTTebabd7da"/>
        </w:rPr>
        <w:t>appears to have pulled off a similar</w:t>
      </w:r>
      <w:r w:rsidR="00D543E9" w:rsidRPr="00086743">
        <w:rPr>
          <w:rFonts w:ascii="Cambria" w:hAnsi="Cambria" w:cs="AdvTTebabd7da"/>
        </w:rPr>
        <w:t xml:space="preserve"> feat</w:t>
      </w:r>
      <w:r w:rsidR="00B263DF" w:rsidRPr="00086743">
        <w:rPr>
          <w:rFonts w:ascii="Cambria" w:hAnsi="Cambria" w:cs="AdvTTebabd7da"/>
        </w:rPr>
        <w:t>. It had</w:t>
      </w:r>
      <w:r w:rsidR="00D543E9" w:rsidRPr="00086743">
        <w:rPr>
          <w:rFonts w:ascii="Cambria" w:hAnsi="Cambria" w:cs="AdvTTebabd7da"/>
        </w:rPr>
        <w:t xml:space="preserve"> over </w:t>
      </w:r>
      <w:r w:rsidR="00BB1479" w:rsidRPr="00086743">
        <w:rPr>
          <w:rFonts w:ascii="Cambria" w:hAnsi="Cambria" w:cs="AdvTTebabd7da"/>
        </w:rPr>
        <w:t xml:space="preserve">15 </w:t>
      </w:r>
      <w:r w:rsidR="00D543E9" w:rsidRPr="00086743">
        <w:rPr>
          <w:rFonts w:ascii="Cambria" w:hAnsi="Cambria" w:cs="AdvTTebabd7da"/>
        </w:rPr>
        <w:t xml:space="preserve">million users in 2016 and an apparently upward trend in demand.  </w:t>
      </w:r>
      <w:r w:rsidR="00B263DF" w:rsidRPr="00086743">
        <w:rPr>
          <w:rFonts w:ascii="Cambria" w:hAnsi="Cambria" w:cs="AdvTTebabd7da"/>
        </w:rPr>
        <w:t>F</w:t>
      </w:r>
      <w:r w:rsidR="00F51612" w:rsidRPr="00086743">
        <w:rPr>
          <w:rFonts w:ascii="Cambria" w:hAnsi="Cambria" w:cs="AdvTTebabd7da"/>
        </w:rPr>
        <w:t xml:space="preserve">or </w:t>
      </w:r>
      <w:r w:rsidR="00D543E9" w:rsidRPr="00086743">
        <w:rPr>
          <w:rFonts w:ascii="Cambria" w:hAnsi="Cambria" w:cs="AdvTTebabd7da"/>
        </w:rPr>
        <w:t xml:space="preserve">the most part the patients who use the service appear satisfied. </w:t>
      </w:r>
      <w:r w:rsidRPr="00086743">
        <w:rPr>
          <w:rFonts w:ascii="Cambria" w:hAnsi="Cambria" w:cs="AdvTTebabd7da"/>
        </w:rPr>
        <w:t xml:space="preserve"> </w:t>
      </w:r>
      <w:r w:rsidR="00EE1845" w:rsidRPr="00086743">
        <w:rPr>
          <w:rFonts w:ascii="Cambria" w:hAnsi="Cambria" w:cs="AdvTTebabd7da"/>
        </w:rPr>
        <w:t xml:space="preserve">If roll out, </w:t>
      </w:r>
      <w:r w:rsidR="00D543E9" w:rsidRPr="00086743">
        <w:rPr>
          <w:rFonts w:ascii="Cambria" w:hAnsi="Cambria" w:cs="AdvTTebabd7da"/>
        </w:rPr>
        <w:t xml:space="preserve">use </w:t>
      </w:r>
      <w:r w:rsidR="00EE1845" w:rsidRPr="00086743">
        <w:rPr>
          <w:rFonts w:ascii="Cambria" w:hAnsi="Cambria" w:cs="AdvTTebabd7da"/>
        </w:rPr>
        <w:t xml:space="preserve">and patient satisfaction </w:t>
      </w:r>
      <w:r w:rsidR="00D543E9" w:rsidRPr="00086743">
        <w:rPr>
          <w:rFonts w:ascii="Cambria" w:hAnsi="Cambria" w:cs="AdvTTebabd7da"/>
        </w:rPr>
        <w:t xml:space="preserve">are markers of success then NHS 111 can be deemed </w:t>
      </w:r>
      <w:r w:rsidR="00B263DF" w:rsidRPr="00086743">
        <w:rPr>
          <w:rFonts w:ascii="Cambria" w:hAnsi="Cambria" w:cs="AdvTTebabd7da"/>
        </w:rPr>
        <w:t xml:space="preserve">highly </w:t>
      </w:r>
      <w:r w:rsidR="00D543E9" w:rsidRPr="00086743">
        <w:rPr>
          <w:rFonts w:ascii="Cambria" w:hAnsi="Cambria" w:cs="AdvTTebabd7da"/>
        </w:rPr>
        <w:t xml:space="preserve">successful. </w:t>
      </w:r>
      <w:r w:rsidR="00EE1845" w:rsidRPr="00086743">
        <w:rPr>
          <w:rFonts w:ascii="Cambria" w:hAnsi="Cambria" w:cs="AdvTTebabd7da"/>
        </w:rPr>
        <w:t>However, o</w:t>
      </w:r>
      <w:r w:rsidR="00D543E9" w:rsidRPr="00086743">
        <w:rPr>
          <w:rFonts w:ascii="Cambria" w:hAnsi="Cambria" w:cs="AdvTTebabd7da"/>
        </w:rPr>
        <w:t xml:space="preserve">ur analysis of </w:t>
      </w:r>
      <w:r w:rsidR="00EE1845" w:rsidRPr="00086743">
        <w:rPr>
          <w:rFonts w:ascii="Cambria" w:hAnsi="Cambria" w:cs="AdvTTebabd7da"/>
        </w:rPr>
        <w:t>five</w:t>
      </w:r>
      <w:r w:rsidR="00D543E9" w:rsidRPr="00086743">
        <w:rPr>
          <w:rFonts w:ascii="Cambria" w:hAnsi="Cambria" w:cs="AdvTTebabd7da"/>
        </w:rPr>
        <w:t xml:space="preserve"> case studies and routine activity data </w:t>
      </w:r>
      <w:r w:rsidR="00EE1845" w:rsidRPr="00086743">
        <w:rPr>
          <w:rFonts w:ascii="Cambria" w:hAnsi="Cambria" w:cs="AdvTTebabd7da"/>
        </w:rPr>
        <w:t xml:space="preserve">from 44 sites </w:t>
      </w:r>
      <w:r w:rsidR="00D543E9" w:rsidRPr="00086743">
        <w:rPr>
          <w:rFonts w:ascii="Cambria" w:hAnsi="Cambria" w:cs="AdvTTebabd7da"/>
        </w:rPr>
        <w:t xml:space="preserve">suggest a more nuanced </w:t>
      </w:r>
      <w:r w:rsidR="00B179D9" w:rsidRPr="00086743">
        <w:rPr>
          <w:rFonts w:ascii="Cambria" w:hAnsi="Cambria" w:cs="AdvTTebabd7da"/>
        </w:rPr>
        <w:t>assessment can be made</w:t>
      </w:r>
      <w:r w:rsidR="00D543E9" w:rsidRPr="00086743">
        <w:rPr>
          <w:rFonts w:ascii="Cambria" w:hAnsi="Cambria" w:cs="AdvTTebabd7da"/>
        </w:rPr>
        <w:t xml:space="preserve">.  </w:t>
      </w:r>
      <w:r w:rsidR="00EE1845" w:rsidRPr="00086743">
        <w:rPr>
          <w:rFonts w:ascii="Cambria" w:hAnsi="Cambria" w:cs="AdvTTebabd7da"/>
        </w:rPr>
        <w:t xml:space="preserve">We lack strong evidence of the impact of NHS 111 on health outcomes or on the wider network of services such as emergency care - although </w:t>
      </w:r>
      <w:r w:rsidR="00B263DF" w:rsidRPr="00086743">
        <w:rPr>
          <w:rFonts w:ascii="Cambria" w:hAnsi="Cambria" w:cs="AdvTTebabd7da"/>
        </w:rPr>
        <w:t>our research has</w:t>
      </w:r>
      <w:r w:rsidR="00EE1845" w:rsidRPr="00086743">
        <w:rPr>
          <w:rFonts w:ascii="Cambria" w:hAnsi="Cambria" w:cs="AdvTTebabd7da"/>
        </w:rPr>
        <w:t xml:space="preserve"> provided some evidence about negative views expressed by some staff in Urgent Care Centres. The lack of cost-effectiveness analyses is more significant. Whilst it is often assumed that labour substitution </w:t>
      </w:r>
      <w:r w:rsidR="00B263DF" w:rsidRPr="00086743">
        <w:rPr>
          <w:rFonts w:ascii="Cambria" w:hAnsi="Cambria" w:cs="AdvTTebabd7da"/>
        </w:rPr>
        <w:t>save</w:t>
      </w:r>
      <w:r w:rsidR="00E424CB" w:rsidRPr="00086743">
        <w:rPr>
          <w:rFonts w:ascii="Cambria" w:hAnsi="Cambria" w:cs="AdvTTebabd7da"/>
        </w:rPr>
        <w:t>s</w:t>
      </w:r>
      <w:r w:rsidR="00B263DF" w:rsidRPr="00086743">
        <w:rPr>
          <w:rFonts w:ascii="Cambria" w:hAnsi="Cambria" w:cs="AdvTTebabd7da"/>
        </w:rPr>
        <w:t xml:space="preserve"> money this is not always the case</w:t>
      </w:r>
      <w:r w:rsidR="00281CEC" w:rsidRPr="00086743">
        <w:rPr>
          <w:rFonts w:ascii="Cambria" w:hAnsi="Cambria" w:cs="AdvTTebabd7da"/>
        </w:rPr>
        <w:t>.</w:t>
      </w:r>
      <w:r w:rsidR="00577919" w:rsidRPr="00086743">
        <w:rPr>
          <w:rFonts w:ascii="Cambria" w:hAnsi="Cambria" w:cs="AdvTTebabd7da"/>
        </w:rPr>
        <w:t xml:space="preserve"> </w:t>
      </w:r>
      <w:r w:rsidR="00077D32" w:rsidRPr="00086743">
        <w:rPr>
          <w:rFonts w:ascii="Cambria" w:hAnsi="Cambria" w:cs="AdvTTebabd7da"/>
        </w:rPr>
        <w:fldChar w:fldCharType="begin"/>
      </w:r>
      <w:r w:rsidR="00170111" w:rsidRPr="00086743">
        <w:rPr>
          <w:rFonts w:ascii="Cambria" w:hAnsi="Cambria" w:cs="AdvTTebabd7da"/>
        </w:rPr>
        <w:instrText xml:space="preserve"> ADDIN EN.CITE &lt;EndNote&gt;&lt;Cite ExcludeAuth="1" ExcludeYear="1"&gt;&lt;Author&gt;Sibbald&lt;/Author&gt;&lt;Year&gt;2011&lt;/Year&gt;&lt;RecNum&gt;27&lt;/RecNum&gt;&lt;DisplayText&gt;(27)&lt;/DisplayText&gt;&lt;record&gt;&lt;rec-number&gt;27&lt;/rec-number&gt;&lt;foreign-keys&gt;&lt;key app="EN" db-id="0eprwd9r99dr2nefav5vwvtge0axsza5fs0z" timestamp="1474647812"&gt;27&lt;/key&gt;&lt;/foreign-keys&gt;&lt;ref-type name="Report"&gt;27&lt;/ref-type&gt;&lt;contributors&gt;&lt;authors&gt;&lt;author&gt;Sibbald, B&lt;/author&gt;&lt;author&gt;McBride, A&lt;/author&gt;&lt;author&gt;Birch, S&lt;/author&gt;&lt;/authors&gt;&lt;/contributors&gt;&lt;titles&gt;&lt;title&gt;Labour substitution and efficiency in health care delivery: general principles and key messages &lt;/title&gt;&lt;/titles&gt;&lt;dates&gt;&lt;year&gt;2011&lt;/year&gt;&lt;/dates&gt;&lt;pub-location&gt;Manchester&lt;/pub-location&gt;&lt;publisher&gt;Centre for Workforce Intelligence, University of Manchester&lt;/publisher&gt;&lt;urls&gt;&lt;/urls&gt;&lt;/record&gt;&lt;/Cite&gt;&lt;/EndNote&gt;</w:instrText>
      </w:r>
      <w:r w:rsidR="00077D32" w:rsidRPr="00086743">
        <w:rPr>
          <w:rFonts w:ascii="Cambria" w:hAnsi="Cambria" w:cs="AdvTTebabd7da"/>
        </w:rPr>
        <w:fldChar w:fldCharType="separate"/>
      </w:r>
      <w:r w:rsidR="00170111" w:rsidRPr="00086743">
        <w:rPr>
          <w:rFonts w:ascii="Cambria" w:hAnsi="Cambria" w:cs="AdvTTebabd7da"/>
          <w:noProof/>
        </w:rPr>
        <w:t>(27)</w:t>
      </w:r>
      <w:r w:rsidR="00077D32" w:rsidRPr="00086743">
        <w:rPr>
          <w:rFonts w:ascii="Cambria" w:hAnsi="Cambria" w:cs="AdvTTebabd7da"/>
        </w:rPr>
        <w:fldChar w:fldCharType="end"/>
      </w:r>
      <w:r w:rsidR="00B263DF" w:rsidRPr="00086743">
        <w:rPr>
          <w:rFonts w:ascii="Cambria" w:hAnsi="Cambria" w:cs="AdvTTebabd7da"/>
        </w:rPr>
        <w:t xml:space="preserve"> </w:t>
      </w:r>
    </w:p>
    <w:p w:rsidR="000D2AEF" w:rsidRPr="00086743" w:rsidRDefault="00EE1845" w:rsidP="00681477">
      <w:pPr>
        <w:autoSpaceDE w:val="0"/>
        <w:autoSpaceDN w:val="0"/>
        <w:adjustRightInd w:val="0"/>
        <w:spacing w:before="240" w:after="0" w:line="360" w:lineRule="auto"/>
        <w:rPr>
          <w:rFonts w:ascii="Cambria" w:hAnsi="Cambria" w:cs="AdvTTebabd7da"/>
        </w:rPr>
      </w:pPr>
      <w:r w:rsidRPr="00086743">
        <w:rPr>
          <w:rFonts w:ascii="Cambria" w:hAnsi="Cambria" w:cs="AdvTTebabd7da"/>
        </w:rPr>
        <w:t>NHS 111</w:t>
      </w:r>
      <w:r w:rsidR="00D543E9" w:rsidRPr="00086743">
        <w:rPr>
          <w:rFonts w:ascii="Cambria" w:hAnsi="Cambria" w:cs="AdvTTebabd7da"/>
        </w:rPr>
        <w:t xml:space="preserve"> is </w:t>
      </w:r>
      <w:r w:rsidR="00B263DF" w:rsidRPr="00086743">
        <w:rPr>
          <w:rFonts w:ascii="Cambria" w:hAnsi="Cambria" w:cs="AdvTTebabd7da"/>
        </w:rPr>
        <w:t xml:space="preserve">currently being </w:t>
      </w:r>
      <w:r w:rsidR="00D543E9" w:rsidRPr="00086743">
        <w:rPr>
          <w:rFonts w:ascii="Cambria" w:hAnsi="Cambria" w:cs="AdvTTebabd7da"/>
        </w:rPr>
        <w:t>championed as the single point of access to urgent care, alongside the new policy vision for clinical hubs which will expand the clinical input to urgent care (the model is that NHS 111 will transfer more callers to nurse practitioners</w:t>
      </w:r>
      <w:r w:rsidRPr="00086743">
        <w:rPr>
          <w:rFonts w:ascii="Cambria" w:hAnsi="Cambria" w:cs="AdvTTebabd7da"/>
        </w:rPr>
        <w:t xml:space="preserve"> and</w:t>
      </w:r>
      <w:r w:rsidR="00D543E9" w:rsidRPr="00086743">
        <w:rPr>
          <w:rFonts w:ascii="Cambria" w:hAnsi="Cambria" w:cs="AdvTTebabd7da"/>
        </w:rPr>
        <w:t xml:space="preserve"> general </w:t>
      </w:r>
      <w:r w:rsidRPr="00086743">
        <w:rPr>
          <w:rFonts w:ascii="Cambria" w:hAnsi="Cambria" w:cs="AdvTTebabd7da"/>
        </w:rPr>
        <w:t>practitioners</w:t>
      </w:r>
      <w:r w:rsidR="00085175" w:rsidRPr="00086743">
        <w:rPr>
          <w:rFonts w:ascii="Cambria" w:hAnsi="Cambria" w:cs="AdvTTebabd7da"/>
        </w:rPr>
        <w:t>)</w:t>
      </w:r>
      <w:r w:rsidR="00281CEC" w:rsidRPr="00086743">
        <w:rPr>
          <w:rFonts w:ascii="Cambria" w:hAnsi="Cambria" w:cs="AdvTTebabd7da"/>
        </w:rPr>
        <w:t>.</w:t>
      </w:r>
      <w:r w:rsidR="00577919" w:rsidRPr="00086743">
        <w:rPr>
          <w:rFonts w:ascii="Cambria" w:hAnsi="Cambria" w:cs="AdvTTebabd7da"/>
        </w:rPr>
        <w:t xml:space="preserve"> </w:t>
      </w:r>
      <w:r w:rsidR="00077D32" w:rsidRPr="00086743">
        <w:rPr>
          <w:rFonts w:ascii="Cambria" w:hAnsi="Cambria" w:cs="AdvTTebabd7da"/>
        </w:rPr>
        <w:fldChar w:fldCharType="begin"/>
      </w:r>
      <w:r w:rsidR="00170111" w:rsidRPr="00086743">
        <w:rPr>
          <w:rFonts w:ascii="Cambria" w:hAnsi="Cambria" w:cs="AdvTTebabd7da"/>
        </w:rPr>
        <w:instrText xml:space="preserve"> ADDIN EN.CITE &lt;EndNote&gt;&lt;Cite ExcludeAuth="1" ExcludeYear="1"&gt;&lt;Author&gt;Williams&lt;/Author&gt;&lt;Year&gt;2016 &lt;/Year&gt;&lt;RecNum&gt;28&lt;/RecNum&gt;&lt;DisplayText&gt;(28)&lt;/DisplayText&gt;&lt;record&gt;&lt;rec-number&gt;28&lt;/rec-number&gt;&lt;foreign-keys&gt;&lt;key app="EN" db-id="0eprwd9r99dr2nefav5vwvtge0axsza5fs0z" timestamp="1474647874"&gt;28&lt;/key&gt;&lt;/foreign-keys&gt;&lt;ref-type name="Web Page"&gt;12&lt;/ref-type&gt;&lt;contributors&gt;&lt;authors&gt;&lt;author&gt;Williams, M&lt;/author&gt;&lt;/authors&gt;&lt;/contributors&gt;&lt;titles&gt;&lt;title&gt;Embrace the new hub culture&lt;/title&gt;&lt;/titles&gt;&lt;dates&gt;&lt;year&gt;2016 &lt;/year&gt;&lt;/dates&gt;&lt;urls&gt;&lt;related-urls&gt;&lt;url&gt;https://www.england.nhs.uk/2016/06/mark-williams/&lt;/url&gt;&lt;/related-urls&gt;&lt;/urls&gt;&lt;/record&gt;&lt;/Cite&gt;&lt;/EndNote&gt;</w:instrText>
      </w:r>
      <w:r w:rsidR="00077D32" w:rsidRPr="00086743">
        <w:rPr>
          <w:rFonts w:ascii="Cambria" w:hAnsi="Cambria" w:cs="AdvTTebabd7da"/>
        </w:rPr>
        <w:fldChar w:fldCharType="separate"/>
      </w:r>
      <w:r w:rsidR="00170111" w:rsidRPr="00086743">
        <w:rPr>
          <w:rFonts w:ascii="Cambria" w:hAnsi="Cambria" w:cs="AdvTTebabd7da"/>
          <w:noProof/>
        </w:rPr>
        <w:t>(28)</w:t>
      </w:r>
      <w:r w:rsidR="00077D32" w:rsidRPr="00086743">
        <w:rPr>
          <w:rFonts w:ascii="Cambria" w:hAnsi="Cambria" w:cs="AdvTTebabd7da"/>
        </w:rPr>
        <w:fldChar w:fldCharType="end"/>
      </w:r>
      <w:r w:rsidR="00B263DF" w:rsidRPr="00086743">
        <w:rPr>
          <w:rFonts w:ascii="Cambria" w:hAnsi="Cambria" w:cs="AdvTTebabd7da"/>
        </w:rPr>
        <w:t xml:space="preserve"> This appears very similar to the operating model of NHS Direct, the service NHS 111 replaced. </w:t>
      </w:r>
      <w:r w:rsidR="00860B8E" w:rsidRPr="00086743">
        <w:rPr>
          <w:rFonts w:ascii="Cambria" w:hAnsi="Cambria" w:cs="AdvTTebabd7da"/>
        </w:rPr>
        <w:t xml:space="preserve">Moreover, </w:t>
      </w:r>
      <w:r w:rsidR="0009272F" w:rsidRPr="00086743">
        <w:rPr>
          <w:rFonts w:ascii="Cambria" w:hAnsi="Cambria" w:cs="AdvTTebabd7da"/>
        </w:rPr>
        <w:t>approximately 50%</w:t>
      </w:r>
      <w:r w:rsidR="00860B8E" w:rsidRPr="00086743">
        <w:rPr>
          <w:rFonts w:ascii="Cambria" w:hAnsi="Cambria" w:cs="AdvTTebabd7da"/>
        </w:rPr>
        <w:t xml:space="preserve"> of the current callers to NHS 111 are directed to primary care where they consult a doctor or nurse. A cynic might ask if this is success or merely the reinvention of a</w:t>
      </w:r>
      <w:r w:rsidR="00385B06" w:rsidRPr="00086743">
        <w:rPr>
          <w:rFonts w:ascii="Cambria" w:hAnsi="Cambria" w:cs="AdvTTebabd7da"/>
        </w:rPr>
        <w:t>n</w:t>
      </w:r>
      <w:r w:rsidR="00860B8E" w:rsidRPr="00086743">
        <w:rPr>
          <w:rFonts w:ascii="Cambria" w:hAnsi="Cambria" w:cs="AdvTTebabd7da"/>
        </w:rPr>
        <w:t xml:space="preserve"> old wheel? </w:t>
      </w:r>
    </w:p>
    <w:p w:rsidR="006E0F58" w:rsidRPr="00086743" w:rsidRDefault="006E0F58" w:rsidP="00681477">
      <w:pPr>
        <w:rPr>
          <w:rFonts w:ascii="Cambria" w:hAnsi="Cambria" w:cs="AdvTTebabd7da"/>
        </w:rPr>
      </w:pPr>
      <w:r w:rsidRPr="00086743">
        <w:rPr>
          <w:rFonts w:ascii="Cambria" w:hAnsi="Cambria" w:cs="AdvTTebabd7da"/>
        </w:rPr>
        <w:br w:type="page"/>
      </w:r>
    </w:p>
    <w:p w:rsidR="006E0F58" w:rsidRPr="00086743" w:rsidRDefault="006E0F58" w:rsidP="00681477">
      <w:pPr>
        <w:spacing w:before="240" w:line="360" w:lineRule="auto"/>
        <w:rPr>
          <w:rFonts w:ascii="Cambria" w:hAnsi="Cambria" w:cs="AdvTTebabd7da"/>
          <w:b/>
          <w:bCs/>
        </w:rPr>
      </w:pPr>
      <w:r w:rsidRPr="00086743">
        <w:rPr>
          <w:rFonts w:ascii="Cambria" w:hAnsi="Cambria" w:cs="AdvTTebabd7da"/>
          <w:b/>
          <w:bCs/>
        </w:rPr>
        <w:lastRenderedPageBreak/>
        <w:t xml:space="preserve">Acknowledgments </w:t>
      </w:r>
    </w:p>
    <w:p w:rsidR="00281CEC" w:rsidRPr="00086743" w:rsidRDefault="00281CEC" w:rsidP="00681477">
      <w:pPr>
        <w:autoSpaceDE w:val="0"/>
        <w:autoSpaceDN w:val="0"/>
        <w:adjustRightInd w:val="0"/>
        <w:spacing w:after="0" w:line="360" w:lineRule="auto"/>
        <w:rPr>
          <w:rFonts w:ascii="Cambria" w:hAnsi="Cambria" w:cs="AdvTTebabd7da"/>
          <w:b/>
          <w:bCs/>
        </w:rPr>
      </w:pPr>
      <w:r w:rsidRPr="00086743">
        <w:rPr>
          <w:rFonts w:ascii="Cambria" w:hAnsi="Cambria" w:cs="AdvTTebabd7da"/>
          <w:color w:val="231F20"/>
        </w:rPr>
        <w:t xml:space="preserve">We would like to thank all of the staff at the </w:t>
      </w:r>
      <w:r w:rsidRPr="00086743">
        <w:rPr>
          <w:rFonts w:ascii="Cambria" w:hAnsi="Cambria" w:cs="AdvTTebabd7da+fb"/>
          <w:color w:val="231F20"/>
        </w:rPr>
        <w:t>fi</w:t>
      </w:r>
      <w:r w:rsidRPr="00086743">
        <w:rPr>
          <w:rFonts w:ascii="Cambria" w:hAnsi="Cambria" w:cs="AdvTTebabd7da"/>
          <w:color w:val="231F20"/>
        </w:rPr>
        <w:t xml:space="preserve">ve </w:t>
      </w:r>
      <w:r w:rsidR="00A717A0" w:rsidRPr="00086743">
        <w:rPr>
          <w:rFonts w:ascii="Cambria" w:hAnsi="Cambria" w:cs="AdvTTebabd7da"/>
          <w:color w:val="231F20"/>
        </w:rPr>
        <w:t xml:space="preserve">case </w:t>
      </w:r>
      <w:r w:rsidRPr="00086743">
        <w:rPr>
          <w:rFonts w:ascii="Cambria" w:hAnsi="Cambria" w:cs="AdvTTebabd7da"/>
          <w:color w:val="231F20"/>
        </w:rPr>
        <w:t>study sites and the various stakeholders who</w:t>
      </w:r>
      <w:r w:rsidR="008B4256" w:rsidRPr="00086743">
        <w:rPr>
          <w:rFonts w:ascii="Cambria" w:hAnsi="Cambria" w:cs="AdvTTebabd7da"/>
          <w:color w:val="231F20"/>
        </w:rPr>
        <w:t xml:space="preserve"> </w:t>
      </w:r>
      <w:r w:rsidRPr="00086743">
        <w:rPr>
          <w:rFonts w:ascii="Cambria" w:hAnsi="Cambria" w:cs="AdvTTebabd7da"/>
          <w:color w:val="231F20"/>
        </w:rPr>
        <w:t>participated in this research.</w:t>
      </w:r>
      <w:r w:rsidR="00A717A0" w:rsidRPr="00086743">
        <w:rPr>
          <w:rFonts w:ascii="Cambria" w:hAnsi="Cambria" w:cs="AdvTTebabd7da"/>
          <w:color w:val="231F20"/>
        </w:rPr>
        <w:t xml:space="preserve"> </w:t>
      </w:r>
    </w:p>
    <w:p w:rsidR="00A717A0" w:rsidRPr="00086743" w:rsidRDefault="00A717A0" w:rsidP="00681477">
      <w:pPr>
        <w:autoSpaceDE w:val="0"/>
        <w:autoSpaceDN w:val="0"/>
        <w:adjustRightInd w:val="0"/>
        <w:spacing w:after="0" w:line="360" w:lineRule="auto"/>
        <w:rPr>
          <w:rFonts w:ascii="Cambria" w:hAnsi="Cambria" w:cs="AdvTTebabd7da"/>
        </w:rPr>
      </w:pPr>
    </w:p>
    <w:p w:rsidR="00A717A0" w:rsidRPr="00086743" w:rsidRDefault="00A717A0" w:rsidP="00681477">
      <w:pPr>
        <w:autoSpaceDE w:val="0"/>
        <w:autoSpaceDN w:val="0"/>
        <w:adjustRightInd w:val="0"/>
        <w:spacing w:after="0" w:line="360" w:lineRule="auto"/>
        <w:rPr>
          <w:rFonts w:ascii="Cambria" w:hAnsi="Cambria" w:cs="AdvTTebabd7da"/>
        </w:rPr>
      </w:pPr>
      <w:r w:rsidRPr="00086743">
        <w:rPr>
          <w:rFonts w:ascii="Cambria" w:hAnsi="Cambria" w:cs="AdvTTebabd7da"/>
        </w:rPr>
        <w:t>CP JT JP</w:t>
      </w:r>
      <w:r w:rsidR="00F53C06" w:rsidRPr="00086743">
        <w:rPr>
          <w:rFonts w:ascii="Cambria" w:hAnsi="Cambria" w:cs="AdvTTebabd7da"/>
        </w:rPr>
        <w:t xml:space="preserve"> </w:t>
      </w:r>
      <w:r w:rsidR="000A3BB8" w:rsidRPr="00086743">
        <w:rPr>
          <w:rFonts w:ascii="Cambria" w:hAnsi="Cambria" w:cs="AdvTTebabd7da"/>
        </w:rPr>
        <w:t>and</w:t>
      </w:r>
      <w:r w:rsidR="002D48AD" w:rsidRPr="00086743">
        <w:rPr>
          <w:rFonts w:ascii="Cambria" w:hAnsi="Cambria" w:cs="AdvTTebabd7da"/>
        </w:rPr>
        <w:t xml:space="preserve"> </w:t>
      </w:r>
      <w:r w:rsidR="00F53C06" w:rsidRPr="00086743">
        <w:rPr>
          <w:rFonts w:ascii="Cambria" w:hAnsi="Cambria" w:cs="AdvTTebabd7da"/>
        </w:rPr>
        <w:t>SH</w:t>
      </w:r>
      <w:r w:rsidRPr="00086743">
        <w:rPr>
          <w:rFonts w:ascii="Cambria" w:hAnsi="Cambria" w:cs="AdvTTebabd7da"/>
        </w:rPr>
        <w:t xml:space="preserve"> were in</w:t>
      </w:r>
      <w:r w:rsidR="00AD2160" w:rsidRPr="00086743">
        <w:rPr>
          <w:rFonts w:ascii="Cambria" w:hAnsi="Cambria" w:cs="AdvTTebabd7da"/>
        </w:rPr>
        <w:t xml:space="preserve">volved in the conceptualisation </w:t>
      </w:r>
      <w:r w:rsidRPr="00086743">
        <w:rPr>
          <w:rFonts w:ascii="Cambria" w:hAnsi="Cambria" w:cs="AdvTTebabd7da"/>
        </w:rPr>
        <w:t>and design of the study, data collection and analysis</w:t>
      </w:r>
      <w:r w:rsidR="00AD2160" w:rsidRPr="00086743">
        <w:rPr>
          <w:rFonts w:ascii="Cambria" w:hAnsi="Cambria" w:cs="AdvTTebabd7da"/>
        </w:rPr>
        <w:t>.</w:t>
      </w:r>
      <w:r w:rsidRPr="00086743">
        <w:rPr>
          <w:rFonts w:ascii="Cambria" w:hAnsi="Cambria" w:cs="AdvTTebabd7da"/>
        </w:rPr>
        <w:t xml:space="preserve"> </w:t>
      </w:r>
      <w:r w:rsidR="00AD2160" w:rsidRPr="00086743">
        <w:rPr>
          <w:rFonts w:ascii="Cambria" w:hAnsi="Cambria" w:cs="AdvTTebabd7da"/>
        </w:rPr>
        <w:t>AR</w:t>
      </w:r>
      <w:r w:rsidR="00F53C06" w:rsidRPr="00086743">
        <w:rPr>
          <w:rFonts w:ascii="Cambria" w:hAnsi="Cambria" w:cs="AdvTTebabd7da"/>
        </w:rPr>
        <w:t xml:space="preserve"> </w:t>
      </w:r>
      <w:r w:rsidR="00AD2160" w:rsidRPr="00086743">
        <w:rPr>
          <w:rFonts w:ascii="Cambria" w:hAnsi="Cambria" w:cs="AdvTTebabd7da"/>
        </w:rPr>
        <w:t xml:space="preserve"> was involved in the collection, analysis and interpretation of the</w:t>
      </w:r>
      <w:r w:rsidR="008B4256" w:rsidRPr="00086743">
        <w:rPr>
          <w:rFonts w:ascii="Cambria" w:hAnsi="Cambria" w:cs="AdvTTebabd7da"/>
        </w:rPr>
        <w:t xml:space="preserve"> c</w:t>
      </w:r>
      <w:r w:rsidR="00AD2160" w:rsidRPr="00086743">
        <w:rPr>
          <w:rFonts w:ascii="Cambria" w:hAnsi="Cambria" w:cs="AdvTTebabd7da"/>
        </w:rPr>
        <w:t xml:space="preserve">ase </w:t>
      </w:r>
      <w:r w:rsidR="008B4256" w:rsidRPr="00086743">
        <w:rPr>
          <w:rFonts w:ascii="Cambria" w:hAnsi="Cambria" w:cs="AdvTTebabd7da"/>
        </w:rPr>
        <w:t>study data</w:t>
      </w:r>
      <w:r w:rsidR="00AD2160" w:rsidRPr="00086743">
        <w:rPr>
          <w:rFonts w:ascii="Cambria" w:hAnsi="Cambria" w:cs="AdvTTebabd7da"/>
        </w:rPr>
        <w:t xml:space="preserve">. JJ was involved in the conceptualisation and design of the study, provided health economics support to the case study research and conducted the secondary analysis of the MDS. All authors were involved in drafting the paper and approved the </w:t>
      </w:r>
      <w:r w:rsidR="00AD2160" w:rsidRPr="00086743">
        <w:rPr>
          <w:rFonts w:ascii="Cambria" w:hAnsi="Cambria" w:cs="AdvTTebabd7da+fb"/>
        </w:rPr>
        <w:t>fi</w:t>
      </w:r>
      <w:r w:rsidR="00AD2160" w:rsidRPr="00086743">
        <w:rPr>
          <w:rFonts w:ascii="Cambria" w:hAnsi="Cambria" w:cs="AdvTTebabd7da"/>
        </w:rPr>
        <w:t>nal version.</w:t>
      </w:r>
    </w:p>
    <w:p w:rsidR="008B4256" w:rsidRPr="00086743" w:rsidRDefault="008B4256" w:rsidP="00681477">
      <w:pPr>
        <w:spacing w:before="240" w:line="360" w:lineRule="auto"/>
        <w:rPr>
          <w:rFonts w:ascii="Cambria" w:hAnsi="Cambria" w:cs="AdvTTebabd7da"/>
        </w:rPr>
      </w:pPr>
      <w:r w:rsidRPr="00086743">
        <w:rPr>
          <w:rFonts w:ascii="Cambria" w:hAnsi="Cambria" w:cs="AdvTTebabd7da"/>
        </w:rPr>
        <w:t xml:space="preserve">The views and opinions expressed here are those of the authors and do not necessarily reflect those of the NIHR HS&amp;DR programme, the NHS or the Department of Health. </w:t>
      </w:r>
    </w:p>
    <w:p w:rsidR="006E0F58" w:rsidRPr="00086743" w:rsidRDefault="006E0F58" w:rsidP="00681477">
      <w:pPr>
        <w:spacing w:before="240" w:line="360" w:lineRule="auto"/>
        <w:rPr>
          <w:rFonts w:ascii="Cambria" w:hAnsi="Cambria" w:cs="AdvTTebabd7da"/>
          <w:b/>
          <w:bCs/>
        </w:rPr>
      </w:pPr>
      <w:r w:rsidRPr="00086743">
        <w:rPr>
          <w:rFonts w:ascii="Cambria" w:hAnsi="Cambria" w:cs="AdvTTebabd7da"/>
          <w:b/>
          <w:bCs/>
        </w:rPr>
        <w:t xml:space="preserve">Competing Interests </w:t>
      </w:r>
    </w:p>
    <w:p w:rsidR="00926C5E" w:rsidRPr="00086743" w:rsidRDefault="008B4256" w:rsidP="00681477">
      <w:pPr>
        <w:autoSpaceDE w:val="0"/>
        <w:autoSpaceDN w:val="0"/>
        <w:adjustRightInd w:val="0"/>
        <w:spacing w:after="0" w:line="360" w:lineRule="auto"/>
        <w:rPr>
          <w:rFonts w:ascii="Cambria" w:eastAsia="FreeSans" w:hAnsi="Cambria" w:cs="FreeSans"/>
        </w:rPr>
      </w:pPr>
      <w:r w:rsidRPr="00086743">
        <w:rPr>
          <w:rFonts w:ascii="Cambria" w:eastAsia="FreeSans" w:hAnsi="Cambria" w:cs="FreeSans"/>
        </w:rPr>
        <w:t>We have read and understood BMJ policy o</w:t>
      </w:r>
      <w:r w:rsidR="0002712A" w:rsidRPr="00086743">
        <w:rPr>
          <w:rFonts w:ascii="Cambria" w:eastAsia="FreeSans" w:hAnsi="Cambria" w:cs="FreeSans"/>
        </w:rPr>
        <w:t xml:space="preserve">n declaration of interests and </w:t>
      </w:r>
      <w:r w:rsidRPr="00086743">
        <w:rPr>
          <w:rFonts w:ascii="Cambria" w:eastAsia="FreeSans" w:hAnsi="Cambria" w:cs="FreeSans"/>
        </w:rPr>
        <w:t>we</w:t>
      </w:r>
      <w:r w:rsidRPr="00086743">
        <w:rPr>
          <w:rFonts w:ascii="Cambria" w:hAnsi="Cambria" w:cs="XbvngfAdvTTb5929f4c"/>
        </w:rPr>
        <w:t xml:space="preserve"> have no competing interests</w:t>
      </w:r>
      <w:r w:rsidRPr="00086743">
        <w:rPr>
          <w:rFonts w:ascii="Cambria" w:eastAsia="FreeSans" w:hAnsi="Cambria" w:cs="FreeSans"/>
        </w:rPr>
        <w:t>.</w:t>
      </w:r>
    </w:p>
    <w:p w:rsidR="00281CEC" w:rsidRPr="00086743" w:rsidRDefault="006E0F58" w:rsidP="00681477">
      <w:pPr>
        <w:spacing w:before="240" w:line="360" w:lineRule="auto"/>
        <w:rPr>
          <w:rFonts w:ascii="Cambria" w:hAnsi="Cambria" w:cs="AdvTTebabd7da"/>
          <w:b/>
          <w:bCs/>
        </w:rPr>
      </w:pPr>
      <w:r w:rsidRPr="00086743">
        <w:rPr>
          <w:rFonts w:ascii="Cambria" w:hAnsi="Cambria" w:cs="AdvTTebabd7da"/>
          <w:b/>
          <w:bCs/>
        </w:rPr>
        <w:t>Funding</w:t>
      </w:r>
    </w:p>
    <w:p w:rsidR="00281CEC" w:rsidRPr="00086743" w:rsidRDefault="008B4256" w:rsidP="00681477">
      <w:pPr>
        <w:autoSpaceDE w:val="0"/>
        <w:autoSpaceDN w:val="0"/>
        <w:adjustRightInd w:val="0"/>
        <w:spacing w:after="0" w:line="360" w:lineRule="auto"/>
        <w:rPr>
          <w:rFonts w:ascii="Cambria" w:hAnsi="Cambria" w:cs="AdvTTebabd7da"/>
        </w:rPr>
      </w:pPr>
      <w:r w:rsidRPr="00086743">
        <w:rPr>
          <w:rFonts w:ascii="Cambria" w:hAnsi="Cambria" w:cs="XbvngfAdvTTb5929f4c"/>
        </w:rPr>
        <w:t xml:space="preserve">The case study research work was </w:t>
      </w:r>
      <w:r w:rsidR="00165F2F" w:rsidRPr="00086743">
        <w:rPr>
          <w:rFonts w:ascii="Cambria" w:hAnsi="Cambria" w:cs="XbvngfAdvTTb5929f4c"/>
        </w:rPr>
        <w:t xml:space="preserve">funded </w:t>
      </w:r>
      <w:r w:rsidRPr="00086743">
        <w:rPr>
          <w:rFonts w:ascii="Cambria" w:hAnsi="Cambria" w:cs="XbvngfAdvTTb5929f4c"/>
        </w:rPr>
        <w:t xml:space="preserve">by the National Institute for Health Research HS&amp;DR programme grant number </w:t>
      </w:r>
      <w:r w:rsidR="00651DB5" w:rsidRPr="00086743">
        <w:rPr>
          <w:rFonts w:ascii="Cambria" w:hAnsi="Cambria" w:cs="XbvngfAdvTTb5929f4c"/>
        </w:rPr>
        <w:t>10/1008/10</w:t>
      </w:r>
      <w:r w:rsidRPr="00086743">
        <w:rPr>
          <w:rFonts w:ascii="Cambria" w:hAnsi="Cambria" w:cs="XbvngfAdvTTb5929f4c"/>
        </w:rPr>
        <w:t xml:space="preserve">. </w:t>
      </w:r>
      <w:r w:rsidR="00281CEC" w:rsidRPr="00086743">
        <w:rPr>
          <w:rFonts w:ascii="Cambria" w:hAnsi="Cambria" w:cs="AdvTTebabd7da"/>
        </w:rPr>
        <w:t xml:space="preserve">The secondary analysis was unfunded. </w:t>
      </w:r>
    </w:p>
    <w:p w:rsidR="00926C5E" w:rsidRPr="00086743" w:rsidRDefault="00926C5E" w:rsidP="00681477">
      <w:pPr>
        <w:autoSpaceDE w:val="0"/>
        <w:autoSpaceDN w:val="0"/>
        <w:adjustRightInd w:val="0"/>
        <w:spacing w:after="0" w:line="360" w:lineRule="auto"/>
        <w:rPr>
          <w:rFonts w:ascii="Cambria" w:hAnsi="Cambria" w:cs="AdvTTebabd7da"/>
          <w:b/>
        </w:rPr>
      </w:pPr>
    </w:p>
    <w:p w:rsidR="00926C5E" w:rsidRPr="00086743" w:rsidRDefault="00926C5E" w:rsidP="00681477">
      <w:pPr>
        <w:autoSpaceDE w:val="0"/>
        <w:autoSpaceDN w:val="0"/>
        <w:adjustRightInd w:val="0"/>
        <w:spacing w:after="0" w:line="360" w:lineRule="auto"/>
        <w:rPr>
          <w:rFonts w:ascii="Cambria" w:hAnsi="Cambria" w:cs="AdvTTebabd7da"/>
          <w:b/>
        </w:rPr>
      </w:pPr>
      <w:r w:rsidRPr="00086743">
        <w:rPr>
          <w:rFonts w:ascii="Cambria" w:hAnsi="Cambria" w:cs="AdvTTebabd7da"/>
          <w:b/>
        </w:rPr>
        <w:t xml:space="preserve">Data sharing </w:t>
      </w:r>
    </w:p>
    <w:p w:rsidR="00926C5E" w:rsidRPr="00086743" w:rsidRDefault="00926C5E" w:rsidP="00681477">
      <w:pPr>
        <w:autoSpaceDE w:val="0"/>
        <w:autoSpaceDN w:val="0"/>
        <w:adjustRightInd w:val="0"/>
        <w:spacing w:after="0" w:line="360" w:lineRule="auto"/>
        <w:rPr>
          <w:rFonts w:ascii="Cambria" w:hAnsi="Cambria" w:cs="AdvTTebabd7da"/>
          <w:b/>
        </w:rPr>
      </w:pPr>
    </w:p>
    <w:p w:rsidR="00926C5E" w:rsidRPr="00086743" w:rsidRDefault="00926C5E" w:rsidP="00681477">
      <w:pPr>
        <w:autoSpaceDE w:val="0"/>
        <w:autoSpaceDN w:val="0"/>
        <w:adjustRightInd w:val="0"/>
        <w:spacing w:after="0" w:line="360" w:lineRule="auto"/>
        <w:rPr>
          <w:rFonts w:ascii="Cambria" w:hAnsi="Cambria" w:cs="AdvTTebabd7da"/>
        </w:rPr>
      </w:pPr>
      <w:r w:rsidRPr="00086743">
        <w:rPr>
          <w:rFonts w:ascii="Cambria" w:hAnsi="Cambria" w:cs="AdvTTebabd7da"/>
        </w:rPr>
        <w:t xml:space="preserve">NHS 111 </w:t>
      </w:r>
      <w:r w:rsidR="00BB1479" w:rsidRPr="00086743">
        <w:rPr>
          <w:rFonts w:ascii="Cambria" w:hAnsi="Cambria" w:cs="AdvTTebabd7da"/>
        </w:rPr>
        <w:t xml:space="preserve">MDS is available from </w:t>
      </w:r>
      <w:r w:rsidRPr="00086743">
        <w:rPr>
          <w:rFonts w:ascii="Cambria" w:hAnsi="Cambria" w:cs="AdvTTebabd7da"/>
        </w:rPr>
        <w:t>https://www.england.nhs.uk/statistics/statistical-work-areas/nhs-111-minimum-data-set/nhs-111-minimum-data-set-2015-16/</w:t>
      </w:r>
    </w:p>
    <w:p w:rsidR="00651DB5" w:rsidRPr="00086743" w:rsidRDefault="006E0F58" w:rsidP="00681477">
      <w:pPr>
        <w:spacing w:before="240" w:line="360" w:lineRule="auto"/>
        <w:rPr>
          <w:rFonts w:ascii="Cambria" w:hAnsi="Cambria" w:cs="AdvTTebabd7da"/>
          <w:b/>
          <w:bCs/>
        </w:rPr>
      </w:pPr>
      <w:r w:rsidRPr="00086743">
        <w:rPr>
          <w:rFonts w:ascii="Cambria" w:hAnsi="Cambria" w:cs="AdvTTebabd7da"/>
          <w:b/>
          <w:bCs/>
        </w:rPr>
        <w:t xml:space="preserve">Ethics </w:t>
      </w:r>
    </w:p>
    <w:p w:rsidR="00170111" w:rsidRPr="00086743" w:rsidRDefault="00651DB5" w:rsidP="00681477">
      <w:pPr>
        <w:spacing w:before="240" w:line="360" w:lineRule="auto"/>
        <w:rPr>
          <w:rFonts w:ascii="Cambria" w:hAnsi="Cambria" w:cs="AdvTTebabd7da"/>
          <w:b/>
          <w:bCs/>
        </w:rPr>
      </w:pPr>
      <w:r w:rsidRPr="00086743">
        <w:rPr>
          <w:rFonts w:ascii="Cambria" w:hAnsi="Cambria" w:cs="AdvTTebabd7da"/>
        </w:rPr>
        <w:t>Research Ethics Committee</w:t>
      </w:r>
      <w:r w:rsidR="006F2580" w:rsidRPr="00086743">
        <w:rPr>
          <w:rFonts w:ascii="Cambria" w:hAnsi="Cambria" w:cs="AdvTTebabd7da"/>
        </w:rPr>
        <w:t xml:space="preserve"> </w:t>
      </w:r>
      <w:r w:rsidRPr="00086743">
        <w:rPr>
          <w:rFonts w:ascii="Cambria" w:hAnsi="Cambria" w:cs="AdvTTebabd7da"/>
        </w:rPr>
        <w:t>Reference Number: 11/NE/0198</w:t>
      </w:r>
      <w:r w:rsidRPr="00086743">
        <w:rPr>
          <w:rFonts w:ascii="Cambria" w:hAnsi="Cambria" w:cs="AdvTTebabd7da"/>
          <w:b/>
          <w:bCs/>
        </w:rPr>
        <w:t xml:space="preserve"> </w:t>
      </w:r>
      <w:r w:rsidR="000D2AEF" w:rsidRPr="00086743">
        <w:rPr>
          <w:rFonts w:ascii="Cambria" w:hAnsi="Cambria" w:cs="AdvTTebabd7da"/>
          <w:b/>
          <w:bCs/>
        </w:rPr>
        <w:br w:type="page"/>
      </w:r>
    </w:p>
    <w:p w:rsidR="00170111" w:rsidRPr="00086743" w:rsidRDefault="00170111" w:rsidP="00681477">
      <w:pPr>
        <w:spacing w:before="240" w:line="360" w:lineRule="auto"/>
        <w:rPr>
          <w:rFonts w:ascii="Cambria" w:hAnsi="Cambria" w:cs="AdvTTebabd7da"/>
          <w:b/>
          <w:bCs/>
        </w:rPr>
      </w:pPr>
    </w:p>
    <w:p w:rsidR="00170111" w:rsidRPr="00086743" w:rsidRDefault="00077D32" w:rsidP="00681477">
      <w:pPr>
        <w:pStyle w:val="EndNoteBibliographyTitle"/>
        <w:rPr>
          <w:rFonts w:ascii="Cambria" w:hAnsi="Cambria"/>
        </w:rPr>
      </w:pPr>
      <w:r w:rsidRPr="00086743">
        <w:rPr>
          <w:rFonts w:ascii="Cambria" w:hAnsi="Cambria"/>
        </w:rPr>
        <w:fldChar w:fldCharType="begin"/>
      </w:r>
      <w:r w:rsidR="00170111" w:rsidRPr="00086743">
        <w:rPr>
          <w:rFonts w:ascii="Cambria" w:hAnsi="Cambria"/>
        </w:rPr>
        <w:instrText xml:space="preserve"> ADDIN EN.REFLIST </w:instrText>
      </w:r>
      <w:r w:rsidRPr="00086743">
        <w:rPr>
          <w:rFonts w:ascii="Cambria" w:hAnsi="Cambria"/>
        </w:rPr>
        <w:fldChar w:fldCharType="separate"/>
      </w:r>
      <w:r w:rsidR="00170111" w:rsidRPr="00086743">
        <w:rPr>
          <w:rFonts w:ascii="Cambria" w:hAnsi="Cambria"/>
        </w:rPr>
        <w:t>References</w:t>
      </w:r>
    </w:p>
    <w:p w:rsidR="00170111" w:rsidRPr="00086743" w:rsidRDefault="00170111" w:rsidP="00681477">
      <w:pPr>
        <w:pStyle w:val="EndNoteBibliographyTitle"/>
        <w:rPr>
          <w:rFonts w:ascii="Cambria" w:hAnsi="Cambria"/>
        </w:rPr>
      </w:pPr>
    </w:p>
    <w:p w:rsidR="00170111" w:rsidRPr="00086743" w:rsidRDefault="00170111" w:rsidP="00681477">
      <w:pPr>
        <w:pStyle w:val="EndNoteBibliography"/>
        <w:spacing w:after="0"/>
        <w:rPr>
          <w:rFonts w:ascii="Cambria" w:hAnsi="Cambria"/>
        </w:rPr>
      </w:pPr>
      <w:r w:rsidRPr="00086743">
        <w:rPr>
          <w:rFonts w:ascii="Cambria" w:hAnsi="Cambria"/>
        </w:rPr>
        <w:t>1.</w:t>
      </w:r>
      <w:r w:rsidRPr="00086743">
        <w:rPr>
          <w:rFonts w:ascii="Cambria" w:hAnsi="Cambria"/>
        </w:rPr>
        <w:tab/>
        <w:t xml:space="preserve">NHS England, Public Health England, Health Education England, Monitor, Care Quality Commission, Authority NTD. Five year forward view October 2014 [Available from: </w:t>
      </w:r>
      <w:hyperlink r:id="rId8" w:history="1">
        <w:r w:rsidRPr="00086743">
          <w:rPr>
            <w:rStyle w:val="Hyperlink"/>
            <w:rFonts w:ascii="Cambria" w:hAnsi="Cambria"/>
          </w:rPr>
          <w:t>www.england.nhs.uk/wp-content/uploads/2014/10/5yfv-web.pdf</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2.</w:t>
      </w:r>
      <w:r w:rsidRPr="00086743">
        <w:rPr>
          <w:rFonts w:ascii="Cambria" w:hAnsi="Cambria"/>
        </w:rPr>
        <w:tab/>
        <w:t xml:space="preserve">NHS England. General Practice Forward View 2016 [Available from: </w:t>
      </w:r>
      <w:hyperlink r:id="rId9" w:history="1">
        <w:r w:rsidRPr="00086743">
          <w:rPr>
            <w:rStyle w:val="Hyperlink"/>
            <w:rFonts w:ascii="Cambria" w:hAnsi="Cambria"/>
          </w:rPr>
          <w:t>https://www.england.nhs.uk/wp-content/uploads/2016/04/gpfv.pdf</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3.</w:t>
      </w:r>
      <w:r w:rsidRPr="00086743">
        <w:rPr>
          <w:rFonts w:ascii="Cambria" w:hAnsi="Cambria"/>
        </w:rPr>
        <w:tab/>
        <w:t>National Health Executive. NHS 111 sends more patients than necessary to A&amp;E: study suggests. 2015.</w:t>
      </w:r>
    </w:p>
    <w:p w:rsidR="00170111" w:rsidRPr="00086743" w:rsidRDefault="00170111" w:rsidP="00681477">
      <w:pPr>
        <w:pStyle w:val="EndNoteBibliography"/>
        <w:spacing w:after="0"/>
        <w:rPr>
          <w:rFonts w:ascii="Cambria" w:hAnsi="Cambria"/>
        </w:rPr>
      </w:pPr>
      <w:r w:rsidRPr="00086743">
        <w:rPr>
          <w:rFonts w:ascii="Cambria" w:hAnsi="Cambria"/>
        </w:rPr>
        <w:t>4.</w:t>
      </w:r>
      <w:r w:rsidRPr="00086743">
        <w:rPr>
          <w:rFonts w:ascii="Cambria" w:hAnsi="Cambria"/>
        </w:rPr>
        <w:tab/>
        <w:t xml:space="preserve">Faulkner K, Dolan A, White J, Bentley P. The tragic cost  of NHS out-hours hotline’s descent into meltdown 2015 [Available from: </w:t>
      </w:r>
      <w:hyperlink r:id="rId10" w:history="1">
        <w:r w:rsidRPr="00086743">
          <w:rPr>
            <w:rStyle w:val="Hyperlink"/>
            <w:rFonts w:ascii="Cambria" w:hAnsi="Cambria"/>
          </w:rPr>
          <w:t>http://www.dailymail.co.uk/news/article-3252724/The-tragic-cost-NHS-hours-hotline-s-descent-meltdown-Two-babies-died-parents-given-wrong-advice-investigation-finds-ONE-nurse-duty-2-million-people.html</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5.</w:t>
      </w:r>
      <w:r w:rsidRPr="00086743">
        <w:rPr>
          <w:rFonts w:ascii="Cambria" w:hAnsi="Cambria"/>
        </w:rPr>
        <w:tab/>
        <w:t>Torjesen I. Ignorance about sepsis was a factor in child’s death, says report. BMJ. 2016;352:i541.</w:t>
      </w:r>
    </w:p>
    <w:p w:rsidR="00170111" w:rsidRPr="00086743" w:rsidRDefault="00170111" w:rsidP="00681477">
      <w:pPr>
        <w:pStyle w:val="EndNoteBibliography"/>
        <w:spacing w:after="0"/>
        <w:rPr>
          <w:rFonts w:ascii="Cambria" w:hAnsi="Cambria"/>
        </w:rPr>
      </w:pPr>
      <w:r w:rsidRPr="00086743">
        <w:rPr>
          <w:rFonts w:ascii="Cambria" w:hAnsi="Cambria"/>
        </w:rPr>
        <w:t>6.</w:t>
      </w:r>
      <w:r w:rsidRPr="00086743">
        <w:rPr>
          <w:rFonts w:ascii="Cambria" w:hAnsi="Cambria"/>
        </w:rPr>
        <w:tab/>
        <w:t>Iacobucci G. GPs back call for independent review of “dreadful” NHS 111. BMJ 2013;346:f3437.</w:t>
      </w:r>
    </w:p>
    <w:p w:rsidR="00170111" w:rsidRPr="00086743" w:rsidRDefault="00170111" w:rsidP="00681477">
      <w:pPr>
        <w:pStyle w:val="EndNoteBibliography"/>
        <w:spacing w:after="0"/>
        <w:rPr>
          <w:rFonts w:ascii="Cambria" w:hAnsi="Cambria"/>
        </w:rPr>
      </w:pPr>
      <w:r w:rsidRPr="00086743">
        <w:rPr>
          <w:rFonts w:ascii="Cambria" w:hAnsi="Cambria"/>
        </w:rPr>
        <w:t>7.</w:t>
      </w:r>
      <w:r w:rsidRPr="00086743">
        <w:rPr>
          <w:rFonts w:ascii="Cambria" w:hAnsi="Cambria"/>
        </w:rPr>
        <w:tab/>
        <w:t>Anderson A, Roland M. Potential for advice from doctors to reduce the number of patients referred to emergency departments by NHS 111 call handlers: observational study. BMJ Open [Internet]. 2015; 5:[e009444 p.].</w:t>
      </w:r>
    </w:p>
    <w:p w:rsidR="00170111" w:rsidRPr="00086743" w:rsidRDefault="00170111" w:rsidP="00681477">
      <w:pPr>
        <w:pStyle w:val="EndNoteBibliography"/>
        <w:spacing w:after="0"/>
        <w:rPr>
          <w:rFonts w:ascii="Cambria" w:hAnsi="Cambria"/>
        </w:rPr>
      </w:pPr>
      <w:r w:rsidRPr="00086743">
        <w:rPr>
          <w:rFonts w:ascii="Cambria" w:hAnsi="Cambria"/>
        </w:rPr>
        <w:t>8.</w:t>
      </w:r>
      <w:r w:rsidRPr="00086743">
        <w:rPr>
          <w:rFonts w:ascii="Cambria" w:hAnsi="Cambria"/>
        </w:rPr>
        <w:tab/>
        <w:t>Turner J, O’Cathain A, Knowles E, Nicholl J, Tosh J, Sampson F, et al. Evaluation of NHS 111 Pilot sites. Final Report to the Department of Health. Medical Care Research Unit: University of Sheffield; 2012.</w:t>
      </w:r>
    </w:p>
    <w:p w:rsidR="00170111" w:rsidRPr="00086743" w:rsidRDefault="00170111" w:rsidP="00681477">
      <w:pPr>
        <w:pStyle w:val="EndNoteBibliography"/>
        <w:spacing w:after="0"/>
        <w:rPr>
          <w:rFonts w:ascii="Cambria" w:hAnsi="Cambria"/>
        </w:rPr>
      </w:pPr>
      <w:r w:rsidRPr="00086743">
        <w:rPr>
          <w:rFonts w:ascii="Cambria" w:hAnsi="Cambria"/>
        </w:rPr>
        <w:t>9.</w:t>
      </w:r>
      <w:r w:rsidRPr="00086743">
        <w:rPr>
          <w:rFonts w:ascii="Cambria" w:hAnsi="Cambria"/>
        </w:rPr>
        <w:tab/>
        <w:t>Turner J, O’Cathain A, Knowles E, Nicholl J. Impact of the urgent care telephone service NHS 111 pilot sites: a controlled before and after study. BMJ Open. 2013;3:e003451.</w:t>
      </w:r>
    </w:p>
    <w:p w:rsidR="00170111" w:rsidRPr="00086743" w:rsidRDefault="00170111" w:rsidP="00681477">
      <w:pPr>
        <w:pStyle w:val="EndNoteBibliography"/>
        <w:spacing w:after="0"/>
        <w:rPr>
          <w:rFonts w:ascii="Cambria" w:hAnsi="Cambria"/>
        </w:rPr>
      </w:pPr>
      <w:r w:rsidRPr="00086743">
        <w:rPr>
          <w:rFonts w:ascii="Cambria" w:hAnsi="Cambria"/>
        </w:rPr>
        <w:t>10.</w:t>
      </w:r>
      <w:r w:rsidRPr="00086743">
        <w:rPr>
          <w:rFonts w:ascii="Cambria" w:hAnsi="Cambria"/>
        </w:rPr>
        <w:tab/>
        <w:t xml:space="preserve">NHS England. Commissioning Standards Integrated Urgent Care September 2015 [Available from: </w:t>
      </w:r>
      <w:hyperlink r:id="rId11" w:history="1">
        <w:r w:rsidRPr="00086743">
          <w:rPr>
            <w:rStyle w:val="Hyperlink"/>
            <w:rFonts w:ascii="Cambria" w:hAnsi="Cambria"/>
          </w:rPr>
          <w:t>https://www.england.nhs.uk/wp-content/uploads/2015/10/integrtd-urgnt-care-comms-standrds-oct15.pdf</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11.</w:t>
      </w:r>
      <w:r w:rsidRPr="00086743">
        <w:rPr>
          <w:rFonts w:ascii="Cambria" w:hAnsi="Cambria"/>
        </w:rPr>
        <w:tab/>
        <w:t xml:space="preserve">NHS England. High quality care for all, now and for future generations: Transforming urgent and emergency care services in England - Urgent and Emergency Care Review End of Phase 1 Report 2013 [Available from: </w:t>
      </w:r>
      <w:hyperlink r:id="rId12" w:history="1">
        <w:r w:rsidRPr="00086743">
          <w:rPr>
            <w:rStyle w:val="Hyperlink"/>
            <w:rFonts w:ascii="Cambria" w:hAnsi="Cambria"/>
          </w:rPr>
          <w:t>http://www.nhs.uk/NHSEngland/keogh-review/Documents/UECR.Ph1Report.FV.pdf</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12.</w:t>
      </w:r>
      <w:r w:rsidRPr="00086743">
        <w:rPr>
          <w:rFonts w:ascii="Cambria" w:hAnsi="Cambria"/>
        </w:rPr>
        <w:tab/>
        <w:t>Turnbull J, Pope C, Rowsell A, Prichard J, Halford S, Jones J, et al. The work, workforce, technology and organisational implications of the ‘111’ single point of access telephone number for urgent (non-emergency) care: a mixed-methods case study. Health Serv Deliv Res. 2014;2(3).</w:t>
      </w:r>
    </w:p>
    <w:p w:rsidR="00170111" w:rsidRPr="00086743" w:rsidRDefault="00170111" w:rsidP="00681477">
      <w:pPr>
        <w:pStyle w:val="EndNoteBibliography"/>
        <w:spacing w:after="0"/>
        <w:rPr>
          <w:rFonts w:ascii="Cambria" w:hAnsi="Cambria"/>
        </w:rPr>
      </w:pPr>
      <w:r w:rsidRPr="00086743">
        <w:rPr>
          <w:rFonts w:ascii="Cambria" w:hAnsi="Cambria"/>
        </w:rPr>
        <w:t>13.</w:t>
      </w:r>
      <w:r w:rsidRPr="00086743">
        <w:rPr>
          <w:rFonts w:ascii="Cambria" w:hAnsi="Cambria"/>
        </w:rPr>
        <w:tab/>
        <w:t>Pope C, Turnbull J, Halford S, Prichard J, Calestani M, Salisbury C, et al. Ethnography and survey analysis of a computer decision support system in urgent out-of-hours, single point of access and emergency (999) care. A report to the NIHR SDO Programme.</w:t>
      </w:r>
    </w:p>
    <w:p w:rsidR="00170111" w:rsidRPr="00086743" w:rsidRDefault="00170111" w:rsidP="00681477">
      <w:pPr>
        <w:pStyle w:val="EndNoteBibliography"/>
        <w:spacing w:after="0"/>
        <w:rPr>
          <w:rFonts w:ascii="Cambria" w:hAnsi="Cambria"/>
        </w:rPr>
      </w:pPr>
      <w:r w:rsidRPr="00086743">
        <w:rPr>
          <w:rFonts w:ascii="Cambria" w:hAnsi="Cambria"/>
        </w:rPr>
        <w:t>14.</w:t>
      </w:r>
      <w:r w:rsidRPr="00086743">
        <w:rPr>
          <w:rFonts w:ascii="Cambria" w:hAnsi="Cambria"/>
        </w:rPr>
        <w:tab/>
        <w:t xml:space="preserve">NHS England. NHS 111 Minimum Data Set 2015-16 2016 [Available from: </w:t>
      </w:r>
      <w:hyperlink r:id="rId13" w:history="1">
        <w:r w:rsidRPr="00086743">
          <w:rPr>
            <w:rStyle w:val="Hyperlink"/>
            <w:rFonts w:ascii="Cambria" w:hAnsi="Cambria"/>
          </w:rPr>
          <w:t>https://www.england.nhs.uk/statistics/statistical-work-areas/nhs-111-minimum-data-set/nhs-111-minimum-data-set-2015-16/</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15.</w:t>
      </w:r>
      <w:r w:rsidRPr="00086743">
        <w:rPr>
          <w:rFonts w:ascii="Cambria" w:hAnsi="Cambria"/>
        </w:rPr>
        <w:tab/>
        <w:t>R Development Core Team. R: A language and environment for statistical computing. Vienna, Austria: R Foundation for Statistical Computing; 2012.</w:t>
      </w:r>
    </w:p>
    <w:p w:rsidR="00170111" w:rsidRPr="00086743" w:rsidRDefault="00170111" w:rsidP="00681477">
      <w:pPr>
        <w:pStyle w:val="EndNoteBibliography"/>
        <w:spacing w:after="0"/>
        <w:rPr>
          <w:rFonts w:ascii="Cambria" w:hAnsi="Cambria"/>
        </w:rPr>
      </w:pPr>
      <w:r w:rsidRPr="00086743">
        <w:rPr>
          <w:rFonts w:ascii="Cambria" w:hAnsi="Cambria"/>
        </w:rPr>
        <w:t>16.</w:t>
      </w:r>
      <w:r w:rsidRPr="00086743">
        <w:rPr>
          <w:rFonts w:ascii="Cambria" w:hAnsi="Cambria"/>
        </w:rPr>
        <w:tab/>
        <w:t xml:space="preserve">BBC. 101 and 111 non-emergency numbers restored after fault 22 November 2014 [Available from: </w:t>
      </w:r>
      <w:hyperlink r:id="rId14" w:history="1">
        <w:r w:rsidRPr="00086743">
          <w:rPr>
            <w:rStyle w:val="Hyperlink"/>
            <w:rFonts w:ascii="Cambria" w:hAnsi="Cambria"/>
          </w:rPr>
          <w:t>http://www.bbc.co.uk/news/uk-30159433</w:t>
        </w:r>
      </w:hyperlink>
      <w:r w:rsidRPr="00086743">
        <w:rPr>
          <w:rFonts w:ascii="Cambria" w:hAnsi="Cambria"/>
        </w:rPr>
        <w:t xml:space="preserve"> </w:t>
      </w:r>
    </w:p>
    <w:p w:rsidR="00170111" w:rsidRPr="00086743" w:rsidRDefault="00170111" w:rsidP="00681477">
      <w:pPr>
        <w:pStyle w:val="EndNoteBibliography"/>
        <w:spacing w:after="0"/>
        <w:rPr>
          <w:rFonts w:ascii="Cambria" w:hAnsi="Cambria"/>
        </w:rPr>
      </w:pPr>
      <w:r w:rsidRPr="00086743">
        <w:rPr>
          <w:rFonts w:ascii="Cambria" w:hAnsi="Cambria"/>
        </w:rPr>
        <w:t>17.</w:t>
      </w:r>
      <w:r w:rsidRPr="00086743">
        <w:rPr>
          <w:rFonts w:ascii="Cambria" w:hAnsi="Cambria"/>
        </w:rPr>
        <w:tab/>
        <w:t xml:space="preserve">England N. NHS 111 Commissioning Standards 2014 [Available from: </w:t>
      </w:r>
      <w:hyperlink r:id="rId15" w:history="1">
        <w:r w:rsidRPr="00086743">
          <w:rPr>
            <w:rStyle w:val="Hyperlink"/>
            <w:rFonts w:ascii="Cambria" w:hAnsi="Cambria"/>
          </w:rPr>
          <w:t>https://www.england.nhs.uk/wp-content/uploads/2014/06/nhs111-coms-stand.pdf</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18.</w:t>
      </w:r>
      <w:r w:rsidRPr="00086743">
        <w:rPr>
          <w:rFonts w:ascii="Cambria" w:hAnsi="Cambria"/>
        </w:rPr>
        <w:tab/>
        <w:t xml:space="preserve">NHS 111 Programme Team. NHS 111 Minimum Data Set – Providers version October 2012 [Available from: </w:t>
      </w:r>
      <w:hyperlink r:id="rId16" w:history="1">
        <w:r w:rsidRPr="00086743">
          <w:rPr>
            <w:rStyle w:val="Hyperlink"/>
            <w:rFonts w:ascii="Cambria" w:hAnsi="Cambria"/>
          </w:rPr>
          <w:t>https://www.england.nhs.uk/statistics/wp-content/uploads/sites/2/2015/04/NHS-111-Minimum-Dataset-Providers-v0-9.doc</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lastRenderedPageBreak/>
        <w:t>19.</w:t>
      </w:r>
      <w:r w:rsidRPr="00086743">
        <w:rPr>
          <w:rFonts w:ascii="Cambria" w:hAnsi="Cambria"/>
        </w:rPr>
        <w:tab/>
        <w:t xml:space="preserve">NHS England. NHS 111 survey reveals callers pleased with the service. 1 December 2015 [Available from: </w:t>
      </w:r>
      <w:hyperlink r:id="rId17" w:history="1">
        <w:r w:rsidRPr="00086743">
          <w:rPr>
            <w:rStyle w:val="Hyperlink"/>
            <w:rFonts w:ascii="Cambria" w:hAnsi="Cambria"/>
          </w:rPr>
          <w:t>https://www.england.nhs.uk/2015/12/nhs-111-survey/</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20.</w:t>
      </w:r>
      <w:r w:rsidRPr="00086743">
        <w:rPr>
          <w:rFonts w:ascii="Cambria" w:hAnsi="Cambria"/>
        </w:rPr>
        <w:tab/>
        <w:t xml:space="preserve">Ray J. Why I am optimistic about NHS 111 2016 [Available from: </w:t>
      </w:r>
      <w:hyperlink r:id="rId18" w:history="1">
        <w:r w:rsidRPr="00086743">
          <w:rPr>
            <w:rStyle w:val="Hyperlink"/>
            <w:rFonts w:ascii="Cambria" w:hAnsi="Cambria"/>
          </w:rPr>
          <w:t>https://www.england.nhs.uk/2016/06/james-ray/</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21.</w:t>
      </w:r>
      <w:r w:rsidRPr="00086743">
        <w:rPr>
          <w:rFonts w:ascii="Cambria" w:hAnsi="Cambria"/>
        </w:rPr>
        <w:tab/>
        <w:t>Nash S, Kaffash J. Three-quarters of NHS 111 referrals to general practice are inappropriate. Pulse. 2015.</w:t>
      </w:r>
    </w:p>
    <w:p w:rsidR="00170111" w:rsidRPr="00086743" w:rsidRDefault="00170111" w:rsidP="00681477">
      <w:pPr>
        <w:pStyle w:val="EndNoteBibliography"/>
        <w:spacing w:after="0"/>
        <w:rPr>
          <w:rFonts w:ascii="Cambria" w:hAnsi="Cambria"/>
        </w:rPr>
      </w:pPr>
      <w:r w:rsidRPr="00086743">
        <w:rPr>
          <w:rFonts w:ascii="Cambria" w:hAnsi="Cambria"/>
        </w:rPr>
        <w:t>22.</w:t>
      </w:r>
      <w:r w:rsidRPr="00086743">
        <w:rPr>
          <w:rFonts w:ascii="Cambria" w:hAnsi="Cambria"/>
        </w:rPr>
        <w:tab/>
        <w:t xml:space="preserve">NHS England. NHS 111 Quality and Safety Report July 2014 [Available from: </w:t>
      </w:r>
      <w:hyperlink r:id="rId19" w:history="1">
        <w:r w:rsidRPr="00086743">
          <w:rPr>
            <w:rStyle w:val="Hyperlink"/>
            <w:rFonts w:ascii="Cambria" w:hAnsi="Cambria"/>
          </w:rPr>
          <w:t>https://www.england.nhs.uk/wp-content/uploads/2014/07/nhs111-qual-safety-rep.pdf</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23.</w:t>
      </w:r>
      <w:r w:rsidRPr="00086743">
        <w:rPr>
          <w:rFonts w:ascii="Cambria" w:hAnsi="Cambria"/>
        </w:rPr>
        <w:tab/>
        <w:t xml:space="preserve">Telford L, Malnick E, Newell C, Heighton L. One death a month linked to mistakes in handling NHS 111 calls 22 April 2016 [Available from: </w:t>
      </w:r>
      <w:hyperlink r:id="rId20" w:history="1">
        <w:r w:rsidRPr="00086743">
          <w:rPr>
            <w:rStyle w:val="Hyperlink"/>
            <w:rFonts w:ascii="Cambria" w:hAnsi="Cambria"/>
          </w:rPr>
          <w:t>http://www.telegraph.co.uk/news/2016/04/22/one-death-a-month-linked-to-mistakes-in-handling-nhs-111-calls/</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24.</w:t>
      </w:r>
      <w:r w:rsidRPr="00086743">
        <w:rPr>
          <w:rFonts w:ascii="Cambria" w:hAnsi="Cambria"/>
        </w:rPr>
        <w:tab/>
        <w:t xml:space="preserve">Allen V. NHS 111 call centre worker who overruled a warning to send an ambulance 'cost a patient her life' 15/4/2016 [Available from: </w:t>
      </w:r>
      <w:hyperlink r:id="rId21" w:history="1">
        <w:r w:rsidRPr="00086743">
          <w:rPr>
            <w:rStyle w:val="Hyperlink"/>
            <w:rFonts w:ascii="Cambria" w:hAnsi="Cambria"/>
          </w:rPr>
          <w:t>http://www.dailymail.co.uk/news/article-3541202/NHS-111-call-centre-worker-overruled-warning-send-ambulance-cost-patient-life.html</w:t>
        </w:r>
      </w:hyperlink>
      <w:r w:rsidRPr="00086743">
        <w:rPr>
          <w:rFonts w:ascii="Cambria" w:hAnsi="Cambria"/>
        </w:rPr>
        <w:t>.</w:t>
      </w:r>
    </w:p>
    <w:p w:rsidR="00170111" w:rsidRPr="00086743" w:rsidRDefault="00170111" w:rsidP="00681477">
      <w:pPr>
        <w:pStyle w:val="EndNoteBibliography"/>
        <w:spacing w:after="0"/>
        <w:rPr>
          <w:rFonts w:ascii="Cambria" w:hAnsi="Cambria"/>
        </w:rPr>
      </w:pPr>
      <w:r w:rsidRPr="00086743">
        <w:rPr>
          <w:rFonts w:ascii="Cambria" w:hAnsi="Cambria"/>
        </w:rPr>
        <w:t>25.</w:t>
      </w:r>
      <w:r w:rsidRPr="00086743">
        <w:rPr>
          <w:rFonts w:ascii="Cambria" w:hAnsi="Cambria"/>
        </w:rPr>
        <w:tab/>
        <w:t>Anon. If I had taken the advice of the NHS 111 helpline I would be blind. 28/1/2016.</w:t>
      </w:r>
    </w:p>
    <w:p w:rsidR="00170111" w:rsidRPr="00086743" w:rsidRDefault="00170111" w:rsidP="00681477">
      <w:pPr>
        <w:pStyle w:val="EndNoteBibliography"/>
        <w:spacing w:after="0"/>
        <w:rPr>
          <w:rFonts w:ascii="Cambria" w:hAnsi="Cambria"/>
        </w:rPr>
      </w:pPr>
      <w:r w:rsidRPr="00086743">
        <w:rPr>
          <w:rFonts w:ascii="Cambria" w:hAnsi="Cambria"/>
        </w:rPr>
        <w:t>26.</w:t>
      </w:r>
      <w:r w:rsidRPr="00086743">
        <w:rPr>
          <w:rFonts w:ascii="Cambria" w:hAnsi="Cambria"/>
        </w:rPr>
        <w:tab/>
        <w:t>Wilkinson R, Pickover E. NHS 111 service investigated over allegations ‘17-year-olds answered urgent calls’. 16/2/2016.</w:t>
      </w:r>
    </w:p>
    <w:p w:rsidR="00170111" w:rsidRPr="00086743" w:rsidRDefault="00170111" w:rsidP="00681477">
      <w:pPr>
        <w:pStyle w:val="EndNoteBibliography"/>
        <w:spacing w:after="0"/>
        <w:rPr>
          <w:rFonts w:ascii="Cambria" w:hAnsi="Cambria"/>
        </w:rPr>
      </w:pPr>
      <w:r w:rsidRPr="00086743">
        <w:rPr>
          <w:rFonts w:ascii="Cambria" w:hAnsi="Cambria"/>
        </w:rPr>
        <w:t>27.</w:t>
      </w:r>
      <w:r w:rsidRPr="00086743">
        <w:rPr>
          <w:rFonts w:ascii="Cambria" w:hAnsi="Cambria"/>
        </w:rPr>
        <w:tab/>
        <w:t>Sibbald B, McBride A, Birch S. Labour substitution and efficiency in health care delivery: general principles and key messages Manchester: Centre for Workforce Intelligence, University of Manchester; 2011.</w:t>
      </w:r>
    </w:p>
    <w:p w:rsidR="00170111" w:rsidRPr="00086743" w:rsidRDefault="00170111" w:rsidP="00681477">
      <w:pPr>
        <w:pStyle w:val="EndNoteBibliography"/>
        <w:rPr>
          <w:rFonts w:ascii="Cambria" w:hAnsi="Cambria"/>
        </w:rPr>
      </w:pPr>
      <w:r w:rsidRPr="00086743">
        <w:rPr>
          <w:rFonts w:ascii="Cambria" w:hAnsi="Cambria"/>
        </w:rPr>
        <w:t>28.</w:t>
      </w:r>
      <w:r w:rsidRPr="00086743">
        <w:rPr>
          <w:rFonts w:ascii="Cambria" w:hAnsi="Cambria"/>
        </w:rPr>
        <w:tab/>
        <w:t xml:space="preserve">Williams M. Embrace the new hub culture 2016 [Available from: </w:t>
      </w:r>
      <w:hyperlink r:id="rId22" w:history="1">
        <w:r w:rsidRPr="00086743">
          <w:rPr>
            <w:rStyle w:val="Hyperlink"/>
            <w:rFonts w:ascii="Cambria" w:hAnsi="Cambria"/>
          </w:rPr>
          <w:t>https://www.england.nhs.uk/2016/06/mark-williams/</w:t>
        </w:r>
      </w:hyperlink>
      <w:r w:rsidRPr="00086743">
        <w:rPr>
          <w:rFonts w:ascii="Cambria" w:hAnsi="Cambria"/>
        </w:rPr>
        <w:t>.</w:t>
      </w:r>
    </w:p>
    <w:p w:rsidR="00F33413" w:rsidRPr="00D94223" w:rsidRDefault="00077D32" w:rsidP="00681477">
      <w:pPr>
        <w:spacing w:before="240" w:line="360" w:lineRule="auto"/>
        <w:rPr>
          <w:rFonts w:ascii="Cambria" w:hAnsi="Cambria" w:cs="AdvTTebabd7da"/>
          <w:b/>
          <w:bCs/>
        </w:rPr>
      </w:pPr>
      <w:r w:rsidRPr="00086743">
        <w:rPr>
          <w:rFonts w:ascii="Cambria" w:hAnsi="Cambria" w:cs="AdvTTebabd7da"/>
          <w:b/>
          <w:bCs/>
        </w:rPr>
        <w:fldChar w:fldCharType="end"/>
      </w:r>
    </w:p>
    <w:sectPr w:rsidR="00F33413" w:rsidRPr="00D94223" w:rsidSect="00D1459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579B" w:rsidRDefault="00B7579B" w:rsidP="00635CD2">
      <w:pPr>
        <w:spacing w:after="0" w:line="240" w:lineRule="auto"/>
      </w:pPr>
      <w:r>
        <w:separator/>
      </w:r>
    </w:p>
  </w:endnote>
  <w:endnote w:type="continuationSeparator" w:id="0">
    <w:p w:rsidR="00B7579B" w:rsidRDefault="00B7579B" w:rsidP="00635CD2">
      <w:pPr>
        <w:spacing w:after="0" w:line="240" w:lineRule="auto"/>
      </w:pPr>
      <w:r>
        <w:continuationSeparator/>
      </w:r>
    </w:p>
  </w:endnote>
  <w:endnote w:type="continuationNotice" w:id="1">
    <w:p w:rsidR="00B7579B" w:rsidRDefault="00B757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dvOT30a32c65">
    <w:panose1 w:val="00000000000000000000"/>
    <w:charset w:val="00"/>
    <w:family w:val="swiss"/>
    <w:notTrueType/>
    <w:pitch w:val="default"/>
    <w:sig w:usb0="00000003" w:usb1="00000000" w:usb2="00000000" w:usb3="00000000" w:csb0="00000001" w:csb1="00000000"/>
  </w:font>
  <w:font w:name="AdvTTebabd7da">
    <w:panose1 w:val="00000000000000000000"/>
    <w:charset w:val="00"/>
    <w:family w:val="swiss"/>
    <w:notTrueType/>
    <w:pitch w:val="default"/>
    <w:sig w:usb0="00000003" w:usb1="00000000" w:usb2="00000000" w:usb3="00000000" w:csb0="00000001" w:csb1="00000000"/>
  </w:font>
  <w:font w:name="FreeSans">
    <w:altName w:val="Arial Unicode MS"/>
    <w:panose1 w:val="00000000000000000000"/>
    <w:charset w:val="80"/>
    <w:family w:val="auto"/>
    <w:notTrueType/>
    <w:pitch w:val="default"/>
    <w:sig w:usb0="00000001" w:usb1="08070000" w:usb2="00000010" w:usb3="00000000" w:csb0="00020000" w:csb1="00000000"/>
  </w:font>
  <w:font w:name="AdvTTebabd7da+20">
    <w:panose1 w:val="00000000000000000000"/>
    <w:charset w:val="00"/>
    <w:family w:val="swiss"/>
    <w:notTrueType/>
    <w:pitch w:val="default"/>
    <w:sig w:usb0="00000003" w:usb1="00000000" w:usb2="00000000" w:usb3="00000000" w:csb0="00000001" w:csb1="00000000"/>
  </w:font>
  <w:font w:name="AdvTTebabd7da+fb">
    <w:panose1 w:val="00000000000000000000"/>
    <w:charset w:val="00"/>
    <w:family w:val="auto"/>
    <w:notTrueType/>
    <w:pitch w:val="default"/>
    <w:sig w:usb0="00000003" w:usb1="00000000" w:usb2="00000000" w:usb3="00000000" w:csb0="00000001" w:csb1="00000000"/>
  </w:font>
  <w:font w:name="XbvngfAdvTTb5929f4c">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579B" w:rsidRDefault="00B7579B" w:rsidP="00635CD2">
      <w:pPr>
        <w:spacing w:after="0" w:line="240" w:lineRule="auto"/>
      </w:pPr>
      <w:r>
        <w:separator/>
      </w:r>
    </w:p>
  </w:footnote>
  <w:footnote w:type="continuationSeparator" w:id="0">
    <w:p w:rsidR="00B7579B" w:rsidRDefault="00B7579B" w:rsidP="00635CD2">
      <w:pPr>
        <w:spacing w:after="0" w:line="240" w:lineRule="auto"/>
      </w:pPr>
      <w:r>
        <w:continuationSeparator/>
      </w:r>
    </w:p>
  </w:footnote>
  <w:footnote w:type="continuationNotice" w:id="1">
    <w:p w:rsidR="00B7579B" w:rsidRDefault="00B7579B">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77413"/>
    <w:multiLevelType w:val="multilevel"/>
    <w:tmpl w:val="C096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AB45C5"/>
    <w:multiLevelType w:val="hybridMultilevel"/>
    <w:tmpl w:val="36884E8C"/>
    <w:lvl w:ilvl="0" w:tplc="9D80A97A">
      <w:start w:val="1"/>
      <w:numFmt w:val="decimal"/>
      <w:lvlText w:val="%1."/>
      <w:lvlJc w:val="left"/>
      <w:pPr>
        <w:tabs>
          <w:tab w:val="num" w:pos="720"/>
        </w:tabs>
        <w:ind w:left="720" w:hanging="360"/>
      </w:pPr>
      <w:rPr>
        <w:rFonts w:hint="default"/>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BB55205"/>
    <w:multiLevelType w:val="hybridMultilevel"/>
    <w:tmpl w:val="859A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D1A4F50"/>
    <w:multiLevelType w:val="hybridMultilevel"/>
    <w:tmpl w:val="03FC3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466BFE"/>
    <w:multiLevelType w:val="multilevel"/>
    <w:tmpl w:val="6DFE0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702983"/>
    <w:multiLevelType w:val="multilevel"/>
    <w:tmpl w:val="861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77AA4C3-C639-4077-9EAC-333A8B2E0E71}"/>
    <w:docVar w:name="dgnword-eventsink" w:val="307804528"/>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eprwd9r99dr2nefav5vwvtge0axsza5fs0z&quot;&gt;Cathy_111_paper&lt;record-ids&gt;&lt;item&gt;1&lt;/item&gt;&lt;item&gt;2&lt;/item&gt;&lt;item&gt;3&lt;/item&gt;&lt;item&gt;4&lt;/item&gt;&lt;item&gt;5&lt;/item&gt;&lt;item&gt;6&lt;/item&gt;&lt;item&gt;7&lt;/item&gt;&lt;item&gt;8&lt;/item&gt;&lt;item&gt;9&lt;/item&gt;&lt;item&gt;10&lt;/item&gt;&lt;item&gt;11&lt;/item&gt;&lt;item&gt;12&lt;/item&gt;&lt;item&gt;13&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record-ids&gt;&lt;/item&gt;&lt;/Libraries&gt;"/>
  </w:docVars>
  <w:rsids>
    <w:rsidRoot w:val="00EC2F30"/>
    <w:rsid w:val="000022DC"/>
    <w:rsid w:val="00003157"/>
    <w:rsid w:val="00012767"/>
    <w:rsid w:val="000200E3"/>
    <w:rsid w:val="0002712A"/>
    <w:rsid w:val="00030990"/>
    <w:rsid w:val="000471F3"/>
    <w:rsid w:val="00051C59"/>
    <w:rsid w:val="00054A57"/>
    <w:rsid w:val="0006202F"/>
    <w:rsid w:val="000707BB"/>
    <w:rsid w:val="00077D32"/>
    <w:rsid w:val="00083B0F"/>
    <w:rsid w:val="00085175"/>
    <w:rsid w:val="00086743"/>
    <w:rsid w:val="0009272F"/>
    <w:rsid w:val="00093FB8"/>
    <w:rsid w:val="000A0423"/>
    <w:rsid w:val="000A3BB8"/>
    <w:rsid w:val="000B6B16"/>
    <w:rsid w:val="000D2AEF"/>
    <w:rsid w:val="000E68EE"/>
    <w:rsid w:val="000F25E6"/>
    <w:rsid w:val="00107A35"/>
    <w:rsid w:val="00113626"/>
    <w:rsid w:val="0011738D"/>
    <w:rsid w:val="00120655"/>
    <w:rsid w:val="00127663"/>
    <w:rsid w:val="00142681"/>
    <w:rsid w:val="0014751F"/>
    <w:rsid w:val="00151CA5"/>
    <w:rsid w:val="00157D06"/>
    <w:rsid w:val="00165F2F"/>
    <w:rsid w:val="00170111"/>
    <w:rsid w:val="00170F43"/>
    <w:rsid w:val="0017145D"/>
    <w:rsid w:val="00173E53"/>
    <w:rsid w:val="0017581C"/>
    <w:rsid w:val="00192338"/>
    <w:rsid w:val="001C63E0"/>
    <w:rsid w:val="001D6EF1"/>
    <w:rsid w:val="001E2776"/>
    <w:rsid w:val="00211F2B"/>
    <w:rsid w:val="00213091"/>
    <w:rsid w:val="002164F8"/>
    <w:rsid w:val="002208D9"/>
    <w:rsid w:val="00224F93"/>
    <w:rsid w:val="0022779E"/>
    <w:rsid w:val="00231B00"/>
    <w:rsid w:val="00254E8B"/>
    <w:rsid w:val="0026301A"/>
    <w:rsid w:val="00281CEC"/>
    <w:rsid w:val="00290F84"/>
    <w:rsid w:val="002A05CA"/>
    <w:rsid w:val="002A089C"/>
    <w:rsid w:val="002B1384"/>
    <w:rsid w:val="002C0119"/>
    <w:rsid w:val="002D0454"/>
    <w:rsid w:val="002D48AD"/>
    <w:rsid w:val="002E2332"/>
    <w:rsid w:val="002E327F"/>
    <w:rsid w:val="002E5DDA"/>
    <w:rsid w:val="002F13A7"/>
    <w:rsid w:val="002F6CD8"/>
    <w:rsid w:val="00311ACC"/>
    <w:rsid w:val="00312E61"/>
    <w:rsid w:val="00321790"/>
    <w:rsid w:val="003305B6"/>
    <w:rsid w:val="003378E4"/>
    <w:rsid w:val="003622E0"/>
    <w:rsid w:val="00385B06"/>
    <w:rsid w:val="003A2468"/>
    <w:rsid w:val="003A6F54"/>
    <w:rsid w:val="003B1AB4"/>
    <w:rsid w:val="003B20DD"/>
    <w:rsid w:val="003B7829"/>
    <w:rsid w:val="003B78C9"/>
    <w:rsid w:val="003C23CA"/>
    <w:rsid w:val="003C2943"/>
    <w:rsid w:val="003E5373"/>
    <w:rsid w:val="003F05E2"/>
    <w:rsid w:val="00403FB7"/>
    <w:rsid w:val="00443047"/>
    <w:rsid w:val="00445F67"/>
    <w:rsid w:val="00460AA2"/>
    <w:rsid w:val="00460E97"/>
    <w:rsid w:val="004672E0"/>
    <w:rsid w:val="00494AA1"/>
    <w:rsid w:val="004A45FA"/>
    <w:rsid w:val="004C58CD"/>
    <w:rsid w:val="004D1CB8"/>
    <w:rsid w:val="004E60BE"/>
    <w:rsid w:val="004F7B26"/>
    <w:rsid w:val="00504859"/>
    <w:rsid w:val="0051091E"/>
    <w:rsid w:val="005306D5"/>
    <w:rsid w:val="0054114E"/>
    <w:rsid w:val="0054624B"/>
    <w:rsid w:val="00547C3E"/>
    <w:rsid w:val="00550B64"/>
    <w:rsid w:val="00550FDB"/>
    <w:rsid w:val="00552696"/>
    <w:rsid w:val="00554510"/>
    <w:rsid w:val="00556FD2"/>
    <w:rsid w:val="00573FF2"/>
    <w:rsid w:val="0057640C"/>
    <w:rsid w:val="00577919"/>
    <w:rsid w:val="00577B78"/>
    <w:rsid w:val="005A0FFC"/>
    <w:rsid w:val="005B1069"/>
    <w:rsid w:val="005D1131"/>
    <w:rsid w:val="005E3B4A"/>
    <w:rsid w:val="005E5297"/>
    <w:rsid w:val="005F255E"/>
    <w:rsid w:val="005F3F44"/>
    <w:rsid w:val="005F6F22"/>
    <w:rsid w:val="00605633"/>
    <w:rsid w:val="00625C93"/>
    <w:rsid w:val="00625F82"/>
    <w:rsid w:val="00630E51"/>
    <w:rsid w:val="00635CD2"/>
    <w:rsid w:val="00642664"/>
    <w:rsid w:val="00643ADB"/>
    <w:rsid w:val="00643BD7"/>
    <w:rsid w:val="00651DB5"/>
    <w:rsid w:val="00667AEE"/>
    <w:rsid w:val="006738FC"/>
    <w:rsid w:val="00681477"/>
    <w:rsid w:val="006874E0"/>
    <w:rsid w:val="006B05E6"/>
    <w:rsid w:val="006C2B29"/>
    <w:rsid w:val="006D7C89"/>
    <w:rsid w:val="006E0F58"/>
    <w:rsid w:val="006F2580"/>
    <w:rsid w:val="006F738A"/>
    <w:rsid w:val="00711DCB"/>
    <w:rsid w:val="00725EDE"/>
    <w:rsid w:val="00733A7A"/>
    <w:rsid w:val="0075154F"/>
    <w:rsid w:val="007532A4"/>
    <w:rsid w:val="0076097A"/>
    <w:rsid w:val="007848DB"/>
    <w:rsid w:val="00784E9B"/>
    <w:rsid w:val="00785FD9"/>
    <w:rsid w:val="00790CEE"/>
    <w:rsid w:val="00796BE5"/>
    <w:rsid w:val="007A1058"/>
    <w:rsid w:val="007A1B8D"/>
    <w:rsid w:val="007A3B42"/>
    <w:rsid w:val="007B025E"/>
    <w:rsid w:val="007D5F68"/>
    <w:rsid w:val="008019C0"/>
    <w:rsid w:val="00826AE1"/>
    <w:rsid w:val="008340FC"/>
    <w:rsid w:val="00835F5C"/>
    <w:rsid w:val="00860B8E"/>
    <w:rsid w:val="0086274A"/>
    <w:rsid w:val="008727EB"/>
    <w:rsid w:val="008928A3"/>
    <w:rsid w:val="00894724"/>
    <w:rsid w:val="00896A15"/>
    <w:rsid w:val="008A2A52"/>
    <w:rsid w:val="008A735D"/>
    <w:rsid w:val="008B3B25"/>
    <w:rsid w:val="008B4256"/>
    <w:rsid w:val="008B64D2"/>
    <w:rsid w:val="008B77CA"/>
    <w:rsid w:val="008F57F3"/>
    <w:rsid w:val="00902A76"/>
    <w:rsid w:val="00915B82"/>
    <w:rsid w:val="00922EF5"/>
    <w:rsid w:val="00926C5E"/>
    <w:rsid w:val="00927413"/>
    <w:rsid w:val="00943734"/>
    <w:rsid w:val="00952984"/>
    <w:rsid w:val="00957029"/>
    <w:rsid w:val="009708F5"/>
    <w:rsid w:val="009A48BB"/>
    <w:rsid w:val="009C0AAB"/>
    <w:rsid w:val="009D57F2"/>
    <w:rsid w:val="009E1685"/>
    <w:rsid w:val="009E4DD3"/>
    <w:rsid w:val="009F0D35"/>
    <w:rsid w:val="00A04A3D"/>
    <w:rsid w:val="00A15C5B"/>
    <w:rsid w:val="00A234D9"/>
    <w:rsid w:val="00A27E74"/>
    <w:rsid w:val="00A31C42"/>
    <w:rsid w:val="00A70AE8"/>
    <w:rsid w:val="00A717A0"/>
    <w:rsid w:val="00AA0EF8"/>
    <w:rsid w:val="00AA7553"/>
    <w:rsid w:val="00AB414C"/>
    <w:rsid w:val="00AC5AC3"/>
    <w:rsid w:val="00AD2160"/>
    <w:rsid w:val="00AD32E4"/>
    <w:rsid w:val="00AD42AA"/>
    <w:rsid w:val="00AE068F"/>
    <w:rsid w:val="00AE293F"/>
    <w:rsid w:val="00AE6FFD"/>
    <w:rsid w:val="00B0508C"/>
    <w:rsid w:val="00B07C22"/>
    <w:rsid w:val="00B11A8A"/>
    <w:rsid w:val="00B179D9"/>
    <w:rsid w:val="00B263DF"/>
    <w:rsid w:val="00B31FD7"/>
    <w:rsid w:val="00B47607"/>
    <w:rsid w:val="00B51048"/>
    <w:rsid w:val="00B53D4D"/>
    <w:rsid w:val="00B6276D"/>
    <w:rsid w:val="00B7579B"/>
    <w:rsid w:val="00BA03C3"/>
    <w:rsid w:val="00BB1479"/>
    <w:rsid w:val="00BB2D29"/>
    <w:rsid w:val="00BC5181"/>
    <w:rsid w:val="00BD647D"/>
    <w:rsid w:val="00BE6C4A"/>
    <w:rsid w:val="00BF173A"/>
    <w:rsid w:val="00C05E4B"/>
    <w:rsid w:val="00C11A77"/>
    <w:rsid w:val="00C13DE6"/>
    <w:rsid w:val="00C210AE"/>
    <w:rsid w:val="00C40005"/>
    <w:rsid w:val="00C45FD3"/>
    <w:rsid w:val="00C50896"/>
    <w:rsid w:val="00C50D24"/>
    <w:rsid w:val="00C74D61"/>
    <w:rsid w:val="00C76DEF"/>
    <w:rsid w:val="00C97BBA"/>
    <w:rsid w:val="00CA2E9A"/>
    <w:rsid w:val="00CB5396"/>
    <w:rsid w:val="00CC59DB"/>
    <w:rsid w:val="00CC5C0F"/>
    <w:rsid w:val="00CE78A8"/>
    <w:rsid w:val="00CF3364"/>
    <w:rsid w:val="00CF6245"/>
    <w:rsid w:val="00D04EF7"/>
    <w:rsid w:val="00D055C5"/>
    <w:rsid w:val="00D07276"/>
    <w:rsid w:val="00D1459E"/>
    <w:rsid w:val="00D24579"/>
    <w:rsid w:val="00D255F1"/>
    <w:rsid w:val="00D323F3"/>
    <w:rsid w:val="00D543E9"/>
    <w:rsid w:val="00D54D7F"/>
    <w:rsid w:val="00D62DDA"/>
    <w:rsid w:val="00D65B4D"/>
    <w:rsid w:val="00D724A8"/>
    <w:rsid w:val="00D81C41"/>
    <w:rsid w:val="00D82FCF"/>
    <w:rsid w:val="00D94223"/>
    <w:rsid w:val="00DB056A"/>
    <w:rsid w:val="00DB5424"/>
    <w:rsid w:val="00DD3CD4"/>
    <w:rsid w:val="00DD66F5"/>
    <w:rsid w:val="00DD6D97"/>
    <w:rsid w:val="00E1214E"/>
    <w:rsid w:val="00E21AFB"/>
    <w:rsid w:val="00E424CB"/>
    <w:rsid w:val="00E476B6"/>
    <w:rsid w:val="00E53919"/>
    <w:rsid w:val="00E55838"/>
    <w:rsid w:val="00E83FC4"/>
    <w:rsid w:val="00E923AD"/>
    <w:rsid w:val="00EA011C"/>
    <w:rsid w:val="00EA7359"/>
    <w:rsid w:val="00EB7788"/>
    <w:rsid w:val="00EC0C15"/>
    <w:rsid w:val="00EC2F30"/>
    <w:rsid w:val="00ED0A1D"/>
    <w:rsid w:val="00ED7AFC"/>
    <w:rsid w:val="00EE1845"/>
    <w:rsid w:val="00EE625F"/>
    <w:rsid w:val="00EF032B"/>
    <w:rsid w:val="00F0008A"/>
    <w:rsid w:val="00F02152"/>
    <w:rsid w:val="00F13D67"/>
    <w:rsid w:val="00F277D2"/>
    <w:rsid w:val="00F33413"/>
    <w:rsid w:val="00F35A05"/>
    <w:rsid w:val="00F41BB3"/>
    <w:rsid w:val="00F51612"/>
    <w:rsid w:val="00F53C06"/>
    <w:rsid w:val="00F554F3"/>
    <w:rsid w:val="00F62E72"/>
    <w:rsid w:val="00FE1E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EF5B1B-30A5-441E-8012-6A606996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9C0"/>
    <w:pPr>
      <w:ind w:left="720"/>
      <w:contextualSpacing/>
    </w:pPr>
  </w:style>
  <w:style w:type="paragraph" w:styleId="BalloonText">
    <w:name w:val="Balloon Text"/>
    <w:basedOn w:val="Normal"/>
    <w:link w:val="BalloonTextChar"/>
    <w:uiPriority w:val="99"/>
    <w:semiHidden/>
    <w:unhideWhenUsed/>
    <w:rsid w:val="00A27E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E74"/>
    <w:rPr>
      <w:rFonts w:ascii="Tahoma" w:hAnsi="Tahoma" w:cs="Tahoma"/>
      <w:sz w:val="16"/>
      <w:szCs w:val="16"/>
    </w:rPr>
  </w:style>
  <w:style w:type="character" w:styleId="CommentReference">
    <w:name w:val="annotation reference"/>
    <w:basedOn w:val="DefaultParagraphFont"/>
    <w:uiPriority w:val="99"/>
    <w:semiHidden/>
    <w:unhideWhenUsed/>
    <w:rsid w:val="00A27E74"/>
    <w:rPr>
      <w:sz w:val="16"/>
      <w:szCs w:val="16"/>
    </w:rPr>
  </w:style>
  <w:style w:type="paragraph" w:styleId="CommentText">
    <w:name w:val="annotation text"/>
    <w:basedOn w:val="Normal"/>
    <w:link w:val="CommentTextChar"/>
    <w:uiPriority w:val="99"/>
    <w:unhideWhenUsed/>
    <w:rsid w:val="00A27E74"/>
    <w:pPr>
      <w:spacing w:line="240" w:lineRule="auto"/>
    </w:pPr>
    <w:rPr>
      <w:sz w:val="20"/>
      <w:szCs w:val="20"/>
    </w:rPr>
  </w:style>
  <w:style w:type="character" w:customStyle="1" w:styleId="CommentTextChar">
    <w:name w:val="Comment Text Char"/>
    <w:basedOn w:val="DefaultParagraphFont"/>
    <w:link w:val="CommentText"/>
    <w:uiPriority w:val="99"/>
    <w:rsid w:val="00A27E74"/>
    <w:rPr>
      <w:sz w:val="20"/>
      <w:szCs w:val="20"/>
    </w:rPr>
  </w:style>
  <w:style w:type="paragraph" w:styleId="CommentSubject">
    <w:name w:val="annotation subject"/>
    <w:basedOn w:val="CommentText"/>
    <w:next w:val="CommentText"/>
    <w:link w:val="CommentSubjectChar"/>
    <w:uiPriority w:val="99"/>
    <w:semiHidden/>
    <w:unhideWhenUsed/>
    <w:rsid w:val="00A27E74"/>
    <w:rPr>
      <w:b/>
      <w:bCs/>
    </w:rPr>
  </w:style>
  <w:style w:type="character" w:customStyle="1" w:styleId="CommentSubjectChar">
    <w:name w:val="Comment Subject Char"/>
    <w:basedOn w:val="CommentTextChar"/>
    <w:link w:val="CommentSubject"/>
    <w:uiPriority w:val="99"/>
    <w:semiHidden/>
    <w:rsid w:val="00A27E74"/>
    <w:rPr>
      <w:b/>
      <w:bCs/>
      <w:sz w:val="20"/>
      <w:szCs w:val="20"/>
    </w:rPr>
  </w:style>
  <w:style w:type="character" w:styleId="Hyperlink">
    <w:name w:val="Hyperlink"/>
    <w:basedOn w:val="DefaultParagraphFont"/>
    <w:uiPriority w:val="99"/>
    <w:unhideWhenUsed/>
    <w:rsid w:val="00F13D67"/>
    <w:rPr>
      <w:color w:val="0563C1" w:themeColor="hyperlink"/>
      <w:u w:val="single"/>
    </w:rPr>
  </w:style>
  <w:style w:type="paragraph" w:styleId="Revision">
    <w:name w:val="Revision"/>
    <w:hidden/>
    <w:uiPriority w:val="99"/>
    <w:semiHidden/>
    <w:rsid w:val="004C58CD"/>
    <w:pPr>
      <w:spacing w:after="0" w:line="240" w:lineRule="auto"/>
    </w:pPr>
  </w:style>
  <w:style w:type="paragraph" w:customStyle="1" w:styleId="Default">
    <w:name w:val="Default"/>
    <w:rsid w:val="004C58CD"/>
    <w:pPr>
      <w:autoSpaceDE w:val="0"/>
      <w:autoSpaceDN w:val="0"/>
      <w:adjustRightInd w:val="0"/>
      <w:spacing w:after="0" w:line="240" w:lineRule="auto"/>
    </w:pPr>
    <w:rPr>
      <w:rFonts w:ascii="Arial" w:hAnsi="Arial" w:cs="Arial"/>
      <w:color w:val="000000"/>
      <w:sz w:val="24"/>
      <w:szCs w:val="24"/>
    </w:rPr>
  </w:style>
  <w:style w:type="character" w:customStyle="1" w:styleId="name">
    <w:name w:val="name"/>
    <w:basedOn w:val="DefaultParagraphFont"/>
    <w:rsid w:val="00107A35"/>
  </w:style>
  <w:style w:type="character" w:customStyle="1" w:styleId="slug-vol">
    <w:name w:val="slug-vol"/>
    <w:basedOn w:val="DefaultParagraphFont"/>
    <w:rsid w:val="00B47607"/>
    <w:rPr>
      <w:b/>
      <w:bCs/>
    </w:rPr>
  </w:style>
  <w:style w:type="character" w:customStyle="1" w:styleId="cit-sep1">
    <w:name w:val="cit-sep1"/>
    <w:basedOn w:val="DefaultParagraphFont"/>
    <w:rsid w:val="00B47607"/>
    <w:rPr>
      <w:b w:val="0"/>
      <w:bCs w:val="0"/>
    </w:rPr>
  </w:style>
  <w:style w:type="character" w:customStyle="1" w:styleId="slug-pub-date3">
    <w:name w:val="slug-pub-date3"/>
    <w:basedOn w:val="DefaultParagraphFont"/>
    <w:rsid w:val="00B47607"/>
    <w:rPr>
      <w:b w:val="0"/>
      <w:bCs w:val="0"/>
    </w:rPr>
  </w:style>
  <w:style w:type="character" w:customStyle="1" w:styleId="slug-elocation">
    <w:name w:val="slug-elocation"/>
    <w:basedOn w:val="DefaultParagraphFont"/>
    <w:rsid w:val="00B47607"/>
  </w:style>
  <w:style w:type="character" w:customStyle="1" w:styleId="slug-doi2">
    <w:name w:val="slug-doi2"/>
    <w:basedOn w:val="DefaultParagraphFont"/>
    <w:rsid w:val="00B47607"/>
  </w:style>
  <w:style w:type="paragraph" w:styleId="PlainText">
    <w:name w:val="Plain Text"/>
    <w:basedOn w:val="Normal"/>
    <w:link w:val="PlainTextChar"/>
    <w:uiPriority w:val="99"/>
    <w:unhideWhenUsed/>
    <w:rsid w:val="007A1058"/>
    <w:pPr>
      <w:spacing w:after="0" w:line="240" w:lineRule="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uiPriority w:val="99"/>
    <w:rsid w:val="007A1058"/>
    <w:rPr>
      <w:rFonts w:ascii="Courier New" w:eastAsia="SimSun" w:hAnsi="Courier New" w:cs="Courier New"/>
      <w:sz w:val="20"/>
      <w:szCs w:val="20"/>
      <w:lang w:eastAsia="zh-CN"/>
    </w:rPr>
  </w:style>
  <w:style w:type="character" w:styleId="Strong">
    <w:name w:val="Strong"/>
    <w:uiPriority w:val="22"/>
    <w:qFormat/>
    <w:rsid w:val="007A1058"/>
    <w:rPr>
      <w:b/>
      <w:bCs/>
    </w:rPr>
  </w:style>
  <w:style w:type="table" w:styleId="TableGrid">
    <w:name w:val="Table Grid"/>
    <w:basedOn w:val="TableNormal"/>
    <w:uiPriority w:val="39"/>
    <w:rsid w:val="007B025E"/>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B025E"/>
    <w:pPr>
      <w:spacing w:after="0" w:line="240" w:lineRule="auto"/>
    </w:pPr>
    <w:rPr>
      <w:b/>
      <w:iCs/>
      <w:sz w:val="20"/>
      <w:szCs w:val="18"/>
    </w:rPr>
  </w:style>
  <w:style w:type="paragraph" w:customStyle="1" w:styleId="EndNoteBibliographyTitle">
    <w:name w:val="EndNote Bibliography Title"/>
    <w:basedOn w:val="Normal"/>
    <w:link w:val="EndNoteBibliographyTitleChar"/>
    <w:rsid w:val="00FE1ECB"/>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FE1ECB"/>
    <w:rPr>
      <w:rFonts w:ascii="Calibri" w:hAnsi="Calibri"/>
      <w:noProof/>
      <w:lang w:val="en-US"/>
    </w:rPr>
  </w:style>
  <w:style w:type="paragraph" w:customStyle="1" w:styleId="EndNoteBibliography">
    <w:name w:val="EndNote Bibliography"/>
    <w:basedOn w:val="Normal"/>
    <w:link w:val="EndNoteBibliographyChar"/>
    <w:rsid w:val="00FE1ECB"/>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FE1ECB"/>
    <w:rPr>
      <w:rFonts w:ascii="Calibri" w:hAnsi="Calibri"/>
      <w:noProof/>
      <w:lang w:val="en-US"/>
    </w:rPr>
  </w:style>
  <w:style w:type="character" w:styleId="FollowedHyperlink">
    <w:name w:val="FollowedHyperlink"/>
    <w:basedOn w:val="DefaultParagraphFont"/>
    <w:uiPriority w:val="99"/>
    <w:semiHidden/>
    <w:unhideWhenUsed/>
    <w:rsid w:val="00151CA5"/>
    <w:rPr>
      <w:color w:val="954F72" w:themeColor="followedHyperlink"/>
      <w:u w:val="single"/>
    </w:rPr>
  </w:style>
  <w:style w:type="paragraph" w:styleId="HTMLPreformatted">
    <w:name w:val="HTML Preformatted"/>
    <w:basedOn w:val="Normal"/>
    <w:link w:val="HTMLPreformattedChar"/>
    <w:uiPriority w:val="99"/>
    <w:semiHidden/>
    <w:unhideWhenUsed/>
    <w:rsid w:val="005526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552696"/>
    <w:rPr>
      <w:rFonts w:ascii="Courier New" w:eastAsia="Times New Roman" w:hAnsi="Courier New" w:cs="Courier New"/>
      <w:sz w:val="20"/>
      <w:szCs w:val="20"/>
      <w:lang w:eastAsia="zh-CN"/>
    </w:rPr>
  </w:style>
  <w:style w:type="paragraph" w:styleId="Header">
    <w:name w:val="header"/>
    <w:basedOn w:val="Normal"/>
    <w:link w:val="HeaderChar"/>
    <w:uiPriority w:val="99"/>
    <w:unhideWhenUsed/>
    <w:rsid w:val="00635C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CD2"/>
  </w:style>
  <w:style w:type="paragraph" w:styleId="Footer">
    <w:name w:val="footer"/>
    <w:basedOn w:val="Normal"/>
    <w:link w:val="FooterChar"/>
    <w:uiPriority w:val="99"/>
    <w:unhideWhenUsed/>
    <w:rsid w:val="00635C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CD2"/>
  </w:style>
  <w:style w:type="character" w:customStyle="1" w:styleId="gjwpqfqdn4">
    <w:name w:val="gjwpqfqdn4"/>
    <w:basedOn w:val="DefaultParagraphFont"/>
    <w:rsid w:val="0026301A"/>
  </w:style>
  <w:style w:type="character" w:customStyle="1" w:styleId="gjwpqfqdb4">
    <w:name w:val="gjwpqfqdb4"/>
    <w:basedOn w:val="DefaultParagraphFont"/>
    <w:rsid w:val="0026301A"/>
  </w:style>
  <w:style w:type="paragraph" w:styleId="NormalWeb">
    <w:name w:val="Normal (Web)"/>
    <w:basedOn w:val="Normal"/>
    <w:uiPriority w:val="99"/>
    <w:semiHidden/>
    <w:unhideWhenUsed/>
    <w:rsid w:val="002F6CD8"/>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03659">
      <w:bodyDiv w:val="1"/>
      <w:marLeft w:val="0"/>
      <w:marRight w:val="0"/>
      <w:marTop w:val="0"/>
      <w:marBottom w:val="1500"/>
      <w:divBdr>
        <w:top w:val="none" w:sz="0" w:space="0" w:color="auto"/>
        <w:left w:val="none" w:sz="0" w:space="0" w:color="auto"/>
        <w:bottom w:val="none" w:sz="0" w:space="0" w:color="auto"/>
        <w:right w:val="none" w:sz="0" w:space="0" w:color="auto"/>
      </w:divBdr>
      <w:divsChild>
        <w:div w:id="1636567148">
          <w:marLeft w:val="0"/>
          <w:marRight w:val="0"/>
          <w:marTop w:val="0"/>
          <w:marBottom w:val="0"/>
          <w:divBdr>
            <w:top w:val="none" w:sz="0" w:space="0" w:color="auto"/>
            <w:left w:val="none" w:sz="0" w:space="0" w:color="auto"/>
            <w:bottom w:val="none" w:sz="0" w:space="0" w:color="auto"/>
            <w:right w:val="none" w:sz="0" w:space="0" w:color="auto"/>
          </w:divBdr>
          <w:divsChild>
            <w:div w:id="178276867">
              <w:marLeft w:val="0"/>
              <w:marRight w:val="0"/>
              <w:marTop w:val="0"/>
              <w:marBottom w:val="0"/>
              <w:divBdr>
                <w:top w:val="none" w:sz="0" w:space="0" w:color="auto"/>
                <w:left w:val="none" w:sz="0" w:space="0" w:color="auto"/>
                <w:bottom w:val="none" w:sz="0" w:space="0" w:color="auto"/>
                <w:right w:val="none" w:sz="0" w:space="0" w:color="auto"/>
              </w:divBdr>
              <w:divsChild>
                <w:div w:id="2134639696">
                  <w:marLeft w:val="30"/>
                  <w:marRight w:val="-100"/>
                  <w:marTop w:val="225"/>
                  <w:marBottom w:val="225"/>
                  <w:divBdr>
                    <w:top w:val="none" w:sz="0" w:space="0" w:color="auto"/>
                    <w:left w:val="none" w:sz="0" w:space="0" w:color="auto"/>
                    <w:bottom w:val="none" w:sz="0" w:space="0" w:color="auto"/>
                    <w:right w:val="none" w:sz="0" w:space="0" w:color="auto"/>
                  </w:divBdr>
                  <w:divsChild>
                    <w:div w:id="4150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42494">
      <w:bodyDiv w:val="1"/>
      <w:marLeft w:val="0"/>
      <w:marRight w:val="0"/>
      <w:marTop w:val="0"/>
      <w:marBottom w:val="1500"/>
      <w:divBdr>
        <w:top w:val="none" w:sz="0" w:space="0" w:color="auto"/>
        <w:left w:val="none" w:sz="0" w:space="0" w:color="auto"/>
        <w:bottom w:val="none" w:sz="0" w:space="0" w:color="auto"/>
        <w:right w:val="none" w:sz="0" w:space="0" w:color="auto"/>
      </w:divBdr>
      <w:divsChild>
        <w:div w:id="1450977118">
          <w:marLeft w:val="0"/>
          <w:marRight w:val="0"/>
          <w:marTop w:val="0"/>
          <w:marBottom w:val="0"/>
          <w:divBdr>
            <w:top w:val="none" w:sz="0" w:space="0" w:color="auto"/>
            <w:left w:val="none" w:sz="0" w:space="0" w:color="auto"/>
            <w:bottom w:val="none" w:sz="0" w:space="0" w:color="auto"/>
            <w:right w:val="none" w:sz="0" w:space="0" w:color="auto"/>
          </w:divBdr>
          <w:divsChild>
            <w:div w:id="1249459163">
              <w:marLeft w:val="0"/>
              <w:marRight w:val="0"/>
              <w:marTop w:val="0"/>
              <w:marBottom w:val="0"/>
              <w:divBdr>
                <w:top w:val="none" w:sz="0" w:space="0" w:color="auto"/>
                <w:left w:val="none" w:sz="0" w:space="0" w:color="auto"/>
                <w:bottom w:val="none" w:sz="0" w:space="0" w:color="auto"/>
                <w:right w:val="none" w:sz="0" w:space="0" w:color="auto"/>
              </w:divBdr>
              <w:divsChild>
                <w:div w:id="667832514">
                  <w:marLeft w:val="30"/>
                  <w:marRight w:val="-100"/>
                  <w:marTop w:val="225"/>
                  <w:marBottom w:val="225"/>
                  <w:divBdr>
                    <w:top w:val="none" w:sz="0" w:space="0" w:color="auto"/>
                    <w:left w:val="none" w:sz="0" w:space="0" w:color="auto"/>
                    <w:bottom w:val="none" w:sz="0" w:space="0" w:color="auto"/>
                    <w:right w:val="none" w:sz="0" w:space="0" w:color="auto"/>
                  </w:divBdr>
                  <w:divsChild>
                    <w:div w:id="4279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98775">
      <w:bodyDiv w:val="1"/>
      <w:marLeft w:val="0"/>
      <w:marRight w:val="0"/>
      <w:marTop w:val="0"/>
      <w:marBottom w:val="0"/>
      <w:divBdr>
        <w:top w:val="none" w:sz="0" w:space="0" w:color="auto"/>
        <w:left w:val="none" w:sz="0" w:space="0" w:color="auto"/>
        <w:bottom w:val="none" w:sz="0" w:space="0" w:color="auto"/>
        <w:right w:val="none" w:sz="0" w:space="0" w:color="auto"/>
      </w:divBdr>
      <w:divsChild>
        <w:div w:id="724644019">
          <w:marLeft w:val="0"/>
          <w:marRight w:val="0"/>
          <w:marTop w:val="0"/>
          <w:marBottom w:val="0"/>
          <w:divBdr>
            <w:top w:val="none" w:sz="0" w:space="0" w:color="auto"/>
            <w:left w:val="none" w:sz="0" w:space="0" w:color="auto"/>
            <w:bottom w:val="none" w:sz="0" w:space="0" w:color="auto"/>
            <w:right w:val="none" w:sz="0" w:space="0" w:color="auto"/>
          </w:divBdr>
          <w:divsChild>
            <w:div w:id="1097678613">
              <w:marLeft w:val="0"/>
              <w:marRight w:val="0"/>
              <w:marTop w:val="0"/>
              <w:marBottom w:val="0"/>
              <w:divBdr>
                <w:top w:val="none" w:sz="0" w:space="0" w:color="auto"/>
                <w:left w:val="none" w:sz="0" w:space="0" w:color="auto"/>
                <w:bottom w:val="none" w:sz="0" w:space="0" w:color="auto"/>
                <w:right w:val="none" w:sz="0" w:space="0" w:color="auto"/>
              </w:divBdr>
              <w:divsChild>
                <w:div w:id="1650595049">
                  <w:marLeft w:val="0"/>
                  <w:marRight w:val="0"/>
                  <w:marTop w:val="0"/>
                  <w:marBottom w:val="0"/>
                  <w:divBdr>
                    <w:top w:val="none" w:sz="0" w:space="0" w:color="auto"/>
                    <w:left w:val="none" w:sz="0" w:space="0" w:color="auto"/>
                    <w:bottom w:val="none" w:sz="0" w:space="0" w:color="auto"/>
                    <w:right w:val="none" w:sz="0" w:space="0" w:color="auto"/>
                  </w:divBdr>
                  <w:divsChild>
                    <w:div w:id="261379901">
                      <w:marLeft w:val="0"/>
                      <w:marRight w:val="0"/>
                      <w:marTop w:val="0"/>
                      <w:marBottom w:val="0"/>
                      <w:divBdr>
                        <w:top w:val="none" w:sz="0" w:space="0" w:color="auto"/>
                        <w:left w:val="none" w:sz="0" w:space="0" w:color="auto"/>
                        <w:bottom w:val="none" w:sz="0" w:space="0" w:color="auto"/>
                        <w:right w:val="none" w:sz="0" w:space="0" w:color="auto"/>
                      </w:divBdr>
                      <w:divsChild>
                        <w:div w:id="1628731047">
                          <w:marLeft w:val="15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29472641">
      <w:bodyDiv w:val="1"/>
      <w:marLeft w:val="0"/>
      <w:marRight w:val="0"/>
      <w:marTop w:val="0"/>
      <w:marBottom w:val="0"/>
      <w:divBdr>
        <w:top w:val="none" w:sz="0" w:space="0" w:color="auto"/>
        <w:left w:val="none" w:sz="0" w:space="0" w:color="auto"/>
        <w:bottom w:val="none" w:sz="0" w:space="0" w:color="auto"/>
        <w:right w:val="none" w:sz="0" w:space="0" w:color="auto"/>
      </w:divBdr>
      <w:divsChild>
        <w:div w:id="1729571305">
          <w:marLeft w:val="0"/>
          <w:marRight w:val="0"/>
          <w:marTop w:val="0"/>
          <w:marBottom w:val="0"/>
          <w:divBdr>
            <w:top w:val="none" w:sz="0" w:space="0" w:color="auto"/>
            <w:left w:val="none" w:sz="0" w:space="0" w:color="auto"/>
            <w:bottom w:val="none" w:sz="0" w:space="0" w:color="auto"/>
            <w:right w:val="none" w:sz="0" w:space="0" w:color="auto"/>
          </w:divBdr>
          <w:divsChild>
            <w:div w:id="1188299512">
              <w:marLeft w:val="0"/>
              <w:marRight w:val="0"/>
              <w:marTop w:val="0"/>
              <w:marBottom w:val="0"/>
              <w:divBdr>
                <w:top w:val="none" w:sz="0" w:space="0" w:color="auto"/>
                <w:left w:val="none" w:sz="0" w:space="0" w:color="auto"/>
                <w:bottom w:val="none" w:sz="0" w:space="0" w:color="auto"/>
                <w:right w:val="none" w:sz="0" w:space="0" w:color="auto"/>
              </w:divBdr>
              <w:divsChild>
                <w:div w:id="1168985959">
                  <w:marLeft w:val="0"/>
                  <w:marRight w:val="0"/>
                  <w:marTop w:val="0"/>
                  <w:marBottom w:val="0"/>
                  <w:divBdr>
                    <w:top w:val="none" w:sz="0" w:space="0" w:color="auto"/>
                    <w:left w:val="none" w:sz="0" w:space="0" w:color="auto"/>
                    <w:bottom w:val="none" w:sz="0" w:space="0" w:color="auto"/>
                    <w:right w:val="none" w:sz="0" w:space="0" w:color="auto"/>
                  </w:divBdr>
                  <w:divsChild>
                    <w:div w:id="1093549399">
                      <w:marLeft w:val="0"/>
                      <w:marRight w:val="0"/>
                      <w:marTop w:val="0"/>
                      <w:marBottom w:val="0"/>
                      <w:divBdr>
                        <w:top w:val="none" w:sz="0" w:space="0" w:color="auto"/>
                        <w:left w:val="none" w:sz="0" w:space="0" w:color="auto"/>
                        <w:bottom w:val="none" w:sz="0" w:space="0" w:color="auto"/>
                        <w:right w:val="none" w:sz="0" w:space="0" w:color="auto"/>
                      </w:divBdr>
                      <w:divsChild>
                        <w:div w:id="1442912786">
                          <w:marLeft w:val="0"/>
                          <w:marRight w:val="0"/>
                          <w:marTop w:val="0"/>
                          <w:marBottom w:val="0"/>
                          <w:divBdr>
                            <w:top w:val="none" w:sz="0" w:space="0" w:color="auto"/>
                            <w:left w:val="none" w:sz="0" w:space="0" w:color="auto"/>
                            <w:bottom w:val="none" w:sz="0" w:space="0" w:color="auto"/>
                            <w:right w:val="none" w:sz="0" w:space="0" w:color="auto"/>
                          </w:divBdr>
                          <w:divsChild>
                            <w:div w:id="92022479">
                              <w:marLeft w:val="0"/>
                              <w:marRight w:val="0"/>
                              <w:marTop w:val="0"/>
                              <w:marBottom w:val="0"/>
                              <w:divBdr>
                                <w:top w:val="none" w:sz="0" w:space="0" w:color="auto"/>
                                <w:left w:val="none" w:sz="0" w:space="0" w:color="auto"/>
                                <w:bottom w:val="none" w:sz="0" w:space="0" w:color="auto"/>
                                <w:right w:val="none" w:sz="0" w:space="0" w:color="auto"/>
                              </w:divBdr>
                              <w:divsChild>
                                <w:div w:id="438455692">
                                  <w:marLeft w:val="0"/>
                                  <w:marRight w:val="0"/>
                                  <w:marTop w:val="0"/>
                                  <w:marBottom w:val="0"/>
                                  <w:divBdr>
                                    <w:top w:val="none" w:sz="0" w:space="0" w:color="auto"/>
                                    <w:left w:val="none" w:sz="0" w:space="0" w:color="auto"/>
                                    <w:bottom w:val="none" w:sz="0" w:space="0" w:color="auto"/>
                                    <w:right w:val="none" w:sz="0" w:space="0" w:color="auto"/>
                                  </w:divBdr>
                                  <w:divsChild>
                                    <w:div w:id="1401781567">
                                      <w:marLeft w:val="0"/>
                                      <w:marRight w:val="0"/>
                                      <w:marTop w:val="0"/>
                                      <w:marBottom w:val="0"/>
                                      <w:divBdr>
                                        <w:top w:val="none" w:sz="0" w:space="0" w:color="auto"/>
                                        <w:left w:val="none" w:sz="0" w:space="0" w:color="auto"/>
                                        <w:bottom w:val="none" w:sz="0" w:space="0" w:color="auto"/>
                                        <w:right w:val="none" w:sz="0" w:space="0" w:color="auto"/>
                                      </w:divBdr>
                                      <w:divsChild>
                                        <w:div w:id="773669625">
                                          <w:marLeft w:val="0"/>
                                          <w:marRight w:val="0"/>
                                          <w:marTop w:val="0"/>
                                          <w:marBottom w:val="0"/>
                                          <w:divBdr>
                                            <w:top w:val="none" w:sz="0" w:space="0" w:color="auto"/>
                                            <w:left w:val="none" w:sz="0" w:space="0" w:color="auto"/>
                                            <w:bottom w:val="none" w:sz="0" w:space="0" w:color="auto"/>
                                            <w:right w:val="none" w:sz="0" w:space="0" w:color="auto"/>
                                          </w:divBdr>
                                          <w:divsChild>
                                            <w:div w:id="1447694712">
                                              <w:marLeft w:val="0"/>
                                              <w:marRight w:val="0"/>
                                              <w:marTop w:val="0"/>
                                              <w:marBottom w:val="0"/>
                                              <w:divBdr>
                                                <w:top w:val="none" w:sz="0" w:space="0" w:color="auto"/>
                                                <w:left w:val="none" w:sz="0" w:space="0" w:color="auto"/>
                                                <w:bottom w:val="none" w:sz="0" w:space="0" w:color="auto"/>
                                                <w:right w:val="none" w:sz="0" w:space="0" w:color="auto"/>
                                              </w:divBdr>
                                              <w:divsChild>
                                                <w:div w:id="926229245">
                                                  <w:marLeft w:val="0"/>
                                                  <w:marRight w:val="0"/>
                                                  <w:marTop w:val="0"/>
                                                  <w:marBottom w:val="0"/>
                                                  <w:divBdr>
                                                    <w:top w:val="none" w:sz="0" w:space="0" w:color="auto"/>
                                                    <w:left w:val="none" w:sz="0" w:space="0" w:color="auto"/>
                                                    <w:bottom w:val="none" w:sz="0" w:space="0" w:color="auto"/>
                                                    <w:right w:val="none" w:sz="0" w:space="0" w:color="auto"/>
                                                  </w:divBdr>
                                                  <w:divsChild>
                                                    <w:div w:id="1535731260">
                                                      <w:marLeft w:val="0"/>
                                                      <w:marRight w:val="0"/>
                                                      <w:marTop w:val="0"/>
                                                      <w:marBottom w:val="0"/>
                                                      <w:divBdr>
                                                        <w:top w:val="none" w:sz="0" w:space="0" w:color="auto"/>
                                                        <w:left w:val="none" w:sz="0" w:space="0" w:color="auto"/>
                                                        <w:bottom w:val="none" w:sz="0" w:space="0" w:color="auto"/>
                                                        <w:right w:val="none" w:sz="0" w:space="0" w:color="auto"/>
                                                      </w:divBdr>
                                                      <w:divsChild>
                                                        <w:div w:id="1124614771">
                                                          <w:marLeft w:val="0"/>
                                                          <w:marRight w:val="0"/>
                                                          <w:marTop w:val="0"/>
                                                          <w:marBottom w:val="0"/>
                                                          <w:divBdr>
                                                            <w:top w:val="none" w:sz="0" w:space="0" w:color="auto"/>
                                                            <w:left w:val="none" w:sz="0" w:space="0" w:color="auto"/>
                                                            <w:bottom w:val="none" w:sz="0" w:space="0" w:color="auto"/>
                                                            <w:right w:val="none" w:sz="0" w:space="0" w:color="auto"/>
                                                          </w:divBdr>
                                                          <w:divsChild>
                                                            <w:div w:id="755059058">
                                                              <w:marLeft w:val="0"/>
                                                              <w:marRight w:val="0"/>
                                                              <w:marTop w:val="0"/>
                                                              <w:marBottom w:val="0"/>
                                                              <w:divBdr>
                                                                <w:top w:val="none" w:sz="0" w:space="0" w:color="auto"/>
                                                                <w:left w:val="none" w:sz="0" w:space="0" w:color="auto"/>
                                                                <w:bottom w:val="none" w:sz="0" w:space="0" w:color="auto"/>
                                                                <w:right w:val="none" w:sz="0" w:space="0" w:color="auto"/>
                                                              </w:divBdr>
                                                              <w:divsChild>
                                                                <w:div w:id="1417508176">
                                                                  <w:marLeft w:val="0"/>
                                                                  <w:marRight w:val="0"/>
                                                                  <w:marTop w:val="0"/>
                                                                  <w:marBottom w:val="0"/>
                                                                  <w:divBdr>
                                                                    <w:top w:val="none" w:sz="0" w:space="0" w:color="auto"/>
                                                                    <w:left w:val="none" w:sz="0" w:space="0" w:color="auto"/>
                                                                    <w:bottom w:val="none" w:sz="0" w:space="0" w:color="auto"/>
                                                                    <w:right w:val="none" w:sz="0" w:space="0" w:color="auto"/>
                                                                  </w:divBdr>
                                                                  <w:divsChild>
                                                                    <w:div w:id="937370125">
                                                                      <w:marLeft w:val="0"/>
                                                                      <w:marRight w:val="0"/>
                                                                      <w:marTop w:val="0"/>
                                                                      <w:marBottom w:val="0"/>
                                                                      <w:divBdr>
                                                                        <w:top w:val="none" w:sz="0" w:space="0" w:color="auto"/>
                                                                        <w:left w:val="none" w:sz="0" w:space="0" w:color="auto"/>
                                                                        <w:bottom w:val="none" w:sz="0" w:space="0" w:color="auto"/>
                                                                        <w:right w:val="none" w:sz="0" w:space="0" w:color="auto"/>
                                                                      </w:divBdr>
                                                                      <w:divsChild>
                                                                        <w:div w:id="1192306505">
                                                                          <w:marLeft w:val="0"/>
                                                                          <w:marRight w:val="0"/>
                                                                          <w:marTop w:val="0"/>
                                                                          <w:marBottom w:val="0"/>
                                                                          <w:divBdr>
                                                                            <w:top w:val="none" w:sz="0" w:space="0" w:color="auto"/>
                                                                            <w:left w:val="none" w:sz="0" w:space="0" w:color="auto"/>
                                                                            <w:bottom w:val="none" w:sz="0" w:space="0" w:color="auto"/>
                                                                            <w:right w:val="none" w:sz="0" w:space="0" w:color="auto"/>
                                                                          </w:divBdr>
                                                                          <w:divsChild>
                                                                            <w:div w:id="371153084">
                                                                              <w:marLeft w:val="0"/>
                                                                              <w:marRight w:val="0"/>
                                                                              <w:marTop w:val="0"/>
                                                                              <w:marBottom w:val="0"/>
                                                                              <w:divBdr>
                                                                                <w:top w:val="none" w:sz="0" w:space="0" w:color="auto"/>
                                                                                <w:left w:val="none" w:sz="0" w:space="0" w:color="auto"/>
                                                                                <w:bottom w:val="none" w:sz="0" w:space="0" w:color="auto"/>
                                                                                <w:right w:val="none" w:sz="0" w:space="0" w:color="auto"/>
                                                                              </w:divBdr>
                                                                              <w:divsChild>
                                                                                <w:div w:id="968125425">
                                                                                  <w:marLeft w:val="0"/>
                                                                                  <w:marRight w:val="0"/>
                                                                                  <w:marTop w:val="0"/>
                                                                                  <w:marBottom w:val="0"/>
                                                                                  <w:divBdr>
                                                                                    <w:top w:val="none" w:sz="0" w:space="0" w:color="auto"/>
                                                                                    <w:left w:val="none" w:sz="0" w:space="0" w:color="auto"/>
                                                                                    <w:bottom w:val="none" w:sz="0" w:space="0" w:color="auto"/>
                                                                                    <w:right w:val="none" w:sz="0" w:space="0" w:color="auto"/>
                                                                                  </w:divBdr>
                                                                                  <w:divsChild>
                                                                                    <w:div w:id="134184757">
                                                                                      <w:marLeft w:val="0"/>
                                                                                      <w:marRight w:val="0"/>
                                                                                      <w:marTop w:val="0"/>
                                                                                      <w:marBottom w:val="0"/>
                                                                                      <w:divBdr>
                                                                                        <w:top w:val="none" w:sz="0" w:space="0" w:color="auto"/>
                                                                                        <w:left w:val="none" w:sz="0" w:space="0" w:color="auto"/>
                                                                                        <w:bottom w:val="none" w:sz="0" w:space="0" w:color="auto"/>
                                                                                        <w:right w:val="none" w:sz="0" w:space="0" w:color="auto"/>
                                                                                      </w:divBdr>
                                                                                      <w:divsChild>
                                                                                        <w:div w:id="209003069">
                                                                                          <w:marLeft w:val="0"/>
                                                                                          <w:marRight w:val="0"/>
                                                                                          <w:marTop w:val="0"/>
                                                                                          <w:marBottom w:val="0"/>
                                                                                          <w:divBdr>
                                                                                            <w:top w:val="none" w:sz="0" w:space="0" w:color="auto"/>
                                                                                            <w:left w:val="none" w:sz="0" w:space="0" w:color="auto"/>
                                                                                            <w:bottom w:val="none" w:sz="0" w:space="0" w:color="auto"/>
                                                                                            <w:right w:val="none" w:sz="0" w:space="0" w:color="auto"/>
                                                                                          </w:divBdr>
                                                                                          <w:divsChild>
                                                                                            <w:div w:id="1989284298">
                                                                                              <w:marLeft w:val="0"/>
                                                                                              <w:marRight w:val="0"/>
                                                                                              <w:marTop w:val="0"/>
                                                                                              <w:marBottom w:val="0"/>
                                                                                              <w:divBdr>
                                                                                                <w:top w:val="none" w:sz="0" w:space="0" w:color="auto"/>
                                                                                                <w:left w:val="none" w:sz="0" w:space="0" w:color="auto"/>
                                                                                                <w:bottom w:val="none" w:sz="0" w:space="0" w:color="auto"/>
                                                                                                <w:right w:val="none" w:sz="0" w:space="0" w:color="auto"/>
                                                                                              </w:divBdr>
                                                                                              <w:divsChild>
                                                                                                <w:div w:id="207231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697599">
      <w:bodyDiv w:val="1"/>
      <w:marLeft w:val="0"/>
      <w:marRight w:val="0"/>
      <w:marTop w:val="0"/>
      <w:marBottom w:val="0"/>
      <w:divBdr>
        <w:top w:val="none" w:sz="0" w:space="0" w:color="auto"/>
        <w:left w:val="none" w:sz="0" w:space="0" w:color="auto"/>
        <w:bottom w:val="none" w:sz="0" w:space="0" w:color="auto"/>
        <w:right w:val="none" w:sz="0" w:space="0" w:color="auto"/>
      </w:divBdr>
    </w:div>
    <w:div w:id="180507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nhs.uk/wp-content/uploads/2014/10/5yfv-web.pdf" TargetMode="External"/><Relationship Id="rId13" Type="http://schemas.openxmlformats.org/officeDocument/2006/relationships/hyperlink" Target="https://www.england.nhs.uk/statistics/statistical-work-areas/nhs-111-minimum-data-set/nhs-111-minimum-data-set-2015-16/" TargetMode="External"/><Relationship Id="rId18" Type="http://schemas.openxmlformats.org/officeDocument/2006/relationships/hyperlink" Target="https://www.england.nhs.uk/2016/06/james-ray/" TargetMode="External"/><Relationship Id="rId3" Type="http://schemas.openxmlformats.org/officeDocument/2006/relationships/styles" Target="styles.xml"/><Relationship Id="rId21" Type="http://schemas.openxmlformats.org/officeDocument/2006/relationships/hyperlink" Target="http://www.dailymail.co.uk/news/article-3541202/NHS-111-call-centre-worker-overruled-warning-send-ambulance-cost-patient-life.html" TargetMode="External"/><Relationship Id="rId7" Type="http://schemas.openxmlformats.org/officeDocument/2006/relationships/endnotes" Target="endnotes.xml"/><Relationship Id="rId12" Type="http://schemas.openxmlformats.org/officeDocument/2006/relationships/hyperlink" Target="http://www.nhs.uk/NHSEngland/keogh-review/Documents/UECR.Ph1Report.FV.pdf" TargetMode="External"/><Relationship Id="rId17" Type="http://schemas.openxmlformats.org/officeDocument/2006/relationships/hyperlink" Target="https://www.england.nhs.uk/2015/12/nhs-111-survey/" TargetMode="External"/><Relationship Id="rId2" Type="http://schemas.openxmlformats.org/officeDocument/2006/relationships/numbering" Target="numbering.xml"/><Relationship Id="rId16" Type="http://schemas.openxmlformats.org/officeDocument/2006/relationships/hyperlink" Target="https://www.england.nhs.uk/statistics/wp-content/uploads/sites/2/2015/04/NHS-111-Minimum-Dataset-Providers-v0-9.doc" TargetMode="External"/><Relationship Id="rId20" Type="http://schemas.openxmlformats.org/officeDocument/2006/relationships/hyperlink" Target="http://www.telegraph.co.uk/news/2016/04/22/one-death-a-month-linked-to-mistakes-in-handling-nhs-111-cal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ngland.nhs.uk/wp-content/uploads/2015/10/integrtd-urgnt-care-comms-standrds-oct15.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ngland.nhs.uk/wp-content/uploads/2014/06/nhs111-coms-stand.pdf" TargetMode="External"/><Relationship Id="rId23" Type="http://schemas.openxmlformats.org/officeDocument/2006/relationships/fontTable" Target="fontTable.xml"/><Relationship Id="rId10" Type="http://schemas.openxmlformats.org/officeDocument/2006/relationships/hyperlink" Target="http://www.dailymail.co.uk/news/article-3252724/The-tragic-cost-NHS-hours-hotline-s-descent-meltdown-Two-babies-died-parents-given-wrong-advice-investigation-finds-ONE-nurse-duty-2-million-people.html" TargetMode="External"/><Relationship Id="rId19" Type="http://schemas.openxmlformats.org/officeDocument/2006/relationships/hyperlink" Target="https://www.england.nhs.uk/wp-content/uploads/2014/07/nhs111-qual-safety-rep.pdf" TargetMode="External"/><Relationship Id="rId4" Type="http://schemas.openxmlformats.org/officeDocument/2006/relationships/settings" Target="settings.xml"/><Relationship Id="rId9" Type="http://schemas.openxmlformats.org/officeDocument/2006/relationships/hyperlink" Target="https://www.england.nhs.uk/wp-content/uploads/2016/04/gpfv.pdf" TargetMode="External"/><Relationship Id="rId14" Type="http://schemas.openxmlformats.org/officeDocument/2006/relationships/hyperlink" Target="http://www.bbc.co.uk/news/uk-30159433" TargetMode="External"/><Relationship Id="rId22" Type="http://schemas.openxmlformats.org/officeDocument/2006/relationships/hyperlink" Target="https://www.england.nhs.uk/2016/06/mark-willi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6C344FB1-9CDD-4E50-98C8-0BCA128ED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8925</Words>
  <Characters>50875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59681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2017-03-01T14:27:00Z</cp:lastPrinted>
  <dcterms:created xsi:type="dcterms:W3CDTF">2017-04-08T19:18:00Z</dcterms:created>
  <dcterms:modified xsi:type="dcterms:W3CDTF">2017-04-08T19:18:00Z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