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99A2E" w14:textId="77777777" w:rsidR="00710B61" w:rsidRPr="00710B61" w:rsidRDefault="00710B61" w:rsidP="00710B61">
      <w:pPr>
        <w:spacing w:after="0" w:line="480" w:lineRule="auto"/>
        <w:jc w:val="both"/>
        <w:rPr>
          <w:rFonts w:ascii="Arial" w:hAnsi="Arial" w:cs="Arial"/>
          <w:b/>
          <w:lang w:val="en-GB"/>
        </w:rPr>
      </w:pPr>
      <w:bookmarkStart w:id="0" w:name="_GoBack"/>
      <w:bookmarkEnd w:id="0"/>
      <w:r w:rsidRPr="00710B61">
        <w:rPr>
          <w:rFonts w:ascii="Arial" w:hAnsi="Arial" w:cs="Arial"/>
          <w:b/>
          <w:lang w:val="en-GB"/>
        </w:rPr>
        <w:t xml:space="preserve">Postnatal growth in term infants born small for gestational age </w:t>
      </w:r>
      <w:r>
        <w:rPr>
          <w:rFonts w:ascii="Arial" w:hAnsi="Arial" w:cs="Arial"/>
          <w:b/>
          <w:lang w:val="en-GB"/>
        </w:rPr>
        <w:t>is associated with</w:t>
      </w:r>
      <w:r w:rsidRPr="00710B61">
        <w:rPr>
          <w:rFonts w:ascii="Arial" w:hAnsi="Arial" w:cs="Arial"/>
          <w:b/>
          <w:lang w:val="en-GB"/>
        </w:rPr>
        <w:t xml:space="preserve"> later </w:t>
      </w:r>
      <w:r w:rsidR="002964B2" w:rsidRPr="00710B61">
        <w:rPr>
          <w:rFonts w:ascii="Arial" w:hAnsi="Arial" w:cs="Arial"/>
          <w:b/>
          <w:lang w:val="en-GB"/>
        </w:rPr>
        <w:t xml:space="preserve">neurocognitive and </w:t>
      </w:r>
      <w:r w:rsidRPr="00710B61">
        <w:rPr>
          <w:rFonts w:ascii="Arial" w:hAnsi="Arial" w:cs="Arial"/>
          <w:b/>
          <w:lang w:val="en-GB"/>
        </w:rPr>
        <w:t>metabolic outcomes</w:t>
      </w:r>
    </w:p>
    <w:p w14:paraId="431CADA1" w14:textId="77777777" w:rsidR="00710B61" w:rsidRDefault="00422385">
      <w:pPr>
        <w:spacing w:after="0" w:line="480" w:lineRule="auto"/>
        <w:jc w:val="both"/>
        <w:rPr>
          <w:rFonts w:ascii="Arial" w:hAnsi="Arial" w:cs="Arial"/>
          <w:lang w:val="en-GB"/>
        </w:rPr>
      </w:pPr>
      <w:r>
        <w:rPr>
          <w:rFonts w:ascii="Arial" w:hAnsi="Arial" w:cs="Arial"/>
          <w:lang w:val="en-GB"/>
        </w:rPr>
        <w:t>Short title: Small for gestational age births and outcomes</w:t>
      </w:r>
    </w:p>
    <w:p w14:paraId="3E3DC7F0" w14:textId="77777777" w:rsidR="009A0447" w:rsidRDefault="009A0447">
      <w:pPr>
        <w:spacing w:after="0" w:line="480" w:lineRule="auto"/>
        <w:jc w:val="both"/>
        <w:rPr>
          <w:rFonts w:ascii="Arial" w:hAnsi="Arial" w:cs="Arial"/>
          <w:b/>
          <w:color w:val="000000" w:themeColor="text1"/>
          <w:lang w:val="en-GB"/>
        </w:rPr>
      </w:pPr>
      <w:r>
        <w:rPr>
          <w:rFonts w:ascii="Arial" w:hAnsi="Arial" w:cs="Arial"/>
          <w:lang w:val="en-GB"/>
        </w:rPr>
        <w:t xml:space="preserve">Running title: </w:t>
      </w:r>
      <w:r w:rsidRPr="0033270C">
        <w:rPr>
          <w:rFonts w:ascii="Arial" w:hAnsi="Arial" w:cs="Arial"/>
          <w:lang w:val="en-GB"/>
        </w:rPr>
        <w:t xml:space="preserve">Postnatal growth and </w:t>
      </w:r>
      <w:r w:rsidR="002964B2">
        <w:rPr>
          <w:rFonts w:ascii="Arial" w:hAnsi="Arial" w:cs="Arial"/>
          <w:lang w:val="en-GB"/>
        </w:rPr>
        <w:t>later</w:t>
      </w:r>
      <w:r w:rsidRPr="0033270C">
        <w:rPr>
          <w:rFonts w:ascii="Arial" w:hAnsi="Arial" w:cs="Arial"/>
          <w:lang w:val="en-GB"/>
        </w:rPr>
        <w:t xml:space="preserve"> outcomes in term SGA infants</w:t>
      </w:r>
    </w:p>
    <w:p w14:paraId="632C22D8" w14:textId="77777777" w:rsidR="00617FE8" w:rsidRDefault="008C06CC">
      <w:pPr>
        <w:spacing w:after="0" w:line="480" w:lineRule="auto"/>
        <w:jc w:val="both"/>
        <w:rPr>
          <w:rFonts w:ascii="Arial" w:hAnsi="Arial" w:cs="Arial"/>
          <w:color w:val="000000"/>
          <w:vertAlign w:val="superscript"/>
          <w:lang w:val="en-GB"/>
        </w:rPr>
      </w:pPr>
      <w:r>
        <w:rPr>
          <w:rFonts w:ascii="Arial" w:hAnsi="Arial" w:cs="Arial"/>
          <w:color w:val="000000"/>
          <w:lang w:val="en-GB"/>
        </w:rPr>
        <w:t>Esther Castanys-Muñoz</w:t>
      </w:r>
      <w:r>
        <w:rPr>
          <w:rFonts w:ascii="Arial" w:hAnsi="Arial" w:cs="Arial"/>
          <w:color w:val="000000"/>
          <w:vertAlign w:val="superscript"/>
          <w:lang w:val="en-GB"/>
        </w:rPr>
        <w:t>1</w:t>
      </w:r>
      <w:r>
        <w:rPr>
          <w:rFonts w:ascii="Arial" w:hAnsi="Arial" w:cs="Arial"/>
          <w:color w:val="000000"/>
          <w:lang w:val="en-GB"/>
        </w:rPr>
        <w:t>, Kathy Kennedy</w:t>
      </w:r>
      <w:r>
        <w:rPr>
          <w:rFonts w:ascii="Arial" w:hAnsi="Arial" w:cs="Arial"/>
          <w:color w:val="000000"/>
          <w:vertAlign w:val="superscript"/>
          <w:lang w:val="en-GB"/>
        </w:rPr>
        <w:t>2</w:t>
      </w:r>
      <w:r>
        <w:rPr>
          <w:rFonts w:ascii="Arial" w:hAnsi="Arial" w:cs="Arial"/>
          <w:color w:val="000000"/>
          <w:lang w:val="en-GB"/>
        </w:rPr>
        <w:t xml:space="preserve">, </w:t>
      </w:r>
      <w:proofErr w:type="spellStart"/>
      <w:r>
        <w:rPr>
          <w:rFonts w:ascii="Arial" w:hAnsi="Arial" w:cs="Arial"/>
          <w:color w:val="000000"/>
          <w:lang w:val="en-GB"/>
        </w:rPr>
        <w:t>Eurídice</w:t>
      </w:r>
      <w:proofErr w:type="spellEnd"/>
      <w:r>
        <w:rPr>
          <w:rFonts w:ascii="Arial" w:hAnsi="Arial" w:cs="Arial"/>
          <w:color w:val="000000"/>
          <w:lang w:val="en-GB"/>
        </w:rPr>
        <w:t xml:space="preserve"> Castañeda</w:t>
      </w:r>
      <w:r w:rsidR="008D1EF9">
        <w:rPr>
          <w:rFonts w:ascii="Arial" w:hAnsi="Arial" w:cs="Arial"/>
          <w:color w:val="000000"/>
          <w:lang w:val="en-GB"/>
        </w:rPr>
        <w:t>-</w:t>
      </w:r>
      <w:r>
        <w:rPr>
          <w:rFonts w:ascii="Arial" w:hAnsi="Arial" w:cs="Arial"/>
          <w:color w:val="000000"/>
          <w:lang w:val="en-GB"/>
        </w:rPr>
        <w:t>Gutiérrez</w:t>
      </w:r>
      <w:r>
        <w:rPr>
          <w:rFonts w:ascii="Arial" w:hAnsi="Arial" w:cs="Arial"/>
          <w:color w:val="000000"/>
          <w:vertAlign w:val="superscript"/>
          <w:lang w:val="en-GB"/>
        </w:rPr>
        <w:t>3</w:t>
      </w:r>
      <w:r>
        <w:rPr>
          <w:rFonts w:ascii="Arial" w:hAnsi="Arial" w:cs="Arial"/>
          <w:color w:val="000000"/>
          <w:lang w:val="en-GB"/>
        </w:rPr>
        <w:t>, Stewart Forsyth</w:t>
      </w:r>
      <w:r>
        <w:rPr>
          <w:rFonts w:ascii="Arial" w:hAnsi="Arial" w:cs="Arial"/>
          <w:color w:val="000000"/>
          <w:vertAlign w:val="superscript"/>
          <w:lang w:val="en-GB"/>
        </w:rPr>
        <w:t>4</w:t>
      </w:r>
      <w:r>
        <w:rPr>
          <w:rFonts w:ascii="Arial" w:hAnsi="Arial" w:cs="Arial"/>
          <w:color w:val="000000"/>
          <w:lang w:val="en-GB"/>
        </w:rPr>
        <w:t>, Keith M. Godfrey</w:t>
      </w:r>
      <w:r>
        <w:rPr>
          <w:rFonts w:ascii="Arial" w:hAnsi="Arial" w:cs="Arial"/>
          <w:color w:val="000000"/>
          <w:vertAlign w:val="superscript"/>
          <w:lang w:val="en-GB"/>
        </w:rPr>
        <w:t>5</w:t>
      </w:r>
      <w:r>
        <w:rPr>
          <w:rFonts w:ascii="Arial" w:hAnsi="Arial" w:cs="Arial"/>
          <w:color w:val="000000"/>
          <w:lang w:val="en-GB"/>
        </w:rPr>
        <w:t>, Berthold Koletzko</w:t>
      </w:r>
      <w:r>
        <w:rPr>
          <w:rFonts w:ascii="Arial" w:hAnsi="Arial" w:cs="Arial"/>
          <w:color w:val="000000"/>
          <w:vertAlign w:val="superscript"/>
          <w:lang w:val="en-GB"/>
        </w:rPr>
        <w:t>6</w:t>
      </w:r>
      <w:r>
        <w:rPr>
          <w:rFonts w:ascii="Arial" w:hAnsi="Arial" w:cs="Arial"/>
          <w:color w:val="000000"/>
          <w:lang w:val="en-GB"/>
        </w:rPr>
        <w:t>, Susan E. Ozanne</w:t>
      </w:r>
      <w:r>
        <w:rPr>
          <w:rFonts w:ascii="Arial" w:hAnsi="Arial" w:cs="Arial"/>
          <w:color w:val="000000"/>
          <w:vertAlign w:val="superscript"/>
          <w:lang w:val="en-GB"/>
        </w:rPr>
        <w:t>7</w:t>
      </w:r>
      <w:r>
        <w:rPr>
          <w:rFonts w:ascii="Arial" w:hAnsi="Arial" w:cs="Arial"/>
          <w:color w:val="000000"/>
          <w:lang w:val="en-GB"/>
        </w:rPr>
        <w:t>, Ricardo Rueda</w:t>
      </w:r>
      <w:r>
        <w:rPr>
          <w:rFonts w:ascii="Arial" w:hAnsi="Arial" w:cs="Arial"/>
          <w:color w:val="000000"/>
          <w:vertAlign w:val="superscript"/>
          <w:lang w:val="en-GB"/>
        </w:rPr>
        <w:t>8</w:t>
      </w:r>
      <w:r>
        <w:rPr>
          <w:rFonts w:ascii="Arial" w:hAnsi="Arial" w:cs="Arial"/>
          <w:color w:val="000000"/>
          <w:lang w:val="en-GB"/>
        </w:rPr>
        <w:t>, Marieke Schoemaker</w:t>
      </w:r>
      <w:r>
        <w:rPr>
          <w:rFonts w:ascii="Arial" w:hAnsi="Arial" w:cs="Arial"/>
          <w:color w:val="000000"/>
          <w:vertAlign w:val="superscript"/>
          <w:lang w:val="en-GB"/>
        </w:rPr>
        <w:t>9</w:t>
      </w:r>
      <w:r>
        <w:rPr>
          <w:rFonts w:ascii="Arial" w:hAnsi="Arial" w:cs="Arial"/>
          <w:color w:val="000000"/>
          <w:lang w:val="en-GB"/>
        </w:rPr>
        <w:t>, Eline M. van der Beek</w:t>
      </w:r>
      <w:r>
        <w:rPr>
          <w:rFonts w:ascii="Arial" w:hAnsi="Arial" w:cs="Arial"/>
          <w:color w:val="000000"/>
          <w:vertAlign w:val="superscript"/>
          <w:lang w:val="en-GB"/>
        </w:rPr>
        <w:t>10</w:t>
      </w:r>
      <w:proofErr w:type="gramStart"/>
      <w:r>
        <w:rPr>
          <w:rFonts w:ascii="Arial" w:hAnsi="Arial" w:cs="Arial"/>
          <w:color w:val="000000"/>
          <w:vertAlign w:val="superscript"/>
          <w:lang w:val="en-GB"/>
        </w:rPr>
        <w:t>,11</w:t>
      </w:r>
      <w:proofErr w:type="gramEnd"/>
      <w:r>
        <w:rPr>
          <w:rFonts w:ascii="Arial" w:hAnsi="Arial" w:cs="Arial"/>
          <w:color w:val="000000"/>
          <w:lang w:val="en-GB"/>
        </w:rPr>
        <w:t>, Stef van Buuren</w:t>
      </w:r>
      <w:r>
        <w:rPr>
          <w:rFonts w:ascii="Arial" w:hAnsi="Arial" w:cs="Arial"/>
          <w:color w:val="000000"/>
          <w:vertAlign w:val="superscript"/>
          <w:lang w:val="en-GB"/>
        </w:rPr>
        <w:t>12,13</w:t>
      </w:r>
      <w:r>
        <w:rPr>
          <w:rFonts w:ascii="Arial" w:hAnsi="Arial" w:cs="Arial"/>
          <w:color w:val="000000"/>
          <w:lang w:val="en-GB"/>
        </w:rPr>
        <w:t>, Ken K. Ong</w:t>
      </w:r>
      <w:r>
        <w:rPr>
          <w:rFonts w:ascii="Arial" w:hAnsi="Arial" w:cs="Arial"/>
          <w:color w:val="000000"/>
          <w:vertAlign w:val="superscript"/>
          <w:lang w:val="en-GB"/>
        </w:rPr>
        <w:t>14</w:t>
      </w:r>
    </w:p>
    <w:p w14:paraId="2F419E73" w14:textId="77777777" w:rsidR="00617FE8" w:rsidRDefault="00617FE8">
      <w:pPr>
        <w:spacing w:after="0" w:line="480" w:lineRule="auto"/>
        <w:jc w:val="both"/>
        <w:rPr>
          <w:rFonts w:ascii="Arial" w:hAnsi="Arial" w:cs="Arial"/>
          <w:color w:val="000000"/>
          <w:lang w:val="en-GB"/>
        </w:rPr>
      </w:pPr>
    </w:p>
    <w:p w14:paraId="03685D6D"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Abbott Nutrition R&amp;D, University Science Park, Granada, Spain</w:t>
      </w:r>
    </w:p>
    <w:p w14:paraId="55D4C230"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UCL Great Ormond Street Hospital Institute of Child Health, London, United Kingdom</w:t>
      </w:r>
    </w:p>
    <w:p w14:paraId="5E2A8FFD"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 xml:space="preserve">Nestlé Research </w:t>
      </w:r>
      <w:proofErr w:type="spellStart"/>
      <w:r>
        <w:rPr>
          <w:rFonts w:ascii="Arial" w:hAnsi="Arial" w:cs="Arial"/>
          <w:color w:val="000000"/>
          <w:lang w:val="en-GB"/>
        </w:rPr>
        <w:t>Center</w:t>
      </w:r>
      <w:proofErr w:type="spellEnd"/>
      <w:r>
        <w:rPr>
          <w:rFonts w:ascii="Arial" w:hAnsi="Arial" w:cs="Arial"/>
          <w:color w:val="000000"/>
          <w:lang w:val="en-GB"/>
        </w:rPr>
        <w:t>, Lausanne, Switzerland</w:t>
      </w:r>
    </w:p>
    <w:p w14:paraId="21E2D3F9" w14:textId="77777777" w:rsidR="00617FE8" w:rsidRDefault="008C06CC">
      <w:pPr>
        <w:pStyle w:val="ListParagraph"/>
        <w:numPr>
          <w:ilvl w:val="0"/>
          <w:numId w:val="9"/>
        </w:numPr>
        <w:spacing w:after="0" w:line="480" w:lineRule="auto"/>
        <w:ind w:left="426"/>
        <w:jc w:val="both"/>
        <w:rPr>
          <w:rFonts w:ascii="Arial" w:hAnsi="Arial" w:cs="Arial"/>
          <w:color w:val="000000"/>
          <w:lang w:val="nl-NL"/>
        </w:rPr>
      </w:pPr>
      <w:r>
        <w:rPr>
          <w:rFonts w:ascii="Arial" w:hAnsi="Arial" w:cs="Arial"/>
          <w:color w:val="000000"/>
          <w:lang w:val="nl-NL"/>
        </w:rPr>
        <w:t>Consultant, DSM-Martek Division, Dundee, UK</w:t>
      </w:r>
    </w:p>
    <w:p w14:paraId="15EAC2FD"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MRC Lifecourse Epidemiology Unit</w:t>
      </w:r>
      <w:r>
        <w:rPr>
          <w:rFonts w:ascii="Arial" w:hAnsi="Arial" w:cs="Arial"/>
          <w:lang w:val="en-GB"/>
        </w:rPr>
        <w:t xml:space="preserve"> </w:t>
      </w:r>
      <w:r>
        <w:rPr>
          <w:rFonts w:ascii="Arial" w:hAnsi="Arial" w:cs="Arial"/>
          <w:color w:val="000000"/>
          <w:lang w:val="en-GB"/>
        </w:rPr>
        <w:t>and NIHR Southampton Biomedical Research Centre, University of Southampton and University Hospital Southampton NHS Foundation Trust, Southampton, United Kingdom</w:t>
      </w:r>
    </w:p>
    <w:p w14:paraId="6A471AFB"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Ludwig-</w:t>
      </w:r>
      <w:proofErr w:type="spellStart"/>
      <w:r>
        <w:rPr>
          <w:rFonts w:ascii="Arial" w:hAnsi="Arial" w:cs="Arial"/>
          <w:color w:val="000000"/>
          <w:lang w:val="en-GB"/>
        </w:rPr>
        <w:t>Maximilians</w:t>
      </w:r>
      <w:proofErr w:type="spellEnd"/>
      <w:r>
        <w:rPr>
          <w:rFonts w:ascii="Arial" w:hAnsi="Arial" w:cs="Arial"/>
          <w:color w:val="000000"/>
          <w:lang w:val="en-GB"/>
        </w:rPr>
        <w:t>-</w:t>
      </w:r>
      <w:proofErr w:type="spellStart"/>
      <w:r>
        <w:rPr>
          <w:rFonts w:ascii="Arial" w:hAnsi="Arial" w:cs="Arial"/>
          <w:color w:val="000000"/>
          <w:lang w:val="en-GB"/>
        </w:rPr>
        <w:t>Universität</w:t>
      </w:r>
      <w:proofErr w:type="spellEnd"/>
      <w:r>
        <w:rPr>
          <w:rFonts w:ascii="Arial" w:hAnsi="Arial" w:cs="Arial"/>
          <w:color w:val="000000"/>
          <w:lang w:val="en-GB"/>
        </w:rPr>
        <w:t xml:space="preserve"> Munich, </w:t>
      </w:r>
      <w:proofErr w:type="spellStart"/>
      <w:r>
        <w:rPr>
          <w:rFonts w:ascii="Arial" w:hAnsi="Arial" w:cs="Arial"/>
          <w:color w:val="000000"/>
          <w:lang w:val="en-GB"/>
        </w:rPr>
        <w:t>Dr.</w:t>
      </w:r>
      <w:proofErr w:type="spellEnd"/>
      <w:r>
        <w:rPr>
          <w:rFonts w:ascii="Arial" w:hAnsi="Arial" w:cs="Arial"/>
          <w:color w:val="000000"/>
          <w:lang w:val="en-GB"/>
        </w:rPr>
        <w:t xml:space="preserve"> von </w:t>
      </w:r>
      <w:proofErr w:type="spellStart"/>
      <w:r>
        <w:rPr>
          <w:rFonts w:ascii="Arial" w:hAnsi="Arial" w:cs="Arial"/>
          <w:color w:val="000000"/>
          <w:lang w:val="en-GB"/>
        </w:rPr>
        <w:t>Hauner</w:t>
      </w:r>
      <w:proofErr w:type="spellEnd"/>
      <w:r>
        <w:rPr>
          <w:rFonts w:ascii="Arial" w:hAnsi="Arial" w:cs="Arial"/>
          <w:color w:val="000000"/>
          <w:lang w:val="en-GB"/>
        </w:rPr>
        <w:t xml:space="preserve"> Children’s Hospital, University of Munich Medical </w:t>
      </w:r>
      <w:proofErr w:type="spellStart"/>
      <w:r>
        <w:rPr>
          <w:rFonts w:ascii="Arial" w:hAnsi="Arial" w:cs="Arial"/>
          <w:color w:val="000000"/>
          <w:lang w:val="en-GB"/>
        </w:rPr>
        <w:t>Center</w:t>
      </w:r>
      <w:proofErr w:type="spellEnd"/>
      <w:r>
        <w:rPr>
          <w:rFonts w:ascii="Arial" w:hAnsi="Arial" w:cs="Arial"/>
          <w:color w:val="000000"/>
          <w:lang w:val="en-GB"/>
        </w:rPr>
        <w:t xml:space="preserve">, </w:t>
      </w:r>
      <w:proofErr w:type="spellStart"/>
      <w:r>
        <w:rPr>
          <w:rFonts w:ascii="Arial" w:hAnsi="Arial" w:cs="Arial"/>
          <w:color w:val="000000"/>
          <w:lang w:val="en-GB"/>
        </w:rPr>
        <w:t>München</w:t>
      </w:r>
      <w:proofErr w:type="spellEnd"/>
      <w:r>
        <w:rPr>
          <w:rFonts w:ascii="Arial" w:hAnsi="Arial" w:cs="Arial"/>
          <w:color w:val="000000"/>
          <w:lang w:val="en-GB"/>
        </w:rPr>
        <w:t>, Germany</w:t>
      </w:r>
    </w:p>
    <w:p w14:paraId="44E2FC6E"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Metabolic Research Laboratories &amp; MRC Metabolic Diseases Unit, Institute of Metabolic Sciences, University of Cambridge, Cambridge, UK</w:t>
      </w:r>
    </w:p>
    <w:p w14:paraId="52FADB5B"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Abbott Nutrition R&amp;D, Granada, Spain</w:t>
      </w:r>
    </w:p>
    <w:p w14:paraId="7CBE1243"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 xml:space="preserve">Mead Johnson </w:t>
      </w:r>
      <w:proofErr w:type="spellStart"/>
      <w:r>
        <w:rPr>
          <w:rFonts w:ascii="Arial" w:hAnsi="Arial" w:cs="Arial"/>
          <w:color w:val="000000"/>
          <w:lang w:val="en-GB"/>
        </w:rPr>
        <w:t>Pediatric</w:t>
      </w:r>
      <w:proofErr w:type="spellEnd"/>
      <w:r>
        <w:rPr>
          <w:rFonts w:ascii="Arial" w:hAnsi="Arial" w:cs="Arial"/>
          <w:color w:val="000000"/>
          <w:lang w:val="en-GB"/>
        </w:rPr>
        <w:t xml:space="preserve"> Nutrition Institute, Nijmegen, The Netherlands</w:t>
      </w:r>
    </w:p>
    <w:p w14:paraId="22CF9D3C"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proofErr w:type="spellStart"/>
      <w:r>
        <w:rPr>
          <w:rFonts w:ascii="Arial" w:hAnsi="Arial" w:cs="Arial"/>
          <w:color w:val="000000"/>
          <w:lang w:val="en-GB"/>
        </w:rPr>
        <w:t>Nutricia</w:t>
      </w:r>
      <w:proofErr w:type="spellEnd"/>
      <w:r>
        <w:rPr>
          <w:rFonts w:ascii="Arial" w:hAnsi="Arial" w:cs="Arial"/>
          <w:color w:val="000000"/>
          <w:lang w:val="en-GB"/>
        </w:rPr>
        <w:t xml:space="preserve"> Research, Danone </w:t>
      </w:r>
      <w:proofErr w:type="spellStart"/>
      <w:r>
        <w:rPr>
          <w:rFonts w:ascii="Arial" w:hAnsi="Arial" w:cs="Arial"/>
          <w:color w:val="000000"/>
          <w:lang w:val="en-GB"/>
        </w:rPr>
        <w:t>Nutricia</w:t>
      </w:r>
      <w:proofErr w:type="spellEnd"/>
      <w:r>
        <w:rPr>
          <w:rFonts w:ascii="Arial" w:hAnsi="Arial" w:cs="Arial"/>
          <w:color w:val="000000"/>
          <w:lang w:val="en-GB"/>
        </w:rPr>
        <w:t xml:space="preserve"> Early Life Nutrition, Utrecht, The Netherlands</w:t>
      </w:r>
    </w:p>
    <w:p w14:paraId="11CFDB3F"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t xml:space="preserve">Department of </w:t>
      </w:r>
      <w:proofErr w:type="spellStart"/>
      <w:r>
        <w:rPr>
          <w:rFonts w:ascii="Arial" w:hAnsi="Arial" w:cs="Arial"/>
          <w:color w:val="000000"/>
          <w:lang w:val="en-GB"/>
        </w:rPr>
        <w:t>Pediatrics</w:t>
      </w:r>
      <w:proofErr w:type="spellEnd"/>
      <w:r>
        <w:rPr>
          <w:rFonts w:ascii="Arial" w:hAnsi="Arial" w:cs="Arial"/>
          <w:color w:val="000000"/>
          <w:lang w:val="en-GB"/>
        </w:rPr>
        <w:t xml:space="preserve">, University Medical </w:t>
      </w:r>
      <w:proofErr w:type="spellStart"/>
      <w:r>
        <w:rPr>
          <w:rFonts w:ascii="Arial" w:hAnsi="Arial" w:cs="Arial"/>
          <w:color w:val="000000"/>
          <w:lang w:val="en-GB"/>
        </w:rPr>
        <w:t>Center</w:t>
      </w:r>
      <w:proofErr w:type="spellEnd"/>
      <w:r>
        <w:rPr>
          <w:rFonts w:ascii="Arial" w:hAnsi="Arial" w:cs="Arial"/>
          <w:color w:val="000000"/>
          <w:lang w:val="en-GB"/>
        </w:rPr>
        <w:t xml:space="preserve"> Groningen, Groningen, The Netherlands</w:t>
      </w:r>
    </w:p>
    <w:p w14:paraId="6E1AA832" w14:textId="77777777" w:rsidR="00617FE8" w:rsidRDefault="008C06CC">
      <w:pPr>
        <w:pStyle w:val="ListParagraph"/>
        <w:numPr>
          <w:ilvl w:val="0"/>
          <w:numId w:val="9"/>
        </w:numPr>
        <w:spacing w:after="0" w:line="480" w:lineRule="auto"/>
        <w:ind w:left="426"/>
        <w:jc w:val="both"/>
        <w:rPr>
          <w:rFonts w:ascii="Arial" w:hAnsi="Arial" w:cs="Arial"/>
        </w:rPr>
      </w:pPr>
      <w:r>
        <w:rPr>
          <w:rFonts w:ascii="Arial" w:hAnsi="Arial" w:cs="Arial"/>
        </w:rPr>
        <w:t xml:space="preserve">Netherlands </w:t>
      </w:r>
      <w:proofErr w:type="spellStart"/>
      <w:r>
        <w:rPr>
          <w:rFonts w:ascii="Arial" w:hAnsi="Arial" w:cs="Arial"/>
        </w:rPr>
        <w:t>Organisation</w:t>
      </w:r>
      <w:proofErr w:type="spellEnd"/>
      <w:r>
        <w:rPr>
          <w:rFonts w:ascii="Arial" w:hAnsi="Arial" w:cs="Arial"/>
        </w:rPr>
        <w:t xml:space="preserve"> for Applied Scientific Research TNO, Leiden, The Netherlands</w:t>
      </w:r>
    </w:p>
    <w:p w14:paraId="0FB37BBB" w14:textId="77777777" w:rsidR="00617FE8" w:rsidRDefault="008C06CC">
      <w:pPr>
        <w:pStyle w:val="ListParagraph"/>
        <w:numPr>
          <w:ilvl w:val="0"/>
          <w:numId w:val="9"/>
        </w:numPr>
        <w:spacing w:after="0" w:line="480" w:lineRule="auto"/>
        <w:ind w:left="426"/>
        <w:jc w:val="both"/>
        <w:rPr>
          <w:rFonts w:ascii="Arial" w:hAnsi="Arial" w:cs="Arial"/>
          <w:color w:val="000000"/>
          <w:lang w:val="nl-NL"/>
        </w:rPr>
      </w:pPr>
      <w:r>
        <w:rPr>
          <w:rFonts w:ascii="Arial" w:hAnsi="Arial" w:cs="Arial"/>
          <w:color w:val="000000"/>
          <w:lang w:val="nl-NL"/>
        </w:rPr>
        <w:t>University of Utrecht, Utrecht, The Netherlands</w:t>
      </w:r>
    </w:p>
    <w:p w14:paraId="739E6842" w14:textId="77777777" w:rsidR="00617FE8" w:rsidRDefault="008C06CC">
      <w:pPr>
        <w:pStyle w:val="ListParagraph"/>
        <w:numPr>
          <w:ilvl w:val="0"/>
          <w:numId w:val="9"/>
        </w:numPr>
        <w:spacing w:after="0" w:line="480" w:lineRule="auto"/>
        <w:ind w:left="426"/>
        <w:jc w:val="both"/>
        <w:rPr>
          <w:rFonts w:ascii="Arial" w:hAnsi="Arial" w:cs="Arial"/>
          <w:color w:val="000000"/>
          <w:lang w:val="en-GB"/>
        </w:rPr>
      </w:pPr>
      <w:r>
        <w:rPr>
          <w:rFonts w:ascii="Arial" w:hAnsi="Arial" w:cs="Arial"/>
          <w:color w:val="000000"/>
          <w:lang w:val="en-GB"/>
        </w:rPr>
        <w:lastRenderedPageBreak/>
        <w:t>MRC Epidemiology Unit, University of Cambridge, Cambridge, United Kingdom</w:t>
      </w:r>
    </w:p>
    <w:p w14:paraId="1F129614" w14:textId="77777777" w:rsidR="00E4564F" w:rsidRDefault="00E4564F">
      <w:pPr>
        <w:spacing w:after="0" w:line="480" w:lineRule="auto"/>
        <w:jc w:val="both"/>
        <w:rPr>
          <w:rFonts w:ascii="Arial" w:hAnsi="Arial" w:cs="Arial"/>
          <w:b/>
          <w:lang w:val="en-GB"/>
        </w:rPr>
      </w:pPr>
    </w:p>
    <w:p w14:paraId="27143889" w14:textId="77777777" w:rsidR="0033270C" w:rsidRDefault="008C06CC">
      <w:pPr>
        <w:spacing w:after="0" w:line="480" w:lineRule="auto"/>
        <w:jc w:val="both"/>
        <w:rPr>
          <w:rFonts w:ascii="Arial" w:hAnsi="Arial" w:cs="Arial"/>
          <w:lang w:val="en-GB"/>
        </w:rPr>
      </w:pPr>
      <w:r>
        <w:rPr>
          <w:rFonts w:ascii="Arial" w:hAnsi="Arial" w:cs="Arial"/>
          <w:b/>
          <w:lang w:val="en-GB"/>
        </w:rPr>
        <w:t xml:space="preserve">Corresponding author: </w:t>
      </w:r>
      <w:r>
        <w:rPr>
          <w:rFonts w:ascii="Arial" w:hAnsi="Arial" w:cs="Arial"/>
          <w:lang w:val="en-GB"/>
        </w:rPr>
        <w:t>Ken K. Ong,</w:t>
      </w:r>
      <w:r>
        <w:rPr>
          <w:rFonts w:ascii="Arial" w:hAnsi="Arial" w:cs="Arial"/>
          <w:b/>
          <w:lang w:val="en-GB"/>
        </w:rPr>
        <w:t xml:space="preserve"> </w:t>
      </w:r>
      <w:r>
        <w:rPr>
          <w:rFonts w:ascii="Arial" w:hAnsi="Arial" w:cs="Arial"/>
          <w:lang w:val="en-GB"/>
        </w:rPr>
        <w:t>MRC Epidemiology Unit, University of Cambridge, Box 285</w:t>
      </w:r>
      <w:r w:rsidR="00E4564F">
        <w:rPr>
          <w:rFonts w:ascii="Arial" w:hAnsi="Arial" w:cs="Arial"/>
          <w:lang w:val="en-GB"/>
        </w:rPr>
        <w:t>,</w:t>
      </w:r>
      <w:r>
        <w:rPr>
          <w:rFonts w:ascii="Arial" w:hAnsi="Arial" w:cs="Arial"/>
          <w:lang w:val="en-GB"/>
        </w:rPr>
        <w:t xml:space="preserve"> Institute of Metabolic Science, Cambridge Biomedical Campus, Cambridge CB2 0QQ, UK; email: </w:t>
      </w:r>
      <w:hyperlink r:id="rId9" w:history="1">
        <w:r w:rsidR="0033270C" w:rsidRPr="00737847">
          <w:rPr>
            <w:rStyle w:val="Hyperlink"/>
            <w:rFonts w:ascii="Arial" w:hAnsi="Arial" w:cs="Arial"/>
            <w:lang w:val="en-GB"/>
          </w:rPr>
          <w:t>publications@ilsieurope.be</w:t>
        </w:r>
      </w:hyperlink>
      <w:r>
        <w:rPr>
          <w:rFonts w:ascii="Arial" w:hAnsi="Arial" w:cs="Arial"/>
          <w:lang w:val="en-GB"/>
        </w:rPr>
        <w:t>.</w:t>
      </w:r>
    </w:p>
    <w:p w14:paraId="4DC9AD3F" w14:textId="77777777" w:rsidR="0033270C" w:rsidRDefault="0033270C">
      <w:pPr>
        <w:spacing w:after="0" w:line="480" w:lineRule="auto"/>
        <w:jc w:val="both"/>
        <w:rPr>
          <w:rFonts w:ascii="Arial" w:hAnsi="Arial" w:cs="Arial"/>
          <w:lang w:val="en-GB"/>
        </w:rPr>
      </w:pPr>
    </w:p>
    <w:p w14:paraId="4D081CAF" w14:textId="77777777" w:rsidR="00617FE8" w:rsidRDefault="008C06CC">
      <w:pPr>
        <w:spacing w:after="0" w:line="480" w:lineRule="auto"/>
        <w:jc w:val="both"/>
        <w:rPr>
          <w:rFonts w:ascii="Arial" w:hAnsi="Arial" w:cs="Arial"/>
          <w:lang w:val="en-GB"/>
        </w:rPr>
      </w:pPr>
      <w:r>
        <w:rPr>
          <w:rFonts w:ascii="Arial" w:hAnsi="Arial" w:cs="Arial"/>
          <w:b/>
          <w:color w:val="000000" w:themeColor="text1"/>
          <w:lang w:val="en-GB"/>
        </w:rPr>
        <w:br w:type="page"/>
      </w:r>
    </w:p>
    <w:p w14:paraId="4B413466" w14:textId="77777777" w:rsidR="00617FE8" w:rsidRDefault="008C06CC">
      <w:pPr>
        <w:spacing w:after="0" w:line="480" w:lineRule="auto"/>
        <w:jc w:val="both"/>
        <w:rPr>
          <w:rFonts w:ascii="Arial" w:hAnsi="Arial" w:cs="Arial"/>
          <w:b/>
          <w:color w:val="000000" w:themeColor="text1"/>
          <w:lang w:val="en-GB"/>
        </w:rPr>
      </w:pPr>
      <w:r>
        <w:rPr>
          <w:rFonts w:ascii="Arial" w:hAnsi="Arial" w:cs="Arial"/>
          <w:b/>
          <w:color w:val="000000" w:themeColor="text1"/>
          <w:lang w:val="en-GB"/>
        </w:rPr>
        <w:lastRenderedPageBreak/>
        <w:t xml:space="preserve">ABSTRACT </w:t>
      </w:r>
    </w:p>
    <w:p w14:paraId="1F840A31" w14:textId="6B35FA56" w:rsidR="00617FE8" w:rsidRDefault="008636BD" w:rsidP="009915D8">
      <w:pPr>
        <w:spacing w:after="0" w:line="480" w:lineRule="auto"/>
        <w:jc w:val="both"/>
        <w:rPr>
          <w:rFonts w:ascii="Arial" w:hAnsi="Arial" w:cs="Arial"/>
          <w:color w:val="000000" w:themeColor="text1"/>
          <w:lang w:val="en-GB"/>
        </w:rPr>
      </w:pPr>
      <w:r>
        <w:rPr>
          <w:rFonts w:ascii="Arial" w:hAnsi="Arial" w:cs="Arial"/>
          <w:color w:val="000000" w:themeColor="text1"/>
          <w:lang w:val="en-GB"/>
        </w:rPr>
        <w:t>We systematically reviewed</w:t>
      </w:r>
      <w:r w:rsidR="009A0447">
        <w:rPr>
          <w:rFonts w:ascii="Arial" w:hAnsi="Arial" w:cs="Arial"/>
          <w:color w:val="000000" w:themeColor="text1"/>
          <w:lang w:val="en-GB"/>
        </w:rPr>
        <w:t xml:space="preserve"> </w:t>
      </w:r>
      <w:r w:rsidR="00422385">
        <w:rPr>
          <w:rFonts w:ascii="Arial" w:hAnsi="Arial" w:cs="Arial"/>
          <w:color w:val="000000" w:themeColor="text1"/>
          <w:lang w:val="en-GB"/>
        </w:rPr>
        <w:t>papers</w:t>
      </w:r>
      <w:r w:rsidR="00710B61">
        <w:rPr>
          <w:rFonts w:ascii="Arial" w:hAnsi="Arial" w:cs="Arial"/>
          <w:color w:val="000000" w:themeColor="text1"/>
          <w:lang w:val="en-GB"/>
        </w:rPr>
        <w:t xml:space="preserve"> </w:t>
      </w:r>
      <w:r w:rsidR="008C06CC">
        <w:rPr>
          <w:rFonts w:ascii="Arial" w:hAnsi="Arial" w:cs="Arial"/>
          <w:color w:val="000000" w:themeColor="text1"/>
          <w:lang w:val="en-GB"/>
        </w:rPr>
        <w:t xml:space="preserve">published </w:t>
      </w:r>
      <w:r w:rsidR="00422385">
        <w:rPr>
          <w:rFonts w:ascii="Arial" w:hAnsi="Arial" w:cs="Arial"/>
          <w:color w:val="000000" w:themeColor="text1"/>
          <w:lang w:val="en-GB"/>
        </w:rPr>
        <w:t xml:space="preserve">in English </w:t>
      </w:r>
      <w:r w:rsidR="00EF7101">
        <w:rPr>
          <w:rFonts w:ascii="Arial" w:hAnsi="Arial" w:cs="Arial"/>
          <w:color w:val="000000" w:themeColor="text1"/>
          <w:lang w:val="en-GB"/>
        </w:rPr>
        <w:t>between 1994</w:t>
      </w:r>
      <w:r w:rsidR="00422385">
        <w:rPr>
          <w:rFonts w:ascii="Arial" w:hAnsi="Arial" w:cs="Arial"/>
          <w:color w:val="000000" w:themeColor="text1"/>
          <w:lang w:val="en-GB"/>
        </w:rPr>
        <w:t xml:space="preserve"> and </w:t>
      </w:r>
      <w:r w:rsidR="00EF7101">
        <w:rPr>
          <w:rFonts w:ascii="Arial" w:hAnsi="Arial" w:cs="Arial"/>
          <w:color w:val="000000" w:themeColor="text1"/>
          <w:lang w:val="en-GB"/>
        </w:rPr>
        <w:t xml:space="preserve">October 2015 </w:t>
      </w:r>
      <w:r w:rsidR="008C06CC">
        <w:rPr>
          <w:rFonts w:ascii="Arial" w:hAnsi="Arial" w:cs="Arial"/>
          <w:color w:val="000000" w:themeColor="text1"/>
          <w:lang w:val="en-GB"/>
        </w:rPr>
        <w:t xml:space="preserve">on </w:t>
      </w:r>
      <w:r w:rsidR="00D406A8">
        <w:rPr>
          <w:rFonts w:ascii="Arial" w:hAnsi="Arial" w:cs="Arial"/>
          <w:color w:val="000000" w:themeColor="text1"/>
          <w:lang w:val="en-GB"/>
        </w:rPr>
        <w:t>how</w:t>
      </w:r>
      <w:r w:rsidR="008C06CC">
        <w:rPr>
          <w:rFonts w:ascii="Arial" w:hAnsi="Arial" w:cs="Arial"/>
          <w:color w:val="000000" w:themeColor="text1"/>
          <w:lang w:val="en-GB"/>
        </w:rPr>
        <w:t xml:space="preserve"> postnatal weight gain</w:t>
      </w:r>
      <w:r w:rsidR="00EF7101">
        <w:rPr>
          <w:rFonts w:ascii="Arial" w:hAnsi="Arial" w:cs="Arial"/>
          <w:color w:val="000000" w:themeColor="text1"/>
          <w:lang w:val="en-GB"/>
        </w:rPr>
        <w:t xml:space="preserve"> and </w:t>
      </w:r>
      <w:r w:rsidR="008C06CC">
        <w:rPr>
          <w:rFonts w:ascii="Arial" w:hAnsi="Arial" w:cs="Arial"/>
          <w:color w:val="000000" w:themeColor="text1"/>
          <w:lang w:val="en-GB"/>
        </w:rPr>
        <w:t xml:space="preserve">growth </w:t>
      </w:r>
      <w:r w:rsidR="00D406A8">
        <w:rPr>
          <w:rFonts w:ascii="Arial" w:hAnsi="Arial" w:cs="Arial"/>
          <w:color w:val="000000" w:themeColor="text1"/>
          <w:lang w:val="en-GB"/>
        </w:rPr>
        <w:t xml:space="preserve">affects </w:t>
      </w:r>
      <w:r w:rsidR="00710B61">
        <w:rPr>
          <w:rFonts w:ascii="Arial" w:hAnsi="Arial" w:cs="Arial"/>
          <w:color w:val="000000" w:themeColor="text1"/>
          <w:lang w:val="en-GB"/>
        </w:rPr>
        <w:t xml:space="preserve">neurodevelopment and metabolic outcomes </w:t>
      </w:r>
      <w:r w:rsidR="008C06CC">
        <w:rPr>
          <w:rFonts w:ascii="Arial" w:hAnsi="Arial" w:cs="Arial"/>
          <w:color w:val="000000" w:themeColor="text1"/>
          <w:lang w:val="en-GB"/>
        </w:rPr>
        <w:t xml:space="preserve">in </w:t>
      </w:r>
      <w:r w:rsidR="008C06CC" w:rsidRPr="00F938E3">
        <w:rPr>
          <w:rFonts w:ascii="Arial" w:hAnsi="Arial" w:cs="Arial"/>
          <w:color w:val="000000" w:themeColor="text1"/>
          <w:lang w:val="en-GB"/>
        </w:rPr>
        <w:t xml:space="preserve">term-born </w:t>
      </w:r>
      <w:r w:rsidR="00B40FA2" w:rsidRPr="00F938E3">
        <w:rPr>
          <w:rFonts w:ascii="Arial" w:hAnsi="Arial" w:cs="Arial"/>
          <w:color w:val="000000" w:themeColor="text1"/>
          <w:lang w:val="en-GB"/>
        </w:rPr>
        <w:t>small</w:t>
      </w:r>
      <w:r w:rsidR="00422385" w:rsidRPr="00F938E3">
        <w:rPr>
          <w:rFonts w:ascii="Arial" w:hAnsi="Arial" w:cs="Arial"/>
          <w:color w:val="000000" w:themeColor="text1"/>
          <w:lang w:val="en-GB"/>
        </w:rPr>
        <w:t xml:space="preserve"> </w:t>
      </w:r>
      <w:r w:rsidR="00EF7101" w:rsidRPr="00F938E3">
        <w:rPr>
          <w:rFonts w:ascii="Arial" w:hAnsi="Arial" w:cs="Arial"/>
          <w:color w:val="000000" w:themeColor="text1"/>
          <w:lang w:val="en-GB"/>
        </w:rPr>
        <w:t>for</w:t>
      </w:r>
      <w:r w:rsidR="00422385" w:rsidRPr="00F938E3">
        <w:rPr>
          <w:rFonts w:ascii="Arial" w:hAnsi="Arial" w:cs="Arial"/>
          <w:color w:val="000000" w:themeColor="text1"/>
          <w:lang w:val="en-GB"/>
        </w:rPr>
        <w:t xml:space="preserve"> </w:t>
      </w:r>
      <w:r w:rsidR="00EF7101" w:rsidRPr="00F938E3">
        <w:rPr>
          <w:rFonts w:ascii="Arial" w:hAnsi="Arial" w:cs="Arial"/>
          <w:color w:val="000000" w:themeColor="text1"/>
          <w:lang w:val="en-GB"/>
        </w:rPr>
        <w:t>gestationa</w:t>
      </w:r>
      <w:r w:rsidR="00B40FA2" w:rsidRPr="00F938E3">
        <w:rPr>
          <w:rFonts w:ascii="Arial" w:hAnsi="Arial" w:cs="Arial"/>
          <w:color w:val="000000" w:themeColor="text1"/>
          <w:lang w:val="en-GB"/>
        </w:rPr>
        <w:t>l</w:t>
      </w:r>
      <w:r w:rsidR="00422385" w:rsidRPr="00F938E3">
        <w:rPr>
          <w:rFonts w:ascii="Arial" w:hAnsi="Arial" w:cs="Arial"/>
          <w:color w:val="000000" w:themeColor="text1"/>
          <w:lang w:val="en-GB"/>
        </w:rPr>
        <w:t xml:space="preserve"> </w:t>
      </w:r>
      <w:r w:rsidR="00EF7101" w:rsidRPr="00F938E3">
        <w:rPr>
          <w:rFonts w:ascii="Arial" w:hAnsi="Arial" w:cs="Arial"/>
          <w:color w:val="000000" w:themeColor="text1"/>
          <w:lang w:val="en-GB"/>
        </w:rPr>
        <w:t xml:space="preserve">age (SGA) </w:t>
      </w:r>
      <w:r w:rsidR="008C06CC" w:rsidRPr="00F938E3">
        <w:rPr>
          <w:rFonts w:ascii="Arial" w:hAnsi="Arial" w:cs="Arial"/>
          <w:color w:val="000000" w:themeColor="text1"/>
          <w:lang w:val="en-GB"/>
        </w:rPr>
        <w:t>infants.</w:t>
      </w:r>
      <w:r w:rsidR="008C06CC" w:rsidRPr="00F938E3">
        <w:rPr>
          <w:rFonts w:ascii="Arial" w:hAnsi="Arial" w:cs="Arial"/>
          <w:lang w:val="en-GB"/>
        </w:rPr>
        <w:t xml:space="preserve"> </w:t>
      </w:r>
      <w:r w:rsidRPr="00F938E3">
        <w:rPr>
          <w:rFonts w:ascii="Arial" w:hAnsi="Arial" w:cs="Arial"/>
          <w:color w:val="000000" w:themeColor="text1"/>
          <w:lang w:val="en-GB"/>
        </w:rPr>
        <w:t>T</w:t>
      </w:r>
      <w:r w:rsidR="008C06CC" w:rsidRPr="00F938E3">
        <w:rPr>
          <w:rFonts w:ascii="Arial" w:hAnsi="Arial" w:cs="Arial"/>
          <w:color w:val="000000" w:themeColor="text1"/>
          <w:lang w:val="en-GB"/>
        </w:rPr>
        <w:t xml:space="preserve">wo randomised trials </w:t>
      </w:r>
      <w:r w:rsidR="00422385" w:rsidRPr="00F938E3">
        <w:rPr>
          <w:rFonts w:ascii="Arial" w:hAnsi="Arial" w:cs="Arial"/>
          <w:color w:val="000000" w:themeColor="text1"/>
          <w:lang w:val="en-GB"/>
        </w:rPr>
        <w:t xml:space="preserve">reported that </w:t>
      </w:r>
      <w:r w:rsidR="008C06CC" w:rsidRPr="00F938E3">
        <w:rPr>
          <w:rFonts w:ascii="Arial" w:hAnsi="Arial" w:cs="Arial"/>
          <w:color w:val="000000" w:themeColor="text1"/>
          <w:lang w:val="en-GB"/>
        </w:rPr>
        <w:t>enriched infant formula</w:t>
      </w:r>
      <w:r w:rsidR="00710B61" w:rsidRPr="00F938E3">
        <w:rPr>
          <w:rFonts w:ascii="Arial" w:hAnsi="Arial" w:cs="Arial"/>
          <w:color w:val="000000" w:themeColor="text1"/>
          <w:lang w:val="en-GB"/>
        </w:rPr>
        <w:t>s</w:t>
      </w:r>
      <w:r w:rsidR="008C06CC" w:rsidRPr="00F938E3">
        <w:rPr>
          <w:rFonts w:ascii="Arial" w:hAnsi="Arial" w:cs="Arial"/>
          <w:color w:val="000000" w:themeColor="text1"/>
          <w:lang w:val="en-GB"/>
        </w:rPr>
        <w:t xml:space="preserve"> that promoted early growth </w:t>
      </w:r>
      <w:r w:rsidR="00F4131D" w:rsidRPr="00F938E3">
        <w:rPr>
          <w:rFonts w:ascii="Arial" w:hAnsi="Arial" w:cs="Arial"/>
          <w:color w:val="000000" w:themeColor="text1"/>
          <w:lang w:val="en-GB"/>
        </w:rPr>
        <w:t xml:space="preserve">also </w:t>
      </w:r>
      <w:r w:rsidR="008C06CC" w:rsidRPr="00F938E3">
        <w:rPr>
          <w:rFonts w:ascii="Arial" w:hAnsi="Arial" w:cs="Arial"/>
          <w:color w:val="000000" w:themeColor="text1"/>
          <w:lang w:val="en-GB"/>
        </w:rPr>
        <w:t>increased fat</w:t>
      </w:r>
      <w:r w:rsidR="00F4131D" w:rsidRPr="00F938E3">
        <w:rPr>
          <w:rFonts w:ascii="Arial" w:hAnsi="Arial" w:cs="Arial"/>
          <w:color w:val="000000" w:themeColor="text1"/>
          <w:lang w:val="en-GB"/>
        </w:rPr>
        <w:t xml:space="preserve"> mass</w:t>
      </w:r>
      <w:r w:rsidR="00422385" w:rsidRPr="00F938E3">
        <w:rPr>
          <w:rFonts w:ascii="Arial" w:hAnsi="Arial" w:cs="Arial"/>
          <w:color w:val="000000" w:themeColor="text1"/>
          <w:lang w:val="en-GB"/>
        </w:rPr>
        <w:t>,</w:t>
      </w:r>
      <w:r w:rsidR="008C06CC" w:rsidRPr="00F938E3">
        <w:rPr>
          <w:rFonts w:ascii="Arial" w:hAnsi="Arial" w:cs="Arial"/>
          <w:color w:val="000000" w:themeColor="text1"/>
          <w:lang w:val="en-GB"/>
        </w:rPr>
        <w:t xml:space="preserve"> lean mass</w:t>
      </w:r>
      <w:r w:rsidR="008C06CC">
        <w:rPr>
          <w:rFonts w:ascii="Arial" w:hAnsi="Arial" w:cs="Arial"/>
          <w:color w:val="000000" w:themeColor="text1"/>
          <w:lang w:val="en-GB"/>
        </w:rPr>
        <w:t xml:space="preserve"> and blood pressure, but had no effect on early neurocognitive outcomes. </w:t>
      </w:r>
      <w:r w:rsidR="00422385" w:rsidRPr="00971A56">
        <w:rPr>
          <w:rFonts w:ascii="Arial" w:hAnsi="Arial" w:cs="Arial"/>
          <w:color w:val="000000" w:themeColor="text1"/>
          <w:lang w:val="en-GB"/>
        </w:rPr>
        <w:t>Meanwhile, 31</w:t>
      </w:r>
      <w:r w:rsidR="00422385">
        <w:rPr>
          <w:rFonts w:ascii="Arial" w:hAnsi="Arial" w:cs="Arial"/>
          <w:color w:val="000000" w:themeColor="text1"/>
          <w:lang w:val="en-GB"/>
        </w:rPr>
        <w:t xml:space="preserve"> o</w:t>
      </w:r>
      <w:r w:rsidR="008C06CC">
        <w:rPr>
          <w:rFonts w:ascii="Arial" w:hAnsi="Arial" w:cs="Arial"/>
          <w:color w:val="000000" w:themeColor="text1"/>
          <w:lang w:val="en-GB"/>
        </w:rPr>
        <w:t xml:space="preserve">bservational studies reported consistent positive associations </w:t>
      </w:r>
      <w:r w:rsidR="00422385">
        <w:rPr>
          <w:rFonts w:ascii="Arial" w:hAnsi="Arial" w:cs="Arial"/>
          <w:color w:val="000000" w:themeColor="text1"/>
          <w:lang w:val="en-GB"/>
        </w:rPr>
        <w:t xml:space="preserve">between </w:t>
      </w:r>
      <w:r w:rsidR="008C06CC">
        <w:rPr>
          <w:rFonts w:ascii="Arial" w:hAnsi="Arial" w:cs="Arial"/>
          <w:color w:val="000000" w:themeColor="text1"/>
          <w:lang w:val="en-GB"/>
        </w:rPr>
        <w:t>postnatal weight gain</w:t>
      </w:r>
      <w:r w:rsidR="00EF7101">
        <w:rPr>
          <w:rFonts w:ascii="Arial" w:hAnsi="Arial" w:cs="Arial"/>
          <w:color w:val="000000" w:themeColor="text1"/>
          <w:lang w:val="en-GB"/>
        </w:rPr>
        <w:t xml:space="preserve"> and </w:t>
      </w:r>
      <w:r w:rsidR="008C06CC">
        <w:rPr>
          <w:rFonts w:ascii="Arial" w:hAnsi="Arial" w:cs="Arial"/>
          <w:color w:val="000000" w:themeColor="text1"/>
          <w:lang w:val="en-GB"/>
        </w:rPr>
        <w:t>growth with neurocognitive outcomes, adiposity, insulin resistance and blood pressure.</w:t>
      </w:r>
      <w:r w:rsidR="008C06CC">
        <w:rPr>
          <w:rFonts w:ascii="Arial" w:hAnsi="Arial" w:cs="Arial"/>
        </w:rPr>
        <w:t xml:space="preserve"> </w:t>
      </w:r>
      <w:r w:rsidR="008C06CC">
        <w:rPr>
          <w:rFonts w:ascii="Arial" w:hAnsi="Arial" w:cs="Arial"/>
          <w:b/>
        </w:rPr>
        <w:t>Conclusion</w:t>
      </w:r>
      <w:r w:rsidR="00D406A8">
        <w:rPr>
          <w:rFonts w:ascii="Arial" w:hAnsi="Arial" w:cs="Arial"/>
          <w:b/>
        </w:rPr>
        <w:t>.</w:t>
      </w:r>
      <w:r w:rsidR="008C06CC">
        <w:rPr>
          <w:rFonts w:ascii="Arial" w:hAnsi="Arial" w:cs="Arial"/>
        </w:rPr>
        <w:t xml:space="preserve"> </w:t>
      </w:r>
      <w:r w:rsidR="00D406A8">
        <w:rPr>
          <w:rFonts w:ascii="Arial" w:hAnsi="Arial" w:cs="Arial"/>
        </w:rPr>
        <w:t>F</w:t>
      </w:r>
      <w:proofErr w:type="spellStart"/>
      <w:r w:rsidR="00D406A8">
        <w:rPr>
          <w:rFonts w:ascii="Arial" w:hAnsi="Arial" w:cs="Arial"/>
          <w:color w:val="000000" w:themeColor="text1"/>
          <w:lang w:val="en-GB"/>
        </w:rPr>
        <w:t>ew</w:t>
      </w:r>
      <w:proofErr w:type="spellEnd"/>
      <w:r w:rsidR="00D406A8">
        <w:rPr>
          <w:rFonts w:ascii="Arial" w:hAnsi="Arial" w:cs="Arial"/>
          <w:color w:val="000000" w:themeColor="text1"/>
          <w:lang w:val="en-GB"/>
        </w:rPr>
        <w:t xml:space="preserve"> intervention studies exist, d</w:t>
      </w:r>
      <w:r w:rsidR="008C06CC">
        <w:rPr>
          <w:rFonts w:ascii="Arial" w:hAnsi="Arial" w:cs="Arial"/>
          <w:color w:val="000000" w:themeColor="text1"/>
          <w:lang w:val="en-GB"/>
        </w:rPr>
        <w:t xml:space="preserve">espite consistent positive associations between early growth and </w:t>
      </w:r>
      <w:proofErr w:type="spellStart"/>
      <w:r w:rsidR="008C06CC">
        <w:rPr>
          <w:rFonts w:ascii="Arial" w:hAnsi="Arial" w:cs="Arial"/>
          <w:color w:val="000000" w:themeColor="text1"/>
          <w:lang w:val="en-GB"/>
        </w:rPr>
        <w:t>neurocognition</w:t>
      </w:r>
      <w:proofErr w:type="spellEnd"/>
      <w:r w:rsidR="008C06CC">
        <w:rPr>
          <w:rFonts w:ascii="Arial" w:hAnsi="Arial" w:cs="Arial"/>
          <w:color w:val="000000" w:themeColor="text1"/>
          <w:lang w:val="en-GB"/>
        </w:rPr>
        <w:t xml:space="preserve"> in term-born SGA infants</w:t>
      </w:r>
      <w:r w:rsidR="00D406A8">
        <w:rPr>
          <w:rFonts w:ascii="Arial" w:hAnsi="Arial" w:cs="Arial"/>
          <w:color w:val="000000" w:themeColor="text1"/>
          <w:lang w:val="en-GB"/>
        </w:rPr>
        <w:t>.</w:t>
      </w:r>
      <w:r w:rsidR="008C06CC">
        <w:rPr>
          <w:rFonts w:ascii="Arial" w:hAnsi="Arial" w:cs="Arial"/>
          <w:color w:val="000000" w:themeColor="text1"/>
          <w:lang w:val="en-GB"/>
        </w:rPr>
        <w:t xml:space="preserve"> </w:t>
      </w:r>
    </w:p>
    <w:p w14:paraId="2787CB2D" w14:textId="77777777" w:rsidR="00617FE8" w:rsidRDefault="00617FE8">
      <w:pPr>
        <w:spacing w:after="0" w:line="480" w:lineRule="auto"/>
        <w:jc w:val="both"/>
        <w:rPr>
          <w:rFonts w:ascii="Arial" w:hAnsi="Arial" w:cs="Arial"/>
          <w:color w:val="000000" w:themeColor="text1"/>
          <w:lang w:val="en-GB"/>
        </w:rPr>
      </w:pPr>
    </w:p>
    <w:p w14:paraId="1F8A3ADE" w14:textId="7E0DA551" w:rsidR="00617FE8" w:rsidRDefault="008C06CC">
      <w:pPr>
        <w:spacing w:after="0" w:line="480" w:lineRule="auto"/>
        <w:jc w:val="both"/>
        <w:rPr>
          <w:rFonts w:ascii="Arial" w:hAnsi="Arial" w:cs="Arial"/>
          <w:b/>
          <w:color w:val="000000" w:themeColor="text1"/>
          <w:lang w:val="en-GB"/>
        </w:rPr>
      </w:pPr>
      <w:r>
        <w:rPr>
          <w:rFonts w:ascii="Arial" w:hAnsi="Arial" w:cs="Arial"/>
          <w:b/>
          <w:lang w:val="en-GB"/>
        </w:rPr>
        <w:t xml:space="preserve">Key words: </w:t>
      </w:r>
      <w:r>
        <w:rPr>
          <w:rFonts w:ascii="Arial" w:hAnsi="Arial" w:cs="Arial"/>
          <w:lang w:val="en-GB"/>
        </w:rPr>
        <w:t>Adiposity, insulin resistance, neurodevelopment, postnatal growth, small</w:t>
      </w:r>
      <w:r w:rsidR="00D406A8">
        <w:rPr>
          <w:rFonts w:ascii="Arial" w:hAnsi="Arial" w:cs="Arial"/>
          <w:lang w:val="en-GB"/>
        </w:rPr>
        <w:t xml:space="preserve"> </w:t>
      </w:r>
      <w:r>
        <w:rPr>
          <w:rFonts w:ascii="Arial" w:hAnsi="Arial" w:cs="Arial"/>
          <w:lang w:val="en-GB"/>
        </w:rPr>
        <w:t>for</w:t>
      </w:r>
      <w:r w:rsidR="00D406A8">
        <w:rPr>
          <w:rFonts w:ascii="Arial" w:hAnsi="Arial" w:cs="Arial"/>
          <w:lang w:val="en-GB"/>
        </w:rPr>
        <w:t xml:space="preserve"> </w:t>
      </w:r>
      <w:r>
        <w:rPr>
          <w:rFonts w:ascii="Arial" w:hAnsi="Arial" w:cs="Arial"/>
          <w:lang w:val="en-GB"/>
        </w:rPr>
        <w:t>gestational</w:t>
      </w:r>
      <w:r w:rsidR="00D406A8">
        <w:rPr>
          <w:rFonts w:ascii="Arial" w:hAnsi="Arial" w:cs="Arial"/>
          <w:lang w:val="en-GB"/>
        </w:rPr>
        <w:t xml:space="preserve"> </w:t>
      </w:r>
      <w:r>
        <w:rPr>
          <w:rFonts w:ascii="Arial" w:hAnsi="Arial" w:cs="Arial"/>
          <w:lang w:val="en-GB"/>
        </w:rPr>
        <w:t>age</w:t>
      </w:r>
      <w:r w:rsidR="00B40FA2">
        <w:rPr>
          <w:rFonts w:ascii="Arial" w:hAnsi="Arial" w:cs="Arial"/>
          <w:lang w:val="en-GB"/>
        </w:rPr>
        <w:t xml:space="preserve"> </w:t>
      </w:r>
      <w:r>
        <w:rPr>
          <w:rFonts w:ascii="Arial" w:hAnsi="Arial" w:cs="Arial"/>
          <w:b/>
          <w:color w:val="000000" w:themeColor="text1"/>
          <w:lang w:val="en-GB"/>
        </w:rPr>
        <w:br w:type="page"/>
      </w:r>
    </w:p>
    <w:p w14:paraId="15010EFF" w14:textId="77777777" w:rsidR="00617FE8" w:rsidRDefault="008C06CC">
      <w:pPr>
        <w:spacing w:after="0" w:line="480" w:lineRule="auto"/>
        <w:jc w:val="both"/>
        <w:rPr>
          <w:rFonts w:ascii="Arial" w:hAnsi="Arial" w:cs="Arial"/>
          <w:b/>
          <w:color w:val="000000" w:themeColor="text1"/>
          <w:lang w:val="en-GB"/>
        </w:rPr>
      </w:pPr>
      <w:r>
        <w:rPr>
          <w:rFonts w:ascii="Arial" w:hAnsi="Arial" w:cs="Arial"/>
          <w:b/>
          <w:color w:val="000000" w:themeColor="text1"/>
          <w:lang w:val="en-GB"/>
        </w:rPr>
        <w:lastRenderedPageBreak/>
        <w:t>Key notes:</w:t>
      </w:r>
      <w:r w:rsidR="00B40FA2">
        <w:rPr>
          <w:rFonts w:ascii="Arial" w:hAnsi="Arial" w:cs="Arial"/>
          <w:b/>
          <w:color w:val="000000" w:themeColor="text1"/>
          <w:lang w:val="en-GB"/>
        </w:rPr>
        <w:t xml:space="preserve"> </w:t>
      </w:r>
    </w:p>
    <w:p w14:paraId="64A916E4" w14:textId="77777777" w:rsidR="009915D8" w:rsidRPr="009915D8" w:rsidRDefault="009915D8" w:rsidP="00F4131D">
      <w:pPr>
        <w:pStyle w:val="ListParagraph"/>
        <w:numPr>
          <w:ilvl w:val="0"/>
          <w:numId w:val="12"/>
        </w:numPr>
        <w:spacing w:line="480" w:lineRule="auto"/>
        <w:rPr>
          <w:rFonts w:cs="Arial"/>
        </w:rPr>
      </w:pPr>
      <w:r w:rsidRPr="009915D8">
        <w:rPr>
          <w:rFonts w:cs="Arial"/>
          <w:color w:val="000000" w:themeColor="text1"/>
        </w:rPr>
        <w:t>This systematic review covering 1994-2015 focused on</w:t>
      </w:r>
      <w:r w:rsidRPr="009915D8">
        <w:rPr>
          <w:rFonts w:ascii="Arial" w:hAnsi="Arial" w:cs="Arial"/>
          <w:color w:val="000000" w:themeColor="text1"/>
          <w:lang w:val="en-GB"/>
        </w:rPr>
        <w:t xml:space="preserve"> how postnatal weight gain and growth affects neurodevelopment and metabolic outcomes in term-born small for gestational age infants.</w:t>
      </w:r>
      <w:r w:rsidRPr="009915D8">
        <w:rPr>
          <w:rFonts w:ascii="Arial" w:hAnsi="Arial" w:cs="Arial"/>
          <w:lang w:val="en-GB"/>
        </w:rPr>
        <w:t xml:space="preserve"> </w:t>
      </w:r>
    </w:p>
    <w:p w14:paraId="45E002E4" w14:textId="0561EBA3" w:rsidR="009915D8" w:rsidRPr="00F938E3" w:rsidRDefault="00F4131D" w:rsidP="00F4131D">
      <w:pPr>
        <w:pStyle w:val="ListParagraph"/>
        <w:numPr>
          <w:ilvl w:val="0"/>
          <w:numId w:val="12"/>
        </w:numPr>
        <w:spacing w:line="480" w:lineRule="auto"/>
        <w:rPr>
          <w:rFonts w:cs="Arial"/>
          <w:color w:val="000000" w:themeColor="text1"/>
        </w:rPr>
      </w:pPr>
      <w:r w:rsidRPr="00F938E3">
        <w:rPr>
          <w:rFonts w:ascii="Arial" w:hAnsi="Arial" w:cs="Arial"/>
          <w:color w:val="000000" w:themeColor="text1"/>
          <w:lang w:val="en-GB"/>
        </w:rPr>
        <w:t>Two r</w:t>
      </w:r>
      <w:r w:rsidR="009915D8" w:rsidRPr="00F938E3">
        <w:rPr>
          <w:rFonts w:ascii="Arial" w:hAnsi="Arial" w:cs="Arial"/>
          <w:color w:val="000000" w:themeColor="text1"/>
          <w:lang w:val="en-GB"/>
        </w:rPr>
        <w:t xml:space="preserve">andomised trials reported that enriched infant formulas </w:t>
      </w:r>
      <w:r w:rsidRPr="00F938E3">
        <w:rPr>
          <w:rFonts w:ascii="Arial" w:hAnsi="Arial" w:cs="Arial"/>
          <w:color w:val="000000" w:themeColor="text1"/>
          <w:lang w:val="en-GB"/>
        </w:rPr>
        <w:t xml:space="preserve">that </w:t>
      </w:r>
      <w:r w:rsidR="009915D8" w:rsidRPr="00F938E3">
        <w:rPr>
          <w:rFonts w:ascii="Arial" w:hAnsi="Arial" w:cs="Arial"/>
          <w:color w:val="000000" w:themeColor="text1"/>
          <w:lang w:val="en-GB"/>
        </w:rPr>
        <w:t xml:space="preserve">promoted early growth </w:t>
      </w:r>
      <w:r w:rsidRPr="00F938E3">
        <w:rPr>
          <w:rFonts w:ascii="Arial" w:hAnsi="Arial" w:cs="Arial"/>
          <w:color w:val="000000" w:themeColor="text1"/>
          <w:lang w:val="en-GB"/>
        </w:rPr>
        <w:t xml:space="preserve">also </w:t>
      </w:r>
      <w:r w:rsidR="009915D8" w:rsidRPr="00F938E3">
        <w:rPr>
          <w:rFonts w:ascii="Arial" w:hAnsi="Arial" w:cs="Arial"/>
          <w:color w:val="000000" w:themeColor="text1"/>
          <w:lang w:val="en-GB"/>
        </w:rPr>
        <w:t>increased fat</w:t>
      </w:r>
      <w:r w:rsidRPr="00F938E3">
        <w:rPr>
          <w:rFonts w:ascii="Arial" w:hAnsi="Arial" w:cs="Arial"/>
          <w:color w:val="000000" w:themeColor="text1"/>
          <w:lang w:val="en-GB"/>
        </w:rPr>
        <w:t xml:space="preserve"> mass</w:t>
      </w:r>
      <w:r w:rsidR="009915D8" w:rsidRPr="00F938E3">
        <w:rPr>
          <w:rFonts w:ascii="Arial" w:hAnsi="Arial" w:cs="Arial"/>
          <w:color w:val="000000" w:themeColor="text1"/>
          <w:lang w:val="en-GB"/>
        </w:rPr>
        <w:t xml:space="preserve">, lean mass and blood pressure, but </w:t>
      </w:r>
      <w:r w:rsidR="009915D8" w:rsidRPr="00F938E3">
        <w:rPr>
          <w:rFonts w:cs="Arial"/>
          <w:color w:val="000000" w:themeColor="text1"/>
        </w:rPr>
        <w:t>not</w:t>
      </w:r>
      <w:r w:rsidR="009915D8" w:rsidRPr="00F938E3">
        <w:rPr>
          <w:rFonts w:ascii="Arial" w:hAnsi="Arial" w:cs="Arial"/>
          <w:color w:val="000000" w:themeColor="text1"/>
          <w:lang w:val="en-GB"/>
        </w:rPr>
        <w:t xml:space="preserve"> neurocognitive outcomes. </w:t>
      </w:r>
    </w:p>
    <w:p w14:paraId="3DDBCB68" w14:textId="77777777" w:rsidR="009915D8" w:rsidRDefault="009915D8" w:rsidP="00F4131D">
      <w:pPr>
        <w:pStyle w:val="ListParagraph"/>
        <w:numPr>
          <w:ilvl w:val="0"/>
          <w:numId w:val="12"/>
        </w:numPr>
        <w:spacing w:line="480" w:lineRule="auto"/>
      </w:pPr>
      <w:r w:rsidRPr="00F938E3">
        <w:rPr>
          <w:rFonts w:cs="Arial"/>
          <w:color w:val="000000" w:themeColor="text1"/>
        </w:rPr>
        <w:t>O</w:t>
      </w:r>
      <w:proofErr w:type="spellStart"/>
      <w:r w:rsidRPr="00F938E3">
        <w:rPr>
          <w:rFonts w:ascii="Arial" w:hAnsi="Arial" w:cs="Arial"/>
          <w:color w:val="000000" w:themeColor="text1"/>
          <w:lang w:val="en-GB"/>
        </w:rPr>
        <w:t>bservational</w:t>
      </w:r>
      <w:proofErr w:type="spellEnd"/>
      <w:r w:rsidRPr="00F938E3">
        <w:rPr>
          <w:rFonts w:ascii="Arial" w:hAnsi="Arial" w:cs="Arial"/>
          <w:color w:val="000000" w:themeColor="text1"/>
          <w:lang w:val="en-GB"/>
        </w:rPr>
        <w:t xml:space="preserve"> studies reported consistent positive associations between postnatal weight gain and growth with neurocognitive</w:t>
      </w:r>
      <w:r w:rsidRPr="009915D8">
        <w:rPr>
          <w:rFonts w:ascii="Arial" w:hAnsi="Arial" w:cs="Arial"/>
          <w:color w:val="000000" w:themeColor="text1"/>
          <w:lang w:val="en-GB"/>
        </w:rPr>
        <w:t xml:space="preserve"> outcomes, adiposity, insulin resistance and blood pressure.</w:t>
      </w:r>
      <w:r w:rsidRPr="009915D8">
        <w:rPr>
          <w:rFonts w:ascii="Arial" w:hAnsi="Arial" w:cs="Arial"/>
        </w:rPr>
        <w:t xml:space="preserve"> </w:t>
      </w:r>
    </w:p>
    <w:p w14:paraId="2420CA2F" w14:textId="77777777" w:rsidR="00E5601F" w:rsidRDefault="00E5601F" w:rsidP="00EC5084">
      <w:pPr>
        <w:pStyle w:val="ListParagraph"/>
        <w:spacing w:after="0" w:line="480" w:lineRule="auto"/>
        <w:jc w:val="both"/>
        <w:rPr>
          <w:rFonts w:ascii="Arial" w:hAnsi="Arial" w:cs="Arial"/>
          <w:lang w:val="en-GB"/>
        </w:rPr>
      </w:pPr>
    </w:p>
    <w:p w14:paraId="18F93B27" w14:textId="77777777" w:rsidR="00617FE8" w:rsidRDefault="008C06CC">
      <w:pPr>
        <w:pStyle w:val="ListParagraph"/>
        <w:numPr>
          <w:ilvl w:val="0"/>
          <w:numId w:val="5"/>
        </w:numPr>
        <w:spacing w:after="0" w:line="480" w:lineRule="auto"/>
        <w:jc w:val="both"/>
        <w:rPr>
          <w:rFonts w:ascii="Arial" w:hAnsi="Arial" w:cs="Arial"/>
          <w:b/>
          <w:color w:val="000000" w:themeColor="text1"/>
          <w:lang w:val="en-GB"/>
        </w:rPr>
      </w:pPr>
      <w:r>
        <w:rPr>
          <w:rFonts w:ascii="Arial" w:hAnsi="Arial" w:cs="Arial"/>
          <w:b/>
          <w:color w:val="000000" w:themeColor="text1"/>
          <w:lang w:val="en-GB"/>
        </w:rPr>
        <w:br w:type="page"/>
      </w:r>
    </w:p>
    <w:p w14:paraId="2C5F04FC" w14:textId="77777777" w:rsidR="00617FE8" w:rsidRDefault="008C06CC">
      <w:pPr>
        <w:spacing w:after="0" w:line="480" w:lineRule="auto"/>
        <w:jc w:val="both"/>
        <w:rPr>
          <w:rFonts w:ascii="Arial" w:hAnsi="Arial" w:cs="Arial"/>
          <w:b/>
          <w:color w:val="000000" w:themeColor="text1"/>
          <w:lang w:val="en-GB"/>
        </w:rPr>
      </w:pPr>
      <w:r>
        <w:rPr>
          <w:rFonts w:ascii="Arial" w:hAnsi="Arial" w:cs="Arial"/>
          <w:b/>
          <w:color w:val="000000" w:themeColor="text1"/>
          <w:lang w:val="en-GB"/>
        </w:rPr>
        <w:lastRenderedPageBreak/>
        <w:t>INTRODUCTION</w:t>
      </w:r>
    </w:p>
    <w:p w14:paraId="544F0BC4" w14:textId="4E10DFFB" w:rsidR="00617FE8" w:rsidRDefault="008C06CC" w:rsidP="008C06CC">
      <w:pPr>
        <w:spacing w:after="0" w:line="480" w:lineRule="auto"/>
        <w:jc w:val="both"/>
        <w:rPr>
          <w:rFonts w:ascii="Arial" w:hAnsi="Arial" w:cs="Arial"/>
          <w:lang w:val="en-GB"/>
        </w:rPr>
      </w:pPr>
      <w:r>
        <w:rPr>
          <w:rFonts w:ascii="Arial" w:hAnsi="Arial" w:cs="Arial"/>
          <w:lang w:val="en-GB"/>
        </w:rPr>
        <w:t xml:space="preserve">Many infants who </w:t>
      </w:r>
      <w:r w:rsidR="009915D8">
        <w:rPr>
          <w:rFonts w:ascii="Arial" w:hAnsi="Arial" w:cs="Arial"/>
          <w:lang w:val="en-GB"/>
        </w:rPr>
        <w:t xml:space="preserve">are </w:t>
      </w:r>
      <w:r>
        <w:rPr>
          <w:rFonts w:ascii="Arial" w:hAnsi="Arial" w:cs="Arial"/>
          <w:lang w:val="en-GB"/>
        </w:rPr>
        <w:t xml:space="preserve">small at birth tend to gain weight more rapidly during the early postnatal period. This </w:t>
      </w:r>
      <w:r w:rsidR="009915D8">
        <w:rPr>
          <w:rFonts w:ascii="Arial" w:hAnsi="Arial" w:cs="Arial"/>
          <w:lang w:val="en-GB"/>
        </w:rPr>
        <w:t>catch-up growth</w:t>
      </w:r>
      <w:r>
        <w:rPr>
          <w:rFonts w:ascii="Arial" w:hAnsi="Arial" w:cs="Arial"/>
          <w:lang w:val="en-GB"/>
        </w:rPr>
        <w:t xml:space="preserve"> may be advantageous in certain populations of low birth weight children, with potential short-term beneficial effects on survival and longer</w:t>
      </w:r>
      <w:r w:rsidR="007D13A0">
        <w:rPr>
          <w:rFonts w:ascii="Arial" w:hAnsi="Arial" w:cs="Arial"/>
          <w:lang w:val="en-GB"/>
        </w:rPr>
        <w:t xml:space="preserve"> </w:t>
      </w:r>
      <w:r>
        <w:rPr>
          <w:rFonts w:ascii="Arial" w:hAnsi="Arial" w:cs="Arial"/>
          <w:lang w:val="en-GB"/>
        </w:rPr>
        <w:t xml:space="preserve">term benefits on cognitive development and stature </w:t>
      </w:r>
      <w:r>
        <w:rPr>
          <w:rFonts w:ascii="Arial" w:hAnsi="Arial" w:cs="Arial"/>
          <w:noProof/>
          <w:lang w:val="en-GB"/>
        </w:rPr>
        <w:t>(1)</w:t>
      </w:r>
      <w:r>
        <w:rPr>
          <w:rFonts w:ascii="Arial" w:hAnsi="Arial" w:cs="Arial"/>
          <w:lang w:val="en-GB"/>
        </w:rPr>
        <w:t>. Conversely, accelerated postnatal weight gain</w:t>
      </w:r>
      <w:r w:rsidR="00B40FA2">
        <w:rPr>
          <w:rFonts w:ascii="Arial" w:hAnsi="Arial" w:cs="Arial"/>
          <w:lang w:val="en-GB"/>
        </w:rPr>
        <w:t xml:space="preserve"> and </w:t>
      </w:r>
      <w:r>
        <w:rPr>
          <w:rFonts w:ascii="Arial" w:hAnsi="Arial" w:cs="Arial"/>
          <w:lang w:val="en-GB"/>
        </w:rPr>
        <w:t xml:space="preserve">catch-up growth has also been associated with an increased risk of adiposity and metabolic disease later in life </w:t>
      </w:r>
      <w:r w:rsidR="00E4564F">
        <w:rPr>
          <w:rFonts w:ascii="Arial" w:hAnsi="Arial" w:cs="Arial"/>
          <w:noProof/>
          <w:lang w:val="en-GB"/>
        </w:rPr>
        <w:t>(2-</w:t>
      </w:r>
      <w:r>
        <w:rPr>
          <w:rFonts w:ascii="Arial" w:hAnsi="Arial" w:cs="Arial"/>
          <w:noProof/>
          <w:lang w:val="en-GB"/>
        </w:rPr>
        <w:t>4)</w:t>
      </w:r>
      <w:r>
        <w:rPr>
          <w:rFonts w:ascii="Arial" w:hAnsi="Arial" w:cs="Arial"/>
          <w:lang w:val="en-GB"/>
        </w:rPr>
        <w:t>. A wealth of evidence indicates that events in early life can influence the risk of later disease. It is well</w:t>
      </w:r>
      <w:r w:rsidR="007D13A0">
        <w:rPr>
          <w:rFonts w:ascii="Arial" w:hAnsi="Arial" w:cs="Arial"/>
          <w:lang w:val="en-GB"/>
        </w:rPr>
        <w:t xml:space="preserve"> </w:t>
      </w:r>
      <w:r>
        <w:rPr>
          <w:rFonts w:ascii="Arial" w:hAnsi="Arial" w:cs="Arial"/>
          <w:lang w:val="en-GB"/>
        </w:rPr>
        <w:t>established that developmental plasticity allows organisms</w:t>
      </w:r>
      <w:r w:rsidR="000C7139" w:rsidRPr="000C7139">
        <w:rPr>
          <w:rFonts w:ascii="Arial" w:hAnsi="Arial" w:cs="Arial"/>
          <w:lang w:val="en-GB"/>
        </w:rPr>
        <w:t xml:space="preserve"> </w:t>
      </w:r>
      <w:r w:rsidR="000C7139">
        <w:rPr>
          <w:rFonts w:ascii="Arial" w:hAnsi="Arial" w:cs="Arial"/>
          <w:lang w:val="en-GB"/>
        </w:rPr>
        <w:t>to adapt their phenotype through epigenetic, metabolic and, or, anatomical processes</w:t>
      </w:r>
      <w:r>
        <w:rPr>
          <w:rFonts w:ascii="Arial" w:hAnsi="Arial" w:cs="Arial"/>
          <w:lang w:val="en-GB"/>
        </w:rPr>
        <w:t xml:space="preserve">, in response to certain stimuli </w:t>
      </w:r>
      <w:r>
        <w:rPr>
          <w:rFonts w:ascii="Arial" w:hAnsi="Arial" w:cs="Arial"/>
          <w:noProof/>
          <w:lang w:val="en-GB"/>
        </w:rPr>
        <w:t>(5)</w:t>
      </w:r>
      <w:r>
        <w:rPr>
          <w:rFonts w:ascii="Arial" w:hAnsi="Arial" w:cs="Arial"/>
          <w:lang w:val="en-GB"/>
        </w:rPr>
        <w:t xml:space="preserve">. However, if the actual conditions do not match the ones predicted, the adaptation can </w:t>
      </w:r>
      <w:r w:rsidR="000C7139">
        <w:rPr>
          <w:rFonts w:ascii="Arial" w:hAnsi="Arial" w:cs="Arial"/>
          <w:lang w:val="en-GB"/>
        </w:rPr>
        <w:t>have an adverse</w:t>
      </w:r>
      <w:r w:rsidR="00F4131D">
        <w:rPr>
          <w:rFonts w:ascii="Arial" w:hAnsi="Arial" w:cs="Arial"/>
          <w:lang w:val="en-GB"/>
        </w:rPr>
        <w:t xml:space="preserve"> </w:t>
      </w:r>
      <w:r>
        <w:rPr>
          <w:rFonts w:ascii="Arial" w:hAnsi="Arial" w:cs="Arial"/>
          <w:lang w:val="en-GB"/>
        </w:rPr>
        <w:t xml:space="preserve">impact on long-term health, leading to disease </w:t>
      </w:r>
      <w:r>
        <w:rPr>
          <w:rFonts w:ascii="Arial" w:hAnsi="Arial" w:cs="Arial"/>
          <w:noProof/>
          <w:lang w:val="en-GB"/>
        </w:rPr>
        <w:t>(6)</w:t>
      </w:r>
      <w:r>
        <w:rPr>
          <w:rFonts w:ascii="Arial" w:hAnsi="Arial" w:cs="Arial"/>
          <w:lang w:val="en-GB"/>
        </w:rPr>
        <w:t xml:space="preserve">. Associations have been widely observed between low birth weight and later non-communicable diseases, such as </w:t>
      </w:r>
      <w:r w:rsidR="00AB3056">
        <w:rPr>
          <w:rFonts w:ascii="Arial" w:hAnsi="Arial" w:cs="Arial"/>
          <w:lang w:val="en-GB"/>
        </w:rPr>
        <w:t>t</w:t>
      </w:r>
      <w:r>
        <w:rPr>
          <w:rFonts w:ascii="Arial" w:hAnsi="Arial" w:cs="Arial"/>
          <w:lang w:val="en-GB"/>
        </w:rPr>
        <w:t xml:space="preserve">ype 2 diabetes </w:t>
      </w:r>
      <w:r>
        <w:rPr>
          <w:rFonts w:ascii="Arial" w:hAnsi="Arial" w:cs="Arial"/>
          <w:noProof/>
          <w:lang w:val="en-GB"/>
        </w:rPr>
        <w:t>(7)</w:t>
      </w:r>
      <w:r>
        <w:rPr>
          <w:rFonts w:ascii="Arial" w:hAnsi="Arial" w:cs="Arial"/>
          <w:lang w:val="en-GB"/>
        </w:rPr>
        <w:t>. Evidence from animal and human models has led to the suggestion that those associations with low birth weight are mediated</w:t>
      </w:r>
      <w:r w:rsidR="000C7139">
        <w:rPr>
          <w:rFonts w:ascii="Arial" w:hAnsi="Arial" w:cs="Arial"/>
          <w:lang w:val="en-GB"/>
        </w:rPr>
        <w:t>,</w:t>
      </w:r>
      <w:r>
        <w:rPr>
          <w:rFonts w:ascii="Arial" w:hAnsi="Arial" w:cs="Arial"/>
          <w:lang w:val="en-GB"/>
        </w:rPr>
        <w:t xml:space="preserve"> in part</w:t>
      </w:r>
      <w:r w:rsidR="000C7139">
        <w:rPr>
          <w:rFonts w:ascii="Arial" w:hAnsi="Arial" w:cs="Arial"/>
          <w:lang w:val="en-GB"/>
        </w:rPr>
        <w:t>,</w:t>
      </w:r>
      <w:r>
        <w:rPr>
          <w:rFonts w:ascii="Arial" w:hAnsi="Arial" w:cs="Arial"/>
          <w:lang w:val="en-GB"/>
        </w:rPr>
        <w:t xml:space="preserve"> by rapid postnatal weight gain</w:t>
      </w:r>
      <w:r w:rsidR="00B40FA2">
        <w:rPr>
          <w:rFonts w:ascii="Arial" w:hAnsi="Arial" w:cs="Arial"/>
          <w:lang w:val="en-GB"/>
        </w:rPr>
        <w:t xml:space="preserve"> and </w:t>
      </w:r>
      <w:r>
        <w:rPr>
          <w:rFonts w:ascii="Arial" w:hAnsi="Arial" w:cs="Arial"/>
          <w:lang w:val="en-GB"/>
        </w:rPr>
        <w:t xml:space="preserve">catch-up growth leading to excessive adiposity </w:t>
      </w:r>
      <w:r>
        <w:rPr>
          <w:rFonts w:ascii="Arial" w:hAnsi="Arial" w:cs="Arial"/>
          <w:noProof/>
          <w:lang w:val="en-GB"/>
        </w:rPr>
        <w:t>(8,9)</w:t>
      </w:r>
      <w:r>
        <w:rPr>
          <w:rFonts w:ascii="Arial" w:hAnsi="Arial" w:cs="Arial"/>
          <w:lang w:val="en-GB"/>
        </w:rPr>
        <w:t xml:space="preserve">. </w:t>
      </w:r>
    </w:p>
    <w:p w14:paraId="77833E55" w14:textId="699D1735" w:rsidR="00617FE8" w:rsidRDefault="008C06CC" w:rsidP="008C06CC">
      <w:pPr>
        <w:spacing w:after="0" w:line="480" w:lineRule="auto"/>
        <w:jc w:val="both"/>
        <w:rPr>
          <w:rFonts w:ascii="Arial" w:hAnsi="Arial" w:cs="Arial"/>
          <w:lang w:val="en-GB"/>
        </w:rPr>
      </w:pPr>
      <w:r>
        <w:rPr>
          <w:rFonts w:ascii="Arial" w:hAnsi="Arial" w:cs="Arial"/>
          <w:lang w:val="en-GB"/>
        </w:rPr>
        <w:t xml:space="preserve">Low birth weight may </w:t>
      </w:r>
      <w:r w:rsidR="000C7139">
        <w:rPr>
          <w:rFonts w:ascii="Arial" w:hAnsi="Arial" w:cs="Arial"/>
          <w:lang w:val="en-GB"/>
        </w:rPr>
        <w:t>be due to a number of</w:t>
      </w:r>
      <w:r>
        <w:rPr>
          <w:rFonts w:ascii="Arial" w:hAnsi="Arial" w:cs="Arial"/>
          <w:lang w:val="en-GB"/>
        </w:rPr>
        <w:t xml:space="preserve"> different reasons, including intrauterine growth restriction and pre-term birth. We previously reviewed the relationship between postnatal growth rates, cognitive outcomes and </w:t>
      </w:r>
      <w:r w:rsidR="000C7139">
        <w:rPr>
          <w:rFonts w:ascii="Arial" w:hAnsi="Arial" w:cs="Arial"/>
          <w:lang w:val="en-GB"/>
        </w:rPr>
        <w:t xml:space="preserve">the </w:t>
      </w:r>
      <w:r>
        <w:rPr>
          <w:rFonts w:ascii="Arial" w:hAnsi="Arial" w:cs="Arial"/>
          <w:lang w:val="en-GB"/>
        </w:rPr>
        <w:t xml:space="preserve">risk of disease in preterm infants </w:t>
      </w:r>
      <w:r>
        <w:rPr>
          <w:rFonts w:ascii="Arial" w:hAnsi="Arial" w:cs="Arial"/>
          <w:noProof/>
          <w:lang w:val="en-GB"/>
        </w:rPr>
        <w:t>(10)</w:t>
      </w:r>
      <w:r>
        <w:rPr>
          <w:rFonts w:ascii="Arial" w:hAnsi="Arial" w:cs="Arial"/>
          <w:lang w:val="en-GB"/>
        </w:rPr>
        <w:t xml:space="preserve">. That review concluded that more research </w:t>
      </w:r>
      <w:r w:rsidR="000C7139">
        <w:rPr>
          <w:rFonts w:ascii="Arial" w:hAnsi="Arial" w:cs="Arial"/>
          <w:lang w:val="en-GB"/>
        </w:rPr>
        <w:t xml:space="preserve">was </w:t>
      </w:r>
      <w:r>
        <w:rPr>
          <w:rFonts w:ascii="Arial" w:hAnsi="Arial" w:cs="Arial"/>
          <w:lang w:val="en-GB"/>
        </w:rPr>
        <w:t xml:space="preserve">needed to understand how to </w:t>
      </w:r>
      <w:r w:rsidR="00B40FA2">
        <w:rPr>
          <w:rFonts w:ascii="Arial" w:hAnsi="Arial" w:cs="Arial"/>
          <w:lang w:val="en-GB"/>
        </w:rPr>
        <w:t>optimise</w:t>
      </w:r>
      <w:r>
        <w:rPr>
          <w:rFonts w:ascii="Arial" w:hAnsi="Arial" w:cs="Arial"/>
          <w:lang w:val="en-GB"/>
        </w:rPr>
        <w:t xml:space="preserve"> growth in preterm infants</w:t>
      </w:r>
      <w:r w:rsidR="000C7139">
        <w:rPr>
          <w:rFonts w:ascii="Arial" w:hAnsi="Arial" w:cs="Arial"/>
          <w:lang w:val="en-GB"/>
        </w:rPr>
        <w:t xml:space="preserve"> and</w:t>
      </w:r>
      <w:r>
        <w:rPr>
          <w:rFonts w:ascii="Arial" w:hAnsi="Arial" w:cs="Arial"/>
          <w:lang w:val="en-GB"/>
        </w:rPr>
        <w:t xml:space="preserve"> to achieve neurocognitive benefits while </w:t>
      </w:r>
      <w:r w:rsidR="00B40FA2">
        <w:rPr>
          <w:rFonts w:ascii="Arial" w:hAnsi="Arial" w:cs="Arial"/>
          <w:lang w:val="en-GB"/>
        </w:rPr>
        <w:t xml:space="preserve">minimising </w:t>
      </w:r>
      <w:r>
        <w:rPr>
          <w:rFonts w:ascii="Arial" w:hAnsi="Arial" w:cs="Arial"/>
          <w:lang w:val="en-GB"/>
        </w:rPr>
        <w:t xml:space="preserve">the risk of later disease. However, the effects of rapid postnatal weight gain need to be considered separately in different populations of low birth weight infants, as the benefits </w:t>
      </w:r>
      <w:r w:rsidR="000C7139">
        <w:rPr>
          <w:rFonts w:ascii="Arial" w:hAnsi="Arial" w:cs="Arial"/>
          <w:lang w:val="en-GB"/>
        </w:rPr>
        <w:t xml:space="preserve">and the </w:t>
      </w:r>
      <w:r>
        <w:rPr>
          <w:rFonts w:ascii="Arial" w:hAnsi="Arial" w:cs="Arial"/>
          <w:lang w:val="en-GB"/>
        </w:rPr>
        <w:t>risks may differ between preterm infants and full-term infants born small</w:t>
      </w:r>
      <w:r w:rsidR="000C7139">
        <w:rPr>
          <w:rFonts w:ascii="Arial" w:hAnsi="Arial" w:cs="Arial"/>
          <w:lang w:val="en-GB"/>
        </w:rPr>
        <w:t xml:space="preserve"> </w:t>
      </w:r>
      <w:r>
        <w:rPr>
          <w:rFonts w:ascii="Arial" w:hAnsi="Arial" w:cs="Arial"/>
          <w:lang w:val="en-GB"/>
        </w:rPr>
        <w:t>for</w:t>
      </w:r>
      <w:r w:rsidR="000C7139">
        <w:rPr>
          <w:rFonts w:ascii="Arial" w:hAnsi="Arial" w:cs="Arial"/>
          <w:lang w:val="en-GB"/>
        </w:rPr>
        <w:t xml:space="preserve"> </w:t>
      </w:r>
      <w:r w:rsidR="00F45F83">
        <w:rPr>
          <w:rFonts w:ascii="Arial" w:hAnsi="Arial" w:cs="Arial"/>
          <w:lang w:val="en-GB"/>
        </w:rPr>
        <w:t>gestational</w:t>
      </w:r>
      <w:r w:rsidR="000C7139">
        <w:rPr>
          <w:rFonts w:ascii="Arial" w:hAnsi="Arial" w:cs="Arial"/>
          <w:lang w:val="en-GB"/>
        </w:rPr>
        <w:t xml:space="preserve"> </w:t>
      </w:r>
      <w:r>
        <w:rPr>
          <w:rFonts w:ascii="Arial" w:hAnsi="Arial" w:cs="Arial"/>
          <w:lang w:val="en-GB"/>
        </w:rPr>
        <w:t xml:space="preserve">age (SGA). In preterm infants, catch-up growth may be beneficial for neurodevelopment </w:t>
      </w:r>
      <w:r>
        <w:rPr>
          <w:rFonts w:ascii="Arial" w:hAnsi="Arial" w:cs="Arial"/>
          <w:noProof/>
          <w:lang w:val="en-GB"/>
        </w:rPr>
        <w:t>(11,12)</w:t>
      </w:r>
      <w:r>
        <w:rPr>
          <w:rFonts w:ascii="Arial" w:hAnsi="Arial" w:cs="Arial"/>
          <w:lang w:val="en-GB"/>
        </w:rPr>
        <w:t>, particularly if catch-up in length</w:t>
      </w:r>
      <w:r w:rsidR="00F45F83">
        <w:rPr>
          <w:rFonts w:ascii="Arial" w:hAnsi="Arial" w:cs="Arial"/>
          <w:lang w:val="en-GB"/>
        </w:rPr>
        <w:t xml:space="preserve"> and </w:t>
      </w:r>
      <w:r>
        <w:rPr>
          <w:rFonts w:ascii="Arial" w:hAnsi="Arial" w:cs="Arial"/>
          <w:lang w:val="en-GB"/>
        </w:rPr>
        <w:t>height is achieved</w:t>
      </w:r>
      <w:r w:rsidR="00602D2A">
        <w:rPr>
          <w:rFonts w:ascii="Arial" w:hAnsi="Arial" w:cs="Arial"/>
          <w:lang w:val="en-GB"/>
        </w:rPr>
        <w:t>,</w:t>
      </w:r>
      <w:r>
        <w:rPr>
          <w:rFonts w:ascii="Arial" w:hAnsi="Arial" w:cs="Arial"/>
          <w:lang w:val="en-GB"/>
        </w:rPr>
        <w:t xml:space="preserve"> and this may outweigh the potential long-term metabolic costs. Being born SGA also constitutes a risk factor for the development of diseases later in life, as these infants are likely to experience </w:t>
      </w:r>
      <w:r>
        <w:rPr>
          <w:rFonts w:ascii="Arial" w:hAnsi="Arial" w:cs="Arial"/>
          <w:lang w:val="en-GB"/>
        </w:rPr>
        <w:lastRenderedPageBreak/>
        <w:t xml:space="preserve">accelerated postnatal weight and body fat gain </w:t>
      </w:r>
      <w:r>
        <w:rPr>
          <w:rFonts w:ascii="Arial" w:hAnsi="Arial" w:cs="Arial"/>
          <w:noProof/>
          <w:lang w:val="en-GB"/>
        </w:rPr>
        <w:t>(13)</w:t>
      </w:r>
      <w:r>
        <w:rPr>
          <w:rFonts w:ascii="Arial" w:hAnsi="Arial" w:cs="Arial"/>
          <w:lang w:val="en-GB"/>
        </w:rPr>
        <w:t>. SGA is commonly defined as birth weight and</w:t>
      </w:r>
      <w:r w:rsidR="00F45F83">
        <w:rPr>
          <w:rFonts w:ascii="Arial" w:hAnsi="Arial" w:cs="Arial"/>
          <w:lang w:val="en-GB"/>
        </w:rPr>
        <w:t xml:space="preserve">, </w:t>
      </w:r>
      <w:r>
        <w:rPr>
          <w:rFonts w:ascii="Arial" w:hAnsi="Arial" w:cs="Arial"/>
          <w:lang w:val="en-GB"/>
        </w:rPr>
        <w:t>or</w:t>
      </w:r>
      <w:r w:rsidR="00F45F83">
        <w:rPr>
          <w:rFonts w:ascii="Arial" w:hAnsi="Arial" w:cs="Arial"/>
          <w:lang w:val="en-GB"/>
        </w:rPr>
        <w:t>,</w:t>
      </w:r>
      <w:r>
        <w:rPr>
          <w:rFonts w:ascii="Arial" w:hAnsi="Arial" w:cs="Arial"/>
          <w:lang w:val="en-GB"/>
        </w:rPr>
        <w:t xml:space="preserve"> length </w:t>
      </w:r>
      <w:r w:rsidR="000C7139">
        <w:rPr>
          <w:rFonts w:ascii="Arial" w:hAnsi="Arial" w:cs="Arial"/>
          <w:lang w:val="en-GB"/>
        </w:rPr>
        <w:t xml:space="preserve">that is </w:t>
      </w:r>
      <w:r>
        <w:rPr>
          <w:rFonts w:ascii="Arial" w:hAnsi="Arial" w:cs="Arial"/>
          <w:lang w:val="en-GB"/>
        </w:rPr>
        <w:t xml:space="preserve">at least </w:t>
      </w:r>
      <w:r w:rsidR="00F45F83">
        <w:rPr>
          <w:rFonts w:ascii="Arial" w:hAnsi="Arial" w:cs="Arial"/>
          <w:lang w:val="en-GB"/>
        </w:rPr>
        <w:t xml:space="preserve">two </w:t>
      </w:r>
      <w:r>
        <w:rPr>
          <w:rFonts w:ascii="Arial" w:hAnsi="Arial" w:cs="Arial"/>
          <w:lang w:val="en-GB"/>
        </w:rPr>
        <w:t>standard deviation</w:t>
      </w:r>
      <w:r w:rsidR="00F45F83">
        <w:rPr>
          <w:rFonts w:ascii="Arial" w:hAnsi="Arial" w:cs="Arial"/>
          <w:lang w:val="en-GB"/>
        </w:rPr>
        <w:t xml:space="preserve"> score</w:t>
      </w:r>
      <w:r>
        <w:rPr>
          <w:rFonts w:ascii="Arial" w:hAnsi="Arial" w:cs="Arial"/>
          <w:lang w:val="en-GB"/>
        </w:rPr>
        <w:t xml:space="preserve">s below the mean for gestational age </w:t>
      </w:r>
      <w:r>
        <w:rPr>
          <w:rFonts w:ascii="Arial" w:hAnsi="Arial" w:cs="Arial"/>
          <w:noProof/>
          <w:lang w:val="en-GB"/>
        </w:rPr>
        <w:t>(14)</w:t>
      </w:r>
      <w:r>
        <w:rPr>
          <w:rFonts w:ascii="Arial" w:hAnsi="Arial" w:cs="Arial"/>
          <w:lang w:val="en-GB"/>
        </w:rPr>
        <w:t xml:space="preserve">, although some publications set the cut-off below the 3rd, 5th or 10th percentile </w:t>
      </w:r>
      <w:r w:rsidR="00E4564F">
        <w:rPr>
          <w:rFonts w:ascii="Arial" w:hAnsi="Arial" w:cs="Arial"/>
          <w:noProof/>
          <w:lang w:val="en-GB"/>
        </w:rPr>
        <w:t>(15-</w:t>
      </w:r>
      <w:r>
        <w:rPr>
          <w:rFonts w:ascii="Arial" w:hAnsi="Arial" w:cs="Arial"/>
          <w:noProof/>
          <w:lang w:val="en-GB"/>
        </w:rPr>
        <w:t>17)</w:t>
      </w:r>
      <w:r>
        <w:rPr>
          <w:rFonts w:ascii="Arial" w:hAnsi="Arial" w:cs="Arial"/>
          <w:lang w:val="en-GB"/>
        </w:rPr>
        <w:t xml:space="preserve">. The </w:t>
      </w:r>
      <w:r w:rsidR="00F45F83">
        <w:rPr>
          <w:rFonts w:ascii="Arial" w:hAnsi="Arial" w:cs="Arial"/>
          <w:lang w:val="en-GB"/>
        </w:rPr>
        <w:t>minus two</w:t>
      </w:r>
      <w:r>
        <w:rPr>
          <w:rFonts w:ascii="Arial" w:hAnsi="Arial" w:cs="Arial"/>
          <w:lang w:val="en-GB"/>
        </w:rPr>
        <w:t xml:space="preserve"> </w:t>
      </w:r>
      <w:r w:rsidR="00226E3B">
        <w:rPr>
          <w:rFonts w:ascii="Arial" w:hAnsi="Arial" w:cs="Arial"/>
          <w:lang w:val="en-GB"/>
        </w:rPr>
        <w:t xml:space="preserve">standard deviation scores </w:t>
      </w:r>
      <w:r>
        <w:rPr>
          <w:rFonts w:ascii="Arial" w:hAnsi="Arial" w:cs="Arial"/>
          <w:lang w:val="en-GB"/>
        </w:rPr>
        <w:t>definition is likely to capture the majority of infants with impaired fetal growth. While numerous studies have identified associations between early postnatal weight gain or body fat gain with later disease risk factors, not many have specifically evaluated populations of full-term SGA infants.</w:t>
      </w:r>
    </w:p>
    <w:p w14:paraId="00FB44CF" w14:textId="134BADB2" w:rsidR="00617FE8" w:rsidRDefault="008C06CC" w:rsidP="008C06CC">
      <w:pPr>
        <w:spacing w:after="0" w:line="480" w:lineRule="auto"/>
        <w:jc w:val="both"/>
        <w:rPr>
          <w:rFonts w:ascii="Arial" w:hAnsi="Arial" w:cs="Arial"/>
          <w:lang w:val="en-GB"/>
        </w:rPr>
      </w:pPr>
      <w:r>
        <w:rPr>
          <w:rFonts w:ascii="Arial" w:hAnsi="Arial" w:cs="Arial"/>
          <w:lang w:val="en-GB"/>
        </w:rPr>
        <w:t xml:space="preserve">The aim of this review </w:t>
      </w:r>
      <w:r w:rsidR="000C7139">
        <w:rPr>
          <w:rFonts w:ascii="Arial" w:hAnsi="Arial" w:cs="Arial"/>
          <w:lang w:val="en-GB"/>
        </w:rPr>
        <w:t xml:space="preserve">was </w:t>
      </w:r>
      <w:r>
        <w:rPr>
          <w:rFonts w:ascii="Arial" w:hAnsi="Arial" w:cs="Arial"/>
          <w:lang w:val="en-GB"/>
        </w:rPr>
        <w:t xml:space="preserve">to identify and </w:t>
      </w:r>
      <w:r w:rsidR="000C7139">
        <w:rPr>
          <w:rFonts w:ascii="Arial" w:hAnsi="Arial" w:cs="Arial"/>
          <w:lang w:val="en-GB"/>
        </w:rPr>
        <w:t xml:space="preserve">summarise </w:t>
      </w:r>
      <w:r>
        <w:rPr>
          <w:rFonts w:ascii="Arial" w:hAnsi="Arial" w:cs="Arial"/>
          <w:lang w:val="en-GB"/>
        </w:rPr>
        <w:t xml:space="preserve">the published evidence on postnatal weight gain and growth in term-born SGA infants, </w:t>
      </w:r>
      <w:r w:rsidR="000C7139">
        <w:rPr>
          <w:rFonts w:ascii="Arial" w:hAnsi="Arial" w:cs="Arial"/>
          <w:lang w:val="en-GB"/>
        </w:rPr>
        <w:t xml:space="preserve">with regard to </w:t>
      </w:r>
      <w:r>
        <w:rPr>
          <w:rFonts w:ascii="Arial" w:hAnsi="Arial" w:cs="Arial"/>
          <w:lang w:val="en-GB"/>
        </w:rPr>
        <w:t>the potential neurodevelopmental benefits and adverse metabolic outcomes. It also attempts to identify critical postnatal windows during which growth might influence these outcomes.</w:t>
      </w:r>
    </w:p>
    <w:p w14:paraId="428B6B7A" w14:textId="77777777" w:rsidR="00617FE8" w:rsidRDefault="00617FE8">
      <w:pPr>
        <w:spacing w:after="0" w:line="480" w:lineRule="auto"/>
        <w:jc w:val="both"/>
        <w:rPr>
          <w:rFonts w:ascii="Arial" w:hAnsi="Arial" w:cs="Arial"/>
          <w:b/>
          <w:lang w:val="en-GB"/>
        </w:rPr>
      </w:pPr>
    </w:p>
    <w:p w14:paraId="79A6FC96" w14:textId="77777777" w:rsidR="00617FE8" w:rsidRDefault="008C06CC">
      <w:pPr>
        <w:spacing w:after="0" w:line="480" w:lineRule="auto"/>
        <w:jc w:val="both"/>
        <w:rPr>
          <w:rFonts w:ascii="Arial" w:hAnsi="Arial" w:cs="Arial"/>
          <w:b/>
          <w:color w:val="000000" w:themeColor="text1"/>
          <w:lang w:val="en-GB"/>
        </w:rPr>
      </w:pPr>
      <w:r>
        <w:rPr>
          <w:rFonts w:ascii="Arial" w:hAnsi="Arial" w:cs="Arial"/>
          <w:b/>
          <w:lang w:val="en-GB"/>
        </w:rPr>
        <w:t>METHODS</w:t>
      </w:r>
    </w:p>
    <w:p w14:paraId="163506EC" w14:textId="3DEB38E2" w:rsidR="00617FE8" w:rsidRDefault="008C06CC">
      <w:pPr>
        <w:spacing w:after="0" w:line="480" w:lineRule="auto"/>
        <w:jc w:val="both"/>
        <w:rPr>
          <w:rFonts w:ascii="Arial" w:hAnsi="Arial" w:cs="Arial"/>
          <w:color w:val="000000" w:themeColor="text1"/>
          <w:lang w:val="en-GB"/>
        </w:rPr>
      </w:pPr>
      <w:r>
        <w:rPr>
          <w:rFonts w:ascii="Arial" w:hAnsi="Arial" w:cs="Arial"/>
          <w:lang w:val="en-GB"/>
        </w:rPr>
        <w:t xml:space="preserve">A systematic search of electronic databases was performed using ProQuest Dialog. </w:t>
      </w:r>
      <w:r w:rsidR="00EF3E05">
        <w:rPr>
          <w:rFonts w:ascii="Arial" w:hAnsi="Arial" w:cs="Arial"/>
          <w:lang w:val="en-GB"/>
        </w:rPr>
        <w:t xml:space="preserve">The </w:t>
      </w:r>
      <w:r>
        <w:rPr>
          <w:rFonts w:ascii="Arial" w:hAnsi="Arial" w:cs="Arial"/>
          <w:lang w:val="en-GB"/>
        </w:rPr>
        <w:t>Medline and EMBASE</w:t>
      </w:r>
      <w:r w:rsidR="00EF3E05">
        <w:rPr>
          <w:rFonts w:ascii="Arial" w:hAnsi="Arial" w:cs="Arial"/>
          <w:lang w:val="en-GB"/>
        </w:rPr>
        <w:t xml:space="preserve"> databases </w:t>
      </w:r>
      <w:r>
        <w:rPr>
          <w:rFonts w:ascii="Arial" w:hAnsi="Arial" w:cs="Arial"/>
          <w:lang w:val="en-GB"/>
        </w:rPr>
        <w:t xml:space="preserve">were combined to identify studies published between 1994 and October 2015 </w:t>
      </w:r>
      <w:r w:rsidR="00EF3E05">
        <w:rPr>
          <w:rFonts w:ascii="Arial" w:hAnsi="Arial" w:cs="Arial"/>
          <w:lang w:val="en-GB"/>
        </w:rPr>
        <w:t xml:space="preserve">that reported </w:t>
      </w:r>
      <w:r>
        <w:rPr>
          <w:rFonts w:ascii="Arial" w:hAnsi="Arial" w:cs="Arial"/>
          <w:lang w:val="en-GB"/>
        </w:rPr>
        <w:t xml:space="preserve">associations between postnatal growth patterns and later metabolic and neurocognitive outcomes in term infants born SGA. </w:t>
      </w:r>
      <w:r>
        <w:rPr>
          <w:rFonts w:ascii="Arial" w:hAnsi="Arial" w:cs="Arial"/>
          <w:color w:val="000000" w:themeColor="text1"/>
          <w:lang w:val="en-GB"/>
        </w:rPr>
        <w:t xml:space="preserve">Relevant studies prior to 2005 were obtained from the review by Baird </w:t>
      </w:r>
      <w:r>
        <w:rPr>
          <w:rFonts w:ascii="Arial" w:hAnsi="Arial" w:cs="Arial"/>
          <w:noProof/>
          <w:color w:val="000000" w:themeColor="text1"/>
          <w:lang w:val="en-GB"/>
        </w:rPr>
        <w:t>(18)</w:t>
      </w:r>
      <w:r>
        <w:rPr>
          <w:rFonts w:ascii="Arial" w:hAnsi="Arial" w:cs="Arial"/>
          <w:color w:val="000000" w:themeColor="text1"/>
          <w:lang w:val="en-GB"/>
        </w:rPr>
        <w:t>.</w:t>
      </w:r>
    </w:p>
    <w:p w14:paraId="0B574C1A" w14:textId="46007065" w:rsidR="00617FE8" w:rsidRDefault="008C06CC">
      <w:pPr>
        <w:spacing w:after="0" w:line="480" w:lineRule="auto"/>
        <w:jc w:val="both"/>
        <w:rPr>
          <w:rFonts w:ascii="Arial" w:hAnsi="Arial" w:cs="Arial"/>
          <w:color w:val="000000" w:themeColor="text1"/>
          <w:lang w:val="en-GB"/>
        </w:rPr>
      </w:pPr>
      <w:r>
        <w:rPr>
          <w:rFonts w:ascii="Arial" w:hAnsi="Arial" w:cs="Arial"/>
          <w:color w:val="000000" w:themeColor="text1"/>
          <w:lang w:val="en-GB"/>
        </w:rPr>
        <w:t>Search terms representing the following categories were combined: i) the population</w:t>
      </w:r>
      <w:r w:rsidR="00EF3E05">
        <w:rPr>
          <w:rFonts w:ascii="Arial" w:hAnsi="Arial" w:cs="Arial"/>
          <w:color w:val="000000" w:themeColor="text1"/>
          <w:lang w:val="en-GB"/>
        </w:rPr>
        <w:t xml:space="preserve">, such as </w:t>
      </w:r>
      <w:r>
        <w:rPr>
          <w:rFonts w:ascii="Arial" w:hAnsi="Arial" w:cs="Arial"/>
          <w:color w:val="000000" w:themeColor="text1"/>
          <w:lang w:val="en-GB"/>
        </w:rPr>
        <w:t>term infants</w:t>
      </w:r>
      <w:r w:rsidR="00EF3E05">
        <w:rPr>
          <w:rFonts w:ascii="Arial" w:hAnsi="Arial" w:cs="Arial"/>
          <w:color w:val="000000" w:themeColor="text1"/>
          <w:lang w:val="en-GB"/>
        </w:rPr>
        <w:t xml:space="preserve"> or</w:t>
      </w:r>
      <w:r>
        <w:rPr>
          <w:rFonts w:ascii="Arial" w:hAnsi="Arial" w:cs="Arial"/>
          <w:color w:val="000000" w:themeColor="text1"/>
          <w:lang w:val="en-GB"/>
        </w:rPr>
        <w:t xml:space="preserve"> small</w:t>
      </w:r>
      <w:r w:rsidR="00F45F83">
        <w:rPr>
          <w:rFonts w:ascii="Arial" w:hAnsi="Arial" w:cs="Arial"/>
          <w:color w:val="000000" w:themeColor="text1"/>
          <w:lang w:val="en-GB"/>
        </w:rPr>
        <w:t>-</w:t>
      </w:r>
      <w:r>
        <w:rPr>
          <w:rFonts w:ascii="Arial" w:hAnsi="Arial" w:cs="Arial"/>
          <w:color w:val="000000" w:themeColor="text1"/>
          <w:lang w:val="en-GB"/>
        </w:rPr>
        <w:t>for</w:t>
      </w:r>
      <w:r w:rsidR="00F45F83">
        <w:rPr>
          <w:rFonts w:ascii="Arial" w:hAnsi="Arial" w:cs="Arial"/>
          <w:color w:val="000000" w:themeColor="text1"/>
          <w:lang w:val="en-GB"/>
        </w:rPr>
        <w:t>-</w:t>
      </w:r>
      <w:r>
        <w:rPr>
          <w:rFonts w:ascii="Arial" w:hAnsi="Arial" w:cs="Arial"/>
          <w:color w:val="000000" w:themeColor="text1"/>
          <w:lang w:val="en-GB"/>
        </w:rPr>
        <w:t>gestational</w:t>
      </w:r>
      <w:r w:rsidR="00F45F83">
        <w:rPr>
          <w:rFonts w:ascii="Arial" w:hAnsi="Arial" w:cs="Arial"/>
          <w:color w:val="000000" w:themeColor="text1"/>
          <w:lang w:val="en-GB"/>
        </w:rPr>
        <w:t>-</w:t>
      </w:r>
      <w:r>
        <w:rPr>
          <w:rFonts w:ascii="Arial" w:hAnsi="Arial" w:cs="Arial"/>
          <w:color w:val="000000" w:themeColor="text1"/>
          <w:lang w:val="en-GB"/>
        </w:rPr>
        <w:t>age, ii) postnatal growth</w:t>
      </w:r>
      <w:r w:rsidR="00EF3E05">
        <w:rPr>
          <w:rFonts w:ascii="Arial" w:hAnsi="Arial" w:cs="Arial"/>
          <w:color w:val="000000" w:themeColor="text1"/>
          <w:lang w:val="en-GB"/>
        </w:rPr>
        <w:t>, including</w:t>
      </w:r>
      <w:r>
        <w:rPr>
          <w:rFonts w:ascii="Arial" w:hAnsi="Arial" w:cs="Arial"/>
          <w:color w:val="000000" w:themeColor="text1"/>
          <w:lang w:val="en-GB"/>
        </w:rPr>
        <w:t xml:space="preserve"> </w:t>
      </w:r>
      <w:r w:rsidR="00F45F83">
        <w:rPr>
          <w:rFonts w:ascii="Arial" w:hAnsi="Arial" w:cs="Arial"/>
          <w:color w:val="000000" w:themeColor="text1"/>
          <w:lang w:val="en-GB"/>
        </w:rPr>
        <w:t>catch-</w:t>
      </w:r>
      <w:r>
        <w:rPr>
          <w:rFonts w:ascii="Arial" w:hAnsi="Arial" w:cs="Arial"/>
          <w:color w:val="000000" w:themeColor="text1"/>
          <w:lang w:val="en-GB"/>
        </w:rPr>
        <w:t>up growth</w:t>
      </w:r>
      <w:r w:rsidR="00EF3E05">
        <w:rPr>
          <w:rFonts w:ascii="Arial" w:hAnsi="Arial" w:cs="Arial"/>
          <w:color w:val="000000" w:themeColor="text1"/>
          <w:lang w:val="en-GB"/>
        </w:rPr>
        <w:t xml:space="preserve">, </w:t>
      </w:r>
      <w:r>
        <w:rPr>
          <w:rFonts w:ascii="Arial" w:hAnsi="Arial" w:cs="Arial"/>
          <w:color w:val="000000" w:themeColor="text1"/>
          <w:lang w:val="en-GB"/>
        </w:rPr>
        <w:t>early growth</w:t>
      </w:r>
      <w:r w:rsidR="00EF3E05">
        <w:rPr>
          <w:rFonts w:ascii="Arial" w:hAnsi="Arial" w:cs="Arial"/>
          <w:color w:val="000000" w:themeColor="text1"/>
          <w:lang w:val="en-GB"/>
        </w:rPr>
        <w:t xml:space="preserve"> and</w:t>
      </w:r>
      <w:r>
        <w:rPr>
          <w:rFonts w:ascii="Arial" w:hAnsi="Arial" w:cs="Arial"/>
          <w:color w:val="000000" w:themeColor="text1"/>
          <w:lang w:val="en-GB"/>
        </w:rPr>
        <w:t xml:space="preserve"> failure to thrive, iii) outcome</w:t>
      </w:r>
      <w:r w:rsidR="00EF3E05">
        <w:rPr>
          <w:rFonts w:ascii="Arial" w:hAnsi="Arial" w:cs="Arial"/>
          <w:color w:val="000000" w:themeColor="text1"/>
          <w:lang w:val="en-GB"/>
        </w:rPr>
        <w:t>s</w:t>
      </w:r>
      <w:r>
        <w:rPr>
          <w:rFonts w:ascii="Arial" w:hAnsi="Arial" w:cs="Arial"/>
          <w:color w:val="000000" w:themeColor="text1"/>
          <w:lang w:val="en-GB"/>
        </w:rPr>
        <w:t xml:space="preserve"> related to metabolic disease</w:t>
      </w:r>
      <w:r w:rsidR="00EF3E05">
        <w:rPr>
          <w:rFonts w:ascii="Arial" w:hAnsi="Arial" w:cs="Arial"/>
          <w:color w:val="000000" w:themeColor="text1"/>
          <w:lang w:val="en-GB"/>
        </w:rPr>
        <w:t xml:space="preserve">s such as </w:t>
      </w:r>
      <w:r>
        <w:rPr>
          <w:rFonts w:ascii="Arial" w:hAnsi="Arial" w:cs="Arial"/>
          <w:color w:val="000000" w:themeColor="text1"/>
          <w:lang w:val="en-GB"/>
        </w:rPr>
        <w:t>adiposity, insulin resistance</w:t>
      </w:r>
      <w:r w:rsidR="00EF3E05">
        <w:rPr>
          <w:rFonts w:ascii="Arial" w:hAnsi="Arial" w:cs="Arial"/>
          <w:color w:val="000000" w:themeColor="text1"/>
          <w:lang w:val="en-GB"/>
        </w:rPr>
        <w:t xml:space="preserve"> and </w:t>
      </w:r>
      <w:r>
        <w:rPr>
          <w:rFonts w:ascii="Arial" w:hAnsi="Arial" w:cs="Arial"/>
          <w:color w:val="000000" w:themeColor="text1"/>
          <w:lang w:val="en-GB"/>
        </w:rPr>
        <w:t>cardiovascular risk or to neurocognitive development</w:t>
      </w:r>
      <w:r w:rsidR="00EF3E05">
        <w:rPr>
          <w:rFonts w:ascii="Arial" w:hAnsi="Arial" w:cs="Arial"/>
          <w:color w:val="000000" w:themeColor="text1"/>
          <w:lang w:val="en-GB"/>
        </w:rPr>
        <w:t xml:space="preserve">, such as </w:t>
      </w:r>
      <w:r>
        <w:rPr>
          <w:rFonts w:ascii="Arial" w:hAnsi="Arial" w:cs="Arial"/>
          <w:color w:val="000000" w:themeColor="text1"/>
          <w:lang w:val="en-GB"/>
        </w:rPr>
        <w:t>neurodevelopment</w:t>
      </w:r>
      <w:r w:rsidR="00EF3E05">
        <w:rPr>
          <w:rFonts w:ascii="Arial" w:hAnsi="Arial" w:cs="Arial"/>
          <w:color w:val="000000" w:themeColor="text1"/>
          <w:lang w:val="en-GB"/>
        </w:rPr>
        <w:t xml:space="preserve"> and the </w:t>
      </w:r>
      <w:r w:rsidR="00F45F83">
        <w:rPr>
          <w:rFonts w:ascii="Arial" w:hAnsi="Arial" w:cs="Arial"/>
          <w:color w:val="000000" w:themeColor="text1"/>
          <w:lang w:val="en-GB"/>
        </w:rPr>
        <w:t>intelligence quotient</w:t>
      </w:r>
      <w:r>
        <w:rPr>
          <w:rFonts w:ascii="Arial" w:hAnsi="Arial" w:cs="Arial"/>
          <w:color w:val="000000" w:themeColor="text1"/>
          <w:lang w:val="en-GB"/>
        </w:rPr>
        <w:t xml:space="preserve">. </w:t>
      </w:r>
      <w:r w:rsidR="00093367" w:rsidDel="00093367">
        <w:rPr>
          <w:rFonts w:ascii="Arial" w:hAnsi="Arial" w:cs="Arial"/>
          <w:color w:val="000000" w:themeColor="text1"/>
          <w:lang w:val="en-GB"/>
        </w:rPr>
        <w:t xml:space="preserve"> </w:t>
      </w:r>
      <w:r w:rsidR="00EF3E05">
        <w:rPr>
          <w:rFonts w:ascii="Arial" w:hAnsi="Arial" w:cs="Arial"/>
          <w:color w:val="000000" w:themeColor="text1"/>
          <w:lang w:val="en-GB"/>
        </w:rPr>
        <w:t>One author (</w:t>
      </w:r>
      <w:r>
        <w:rPr>
          <w:rFonts w:ascii="Arial" w:hAnsi="Arial" w:cs="Arial"/>
          <w:color w:val="000000" w:themeColor="text1"/>
          <w:lang w:val="en-GB"/>
        </w:rPr>
        <w:t>EC-M</w:t>
      </w:r>
      <w:r w:rsidR="00EF3E05">
        <w:rPr>
          <w:rFonts w:ascii="Arial" w:hAnsi="Arial" w:cs="Arial"/>
          <w:color w:val="000000" w:themeColor="text1"/>
          <w:lang w:val="en-GB"/>
        </w:rPr>
        <w:t>)</w:t>
      </w:r>
      <w:r>
        <w:rPr>
          <w:rFonts w:ascii="Arial" w:hAnsi="Arial" w:cs="Arial"/>
          <w:color w:val="000000" w:themeColor="text1"/>
          <w:lang w:val="en-GB"/>
        </w:rPr>
        <w:t xml:space="preserve"> carried out the search</w:t>
      </w:r>
      <w:r w:rsidR="00F45F83">
        <w:rPr>
          <w:rFonts w:ascii="Arial" w:hAnsi="Arial" w:cs="Arial"/>
          <w:color w:val="000000" w:themeColor="text1"/>
          <w:lang w:val="en-GB"/>
        </w:rPr>
        <w:t xml:space="preserve"> </w:t>
      </w:r>
      <w:r>
        <w:rPr>
          <w:rFonts w:ascii="Arial" w:hAnsi="Arial" w:cs="Arial"/>
          <w:color w:val="000000" w:themeColor="text1"/>
          <w:lang w:val="en-GB"/>
        </w:rPr>
        <w:t xml:space="preserve">and assessed </w:t>
      </w:r>
      <w:r w:rsidR="00EF3E05">
        <w:rPr>
          <w:rFonts w:ascii="Arial" w:hAnsi="Arial" w:cs="Arial"/>
          <w:color w:val="000000" w:themeColor="text1"/>
          <w:lang w:val="en-GB"/>
        </w:rPr>
        <w:t xml:space="preserve">the </w:t>
      </w:r>
      <w:r>
        <w:rPr>
          <w:rFonts w:ascii="Arial" w:hAnsi="Arial" w:cs="Arial"/>
          <w:color w:val="000000" w:themeColor="text1"/>
          <w:lang w:val="en-GB"/>
        </w:rPr>
        <w:t xml:space="preserve">titles and abstracts to identify relevant studies. </w:t>
      </w:r>
      <w:r w:rsidR="00EF3E05">
        <w:rPr>
          <w:rFonts w:ascii="Arial" w:hAnsi="Arial" w:cs="Arial"/>
          <w:color w:val="000000" w:themeColor="text1"/>
          <w:lang w:val="en-GB"/>
        </w:rPr>
        <w:t>Then the</w:t>
      </w:r>
      <w:r>
        <w:rPr>
          <w:rFonts w:ascii="Arial" w:hAnsi="Arial" w:cs="Arial"/>
          <w:color w:val="000000" w:themeColor="text1"/>
          <w:lang w:val="en-GB"/>
        </w:rPr>
        <w:t xml:space="preserve"> full-text papers of </w:t>
      </w:r>
      <w:r w:rsidR="00EF3E05">
        <w:rPr>
          <w:rFonts w:ascii="Arial" w:hAnsi="Arial" w:cs="Arial"/>
          <w:color w:val="000000" w:themeColor="text1"/>
          <w:lang w:val="en-GB"/>
        </w:rPr>
        <w:t xml:space="preserve">the </w:t>
      </w:r>
      <w:r>
        <w:rPr>
          <w:rFonts w:ascii="Arial" w:hAnsi="Arial" w:cs="Arial"/>
          <w:color w:val="000000" w:themeColor="text1"/>
          <w:lang w:val="en-GB"/>
        </w:rPr>
        <w:t xml:space="preserve">potentially eligible studies were screened and selected for inclusion in the systematic review if they met the specific selection criteria. </w:t>
      </w:r>
      <w:r>
        <w:rPr>
          <w:rFonts w:ascii="Arial" w:hAnsi="Arial" w:cs="Arial"/>
          <w:lang w:val="en-GB"/>
        </w:rPr>
        <w:t xml:space="preserve">An additional hand search of reference lists of relevant </w:t>
      </w:r>
      <w:r>
        <w:rPr>
          <w:rFonts w:ascii="Arial" w:hAnsi="Arial" w:cs="Arial"/>
          <w:lang w:val="en-GB"/>
        </w:rPr>
        <w:lastRenderedPageBreak/>
        <w:t>and related papers was made to ensure a complete collection.</w:t>
      </w:r>
      <w:r>
        <w:rPr>
          <w:rFonts w:ascii="Arial" w:hAnsi="Arial" w:cs="Arial"/>
          <w:color w:val="000000" w:themeColor="text1"/>
          <w:lang w:val="en-GB"/>
        </w:rPr>
        <w:t xml:space="preserve"> Around 200 full</w:t>
      </w:r>
      <w:r w:rsidR="00EF3E05">
        <w:rPr>
          <w:rFonts w:ascii="Arial" w:hAnsi="Arial" w:cs="Arial"/>
          <w:color w:val="000000" w:themeColor="text1"/>
          <w:lang w:val="en-GB"/>
        </w:rPr>
        <w:t xml:space="preserve"> </w:t>
      </w:r>
      <w:r>
        <w:rPr>
          <w:rFonts w:ascii="Arial" w:hAnsi="Arial" w:cs="Arial"/>
          <w:color w:val="000000" w:themeColor="text1"/>
          <w:lang w:val="en-GB"/>
        </w:rPr>
        <w:t xml:space="preserve">text papers were reviewed (Fig. 1).  </w:t>
      </w:r>
    </w:p>
    <w:p w14:paraId="2F0F360C" w14:textId="77777777" w:rsidR="00617FE8" w:rsidRDefault="00617FE8">
      <w:pPr>
        <w:spacing w:after="0" w:line="480" w:lineRule="auto"/>
        <w:jc w:val="both"/>
        <w:rPr>
          <w:rFonts w:ascii="Arial" w:hAnsi="Arial" w:cs="Arial"/>
          <w:b/>
          <w:color w:val="000000" w:themeColor="text1"/>
          <w:lang w:val="en-GB"/>
        </w:rPr>
      </w:pPr>
    </w:p>
    <w:p w14:paraId="75993177" w14:textId="77777777" w:rsidR="00617FE8" w:rsidRDefault="008C06CC">
      <w:pPr>
        <w:spacing w:after="0" w:line="480" w:lineRule="auto"/>
        <w:jc w:val="both"/>
        <w:rPr>
          <w:rFonts w:ascii="Arial" w:hAnsi="Arial" w:cs="Arial"/>
          <w:b/>
          <w:color w:val="000000" w:themeColor="text1"/>
          <w:lang w:val="en-GB"/>
        </w:rPr>
      </w:pPr>
      <w:r>
        <w:rPr>
          <w:rFonts w:ascii="Arial" w:hAnsi="Arial" w:cs="Arial"/>
          <w:b/>
          <w:color w:val="000000" w:themeColor="text1"/>
          <w:lang w:val="en-GB"/>
        </w:rPr>
        <w:t xml:space="preserve">Inclusion </w:t>
      </w:r>
      <w:r w:rsidR="00304BEC">
        <w:rPr>
          <w:rFonts w:ascii="Arial" w:hAnsi="Arial" w:cs="Arial"/>
          <w:b/>
          <w:color w:val="000000" w:themeColor="text1"/>
          <w:lang w:val="en-GB"/>
        </w:rPr>
        <w:t xml:space="preserve">and exclusion </w:t>
      </w:r>
      <w:r>
        <w:rPr>
          <w:rFonts w:ascii="Arial" w:hAnsi="Arial" w:cs="Arial"/>
          <w:b/>
          <w:color w:val="000000" w:themeColor="text1"/>
          <w:lang w:val="en-GB"/>
        </w:rPr>
        <w:t xml:space="preserve">criteria </w:t>
      </w:r>
    </w:p>
    <w:p w14:paraId="110B8A89" w14:textId="3DF04F98" w:rsidR="00617FE8" w:rsidRDefault="00EF3E05">
      <w:pPr>
        <w:spacing w:after="0" w:line="480" w:lineRule="auto"/>
        <w:jc w:val="both"/>
        <w:rPr>
          <w:rFonts w:ascii="Arial" w:hAnsi="Arial" w:cs="Arial"/>
          <w:lang w:val="en-GB"/>
        </w:rPr>
      </w:pPr>
      <w:r>
        <w:rPr>
          <w:rFonts w:ascii="Arial" w:hAnsi="Arial" w:cs="Arial"/>
          <w:color w:val="000000" w:themeColor="text1"/>
          <w:lang w:val="en-GB"/>
        </w:rPr>
        <w:t>The s</w:t>
      </w:r>
      <w:r w:rsidR="008C06CC">
        <w:rPr>
          <w:rFonts w:ascii="Arial" w:hAnsi="Arial" w:cs="Arial"/>
          <w:color w:val="000000" w:themeColor="text1"/>
          <w:lang w:val="en-GB"/>
        </w:rPr>
        <w:t xml:space="preserve">earch </w:t>
      </w:r>
      <w:r w:rsidR="00BB719F">
        <w:rPr>
          <w:rFonts w:ascii="Arial" w:hAnsi="Arial" w:cs="Arial"/>
          <w:color w:val="000000" w:themeColor="text1"/>
          <w:lang w:val="en-GB"/>
        </w:rPr>
        <w:t>terms for</w:t>
      </w:r>
      <w:r w:rsidR="00226E3B">
        <w:rPr>
          <w:rFonts w:ascii="Arial" w:hAnsi="Arial" w:cs="Arial"/>
          <w:color w:val="000000" w:themeColor="text1"/>
          <w:lang w:val="en-GB"/>
        </w:rPr>
        <w:t xml:space="preserve"> the study population </w:t>
      </w:r>
      <w:r w:rsidR="008C06CC">
        <w:rPr>
          <w:rFonts w:ascii="Arial" w:hAnsi="Arial" w:cs="Arial"/>
          <w:color w:val="000000" w:themeColor="text1"/>
          <w:lang w:val="en-GB"/>
        </w:rPr>
        <w:t xml:space="preserve">were: </w:t>
      </w:r>
      <w:r w:rsidR="00F45F83">
        <w:rPr>
          <w:rFonts w:ascii="Arial" w:hAnsi="Arial" w:cs="Arial"/>
          <w:color w:val="000000" w:themeColor="text1"/>
          <w:lang w:val="en-GB"/>
        </w:rPr>
        <w:t>small</w:t>
      </w:r>
      <w:r>
        <w:rPr>
          <w:rFonts w:ascii="Arial" w:hAnsi="Arial" w:cs="Arial"/>
          <w:color w:val="000000" w:themeColor="text1"/>
          <w:lang w:val="en-GB"/>
        </w:rPr>
        <w:t xml:space="preserve"> </w:t>
      </w:r>
      <w:r w:rsidR="00F45F83">
        <w:rPr>
          <w:rFonts w:ascii="Arial" w:hAnsi="Arial" w:cs="Arial"/>
          <w:color w:val="000000" w:themeColor="text1"/>
          <w:lang w:val="en-GB"/>
        </w:rPr>
        <w:t>for</w:t>
      </w:r>
      <w:r>
        <w:rPr>
          <w:rFonts w:ascii="Arial" w:hAnsi="Arial" w:cs="Arial"/>
          <w:color w:val="000000" w:themeColor="text1"/>
          <w:lang w:val="en-GB"/>
        </w:rPr>
        <w:t xml:space="preserve"> </w:t>
      </w:r>
      <w:r w:rsidR="00F45F83">
        <w:rPr>
          <w:rFonts w:ascii="Arial" w:hAnsi="Arial" w:cs="Arial"/>
          <w:color w:val="000000" w:themeColor="text1"/>
          <w:lang w:val="en-GB"/>
        </w:rPr>
        <w:t>gestational</w:t>
      </w:r>
      <w:r>
        <w:rPr>
          <w:rFonts w:ascii="Arial" w:hAnsi="Arial" w:cs="Arial"/>
          <w:color w:val="000000" w:themeColor="text1"/>
          <w:lang w:val="en-GB"/>
        </w:rPr>
        <w:t xml:space="preserve"> </w:t>
      </w:r>
      <w:r w:rsidR="008C06CC">
        <w:rPr>
          <w:rFonts w:ascii="Arial" w:hAnsi="Arial" w:cs="Arial"/>
          <w:color w:val="000000" w:themeColor="text1"/>
          <w:lang w:val="en-GB"/>
        </w:rPr>
        <w:t>age</w:t>
      </w:r>
      <w:r>
        <w:rPr>
          <w:rFonts w:ascii="Arial" w:hAnsi="Arial" w:cs="Arial"/>
          <w:color w:val="000000" w:themeColor="text1"/>
          <w:lang w:val="en-GB"/>
        </w:rPr>
        <w:t>,</w:t>
      </w:r>
      <w:r w:rsidR="008C06CC">
        <w:rPr>
          <w:rFonts w:ascii="Arial" w:hAnsi="Arial" w:cs="Arial"/>
          <w:color w:val="000000" w:themeColor="text1"/>
          <w:lang w:val="en-GB"/>
        </w:rPr>
        <w:t xml:space="preserve"> SGA</w:t>
      </w:r>
      <w:r>
        <w:rPr>
          <w:rFonts w:ascii="Arial" w:hAnsi="Arial" w:cs="Arial"/>
          <w:color w:val="000000" w:themeColor="text1"/>
          <w:lang w:val="en-GB"/>
        </w:rPr>
        <w:t>,</w:t>
      </w:r>
      <w:r w:rsidR="008C06CC">
        <w:rPr>
          <w:rFonts w:ascii="Arial" w:hAnsi="Arial" w:cs="Arial"/>
          <w:color w:val="000000" w:themeColor="text1"/>
          <w:lang w:val="en-GB"/>
        </w:rPr>
        <w:t xml:space="preserve"> intrauterine growth restriction</w:t>
      </w:r>
      <w:r>
        <w:rPr>
          <w:rFonts w:ascii="Arial" w:hAnsi="Arial" w:cs="Arial"/>
          <w:color w:val="000000" w:themeColor="text1"/>
          <w:lang w:val="en-GB"/>
        </w:rPr>
        <w:t xml:space="preserve">, </w:t>
      </w:r>
      <w:r w:rsidR="008C06CC">
        <w:rPr>
          <w:rFonts w:ascii="Arial" w:hAnsi="Arial" w:cs="Arial"/>
          <w:color w:val="000000" w:themeColor="text1"/>
          <w:lang w:val="en-GB"/>
        </w:rPr>
        <w:t>IUGR</w:t>
      </w:r>
      <w:r>
        <w:rPr>
          <w:rFonts w:ascii="Arial" w:hAnsi="Arial" w:cs="Arial"/>
          <w:color w:val="000000" w:themeColor="text1"/>
          <w:lang w:val="en-GB"/>
        </w:rPr>
        <w:t xml:space="preserve">, </w:t>
      </w:r>
      <w:r w:rsidR="008C06CC">
        <w:rPr>
          <w:rFonts w:ascii="Arial" w:hAnsi="Arial" w:cs="Arial"/>
          <w:color w:val="000000" w:themeColor="text1"/>
          <w:lang w:val="en-GB"/>
        </w:rPr>
        <w:t>growth restricted</w:t>
      </w:r>
      <w:r w:rsidR="00304BEC">
        <w:rPr>
          <w:rFonts w:ascii="Arial" w:hAnsi="Arial" w:cs="Arial"/>
          <w:color w:val="000000" w:themeColor="text1"/>
          <w:lang w:val="en-GB"/>
        </w:rPr>
        <w:t xml:space="preserve">, </w:t>
      </w:r>
      <w:r w:rsidR="008C06CC">
        <w:rPr>
          <w:rFonts w:ascii="Arial" w:hAnsi="Arial" w:cs="Arial"/>
          <w:color w:val="000000" w:themeColor="text1"/>
          <w:lang w:val="en-GB"/>
        </w:rPr>
        <w:t>growth retarded</w:t>
      </w:r>
      <w:r w:rsidR="00304BEC">
        <w:rPr>
          <w:rFonts w:ascii="Arial" w:hAnsi="Arial" w:cs="Arial"/>
          <w:color w:val="000000" w:themeColor="text1"/>
          <w:lang w:val="en-GB"/>
        </w:rPr>
        <w:t xml:space="preserve">, </w:t>
      </w:r>
      <w:proofErr w:type="gramStart"/>
      <w:r w:rsidR="008C06CC">
        <w:rPr>
          <w:rFonts w:ascii="Arial" w:hAnsi="Arial" w:cs="Arial"/>
          <w:color w:val="000000" w:themeColor="text1"/>
          <w:lang w:val="en-GB"/>
        </w:rPr>
        <w:t>low</w:t>
      </w:r>
      <w:proofErr w:type="gramEnd"/>
      <w:r w:rsidR="008C06CC">
        <w:rPr>
          <w:rFonts w:ascii="Arial" w:hAnsi="Arial" w:cs="Arial"/>
          <w:color w:val="000000" w:themeColor="text1"/>
          <w:lang w:val="en-GB"/>
        </w:rPr>
        <w:t xml:space="preserve"> birth weight</w:t>
      </w:r>
      <w:r w:rsidR="00304BEC">
        <w:rPr>
          <w:rFonts w:ascii="Arial" w:hAnsi="Arial" w:cs="Arial"/>
          <w:color w:val="000000" w:themeColor="text1"/>
          <w:lang w:val="en-GB"/>
        </w:rPr>
        <w:t xml:space="preserve"> and </w:t>
      </w:r>
      <w:r w:rsidR="008C06CC">
        <w:rPr>
          <w:rFonts w:ascii="Arial" w:hAnsi="Arial" w:cs="Arial"/>
          <w:color w:val="000000" w:themeColor="text1"/>
          <w:lang w:val="en-GB"/>
        </w:rPr>
        <w:t xml:space="preserve">not preterm. Only studies on infants born at term were included. </w:t>
      </w:r>
      <w:r w:rsidR="008C06CC">
        <w:rPr>
          <w:rFonts w:ascii="Arial" w:hAnsi="Arial" w:cs="Arial"/>
          <w:lang w:val="en-GB"/>
        </w:rPr>
        <w:t>Studies that also reported preterm data were only included if the findings were presented separately.</w:t>
      </w:r>
    </w:p>
    <w:p w14:paraId="02CE5741" w14:textId="4744546F" w:rsidR="00617FE8" w:rsidRDefault="00226E3B">
      <w:pPr>
        <w:spacing w:after="0" w:line="480" w:lineRule="auto"/>
        <w:jc w:val="both"/>
        <w:rPr>
          <w:rFonts w:ascii="Arial" w:hAnsi="Arial" w:cs="Arial"/>
          <w:color w:val="000000" w:themeColor="text1"/>
          <w:lang w:val="en-GB"/>
        </w:rPr>
      </w:pPr>
      <w:r>
        <w:rPr>
          <w:rFonts w:ascii="Arial" w:hAnsi="Arial" w:cs="Arial"/>
          <w:color w:val="000000" w:themeColor="text1"/>
          <w:lang w:val="en-GB"/>
        </w:rPr>
        <w:t>With regard to exposure, s</w:t>
      </w:r>
      <w:r w:rsidR="008C06CC">
        <w:rPr>
          <w:rFonts w:ascii="Arial" w:hAnsi="Arial" w:cs="Arial"/>
          <w:color w:val="000000" w:themeColor="text1"/>
          <w:lang w:val="en-GB"/>
        </w:rPr>
        <w:t xml:space="preserve">pecial attention was given to </w:t>
      </w:r>
      <w:r w:rsidR="00304BEC">
        <w:rPr>
          <w:rFonts w:ascii="Arial" w:hAnsi="Arial" w:cs="Arial"/>
          <w:color w:val="000000" w:themeColor="text1"/>
          <w:lang w:val="en-GB"/>
        </w:rPr>
        <w:t>using</w:t>
      </w:r>
      <w:r w:rsidR="00304BEC">
        <w:rPr>
          <w:rFonts w:ascii="Arial" w:hAnsi="Arial" w:cs="Arial"/>
          <w:color w:val="548DD4" w:themeColor="text2" w:themeTint="99"/>
          <w:lang w:val="en-GB"/>
        </w:rPr>
        <w:t xml:space="preserve"> </w:t>
      </w:r>
      <w:r w:rsidR="008C06CC">
        <w:rPr>
          <w:rFonts w:ascii="Arial" w:hAnsi="Arial" w:cs="Arial"/>
          <w:color w:val="000000" w:themeColor="text1"/>
          <w:lang w:val="en-GB"/>
        </w:rPr>
        <w:t>a definition of growth that considered changes in weight and</w:t>
      </w:r>
      <w:r w:rsidR="005B07F4">
        <w:rPr>
          <w:rFonts w:ascii="Arial" w:hAnsi="Arial" w:cs="Arial"/>
          <w:color w:val="000000" w:themeColor="text1"/>
          <w:lang w:val="en-GB"/>
        </w:rPr>
        <w:t xml:space="preserve">, </w:t>
      </w:r>
      <w:r w:rsidR="008C06CC">
        <w:rPr>
          <w:rFonts w:ascii="Arial" w:hAnsi="Arial" w:cs="Arial"/>
          <w:color w:val="000000" w:themeColor="text1"/>
          <w:lang w:val="en-GB"/>
        </w:rPr>
        <w:t>or</w:t>
      </w:r>
      <w:r w:rsidR="005B07F4">
        <w:rPr>
          <w:rFonts w:ascii="Arial" w:hAnsi="Arial" w:cs="Arial"/>
          <w:color w:val="000000" w:themeColor="text1"/>
          <w:lang w:val="en-GB"/>
        </w:rPr>
        <w:t>,</w:t>
      </w:r>
      <w:r w:rsidR="008C06CC">
        <w:rPr>
          <w:rFonts w:ascii="Arial" w:hAnsi="Arial" w:cs="Arial"/>
          <w:color w:val="000000" w:themeColor="text1"/>
          <w:lang w:val="en-GB"/>
        </w:rPr>
        <w:t xml:space="preserve"> height between at least two time points</w:t>
      </w:r>
      <w:r w:rsidR="00304BEC">
        <w:rPr>
          <w:rFonts w:ascii="Arial" w:hAnsi="Arial" w:cs="Arial"/>
          <w:color w:val="000000" w:themeColor="text1"/>
          <w:lang w:val="en-GB"/>
        </w:rPr>
        <w:t>, such as b</w:t>
      </w:r>
      <w:r w:rsidR="008C06CC">
        <w:rPr>
          <w:rFonts w:ascii="Arial" w:hAnsi="Arial" w:cs="Arial"/>
          <w:color w:val="000000" w:themeColor="text1"/>
          <w:lang w:val="en-GB"/>
        </w:rPr>
        <w:t xml:space="preserve">irth to </w:t>
      </w:r>
      <w:r w:rsidR="00F45F83">
        <w:rPr>
          <w:rFonts w:ascii="Arial" w:hAnsi="Arial" w:cs="Arial"/>
          <w:color w:val="000000" w:themeColor="text1"/>
          <w:lang w:val="en-GB"/>
        </w:rPr>
        <w:t xml:space="preserve">16 </w:t>
      </w:r>
      <w:r w:rsidR="008C06CC">
        <w:rPr>
          <w:rFonts w:ascii="Arial" w:hAnsi="Arial" w:cs="Arial"/>
          <w:color w:val="000000" w:themeColor="text1"/>
          <w:lang w:val="en-GB"/>
        </w:rPr>
        <w:t>weeks</w:t>
      </w:r>
      <w:r w:rsidR="00304BEC">
        <w:rPr>
          <w:rFonts w:ascii="Arial" w:hAnsi="Arial" w:cs="Arial"/>
          <w:color w:val="000000" w:themeColor="text1"/>
          <w:lang w:val="en-GB"/>
        </w:rPr>
        <w:t xml:space="preserve">, </w:t>
      </w:r>
      <w:r w:rsidR="008C06CC">
        <w:rPr>
          <w:rFonts w:ascii="Arial" w:hAnsi="Arial" w:cs="Arial"/>
          <w:color w:val="000000" w:themeColor="text1"/>
          <w:lang w:val="en-GB"/>
        </w:rPr>
        <w:t xml:space="preserve">rather than measurements of body size at one specific age. Growth was also accepted if reported as absolute velocity or as a change in </w:t>
      </w:r>
      <w:r w:rsidR="00F45F83">
        <w:rPr>
          <w:rFonts w:ascii="Arial" w:hAnsi="Arial" w:cs="Arial"/>
          <w:color w:val="000000" w:themeColor="text1"/>
          <w:lang w:val="en-GB"/>
        </w:rPr>
        <w:t xml:space="preserve">standard deviation </w:t>
      </w:r>
      <w:r w:rsidR="008C06CC">
        <w:rPr>
          <w:rFonts w:ascii="Arial" w:hAnsi="Arial" w:cs="Arial"/>
          <w:color w:val="000000" w:themeColor="text1"/>
          <w:lang w:val="en-GB"/>
        </w:rPr>
        <w:t xml:space="preserve">scores. In the latter case, the growth reference used </w:t>
      </w:r>
      <w:r w:rsidR="00304BEC">
        <w:rPr>
          <w:rFonts w:ascii="Arial" w:hAnsi="Arial" w:cs="Arial"/>
          <w:color w:val="000000" w:themeColor="text1"/>
          <w:lang w:val="en-GB"/>
        </w:rPr>
        <w:t>needed</w:t>
      </w:r>
      <w:r w:rsidR="008C06CC">
        <w:rPr>
          <w:rFonts w:ascii="Arial" w:hAnsi="Arial" w:cs="Arial"/>
          <w:color w:val="000000" w:themeColor="text1"/>
          <w:lang w:val="en-GB"/>
        </w:rPr>
        <w:t xml:space="preserve"> to be reported. Studies were accepted if the outcome was assessed at the same age as the second growth measurement or later. </w:t>
      </w:r>
    </w:p>
    <w:p w14:paraId="40F615E8" w14:textId="2A401BB0" w:rsidR="00617FE8" w:rsidRDefault="00304BEC">
      <w:pPr>
        <w:spacing w:after="0" w:line="480" w:lineRule="auto"/>
        <w:jc w:val="both"/>
        <w:rPr>
          <w:rFonts w:ascii="Arial" w:hAnsi="Arial" w:cs="Arial"/>
          <w:color w:val="000000" w:themeColor="text1"/>
          <w:lang w:val="en-GB"/>
        </w:rPr>
      </w:pPr>
      <w:r>
        <w:rPr>
          <w:rFonts w:ascii="Arial" w:hAnsi="Arial" w:cs="Arial"/>
          <w:color w:val="000000" w:themeColor="text1"/>
          <w:lang w:val="en-GB"/>
        </w:rPr>
        <w:t>The m</w:t>
      </w:r>
      <w:r w:rsidR="008C06CC" w:rsidRPr="006F51D7">
        <w:rPr>
          <w:rFonts w:ascii="Arial" w:hAnsi="Arial" w:cs="Arial"/>
          <w:color w:val="000000" w:themeColor="text1"/>
          <w:lang w:val="en-GB"/>
        </w:rPr>
        <w:t>etabolic</w:t>
      </w:r>
      <w:r w:rsidR="008C06CC">
        <w:rPr>
          <w:rFonts w:ascii="Arial" w:hAnsi="Arial" w:cs="Arial"/>
          <w:i/>
          <w:color w:val="000000" w:themeColor="text1"/>
          <w:lang w:val="en-GB"/>
        </w:rPr>
        <w:t xml:space="preserve"> </w:t>
      </w:r>
      <w:r w:rsidR="00226E3B">
        <w:rPr>
          <w:rFonts w:ascii="Arial" w:hAnsi="Arial" w:cs="Arial"/>
          <w:color w:val="000000" w:themeColor="text1"/>
          <w:lang w:val="en-GB"/>
        </w:rPr>
        <w:t>o</w:t>
      </w:r>
      <w:r w:rsidR="008C06CC">
        <w:rPr>
          <w:rFonts w:ascii="Arial" w:hAnsi="Arial" w:cs="Arial"/>
          <w:color w:val="000000" w:themeColor="text1"/>
          <w:lang w:val="en-GB"/>
        </w:rPr>
        <w:t xml:space="preserve">utcomes </w:t>
      </w:r>
      <w:r>
        <w:rPr>
          <w:rFonts w:ascii="Arial" w:hAnsi="Arial" w:cs="Arial"/>
          <w:color w:val="000000" w:themeColor="text1"/>
          <w:lang w:val="en-GB"/>
        </w:rPr>
        <w:t xml:space="preserve">that we </w:t>
      </w:r>
      <w:r w:rsidR="00226E3B">
        <w:rPr>
          <w:rFonts w:ascii="Arial" w:hAnsi="Arial" w:cs="Arial"/>
          <w:color w:val="000000" w:themeColor="text1"/>
          <w:lang w:val="en-GB"/>
        </w:rPr>
        <w:t xml:space="preserve">considered </w:t>
      </w:r>
      <w:r w:rsidR="008C06CC">
        <w:rPr>
          <w:rFonts w:ascii="Arial" w:hAnsi="Arial" w:cs="Arial"/>
          <w:color w:val="000000" w:themeColor="text1"/>
          <w:lang w:val="en-GB"/>
        </w:rPr>
        <w:t>were related to body composition</w:t>
      </w:r>
      <w:r>
        <w:rPr>
          <w:rFonts w:ascii="Arial" w:hAnsi="Arial" w:cs="Arial"/>
          <w:color w:val="000000" w:themeColor="text1"/>
          <w:lang w:val="en-GB"/>
        </w:rPr>
        <w:t xml:space="preserve"> - such as</w:t>
      </w:r>
      <w:r w:rsidR="008C06CC">
        <w:rPr>
          <w:rFonts w:ascii="Arial" w:hAnsi="Arial" w:cs="Arial"/>
          <w:color w:val="000000" w:themeColor="text1"/>
          <w:lang w:val="en-GB"/>
        </w:rPr>
        <w:t xml:space="preserve"> overweight, obesity</w:t>
      </w:r>
      <w:r>
        <w:rPr>
          <w:rFonts w:ascii="Arial" w:hAnsi="Arial" w:cs="Arial"/>
          <w:color w:val="000000" w:themeColor="text1"/>
          <w:lang w:val="en-GB"/>
        </w:rPr>
        <w:t xml:space="preserve"> and</w:t>
      </w:r>
      <w:r w:rsidR="008C06CC">
        <w:rPr>
          <w:rFonts w:ascii="Arial" w:hAnsi="Arial" w:cs="Arial"/>
          <w:color w:val="000000" w:themeColor="text1"/>
          <w:lang w:val="en-GB"/>
        </w:rPr>
        <w:t xml:space="preserve"> adiposity</w:t>
      </w:r>
      <w:r>
        <w:rPr>
          <w:rFonts w:ascii="Arial" w:hAnsi="Arial" w:cs="Arial"/>
          <w:color w:val="000000" w:themeColor="text1"/>
          <w:lang w:val="en-GB"/>
        </w:rPr>
        <w:t xml:space="preserve"> -</w:t>
      </w:r>
      <w:r w:rsidR="008C06CC">
        <w:rPr>
          <w:rFonts w:ascii="Arial" w:hAnsi="Arial" w:cs="Arial"/>
          <w:color w:val="000000" w:themeColor="text1"/>
          <w:lang w:val="en-GB"/>
        </w:rPr>
        <w:t>, insulin resistance, glucose tolerance or cardiovascular risk</w:t>
      </w:r>
      <w:r>
        <w:rPr>
          <w:rFonts w:ascii="Arial" w:hAnsi="Arial" w:cs="Arial"/>
          <w:color w:val="000000" w:themeColor="text1"/>
          <w:lang w:val="en-GB"/>
        </w:rPr>
        <w:t xml:space="preserve">, including the </w:t>
      </w:r>
      <w:r w:rsidR="008C06CC">
        <w:rPr>
          <w:rFonts w:ascii="Arial" w:hAnsi="Arial" w:cs="Arial"/>
          <w:color w:val="000000" w:themeColor="text1"/>
          <w:lang w:val="en-GB"/>
        </w:rPr>
        <w:t>blood lipid profile</w:t>
      </w:r>
      <w:r>
        <w:rPr>
          <w:rFonts w:ascii="Arial" w:hAnsi="Arial" w:cs="Arial"/>
          <w:color w:val="000000" w:themeColor="text1"/>
          <w:lang w:val="en-GB"/>
        </w:rPr>
        <w:t xml:space="preserve"> and</w:t>
      </w:r>
      <w:r w:rsidR="008C06CC">
        <w:rPr>
          <w:rFonts w:ascii="Arial" w:hAnsi="Arial" w:cs="Arial"/>
          <w:color w:val="000000" w:themeColor="text1"/>
          <w:lang w:val="en-GB"/>
        </w:rPr>
        <w:t xml:space="preserve"> blood pressure. </w:t>
      </w:r>
      <w:r>
        <w:rPr>
          <w:rFonts w:ascii="Arial" w:hAnsi="Arial" w:cs="Arial"/>
          <w:color w:val="000000" w:themeColor="text1"/>
          <w:lang w:val="en-GB"/>
        </w:rPr>
        <w:t>The n</w:t>
      </w:r>
      <w:r w:rsidR="008C06CC" w:rsidRPr="006F51D7">
        <w:rPr>
          <w:rFonts w:ascii="Arial" w:hAnsi="Arial" w:cs="Arial"/>
          <w:color w:val="000000" w:themeColor="text1"/>
          <w:lang w:val="en-GB"/>
        </w:rPr>
        <w:t>eurodevelopmental outcome</w:t>
      </w:r>
      <w:r w:rsidR="008C06CC">
        <w:rPr>
          <w:rFonts w:ascii="Arial" w:hAnsi="Arial" w:cs="Arial"/>
          <w:color w:val="000000" w:themeColor="text1"/>
          <w:lang w:val="en-GB"/>
        </w:rPr>
        <w:t xml:space="preserve"> </w:t>
      </w:r>
      <w:r w:rsidR="00226E3B">
        <w:rPr>
          <w:rFonts w:ascii="Arial" w:hAnsi="Arial" w:cs="Arial"/>
          <w:color w:val="000000" w:themeColor="text1"/>
          <w:lang w:val="en-GB"/>
        </w:rPr>
        <w:t>m</w:t>
      </w:r>
      <w:r w:rsidR="008C06CC">
        <w:rPr>
          <w:rFonts w:ascii="Arial" w:hAnsi="Arial" w:cs="Arial"/>
          <w:color w:val="000000" w:themeColor="text1"/>
          <w:lang w:val="en-GB"/>
        </w:rPr>
        <w:t>easures included: neurodevelopment</w:t>
      </w:r>
      <w:r w:rsidR="00093367">
        <w:rPr>
          <w:rFonts w:ascii="Arial" w:hAnsi="Arial" w:cs="Arial"/>
          <w:color w:val="000000" w:themeColor="text1"/>
          <w:lang w:val="en-GB"/>
        </w:rPr>
        <w:t xml:space="preserve">, </w:t>
      </w:r>
      <w:r w:rsidR="008C06CC">
        <w:rPr>
          <w:rFonts w:ascii="Arial" w:hAnsi="Arial" w:cs="Arial"/>
          <w:color w:val="000000" w:themeColor="text1"/>
          <w:lang w:val="en-GB"/>
        </w:rPr>
        <w:t>cognition</w:t>
      </w:r>
      <w:r w:rsidR="00093367">
        <w:rPr>
          <w:rFonts w:ascii="Arial" w:hAnsi="Arial" w:cs="Arial"/>
          <w:color w:val="000000" w:themeColor="text1"/>
          <w:lang w:val="en-GB"/>
        </w:rPr>
        <w:t>,</w:t>
      </w:r>
      <w:r w:rsidR="008C06CC">
        <w:rPr>
          <w:rFonts w:ascii="Arial" w:hAnsi="Arial" w:cs="Arial"/>
          <w:color w:val="000000" w:themeColor="text1"/>
          <w:lang w:val="en-GB"/>
        </w:rPr>
        <w:t xml:space="preserve"> </w:t>
      </w:r>
      <w:r w:rsidR="00BB719F" w:rsidRPr="00BB719F">
        <w:rPr>
          <w:rFonts w:ascii="Arial" w:hAnsi="Arial" w:cs="Arial"/>
          <w:color w:val="000000" w:themeColor="text1"/>
          <w:lang w:val="en-GB"/>
        </w:rPr>
        <w:t>intelligence quotient</w:t>
      </w:r>
      <w:r w:rsidR="00602D2A">
        <w:rPr>
          <w:rFonts w:ascii="Arial" w:hAnsi="Arial" w:cs="Arial"/>
          <w:color w:val="000000" w:themeColor="text1"/>
          <w:lang w:val="en-GB"/>
        </w:rPr>
        <w:t>,</w:t>
      </w:r>
      <w:r w:rsidR="008C06CC">
        <w:rPr>
          <w:rFonts w:ascii="Arial" w:hAnsi="Arial" w:cs="Arial"/>
          <w:color w:val="000000" w:themeColor="text1"/>
          <w:lang w:val="en-GB"/>
        </w:rPr>
        <w:t xml:space="preserve"> motor function and behaviour. No limit was applied regarding the </w:t>
      </w:r>
      <w:r>
        <w:rPr>
          <w:rFonts w:ascii="Arial" w:hAnsi="Arial" w:cs="Arial"/>
          <w:color w:val="000000" w:themeColor="text1"/>
          <w:lang w:val="en-GB"/>
        </w:rPr>
        <w:t xml:space="preserve">subjects’ ages </w:t>
      </w:r>
      <w:r w:rsidR="008C06CC">
        <w:rPr>
          <w:rFonts w:ascii="Arial" w:hAnsi="Arial" w:cs="Arial"/>
          <w:color w:val="000000" w:themeColor="text1"/>
          <w:lang w:val="en-GB"/>
        </w:rPr>
        <w:t xml:space="preserve">at </w:t>
      </w:r>
      <w:r>
        <w:rPr>
          <w:rFonts w:ascii="Arial" w:hAnsi="Arial" w:cs="Arial"/>
          <w:color w:val="000000" w:themeColor="text1"/>
          <w:lang w:val="en-GB"/>
        </w:rPr>
        <w:t xml:space="preserve">the time of the </w:t>
      </w:r>
      <w:r w:rsidR="008C06CC">
        <w:rPr>
          <w:rFonts w:ascii="Arial" w:hAnsi="Arial" w:cs="Arial"/>
          <w:color w:val="000000" w:themeColor="text1"/>
          <w:lang w:val="en-GB"/>
        </w:rPr>
        <w:t xml:space="preserve">outcome assessment. The earliest was </w:t>
      </w:r>
      <w:r w:rsidR="00226E3B">
        <w:rPr>
          <w:rFonts w:ascii="Arial" w:hAnsi="Arial" w:cs="Arial"/>
          <w:color w:val="000000" w:themeColor="text1"/>
          <w:lang w:val="en-GB"/>
        </w:rPr>
        <w:t xml:space="preserve">four </w:t>
      </w:r>
      <w:r w:rsidR="008C06CC">
        <w:rPr>
          <w:rFonts w:ascii="Arial" w:hAnsi="Arial" w:cs="Arial"/>
          <w:color w:val="000000" w:themeColor="text1"/>
          <w:lang w:val="en-GB"/>
        </w:rPr>
        <w:t>months and the latest was in</w:t>
      </w:r>
      <w:r w:rsidR="00093367">
        <w:rPr>
          <w:rFonts w:ascii="Arial" w:hAnsi="Arial" w:cs="Arial"/>
          <w:color w:val="000000" w:themeColor="text1"/>
          <w:lang w:val="en-GB"/>
        </w:rPr>
        <w:t xml:space="preserve"> 21</w:t>
      </w:r>
      <w:r>
        <w:rPr>
          <w:rFonts w:ascii="Arial" w:hAnsi="Arial" w:cs="Arial"/>
          <w:color w:val="000000" w:themeColor="text1"/>
          <w:lang w:val="en-GB"/>
        </w:rPr>
        <w:t>-</w:t>
      </w:r>
      <w:r w:rsidR="00093367">
        <w:rPr>
          <w:rFonts w:ascii="Arial" w:hAnsi="Arial" w:cs="Arial"/>
          <w:color w:val="000000" w:themeColor="text1"/>
          <w:lang w:val="en-GB"/>
        </w:rPr>
        <w:t>year</w:t>
      </w:r>
      <w:r>
        <w:rPr>
          <w:rFonts w:ascii="Arial" w:hAnsi="Arial" w:cs="Arial"/>
          <w:color w:val="000000" w:themeColor="text1"/>
          <w:lang w:val="en-GB"/>
        </w:rPr>
        <w:t>-</w:t>
      </w:r>
      <w:r w:rsidR="00093367">
        <w:rPr>
          <w:rFonts w:ascii="Arial" w:hAnsi="Arial" w:cs="Arial"/>
          <w:color w:val="000000" w:themeColor="text1"/>
          <w:lang w:val="en-GB"/>
        </w:rPr>
        <w:t>old</w:t>
      </w:r>
      <w:r w:rsidR="008C06CC">
        <w:rPr>
          <w:rFonts w:ascii="Arial" w:hAnsi="Arial" w:cs="Arial"/>
          <w:color w:val="000000" w:themeColor="text1"/>
          <w:lang w:val="en-GB"/>
        </w:rPr>
        <w:t xml:space="preserve"> young adults. </w:t>
      </w:r>
    </w:p>
    <w:p w14:paraId="3BB32F17" w14:textId="77777777" w:rsidR="00617FE8" w:rsidRDefault="008C06CC">
      <w:pPr>
        <w:spacing w:after="0" w:line="480" w:lineRule="auto"/>
        <w:jc w:val="both"/>
        <w:rPr>
          <w:rFonts w:ascii="Arial" w:hAnsi="Arial" w:cs="Arial"/>
          <w:color w:val="000000" w:themeColor="text1"/>
          <w:lang w:val="en-GB"/>
        </w:rPr>
      </w:pPr>
      <w:r>
        <w:rPr>
          <w:rFonts w:ascii="Arial" w:hAnsi="Arial" w:cs="Arial"/>
          <w:color w:val="000000" w:themeColor="text1"/>
          <w:lang w:val="en-GB"/>
        </w:rPr>
        <w:t xml:space="preserve">Both intervention and observational studies were accepted. Intervention studies were selected if the intervention influenced postnatal growth and the study assessed at least one of the outcomes mentioned above. </w:t>
      </w:r>
    </w:p>
    <w:p w14:paraId="0130A040" w14:textId="7086240D" w:rsidR="00617FE8" w:rsidRDefault="00304BEC">
      <w:pPr>
        <w:spacing w:after="0" w:line="480" w:lineRule="auto"/>
        <w:jc w:val="both"/>
        <w:rPr>
          <w:rFonts w:ascii="Arial" w:hAnsi="Arial" w:cs="Arial"/>
          <w:color w:val="000000" w:themeColor="text1"/>
          <w:lang w:val="en-GB"/>
        </w:rPr>
      </w:pPr>
      <w:r w:rsidRPr="00F4131D">
        <w:rPr>
          <w:rFonts w:ascii="Arial" w:hAnsi="Arial" w:cs="Arial"/>
          <w:color w:val="000000" w:themeColor="text1"/>
          <w:lang w:val="en-GB"/>
        </w:rPr>
        <w:t>The search</w:t>
      </w:r>
      <w:r w:rsidR="008C06CC">
        <w:rPr>
          <w:rFonts w:ascii="Arial" w:hAnsi="Arial" w:cs="Arial"/>
          <w:color w:val="000000" w:themeColor="text1"/>
          <w:lang w:val="en-GB"/>
        </w:rPr>
        <w:t xml:space="preserve"> was limited to studies in humans and original papers published in English. Studies were excluded if </w:t>
      </w:r>
      <w:r>
        <w:rPr>
          <w:rFonts w:ascii="Arial" w:hAnsi="Arial" w:cs="Arial"/>
          <w:color w:val="000000" w:themeColor="text1"/>
          <w:lang w:val="en-GB"/>
        </w:rPr>
        <w:t xml:space="preserve">the </w:t>
      </w:r>
      <w:r w:rsidR="008C06CC">
        <w:rPr>
          <w:rFonts w:ascii="Arial" w:hAnsi="Arial" w:cs="Arial"/>
          <w:color w:val="000000" w:themeColor="text1"/>
          <w:lang w:val="en-GB"/>
        </w:rPr>
        <w:t xml:space="preserve">body size </w:t>
      </w:r>
      <w:r>
        <w:rPr>
          <w:rFonts w:ascii="Arial" w:hAnsi="Arial" w:cs="Arial"/>
          <w:color w:val="000000" w:themeColor="text1"/>
          <w:lang w:val="en-GB"/>
        </w:rPr>
        <w:t xml:space="preserve">was only reported </w:t>
      </w:r>
      <w:r w:rsidR="008C06CC">
        <w:rPr>
          <w:rFonts w:ascii="Arial" w:hAnsi="Arial" w:cs="Arial"/>
          <w:color w:val="000000" w:themeColor="text1"/>
          <w:lang w:val="en-GB"/>
        </w:rPr>
        <w:t>at one time point. Concerns about the eligibility of specific studies were resolved by seeking a second opinion</w:t>
      </w:r>
      <w:r>
        <w:rPr>
          <w:rFonts w:ascii="Arial" w:hAnsi="Arial" w:cs="Arial"/>
          <w:color w:val="000000" w:themeColor="text1"/>
          <w:lang w:val="en-GB"/>
        </w:rPr>
        <w:t xml:space="preserve"> from another author</w:t>
      </w:r>
      <w:r w:rsidR="008C06CC">
        <w:rPr>
          <w:rFonts w:ascii="Arial" w:hAnsi="Arial" w:cs="Arial"/>
          <w:color w:val="000000" w:themeColor="text1"/>
          <w:lang w:val="en-GB"/>
        </w:rPr>
        <w:t xml:space="preserve"> </w:t>
      </w:r>
      <w:r w:rsidR="008C06CC">
        <w:rPr>
          <w:rFonts w:ascii="Arial" w:hAnsi="Arial" w:cs="Arial"/>
          <w:color w:val="000000" w:themeColor="text1"/>
          <w:lang w:val="en-GB"/>
        </w:rPr>
        <w:lastRenderedPageBreak/>
        <w:t xml:space="preserve">(KK). When further assessment was needed, consensus was reached by other authors (ECG, KG, </w:t>
      </w:r>
      <w:proofErr w:type="gramStart"/>
      <w:r w:rsidR="008C06CC">
        <w:rPr>
          <w:rFonts w:ascii="Arial" w:hAnsi="Arial" w:cs="Arial"/>
          <w:color w:val="000000" w:themeColor="text1"/>
          <w:lang w:val="en-GB"/>
        </w:rPr>
        <w:t>KKO</w:t>
      </w:r>
      <w:proofErr w:type="gramEnd"/>
      <w:r w:rsidR="008C06CC">
        <w:rPr>
          <w:rFonts w:ascii="Arial" w:hAnsi="Arial" w:cs="Arial"/>
          <w:color w:val="000000" w:themeColor="text1"/>
          <w:lang w:val="en-GB"/>
        </w:rPr>
        <w:t xml:space="preserve">). Only published data were considered and no further data were requested from study authors. Additional studies suggested by co-authors for possible inclusion were considered, but no new eligible studies were identified this way. </w:t>
      </w:r>
    </w:p>
    <w:p w14:paraId="4180754A" w14:textId="1A9FEC0F" w:rsidR="00617FE8" w:rsidRDefault="00304BEC">
      <w:pPr>
        <w:spacing w:after="0" w:line="480" w:lineRule="auto"/>
        <w:jc w:val="both"/>
        <w:rPr>
          <w:rFonts w:ascii="Arial" w:hAnsi="Arial" w:cs="Arial"/>
          <w:color w:val="000000" w:themeColor="text1"/>
          <w:lang w:val="en-GB"/>
        </w:rPr>
      </w:pPr>
      <w:r>
        <w:rPr>
          <w:rFonts w:ascii="Arial" w:hAnsi="Arial" w:cs="Arial"/>
          <w:color w:val="000000" w:themeColor="text1"/>
          <w:lang w:val="en-GB"/>
        </w:rPr>
        <w:t>One author (</w:t>
      </w:r>
      <w:r w:rsidR="008C06CC">
        <w:rPr>
          <w:rFonts w:ascii="Arial" w:hAnsi="Arial" w:cs="Arial"/>
          <w:color w:val="000000" w:themeColor="text1"/>
          <w:lang w:val="en-GB"/>
        </w:rPr>
        <w:t>EC-M</w:t>
      </w:r>
      <w:r>
        <w:rPr>
          <w:rFonts w:ascii="Arial" w:hAnsi="Arial" w:cs="Arial"/>
          <w:color w:val="000000" w:themeColor="text1"/>
          <w:lang w:val="en-GB"/>
        </w:rPr>
        <w:t>)</w:t>
      </w:r>
      <w:r w:rsidR="008C06CC">
        <w:rPr>
          <w:rFonts w:ascii="Arial" w:hAnsi="Arial" w:cs="Arial"/>
          <w:color w:val="000000" w:themeColor="text1"/>
          <w:lang w:val="en-GB"/>
        </w:rPr>
        <w:t xml:space="preserve"> was responsible for </w:t>
      </w:r>
      <w:r>
        <w:rPr>
          <w:rFonts w:ascii="Arial" w:hAnsi="Arial" w:cs="Arial"/>
          <w:color w:val="000000" w:themeColor="text1"/>
          <w:lang w:val="en-GB"/>
        </w:rPr>
        <w:t xml:space="preserve">the </w:t>
      </w:r>
      <w:r w:rsidR="008C06CC">
        <w:rPr>
          <w:rFonts w:ascii="Arial" w:hAnsi="Arial" w:cs="Arial"/>
          <w:color w:val="000000" w:themeColor="text1"/>
          <w:lang w:val="en-GB"/>
        </w:rPr>
        <w:t>data extraction, tabulation and preliminary interpretation</w:t>
      </w:r>
      <w:r w:rsidR="00226E3B">
        <w:rPr>
          <w:rFonts w:ascii="Arial" w:hAnsi="Arial" w:cs="Arial"/>
          <w:color w:val="000000" w:themeColor="text1"/>
          <w:lang w:val="en-GB"/>
        </w:rPr>
        <w:t xml:space="preserve"> </w:t>
      </w:r>
      <w:r w:rsidRPr="006E63B0">
        <w:rPr>
          <w:rFonts w:ascii="Arial" w:hAnsi="Arial" w:cs="Arial"/>
          <w:color w:val="000000" w:themeColor="text1"/>
          <w:lang w:val="en-GB"/>
        </w:rPr>
        <w:t xml:space="preserve">of the </w:t>
      </w:r>
      <w:r w:rsidR="008C06CC" w:rsidRPr="006E63B0">
        <w:rPr>
          <w:rFonts w:ascii="Arial" w:hAnsi="Arial" w:cs="Arial"/>
          <w:color w:val="000000" w:themeColor="text1"/>
          <w:lang w:val="en-GB"/>
        </w:rPr>
        <w:t>34 individual reports</w:t>
      </w:r>
      <w:r w:rsidR="00D11CEA" w:rsidRPr="00F135FC">
        <w:rPr>
          <w:rFonts w:ascii="Arial" w:hAnsi="Arial" w:cs="Arial"/>
          <w:color w:val="000000" w:themeColor="text1"/>
          <w:lang w:val="en-GB"/>
        </w:rPr>
        <w:t>,</w:t>
      </w:r>
      <w:r w:rsidR="00093367" w:rsidRPr="009B307A">
        <w:rPr>
          <w:rFonts w:ascii="Arial" w:hAnsi="Arial" w:cs="Arial"/>
          <w:color w:val="000000" w:themeColor="text1"/>
          <w:lang w:val="en-GB"/>
        </w:rPr>
        <w:t xml:space="preserve"> </w:t>
      </w:r>
      <w:r w:rsidR="00226E3B" w:rsidRPr="009B307A">
        <w:rPr>
          <w:rFonts w:ascii="Arial" w:hAnsi="Arial" w:cs="Arial"/>
          <w:color w:val="000000" w:themeColor="text1"/>
          <w:lang w:val="en-GB"/>
        </w:rPr>
        <w:t>o</w:t>
      </w:r>
      <w:r w:rsidR="00226E3B" w:rsidRPr="00971A56">
        <w:rPr>
          <w:rFonts w:ascii="Arial" w:hAnsi="Arial" w:cs="Arial"/>
          <w:color w:val="000000" w:themeColor="text1"/>
          <w:lang w:val="en-GB"/>
        </w:rPr>
        <w:t>f which</w:t>
      </w:r>
      <w:r w:rsidR="008C06CC">
        <w:rPr>
          <w:rFonts w:ascii="Arial" w:hAnsi="Arial" w:cs="Arial"/>
          <w:color w:val="000000" w:themeColor="text1"/>
          <w:lang w:val="en-GB"/>
        </w:rPr>
        <w:t xml:space="preserve"> </w:t>
      </w:r>
      <w:r w:rsidR="00226E3B">
        <w:rPr>
          <w:rFonts w:ascii="Arial" w:hAnsi="Arial" w:cs="Arial"/>
          <w:color w:val="000000" w:themeColor="text1"/>
          <w:lang w:val="en-GB"/>
        </w:rPr>
        <w:t xml:space="preserve">six </w:t>
      </w:r>
      <w:r w:rsidR="008C06CC">
        <w:rPr>
          <w:rFonts w:ascii="Arial" w:hAnsi="Arial" w:cs="Arial"/>
          <w:color w:val="000000" w:themeColor="text1"/>
          <w:lang w:val="en-GB"/>
        </w:rPr>
        <w:t xml:space="preserve">examined neurodevelopmental outcomes and 28 examined metabolic outcomes. </w:t>
      </w:r>
      <w:r w:rsidR="00226E3B">
        <w:rPr>
          <w:rFonts w:ascii="Arial" w:hAnsi="Arial" w:cs="Arial"/>
          <w:color w:val="000000" w:themeColor="text1"/>
          <w:lang w:val="en-GB"/>
        </w:rPr>
        <w:t>As 16 (47%) of these papers reported several outcomes of interest they</w:t>
      </w:r>
      <w:r w:rsidR="008C06CC">
        <w:rPr>
          <w:rFonts w:ascii="Arial" w:hAnsi="Arial" w:cs="Arial"/>
          <w:color w:val="000000" w:themeColor="text1"/>
          <w:lang w:val="en-GB"/>
        </w:rPr>
        <w:t xml:space="preserve"> were used more than once</w:t>
      </w:r>
      <w:r w:rsidR="00226E3B">
        <w:rPr>
          <w:rFonts w:ascii="Arial" w:hAnsi="Arial" w:cs="Arial"/>
          <w:color w:val="000000" w:themeColor="text1"/>
          <w:lang w:val="en-GB"/>
        </w:rPr>
        <w:t>.</w:t>
      </w:r>
    </w:p>
    <w:p w14:paraId="78208101" w14:textId="4C40BD51" w:rsidR="00617FE8" w:rsidRDefault="008C06CC">
      <w:pPr>
        <w:spacing w:after="0" w:line="480" w:lineRule="auto"/>
        <w:jc w:val="both"/>
        <w:rPr>
          <w:rFonts w:ascii="Arial" w:hAnsi="Arial" w:cs="Arial"/>
          <w:color w:val="000000" w:themeColor="text1"/>
          <w:lang w:val="en-GB"/>
        </w:rPr>
      </w:pPr>
      <w:r>
        <w:rPr>
          <w:rFonts w:ascii="Arial" w:hAnsi="Arial" w:cs="Arial"/>
          <w:color w:val="000000" w:themeColor="text1"/>
          <w:lang w:val="en-GB"/>
        </w:rPr>
        <w:t xml:space="preserve">Data were retrieved using specifically designed forms that included </w:t>
      </w:r>
      <w:r w:rsidR="00D11CEA">
        <w:rPr>
          <w:rFonts w:ascii="Arial" w:hAnsi="Arial" w:cs="Arial"/>
          <w:color w:val="000000" w:themeColor="text1"/>
          <w:lang w:val="en-GB"/>
        </w:rPr>
        <w:t xml:space="preserve">the </w:t>
      </w:r>
      <w:r>
        <w:rPr>
          <w:rFonts w:ascii="Arial" w:hAnsi="Arial" w:cs="Arial"/>
          <w:color w:val="000000" w:themeColor="text1"/>
          <w:lang w:val="en-GB"/>
        </w:rPr>
        <w:t>study design, timing and nature of the exposure, number of participants and age at follow-up measurements. A summary result indicator was attributed to each study, whether it reported a positive effect</w:t>
      </w:r>
      <w:r w:rsidR="00226E3B">
        <w:rPr>
          <w:rFonts w:ascii="Arial" w:hAnsi="Arial" w:cs="Arial"/>
          <w:color w:val="000000" w:themeColor="text1"/>
          <w:lang w:val="en-GB"/>
        </w:rPr>
        <w:t xml:space="preserve"> and, or, </w:t>
      </w:r>
      <w:r w:rsidR="00D11CEA">
        <w:rPr>
          <w:rFonts w:ascii="Arial" w:hAnsi="Arial" w:cs="Arial"/>
          <w:color w:val="000000" w:themeColor="text1"/>
          <w:lang w:val="en-GB"/>
        </w:rPr>
        <w:t xml:space="preserve">the </w:t>
      </w:r>
      <w:r>
        <w:rPr>
          <w:rFonts w:ascii="Arial" w:hAnsi="Arial" w:cs="Arial"/>
          <w:color w:val="000000" w:themeColor="text1"/>
          <w:lang w:val="en-GB"/>
        </w:rPr>
        <w:t>association between postnatal growth and the outcome measure</w:t>
      </w:r>
      <w:r w:rsidR="00D11CEA">
        <w:rPr>
          <w:rFonts w:ascii="Arial" w:hAnsi="Arial" w:cs="Arial"/>
          <w:color w:val="000000" w:themeColor="text1"/>
          <w:lang w:val="en-GB"/>
        </w:rPr>
        <w:t>. These were broken down into</w:t>
      </w:r>
      <w:r>
        <w:rPr>
          <w:rFonts w:ascii="Arial" w:hAnsi="Arial" w:cs="Arial"/>
          <w:color w:val="000000" w:themeColor="text1"/>
          <w:lang w:val="en-GB"/>
        </w:rPr>
        <w:t xml:space="preserve"> </w:t>
      </w:r>
      <w:r w:rsidR="00D11CEA">
        <w:rPr>
          <w:rFonts w:ascii="Arial" w:hAnsi="Arial" w:cs="Arial"/>
          <w:color w:val="000000" w:themeColor="text1"/>
          <w:lang w:val="en-GB"/>
        </w:rPr>
        <w:t xml:space="preserve">a </w:t>
      </w:r>
      <w:r>
        <w:rPr>
          <w:rFonts w:ascii="Arial" w:hAnsi="Arial" w:cs="Arial"/>
          <w:color w:val="000000" w:themeColor="text1"/>
          <w:lang w:val="en-GB"/>
        </w:rPr>
        <w:t>statistically significant positive association</w:t>
      </w:r>
      <w:r w:rsidR="00D11CEA">
        <w:rPr>
          <w:rFonts w:ascii="Arial" w:hAnsi="Arial" w:cs="Arial"/>
          <w:color w:val="000000" w:themeColor="text1"/>
          <w:lang w:val="en-GB"/>
        </w:rPr>
        <w:t xml:space="preserve">, a </w:t>
      </w:r>
      <w:r>
        <w:rPr>
          <w:rFonts w:ascii="Arial" w:hAnsi="Arial" w:cs="Arial"/>
          <w:color w:val="000000" w:themeColor="text1"/>
          <w:lang w:val="en-GB"/>
        </w:rPr>
        <w:t>non-significant positive trend</w:t>
      </w:r>
      <w:r w:rsidR="00D11CEA">
        <w:rPr>
          <w:rFonts w:ascii="Arial" w:hAnsi="Arial" w:cs="Arial"/>
          <w:color w:val="000000" w:themeColor="text1"/>
          <w:lang w:val="en-GB"/>
        </w:rPr>
        <w:t xml:space="preserve">, </w:t>
      </w:r>
      <w:r>
        <w:rPr>
          <w:rFonts w:ascii="Arial" w:hAnsi="Arial" w:cs="Arial"/>
          <w:color w:val="000000" w:themeColor="text1"/>
          <w:lang w:val="en-GB"/>
        </w:rPr>
        <w:t>no association</w:t>
      </w:r>
      <w:r w:rsidR="00D11CEA">
        <w:rPr>
          <w:rFonts w:ascii="Arial" w:hAnsi="Arial" w:cs="Arial"/>
          <w:color w:val="000000" w:themeColor="text1"/>
          <w:lang w:val="en-GB"/>
        </w:rPr>
        <w:t>, a</w:t>
      </w:r>
      <w:r>
        <w:rPr>
          <w:rFonts w:ascii="Arial" w:hAnsi="Arial" w:cs="Arial"/>
          <w:color w:val="000000" w:themeColor="text1"/>
          <w:lang w:val="en-GB"/>
        </w:rPr>
        <w:t xml:space="preserve"> non-significant inverse trend and </w:t>
      </w:r>
      <w:r w:rsidR="00D11CEA">
        <w:rPr>
          <w:rFonts w:ascii="Arial" w:hAnsi="Arial" w:cs="Arial"/>
          <w:color w:val="000000" w:themeColor="text1"/>
          <w:lang w:val="en-GB"/>
        </w:rPr>
        <w:t>a</w:t>
      </w:r>
      <w:r>
        <w:rPr>
          <w:rFonts w:ascii="Arial" w:hAnsi="Arial" w:cs="Arial"/>
          <w:color w:val="000000" w:themeColor="text1"/>
          <w:lang w:val="en-GB"/>
        </w:rPr>
        <w:t xml:space="preserve"> significant inverse association.</w:t>
      </w:r>
    </w:p>
    <w:p w14:paraId="120208F7" w14:textId="6AAB9DDF" w:rsidR="00617FE8" w:rsidRDefault="00D11CEA">
      <w:pPr>
        <w:spacing w:after="0" w:line="480" w:lineRule="auto"/>
        <w:jc w:val="both"/>
        <w:rPr>
          <w:rFonts w:ascii="Arial" w:hAnsi="Arial" w:cs="Arial"/>
          <w:color w:val="000000" w:themeColor="text1"/>
          <w:lang w:val="en-GB"/>
        </w:rPr>
      </w:pPr>
      <w:r>
        <w:rPr>
          <w:rFonts w:ascii="Arial" w:hAnsi="Arial" w:cs="Arial"/>
          <w:color w:val="000000" w:themeColor="text1"/>
          <w:lang w:val="en-GB"/>
        </w:rPr>
        <w:t>A q</w:t>
      </w:r>
      <w:r w:rsidR="008C06CC">
        <w:rPr>
          <w:rFonts w:ascii="Arial" w:hAnsi="Arial" w:cs="Arial"/>
          <w:color w:val="000000" w:themeColor="text1"/>
          <w:lang w:val="en-GB"/>
        </w:rPr>
        <w:t xml:space="preserve">uantitative summary of the data by meta-analysis could not be undertaken due to </w:t>
      </w:r>
      <w:r>
        <w:rPr>
          <w:rFonts w:ascii="Arial" w:hAnsi="Arial" w:cs="Arial"/>
          <w:color w:val="000000" w:themeColor="text1"/>
          <w:lang w:val="en-GB"/>
        </w:rPr>
        <w:t xml:space="preserve">the </w:t>
      </w:r>
      <w:r w:rsidR="008C06CC">
        <w:rPr>
          <w:rFonts w:ascii="Arial" w:hAnsi="Arial" w:cs="Arial"/>
          <w:color w:val="000000" w:themeColor="text1"/>
          <w:lang w:val="en-GB"/>
        </w:rPr>
        <w:t xml:space="preserve">heterogeneity of the studies in terms of </w:t>
      </w:r>
      <w:r>
        <w:rPr>
          <w:rFonts w:ascii="Arial" w:hAnsi="Arial" w:cs="Arial"/>
          <w:color w:val="000000" w:themeColor="text1"/>
          <w:lang w:val="en-GB"/>
        </w:rPr>
        <w:t xml:space="preserve">the </w:t>
      </w:r>
      <w:r w:rsidR="008C06CC">
        <w:rPr>
          <w:rFonts w:ascii="Arial" w:hAnsi="Arial" w:cs="Arial"/>
          <w:color w:val="000000" w:themeColor="text1"/>
          <w:lang w:val="en-GB"/>
        </w:rPr>
        <w:t xml:space="preserve">measurement of the exposure, outcome variables and timing of measurements between studies. A descriptive methodology was chosen and the results are presented as a narrative synthesis. </w:t>
      </w:r>
    </w:p>
    <w:p w14:paraId="731E9A1C" w14:textId="1AE4A3EE" w:rsidR="00617FE8" w:rsidRDefault="00D11CEA">
      <w:pPr>
        <w:spacing w:after="0" w:line="480" w:lineRule="auto"/>
        <w:jc w:val="both"/>
        <w:rPr>
          <w:rFonts w:ascii="Arial" w:hAnsi="Arial" w:cs="Arial"/>
          <w:color w:val="000000" w:themeColor="text1"/>
          <w:lang w:val="en-GB"/>
        </w:rPr>
      </w:pPr>
      <w:r>
        <w:rPr>
          <w:rFonts w:ascii="Arial" w:hAnsi="Arial" w:cs="Arial"/>
          <w:lang w:val="en-GB"/>
        </w:rPr>
        <w:t xml:space="preserve">To ensure the </w:t>
      </w:r>
      <w:r w:rsidR="00BB719F">
        <w:rPr>
          <w:rFonts w:ascii="Arial" w:hAnsi="Arial" w:cs="Arial"/>
          <w:lang w:val="en-GB"/>
        </w:rPr>
        <w:t>study quality, t</w:t>
      </w:r>
      <w:r w:rsidR="008C06CC">
        <w:rPr>
          <w:rFonts w:ascii="Arial" w:hAnsi="Arial" w:cs="Arial"/>
          <w:lang w:val="en-GB"/>
        </w:rPr>
        <w:t xml:space="preserve">hree authors (EC-M, KK, </w:t>
      </w:r>
      <w:proofErr w:type="gramStart"/>
      <w:r w:rsidR="008C06CC">
        <w:rPr>
          <w:rFonts w:ascii="Arial" w:hAnsi="Arial" w:cs="Arial"/>
          <w:lang w:val="en-GB"/>
        </w:rPr>
        <w:t>KKO</w:t>
      </w:r>
      <w:proofErr w:type="gramEnd"/>
      <w:r w:rsidR="008C06CC">
        <w:rPr>
          <w:rFonts w:ascii="Arial" w:hAnsi="Arial" w:cs="Arial"/>
          <w:lang w:val="en-GB"/>
        </w:rPr>
        <w:t xml:space="preserve">) independently assessed the methodological quality of the observational studies using the Newcastle-Ottawa Scale </w:t>
      </w:r>
      <w:r w:rsidR="008C06CC">
        <w:rPr>
          <w:rFonts w:ascii="Arial" w:hAnsi="Arial" w:cs="Arial"/>
          <w:noProof/>
          <w:lang w:val="en-GB"/>
        </w:rPr>
        <w:t>(19)</w:t>
      </w:r>
      <w:r w:rsidR="008C06CC">
        <w:rPr>
          <w:rFonts w:ascii="Arial" w:hAnsi="Arial" w:cs="Arial"/>
          <w:lang w:val="en-GB"/>
        </w:rPr>
        <w:t>. This assessment evaluates study</w:t>
      </w:r>
      <w:r w:rsidR="008C06CC">
        <w:rPr>
          <w:rFonts w:ascii="Arial" w:hAnsi="Arial" w:cs="Arial"/>
          <w:color w:val="548DD4" w:themeColor="text2" w:themeTint="99"/>
          <w:lang w:val="en-GB"/>
        </w:rPr>
        <w:t xml:space="preserve"> </w:t>
      </w:r>
      <w:r w:rsidR="008C06CC">
        <w:rPr>
          <w:rFonts w:ascii="Arial" w:hAnsi="Arial" w:cs="Arial"/>
          <w:lang w:val="en-GB"/>
        </w:rPr>
        <w:t xml:space="preserve">quality in relation to </w:t>
      </w:r>
      <w:r>
        <w:rPr>
          <w:rFonts w:ascii="Arial" w:hAnsi="Arial" w:cs="Arial"/>
          <w:lang w:val="en-GB"/>
        </w:rPr>
        <w:t xml:space="preserve">the </w:t>
      </w:r>
      <w:r w:rsidR="008C06CC">
        <w:rPr>
          <w:rFonts w:ascii="Arial" w:hAnsi="Arial" w:cs="Arial"/>
          <w:lang w:val="en-GB"/>
        </w:rPr>
        <w:t xml:space="preserve">control of confounding variables, adequate sample size, </w:t>
      </w:r>
      <w:proofErr w:type="gramStart"/>
      <w:r w:rsidR="00423EC2">
        <w:rPr>
          <w:rFonts w:ascii="Arial" w:hAnsi="Arial" w:cs="Arial"/>
          <w:lang w:val="en-GB"/>
        </w:rPr>
        <w:t>minimisation</w:t>
      </w:r>
      <w:proofErr w:type="gramEnd"/>
      <w:r w:rsidR="00423EC2">
        <w:rPr>
          <w:rFonts w:ascii="Arial" w:hAnsi="Arial" w:cs="Arial"/>
          <w:lang w:val="en-GB"/>
        </w:rPr>
        <w:t xml:space="preserve"> </w:t>
      </w:r>
      <w:r w:rsidR="008C06CC">
        <w:rPr>
          <w:rFonts w:ascii="Arial" w:hAnsi="Arial" w:cs="Arial"/>
          <w:lang w:val="en-GB"/>
        </w:rPr>
        <w:t xml:space="preserve">of selection bias and definition of exposure. Studies were </w:t>
      </w:r>
      <w:r>
        <w:rPr>
          <w:rFonts w:ascii="Arial" w:hAnsi="Arial" w:cs="Arial"/>
          <w:lang w:val="en-GB"/>
        </w:rPr>
        <w:t>given scores:</w:t>
      </w:r>
      <w:r w:rsidR="008C06CC">
        <w:rPr>
          <w:rFonts w:ascii="Arial" w:hAnsi="Arial" w:cs="Arial"/>
          <w:lang w:val="en-GB"/>
        </w:rPr>
        <w:t xml:space="preserve"> </w:t>
      </w:r>
      <w:r>
        <w:rPr>
          <w:rFonts w:ascii="Arial" w:hAnsi="Arial" w:cs="Arial"/>
          <w:lang w:val="en-GB"/>
        </w:rPr>
        <w:t xml:space="preserve">the </w:t>
      </w:r>
      <w:r w:rsidR="008C06CC">
        <w:rPr>
          <w:rFonts w:ascii="Arial" w:hAnsi="Arial" w:cs="Arial"/>
          <w:lang w:val="en-GB"/>
        </w:rPr>
        <w:t xml:space="preserve">selection of the study groups </w:t>
      </w:r>
      <w:r>
        <w:rPr>
          <w:rFonts w:ascii="Arial" w:hAnsi="Arial" w:cs="Arial"/>
          <w:lang w:val="en-GB"/>
        </w:rPr>
        <w:t xml:space="preserve">could score a </w:t>
      </w:r>
      <w:r w:rsidR="008C06CC">
        <w:rPr>
          <w:rFonts w:ascii="Arial" w:hAnsi="Arial" w:cs="Arial"/>
          <w:lang w:val="en-GB"/>
        </w:rPr>
        <w:t>maximum</w:t>
      </w:r>
      <w:r w:rsidR="00971A56">
        <w:rPr>
          <w:rFonts w:ascii="Arial" w:hAnsi="Arial" w:cs="Arial"/>
          <w:lang w:val="en-GB"/>
        </w:rPr>
        <w:t xml:space="preserve"> of</w:t>
      </w:r>
      <w:r w:rsidR="008C06CC">
        <w:rPr>
          <w:rFonts w:ascii="Arial" w:hAnsi="Arial" w:cs="Arial"/>
          <w:lang w:val="en-GB"/>
        </w:rPr>
        <w:t xml:space="preserve"> </w:t>
      </w:r>
      <w:r w:rsidR="00423EC2">
        <w:rPr>
          <w:rFonts w:ascii="Arial" w:hAnsi="Arial" w:cs="Arial"/>
          <w:lang w:val="en-GB"/>
        </w:rPr>
        <w:t xml:space="preserve">four </w:t>
      </w:r>
      <w:r w:rsidR="008C06CC">
        <w:rPr>
          <w:rFonts w:ascii="Arial" w:hAnsi="Arial" w:cs="Arial"/>
          <w:lang w:val="en-GB"/>
        </w:rPr>
        <w:t>points</w:t>
      </w:r>
      <w:r>
        <w:rPr>
          <w:rFonts w:ascii="Arial" w:hAnsi="Arial" w:cs="Arial"/>
          <w:lang w:val="en-GB"/>
        </w:rPr>
        <w:t>,</w:t>
      </w:r>
      <w:r w:rsidR="008C06CC">
        <w:rPr>
          <w:rFonts w:ascii="Arial" w:hAnsi="Arial" w:cs="Arial"/>
          <w:lang w:val="en-GB"/>
        </w:rPr>
        <w:t xml:space="preserve"> </w:t>
      </w:r>
      <w:r>
        <w:rPr>
          <w:rFonts w:ascii="Arial" w:hAnsi="Arial" w:cs="Arial"/>
          <w:lang w:val="en-GB"/>
        </w:rPr>
        <w:t xml:space="preserve">the </w:t>
      </w:r>
      <w:r w:rsidR="008C06CC">
        <w:rPr>
          <w:rFonts w:ascii="Arial" w:hAnsi="Arial" w:cs="Arial"/>
          <w:lang w:val="en-GB"/>
        </w:rPr>
        <w:t xml:space="preserve">comparability of </w:t>
      </w:r>
      <w:r w:rsidR="00971A56">
        <w:rPr>
          <w:rFonts w:ascii="Arial" w:hAnsi="Arial" w:cs="Arial"/>
          <w:lang w:val="en-GB"/>
        </w:rPr>
        <w:t xml:space="preserve">the </w:t>
      </w:r>
      <w:r w:rsidR="008C06CC">
        <w:rPr>
          <w:rFonts w:ascii="Arial" w:hAnsi="Arial" w:cs="Arial"/>
          <w:lang w:val="en-GB"/>
        </w:rPr>
        <w:t>study groups</w:t>
      </w:r>
      <w:r>
        <w:rPr>
          <w:rFonts w:ascii="Arial" w:hAnsi="Arial" w:cs="Arial"/>
          <w:lang w:val="en-GB"/>
        </w:rPr>
        <w:t xml:space="preserve"> could score a maximum of </w:t>
      </w:r>
      <w:r w:rsidR="00423EC2">
        <w:rPr>
          <w:rFonts w:ascii="Arial" w:hAnsi="Arial" w:cs="Arial"/>
          <w:lang w:val="en-GB"/>
        </w:rPr>
        <w:t xml:space="preserve">two </w:t>
      </w:r>
      <w:r w:rsidR="008C06CC">
        <w:rPr>
          <w:rFonts w:ascii="Arial" w:hAnsi="Arial" w:cs="Arial"/>
          <w:lang w:val="en-GB"/>
        </w:rPr>
        <w:t>points</w:t>
      </w:r>
      <w:r>
        <w:rPr>
          <w:rFonts w:ascii="Arial" w:hAnsi="Arial" w:cs="Arial"/>
          <w:lang w:val="en-GB"/>
        </w:rPr>
        <w:t>, and the</w:t>
      </w:r>
      <w:r w:rsidR="008C06CC">
        <w:rPr>
          <w:rFonts w:ascii="Arial" w:hAnsi="Arial" w:cs="Arial"/>
          <w:lang w:val="en-GB"/>
        </w:rPr>
        <w:t xml:space="preserve"> ascertainment of the outcome</w:t>
      </w:r>
      <w:r>
        <w:rPr>
          <w:rFonts w:ascii="Arial" w:hAnsi="Arial" w:cs="Arial"/>
          <w:lang w:val="en-GB"/>
        </w:rPr>
        <w:t xml:space="preserve"> could score a maximum</w:t>
      </w:r>
      <w:r w:rsidR="00971A56">
        <w:rPr>
          <w:rFonts w:ascii="Arial" w:hAnsi="Arial" w:cs="Arial"/>
          <w:lang w:val="en-GB"/>
        </w:rPr>
        <w:t xml:space="preserve"> of</w:t>
      </w:r>
      <w:r>
        <w:rPr>
          <w:rFonts w:ascii="Arial" w:hAnsi="Arial" w:cs="Arial"/>
          <w:lang w:val="en-GB"/>
        </w:rPr>
        <w:t xml:space="preserve"> </w:t>
      </w:r>
      <w:r w:rsidR="00423EC2">
        <w:rPr>
          <w:rFonts w:ascii="Arial" w:hAnsi="Arial" w:cs="Arial"/>
          <w:lang w:val="en-GB"/>
        </w:rPr>
        <w:t xml:space="preserve">three </w:t>
      </w:r>
      <w:r w:rsidR="008C06CC">
        <w:rPr>
          <w:rFonts w:ascii="Arial" w:hAnsi="Arial" w:cs="Arial"/>
          <w:lang w:val="en-GB"/>
        </w:rPr>
        <w:t xml:space="preserve">points. The highest possible score was </w:t>
      </w:r>
      <w:r w:rsidR="00423EC2">
        <w:rPr>
          <w:rFonts w:ascii="Arial" w:hAnsi="Arial" w:cs="Arial"/>
          <w:lang w:val="en-GB"/>
        </w:rPr>
        <w:t>nine</w:t>
      </w:r>
      <w:r w:rsidR="008C06CC">
        <w:rPr>
          <w:rFonts w:ascii="Arial" w:hAnsi="Arial" w:cs="Arial"/>
          <w:lang w:val="en-GB"/>
        </w:rPr>
        <w:t>.</w:t>
      </w:r>
    </w:p>
    <w:p w14:paraId="780B0EB8" w14:textId="77777777" w:rsidR="00617FE8" w:rsidRDefault="00617FE8">
      <w:pPr>
        <w:spacing w:after="0" w:line="480" w:lineRule="auto"/>
        <w:jc w:val="both"/>
        <w:rPr>
          <w:rFonts w:ascii="Arial" w:hAnsi="Arial" w:cs="Arial"/>
          <w:b/>
          <w:color w:val="000000" w:themeColor="text1"/>
          <w:lang w:val="en-GB"/>
        </w:rPr>
      </w:pPr>
    </w:p>
    <w:p w14:paraId="5B408E12" w14:textId="77777777" w:rsidR="00617FE8" w:rsidRDefault="008C06CC">
      <w:pPr>
        <w:spacing w:after="0" w:line="480" w:lineRule="auto"/>
        <w:jc w:val="both"/>
        <w:rPr>
          <w:rFonts w:ascii="Arial" w:hAnsi="Arial" w:cs="Arial"/>
          <w:b/>
          <w:color w:val="000000" w:themeColor="text1"/>
          <w:lang w:val="en-GB"/>
        </w:rPr>
      </w:pPr>
      <w:r>
        <w:rPr>
          <w:rFonts w:ascii="Arial" w:hAnsi="Arial" w:cs="Arial"/>
          <w:b/>
          <w:color w:val="000000" w:themeColor="text1"/>
          <w:lang w:val="en-GB"/>
        </w:rPr>
        <w:lastRenderedPageBreak/>
        <w:t>RESULTS</w:t>
      </w:r>
    </w:p>
    <w:p w14:paraId="569731AA" w14:textId="716B2A39" w:rsidR="00617FE8" w:rsidRDefault="00971A56">
      <w:pPr>
        <w:spacing w:after="0" w:line="480" w:lineRule="auto"/>
        <w:jc w:val="both"/>
        <w:rPr>
          <w:rFonts w:ascii="Arial" w:hAnsi="Arial" w:cs="Arial"/>
          <w:lang w:val="en-GB"/>
        </w:rPr>
      </w:pPr>
      <w:r>
        <w:rPr>
          <w:rFonts w:ascii="Arial" w:hAnsi="Arial" w:cs="Arial"/>
          <w:lang w:val="en-GB"/>
        </w:rPr>
        <w:t xml:space="preserve">We </w:t>
      </w:r>
      <w:r w:rsidR="00D820BF">
        <w:rPr>
          <w:rFonts w:ascii="Arial" w:hAnsi="Arial" w:cs="Arial"/>
          <w:lang w:val="en-GB"/>
        </w:rPr>
        <w:t xml:space="preserve">included </w:t>
      </w:r>
      <w:r w:rsidR="008C06CC">
        <w:rPr>
          <w:rFonts w:ascii="Arial" w:hAnsi="Arial" w:cs="Arial"/>
          <w:lang w:val="en-GB"/>
        </w:rPr>
        <w:t xml:space="preserve">34 papers on postnatal weight gain and growth in </w:t>
      </w:r>
      <w:r w:rsidR="00BB719F">
        <w:rPr>
          <w:rFonts w:ascii="Arial" w:hAnsi="Arial" w:cs="Arial"/>
          <w:lang w:val="en-GB"/>
        </w:rPr>
        <w:t xml:space="preserve">term </w:t>
      </w:r>
      <w:r w:rsidR="008C06CC">
        <w:rPr>
          <w:rFonts w:ascii="Arial" w:hAnsi="Arial" w:cs="Arial"/>
          <w:lang w:val="en-GB"/>
        </w:rPr>
        <w:t>infants born SGA</w:t>
      </w:r>
      <w:r w:rsidR="00D820BF">
        <w:rPr>
          <w:rFonts w:ascii="Arial" w:hAnsi="Arial" w:cs="Arial"/>
          <w:lang w:val="en-GB"/>
        </w:rPr>
        <w:t xml:space="preserve">: </w:t>
      </w:r>
      <w:r w:rsidR="008C06CC">
        <w:rPr>
          <w:rFonts w:ascii="Arial" w:hAnsi="Arial" w:cs="Arial"/>
          <w:lang w:val="en-GB"/>
        </w:rPr>
        <w:t xml:space="preserve"> </w:t>
      </w:r>
      <w:r w:rsidR="00D820BF">
        <w:rPr>
          <w:rFonts w:ascii="Arial" w:hAnsi="Arial" w:cs="Arial"/>
          <w:lang w:val="en-GB"/>
        </w:rPr>
        <w:t xml:space="preserve">most </w:t>
      </w:r>
      <w:r w:rsidR="008C06CC">
        <w:rPr>
          <w:rFonts w:ascii="Arial" w:hAnsi="Arial" w:cs="Arial"/>
          <w:lang w:val="en-GB"/>
        </w:rPr>
        <w:t xml:space="preserve">of these </w:t>
      </w:r>
      <w:r w:rsidR="00D820BF">
        <w:rPr>
          <w:rFonts w:ascii="Arial" w:hAnsi="Arial" w:cs="Arial"/>
          <w:lang w:val="en-GB"/>
        </w:rPr>
        <w:t xml:space="preserve">(n=31) </w:t>
      </w:r>
      <w:r w:rsidR="008C06CC">
        <w:rPr>
          <w:rFonts w:ascii="Arial" w:hAnsi="Arial" w:cs="Arial"/>
          <w:lang w:val="en-GB"/>
        </w:rPr>
        <w:t xml:space="preserve">described observational studies, with only </w:t>
      </w:r>
      <w:r w:rsidR="00423EC2">
        <w:rPr>
          <w:rFonts w:ascii="Arial" w:hAnsi="Arial" w:cs="Arial"/>
          <w:lang w:val="en-GB"/>
        </w:rPr>
        <w:t xml:space="preserve">three </w:t>
      </w:r>
      <w:r w:rsidR="008C06CC">
        <w:rPr>
          <w:rFonts w:ascii="Arial" w:hAnsi="Arial" w:cs="Arial"/>
          <w:lang w:val="en-GB"/>
        </w:rPr>
        <w:t xml:space="preserve">papers from the same group describing different outcomes from </w:t>
      </w:r>
      <w:r w:rsidR="00423EC2">
        <w:rPr>
          <w:rFonts w:ascii="Arial" w:hAnsi="Arial" w:cs="Arial"/>
          <w:lang w:val="en-GB"/>
        </w:rPr>
        <w:t xml:space="preserve">two </w:t>
      </w:r>
      <w:r w:rsidR="008C06CC">
        <w:rPr>
          <w:rFonts w:ascii="Arial" w:hAnsi="Arial" w:cs="Arial"/>
          <w:lang w:val="en-GB"/>
        </w:rPr>
        <w:t xml:space="preserve">intervention studies </w:t>
      </w:r>
      <w:r w:rsidR="00E4564F">
        <w:rPr>
          <w:rFonts w:ascii="Arial" w:hAnsi="Arial" w:cs="Arial"/>
          <w:noProof/>
          <w:lang w:val="en-GB"/>
        </w:rPr>
        <w:t>(20-</w:t>
      </w:r>
      <w:r w:rsidR="008C06CC">
        <w:rPr>
          <w:rFonts w:ascii="Arial" w:hAnsi="Arial" w:cs="Arial"/>
          <w:noProof/>
          <w:lang w:val="en-GB"/>
        </w:rPr>
        <w:t>22)</w:t>
      </w:r>
      <w:r w:rsidR="008C06CC">
        <w:rPr>
          <w:rFonts w:ascii="Arial" w:hAnsi="Arial" w:cs="Arial"/>
          <w:lang w:val="en-GB"/>
        </w:rPr>
        <w:t xml:space="preserve">. </w:t>
      </w:r>
      <w:r w:rsidR="00D820BF">
        <w:rPr>
          <w:rFonts w:ascii="Arial" w:hAnsi="Arial" w:cs="Arial"/>
          <w:lang w:val="en-GB"/>
        </w:rPr>
        <w:t>With regard to</w:t>
      </w:r>
      <w:r w:rsidR="008C06CC">
        <w:rPr>
          <w:rFonts w:ascii="Arial" w:hAnsi="Arial" w:cs="Arial"/>
          <w:lang w:val="en-GB"/>
        </w:rPr>
        <w:t xml:space="preserve"> study quality, the majority were rated as moderate</w:t>
      </w:r>
      <w:r w:rsidR="00423EC2">
        <w:rPr>
          <w:rFonts w:ascii="Arial" w:hAnsi="Arial" w:cs="Arial"/>
          <w:lang w:val="en-GB"/>
        </w:rPr>
        <w:t xml:space="preserve"> or </w:t>
      </w:r>
      <w:r w:rsidR="008C06CC">
        <w:rPr>
          <w:rFonts w:ascii="Arial" w:hAnsi="Arial" w:cs="Arial"/>
          <w:lang w:val="en-GB"/>
        </w:rPr>
        <w:t xml:space="preserve">high quality. Only </w:t>
      </w:r>
      <w:r w:rsidR="00423EC2">
        <w:rPr>
          <w:rFonts w:ascii="Arial" w:hAnsi="Arial" w:cs="Arial"/>
          <w:lang w:val="en-GB"/>
        </w:rPr>
        <w:t xml:space="preserve">five </w:t>
      </w:r>
      <w:r w:rsidR="008C06CC">
        <w:rPr>
          <w:rFonts w:ascii="Arial" w:hAnsi="Arial" w:cs="Arial"/>
          <w:lang w:val="en-GB"/>
        </w:rPr>
        <w:t>studies were considered to be of low quality</w:t>
      </w:r>
      <w:r w:rsidR="00D820BF">
        <w:rPr>
          <w:rFonts w:ascii="Arial" w:hAnsi="Arial" w:cs="Arial"/>
          <w:lang w:val="en-GB"/>
        </w:rPr>
        <w:t>,</w:t>
      </w:r>
      <w:r w:rsidR="008C06CC">
        <w:rPr>
          <w:rFonts w:ascii="Arial" w:hAnsi="Arial" w:cs="Arial"/>
          <w:lang w:val="en-GB"/>
        </w:rPr>
        <w:t xml:space="preserve"> </w:t>
      </w:r>
      <w:r w:rsidR="00D820BF">
        <w:rPr>
          <w:rFonts w:ascii="Arial" w:hAnsi="Arial" w:cs="Arial"/>
          <w:lang w:val="en-GB"/>
        </w:rPr>
        <w:t xml:space="preserve">with a score of </w:t>
      </w:r>
      <w:r w:rsidR="00423EC2">
        <w:rPr>
          <w:rFonts w:ascii="Arial" w:hAnsi="Arial" w:cs="Arial"/>
          <w:lang w:val="en-GB"/>
        </w:rPr>
        <w:t xml:space="preserve">four </w:t>
      </w:r>
      <w:r w:rsidR="008C06CC">
        <w:rPr>
          <w:rFonts w:ascii="Arial" w:hAnsi="Arial" w:cs="Arial"/>
          <w:lang w:val="en-GB"/>
        </w:rPr>
        <w:t>or less</w:t>
      </w:r>
      <w:r w:rsidR="00D820BF">
        <w:rPr>
          <w:rFonts w:ascii="Arial" w:hAnsi="Arial" w:cs="Arial"/>
          <w:lang w:val="en-GB"/>
        </w:rPr>
        <w:t xml:space="preserve">. These are </w:t>
      </w:r>
      <w:r w:rsidR="00D820BF" w:rsidRPr="00F938E3">
        <w:rPr>
          <w:rFonts w:ascii="Arial" w:hAnsi="Arial" w:cs="Arial"/>
          <w:lang w:val="en-GB"/>
        </w:rPr>
        <w:t xml:space="preserve">noted in </w:t>
      </w:r>
      <w:r w:rsidR="008C06CC" w:rsidRPr="00F938E3">
        <w:rPr>
          <w:rFonts w:ascii="Arial" w:hAnsi="Arial" w:cs="Arial"/>
          <w:lang w:val="en-GB"/>
        </w:rPr>
        <w:t>Tables 1</w:t>
      </w:r>
      <w:r w:rsidR="00602D2A" w:rsidRPr="00F938E3">
        <w:rPr>
          <w:rFonts w:ascii="Arial" w:hAnsi="Arial" w:cs="Arial"/>
          <w:lang w:val="en-GB"/>
        </w:rPr>
        <w:t xml:space="preserve"> and </w:t>
      </w:r>
      <w:r w:rsidR="008C06CC" w:rsidRPr="00F938E3">
        <w:rPr>
          <w:rFonts w:ascii="Arial" w:hAnsi="Arial" w:cs="Arial"/>
          <w:lang w:val="en-GB"/>
        </w:rPr>
        <w:t>S1</w:t>
      </w:r>
      <w:r w:rsidR="006E785D" w:rsidRPr="00F938E3">
        <w:rPr>
          <w:rFonts w:ascii="Arial" w:hAnsi="Arial" w:cs="Arial"/>
          <w:lang w:val="en-GB"/>
        </w:rPr>
        <w:t>a-c</w:t>
      </w:r>
      <w:r w:rsidR="008C06CC" w:rsidRPr="00F938E3">
        <w:rPr>
          <w:rFonts w:ascii="Arial" w:hAnsi="Arial" w:cs="Arial"/>
          <w:lang w:val="en-GB"/>
        </w:rPr>
        <w:t>.</w:t>
      </w:r>
      <w:r w:rsidR="008C06CC">
        <w:rPr>
          <w:rFonts w:ascii="Arial" w:hAnsi="Arial" w:cs="Arial"/>
          <w:lang w:val="en-GB"/>
        </w:rPr>
        <w:t xml:space="preserve"> </w:t>
      </w:r>
    </w:p>
    <w:p w14:paraId="01591A88" w14:textId="77777777" w:rsidR="00617FE8" w:rsidRDefault="00617FE8">
      <w:pPr>
        <w:spacing w:after="0" w:line="480" w:lineRule="auto"/>
        <w:jc w:val="both"/>
        <w:rPr>
          <w:rFonts w:ascii="Arial" w:hAnsi="Arial" w:cs="Arial"/>
          <w:b/>
          <w:lang w:val="en-GB"/>
        </w:rPr>
      </w:pPr>
    </w:p>
    <w:p w14:paraId="525B89BA" w14:textId="77777777" w:rsidR="00617FE8" w:rsidRDefault="008C06CC">
      <w:pPr>
        <w:spacing w:after="0" w:line="480" w:lineRule="auto"/>
        <w:jc w:val="both"/>
        <w:rPr>
          <w:rFonts w:ascii="Arial" w:hAnsi="Arial" w:cs="Arial"/>
          <w:lang w:val="en-GB"/>
        </w:rPr>
      </w:pPr>
      <w:r>
        <w:rPr>
          <w:rFonts w:ascii="Arial" w:hAnsi="Arial" w:cs="Arial"/>
          <w:b/>
          <w:lang w:val="en-GB"/>
        </w:rPr>
        <w:t>Neurocognitive outcomes</w:t>
      </w:r>
      <w:r>
        <w:rPr>
          <w:rFonts w:ascii="Arial" w:hAnsi="Arial" w:cs="Arial"/>
          <w:lang w:val="en-GB"/>
        </w:rPr>
        <w:t xml:space="preserve"> </w:t>
      </w:r>
    </w:p>
    <w:p w14:paraId="1CBF98DD" w14:textId="31E398C1" w:rsidR="00617FE8" w:rsidRPr="006F51D7" w:rsidRDefault="006B6F4C">
      <w:pPr>
        <w:spacing w:after="0" w:line="480" w:lineRule="auto"/>
        <w:jc w:val="both"/>
        <w:rPr>
          <w:rFonts w:ascii="Arial" w:hAnsi="Arial" w:cs="Arial"/>
          <w:color w:val="000000" w:themeColor="text1"/>
          <w:lang w:val="en-GB"/>
        </w:rPr>
      </w:pPr>
      <w:r>
        <w:rPr>
          <w:rFonts w:ascii="Arial" w:hAnsi="Arial" w:cs="Arial"/>
          <w:color w:val="000000" w:themeColor="text1"/>
          <w:lang w:val="en-GB"/>
        </w:rPr>
        <w:t>Only o</w:t>
      </w:r>
      <w:r w:rsidR="008C06CC">
        <w:rPr>
          <w:rFonts w:ascii="Arial" w:hAnsi="Arial" w:cs="Arial"/>
          <w:color w:val="000000" w:themeColor="text1"/>
          <w:lang w:val="en-GB"/>
        </w:rPr>
        <w:t xml:space="preserve">ne </w:t>
      </w:r>
      <w:r w:rsidR="00423EC2">
        <w:rPr>
          <w:rFonts w:ascii="Arial" w:hAnsi="Arial" w:cs="Arial"/>
          <w:color w:val="000000" w:themeColor="text1"/>
          <w:lang w:val="en-GB"/>
        </w:rPr>
        <w:t xml:space="preserve">randomised </w:t>
      </w:r>
      <w:r w:rsidR="008C06CC">
        <w:rPr>
          <w:rFonts w:ascii="Arial" w:hAnsi="Arial" w:cs="Arial"/>
          <w:color w:val="000000" w:themeColor="text1"/>
          <w:lang w:val="en-GB"/>
        </w:rPr>
        <w:t>controlled trial (RCT</w:t>
      </w:r>
      <w:r w:rsidR="00A26BD0">
        <w:rPr>
          <w:rFonts w:ascii="Arial" w:hAnsi="Arial" w:cs="Arial"/>
          <w:color w:val="000000" w:themeColor="text1"/>
          <w:lang w:val="en-GB"/>
        </w:rPr>
        <w:t>)</w:t>
      </w:r>
      <w:r w:rsidR="008C06CC">
        <w:rPr>
          <w:rFonts w:ascii="Arial" w:hAnsi="Arial" w:cs="Arial"/>
          <w:color w:val="000000" w:themeColor="text1"/>
          <w:lang w:val="en-GB"/>
        </w:rPr>
        <w:t xml:space="preserve"> </w:t>
      </w:r>
      <w:r w:rsidR="008C06CC">
        <w:rPr>
          <w:rFonts w:ascii="Arial" w:hAnsi="Arial" w:cs="Arial"/>
          <w:noProof/>
          <w:color w:val="000000" w:themeColor="text1"/>
          <w:lang w:val="en-GB"/>
        </w:rPr>
        <w:t>(20)</w:t>
      </w:r>
      <w:r w:rsidR="008C06CC">
        <w:rPr>
          <w:rFonts w:ascii="Arial" w:hAnsi="Arial" w:cs="Arial"/>
          <w:color w:val="000000" w:themeColor="text1"/>
          <w:lang w:val="en-GB"/>
        </w:rPr>
        <w:t xml:space="preserve"> promoted early growth in SGA infants using a nutrient and energy enriched formula</w:t>
      </w:r>
      <w:r w:rsidR="00D820BF">
        <w:rPr>
          <w:rFonts w:ascii="Arial" w:hAnsi="Arial" w:cs="Arial"/>
          <w:color w:val="000000" w:themeColor="text1"/>
          <w:lang w:val="en-GB"/>
        </w:rPr>
        <w:t xml:space="preserve"> - </w:t>
      </w:r>
      <w:r w:rsidR="008C06CC">
        <w:rPr>
          <w:rFonts w:ascii="Arial" w:hAnsi="Arial" w:cs="Arial"/>
          <w:color w:val="000000" w:themeColor="text1"/>
          <w:lang w:val="en-GB"/>
        </w:rPr>
        <w:t xml:space="preserve">with higher protein, lipids, </w:t>
      </w:r>
      <w:proofErr w:type="gramStart"/>
      <w:r w:rsidR="008C06CC">
        <w:rPr>
          <w:rFonts w:ascii="Arial" w:hAnsi="Arial" w:cs="Arial"/>
          <w:color w:val="000000" w:themeColor="text1"/>
          <w:lang w:val="en-GB"/>
        </w:rPr>
        <w:t>carbohydrate</w:t>
      </w:r>
      <w:proofErr w:type="gramEnd"/>
      <w:r w:rsidR="008C06CC">
        <w:rPr>
          <w:rFonts w:ascii="Arial" w:hAnsi="Arial" w:cs="Arial"/>
          <w:color w:val="000000" w:themeColor="text1"/>
          <w:lang w:val="en-GB"/>
        </w:rPr>
        <w:t xml:space="preserve"> and micronutrient contents</w:t>
      </w:r>
      <w:r w:rsidR="00D820BF">
        <w:rPr>
          <w:rFonts w:ascii="Arial" w:hAnsi="Arial" w:cs="Arial"/>
          <w:color w:val="000000" w:themeColor="text1"/>
          <w:lang w:val="en-GB"/>
        </w:rPr>
        <w:t xml:space="preserve"> - </w:t>
      </w:r>
      <w:r w:rsidR="00BB719F">
        <w:rPr>
          <w:rFonts w:ascii="Arial" w:hAnsi="Arial" w:cs="Arial"/>
          <w:color w:val="000000" w:themeColor="text1"/>
          <w:lang w:val="en-GB"/>
        </w:rPr>
        <w:t>and reported neurocognitive outcomes</w:t>
      </w:r>
      <w:r w:rsidR="008C06CC">
        <w:rPr>
          <w:rFonts w:ascii="Arial" w:hAnsi="Arial" w:cs="Arial"/>
          <w:color w:val="000000" w:themeColor="text1"/>
          <w:lang w:val="en-GB"/>
        </w:rPr>
        <w:t>. The enriched formula group had</w:t>
      </w:r>
      <w:r w:rsidR="004A7A76">
        <w:rPr>
          <w:rFonts w:ascii="Arial" w:hAnsi="Arial" w:cs="Arial"/>
          <w:color w:val="000000" w:themeColor="text1"/>
          <w:lang w:val="en-GB"/>
        </w:rPr>
        <w:t xml:space="preserve"> a</w:t>
      </w:r>
      <w:r w:rsidR="008C06CC">
        <w:rPr>
          <w:rFonts w:ascii="Arial" w:hAnsi="Arial" w:cs="Arial"/>
          <w:color w:val="000000" w:themeColor="text1"/>
          <w:lang w:val="en-GB"/>
        </w:rPr>
        <w:t xml:space="preserve"> lower developmental quotient than the standard formula group at </w:t>
      </w:r>
      <w:r w:rsidR="00D820BF">
        <w:rPr>
          <w:rFonts w:ascii="Arial" w:hAnsi="Arial" w:cs="Arial"/>
          <w:color w:val="000000" w:themeColor="text1"/>
          <w:lang w:val="en-GB"/>
        </w:rPr>
        <w:t xml:space="preserve">the </w:t>
      </w:r>
      <w:r w:rsidR="008C06CC">
        <w:rPr>
          <w:rFonts w:ascii="Arial" w:hAnsi="Arial" w:cs="Arial"/>
          <w:color w:val="000000" w:themeColor="text1"/>
          <w:lang w:val="en-GB"/>
        </w:rPr>
        <w:t xml:space="preserve">age </w:t>
      </w:r>
      <w:r w:rsidR="00D820BF">
        <w:rPr>
          <w:rFonts w:ascii="Arial" w:hAnsi="Arial" w:cs="Arial"/>
          <w:color w:val="000000" w:themeColor="text1"/>
          <w:lang w:val="en-GB"/>
        </w:rPr>
        <w:t xml:space="preserve">of </w:t>
      </w:r>
      <w:r w:rsidR="00423EC2">
        <w:rPr>
          <w:rFonts w:ascii="Arial" w:hAnsi="Arial" w:cs="Arial"/>
          <w:color w:val="000000" w:themeColor="text1"/>
          <w:lang w:val="en-GB"/>
        </w:rPr>
        <w:t xml:space="preserve">nine </w:t>
      </w:r>
      <w:r w:rsidR="008C06CC">
        <w:rPr>
          <w:rFonts w:ascii="Arial" w:hAnsi="Arial" w:cs="Arial"/>
          <w:color w:val="000000" w:themeColor="text1"/>
          <w:lang w:val="en-GB"/>
        </w:rPr>
        <w:t xml:space="preserve">months and no difference in neurocognitive outcomes </w:t>
      </w:r>
      <w:r w:rsidR="004A7A76">
        <w:rPr>
          <w:rFonts w:ascii="Arial" w:hAnsi="Arial" w:cs="Arial"/>
          <w:color w:val="000000" w:themeColor="text1"/>
          <w:lang w:val="en-GB"/>
        </w:rPr>
        <w:t xml:space="preserve">measured </w:t>
      </w:r>
      <w:r w:rsidR="00D820BF">
        <w:rPr>
          <w:rFonts w:ascii="Arial" w:hAnsi="Arial" w:cs="Arial"/>
          <w:color w:val="000000" w:themeColor="text1"/>
          <w:lang w:val="en-GB"/>
        </w:rPr>
        <w:t xml:space="preserve">using the </w:t>
      </w:r>
      <w:r w:rsidR="008C06CC">
        <w:rPr>
          <w:rFonts w:ascii="Arial" w:hAnsi="Arial" w:cs="Arial"/>
          <w:color w:val="000000" w:themeColor="text1"/>
          <w:lang w:val="en-GB"/>
        </w:rPr>
        <w:t>Bayley M</w:t>
      </w:r>
      <w:r>
        <w:rPr>
          <w:rFonts w:ascii="Arial" w:hAnsi="Arial" w:cs="Arial"/>
          <w:color w:val="000000" w:themeColor="text1"/>
          <w:lang w:val="en-GB"/>
        </w:rPr>
        <w:t xml:space="preserve">ental </w:t>
      </w:r>
      <w:r w:rsidR="008C06CC">
        <w:rPr>
          <w:rFonts w:ascii="Arial" w:hAnsi="Arial" w:cs="Arial"/>
          <w:color w:val="000000" w:themeColor="text1"/>
          <w:lang w:val="en-GB"/>
        </w:rPr>
        <w:t>D</w:t>
      </w:r>
      <w:r>
        <w:rPr>
          <w:rFonts w:ascii="Arial" w:hAnsi="Arial" w:cs="Arial"/>
          <w:color w:val="000000" w:themeColor="text1"/>
          <w:lang w:val="en-GB"/>
        </w:rPr>
        <w:t xml:space="preserve">evelopment </w:t>
      </w:r>
      <w:r w:rsidR="008C06CC">
        <w:rPr>
          <w:rFonts w:ascii="Arial" w:hAnsi="Arial" w:cs="Arial"/>
          <w:color w:val="000000" w:themeColor="text1"/>
          <w:lang w:val="en-GB"/>
        </w:rPr>
        <w:t>and P</w:t>
      </w:r>
      <w:r>
        <w:rPr>
          <w:rFonts w:ascii="Arial" w:hAnsi="Arial" w:cs="Arial"/>
          <w:color w:val="000000" w:themeColor="text1"/>
          <w:lang w:val="en-GB"/>
        </w:rPr>
        <w:t xml:space="preserve">sychomotor </w:t>
      </w:r>
      <w:r w:rsidR="008C06CC">
        <w:rPr>
          <w:rFonts w:ascii="Arial" w:hAnsi="Arial" w:cs="Arial"/>
          <w:color w:val="000000" w:themeColor="text1"/>
          <w:lang w:val="en-GB"/>
        </w:rPr>
        <w:t>D</w:t>
      </w:r>
      <w:r>
        <w:rPr>
          <w:rFonts w:ascii="Arial" w:hAnsi="Arial" w:cs="Arial"/>
          <w:color w:val="000000" w:themeColor="text1"/>
          <w:lang w:val="en-GB"/>
        </w:rPr>
        <w:t xml:space="preserve">evelopment </w:t>
      </w:r>
      <w:r w:rsidR="004A7A76">
        <w:rPr>
          <w:rFonts w:ascii="Arial" w:hAnsi="Arial" w:cs="Arial"/>
          <w:color w:val="000000" w:themeColor="text1"/>
          <w:lang w:val="en-GB"/>
        </w:rPr>
        <w:t>indexes</w:t>
      </w:r>
      <w:r w:rsidR="008C06CC">
        <w:rPr>
          <w:rFonts w:ascii="Arial" w:hAnsi="Arial" w:cs="Arial"/>
          <w:color w:val="000000" w:themeColor="text1"/>
          <w:lang w:val="en-GB"/>
        </w:rPr>
        <w:t xml:space="preserve"> at </w:t>
      </w:r>
      <w:r w:rsidR="00D820BF">
        <w:rPr>
          <w:rFonts w:ascii="Arial" w:hAnsi="Arial" w:cs="Arial"/>
          <w:color w:val="000000" w:themeColor="text1"/>
          <w:lang w:val="en-GB"/>
        </w:rPr>
        <w:t xml:space="preserve">the </w:t>
      </w:r>
      <w:r w:rsidR="008C06CC">
        <w:rPr>
          <w:rFonts w:ascii="Arial" w:hAnsi="Arial" w:cs="Arial"/>
          <w:color w:val="000000" w:themeColor="text1"/>
          <w:lang w:val="en-GB"/>
        </w:rPr>
        <w:t>age</w:t>
      </w:r>
      <w:r w:rsidR="00D820BF">
        <w:rPr>
          <w:rFonts w:ascii="Arial" w:hAnsi="Arial" w:cs="Arial"/>
          <w:color w:val="000000" w:themeColor="text1"/>
          <w:lang w:val="en-GB"/>
        </w:rPr>
        <w:t xml:space="preserve"> of</w:t>
      </w:r>
      <w:r w:rsidR="008C06CC">
        <w:rPr>
          <w:rFonts w:ascii="Arial" w:hAnsi="Arial" w:cs="Arial"/>
          <w:color w:val="000000" w:themeColor="text1"/>
          <w:lang w:val="en-GB"/>
        </w:rPr>
        <w:t xml:space="preserve"> 18 months (Table </w:t>
      </w:r>
      <w:r w:rsidR="008C06CC">
        <w:rPr>
          <w:rFonts w:ascii="Arial" w:hAnsi="Arial" w:cs="Arial"/>
          <w:lang w:val="en-GB"/>
        </w:rPr>
        <w:t xml:space="preserve">1). </w:t>
      </w:r>
    </w:p>
    <w:p w14:paraId="7D5811A0" w14:textId="5DDEC125" w:rsidR="00617FE8" w:rsidRDefault="006B6F4C">
      <w:pPr>
        <w:spacing w:after="0" w:line="480" w:lineRule="auto"/>
        <w:jc w:val="both"/>
        <w:rPr>
          <w:rFonts w:ascii="Arial" w:hAnsi="Arial" w:cs="Arial"/>
          <w:lang w:val="en-GB"/>
        </w:rPr>
      </w:pPr>
      <w:r>
        <w:rPr>
          <w:rFonts w:ascii="Arial" w:hAnsi="Arial" w:cs="Arial"/>
          <w:lang w:val="en-GB"/>
        </w:rPr>
        <w:t>In total, f</w:t>
      </w:r>
      <w:r w:rsidR="008C06CC">
        <w:rPr>
          <w:rFonts w:ascii="Arial" w:hAnsi="Arial" w:cs="Arial"/>
          <w:lang w:val="en-GB"/>
        </w:rPr>
        <w:t>our observational studies comprising</w:t>
      </w:r>
      <w:r w:rsidR="00D40CBB">
        <w:rPr>
          <w:rFonts w:ascii="Arial" w:hAnsi="Arial" w:cs="Arial"/>
          <w:lang w:val="en-GB"/>
        </w:rPr>
        <w:t xml:space="preserve"> </w:t>
      </w:r>
      <w:r w:rsidR="008C06CC">
        <w:rPr>
          <w:rFonts w:ascii="Arial" w:hAnsi="Arial" w:cs="Arial"/>
          <w:lang w:val="en-GB"/>
        </w:rPr>
        <w:t>9</w:t>
      </w:r>
      <w:r w:rsidR="00CF4D75">
        <w:rPr>
          <w:rFonts w:ascii="Arial" w:hAnsi="Arial" w:cs="Arial"/>
          <w:lang w:val="en-GB"/>
        </w:rPr>
        <w:t>,</w:t>
      </w:r>
      <w:r w:rsidR="008C06CC">
        <w:rPr>
          <w:rFonts w:ascii="Arial" w:hAnsi="Arial" w:cs="Arial"/>
          <w:lang w:val="en-GB"/>
        </w:rPr>
        <w:t>373 children</w:t>
      </w:r>
      <w:r w:rsidR="00CF4D75">
        <w:rPr>
          <w:rFonts w:ascii="Arial" w:hAnsi="Arial" w:cs="Arial"/>
          <w:lang w:val="en-GB"/>
        </w:rPr>
        <w:t xml:space="preserve"> (</w:t>
      </w:r>
      <w:r w:rsidR="008C06CC">
        <w:rPr>
          <w:rFonts w:ascii="Arial" w:hAnsi="Arial" w:cs="Arial"/>
          <w:lang w:val="en-GB"/>
        </w:rPr>
        <w:t>Table 1) reported that faster postnatal growth in weight, length</w:t>
      </w:r>
      <w:r>
        <w:rPr>
          <w:rFonts w:ascii="Arial" w:hAnsi="Arial" w:cs="Arial"/>
          <w:lang w:val="en-GB"/>
        </w:rPr>
        <w:t xml:space="preserve"> and, or, </w:t>
      </w:r>
      <w:r w:rsidR="008C06CC">
        <w:rPr>
          <w:rFonts w:ascii="Arial" w:hAnsi="Arial" w:cs="Arial"/>
          <w:lang w:val="en-GB"/>
        </w:rPr>
        <w:t>height or head circumference between birth and 20 months</w:t>
      </w:r>
      <w:r w:rsidR="004A7A76">
        <w:rPr>
          <w:rFonts w:ascii="Arial" w:hAnsi="Arial" w:cs="Arial"/>
          <w:lang w:val="en-GB"/>
        </w:rPr>
        <w:t xml:space="preserve"> to </w:t>
      </w:r>
      <w:r>
        <w:rPr>
          <w:rFonts w:ascii="Arial" w:hAnsi="Arial" w:cs="Arial"/>
          <w:lang w:val="en-GB"/>
        </w:rPr>
        <w:t xml:space="preserve">five </w:t>
      </w:r>
      <w:r w:rsidR="008C06CC">
        <w:rPr>
          <w:rFonts w:ascii="Arial" w:hAnsi="Arial" w:cs="Arial"/>
          <w:lang w:val="en-GB"/>
        </w:rPr>
        <w:t xml:space="preserve">years were associated with better neurocognitive outcomes at </w:t>
      </w:r>
      <w:r w:rsidR="00D820BF">
        <w:rPr>
          <w:rFonts w:ascii="Arial" w:hAnsi="Arial" w:cs="Arial"/>
          <w:lang w:val="en-GB"/>
        </w:rPr>
        <w:t xml:space="preserve">the </w:t>
      </w:r>
      <w:r w:rsidR="008C06CC">
        <w:rPr>
          <w:rFonts w:ascii="Arial" w:hAnsi="Arial" w:cs="Arial"/>
          <w:lang w:val="en-GB"/>
        </w:rPr>
        <w:t>ages</w:t>
      </w:r>
      <w:r w:rsidR="00D820BF">
        <w:rPr>
          <w:rFonts w:ascii="Arial" w:hAnsi="Arial" w:cs="Arial"/>
          <w:lang w:val="en-GB"/>
        </w:rPr>
        <w:t xml:space="preserve"> of</w:t>
      </w:r>
      <w:r w:rsidR="008C06CC">
        <w:rPr>
          <w:rFonts w:ascii="Arial" w:hAnsi="Arial" w:cs="Arial"/>
          <w:lang w:val="en-GB"/>
        </w:rPr>
        <w:t xml:space="preserve"> 17</w:t>
      </w:r>
      <w:r w:rsidR="00093367">
        <w:rPr>
          <w:rFonts w:ascii="Arial" w:hAnsi="Arial" w:cs="Arial"/>
          <w:lang w:val="en-GB"/>
        </w:rPr>
        <w:t xml:space="preserve"> to </w:t>
      </w:r>
      <w:r w:rsidR="008C06CC">
        <w:rPr>
          <w:rFonts w:ascii="Arial" w:hAnsi="Arial" w:cs="Arial"/>
          <w:lang w:val="en-GB"/>
        </w:rPr>
        <w:t xml:space="preserve">26 years </w:t>
      </w:r>
      <w:r w:rsidR="008C06CC">
        <w:rPr>
          <w:rFonts w:ascii="Arial" w:hAnsi="Arial" w:cs="Arial"/>
          <w:noProof/>
          <w:lang w:val="en-GB"/>
        </w:rPr>
        <w:t>(23</w:t>
      </w:r>
      <w:r>
        <w:rPr>
          <w:rFonts w:ascii="Arial" w:hAnsi="Arial" w:cs="Arial"/>
          <w:noProof/>
          <w:lang w:val="en-GB"/>
        </w:rPr>
        <w:t>-</w:t>
      </w:r>
      <w:r w:rsidR="008C06CC">
        <w:rPr>
          <w:rFonts w:ascii="Arial" w:hAnsi="Arial" w:cs="Arial"/>
          <w:noProof/>
          <w:lang w:val="en-GB"/>
        </w:rPr>
        <w:t>26)</w:t>
      </w:r>
      <w:r w:rsidR="008C06CC">
        <w:rPr>
          <w:rFonts w:ascii="Arial" w:hAnsi="Arial" w:cs="Arial"/>
          <w:lang w:val="en-GB"/>
        </w:rPr>
        <w:t xml:space="preserve">. One further study </w:t>
      </w:r>
      <w:r w:rsidR="008302B6">
        <w:rPr>
          <w:rFonts w:ascii="Arial" w:hAnsi="Arial" w:cs="Arial"/>
          <w:lang w:val="en-GB"/>
        </w:rPr>
        <w:t>comprising</w:t>
      </w:r>
      <w:r w:rsidR="00CF4D75">
        <w:rPr>
          <w:rFonts w:ascii="Arial" w:hAnsi="Arial" w:cs="Arial"/>
          <w:lang w:val="en-GB"/>
        </w:rPr>
        <w:t xml:space="preserve"> </w:t>
      </w:r>
      <w:r w:rsidR="008C06CC">
        <w:rPr>
          <w:rFonts w:ascii="Arial" w:hAnsi="Arial" w:cs="Arial"/>
          <w:lang w:val="en-GB"/>
        </w:rPr>
        <w:t xml:space="preserve">503 children reported a quadratic association: both low </w:t>
      </w:r>
      <w:r>
        <w:rPr>
          <w:rFonts w:ascii="Arial" w:hAnsi="Arial" w:cs="Arial"/>
          <w:lang w:val="en-GB"/>
        </w:rPr>
        <w:t xml:space="preserve">and </w:t>
      </w:r>
      <w:r w:rsidR="008C06CC">
        <w:rPr>
          <w:rFonts w:ascii="Arial" w:hAnsi="Arial" w:cs="Arial"/>
          <w:lang w:val="en-GB"/>
        </w:rPr>
        <w:t xml:space="preserve">high weight gains between birth and </w:t>
      </w:r>
      <w:r>
        <w:rPr>
          <w:rFonts w:ascii="Arial" w:hAnsi="Arial" w:cs="Arial"/>
          <w:lang w:val="en-GB"/>
        </w:rPr>
        <w:t xml:space="preserve">nine </w:t>
      </w:r>
      <w:r w:rsidR="008C06CC">
        <w:rPr>
          <w:rFonts w:ascii="Arial" w:hAnsi="Arial" w:cs="Arial"/>
          <w:lang w:val="en-GB"/>
        </w:rPr>
        <w:t>months</w:t>
      </w:r>
      <w:r w:rsidR="008C06CC">
        <w:rPr>
          <w:rFonts w:ascii="Arial" w:hAnsi="Arial" w:cs="Arial"/>
          <w:color w:val="FF0000"/>
          <w:lang w:val="en-GB"/>
        </w:rPr>
        <w:t xml:space="preserve"> </w:t>
      </w:r>
      <w:r w:rsidR="008C06CC">
        <w:rPr>
          <w:rFonts w:ascii="Arial" w:hAnsi="Arial" w:cs="Arial"/>
          <w:lang w:val="en-GB"/>
        </w:rPr>
        <w:t xml:space="preserve">were associated with lower cognitive function at </w:t>
      </w:r>
      <w:r w:rsidR="00D820BF">
        <w:rPr>
          <w:rFonts w:ascii="Arial" w:hAnsi="Arial" w:cs="Arial"/>
          <w:lang w:val="en-GB"/>
        </w:rPr>
        <w:t xml:space="preserve">the </w:t>
      </w:r>
      <w:r w:rsidR="008C06CC">
        <w:rPr>
          <w:rFonts w:ascii="Arial" w:hAnsi="Arial" w:cs="Arial"/>
          <w:lang w:val="en-GB"/>
        </w:rPr>
        <w:t xml:space="preserve">age </w:t>
      </w:r>
      <w:r w:rsidR="00D820BF">
        <w:rPr>
          <w:rFonts w:ascii="Arial" w:hAnsi="Arial" w:cs="Arial"/>
          <w:lang w:val="en-GB"/>
        </w:rPr>
        <w:t xml:space="preserve">of </w:t>
      </w:r>
      <w:r>
        <w:rPr>
          <w:rFonts w:ascii="Arial" w:hAnsi="Arial" w:cs="Arial"/>
          <w:lang w:val="en-GB"/>
        </w:rPr>
        <w:t xml:space="preserve">seven </w:t>
      </w:r>
      <w:r w:rsidR="008C06CC">
        <w:rPr>
          <w:rFonts w:ascii="Arial" w:hAnsi="Arial" w:cs="Arial"/>
          <w:lang w:val="en-GB"/>
        </w:rPr>
        <w:t xml:space="preserve">years </w:t>
      </w:r>
      <w:r w:rsidR="008C06CC">
        <w:rPr>
          <w:rFonts w:ascii="Arial" w:hAnsi="Arial" w:cs="Arial"/>
          <w:noProof/>
          <w:lang w:val="en-GB"/>
        </w:rPr>
        <w:t>(27)</w:t>
      </w:r>
      <w:r w:rsidR="008C06CC">
        <w:rPr>
          <w:rFonts w:ascii="Arial" w:hAnsi="Arial" w:cs="Arial"/>
          <w:lang w:val="en-GB"/>
        </w:rPr>
        <w:t>. Most observational studies adjusted for a variety of potential confounding factors</w:t>
      </w:r>
      <w:r>
        <w:rPr>
          <w:rFonts w:ascii="Arial" w:hAnsi="Arial" w:cs="Arial"/>
          <w:lang w:val="en-GB"/>
        </w:rPr>
        <w:t>, although</w:t>
      </w:r>
      <w:r w:rsidR="008C06CC">
        <w:rPr>
          <w:rFonts w:ascii="Arial" w:hAnsi="Arial" w:cs="Arial"/>
          <w:lang w:val="en-GB"/>
        </w:rPr>
        <w:t xml:space="preserve"> none adjusted for maternal </w:t>
      </w:r>
      <w:r>
        <w:rPr>
          <w:rFonts w:ascii="Arial" w:hAnsi="Arial" w:cs="Arial"/>
          <w:lang w:val="en-GB"/>
        </w:rPr>
        <w:t>intelligence quotient</w:t>
      </w:r>
      <w:r w:rsidR="008C06CC">
        <w:rPr>
          <w:rFonts w:ascii="Arial" w:hAnsi="Arial" w:cs="Arial"/>
          <w:lang w:val="en-GB"/>
        </w:rPr>
        <w:t xml:space="preserve">. Only one study compared SGA infants versus an </w:t>
      </w:r>
      <w:r>
        <w:rPr>
          <w:rFonts w:ascii="Arial" w:hAnsi="Arial" w:cs="Arial"/>
          <w:lang w:val="en-GB"/>
        </w:rPr>
        <w:t>appropriate</w:t>
      </w:r>
      <w:r w:rsidR="00D820BF">
        <w:rPr>
          <w:rFonts w:ascii="Arial" w:hAnsi="Arial" w:cs="Arial"/>
          <w:lang w:val="en-GB"/>
        </w:rPr>
        <w:t xml:space="preserve"> </w:t>
      </w:r>
      <w:r w:rsidR="008C06CC">
        <w:rPr>
          <w:rFonts w:ascii="Arial" w:hAnsi="Arial" w:cs="Arial"/>
          <w:lang w:val="en-GB"/>
        </w:rPr>
        <w:t>for</w:t>
      </w:r>
      <w:r w:rsidR="00D820BF">
        <w:rPr>
          <w:rFonts w:ascii="Arial" w:hAnsi="Arial" w:cs="Arial"/>
          <w:lang w:val="en-GB"/>
        </w:rPr>
        <w:t xml:space="preserve"> </w:t>
      </w:r>
      <w:r>
        <w:rPr>
          <w:rFonts w:ascii="Arial" w:hAnsi="Arial" w:cs="Arial"/>
          <w:lang w:val="en-GB"/>
        </w:rPr>
        <w:t>gestational</w:t>
      </w:r>
      <w:r w:rsidR="00D820BF">
        <w:rPr>
          <w:rFonts w:ascii="Arial" w:hAnsi="Arial" w:cs="Arial"/>
          <w:lang w:val="en-GB"/>
        </w:rPr>
        <w:t xml:space="preserve"> </w:t>
      </w:r>
      <w:r w:rsidR="008C06CC">
        <w:rPr>
          <w:rFonts w:ascii="Arial" w:hAnsi="Arial" w:cs="Arial"/>
          <w:lang w:val="en-GB"/>
        </w:rPr>
        <w:t xml:space="preserve">age (AGA) control group: </w:t>
      </w:r>
      <w:r w:rsidR="00093367">
        <w:rPr>
          <w:rFonts w:ascii="Arial" w:hAnsi="Arial" w:cs="Arial"/>
          <w:lang w:val="en-GB"/>
        </w:rPr>
        <w:t xml:space="preserve">this </w:t>
      </w:r>
      <w:r w:rsidR="008C06CC">
        <w:rPr>
          <w:rFonts w:ascii="Arial" w:hAnsi="Arial" w:cs="Arial"/>
          <w:lang w:val="en-GB"/>
        </w:rPr>
        <w:t xml:space="preserve">study found lower cognitive function in SGA </w:t>
      </w:r>
      <w:r w:rsidR="00D820BF">
        <w:rPr>
          <w:rFonts w:ascii="Arial" w:hAnsi="Arial" w:cs="Arial"/>
          <w:lang w:val="en-GB"/>
        </w:rPr>
        <w:t>than</w:t>
      </w:r>
      <w:r w:rsidR="004B5F59">
        <w:rPr>
          <w:rFonts w:ascii="Arial" w:hAnsi="Arial" w:cs="Arial"/>
          <w:lang w:val="en-GB"/>
        </w:rPr>
        <w:t xml:space="preserve"> </w:t>
      </w:r>
      <w:r w:rsidR="008C06CC">
        <w:rPr>
          <w:rFonts w:ascii="Arial" w:hAnsi="Arial" w:cs="Arial"/>
          <w:lang w:val="en-GB"/>
        </w:rPr>
        <w:t xml:space="preserve">AGA children </w:t>
      </w:r>
      <w:r w:rsidR="008C06CC">
        <w:rPr>
          <w:rFonts w:ascii="Arial" w:hAnsi="Arial" w:cs="Arial"/>
          <w:noProof/>
          <w:lang w:val="en-GB"/>
        </w:rPr>
        <w:t>(27)</w:t>
      </w:r>
      <w:r w:rsidR="008C06CC">
        <w:rPr>
          <w:rFonts w:ascii="Arial" w:hAnsi="Arial" w:cs="Arial"/>
          <w:lang w:val="en-GB"/>
        </w:rPr>
        <w:t>.</w:t>
      </w:r>
    </w:p>
    <w:p w14:paraId="36A921EF" w14:textId="77777777" w:rsidR="00617FE8" w:rsidRDefault="00617FE8">
      <w:pPr>
        <w:spacing w:after="0" w:line="480" w:lineRule="auto"/>
        <w:jc w:val="both"/>
        <w:rPr>
          <w:rFonts w:ascii="Arial" w:hAnsi="Arial" w:cs="Arial"/>
          <w:b/>
          <w:lang w:val="en-GB"/>
        </w:rPr>
      </w:pPr>
    </w:p>
    <w:p w14:paraId="11879C94" w14:textId="77777777" w:rsidR="00617FE8" w:rsidRDefault="008C06CC">
      <w:pPr>
        <w:spacing w:after="0" w:line="480" w:lineRule="auto"/>
        <w:jc w:val="both"/>
        <w:rPr>
          <w:rFonts w:ascii="Arial" w:hAnsi="Arial" w:cs="Arial"/>
          <w:lang w:val="en-GB"/>
        </w:rPr>
      </w:pPr>
      <w:r>
        <w:rPr>
          <w:rFonts w:ascii="Arial" w:hAnsi="Arial" w:cs="Arial"/>
          <w:b/>
          <w:lang w:val="en-GB"/>
        </w:rPr>
        <w:t>Adiposity</w:t>
      </w:r>
    </w:p>
    <w:p w14:paraId="1A8E8993" w14:textId="09838B0E" w:rsidR="00617FE8" w:rsidRDefault="00D820BF">
      <w:pPr>
        <w:spacing w:after="0" w:line="480" w:lineRule="auto"/>
        <w:jc w:val="both"/>
        <w:rPr>
          <w:rFonts w:ascii="Arial" w:hAnsi="Arial" w:cs="Arial"/>
          <w:lang w:val="en-GB"/>
        </w:rPr>
      </w:pPr>
      <w:r>
        <w:rPr>
          <w:rFonts w:ascii="Arial" w:hAnsi="Arial" w:cs="Arial"/>
          <w:lang w:val="en-GB"/>
        </w:rPr>
        <w:lastRenderedPageBreak/>
        <w:t>One paper reported</w:t>
      </w:r>
      <w:r w:rsidR="00CF4D75">
        <w:rPr>
          <w:rFonts w:ascii="Arial" w:hAnsi="Arial" w:cs="Arial"/>
          <w:lang w:val="en-GB"/>
        </w:rPr>
        <w:t xml:space="preserve"> two </w:t>
      </w:r>
      <w:r w:rsidR="008C06CC">
        <w:rPr>
          <w:rFonts w:ascii="Arial" w:hAnsi="Arial" w:cs="Arial"/>
          <w:lang w:val="en-GB"/>
        </w:rPr>
        <w:t xml:space="preserve">RCTs </w:t>
      </w:r>
      <w:r w:rsidR="00640B12">
        <w:rPr>
          <w:rFonts w:ascii="Arial" w:hAnsi="Arial" w:cs="Arial"/>
          <w:lang w:val="en-GB"/>
        </w:rPr>
        <w:t xml:space="preserve">comprising 545 children </w:t>
      </w:r>
      <w:r w:rsidR="008C06CC">
        <w:rPr>
          <w:rFonts w:ascii="Arial" w:hAnsi="Arial" w:cs="Arial"/>
          <w:noProof/>
          <w:lang w:val="en-GB"/>
        </w:rPr>
        <w:t>(22)</w:t>
      </w:r>
      <w:r w:rsidR="008C06CC">
        <w:rPr>
          <w:rFonts w:ascii="Arial" w:hAnsi="Arial" w:cs="Arial"/>
          <w:lang w:val="en-GB"/>
        </w:rPr>
        <w:t>. Both RCTs</w:t>
      </w:r>
      <w:r w:rsidR="006B6F4C">
        <w:rPr>
          <w:rFonts w:ascii="Arial" w:hAnsi="Arial" w:cs="Arial"/>
          <w:lang w:val="en-GB"/>
        </w:rPr>
        <w:t xml:space="preserve"> </w:t>
      </w:r>
      <w:r w:rsidR="00CF4D75">
        <w:rPr>
          <w:rFonts w:ascii="Arial" w:hAnsi="Arial" w:cs="Arial"/>
          <w:lang w:val="en-GB"/>
        </w:rPr>
        <w:t xml:space="preserve">showed </w:t>
      </w:r>
      <w:r w:rsidR="008C06CC">
        <w:rPr>
          <w:rFonts w:ascii="Arial" w:hAnsi="Arial" w:cs="Arial"/>
          <w:lang w:val="en-GB"/>
        </w:rPr>
        <w:t xml:space="preserve">that nutrient </w:t>
      </w:r>
      <w:r w:rsidR="008C06CC">
        <w:rPr>
          <w:rFonts w:ascii="Arial" w:hAnsi="Arial" w:cs="Arial"/>
          <w:color w:val="000000" w:themeColor="text1"/>
          <w:lang w:val="en-GB"/>
        </w:rPr>
        <w:t>and energy enriched formula</w:t>
      </w:r>
      <w:r w:rsidR="00640B12">
        <w:rPr>
          <w:rFonts w:ascii="Arial" w:hAnsi="Arial" w:cs="Arial"/>
          <w:color w:val="000000" w:themeColor="text1"/>
          <w:lang w:val="en-GB"/>
        </w:rPr>
        <w:t>s</w:t>
      </w:r>
      <w:r w:rsidR="008C06CC">
        <w:rPr>
          <w:rFonts w:ascii="Arial" w:hAnsi="Arial" w:cs="Arial"/>
          <w:lang w:val="en-GB"/>
        </w:rPr>
        <w:t xml:space="preserve">, which promoted early growth, also increased total body fat mass in SGA-born children at </w:t>
      </w:r>
      <w:r>
        <w:rPr>
          <w:rFonts w:ascii="Arial" w:hAnsi="Arial" w:cs="Arial"/>
          <w:lang w:val="en-GB"/>
        </w:rPr>
        <w:t xml:space="preserve">the </w:t>
      </w:r>
      <w:r w:rsidR="008C06CC">
        <w:rPr>
          <w:rFonts w:ascii="Arial" w:hAnsi="Arial" w:cs="Arial"/>
          <w:lang w:val="en-GB"/>
        </w:rPr>
        <w:t xml:space="preserve">age </w:t>
      </w:r>
      <w:r>
        <w:rPr>
          <w:rFonts w:ascii="Arial" w:hAnsi="Arial" w:cs="Arial"/>
          <w:lang w:val="en-GB"/>
        </w:rPr>
        <w:t xml:space="preserve">of </w:t>
      </w:r>
      <w:r w:rsidR="006B6F4C">
        <w:rPr>
          <w:rFonts w:ascii="Arial" w:hAnsi="Arial" w:cs="Arial"/>
          <w:lang w:val="en-GB"/>
        </w:rPr>
        <w:t>five to seven</w:t>
      </w:r>
      <w:r w:rsidR="008C06CC">
        <w:rPr>
          <w:rFonts w:ascii="Arial" w:hAnsi="Arial" w:cs="Arial"/>
          <w:lang w:val="en-GB"/>
        </w:rPr>
        <w:t xml:space="preserve"> years, along with a trend </w:t>
      </w:r>
      <w:r>
        <w:rPr>
          <w:rFonts w:ascii="Arial" w:hAnsi="Arial" w:cs="Arial"/>
          <w:lang w:val="en-GB"/>
        </w:rPr>
        <w:t xml:space="preserve">for </w:t>
      </w:r>
      <w:r w:rsidR="008C06CC">
        <w:rPr>
          <w:rFonts w:ascii="Arial" w:hAnsi="Arial" w:cs="Arial"/>
          <w:lang w:val="en-GB"/>
        </w:rPr>
        <w:t>increased total body lean mass (</w:t>
      </w:r>
      <w:r>
        <w:rPr>
          <w:rFonts w:ascii="Arial" w:hAnsi="Arial" w:cs="Arial"/>
          <w:lang w:val="en-GB"/>
        </w:rPr>
        <w:t>Table</w:t>
      </w:r>
      <w:r w:rsidR="008C06CC">
        <w:rPr>
          <w:rFonts w:ascii="Arial" w:hAnsi="Arial" w:cs="Arial"/>
          <w:lang w:val="en-GB"/>
        </w:rPr>
        <w:t xml:space="preserve"> </w:t>
      </w:r>
      <w:r>
        <w:rPr>
          <w:rFonts w:ascii="Arial" w:hAnsi="Arial" w:cs="Arial"/>
          <w:lang w:val="en-GB"/>
        </w:rPr>
        <w:t>S</w:t>
      </w:r>
      <w:r w:rsidR="00602D2A">
        <w:rPr>
          <w:rFonts w:ascii="Arial" w:hAnsi="Arial" w:cs="Arial"/>
          <w:lang w:val="en-GB"/>
        </w:rPr>
        <w:t>1</w:t>
      </w:r>
      <w:r w:rsidR="008C06CC">
        <w:rPr>
          <w:rFonts w:ascii="Arial" w:hAnsi="Arial" w:cs="Arial"/>
          <w:lang w:val="en-GB"/>
        </w:rPr>
        <w:t xml:space="preserve">a). </w:t>
      </w:r>
    </w:p>
    <w:p w14:paraId="69407B88" w14:textId="58B6BB72" w:rsidR="00617FE8" w:rsidRDefault="00CF4D75" w:rsidP="003115DA">
      <w:pPr>
        <w:spacing w:after="0" w:line="480" w:lineRule="auto"/>
        <w:jc w:val="both"/>
        <w:rPr>
          <w:rFonts w:ascii="Arial" w:hAnsi="Arial" w:cs="Arial"/>
          <w:lang w:val="en-GB"/>
        </w:rPr>
      </w:pPr>
      <w:r>
        <w:rPr>
          <w:rFonts w:ascii="Arial" w:hAnsi="Arial" w:cs="Arial"/>
          <w:lang w:val="en-GB"/>
        </w:rPr>
        <w:t>There were 18</w:t>
      </w:r>
      <w:r w:rsidR="008C06CC">
        <w:rPr>
          <w:rFonts w:ascii="Arial" w:hAnsi="Arial" w:cs="Arial"/>
          <w:lang w:val="en-GB"/>
        </w:rPr>
        <w:t xml:space="preserve"> independent observational studies </w:t>
      </w:r>
      <w:r w:rsidR="006E785D">
        <w:rPr>
          <w:rFonts w:ascii="Arial" w:hAnsi="Arial" w:cs="Arial"/>
          <w:lang w:val="en-GB"/>
        </w:rPr>
        <w:t xml:space="preserve">that </w:t>
      </w:r>
      <w:r w:rsidR="008C06CC">
        <w:rPr>
          <w:rFonts w:ascii="Arial" w:hAnsi="Arial" w:cs="Arial"/>
          <w:lang w:val="en-GB"/>
        </w:rPr>
        <w:t>reported on the association between postnatal growth and some measure</w:t>
      </w:r>
      <w:r w:rsidR="006E785D">
        <w:rPr>
          <w:rFonts w:ascii="Arial" w:hAnsi="Arial" w:cs="Arial"/>
          <w:lang w:val="en-GB"/>
        </w:rPr>
        <w:t>s</w:t>
      </w:r>
      <w:r w:rsidR="008C06CC">
        <w:rPr>
          <w:rFonts w:ascii="Arial" w:hAnsi="Arial" w:cs="Arial"/>
          <w:lang w:val="en-GB"/>
        </w:rPr>
        <w:t xml:space="preserve"> of adiposity</w:t>
      </w:r>
      <w:r w:rsidR="006E785D">
        <w:rPr>
          <w:rFonts w:ascii="Arial" w:hAnsi="Arial" w:cs="Arial"/>
          <w:lang w:val="en-GB"/>
        </w:rPr>
        <w:t>: Table</w:t>
      </w:r>
      <w:r w:rsidR="00F135FC">
        <w:rPr>
          <w:rFonts w:ascii="Arial" w:hAnsi="Arial" w:cs="Arial"/>
          <w:lang w:val="en-GB"/>
        </w:rPr>
        <w:t>s</w:t>
      </w:r>
      <w:r w:rsidR="006E785D">
        <w:rPr>
          <w:rFonts w:ascii="Arial" w:hAnsi="Arial" w:cs="Arial"/>
          <w:lang w:val="en-GB"/>
        </w:rPr>
        <w:t xml:space="preserve"> S1a</w:t>
      </w:r>
      <w:r w:rsidR="00F135FC">
        <w:rPr>
          <w:rFonts w:ascii="Arial" w:hAnsi="Arial" w:cs="Arial"/>
          <w:lang w:val="en-GB"/>
        </w:rPr>
        <w:t>-c</w:t>
      </w:r>
      <w:r w:rsidR="00602D2A">
        <w:rPr>
          <w:rFonts w:ascii="Arial" w:hAnsi="Arial" w:cs="Arial"/>
          <w:lang w:val="en-GB"/>
        </w:rPr>
        <w:t xml:space="preserve"> </w:t>
      </w:r>
      <w:r w:rsidR="008C06CC">
        <w:rPr>
          <w:rFonts w:ascii="Arial" w:hAnsi="Arial" w:cs="Arial"/>
          <w:lang w:val="en-GB"/>
        </w:rPr>
        <w:t xml:space="preserve">show the findings stratified by outcome measure. </w:t>
      </w:r>
      <w:r>
        <w:rPr>
          <w:rFonts w:ascii="Arial" w:hAnsi="Arial" w:cs="Arial"/>
          <w:lang w:val="en-GB"/>
        </w:rPr>
        <w:t>Faster postnatal growth</w:t>
      </w:r>
      <w:r w:rsidR="006E785D">
        <w:rPr>
          <w:rFonts w:ascii="Arial" w:hAnsi="Arial" w:cs="Arial"/>
          <w:lang w:val="en-GB"/>
        </w:rPr>
        <w:t>,</w:t>
      </w:r>
      <w:r>
        <w:rPr>
          <w:rFonts w:ascii="Arial" w:hAnsi="Arial" w:cs="Arial"/>
          <w:lang w:val="en-GB"/>
        </w:rPr>
        <w:t xml:space="preserve"> measured </w:t>
      </w:r>
      <w:r w:rsidR="006E785D">
        <w:rPr>
          <w:rFonts w:ascii="Arial" w:hAnsi="Arial" w:cs="Arial"/>
          <w:lang w:val="en-GB"/>
        </w:rPr>
        <w:t xml:space="preserve">as </w:t>
      </w:r>
      <w:r>
        <w:rPr>
          <w:rFonts w:ascii="Arial" w:hAnsi="Arial" w:cs="Arial"/>
          <w:lang w:val="en-GB"/>
        </w:rPr>
        <w:t xml:space="preserve">weight, length and, or, height or </w:t>
      </w:r>
      <w:r w:rsidR="006E785D">
        <w:rPr>
          <w:rFonts w:ascii="Arial" w:hAnsi="Arial" w:cs="Arial"/>
          <w:lang w:val="en-GB"/>
        </w:rPr>
        <w:t>body mass index (</w:t>
      </w:r>
      <w:r>
        <w:rPr>
          <w:rFonts w:ascii="Arial" w:hAnsi="Arial" w:cs="Arial"/>
          <w:lang w:val="en-GB"/>
        </w:rPr>
        <w:t>BMI</w:t>
      </w:r>
      <w:r w:rsidR="006E785D">
        <w:rPr>
          <w:rFonts w:ascii="Arial" w:hAnsi="Arial" w:cs="Arial"/>
          <w:lang w:val="en-GB"/>
        </w:rPr>
        <w:t>)</w:t>
      </w:r>
      <w:r>
        <w:rPr>
          <w:rFonts w:ascii="Arial" w:hAnsi="Arial" w:cs="Arial"/>
          <w:lang w:val="en-GB"/>
        </w:rPr>
        <w:t xml:space="preserve"> between birth and one to eight years was positively associated with BMI at </w:t>
      </w:r>
      <w:r w:rsidR="006E785D">
        <w:rPr>
          <w:rFonts w:ascii="Arial" w:hAnsi="Arial" w:cs="Arial"/>
          <w:lang w:val="en-GB"/>
        </w:rPr>
        <w:t xml:space="preserve">the </w:t>
      </w:r>
      <w:r>
        <w:rPr>
          <w:rFonts w:ascii="Arial" w:hAnsi="Arial" w:cs="Arial"/>
          <w:lang w:val="en-GB"/>
        </w:rPr>
        <w:t xml:space="preserve">ages </w:t>
      </w:r>
      <w:r w:rsidR="006E785D">
        <w:rPr>
          <w:rFonts w:ascii="Arial" w:hAnsi="Arial" w:cs="Arial"/>
          <w:lang w:val="en-GB"/>
        </w:rPr>
        <w:t xml:space="preserve">of </w:t>
      </w:r>
      <w:r>
        <w:rPr>
          <w:rFonts w:ascii="Arial" w:hAnsi="Arial" w:cs="Arial"/>
          <w:lang w:val="en-GB"/>
        </w:rPr>
        <w:t xml:space="preserve">one to 21 years </w:t>
      </w:r>
      <w:r>
        <w:rPr>
          <w:rFonts w:ascii="Arial" w:hAnsi="Arial" w:cs="Arial"/>
          <w:noProof/>
          <w:lang w:val="en-GB"/>
        </w:rPr>
        <w:t>(14,16,28</w:t>
      </w:r>
      <w:r w:rsidR="004A7A76">
        <w:rPr>
          <w:rFonts w:ascii="Arial" w:hAnsi="Arial" w:cs="Arial"/>
          <w:noProof/>
          <w:lang w:val="en-GB"/>
        </w:rPr>
        <w:t>-</w:t>
      </w:r>
      <w:r>
        <w:rPr>
          <w:rFonts w:ascii="Arial" w:hAnsi="Arial" w:cs="Arial"/>
          <w:noProof/>
          <w:lang w:val="en-GB"/>
        </w:rPr>
        <w:t>36)</w:t>
      </w:r>
      <w:r w:rsidR="006E785D">
        <w:rPr>
          <w:rFonts w:ascii="Arial" w:hAnsi="Arial" w:cs="Arial"/>
          <w:noProof/>
          <w:lang w:val="en-GB"/>
        </w:rPr>
        <w:t>,</w:t>
      </w:r>
      <w:r>
        <w:rPr>
          <w:rFonts w:ascii="Arial" w:hAnsi="Arial" w:cs="Arial"/>
          <w:noProof/>
          <w:lang w:val="en-GB"/>
        </w:rPr>
        <w:t xml:space="preserve"> as reported in 11</w:t>
      </w:r>
      <w:r w:rsidR="008C06CC">
        <w:rPr>
          <w:rFonts w:ascii="Arial" w:hAnsi="Arial" w:cs="Arial"/>
          <w:lang w:val="en-GB"/>
        </w:rPr>
        <w:t xml:space="preserve"> studies </w:t>
      </w:r>
      <w:r w:rsidR="008302B6">
        <w:rPr>
          <w:rFonts w:ascii="Arial" w:hAnsi="Arial" w:cs="Arial"/>
          <w:lang w:val="en-GB"/>
        </w:rPr>
        <w:t>comprising</w:t>
      </w:r>
      <w:r w:rsidR="008C06CC">
        <w:rPr>
          <w:rFonts w:ascii="Arial" w:hAnsi="Arial" w:cs="Arial"/>
          <w:lang w:val="en-GB"/>
        </w:rPr>
        <w:t xml:space="preserve"> 784 children</w:t>
      </w:r>
      <w:r w:rsidR="004A7A76">
        <w:rPr>
          <w:rFonts w:ascii="Arial" w:hAnsi="Arial" w:cs="Arial"/>
          <w:lang w:val="en-GB"/>
        </w:rPr>
        <w:t xml:space="preserve">. </w:t>
      </w:r>
      <w:r w:rsidR="008302B6">
        <w:rPr>
          <w:rFonts w:ascii="Arial" w:hAnsi="Arial" w:cs="Arial"/>
          <w:lang w:val="en-GB"/>
        </w:rPr>
        <w:t>However</w:t>
      </w:r>
      <w:r w:rsidR="004A7A76">
        <w:rPr>
          <w:rFonts w:ascii="Arial" w:hAnsi="Arial" w:cs="Arial"/>
          <w:lang w:val="en-GB"/>
        </w:rPr>
        <w:t>,</w:t>
      </w:r>
      <w:r w:rsidR="008C06CC">
        <w:rPr>
          <w:rFonts w:ascii="Arial" w:hAnsi="Arial" w:cs="Arial"/>
          <w:lang w:val="en-GB"/>
        </w:rPr>
        <w:t xml:space="preserve"> three further studies </w:t>
      </w:r>
      <w:r w:rsidR="008302B6">
        <w:rPr>
          <w:rFonts w:ascii="Arial" w:hAnsi="Arial" w:cs="Arial"/>
          <w:lang w:val="en-GB"/>
        </w:rPr>
        <w:t>comprising</w:t>
      </w:r>
      <w:r w:rsidR="00640B12">
        <w:rPr>
          <w:rFonts w:ascii="Arial" w:hAnsi="Arial" w:cs="Arial"/>
          <w:lang w:val="en-GB"/>
        </w:rPr>
        <w:t xml:space="preserve"> </w:t>
      </w:r>
      <w:r w:rsidR="008C06CC">
        <w:rPr>
          <w:rFonts w:ascii="Arial" w:hAnsi="Arial" w:cs="Arial"/>
          <w:lang w:val="en-GB"/>
        </w:rPr>
        <w:t>120 children reported no association between postnatal growth</w:t>
      </w:r>
      <w:r w:rsidR="006E785D">
        <w:rPr>
          <w:rFonts w:ascii="Arial" w:hAnsi="Arial" w:cs="Arial"/>
          <w:lang w:val="en-GB"/>
        </w:rPr>
        <w:t>,</w:t>
      </w:r>
      <w:r w:rsidR="008C06CC">
        <w:rPr>
          <w:rFonts w:ascii="Arial" w:hAnsi="Arial" w:cs="Arial"/>
          <w:lang w:val="en-GB"/>
        </w:rPr>
        <w:t xml:space="preserve"> </w:t>
      </w:r>
      <w:r w:rsidR="004A7A76">
        <w:rPr>
          <w:rFonts w:ascii="Arial" w:hAnsi="Arial" w:cs="Arial"/>
          <w:lang w:val="en-GB"/>
        </w:rPr>
        <w:t xml:space="preserve">measured </w:t>
      </w:r>
      <w:r w:rsidR="006E785D">
        <w:rPr>
          <w:rFonts w:ascii="Arial" w:hAnsi="Arial" w:cs="Arial"/>
          <w:lang w:val="en-GB"/>
        </w:rPr>
        <w:t xml:space="preserve">as the </w:t>
      </w:r>
      <w:r w:rsidR="008C06CC">
        <w:rPr>
          <w:rFonts w:ascii="Arial" w:hAnsi="Arial" w:cs="Arial"/>
          <w:lang w:val="en-GB"/>
        </w:rPr>
        <w:t xml:space="preserve">weight between birth and </w:t>
      </w:r>
      <w:r w:rsidR="004A7A76">
        <w:rPr>
          <w:rFonts w:ascii="Arial" w:hAnsi="Arial" w:cs="Arial"/>
          <w:lang w:val="en-GB"/>
        </w:rPr>
        <w:t>two to seven</w:t>
      </w:r>
      <w:r w:rsidR="008C06CC">
        <w:rPr>
          <w:rFonts w:ascii="Arial" w:hAnsi="Arial" w:cs="Arial"/>
          <w:lang w:val="en-GB"/>
        </w:rPr>
        <w:t xml:space="preserve"> years and BMI at </w:t>
      </w:r>
      <w:r w:rsidR="006E785D">
        <w:rPr>
          <w:rFonts w:ascii="Arial" w:hAnsi="Arial" w:cs="Arial"/>
          <w:lang w:val="en-GB"/>
        </w:rPr>
        <w:t xml:space="preserve">the </w:t>
      </w:r>
      <w:r w:rsidR="008C06CC">
        <w:rPr>
          <w:rFonts w:ascii="Arial" w:hAnsi="Arial" w:cs="Arial"/>
          <w:lang w:val="en-GB"/>
        </w:rPr>
        <w:t xml:space="preserve">ages </w:t>
      </w:r>
      <w:r w:rsidR="006E785D">
        <w:rPr>
          <w:rFonts w:ascii="Arial" w:hAnsi="Arial" w:cs="Arial"/>
          <w:lang w:val="en-GB"/>
        </w:rPr>
        <w:t xml:space="preserve">of </w:t>
      </w:r>
      <w:r w:rsidR="004A7A76">
        <w:rPr>
          <w:rFonts w:ascii="Arial" w:hAnsi="Arial" w:cs="Arial"/>
          <w:lang w:val="en-GB"/>
        </w:rPr>
        <w:t>two to seven</w:t>
      </w:r>
      <w:r w:rsidR="008C06CC">
        <w:rPr>
          <w:rFonts w:ascii="Arial" w:hAnsi="Arial" w:cs="Arial"/>
          <w:lang w:val="en-GB"/>
        </w:rPr>
        <w:t xml:space="preserve"> years </w:t>
      </w:r>
      <w:r w:rsidR="008C06CC">
        <w:rPr>
          <w:rFonts w:ascii="Arial" w:hAnsi="Arial" w:cs="Arial"/>
          <w:noProof/>
          <w:lang w:val="en-GB"/>
        </w:rPr>
        <w:t>(37</w:t>
      </w:r>
      <w:r w:rsidR="004A7A76">
        <w:rPr>
          <w:rFonts w:ascii="Arial" w:hAnsi="Arial" w:cs="Arial"/>
          <w:noProof/>
          <w:lang w:val="en-GB"/>
        </w:rPr>
        <w:t>-</w:t>
      </w:r>
      <w:r w:rsidR="008C06CC">
        <w:rPr>
          <w:rFonts w:ascii="Arial" w:hAnsi="Arial" w:cs="Arial"/>
          <w:noProof/>
          <w:lang w:val="en-GB"/>
        </w:rPr>
        <w:t>39)</w:t>
      </w:r>
      <w:r w:rsidR="008C06CC">
        <w:rPr>
          <w:rFonts w:ascii="Arial" w:hAnsi="Arial" w:cs="Arial"/>
          <w:lang w:val="en-GB"/>
        </w:rPr>
        <w:t xml:space="preserve">. </w:t>
      </w:r>
      <w:r w:rsidR="004A7A76">
        <w:rPr>
          <w:rFonts w:ascii="Arial" w:hAnsi="Arial" w:cs="Arial"/>
          <w:lang w:val="en-GB"/>
        </w:rPr>
        <w:t>Faster postnatal growth</w:t>
      </w:r>
      <w:r w:rsidR="006E785D">
        <w:rPr>
          <w:rFonts w:ascii="Arial" w:hAnsi="Arial" w:cs="Arial"/>
          <w:lang w:val="en-GB"/>
        </w:rPr>
        <w:t>,</w:t>
      </w:r>
      <w:r w:rsidR="004A7A76">
        <w:rPr>
          <w:rFonts w:ascii="Arial" w:hAnsi="Arial" w:cs="Arial"/>
          <w:lang w:val="en-GB"/>
        </w:rPr>
        <w:t xml:space="preserve"> measured as </w:t>
      </w:r>
      <w:r w:rsidR="006E785D">
        <w:rPr>
          <w:rFonts w:ascii="Arial" w:hAnsi="Arial" w:cs="Arial"/>
          <w:lang w:val="en-GB"/>
        </w:rPr>
        <w:t xml:space="preserve">the </w:t>
      </w:r>
      <w:r w:rsidR="004A7A76">
        <w:rPr>
          <w:rFonts w:ascii="Arial" w:hAnsi="Arial" w:cs="Arial"/>
          <w:lang w:val="en-GB"/>
        </w:rPr>
        <w:t>weight gain between birth and four to seven years</w:t>
      </w:r>
      <w:r w:rsidR="006E785D">
        <w:rPr>
          <w:rFonts w:ascii="Arial" w:hAnsi="Arial" w:cs="Arial"/>
          <w:lang w:val="en-GB"/>
        </w:rPr>
        <w:t>,</w:t>
      </w:r>
      <w:r w:rsidR="004A7A76" w:rsidRPr="004A7A76">
        <w:rPr>
          <w:rFonts w:ascii="Arial" w:hAnsi="Arial" w:cs="Arial"/>
          <w:lang w:val="en-GB"/>
        </w:rPr>
        <w:t xml:space="preserve"> </w:t>
      </w:r>
      <w:r w:rsidR="004A7A76">
        <w:rPr>
          <w:rFonts w:ascii="Arial" w:hAnsi="Arial" w:cs="Arial"/>
          <w:lang w:val="en-GB"/>
        </w:rPr>
        <w:t xml:space="preserve">was positively associated with </w:t>
      </w:r>
      <w:r w:rsidR="006E785D">
        <w:rPr>
          <w:rFonts w:ascii="Arial" w:hAnsi="Arial" w:cs="Arial"/>
          <w:lang w:val="en-GB"/>
        </w:rPr>
        <w:t xml:space="preserve">the </w:t>
      </w:r>
      <w:r w:rsidR="004A7A76">
        <w:rPr>
          <w:rFonts w:ascii="Arial" w:hAnsi="Arial" w:cs="Arial"/>
          <w:lang w:val="en-GB"/>
        </w:rPr>
        <w:t>percent</w:t>
      </w:r>
      <w:r w:rsidR="006E785D">
        <w:rPr>
          <w:rFonts w:ascii="Arial" w:hAnsi="Arial" w:cs="Arial"/>
          <w:lang w:val="en-GB"/>
        </w:rPr>
        <w:t>age of</w:t>
      </w:r>
      <w:r w:rsidR="004A7A76">
        <w:rPr>
          <w:rFonts w:ascii="Arial" w:hAnsi="Arial" w:cs="Arial"/>
          <w:lang w:val="en-GB"/>
        </w:rPr>
        <w:t xml:space="preserve"> body fat at </w:t>
      </w:r>
      <w:r w:rsidR="006E785D">
        <w:rPr>
          <w:rFonts w:ascii="Arial" w:hAnsi="Arial" w:cs="Arial"/>
          <w:lang w:val="en-GB"/>
        </w:rPr>
        <w:t xml:space="preserve">the </w:t>
      </w:r>
      <w:r w:rsidR="004A7A76">
        <w:rPr>
          <w:rFonts w:ascii="Arial" w:hAnsi="Arial" w:cs="Arial"/>
          <w:lang w:val="en-GB"/>
        </w:rPr>
        <w:t xml:space="preserve">ages </w:t>
      </w:r>
      <w:r w:rsidR="006E785D">
        <w:rPr>
          <w:rFonts w:ascii="Arial" w:hAnsi="Arial" w:cs="Arial"/>
          <w:lang w:val="en-GB"/>
        </w:rPr>
        <w:t xml:space="preserve">of </w:t>
      </w:r>
      <w:r w:rsidR="004A7A76">
        <w:rPr>
          <w:rFonts w:ascii="Arial" w:hAnsi="Arial" w:cs="Arial"/>
          <w:lang w:val="en-GB"/>
        </w:rPr>
        <w:t xml:space="preserve">two to 11 years in three studies </w:t>
      </w:r>
      <w:r w:rsidR="008302B6">
        <w:rPr>
          <w:rFonts w:ascii="Arial" w:hAnsi="Arial" w:cs="Arial"/>
          <w:lang w:val="en-GB"/>
        </w:rPr>
        <w:t>comprising</w:t>
      </w:r>
      <w:r w:rsidR="004A7A76">
        <w:rPr>
          <w:rFonts w:ascii="Arial" w:hAnsi="Arial" w:cs="Arial"/>
          <w:lang w:val="en-GB"/>
        </w:rPr>
        <w:t xml:space="preserve"> 1,311 children </w:t>
      </w:r>
      <w:r w:rsidR="004A7A76">
        <w:rPr>
          <w:rFonts w:ascii="Arial" w:hAnsi="Arial" w:cs="Arial"/>
          <w:noProof/>
          <w:lang w:val="en-GB"/>
        </w:rPr>
        <w:t xml:space="preserve">(34,35,38), whereas </w:t>
      </w:r>
      <w:r w:rsidR="004A7A76">
        <w:rPr>
          <w:rFonts w:ascii="Arial" w:hAnsi="Arial" w:cs="Arial"/>
          <w:lang w:val="en-GB"/>
        </w:rPr>
        <w:t xml:space="preserve">two further studies </w:t>
      </w:r>
      <w:r w:rsidR="008302B6">
        <w:rPr>
          <w:rFonts w:ascii="Arial" w:hAnsi="Arial" w:cs="Arial"/>
          <w:lang w:val="en-GB"/>
        </w:rPr>
        <w:t>comprising</w:t>
      </w:r>
      <w:r w:rsidR="004A7A76">
        <w:rPr>
          <w:rFonts w:ascii="Arial" w:hAnsi="Arial" w:cs="Arial"/>
          <w:lang w:val="en-GB"/>
        </w:rPr>
        <w:t xml:space="preserve"> 165 children reported no association between postnatal growth</w:t>
      </w:r>
      <w:r w:rsidR="006E785D">
        <w:rPr>
          <w:rFonts w:ascii="Arial" w:hAnsi="Arial" w:cs="Arial"/>
          <w:lang w:val="en-GB"/>
        </w:rPr>
        <w:t>,</w:t>
      </w:r>
      <w:r w:rsidR="004A7A76">
        <w:rPr>
          <w:rFonts w:ascii="Arial" w:hAnsi="Arial" w:cs="Arial"/>
          <w:lang w:val="en-GB"/>
        </w:rPr>
        <w:t xml:space="preserve"> measured as </w:t>
      </w:r>
      <w:r w:rsidR="006E785D">
        <w:rPr>
          <w:rFonts w:ascii="Arial" w:hAnsi="Arial" w:cs="Arial"/>
          <w:lang w:val="en-GB"/>
        </w:rPr>
        <w:t xml:space="preserve">the </w:t>
      </w:r>
      <w:r w:rsidR="004A7A76">
        <w:rPr>
          <w:rFonts w:ascii="Arial" w:hAnsi="Arial" w:cs="Arial"/>
          <w:lang w:val="en-GB"/>
        </w:rPr>
        <w:t>weight gain between birth and one year</w:t>
      </w:r>
      <w:r w:rsidR="006E785D">
        <w:rPr>
          <w:rFonts w:ascii="Arial" w:hAnsi="Arial" w:cs="Arial"/>
          <w:lang w:val="en-GB"/>
        </w:rPr>
        <w:t xml:space="preserve"> of age,</w:t>
      </w:r>
      <w:r w:rsidR="004A7A76">
        <w:rPr>
          <w:rFonts w:ascii="Arial" w:hAnsi="Arial" w:cs="Arial"/>
          <w:lang w:val="en-GB"/>
        </w:rPr>
        <w:t xml:space="preserve"> and </w:t>
      </w:r>
      <w:r w:rsidR="006E785D">
        <w:rPr>
          <w:rFonts w:ascii="Arial" w:hAnsi="Arial" w:cs="Arial"/>
          <w:lang w:val="en-GB"/>
        </w:rPr>
        <w:t xml:space="preserve">the </w:t>
      </w:r>
      <w:r w:rsidR="004A7A76">
        <w:rPr>
          <w:rFonts w:ascii="Arial" w:hAnsi="Arial" w:cs="Arial"/>
          <w:lang w:val="en-GB"/>
        </w:rPr>
        <w:t>percent</w:t>
      </w:r>
      <w:r w:rsidR="006E785D">
        <w:rPr>
          <w:rFonts w:ascii="Arial" w:hAnsi="Arial" w:cs="Arial"/>
          <w:lang w:val="en-GB"/>
        </w:rPr>
        <w:t>age of</w:t>
      </w:r>
      <w:r w:rsidR="004A7A76">
        <w:rPr>
          <w:rFonts w:ascii="Arial" w:hAnsi="Arial" w:cs="Arial"/>
          <w:lang w:val="en-GB"/>
        </w:rPr>
        <w:t xml:space="preserve"> body fat at </w:t>
      </w:r>
      <w:r w:rsidR="006E785D">
        <w:rPr>
          <w:rFonts w:ascii="Arial" w:hAnsi="Arial" w:cs="Arial"/>
          <w:lang w:val="en-GB"/>
        </w:rPr>
        <w:t xml:space="preserve">the </w:t>
      </w:r>
      <w:r w:rsidR="004A7A76">
        <w:rPr>
          <w:rFonts w:ascii="Arial" w:hAnsi="Arial" w:cs="Arial"/>
          <w:lang w:val="en-GB"/>
        </w:rPr>
        <w:t xml:space="preserve">ages </w:t>
      </w:r>
      <w:r w:rsidR="006E785D">
        <w:rPr>
          <w:rFonts w:ascii="Arial" w:hAnsi="Arial" w:cs="Arial"/>
          <w:lang w:val="en-GB"/>
        </w:rPr>
        <w:t xml:space="preserve">of </w:t>
      </w:r>
      <w:r w:rsidR="004A7A76">
        <w:rPr>
          <w:rFonts w:ascii="Arial" w:hAnsi="Arial" w:cs="Arial"/>
          <w:lang w:val="en-GB"/>
        </w:rPr>
        <w:t xml:space="preserve">one to 21 years </w:t>
      </w:r>
      <w:r w:rsidR="004A7A76">
        <w:rPr>
          <w:rFonts w:ascii="Arial" w:hAnsi="Arial" w:cs="Arial"/>
          <w:noProof/>
          <w:lang w:val="en-GB"/>
        </w:rPr>
        <w:t>(40,41). Further</w:t>
      </w:r>
      <w:r w:rsidR="006E785D">
        <w:rPr>
          <w:rFonts w:ascii="Arial" w:hAnsi="Arial" w:cs="Arial"/>
          <w:noProof/>
          <w:lang w:val="en-GB"/>
        </w:rPr>
        <w:t>more</w:t>
      </w:r>
      <w:r w:rsidR="004A7A76">
        <w:rPr>
          <w:rFonts w:ascii="Arial" w:hAnsi="Arial" w:cs="Arial"/>
          <w:noProof/>
          <w:lang w:val="en-GB"/>
        </w:rPr>
        <w:t xml:space="preserve">, </w:t>
      </w:r>
      <w:r w:rsidR="004A7A76">
        <w:rPr>
          <w:rFonts w:ascii="Arial" w:hAnsi="Arial" w:cs="Arial"/>
          <w:lang w:val="en-GB"/>
        </w:rPr>
        <w:t>faster growth</w:t>
      </w:r>
      <w:r w:rsidR="006E785D">
        <w:rPr>
          <w:rFonts w:ascii="Arial" w:hAnsi="Arial" w:cs="Arial"/>
          <w:lang w:val="en-GB"/>
        </w:rPr>
        <w:t>,</w:t>
      </w:r>
      <w:r w:rsidR="004A7A76">
        <w:rPr>
          <w:rFonts w:ascii="Arial" w:hAnsi="Arial" w:cs="Arial"/>
          <w:lang w:val="en-GB"/>
        </w:rPr>
        <w:t xml:space="preserve"> measured as </w:t>
      </w:r>
      <w:r w:rsidR="006E785D">
        <w:rPr>
          <w:rFonts w:ascii="Arial" w:hAnsi="Arial" w:cs="Arial"/>
          <w:lang w:val="en-GB"/>
        </w:rPr>
        <w:t xml:space="preserve">the </w:t>
      </w:r>
      <w:r w:rsidR="004A7A76">
        <w:rPr>
          <w:rFonts w:ascii="Arial" w:hAnsi="Arial" w:cs="Arial"/>
          <w:lang w:val="en-GB"/>
        </w:rPr>
        <w:t xml:space="preserve">weight gain between </w:t>
      </w:r>
      <w:proofErr w:type="gramStart"/>
      <w:r w:rsidR="004A7A76">
        <w:rPr>
          <w:rFonts w:ascii="Arial" w:hAnsi="Arial" w:cs="Arial"/>
          <w:lang w:val="en-GB"/>
        </w:rPr>
        <w:t>birth</w:t>
      </w:r>
      <w:proofErr w:type="gramEnd"/>
      <w:r w:rsidR="004A7A76">
        <w:rPr>
          <w:rFonts w:ascii="Arial" w:hAnsi="Arial" w:cs="Arial"/>
          <w:lang w:val="en-GB"/>
        </w:rPr>
        <w:t xml:space="preserve"> and two to seven years</w:t>
      </w:r>
      <w:r w:rsidR="006E785D">
        <w:rPr>
          <w:rFonts w:ascii="Arial" w:hAnsi="Arial" w:cs="Arial"/>
          <w:lang w:val="en-GB"/>
        </w:rPr>
        <w:t>,</w:t>
      </w:r>
      <w:r w:rsidR="004A7A76">
        <w:rPr>
          <w:rFonts w:ascii="Arial" w:hAnsi="Arial" w:cs="Arial"/>
          <w:lang w:val="en-GB"/>
        </w:rPr>
        <w:t xml:space="preserve"> </w:t>
      </w:r>
      <w:r w:rsidR="008C06CC">
        <w:rPr>
          <w:rFonts w:ascii="Arial" w:hAnsi="Arial" w:cs="Arial"/>
          <w:lang w:val="en-GB"/>
        </w:rPr>
        <w:t xml:space="preserve">was positively associated with total body fat mass at </w:t>
      </w:r>
      <w:r w:rsidR="006E785D">
        <w:rPr>
          <w:rFonts w:ascii="Arial" w:hAnsi="Arial" w:cs="Arial"/>
          <w:lang w:val="en-GB"/>
        </w:rPr>
        <w:t xml:space="preserve">the </w:t>
      </w:r>
      <w:r w:rsidR="008C06CC">
        <w:rPr>
          <w:rFonts w:ascii="Arial" w:hAnsi="Arial" w:cs="Arial"/>
          <w:lang w:val="en-GB"/>
        </w:rPr>
        <w:t xml:space="preserve">ages </w:t>
      </w:r>
      <w:r w:rsidR="006E785D">
        <w:rPr>
          <w:rFonts w:ascii="Arial" w:hAnsi="Arial" w:cs="Arial"/>
          <w:lang w:val="en-GB"/>
        </w:rPr>
        <w:t xml:space="preserve">of </w:t>
      </w:r>
      <w:r w:rsidR="004A7A76">
        <w:rPr>
          <w:rFonts w:ascii="Arial" w:hAnsi="Arial" w:cs="Arial"/>
          <w:lang w:val="en-GB"/>
        </w:rPr>
        <w:t>two to seven</w:t>
      </w:r>
      <w:r w:rsidR="008C06CC">
        <w:rPr>
          <w:rFonts w:ascii="Arial" w:hAnsi="Arial" w:cs="Arial"/>
          <w:lang w:val="en-GB"/>
        </w:rPr>
        <w:t xml:space="preserve"> years </w:t>
      </w:r>
      <w:r w:rsidR="008302B6">
        <w:rPr>
          <w:rFonts w:ascii="Arial" w:hAnsi="Arial" w:cs="Arial"/>
          <w:lang w:val="en-GB"/>
        </w:rPr>
        <w:t>in t</w:t>
      </w:r>
      <w:r w:rsidR="008302B6" w:rsidRPr="008302B6">
        <w:rPr>
          <w:rFonts w:ascii="Arial" w:hAnsi="Arial" w:cs="Arial"/>
          <w:lang w:val="en-GB"/>
        </w:rPr>
        <w:t xml:space="preserve">wo studies </w:t>
      </w:r>
      <w:r w:rsidR="008302B6">
        <w:rPr>
          <w:rFonts w:ascii="Arial" w:hAnsi="Arial" w:cs="Arial"/>
          <w:lang w:val="en-GB"/>
        </w:rPr>
        <w:t>comprising</w:t>
      </w:r>
      <w:r w:rsidR="008302B6" w:rsidRPr="008302B6">
        <w:rPr>
          <w:rFonts w:ascii="Arial" w:hAnsi="Arial" w:cs="Arial"/>
          <w:lang w:val="en-GB"/>
        </w:rPr>
        <w:t xml:space="preserve"> 247 children </w:t>
      </w:r>
      <w:r w:rsidR="008C06CC">
        <w:rPr>
          <w:rFonts w:ascii="Arial" w:hAnsi="Arial" w:cs="Arial"/>
          <w:noProof/>
          <w:lang w:val="en-GB"/>
        </w:rPr>
        <w:t>(36,39</w:t>
      </w:r>
      <w:r w:rsidR="004A7A76">
        <w:rPr>
          <w:rFonts w:ascii="Arial" w:hAnsi="Arial" w:cs="Arial"/>
          <w:noProof/>
          <w:lang w:val="en-GB"/>
        </w:rPr>
        <w:t>)</w:t>
      </w:r>
      <w:r w:rsidR="006E785D">
        <w:rPr>
          <w:rFonts w:ascii="Arial" w:hAnsi="Arial" w:cs="Arial"/>
          <w:noProof/>
          <w:lang w:val="en-GB"/>
        </w:rPr>
        <w:t>. However</w:t>
      </w:r>
      <w:r w:rsidR="004A7A76">
        <w:rPr>
          <w:rFonts w:ascii="Arial" w:hAnsi="Arial" w:cs="Arial"/>
          <w:lang w:val="en-GB"/>
        </w:rPr>
        <w:t>,</w:t>
      </w:r>
      <w:r w:rsidR="008A054D">
        <w:rPr>
          <w:rFonts w:ascii="Arial" w:hAnsi="Arial" w:cs="Arial"/>
          <w:lang w:val="en-GB"/>
        </w:rPr>
        <w:t xml:space="preserve"> </w:t>
      </w:r>
      <w:r w:rsidR="006E785D">
        <w:rPr>
          <w:rFonts w:ascii="Arial" w:hAnsi="Arial" w:cs="Arial"/>
          <w:lang w:val="en-GB"/>
        </w:rPr>
        <w:t>another</w:t>
      </w:r>
      <w:r w:rsidR="008C06CC">
        <w:rPr>
          <w:rFonts w:ascii="Arial" w:hAnsi="Arial" w:cs="Arial"/>
          <w:lang w:val="en-GB"/>
        </w:rPr>
        <w:t xml:space="preserve"> study </w:t>
      </w:r>
      <w:r w:rsidR="008302B6">
        <w:rPr>
          <w:rFonts w:ascii="Arial" w:hAnsi="Arial" w:cs="Arial"/>
          <w:lang w:val="en-GB"/>
        </w:rPr>
        <w:t>comprising</w:t>
      </w:r>
      <w:r w:rsidR="008C06CC">
        <w:rPr>
          <w:rFonts w:ascii="Arial" w:hAnsi="Arial" w:cs="Arial"/>
          <w:lang w:val="en-GB"/>
        </w:rPr>
        <w:t xml:space="preserve"> 106 children </w:t>
      </w:r>
      <w:r w:rsidR="00F730DF">
        <w:rPr>
          <w:rFonts w:ascii="Arial" w:hAnsi="Arial" w:cs="Arial"/>
          <w:lang w:val="en-GB"/>
        </w:rPr>
        <w:t xml:space="preserve">showed </w:t>
      </w:r>
      <w:r w:rsidR="008C06CC">
        <w:rPr>
          <w:rFonts w:ascii="Arial" w:hAnsi="Arial" w:cs="Arial"/>
          <w:lang w:val="en-GB"/>
        </w:rPr>
        <w:t>no association between postnatal growth</w:t>
      </w:r>
      <w:r w:rsidR="00F730DF">
        <w:rPr>
          <w:rFonts w:ascii="Arial" w:hAnsi="Arial" w:cs="Arial"/>
          <w:lang w:val="en-GB"/>
        </w:rPr>
        <w:t>,</w:t>
      </w:r>
      <w:r w:rsidR="008C06CC">
        <w:rPr>
          <w:rFonts w:ascii="Arial" w:hAnsi="Arial" w:cs="Arial"/>
          <w:lang w:val="en-GB"/>
        </w:rPr>
        <w:t xml:space="preserve"> </w:t>
      </w:r>
      <w:r w:rsidR="004A7A76">
        <w:rPr>
          <w:rFonts w:ascii="Arial" w:hAnsi="Arial" w:cs="Arial"/>
          <w:lang w:val="en-GB"/>
        </w:rPr>
        <w:t xml:space="preserve">in terms of </w:t>
      </w:r>
      <w:r w:rsidR="00F730DF">
        <w:rPr>
          <w:rFonts w:ascii="Arial" w:hAnsi="Arial" w:cs="Arial"/>
          <w:lang w:val="en-GB"/>
        </w:rPr>
        <w:t xml:space="preserve">the </w:t>
      </w:r>
      <w:r w:rsidR="008C06CC">
        <w:rPr>
          <w:rFonts w:ascii="Arial" w:hAnsi="Arial" w:cs="Arial"/>
          <w:lang w:val="en-GB"/>
        </w:rPr>
        <w:t>weight gain between birth</w:t>
      </w:r>
      <w:r w:rsidR="004A7A76">
        <w:rPr>
          <w:rFonts w:ascii="Arial" w:hAnsi="Arial" w:cs="Arial"/>
          <w:lang w:val="en-GB"/>
        </w:rPr>
        <w:t xml:space="preserve"> and </w:t>
      </w:r>
      <w:r w:rsidR="008C06CC">
        <w:rPr>
          <w:rFonts w:ascii="Arial" w:hAnsi="Arial" w:cs="Arial"/>
          <w:lang w:val="en-GB"/>
        </w:rPr>
        <w:t>21 years</w:t>
      </w:r>
      <w:r w:rsidR="00F730DF">
        <w:rPr>
          <w:rFonts w:ascii="Arial" w:hAnsi="Arial" w:cs="Arial"/>
          <w:lang w:val="en-GB"/>
        </w:rPr>
        <w:t xml:space="preserve">, </w:t>
      </w:r>
      <w:r w:rsidR="008C06CC">
        <w:rPr>
          <w:rFonts w:ascii="Arial" w:hAnsi="Arial" w:cs="Arial"/>
          <w:lang w:val="en-GB"/>
        </w:rPr>
        <w:t xml:space="preserve">and total body fat mass at </w:t>
      </w:r>
      <w:r w:rsidR="006B49A2">
        <w:rPr>
          <w:rFonts w:ascii="Arial" w:hAnsi="Arial" w:cs="Arial"/>
          <w:lang w:val="en-GB"/>
        </w:rPr>
        <w:t xml:space="preserve">the </w:t>
      </w:r>
      <w:r w:rsidR="008C06CC">
        <w:rPr>
          <w:rFonts w:ascii="Arial" w:hAnsi="Arial" w:cs="Arial"/>
          <w:lang w:val="en-GB"/>
        </w:rPr>
        <w:t xml:space="preserve">age </w:t>
      </w:r>
      <w:r w:rsidR="006B49A2">
        <w:rPr>
          <w:rFonts w:ascii="Arial" w:hAnsi="Arial" w:cs="Arial"/>
          <w:lang w:val="en-GB"/>
        </w:rPr>
        <w:t xml:space="preserve">of </w:t>
      </w:r>
      <w:r w:rsidR="008C06CC">
        <w:rPr>
          <w:rFonts w:ascii="Arial" w:hAnsi="Arial" w:cs="Arial"/>
          <w:lang w:val="en-GB"/>
        </w:rPr>
        <w:t>21 years</w:t>
      </w:r>
      <w:r w:rsidR="004A7A76">
        <w:rPr>
          <w:rFonts w:ascii="Arial" w:hAnsi="Arial" w:cs="Arial"/>
          <w:lang w:val="en-GB"/>
        </w:rPr>
        <w:t xml:space="preserve"> </w:t>
      </w:r>
      <w:r w:rsidR="008C06CC">
        <w:rPr>
          <w:rFonts w:ascii="Arial" w:hAnsi="Arial" w:cs="Arial"/>
          <w:noProof/>
          <w:lang w:val="en-GB"/>
        </w:rPr>
        <w:t>(42)</w:t>
      </w:r>
      <w:r w:rsidR="008C06CC">
        <w:rPr>
          <w:rFonts w:ascii="Arial" w:hAnsi="Arial" w:cs="Arial"/>
          <w:lang w:val="en-GB"/>
        </w:rPr>
        <w:t xml:space="preserve">. </w:t>
      </w:r>
      <w:r w:rsidR="002C0E42">
        <w:rPr>
          <w:rFonts w:ascii="Arial" w:hAnsi="Arial" w:cs="Arial"/>
          <w:lang w:val="en-GB"/>
        </w:rPr>
        <w:t>Using t</w:t>
      </w:r>
      <w:r w:rsidR="004A7A76">
        <w:rPr>
          <w:rFonts w:ascii="Arial" w:hAnsi="Arial" w:cs="Arial"/>
          <w:lang w:val="en-GB"/>
        </w:rPr>
        <w:t xml:space="preserve">otal body lean mass at </w:t>
      </w:r>
      <w:r w:rsidR="006B49A2">
        <w:rPr>
          <w:rFonts w:ascii="Arial" w:hAnsi="Arial" w:cs="Arial"/>
          <w:lang w:val="en-GB"/>
        </w:rPr>
        <w:t xml:space="preserve">the </w:t>
      </w:r>
      <w:r w:rsidR="004A7A76">
        <w:rPr>
          <w:rFonts w:ascii="Arial" w:hAnsi="Arial" w:cs="Arial"/>
          <w:lang w:val="en-GB"/>
        </w:rPr>
        <w:t xml:space="preserve">ages </w:t>
      </w:r>
      <w:r w:rsidR="006B49A2">
        <w:rPr>
          <w:rFonts w:ascii="Arial" w:hAnsi="Arial" w:cs="Arial"/>
          <w:lang w:val="en-GB"/>
        </w:rPr>
        <w:t xml:space="preserve">of </w:t>
      </w:r>
      <w:r w:rsidR="004A7A76">
        <w:rPr>
          <w:rFonts w:ascii="Arial" w:hAnsi="Arial" w:cs="Arial"/>
          <w:lang w:val="en-GB"/>
        </w:rPr>
        <w:t xml:space="preserve">seven to 21 years </w:t>
      </w:r>
      <w:r w:rsidR="002C0E42">
        <w:rPr>
          <w:rFonts w:ascii="Arial" w:hAnsi="Arial" w:cs="Arial"/>
          <w:lang w:val="en-GB"/>
        </w:rPr>
        <w:t xml:space="preserve">as an outcome measure, a positive association was found with faster growth in terms of weight gain between birth and seven to 21 years in two studies </w:t>
      </w:r>
      <w:r w:rsidR="008302B6">
        <w:rPr>
          <w:rFonts w:ascii="Arial" w:hAnsi="Arial" w:cs="Arial"/>
          <w:lang w:val="en-GB"/>
        </w:rPr>
        <w:t>comprising</w:t>
      </w:r>
      <w:r w:rsidR="002C0E42">
        <w:rPr>
          <w:rFonts w:ascii="Arial" w:hAnsi="Arial" w:cs="Arial"/>
          <w:lang w:val="en-GB"/>
        </w:rPr>
        <w:t xml:space="preserve"> 162 children </w:t>
      </w:r>
      <w:r w:rsidR="004A7A76">
        <w:rPr>
          <w:rFonts w:ascii="Arial" w:hAnsi="Arial" w:cs="Arial"/>
          <w:noProof/>
          <w:lang w:val="en-GB"/>
        </w:rPr>
        <w:t>(39,42)</w:t>
      </w:r>
      <w:r w:rsidR="006B49A2">
        <w:rPr>
          <w:rFonts w:ascii="Arial" w:hAnsi="Arial" w:cs="Arial"/>
          <w:noProof/>
          <w:lang w:val="en-GB"/>
        </w:rPr>
        <w:t>. In contrast</w:t>
      </w:r>
      <w:r w:rsidR="002C0E42">
        <w:rPr>
          <w:rFonts w:ascii="Arial" w:hAnsi="Arial" w:cs="Arial"/>
          <w:noProof/>
          <w:lang w:val="en-GB"/>
        </w:rPr>
        <w:t xml:space="preserve">, </w:t>
      </w:r>
      <w:r w:rsidR="00796695">
        <w:rPr>
          <w:rFonts w:ascii="Arial" w:hAnsi="Arial" w:cs="Arial"/>
          <w:noProof/>
          <w:lang w:val="en-GB"/>
        </w:rPr>
        <w:t>another</w:t>
      </w:r>
      <w:r w:rsidR="002C0E42">
        <w:rPr>
          <w:rFonts w:ascii="Arial" w:hAnsi="Arial" w:cs="Arial"/>
          <w:lang w:val="en-GB"/>
        </w:rPr>
        <w:t xml:space="preserve"> study </w:t>
      </w:r>
      <w:r w:rsidR="008302B6">
        <w:rPr>
          <w:rFonts w:ascii="Arial" w:hAnsi="Arial" w:cs="Arial"/>
          <w:lang w:val="en-GB"/>
        </w:rPr>
        <w:t>comprising</w:t>
      </w:r>
      <w:r w:rsidR="002C0E42">
        <w:rPr>
          <w:rFonts w:ascii="Arial" w:hAnsi="Arial" w:cs="Arial"/>
          <w:lang w:val="en-GB"/>
        </w:rPr>
        <w:t xml:space="preserve"> 29 children reported an inverse relationship between weight gain </w:t>
      </w:r>
      <w:r w:rsidR="00796695">
        <w:rPr>
          <w:rFonts w:ascii="Arial" w:hAnsi="Arial" w:cs="Arial"/>
          <w:lang w:val="en-GB"/>
        </w:rPr>
        <w:t xml:space="preserve">from </w:t>
      </w:r>
      <w:r w:rsidR="002C0E42">
        <w:rPr>
          <w:rFonts w:ascii="Arial" w:hAnsi="Arial" w:cs="Arial"/>
          <w:lang w:val="en-GB"/>
        </w:rPr>
        <w:t xml:space="preserve">birth to two years and total body lean mass at </w:t>
      </w:r>
      <w:r w:rsidR="00796695">
        <w:rPr>
          <w:rFonts w:ascii="Arial" w:hAnsi="Arial" w:cs="Arial"/>
          <w:lang w:val="en-GB"/>
        </w:rPr>
        <w:t xml:space="preserve">the </w:t>
      </w:r>
      <w:r w:rsidR="002C0E42">
        <w:rPr>
          <w:rFonts w:ascii="Arial" w:hAnsi="Arial" w:cs="Arial"/>
          <w:lang w:val="en-GB"/>
        </w:rPr>
        <w:t>age</w:t>
      </w:r>
      <w:r w:rsidR="00796695">
        <w:rPr>
          <w:rFonts w:ascii="Arial" w:hAnsi="Arial" w:cs="Arial"/>
          <w:lang w:val="en-GB"/>
        </w:rPr>
        <w:t xml:space="preserve"> of</w:t>
      </w:r>
      <w:r w:rsidR="002C0E42">
        <w:rPr>
          <w:rFonts w:ascii="Arial" w:hAnsi="Arial" w:cs="Arial"/>
          <w:lang w:val="en-GB"/>
        </w:rPr>
        <w:t xml:space="preserve"> two to four years </w:t>
      </w:r>
      <w:r w:rsidR="002C0E42">
        <w:rPr>
          <w:rFonts w:ascii="Arial" w:hAnsi="Arial" w:cs="Arial"/>
          <w:noProof/>
          <w:lang w:val="en-GB"/>
        </w:rPr>
        <w:t>(38).</w:t>
      </w:r>
      <w:r w:rsidR="002C0E42">
        <w:rPr>
          <w:rFonts w:ascii="Arial" w:hAnsi="Arial" w:cs="Arial"/>
          <w:lang w:val="en-GB"/>
        </w:rPr>
        <w:t xml:space="preserve"> </w:t>
      </w:r>
      <w:r w:rsidR="00796695">
        <w:rPr>
          <w:rFonts w:ascii="Arial" w:hAnsi="Arial" w:cs="Arial"/>
          <w:lang w:val="en-GB"/>
        </w:rPr>
        <w:t xml:space="preserve">Meanwhile, in two studies comprising 79 </w:t>
      </w:r>
      <w:r w:rsidR="00796695">
        <w:rPr>
          <w:rFonts w:ascii="Arial" w:hAnsi="Arial" w:cs="Arial"/>
          <w:lang w:val="en-GB"/>
        </w:rPr>
        <w:lastRenderedPageBreak/>
        <w:t>children, a</w:t>
      </w:r>
      <w:r w:rsidR="001F0886">
        <w:rPr>
          <w:rFonts w:ascii="Arial" w:hAnsi="Arial" w:cs="Arial"/>
          <w:lang w:val="en-GB"/>
        </w:rPr>
        <w:t xml:space="preserve">bdominal fat mass at </w:t>
      </w:r>
      <w:r w:rsidR="00796695">
        <w:rPr>
          <w:rFonts w:ascii="Arial" w:hAnsi="Arial" w:cs="Arial"/>
          <w:lang w:val="en-GB"/>
        </w:rPr>
        <w:t xml:space="preserve">the </w:t>
      </w:r>
      <w:r w:rsidR="001F0886">
        <w:rPr>
          <w:rFonts w:ascii="Arial" w:hAnsi="Arial" w:cs="Arial"/>
          <w:lang w:val="en-GB"/>
        </w:rPr>
        <w:t xml:space="preserve">ages </w:t>
      </w:r>
      <w:r w:rsidR="00796695">
        <w:rPr>
          <w:rFonts w:ascii="Arial" w:hAnsi="Arial" w:cs="Arial"/>
          <w:lang w:val="en-GB"/>
        </w:rPr>
        <w:t xml:space="preserve">of </w:t>
      </w:r>
      <w:r w:rsidR="001F0886">
        <w:rPr>
          <w:rFonts w:ascii="Arial" w:hAnsi="Arial" w:cs="Arial"/>
          <w:lang w:val="en-GB"/>
        </w:rPr>
        <w:t>one to four years was positively associated with</w:t>
      </w:r>
      <w:r w:rsidR="001F0886" w:rsidRPr="001F0886">
        <w:rPr>
          <w:rFonts w:ascii="Arial" w:hAnsi="Arial" w:cs="Arial"/>
          <w:lang w:val="en-GB"/>
        </w:rPr>
        <w:t xml:space="preserve"> </w:t>
      </w:r>
      <w:r w:rsidR="001F0886">
        <w:rPr>
          <w:rFonts w:ascii="Arial" w:hAnsi="Arial" w:cs="Arial"/>
          <w:lang w:val="en-GB"/>
        </w:rPr>
        <w:t>faster growth</w:t>
      </w:r>
      <w:r w:rsidR="00796695">
        <w:rPr>
          <w:rFonts w:ascii="Arial" w:hAnsi="Arial" w:cs="Arial"/>
          <w:lang w:val="en-GB"/>
        </w:rPr>
        <w:t>,</w:t>
      </w:r>
      <w:r w:rsidR="001F0886">
        <w:rPr>
          <w:rFonts w:ascii="Arial" w:hAnsi="Arial" w:cs="Arial"/>
          <w:lang w:val="en-GB"/>
        </w:rPr>
        <w:t xml:space="preserve"> measured as </w:t>
      </w:r>
      <w:r w:rsidR="00796695">
        <w:rPr>
          <w:rFonts w:ascii="Arial" w:hAnsi="Arial" w:cs="Arial"/>
          <w:lang w:val="en-GB"/>
        </w:rPr>
        <w:t xml:space="preserve">the </w:t>
      </w:r>
      <w:r w:rsidR="001F0886">
        <w:rPr>
          <w:rFonts w:ascii="Arial" w:hAnsi="Arial" w:cs="Arial"/>
          <w:lang w:val="en-GB"/>
        </w:rPr>
        <w:t xml:space="preserve">weight gain between birth </w:t>
      </w:r>
      <w:r w:rsidR="004B5F59">
        <w:rPr>
          <w:rFonts w:ascii="Arial" w:hAnsi="Arial" w:cs="Arial"/>
          <w:lang w:val="en-GB"/>
        </w:rPr>
        <w:t>and</w:t>
      </w:r>
      <w:r w:rsidR="001F0886">
        <w:rPr>
          <w:rFonts w:ascii="Arial" w:hAnsi="Arial" w:cs="Arial"/>
          <w:lang w:val="en-GB"/>
        </w:rPr>
        <w:t xml:space="preserve"> two</w:t>
      </w:r>
      <w:r w:rsidR="004B5F59">
        <w:rPr>
          <w:rFonts w:ascii="Arial" w:hAnsi="Arial" w:cs="Arial"/>
          <w:lang w:val="en-GB"/>
        </w:rPr>
        <w:t xml:space="preserve"> </w:t>
      </w:r>
      <w:r w:rsidR="001F0886">
        <w:rPr>
          <w:rFonts w:ascii="Arial" w:hAnsi="Arial" w:cs="Arial"/>
          <w:lang w:val="en-GB"/>
        </w:rPr>
        <w:t>to</w:t>
      </w:r>
      <w:r w:rsidR="004B5F59">
        <w:rPr>
          <w:rFonts w:ascii="Arial" w:hAnsi="Arial" w:cs="Arial"/>
          <w:lang w:val="en-GB"/>
        </w:rPr>
        <w:t xml:space="preserve"> </w:t>
      </w:r>
      <w:r w:rsidR="001F0886">
        <w:rPr>
          <w:rFonts w:ascii="Arial" w:hAnsi="Arial" w:cs="Arial"/>
          <w:lang w:val="en-GB"/>
        </w:rPr>
        <w:t xml:space="preserve">four years </w:t>
      </w:r>
      <w:r w:rsidR="008C06CC">
        <w:rPr>
          <w:rFonts w:ascii="Arial" w:hAnsi="Arial" w:cs="Arial"/>
          <w:noProof/>
          <w:lang w:val="en-GB"/>
        </w:rPr>
        <w:t>(38,43)</w:t>
      </w:r>
      <w:r w:rsidR="008C06CC">
        <w:rPr>
          <w:rFonts w:ascii="Arial" w:hAnsi="Arial" w:cs="Arial"/>
          <w:lang w:val="en-GB"/>
        </w:rPr>
        <w:t xml:space="preserve">. </w:t>
      </w:r>
      <w:r w:rsidR="001F0886">
        <w:rPr>
          <w:rFonts w:ascii="Arial" w:hAnsi="Arial" w:cs="Arial"/>
          <w:lang w:val="en-GB"/>
        </w:rPr>
        <w:t>Finally, f</w:t>
      </w:r>
      <w:r w:rsidR="008C06CC">
        <w:rPr>
          <w:rFonts w:ascii="Arial" w:hAnsi="Arial" w:cs="Arial"/>
          <w:lang w:val="en-GB"/>
        </w:rPr>
        <w:t xml:space="preserve">ive of the </w:t>
      </w:r>
      <w:r w:rsidR="004B5F59">
        <w:rPr>
          <w:rFonts w:ascii="Arial" w:hAnsi="Arial" w:cs="Arial"/>
          <w:lang w:val="en-GB"/>
        </w:rPr>
        <w:t xml:space="preserve">11 </w:t>
      </w:r>
      <w:r w:rsidR="008C06CC">
        <w:rPr>
          <w:rFonts w:ascii="Arial" w:hAnsi="Arial" w:cs="Arial"/>
          <w:lang w:val="en-GB"/>
        </w:rPr>
        <w:t>observational studies</w:t>
      </w:r>
      <w:r w:rsidR="00796695">
        <w:rPr>
          <w:rFonts w:ascii="Arial" w:hAnsi="Arial" w:cs="Arial"/>
          <w:lang w:val="en-GB"/>
        </w:rPr>
        <w:t>, that comprised</w:t>
      </w:r>
      <w:r w:rsidR="008302B6">
        <w:rPr>
          <w:rFonts w:ascii="Arial" w:hAnsi="Arial" w:cs="Arial"/>
          <w:lang w:val="en-GB"/>
        </w:rPr>
        <w:t xml:space="preserve"> </w:t>
      </w:r>
      <w:r w:rsidR="001F0886">
        <w:rPr>
          <w:rFonts w:ascii="Arial" w:hAnsi="Arial" w:cs="Arial"/>
          <w:lang w:val="en-GB"/>
        </w:rPr>
        <w:t>1</w:t>
      </w:r>
      <w:r w:rsidR="00640B12">
        <w:rPr>
          <w:rFonts w:ascii="Arial" w:hAnsi="Arial" w:cs="Arial"/>
          <w:lang w:val="en-GB"/>
        </w:rPr>
        <w:t>,</w:t>
      </w:r>
      <w:r w:rsidR="001F0886">
        <w:rPr>
          <w:rFonts w:ascii="Arial" w:hAnsi="Arial" w:cs="Arial"/>
          <w:lang w:val="en-GB"/>
        </w:rPr>
        <w:t>513 children</w:t>
      </w:r>
      <w:r w:rsidR="00847FE5">
        <w:rPr>
          <w:rFonts w:ascii="Arial" w:hAnsi="Arial" w:cs="Arial"/>
          <w:lang w:val="en-GB"/>
        </w:rPr>
        <w:t xml:space="preserve"> </w:t>
      </w:r>
      <w:r w:rsidR="008C06CC">
        <w:rPr>
          <w:rFonts w:ascii="Arial" w:hAnsi="Arial" w:cs="Arial"/>
          <w:lang w:val="en-GB"/>
        </w:rPr>
        <w:t>includ</w:t>
      </w:r>
      <w:r w:rsidR="00796695">
        <w:rPr>
          <w:rFonts w:ascii="Arial" w:hAnsi="Arial" w:cs="Arial"/>
          <w:lang w:val="en-GB"/>
        </w:rPr>
        <w:t>ing</w:t>
      </w:r>
      <w:r w:rsidR="008C06CC">
        <w:rPr>
          <w:rFonts w:ascii="Arial" w:hAnsi="Arial" w:cs="Arial"/>
          <w:lang w:val="en-GB"/>
        </w:rPr>
        <w:t xml:space="preserve"> AGA controls</w:t>
      </w:r>
      <w:r w:rsidR="00796695">
        <w:rPr>
          <w:rFonts w:ascii="Arial" w:hAnsi="Arial" w:cs="Arial"/>
          <w:lang w:val="en-GB"/>
        </w:rPr>
        <w:t>,</w:t>
      </w:r>
      <w:r w:rsidR="008C06CC">
        <w:rPr>
          <w:rFonts w:ascii="Arial" w:hAnsi="Arial" w:cs="Arial"/>
          <w:lang w:val="en-GB"/>
        </w:rPr>
        <w:t xml:space="preserve"> reported that the SGA group had significantly lower total body adiposity </w:t>
      </w:r>
      <w:r w:rsidR="001F0886">
        <w:rPr>
          <w:rFonts w:ascii="Arial" w:hAnsi="Arial" w:cs="Arial"/>
          <w:lang w:val="en-GB"/>
        </w:rPr>
        <w:t xml:space="preserve">measured as </w:t>
      </w:r>
      <w:r w:rsidR="008656CF">
        <w:rPr>
          <w:rFonts w:ascii="Arial" w:hAnsi="Arial" w:cs="Arial"/>
          <w:lang w:val="en-GB"/>
        </w:rPr>
        <w:t xml:space="preserve">the </w:t>
      </w:r>
      <w:r w:rsidR="008C06CC">
        <w:rPr>
          <w:rFonts w:ascii="Arial" w:hAnsi="Arial" w:cs="Arial"/>
          <w:lang w:val="en-GB"/>
        </w:rPr>
        <w:t>percent</w:t>
      </w:r>
      <w:r w:rsidR="00A26BD0">
        <w:rPr>
          <w:rFonts w:ascii="Arial" w:hAnsi="Arial" w:cs="Arial"/>
          <w:lang w:val="en-GB"/>
        </w:rPr>
        <w:t>age of</w:t>
      </w:r>
      <w:r w:rsidR="008C06CC">
        <w:rPr>
          <w:rFonts w:ascii="Arial" w:hAnsi="Arial" w:cs="Arial"/>
          <w:lang w:val="en-GB"/>
        </w:rPr>
        <w:t xml:space="preserve"> body fat</w:t>
      </w:r>
      <w:r w:rsidR="001F0886">
        <w:rPr>
          <w:rFonts w:ascii="Arial" w:hAnsi="Arial" w:cs="Arial"/>
          <w:lang w:val="en-GB"/>
        </w:rPr>
        <w:t xml:space="preserve"> and, or, </w:t>
      </w:r>
      <w:r w:rsidR="008C06CC">
        <w:rPr>
          <w:rFonts w:ascii="Arial" w:hAnsi="Arial" w:cs="Arial"/>
          <w:lang w:val="en-GB"/>
        </w:rPr>
        <w:t>BMI</w:t>
      </w:r>
      <w:r w:rsidR="001F0886">
        <w:rPr>
          <w:rFonts w:ascii="Arial" w:hAnsi="Arial" w:cs="Arial"/>
          <w:lang w:val="en-GB"/>
        </w:rPr>
        <w:t xml:space="preserve"> compared to the</w:t>
      </w:r>
      <w:r w:rsidR="008C06CC">
        <w:rPr>
          <w:rFonts w:ascii="Arial" w:hAnsi="Arial" w:cs="Arial"/>
          <w:lang w:val="en-GB"/>
        </w:rPr>
        <w:t xml:space="preserve"> AGA</w:t>
      </w:r>
      <w:r w:rsidR="008656CF">
        <w:rPr>
          <w:rFonts w:ascii="Arial" w:hAnsi="Arial" w:cs="Arial"/>
          <w:lang w:val="en-GB"/>
        </w:rPr>
        <w:t xml:space="preserve"> group</w:t>
      </w:r>
      <w:r w:rsidR="008C06CC">
        <w:rPr>
          <w:rFonts w:ascii="Arial" w:hAnsi="Arial" w:cs="Arial"/>
          <w:lang w:val="en-GB"/>
        </w:rPr>
        <w:t xml:space="preserve"> at </w:t>
      </w:r>
      <w:r w:rsidR="008656CF">
        <w:rPr>
          <w:rFonts w:ascii="Arial" w:hAnsi="Arial" w:cs="Arial"/>
          <w:lang w:val="en-GB"/>
        </w:rPr>
        <w:t xml:space="preserve">the </w:t>
      </w:r>
      <w:r w:rsidR="008C06CC">
        <w:rPr>
          <w:rFonts w:ascii="Arial" w:hAnsi="Arial" w:cs="Arial"/>
          <w:lang w:val="en-GB"/>
        </w:rPr>
        <w:t xml:space="preserve">ages </w:t>
      </w:r>
      <w:r w:rsidR="008656CF">
        <w:rPr>
          <w:rFonts w:ascii="Arial" w:hAnsi="Arial" w:cs="Arial"/>
          <w:lang w:val="en-GB"/>
        </w:rPr>
        <w:t xml:space="preserve">of </w:t>
      </w:r>
      <w:r w:rsidR="001F0886">
        <w:rPr>
          <w:rFonts w:ascii="Arial" w:hAnsi="Arial" w:cs="Arial"/>
          <w:lang w:val="en-GB"/>
        </w:rPr>
        <w:t>one to seven</w:t>
      </w:r>
      <w:r w:rsidR="008C06CC">
        <w:rPr>
          <w:rFonts w:ascii="Arial" w:hAnsi="Arial" w:cs="Arial"/>
          <w:lang w:val="en-GB"/>
        </w:rPr>
        <w:t xml:space="preserve"> years </w:t>
      </w:r>
      <w:r w:rsidR="008C06CC">
        <w:rPr>
          <w:rFonts w:ascii="Arial" w:hAnsi="Arial" w:cs="Arial"/>
          <w:noProof/>
          <w:lang w:val="en-GB"/>
        </w:rPr>
        <w:t>(1</w:t>
      </w:r>
      <w:r w:rsidR="00340BD4">
        <w:rPr>
          <w:rFonts w:ascii="Arial" w:hAnsi="Arial" w:cs="Arial"/>
          <w:noProof/>
          <w:lang w:val="en-GB"/>
        </w:rPr>
        <w:t>5</w:t>
      </w:r>
      <w:r w:rsidR="008C06CC">
        <w:rPr>
          <w:rFonts w:ascii="Arial" w:hAnsi="Arial" w:cs="Arial"/>
          <w:noProof/>
          <w:lang w:val="en-GB"/>
        </w:rPr>
        <w:t>,28,30,33,34)</w:t>
      </w:r>
      <w:r w:rsidR="008656CF">
        <w:rPr>
          <w:rFonts w:ascii="Arial" w:hAnsi="Arial" w:cs="Arial"/>
          <w:noProof/>
          <w:lang w:val="en-GB"/>
        </w:rPr>
        <w:t>. C</w:t>
      </w:r>
      <w:r w:rsidR="008C06CC">
        <w:rPr>
          <w:rFonts w:ascii="Arial" w:hAnsi="Arial" w:cs="Arial"/>
          <w:lang w:val="en-GB"/>
        </w:rPr>
        <w:t xml:space="preserve">onversely, two studies </w:t>
      </w:r>
      <w:r w:rsidR="008302B6">
        <w:rPr>
          <w:rFonts w:ascii="Arial" w:hAnsi="Arial" w:cs="Arial"/>
          <w:lang w:val="en-GB"/>
        </w:rPr>
        <w:t>comprising</w:t>
      </w:r>
      <w:r w:rsidR="008C06CC">
        <w:rPr>
          <w:rFonts w:ascii="Arial" w:hAnsi="Arial" w:cs="Arial"/>
          <w:lang w:val="en-GB"/>
        </w:rPr>
        <w:t xml:space="preserve"> 194 children reported that </w:t>
      </w:r>
      <w:r w:rsidR="008656CF">
        <w:rPr>
          <w:rFonts w:ascii="Arial" w:hAnsi="Arial" w:cs="Arial"/>
          <w:lang w:val="en-GB"/>
        </w:rPr>
        <w:t xml:space="preserve">those born </w:t>
      </w:r>
      <w:r w:rsidR="008C06CC">
        <w:rPr>
          <w:rFonts w:ascii="Arial" w:hAnsi="Arial" w:cs="Arial"/>
          <w:lang w:val="en-GB"/>
        </w:rPr>
        <w:t>SGA had significantly higher adiposity</w:t>
      </w:r>
      <w:r w:rsidR="008656CF">
        <w:rPr>
          <w:rFonts w:ascii="Arial" w:hAnsi="Arial" w:cs="Arial"/>
          <w:lang w:val="en-GB"/>
        </w:rPr>
        <w:t>,</w:t>
      </w:r>
      <w:r w:rsidR="008C06CC">
        <w:rPr>
          <w:rFonts w:ascii="Arial" w:hAnsi="Arial" w:cs="Arial"/>
          <w:lang w:val="en-GB"/>
        </w:rPr>
        <w:t xml:space="preserve"> </w:t>
      </w:r>
      <w:r w:rsidR="001F0886">
        <w:rPr>
          <w:rFonts w:ascii="Arial" w:hAnsi="Arial" w:cs="Arial"/>
          <w:lang w:val="en-GB"/>
        </w:rPr>
        <w:t xml:space="preserve">measured as </w:t>
      </w:r>
      <w:r w:rsidR="008656CF">
        <w:rPr>
          <w:rFonts w:ascii="Arial" w:hAnsi="Arial" w:cs="Arial"/>
          <w:lang w:val="en-GB"/>
        </w:rPr>
        <w:t xml:space="preserve">a </w:t>
      </w:r>
      <w:r w:rsidR="001F0886">
        <w:rPr>
          <w:rFonts w:ascii="Arial" w:hAnsi="Arial" w:cs="Arial"/>
          <w:lang w:val="en-GB"/>
        </w:rPr>
        <w:t xml:space="preserve">percentage of </w:t>
      </w:r>
      <w:r w:rsidR="008C06CC">
        <w:rPr>
          <w:rFonts w:ascii="Arial" w:hAnsi="Arial" w:cs="Arial"/>
          <w:lang w:val="en-GB"/>
        </w:rPr>
        <w:t>body fat</w:t>
      </w:r>
      <w:r w:rsidR="008656CF">
        <w:rPr>
          <w:rFonts w:ascii="Arial" w:hAnsi="Arial" w:cs="Arial"/>
          <w:lang w:val="en-GB"/>
        </w:rPr>
        <w:t>,</w:t>
      </w:r>
      <w:r w:rsidR="001F0886">
        <w:rPr>
          <w:rFonts w:ascii="Arial" w:hAnsi="Arial" w:cs="Arial"/>
          <w:lang w:val="en-GB"/>
        </w:rPr>
        <w:t xml:space="preserve"> and</w:t>
      </w:r>
      <w:r w:rsidR="008C06CC">
        <w:rPr>
          <w:rFonts w:ascii="Arial" w:hAnsi="Arial" w:cs="Arial"/>
          <w:lang w:val="en-GB"/>
        </w:rPr>
        <w:t xml:space="preserve"> </w:t>
      </w:r>
      <w:r w:rsidR="006E63B0">
        <w:rPr>
          <w:rFonts w:ascii="Arial" w:hAnsi="Arial" w:cs="Arial"/>
          <w:lang w:val="en-GB"/>
        </w:rPr>
        <w:t xml:space="preserve">a higher </w:t>
      </w:r>
      <w:r w:rsidR="008C06CC">
        <w:rPr>
          <w:rFonts w:ascii="Arial" w:hAnsi="Arial" w:cs="Arial"/>
          <w:lang w:val="en-GB"/>
        </w:rPr>
        <w:t>subscapular-to-triceps skinfold ratio</w:t>
      </w:r>
      <w:r w:rsidR="001F0886">
        <w:rPr>
          <w:rFonts w:ascii="Arial" w:hAnsi="Arial" w:cs="Arial"/>
          <w:lang w:val="en-GB"/>
        </w:rPr>
        <w:t xml:space="preserve"> compared to</w:t>
      </w:r>
      <w:r w:rsidR="008C06CC">
        <w:rPr>
          <w:rFonts w:ascii="Arial" w:hAnsi="Arial" w:cs="Arial"/>
          <w:lang w:val="en-GB"/>
        </w:rPr>
        <w:t xml:space="preserve"> </w:t>
      </w:r>
      <w:r w:rsidR="006E63B0">
        <w:rPr>
          <w:rFonts w:ascii="Arial" w:hAnsi="Arial" w:cs="Arial"/>
          <w:lang w:val="en-GB"/>
        </w:rPr>
        <w:t xml:space="preserve">the </w:t>
      </w:r>
      <w:r w:rsidR="008C06CC">
        <w:rPr>
          <w:rFonts w:ascii="Arial" w:hAnsi="Arial" w:cs="Arial"/>
          <w:lang w:val="en-GB"/>
        </w:rPr>
        <w:t xml:space="preserve">AGA </w:t>
      </w:r>
      <w:r w:rsidR="006E63B0">
        <w:rPr>
          <w:rFonts w:ascii="Arial" w:hAnsi="Arial" w:cs="Arial"/>
          <w:lang w:val="en-GB"/>
        </w:rPr>
        <w:t xml:space="preserve">group </w:t>
      </w:r>
      <w:r w:rsidR="008C06CC">
        <w:rPr>
          <w:rFonts w:ascii="Arial" w:hAnsi="Arial" w:cs="Arial"/>
          <w:lang w:val="en-GB"/>
        </w:rPr>
        <w:t xml:space="preserve">at </w:t>
      </w:r>
      <w:r w:rsidR="006E63B0">
        <w:rPr>
          <w:rFonts w:ascii="Arial" w:hAnsi="Arial" w:cs="Arial"/>
          <w:lang w:val="en-GB"/>
        </w:rPr>
        <w:t xml:space="preserve">the </w:t>
      </w:r>
      <w:r w:rsidR="008C06CC">
        <w:rPr>
          <w:rFonts w:ascii="Arial" w:hAnsi="Arial" w:cs="Arial"/>
          <w:lang w:val="en-GB"/>
        </w:rPr>
        <w:t xml:space="preserve">ages </w:t>
      </w:r>
      <w:r w:rsidR="006E63B0">
        <w:rPr>
          <w:rFonts w:ascii="Arial" w:hAnsi="Arial" w:cs="Arial"/>
          <w:lang w:val="en-GB"/>
        </w:rPr>
        <w:t xml:space="preserve">of </w:t>
      </w:r>
      <w:r w:rsidR="001F0886">
        <w:rPr>
          <w:rFonts w:ascii="Arial" w:hAnsi="Arial" w:cs="Arial"/>
          <w:lang w:val="en-GB"/>
        </w:rPr>
        <w:t>two to eight</w:t>
      </w:r>
      <w:r w:rsidR="008C06CC">
        <w:rPr>
          <w:rFonts w:ascii="Arial" w:hAnsi="Arial" w:cs="Arial"/>
          <w:lang w:val="en-GB"/>
        </w:rPr>
        <w:t xml:space="preserve"> years </w:t>
      </w:r>
      <w:r w:rsidR="008C06CC">
        <w:rPr>
          <w:rFonts w:ascii="Arial" w:hAnsi="Arial" w:cs="Arial"/>
          <w:noProof/>
          <w:lang w:val="en-GB"/>
        </w:rPr>
        <w:t>(38,44)</w:t>
      </w:r>
      <w:r w:rsidR="008C06CC">
        <w:rPr>
          <w:rFonts w:ascii="Arial" w:hAnsi="Arial" w:cs="Arial"/>
          <w:lang w:val="en-GB"/>
        </w:rPr>
        <w:t>.</w:t>
      </w:r>
    </w:p>
    <w:p w14:paraId="69CFF3E9" w14:textId="77777777" w:rsidR="00617FE8" w:rsidRDefault="00617FE8">
      <w:pPr>
        <w:spacing w:after="0" w:line="480" w:lineRule="auto"/>
        <w:jc w:val="both"/>
        <w:rPr>
          <w:rFonts w:ascii="Arial" w:hAnsi="Arial" w:cs="Arial"/>
          <w:b/>
          <w:lang w:val="en-GB"/>
        </w:rPr>
      </w:pPr>
    </w:p>
    <w:p w14:paraId="69CD13E0" w14:textId="77777777" w:rsidR="00617FE8" w:rsidRDefault="008C06CC">
      <w:pPr>
        <w:spacing w:after="0" w:line="480" w:lineRule="auto"/>
        <w:jc w:val="both"/>
        <w:rPr>
          <w:rFonts w:ascii="Arial" w:hAnsi="Arial" w:cs="Arial"/>
          <w:b/>
          <w:lang w:val="en-GB"/>
        </w:rPr>
      </w:pPr>
      <w:r>
        <w:rPr>
          <w:rFonts w:ascii="Arial" w:hAnsi="Arial" w:cs="Arial"/>
          <w:b/>
          <w:lang w:val="en-GB"/>
        </w:rPr>
        <w:t>Insulin resistance</w:t>
      </w:r>
    </w:p>
    <w:p w14:paraId="7B80573B" w14:textId="488B2933" w:rsidR="00617FE8" w:rsidRDefault="008C06CC">
      <w:pPr>
        <w:spacing w:after="0" w:line="480" w:lineRule="auto"/>
        <w:jc w:val="both"/>
        <w:rPr>
          <w:rFonts w:ascii="Arial" w:hAnsi="Arial" w:cs="Arial"/>
          <w:lang w:val="en-GB"/>
        </w:rPr>
      </w:pPr>
      <w:r>
        <w:rPr>
          <w:rFonts w:ascii="Arial" w:hAnsi="Arial" w:cs="Arial"/>
          <w:lang w:val="en-GB"/>
        </w:rPr>
        <w:t xml:space="preserve">No RCTs </w:t>
      </w:r>
      <w:r w:rsidR="006E63B0">
        <w:rPr>
          <w:rFonts w:ascii="Arial" w:hAnsi="Arial" w:cs="Arial"/>
          <w:lang w:val="en-GB"/>
        </w:rPr>
        <w:t>included</w:t>
      </w:r>
      <w:r>
        <w:rPr>
          <w:rFonts w:ascii="Arial" w:hAnsi="Arial" w:cs="Arial"/>
          <w:lang w:val="en-GB"/>
        </w:rPr>
        <w:t xml:space="preserve"> any measure of insulin resistance as the outcome (</w:t>
      </w:r>
      <w:r w:rsidR="006E63B0">
        <w:rPr>
          <w:rFonts w:ascii="Arial" w:hAnsi="Arial" w:cs="Arial"/>
          <w:lang w:val="en-GB"/>
        </w:rPr>
        <w:t>Table S1a</w:t>
      </w:r>
      <w:r>
        <w:rPr>
          <w:rFonts w:ascii="Arial" w:hAnsi="Arial" w:cs="Arial"/>
          <w:lang w:val="en-GB"/>
        </w:rPr>
        <w:t>)</w:t>
      </w:r>
      <w:r w:rsidR="001F0886">
        <w:rPr>
          <w:rFonts w:ascii="Arial" w:hAnsi="Arial" w:cs="Arial"/>
          <w:lang w:val="en-GB"/>
        </w:rPr>
        <w:t xml:space="preserve">, </w:t>
      </w:r>
      <w:r w:rsidR="006E63B0">
        <w:rPr>
          <w:rFonts w:ascii="Arial" w:hAnsi="Arial" w:cs="Arial"/>
          <w:lang w:val="en-GB"/>
        </w:rPr>
        <w:t>but 12</w:t>
      </w:r>
      <w:r w:rsidR="001F0886">
        <w:rPr>
          <w:rFonts w:ascii="Arial" w:hAnsi="Arial" w:cs="Arial"/>
          <w:lang w:val="en-GB"/>
        </w:rPr>
        <w:t xml:space="preserve"> </w:t>
      </w:r>
      <w:r>
        <w:rPr>
          <w:rFonts w:ascii="Arial" w:hAnsi="Arial" w:cs="Arial"/>
          <w:lang w:val="en-GB"/>
        </w:rPr>
        <w:t xml:space="preserve">studies </w:t>
      </w:r>
      <w:r w:rsidR="00640B12">
        <w:rPr>
          <w:rFonts w:ascii="Arial" w:hAnsi="Arial" w:cs="Arial"/>
          <w:lang w:val="en-GB"/>
        </w:rPr>
        <w:t>comprising</w:t>
      </w:r>
      <w:r>
        <w:rPr>
          <w:rFonts w:ascii="Arial" w:hAnsi="Arial" w:cs="Arial"/>
          <w:lang w:val="en-GB"/>
        </w:rPr>
        <w:t xml:space="preserve"> 763 children reported that faster postnatal growth</w:t>
      </w:r>
      <w:r w:rsidR="006E63B0">
        <w:rPr>
          <w:rFonts w:ascii="Arial" w:hAnsi="Arial" w:cs="Arial"/>
          <w:lang w:val="en-GB"/>
        </w:rPr>
        <w:t>,</w:t>
      </w:r>
      <w:r>
        <w:rPr>
          <w:rFonts w:ascii="Arial" w:hAnsi="Arial" w:cs="Arial"/>
          <w:lang w:val="en-GB"/>
        </w:rPr>
        <w:t xml:space="preserve"> </w:t>
      </w:r>
      <w:r w:rsidR="001F0886">
        <w:rPr>
          <w:rFonts w:ascii="Arial" w:hAnsi="Arial" w:cs="Arial"/>
          <w:lang w:val="en-GB"/>
        </w:rPr>
        <w:t xml:space="preserve">measured as </w:t>
      </w:r>
      <w:r w:rsidR="006E63B0">
        <w:rPr>
          <w:rFonts w:ascii="Arial" w:hAnsi="Arial" w:cs="Arial"/>
          <w:lang w:val="en-GB"/>
        </w:rPr>
        <w:t xml:space="preserve">the </w:t>
      </w:r>
      <w:r>
        <w:rPr>
          <w:rFonts w:ascii="Arial" w:hAnsi="Arial" w:cs="Arial"/>
          <w:lang w:val="en-GB"/>
        </w:rPr>
        <w:t xml:space="preserve">weight gain between birth </w:t>
      </w:r>
      <w:r w:rsidR="004B5F59">
        <w:rPr>
          <w:rFonts w:ascii="Arial" w:hAnsi="Arial" w:cs="Arial"/>
          <w:lang w:val="en-GB"/>
        </w:rPr>
        <w:t xml:space="preserve">and </w:t>
      </w:r>
      <w:r w:rsidR="001F0886">
        <w:rPr>
          <w:rFonts w:ascii="Arial" w:hAnsi="Arial" w:cs="Arial"/>
          <w:lang w:val="en-GB"/>
        </w:rPr>
        <w:t>eight to 21</w:t>
      </w:r>
      <w:r>
        <w:rPr>
          <w:rFonts w:ascii="Arial" w:hAnsi="Arial" w:cs="Arial"/>
          <w:lang w:val="en-GB"/>
        </w:rPr>
        <w:t xml:space="preserve"> years</w:t>
      </w:r>
      <w:r w:rsidR="006E63B0">
        <w:rPr>
          <w:rFonts w:ascii="Arial" w:hAnsi="Arial" w:cs="Arial"/>
          <w:lang w:val="en-GB"/>
        </w:rPr>
        <w:t>,</w:t>
      </w:r>
      <w:r>
        <w:rPr>
          <w:rFonts w:ascii="Arial" w:hAnsi="Arial" w:cs="Arial"/>
          <w:lang w:val="en-GB"/>
        </w:rPr>
        <w:t xml:space="preserve"> was positively associated with insulin resistance</w:t>
      </w:r>
      <w:r w:rsidR="006E63B0">
        <w:rPr>
          <w:rFonts w:ascii="Arial" w:hAnsi="Arial" w:cs="Arial"/>
          <w:lang w:val="en-GB"/>
        </w:rPr>
        <w:t xml:space="preserve"> at the ages of one to 21 years, using the h</w:t>
      </w:r>
      <w:r w:rsidR="001F0886" w:rsidRPr="001F0886">
        <w:rPr>
          <w:rFonts w:ascii="Arial" w:hAnsi="Arial" w:cs="Arial"/>
          <w:lang w:val="en-GB"/>
        </w:rPr>
        <w:t xml:space="preserve">omeostatic </w:t>
      </w:r>
      <w:r w:rsidR="006E63B0">
        <w:rPr>
          <w:rFonts w:ascii="Arial" w:hAnsi="Arial" w:cs="Arial"/>
          <w:lang w:val="en-GB"/>
        </w:rPr>
        <w:t>m</w:t>
      </w:r>
      <w:r w:rsidR="006E63B0" w:rsidRPr="001F0886">
        <w:rPr>
          <w:rFonts w:ascii="Arial" w:hAnsi="Arial" w:cs="Arial"/>
          <w:lang w:val="en-GB"/>
        </w:rPr>
        <w:t xml:space="preserve">odel </w:t>
      </w:r>
      <w:r w:rsidR="006E63B0">
        <w:rPr>
          <w:rFonts w:ascii="Arial" w:hAnsi="Arial" w:cs="Arial"/>
          <w:lang w:val="en-GB"/>
        </w:rPr>
        <w:t>a</w:t>
      </w:r>
      <w:r w:rsidR="006E63B0" w:rsidRPr="001F0886">
        <w:rPr>
          <w:rFonts w:ascii="Arial" w:hAnsi="Arial" w:cs="Arial"/>
          <w:lang w:val="en-GB"/>
        </w:rPr>
        <w:t xml:space="preserve">ssessment </w:t>
      </w:r>
      <w:r w:rsidR="001F0886" w:rsidRPr="001F0886">
        <w:rPr>
          <w:rFonts w:ascii="Arial" w:hAnsi="Arial" w:cs="Arial"/>
          <w:lang w:val="en-GB"/>
        </w:rPr>
        <w:t xml:space="preserve">for </w:t>
      </w:r>
      <w:r w:rsidR="006E63B0">
        <w:rPr>
          <w:rFonts w:ascii="Arial" w:hAnsi="Arial" w:cs="Arial"/>
          <w:lang w:val="en-GB"/>
        </w:rPr>
        <w:t>i</w:t>
      </w:r>
      <w:r w:rsidR="006E63B0" w:rsidRPr="001F0886">
        <w:rPr>
          <w:rFonts w:ascii="Arial" w:hAnsi="Arial" w:cs="Arial"/>
          <w:lang w:val="en-GB"/>
        </w:rPr>
        <w:t xml:space="preserve">nsulin </w:t>
      </w:r>
      <w:r w:rsidR="006E63B0">
        <w:rPr>
          <w:rFonts w:ascii="Arial" w:hAnsi="Arial" w:cs="Arial"/>
          <w:lang w:val="en-GB"/>
        </w:rPr>
        <w:t>r</w:t>
      </w:r>
      <w:r w:rsidR="006E63B0" w:rsidRPr="001F0886">
        <w:rPr>
          <w:rFonts w:ascii="Arial" w:hAnsi="Arial" w:cs="Arial"/>
          <w:lang w:val="en-GB"/>
        </w:rPr>
        <w:t>esistance</w:t>
      </w:r>
      <w:r>
        <w:rPr>
          <w:rFonts w:ascii="Arial" w:hAnsi="Arial" w:cs="Arial"/>
          <w:lang w:val="en-GB"/>
        </w:rPr>
        <w:t>, fasting insulin, oral glucose tolerance test, intravenous glucose tolerance test</w:t>
      </w:r>
      <w:r w:rsidR="006E63B0">
        <w:rPr>
          <w:rFonts w:ascii="Arial" w:hAnsi="Arial" w:cs="Arial"/>
          <w:lang w:val="en-GB"/>
        </w:rPr>
        <w:t xml:space="preserve"> and</w:t>
      </w:r>
      <w:r>
        <w:rPr>
          <w:rFonts w:ascii="Arial" w:hAnsi="Arial" w:cs="Arial"/>
          <w:lang w:val="en-GB"/>
        </w:rPr>
        <w:t xml:space="preserve"> clamp </w:t>
      </w:r>
      <w:r>
        <w:rPr>
          <w:rFonts w:ascii="Arial" w:hAnsi="Arial" w:cs="Arial"/>
          <w:noProof/>
          <w:lang w:val="en-GB"/>
        </w:rPr>
        <w:t>(1</w:t>
      </w:r>
      <w:r w:rsidR="00C637D4">
        <w:rPr>
          <w:rFonts w:ascii="Arial" w:hAnsi="Arial" w:cs="Arial"/>
          <w:noProof/>
          <w:lang w:val="en-GB"/>
        </w:rPr>
        <w:t>5</w:t>
      </w:r>
      <w:r>
        <w:rPr>
          <w:rFonts w:ascii="Arial" w:hAnsi="Arial" w:cs="Arial"/>
          <w:noProof/>
          <w:lang w:val="en-GB"/>
        </w:rPr>
        <w:t>,1</w:t>
      </w:r>
      <w:r w:rsidR="00C637D4">
        <w:rPr>
          <w:rFonts w:ascii="Arial" w:hAnsi="Arial" w:cs="Arial"/>
          <w:noProof/>
          <w:lang w:val="en-GB"/>
        </w:rPr>
        <w:t>6</w:t>
      </w:r>
      <w:r>
        <w:rPr>
          <w:rFonts w:ascii="Arial" w:hAnsi="Arial" w:cs="Arial"/>
          <w:noProof/>
          <w:lang w:val="en-GB"/>
        </w:rPr>
        <w:t>,</w:t>
      </w:r>
      <w:r w:rsidR="00E4564F">
        <w:rPr>
          <w:rFonts w:ascii="Arial" w:hAnsi="Arial" w:cs="Arial"/>
          <w:noProof/>
          <w:lang w:val="en-GB"/>
        </w:rPr>
        <w:t>29,33,35,38,39,41,44-</w:t>
      </w:r>
      <w:r>
        <w:rPr>
          <w:rFonts w:ascii="Arial" w:hAnsi="Arial" w:cs="Arial"/>
          <w:noProof/>
          <w:lang w:val="en-GB"/>
        </w:rPr>
        <w:t>4</w:t>
      </w:r>
      <w:r w:rsidR="00C637D4">
        <w:rPr>
          <w:rFonts w:ascii="Arial" w:hAnsi="Arial" w:cs="Arial"/>
          <w:noProof/>
          <w:lang w:val="en-GB"/>
        </w:rPr>
        <w:t>7</w:t>
      </w:r>
      <w:r>
        <w:rPr>
          <w:rFonts w:ascii="Arial" w:hAnsi="Arial" w:cs="Arial"/>
          <w:noProof/>
          <w:lang w:val="en-GB"/>
        </w:rPr>
        <w:t>)</w:t>
      </w:r>
      <w:r w:rsidR="001F0886">
        <w:rPr>
          <w:rFonts w:ascii="Arial" w:hAnsi="Arial" w:cs="Arial"/>
          <w:lang w:val="en-GB"/>
        </w:rPr>
        <w:t>. A</w:t>
      </w:r>
      <w:r>
        <w:rPr>
          <w:rFonts w:ascii="Arial" w:hAnsi="Arial" w:cs="Arial"/>
          <w:lang w:val="en-GB"/>
        </w:rPr>
        <w:t xml:space="preserve"> further six studies </w:t>
      </w:r>
      <w:r w:rsidR="00640B12">
        <w:rPr>
          <w:rFonts w:ascii="Arial" w:hAnsi="Arial" w:cs="Arial"/>
          <w:lang w:val="en-GB"/>
        </w:rPr>
        <w:t>comprising</w:t>
      </w:r>
      <w:r w:rsidR="001F0886">
        <w:rPr>
          <w:rFonts w:ascii="Arial" w:hAnsi="Arial" w:cs="Arial"/>
          <w:lang w:val="en-GB"/>
        </w:rPr>
        <w:t xml:space="preserve"> </w:t>
      </w:r>
      <w:r>
        <w:rPr>
          <w:rFonts w:ascii="Arial" w:hAnsi="Arial" w:cs="Arial"/>
          <w:lang w:val="en-GB"/>
        </w:rPr>
        <w:t>356</w:t>
      </w:r>
      <w:r w:rsidR="00640B12">
        <w:rPr>
          <w:rFonts w:ascii="Arial" w:hAnsi="Arial" w:cs="Arial"/>
          <w:lang w:val="en-GB"/>
        </w:rPr>
        <w:t xml:space="preserve"> </w:t>
      </w:r>
      <w:r>
        <w:rPr>
          <w:rFonts w:ascii="Arial" w:hAnsi="Arial" w:cs="Arial"/>
          <w:lang w:val="en-GB"/>
        </w:rPr>
        <w:t>children reported no association between postnatal growth</w:t>
      </w:r>
      <w:r w:rsidR="006E63B0">
        <w:rPr>
          <w:rFonts w:ascii="Arial" w:hAnsi="Arial" w:cs="Arial"/>
          <w:lang w:val="en-GB"/>
        </w:rPr>
        <w:t>,</w:t>
      </w:r>
      <w:r>
        <w:rPr>
          <w:rFonts w:ascii="Arial" w:hAnsi="Arial" w:cs="Arial"/>
          <w:lang w:val="en-GB"/>
        </w:rPr>
        <w:t xml:space="preserve"> </w:t>
      </w:r>
      <w:r w:rsidR="001F0886">
        <w:rPr>
          <w:rFonts w:ascii="Arial" w:hAnsi="Arial" w:cs="Arial"/>
          <w:lang w:val="en-GB"/>
        </w:rPr>
        <w:t xml:space="preserve">measured as </w:t>
      </w:r>
      <w:r>
        <w:rPr>
          <w:rFonts w:ascii="Arial" w:hAnsi="Arial" w:cs="Arial"/>
          <w:lang w:val="en-GB"/>
        </w:rPr>
        <w:t>weight, height or BMI</w:t>
      </w:r>
      <w:r w:rsidR="001F0886">
        <w:rPr>
          <w:rFonts w:ascii="Arial" w:hAnsi="Arial" w:cs="Arial"/>
          <w:lang w:val="en-GB"/>
        </w:rPr>
        <w:t xml:space="preserve"> </w:t>
      </w:r>
      <w:r>
        <w:rPr>
          <w:rFonts w:ascii="Arial" w:hAnsi="Arial" w:cs="Arial"/>
          <w:lang w:val="en-GB"/>
        </w:rPr>
        <w:t>between birth</w:t>
      </w:r>
      <w:r w:rsidR="001F0886">
        <w:rPr>
          <w:rFonts w:ascii="Arial" w:hAnsi="Arial" w:cs="Arial"/>
          <w:lang w:val="en-GB"/>
        </w:rPr>
        <w:t xml:space="preserve"> to eight</w:t>
      </w:r>
      <w:r>
        <w:rPr>
          <w:rFonts w:ascii="Arial" w:hAnsi="Arial" w:cs="Arial"/>
          <w:lang w:val="en-GB"/>
        </w:rPr>
        <w:t xml:space="preserve"> years</w:t>
      </w:r>
      <w:r w:rsidR="006E63B0">
        <w:rPr>
          <w:rFonts w:ascii="Arial" w:hAnsi="Arial" w:cs="Arial"/>
          <w:lang w:val="en-GB"/>
        </w:rPr>
        <w:t>,</w:t>
      </w:r>
      <w:r>
        <w:rPr>
          <w:rFonts w:ascii="Arial" w:hAnsi="Arial" w:cs="Arial"/>
          <w:lang w:val="en-GB"/>
        </w:rPr>
        <w:t xml:space="preserve"> and insulin resistance </w:t>
      </w:r>
      <w:r w:rsidR="006E63B0">
        <w:rPr>
          <w:rFonts w:ascii="Arial" w:hAnsi="Arial" w:cs="Arial"/>
          <w:lang w:val="en-GB"/>
        </w:rPr>
        <w:t>at the ages of one to eight years, using the h</w:t>
      </w:r>
      <w:r w:rsidR="001F0886" w:rsidRPr="001F0886">
        <w:rPr>
          <w:rFonts w:ascii="Arial" w:hAnsi="Arial" w:cs="Arial"/>
          <w:lang w:val="en-GB"/>
        </w:rPr>
        <w:t xml:space="preserve">omeostatic </w:t>
      </w:r>
      <w:r w:rsidR="006E63B0">
        <w:rPr>
          <w:rFonts w:ascii="Arial" w:hAnsi="Arial" w:cs="Arial"/>
          <w:lang w:val="en-GB"/>
        </w:rPr>
        <w:t>m</w:t>
      </w:r>
      <w:r w:rsidR="006E63B0" w:rsidRPr="001F0886">
        <w:rPr>
          <w:rFonts w:ascii="Arial" w:hAnsi="Arial" w:cs="Arial"/>
          <w:lang w:val="en-GB"/>
        </w:rPr>
        <w:t xml:space="preserve">odel </w:t>
      </w:r>
      <w:r w:rsidR="006E63B0">
        <w:rPr>
          <w:rFonts w:ascii="Arial" w:hAnsi="Arial" w:cs="Arial"/>
          <w:lang w:val="en-GB"/>
        </w:rPr>
        <w:t>a</w:t>
      </w:r>
      <w:r w:rsidR="006E63B0" w:rsidRPr="001F0886">
        <w:rPr>
          <w:rFonts w:ascii="Arial" w:hAnsi="Arial" w:cs="Arial"/>
          <w:lang w:val="en-GB"/>
        </w:rPr>
        <w:t xml:space="preserve">ssessment </w:t>
      </w:r>
      <w:r w:rsidR="001F0886" w:rsidRPr="001F0886">
        <w:rPr>
          <w:rFonts w:ascii="Arial" w:hAnsi="Arial" w:cs="Arial"/>
          <w:lang w:val="en-GB"/>
        </w:rPr>
        <w:t xml:space="preserve">for </w:t>
      </w:r>
      <w:r w:rsidR="006E63B0">
        <w:rPr>
          <w:rFonts w:ascii="Arial" w:hAnsi="Arial" w:cs="Arial"/>
          <w:lang w:val="en-GB"/>
        </w:rPr>
        <w:t>i</w:t>
      </w:r>
      <w:r w:rsidR="006E63B0" w:rsidRPr="001F0886">
        <w:rPr>
          <w:rFonts w:ascii="Arial" w:hAnsi="Arial" w:cs="Arial"/>
          <w:lang w:val="en-GB"/>
        </w:rPr>
        <w:t xml:space="preserve">nsulin </w:t>
      </w:r>
      <w:r w:rsidR="006E63B0">
        <w:rPr>
          <w:rFonts w:ascii="Arial" w:hAnsi="Arial" w:cs="Arial"/>
          <w:lang w:val="en-GB"/>
        </w:rPr>
        <w:t>r</w:t>
      </w:r>
      <w:r w:rsidR="006E63B0" w:rsidRPr="001F0886">
        <w:rPr>
          <w:rFonts w:ascii="Arial" w:hAnsi="Arial" w:cs="Arial"/>
          <w:lang w:val="en-GB"/>
        </w:rPr>
        <w:t>esistance</w:t>
      </w:r>
      <w:r w:rsidR="006E63B0">
        <w:rPr>
          <w:rFonts w:ascii="Arial" w:hAnsi="Arial" w:cs="Arial"/>
          <w:lang w:val="en-GB"/>
        </w:rPr>
        <w:t xml:space="preserve"> </w:t>
      </w:r>
      <w:r>
        <w:rPr>
          <w:rFonts w:ascii="Arial" w:hAnsi="Arial" w:cs="Arial"/>
          <w:lang w:val="en-GB"/>
        </w:rPr>
        <w:t xml:space="preserve">or fasting insulin </w:t>
      </w:r>
      <w:r>
        <w:rPr>
          <w:rFonts w:ascii="Arial" w:hAnsi="Arial" w:cs="Arial"/>
          <w:noProof/>
          <w:lang w:val="en-GB"/>
        </w:rPr>
        <w:t>(1</w:t>
      </w:r>
      <w:r w:rsidR="00446481">
        <w:rPr>
          <w:rFonts w:ascii="Arial" w:hAnsi="Arial" w:cs="Arial"/>
          <w:noProof/>
          <w:lang w:val="en-GB"/>
        </w:rPr>
        <w:t>7</w:t>
      </w:r>
      <w:r>
        <w:rPr>
          <w:rFonts w:ascii="Arial" w:hAnsi="Arial" w:cs="Arial"/>
          <w:noProof/>
          <w:lang w:val="en-GB"/>
        </w:rPr>
        <w:t>,30,31,37,40,43)</w:t>
      </w:r>
      <w:r>
        <w:rPr>
          <w:rFonts w:ascii="Arial" w:hAnsi="Arial" w:cs="Arial"/>
          <w:lang w:val="en-GB"/>
        </w:rPr>
        <w:t xml:space="preserve"> (</w:t>
      </w:r>
      <w:r w:rsidR="006E63B0">
        <w:rPr>
          <w:rFonts w:ascii="Arial" w:hAnsi="Arial" w:cs="Arial"/>
          <w:lang w:val="en-GB"/>
        </w:rPr>
        <w:t>Table</w:t>
      </w:r>
      <w:r>
        <w:rPr>
          <w:rFonts w:ascii="Arial" w:hAnsi="Arial" w:cs="Arial"/>
          <w:lang w:val="en-GB"/>
        </w:rPr>
        <w:t xml:space="preserve"> </w:t>
      </w:r>
      <w:r w:rsidR="006E63B0">
        <w:rPr>
          <w:rFonts w:ascii="Arial" w:hAnsi="Arial" w:cs="Arial"/>
          <w:lang w:val="en-GB"/>
        </w:rPr>
        <w:t>S1b</w:t>
      </w:r>
      <w:r>
        <w:rPr>
          <w:rFonts w:ascii="Arial" w:hAnsi="Arial" w:cs="Arial"/>
          <w:lang w:val="en-GB"/>
        </w:rPr>
        <w:t xml:space="preserve">). Positive associations were reported </w:t>
      </w:r>
      <w:r w:rsidR="00F135FC">
        <w:rPr>
          <w:rFonts w:ascii="Arial" w:hAnsi="Arial" w:cs="Arial"/>
          <w:lang w:val="en-GB"/>
        </w:rPr>
        <w:t xml:space="preserve">by </w:t>
      </w:r>
      <w:r w:rsidR="001F0886">
        <w:rPr>
          <w:rFonts w:ascii="Arial" w:hAnsi="Arial" w:cs="Arial"/>
          <w:lang w:val="en-GB"/>
        </w:rPr>
        <w:t xml:space="preserve">eight </w:t>
      </w:r>
      <w:r>
        <w:rPr>
          <w:rFonts w:ascii="Arial" w:hAnsi="Arial" w:cs="Arial"/>
          <w:lang w:val="en-GB"/>
        </w:rPr>
        <w:t xml:space="preserve">studies </w:t>
      </w:r>
      <w:r w:rsidR="00F135FC">
        <w:rPr>
          <w:rFonts w:ascii="Arial" w:hAnsi="Arial" w:cs="Arial"/>
          <w:lang w:val="en-GB"/>
        </w:rPr>
        <w:t xml:space="preserve">with adjustments for current adiposity </w:t>
      </w:r>
      <w:r w:rsidR="001F0886">
        <w:rPr>
          <w:rFonts w:ascii="Arial" w:hAnsi="Arial" w:cs="Arial"/>
          <w:lang w:val="en-GB"/>
        </w:rPr>
        <w:t>and four studies</w:t>
      </w:r>
      <w:r w:rsidR="00F135FC">
        <w:rPr>
          <w:rFonts w:ascii="Arial" w:hAnsi="Arial" w:cs="Arial"/>
          <w:lang w:val="en-GB"/>
        </w:rPr>
        <w:t xml:space="preserve"> without</w:t>
      </w:r>
      <w:r>
        <w:rPr>
          <w:rFonts w:ascii="Arial" w:hAnsi="Arial" w:cs="Arial"/>
          <w:lang w:val="en-GB"/>
        </w:rPr>
        <w:t xml:space="preserve">. </w:t>
      </w:r>
      <w:r w:rsidR="001F0886">
        <w:rPr>
          <w:rFonts w:ascii="Arial" w:hAnsi="Arial" w:cs="Arial"/>
          <w:lang w:val="en-GB"/>
        </w:rPr>
        <w:t xml:space="preserve">Of </w:t>
      </w:r>
      <w:r w:rsidR="00F135FC">
        <w:rPr>
          <w:rFonts w:ascii="Arial" w:hAnsi="Arial" w:cs="Arial"/>
          <w:lang w:val="en-GB"/>
        </w:rPr>
        <w:t xml:space="preserve">the </w:t>
      </w:r>
      <w:r w:rsidR="006F51D7">
        <w:rPr>
          <w:rFonts w:ascii="Arial" w:hAnsi="Arial" w:cs="Arial"/>
          <w:lang w:val="en-GB"/>
        </w:rPr>
        <w:t xml:space="preserve">13 </w:t>
      </w:r>
      <w:r>
        <w:rPr>
          <w:rFonts w:ascii="Arial" w:hAnsi="Arial" w:cs="Arial"/>
          <w:lang w:val="en-GB"/>
        </w:rPr>
        <w:t>studies that included AGA controls</w:t>
      </w:r>
      <w:r w:rsidR="00640B12">
        <w:rPr>
          <w:rFonts w:ascii="Arial" w:hAnsi="Arial" w:cs="Arial"/>
          <w:lang w:val="en-GB"/>
        </w:rPr>
        <w:t>,</w:t>
      </w:r>
      <w:r>
        <w:rPr>
          <w:rFonts w:ascii="Arial" w:hAnsi="Arial" w:cs="Arial"/>
          <w:lang w:val="en-GB"/>
        </w:rPr>
        <w:t xml:space="preserve"> </w:t>
      </w:r>
      <w:r w:rsidR="00F135FC">
        <w:rPr>
          <w:rFonts w:ascii="Arial" w:hAnsi="Arial" w:cs="Arial"/>
          <w:lang w:val="en-GB"/>
        </w:rPr>
        <w:t xml:space="preserve">10 </w:t>
      </w:r>
      <w:r w:rsidR="00640B12">
        <w:rPr>
          <w:rFonts w:ascii="Arial" w:hAnsi="Arial" w:cs="Arial"/>
          <w:lang w:val="en-GB"/>
        </w:rPr>
        <w:t xml:space="preserve">studies reported that </w:t>
      </w:r>
      <w:r w:rsidR="001F0886">
        <w:rPr>
          <w:rFonts w:ascii="Arial" w:hAnsi="Arial" w:cs="Arial"/>
          <w:lang w:val="en-GB"/>
        </w:rPr>
        <w:t>the SGA group had</w:t>
      </w:r>
      <w:r>
        <w:rPr>
          <w:rFonts w:ascii="Arial" w:hAnsi="Arial" w:cs="Arial"/>
          <w:lang w:val="en-GB"/>
        </w:rPr>
        <w:t xml:space="preserve"> significantly higher insulin resistance</w:t>
      </w:r>
      <w:r w:rsidR="00F135FC">
        <w:rPr>
          <w:rFonts w:ascii="Arial" w:hAnsi="Arial" w:cs="Arial"/>
          <w:lang w:val="en-GB"/>
        </w:rPr>
        <w:t xml:space="preserve">, measured as </w:t>
      </w:r>
      <w:r>
        <w:rPr>
          <w:rFonts w:ascii="Arial" w:hAnsi="Arial" w:cs="Arial"/>
          <w:lang w:val="en-GB"/>
        </w:rPr>
        <w:t xml:space="preserve">fasting insulin, </w:t>
      </w:r>
      <w:r w:rsidR="001F0886">
        <w:rPr>
          <w:rFonts w:ascii="Arial" w:hAnsi="Arial" w:cs="Arial"/>
          <w:lang w:val="en-GB"/>
        </w:rPr>
        <w:t>oral glucose tolerance test, intravenous glucose tolerance test</w:t>
      </w:r>
      <w:r w:rsidR="00F135FC">
        <w:rPr>
          <w:rFonts w:ascii="Arial" w:hAnsi="Arial" w:cs="Arial"/>
          <w:lang w:val="en-GB"/>
        </w:rPr>
        <w:t xml:space="preserve"> and</w:t>
      </w:r>
      <w:r w:rsidR="001F0886">
        <w:rPr>
          <w:rFonts w:ascii="Arial" w:hAnsi="Arial" w:cs="Arial"/>
          <w:lang w:val="en-GB"/>
        </w:rPr>
        <w:t xml:space="preserve"> </w:t>
      </w:r>
      <w:r>
        <w:rPr>
          <w:rFonts w:ascii="Arial" w:hAnsi="Arial" w:cs="Arial"/>
          <w:lang w:val="en-GB"/>
        </w:rPr>
        <w:t>clamp</w:t>
      </w:r>
      <w:r w:rsidR="00F135FC">
        <w:rPr>
          <w:rFonts w:ascii="Arial" w:hAnsi="Arial" w:cs="Arial"/>
          <w:lang w:val="en-GB"/>
        </w:rPr>
        <w:t>, than the</w:t>
      </w:r>
      <w:r>
        <w:rPr>
          <w:rFonts w:ascii="Arial" w:hAnsi="Arial" w:cs="Arial"/>
          <w:lang w:val="en-GB"/>
        </w:rPr>
        <w:t xml:space="preserve"> AGA </w:t>
      </w:r>
      <w:r w:rsidR="00F135FC">
        <w:rPr>
          <w:rFonts w:ascii="Arial" w:hAnsi="Arial" w:cs="Arial"/>
          <w:lang w:val="en-GB"/>
        </w:rPr>
        <w:t xml:space="preserve">group </w:t>
      </w:r>
      <w:r>
        <w:rPr>
          <w:rFonts w:ascii="Arial" w:hAnsi="Arial" w:cs="Arial"/>
          <w:lang w:val="en-GB"/>
        </w:rPr>
        <w:t xml:space="preserve">at </w:t>
      </w:r>
      <w:r w:rsidR="00F135FC">
        <w:rPr>
          <w:rFonts w:ascii="Arial" w:hAnsi="Arial" w:cs="Arial"/>
          <w:lang w:val="en-GB"/>
        </w:rPr>
        <w:t xml:space="preserve">the </w:t>
      </w:r>
      <w:r>
        <w:rPr>
          <w:rFonts w:ascii="Arial" w:hAnsi="Arial" w:cs="Arial"/>
          <w:lang w:val="en-GB"/>
        </w:rPr>
        <w:t xml:space="preserve">ages </w:t>
      </w:r>
      <w:r w:rsidR="00F135FC">
        <w:rPr>
          <w:rFonts w:ascii="Arial" w:hAnsi="Arial" w:cs="Arial"/>
          <w:lang w:val="en-GB"/>
        </w:rPr>
        <w:t xml:space="preserve">of </w:t>
      </w:r>
      <w:r w:rsidR="001F0886">
        <w:rPr>
          <w:rFonts w:ascii="Arial" w:hAnsi="Arial" w:cs="Arial"/>
          <w:lang w:val="en-GB"/>
        </w:rPr>
        <w:t xml:space="preserve">one to </w:t>
      </w:r>
      <w:r>
        <w:rPr>
          <w:rFonts w:ascii="Arial" w:hAnsi="Arial" w:cs="Arial"/>
          <w:lang w:val="en-GB"/>
        </w:rPr>
        <w:t xml:space="preserve">21 years </w:t>
      </w:r>
      <w:r>
        <w:rPr>
          <w:rFonts w:ascii="Arial" w:hAnsi="Arial" w:cs="Arial"/>
          <w:noProof/>
          <w:lang w:val="en-GB"/>
        </w:rPr>
        <w:t>(1</w:t>
      </w:r>
      <w:r w:rsidR="00446481">
        <w:rPr>
          <w:rFonts w:ascii="Arial" w:hAnsi="Arial" w:cs="Arial"/>
          <w:noProof/>
          <w:lang w:val="en-GB"/>
        </w:rPr>
        <w:t>5</w:t>
      </w:r>
      <w:r>
        <w:rPr>
          <w:rFonts w:ascii="Arial" w:hAnsi="Arial" w:cs="Arial"/>
          <w:noProof/>
          <w:lang w:val="en-GB"/>
        </w:rPr>
        <w:t>,1</w:t>
      </w:r>
      <w:r w:rsidR="00446481">
        <w:rPr>
          <w:rFonts w:ascii="Arial" w:hAnsi="Arial" w:cs="Arial"/>
          <w:noProof/>
          <w:lang w:val="en-GB"/>
        </w:rPr>
        <w:t>6</w:t>
      </w:r>
      <w:r>
        <w:rPr>
          <w:rFonts w:ascii="Arial" w:hAnsi="Arial" w:cs="Arial"/>
          <w:noProof/>
          <w:lang w:val="en-GB"/>
        </w:rPr>
        <w:t>,29,33,35,38,41,45</w:t>
      </w:r>
      <w:r w:rsidR="001F0886">
        <w:rPr>
          <w:rFonts w:ascii="Arial" w:hAnsi="Arial" w:cs="Arial"/>
          <w:noProof/>
          <w:lang w:val="en-GB"/>
        </w:rPr>
        <w:t>-</w:t>
      </w:r>
      <w:r>
        <w:rPr>
          <w:rFonts w:ascii="Arial" w:hAnsi="Arial" w:cs="Arial"/>
          <w:noProof/>
          <w:lang w:val="en-GB"/>
        </w:rPr>
        <w:t>47)</w:t>
      </w:r>
      <w:r>
        <w:rPr>
          <w:rFonts w:ascii="Arial" w:hAnsi="Arial" w:cs="Arial"/>
          <w:lang w:val="en-GB"/>
        </w:rPr>
        <w:t xml:space="preserve">. </w:t>
      </w:r>
    </w:p>
    <w:p w14:paraId="059F70FE" w14:textId="77777777" w:rsidR="00617FE8" w:rsidRDefault="00617FE8">
      <w:pPr>
        <w:spacing w:after="0" w:line="480" w:lineRule="auto"/>
        <w:jc w:val="both"/>
        <w:rPr>
          <w:rFonts w:ascii="Arial" w:hAnsi="Arial" w:cs="Arial"/>
          <w:b/>
          <w:lang w:val="en-GB"/>
        </w:rPr>
      </w:pPr>
    </w:p>
    <w:p w14:paraId="50BE6BCE" w14:textId="77777777" w:rsidR="00617FE8" w:rsidRDefault="008C06CC">
      <w:pPr>
        <w:spacing w:after="0" w:line="480" w:lineRule="auto"/>
        <w:jc w:val="both"/>
        <w:rPr>
          <w:rFonts w:ascii="Arial" w:hAnsi="Arial" w:cs="Arial"/>
          <w:lang w:val="en-GB"/>
        </w:rPr>
      </w:pPr>
      <w:r>
        <w:rPr>
          <w:rFonts w:ascii="Arial" w:hAnsi="Arial" w:cs="Arial"/>
          <w:b/>
          <w:lang w:val="en-GB"/>
        </w:rPr>
        <w:lastRenderedPageBreak/>
        <w:t xml:space="preserve">Blood pressure </w:t>
      </w:r>
    </w:p>
    <w:p w14:paraId="343AAC22" w14:textId="291A1A1C" w:rsidR="00617FE8" w:rsidRDefault="008C06CC">
      <w:pPr>
        <w:spacing w:after="0" w:line="480" w:lineRule="auto"/>
        <w:jc w:val="both"/>
        <w:rPr>
          <w:rFonts w:ascii="Arial" w:hAnsi="Arial" w:cs="Arial"/>
          <w:lang w:val="en-GB"/>
        </w:rPr>
      </w:pPr>
      <w:r>
        <w:rPr>
          <w:rFonts w:ascii="Arial" w:hAnsi="Arial" w:cs="Arial"/>
          <w:lang w:val="en-GB"/>
        </w:rPr>
        <w:t>O</w:t>
      </w:r>
      <w:r w:rsidR="001F0886">
        <w:rPr>
          <w:rFonts w:ascii="Arial" w:hAnsi="Arial" w:cs="Arial"/>
          <w:lang w:val="en-GB"/>
        </w:rPr>
        <w:t>nly o</w:t>
      </w:r>
      <w:r>
        <w:rPr>
          <w:rFonts w:ascii="Arial" w:hAnsi="Arial" w:cs="Arial"/>
          <w:lang w:val="en-GB"/>
        </w:rPr>
        <w:t>ne RCT</w:t>
      </w:r>
      <w:r w:rsidR="00F135FC">
        <w:rPr>
          <w:rFonts w:ascii="Arial" w:hAnsi="Arial" w:cs="Arial"/>
          <w:lang w:val="en-GB"/>
        </w:rPr>
        <w:t>,</w:t>
      </w:r>
      <w:r>
        <w:rPr>
          <w:rFonts w:ascii="Arial" w:hAnsi="Arial" w:cs="Arial"/>
          <w:lang w:val="en-GB"/>
        </w:rPr>
        <w:t xml:space="preserve"> </w:t>
      </w:r>
      <w:r w:rsidR="00640B12">
        <w:rPr>
          <w:rFonts w:ascii="Arial" w:hAnsi="Arial" w:cs="Arial"/>
          <w:lang w:val="en-GB"/>
        </w:rPr>
        <w:t>comprising</w:t>
      </w:r>
      <w:r>
        <w:rPr>
          <w:rFonts w:ascii="Arial" w:hAnsi="Arial" w:cs="Arial"/>
          <w:lang w:val="en-GB"/>
        </w:rPr>
        <w:t xml:space="preserve"> 153 children</w:t>
      </w:r>
      <w:r w:rsidR="00F135FC">
        <w:rPr>
          <w:rFonts w:ascii="Arial" w:hAnsi="Arial" w:cs="Arial"/>
          <w:lang w:val="en-GB"/>
        </w:rPr>
        <w:t>,</w:t>
      </w:r>
      <w:r>
        <w:rPr>
          <w:rFonts w:ascii="Arial" w:hAnsi="Arial" w:cs="Arial"/>
          <w:lang w:val="en-GB"/>
        </w:rPr>
        <w:t xml:space="preserve"> reported that a </w:t>
      </w:r>
      <w:r>
        <w:rPr>
          <w:rFonts w:ascii="Arial" w:hAnsi="Arial" w:cs="Arial"/>
          <w:color w:val="000000" w:themeColor="text1"/>
          <w:lang w:val="en-GB"/>
        </w:rPr>
        <w:t xml:space="preserve">nutrient and energy enriched formula </w:t>
      </w:r>
      <w:r>
        <w:rPr>
          <w:rFonts w:ascii="Arial" w:hAnsi="Arial" w:cs="Arial"/>
          <w:lang w:val="en-GB"/>
        </w:rPr>
        <w:t xml:space="preserve">given from </w:t>
      </w:r>
      <w:r w:rsidR="00F135FC">
        <w:rPr>
          <w:rFonts w:ascii="Arial" w:hAnsi="Arial" w:cs="Arial"/>
          <w:lang w:val="en-GB"/>
        </w:rPr>
        <w:t xml:space="preserve">the </w:t>
      </w:r>
      <w:r>
        <w:rPr>
          <w:rFonts w:ascii="Arial" w:hAnsi="Arial" w:cs="Arial"/>
          <w:lang w:val="en-GB"/>
        </w:rPr>
        <w:t>age</w:t>
      </w:r>
      <w:r w:rsidR="00F135FC">
        <w:rPr>
          <w:rFonts w:ascii="Arial" w:hAnsi="Arial" w:cs="Arial"/>
          <w:lang w:val="en-GB"/>
        </w:rPr>
        <w:t xml:space="preserve"> of</w:t>
      </w:r>
      <w:r>
        <w:rPr>
          <w:rFonts w:ascii="Arial" w:hAnsi="Arial" w:cs="Arial"/>
          <w:lang w:val="en-GB"/>
        </w:rPr>
        <w:t xml:space="preserve"> </w:t>
      </w:r>
      <w:r w:rsidR="001F0886">
        <w:rPr>
          <w:rFonts w:ascii="Arial" w:hAnsi="Arial" w:cs="Arial"/>
          <w:lang w:val="en-GB"/>
        </w:rPr>
        <w:t xml:space="preserve">four </w:t>
      </w:r>
      <w:r>
        <w:rPr>
          <w:rFonts w:ascii="Arial" w:hAnsi="Arial" w:cs="Arial"/>
          <w:lang w:val="en-GB"/>
        </w:rPr>
        <w:t xml:space="preserve">days to </w:t>
      </w:r>
      <w:r w:rsidR="001F0886">
        <w:rPr>
          <w:rFonts w:ascii="Arial" w:hAnsi="Arial" w:cs="Arial"/>
          <w:lang w:val="en-GB"/>
        </w:rPr>
        <w:t xml:space="preserve">nine </w:t>
      </w:r>
      <w:r>
        <w:rPr>
          <w:rFonts w:ascii="Arial" w:hAnsi="Arial" w:cs="Arial"/>
          <w:lang w:val="en-GB"/>
        </w:rPr>
        <w:t xml:space="preserve">months promoted weight gain and increased the risk of high blood pressure (BP) at </w:t>
      </w:r>
      <w:r w:rsidR="001F0886">
        <w:rPr>
          <w:rFonts w:ascii="Arial" w:hAnsi="Arial" w:cs="Arial"/>
          <w:lang w:val="en-GB"/>
        </w:rPr>
        <w:t>six to nine</w:t>
      </w:r>
      <w:r>
        <w:rPr>
          <w:rFonts w:ascii="Arial" w:hAnsi="Arial" w:cs="Arial"/>
          <w:lang w:val="en-GB"/>
        </w:rPr>
        <w:t xml:space="preserve"> years </w:t>
      </w:r>
      <w:r>
        <w:rPr>
          <w:rFonts w:ascii="Arial" w:hAnsi="Arial" w:cs="Arial"/>
          <w:noProof/>
          <w:lang w:val="en-GB"/>
        </w:rPr>
        <w:t>(21)</w:t>
      </w:r>
      <w:r>
        <w:rPr>
          <w:rFonts w:ascii="Arial" w:hAnsi="Arial" w:cs="Arial"/>
          <w:lang w:val="en-GB"/>
        </w:rPr>
        <w:t xml:space="preserve"> (</w:t>
      </w:r>
      <w:r w:rsidR="00F135FC">
        <w:rPr>
          <w:rFonts w:ascii="Arial" w:hAnsi="Arial" w:cs="Arial"/>
          <w:lang w:val="en-GB"/>
        </w:rPr>
        <w:t>Table S</w:t>
      </w:r>
      <w:r w:rsidR="00602D2A">
        <w:rPr>
          <w:rFonts w:ascii="Arial" w:hAnsi="Arial" w:cs="Arial"/>
          <w:lang w:val="en-GB"/>
        </w:rPr>
        <w:t>1</w:t>
      </w:r>
      <w:r>
        <w:rPr>
          <w:rFonts w:ascii="Arial" w:hAnsi="Arial" w:cs="Arial"/>
          <w:lang w:val="en-GB"/>
        </w:rPr>
        <w:t>c).</w:t>
      </w:r>
      <w:r w:rsidR="00602D2A">
        <w:rPr>
          <w:rFonts w:ascii="Arial" w:hAnsi="Arial" w:cs="Arial"/>
          <w:lang w:val="en-GB"/>
        </w:rPr>
        <w:t xml:space="preserve"> </w:t>
      </w:r>
      <w:r w:rsidR="001F0886">
        <w:rPr>
          <w:rFonts w:ascii="Arial" w:hAnsi="Arial" w:cs="Arial"/>
          <w:lang w:val="en-GB"/>
        </w:rPr>
        <w:t>In f</w:t>
      </w:r>
      <w:r>
        <w:rPr>
          <w:rFonts w:ascii="Arial" w:hAnsi="Arial" w:cs="Arial"/>
          <w:lang w:val="en-GB"/>
        </w:rPr>
        <w:t>our observational studies</w:t>
      </w:r>
      <w:r>
        <w:rPr>
          <w:rFonts w:ascii="Arial" w:hAnsi="Arial" w:cs="Arial"/>
          <w:b/>
          <w:lang w:val="en-GB"/>
        </w:rPr>
        <w:t xml:space="preserve"> </w:t>
      </w:r>
      <w:r w:rsidR="00640B12" w:rsidRPr="006F51D7">
        <w:rPr>
          <w:rFonts w:ascii="Arial" w:hAnsi="Arial" w:cs="Arial"/>
          <w:lang w:val="en-GB"/>
        </w:rPr>
        <w:t>comprising</w:t>
      </w:r>
      <w:r w:rsidR="00640B12">
        <w:rPr>
          <w:rFonts w:ascii="Arial" w:hAnsi="Arial" w:cs="Arial"/>
          <w:b/>
          <w:lang w:val="en-GB"/>
        </w:rPr>
        <w:t xml:space="preserve"> </w:t>
      </w:r>
      <w:r w:rsidR="00640B12">
        <w:rPr>
          <w:rFonts w:ascii="Arial" w:hAnsi="Arial" w:cs="Arial"/>
          <w:lang w:val="en-GB"/>
        </w:rPr>
        <w:t>3,180 children, including an observational study among breastfed children (</w:t>
      </w:r>
      <w:r w:rsidR="00640B12">
        <w:rPr>
          <w:rFonts w:ascii="Arial" w:hAnsi="Arial" w:cs="Arial"/>
          <w:noProof/>
          <w:lang w:val="en-GB"/>
        </w:rPr>
        <w:t>21</w:t>
      </w:r>
      <w:r w:rsidR="00640B12">
        <w:rPr>
          <w:rFonts w:ascii="Arial" w:hAnsi="Arial" w:cs="Arial"/>
          <w:lang w:val="en-GB"/>
        </w:rPr>
        <w:t>),</w:t>
      </w:r>
      <w:r w:rsidR="00640B12">
        <w:rPr>
          <w:rFonts w:ascii="Arial" w:hAnsi="Arial" w:cs="Arial"/>
          <w:b/>
          <w:lang w:val="en-GB"/>
        </w:rPr>
        <w:t xml:space="preserve"> </w:t>
      </w:r>
      <w:r w:rsidR="00D42659">
        <w:rPr>
          <w:rFonts w:ascii="Arial" w:hAnsi="Arial" w:cs="Arial"/>
          <w:lang w:val="en-GB"/>
        </w:rPr>
        <w:t xml:space="preserve">faster postnatal growth measured as </w:t>
      </w:r>
      <w:r w:rsidR="00F135FC">
        <w:rPr>
          <w:rFonts w:ascii="Arial" w:hAnsi="Arial" w:cs="Arial"/>
          <w:lang w:val="en-GB"/>
        </w:rPr>
        <w:t xml:space="preserve">the </w:t>
      </w:r>
      <w:r w:rsidR="00D42659">
        <w:rPr>
          <w:rFonts w:ascii="Arial" w:hAnsi="Arial" w:cs="Arial"/>
          <w:lang w:val="en-GB"/>
        </w:rPr>
        <w:t xml:space="preserve">weight gain between birth </w:t>
      </w:r>
      <w:r w:rsidR="004B5F59">
        <w:rPr>
          <w:rFonts w:ascii="Arial" w:hAnsi="Arial" w:cs="Arial"/>
          <w:lang w:val="en-GB"/>
        </w:rPr>
        <w:t>and</w:t>
      </w:r>
      <w:r w:rsidR="00D42659">
        <w:rPr>
          <w:rFonts w:ascii="Arial" w:hAnsi="Arial" w:cs="Arial"/>
          <w:lang w:val="en-GB"/>
        </w:rPr>
        <w:t xml:space="preserve"> two to eight years </w:t>
      </w:r>
      <w:r>
        <w:rPr>
          <w:rFonts w:ascii="Arial" w:hAnsi="Arial" w:cs="Arial"/>
          <w:lang w:val="en-GB"/>
        </w:rPr>
        <w:t xml:space="preserve">was positively associated with </w:t>
      </w:r>
      <w:r w:rsidR="00F135FC">
        <w:rPr>
          <w:rFonts w:ascii="Arial" w:hAnsi="Arial" w:cs="Arial"/>
          <w:lang w:val="en-GB"/>
        </w:rPr>
        <w:t xml:space="preserve">a </w:t>
      </w:r>
      <w:r>
        <w:rPr>
          <w:rFonts w:ascii="Arial" w:hAnsi="Arial" w:cs="Arial"/>
          <w:lang w:val="en-GB"/>
        </w:rPr>
        <w:t xml:space="preserve">higher risk of high BP at </w:t>
      </w:r>
      <w:r w:rsidR="00F135FC">
        <w:rPr>
          <w:rFonts w:ascii="Arial" w:hAnsi="Arial" w:cs="Arial"/>
          <w:lang w:val="en-GB"/>
        </w:rPr>
        <w:t xml:space="preserve">the </w:t>
      </w:r>
      <w:r>
        <w:rPr>
          <w:rFonts w:ascii="Arial" w:hAnsi="Arial" w:cs="Arial"/>
          <w:lang w:val="en-GB"/>
        </w:rPr>
        <w:t xml:space="preserve">ages </w:t>
      </w:r>
      <w:r w:rsidR="00F135FC">
        <w:rPr>
          <w:rFonts w:ascii="Arial" w:hAnsi="Arial" w:cs="Arial"/>
          <w:lang w:val="en-GB"/>
        </w:rPr>
        <w:t xml:space="preserve">of </w:t>
      </w:r>
      <w:r w:rsidR="00D42659">
        <w:rPr>
          <w:rFonts w:ascii="Arial" w:hAnsi="Arial" w:cs="Arial"/>
          <w:lang w:val="en-GB"/>
        </w:rPr>
        <w:t xml:space="preserve">seven to </w:t>
      </w:r>
      <w:r>
        <w:rPr>
          <w:rFonts w:ascii="Arial" w:hAnsi="Arial" w:cs="Arial"/>
          <w:lang w:val="en-GB"/>
        </w:rPr>
        <w:t xml:space="preserve">15 years </w:t>
      </w:r>
      <w:r>
        <w:rPr>
          <w:rFonts w:ascii="Arial" w:hAnsi="Arial" w:cs="Arial"/>
          <w:noProof/>
          <w:lang w:val="en-GB"/>
        </w:rPr>
        <w:t>(21,44,48,49</w:t>
      </w:r>
      <w:r w:rsidR="00D42659">
        <w:rPr>
          <w:rFonts w:ascii="Arial" w:hAnsi="Arial" w:cs="Arial"/>
          <w:noProof/>
          <w:lang w:val="en-GB"/>
        </w:rPr>
        <w:t>)</w:t>
      </w:r>
      <w:r w:rsidR="00F135FC">
        <w:rPr>
          <w:rFonts w:ascii="Arial" w:hAnsi="Arial" w:cs="Arial"/>
          <w:noProof/>
          <w:lang w:val="en-GB"/>
        </w:rPr>
        <w:t>. In contrast</w:t>
      </w:r>
      <w:r w:rsidR="00D42659">
        <w:rPr>
          <w:rFonts w:ascii="Arial" w:hAnsi="Arial" w:cs="Arial"/>
          <w:lang w:val="en-GB"/>
        </w:rPr>
        <w:t xml:space="preserve">, </w:t>
      </w:r>
      <w:r>
        <w:rPr>
          <w:rFonts w:ascii="Arial" w:hAnsi="Arial" w:cs="Arial"/>
          <w:lang w:val="en-GB"/>
        </w:rPr>
        <w:t xml:space="preserve">one further study </w:t>
      </w:r>
      <w:r w:rsidR="00640B12">
        <w:rPr>
          <w:rFonts w:ascii="Arial" w:hAnsi="Arial" w:cs="Arial"/>
          <w:lang w:val="en-GB"/>
        </w:rPr>
        <w:t>comprising</w:t>
      </w:r>
      <w:r>
        <w:rPr>
          <w:rFonts w:ascii="Arial" w:hAnsi="Arial" w:cs="Arial"/>
          <w:lang w:val="en-GB"/>
        </w:rPr>
        <w:t xml:space="preserve"> 106 children reported no association between weight </w:t>
      </w:r>
      <w:proofErr w:type="gramStart"/>
      <w:r>
        <w:rPr>
          <w:rFonts w:ascii="Arial" w:hAnsi="Arial" w:cs="Arial"/>
          <w:lang w:val="en-GB"/>
        </w:rPr>
        <w:t>gain</w:t>
      </w:r>
      <w:proofErr w:type="gramEnd"/>
      <w:r>
        <w:rPr>
          <w:rFonts w:ascii="Arial" w:hAnsi="Arial" w:cs="Arial"/>
          <w:lang w:val="en-GB"/>
        </w:rPr>
        <w:t xml:space="preserve"> </w:t>
      </w:r>
      <w:r w:rsidR="00D42659">
        <w:rPr>
          <w:rFonts w:ascii="Arial" w:hAnsi="Arial" w:cs="Arial"/>
          <w:lang w:val="en-GB"/>
        </w:rPr>
        <w:t xml:space="preserve">at birth to </w:t>
      </w:r>
      <w:r>
        <w:rPr>
          <w:rFonts w:ascii="Arial" w:hAnsi="Arial" w:cs="Arial"/>
          <w:lang w:val="en-GB"/>
        </w:rPr>
        <w:t xml:space="preserve">21 years with BP at </w:t>
      </w:r>
      <w:r w:rsidR="00F135FC">
        <w:rPr>
          <w:rFonts w:ascii="Arial" w:hAnsi="Arial" w:cs="Arial"/>
          <w:lang w:val="en-GB"/>
        </w:rPr>
        <w:t xml:space="preserve">the </w:t>
      </w:r>
      <w:r>
        <w:rPr>
          <w:rFonts w:ascii="Arial" w:hAnsi="Arial" w:cs="Arial"/>
          <w:lang w:val="en-GB"/>
        </w:rPr>
        <w:t xml:space="preserve">age </w:t>
      </w:r>
      <w:r w:rsidR="00F135FC">
        <w:rPr>
          <w:rFonts w:ascii="Arial" w:hAnsi="Arial" w:cs="Arial"/>
          <w:lang w:val="en-GB"/>
        </w:rPr>
        <w:t xml:space="preserve">of </w:t>
      </w:r>
      <w:r>
        <w:rPr>
          <w:rFonts w:ascii="Arial" w:hAnsi="Arial" w:cs="Arial"/>
          <w:lang w:val="en-GB"/>
        </w:rPr>
        <w:t>21 years</w:t>
      </w:r>
      <w:r w:rsidR="004B5F59">
        <w:rPr>
          <w:rFonts w:ascii="Arial" w:hAnsi="Arial" w:cs="Arial"/>
          <w:lang w:val="en-GB"/>
        </w:rPr>
        <w:t>. I</w:t>
      </w:r>
      <w:r w:rsidR="00D42659">
        <w:rPr>
          <w:rFonts w:ascii="Arial" w:hAnsi="Arial" w:cs="Arial"/>
          <w:lang w:val="en-GB"/>
        </w:rPr>
        <w:t>nstead</w:t>
      </w:r>
      <w:r w:rsidR="00F135FC">
        <w:rPr>
          <w:rFonts w:ascii="Arial" w:hAnsi="Arial" w:cs="Arial"/>
          <w:lang w:val="en-GB"/>
        </w:rPr>
        <w:t>,</w:t>
      </w:r>
      <w:r>
        <w:rPr>
          <w:rFonts w:ascii="Arial" w:hAnsi="Arial" w:cs="Arial"/>
          <w:lang w:val="en-GB"/>
        </w:rPr>
        <w:t xml:space="preserve"> </w:t>
      </w:r>
      <w:r w:rsidR="00640B12">
        <w:rPr>
          <w:rFonts w:ascii="Arial" w:hAnsi="Arial" w:cs="Arial"/>
          <w:lang w:val="en-GB"/>
        </w:rPr>
        <w:t xml:space="preserve">that study reported </w:t>
      </w:r>
      <w:r>
        <w:rPr>
          <w:rFonts w:ascii="Arial" w:hAnsi="Arial" w:cs="Arial"/>
          <w:lang w:val="en-GB"/>
        </w:rPr>
        <w:t>a positive association between weight gain and carotid intima media thickness at 21 years</w:t>
      </w:r>
      <w:r w:rsidR="001E68C1">
        <w:rPr>
          <w:rFonts w:ascii="Arial" w:hAnsi="Arial" w:cs="Arial"/>
          <w:lang w:val="en-GB"/>
        </w:rPr>
        <w:t xml:space="preserve"> of age</w:t>
      </w:r>
      <w:r>
        <w:rPr>
          <w:rFonts w:ascii="Arial" w:hAnsi="Arial" w:cs="Arial"/>
          <w:lang w:val="en-GB"/>
        </w:rPr>
        <w:t xml:space="preserve"> </w:t>
      </w:r>
      <w:r>
        <w:rPr>
          <w:rFonts w:ascii="Arial" w:hAnsi="Arial" w:cs="Arial"/>
          <w:noProof/>
          <w:lang w:val="en-GB"/>
        </w:rPr>
        <w:t>(42)</w:t>
      </w:r>
      <w:r>
        <w:rPr>
          <w:rFonts w:ascii="Arial" w:hAnsi="Arial" w:cs="Arial"/>
          <w:lang w:val="en-GB"/>
        </w:rPr>
        <w:t xml:space="preserve">. None of the four studies that included AGA controls reported that the SGA group had significantly higher BP </w:t>
      </w:r>
      <w:r w:rsidR="001E68C1">
        <w:rPr>
          <w:rFonts w:ascii="Arial" w:hAnsi="Arial" w:cs="Arial"/>
          <w:lang w:val="en-GB"/>
        </w:rPr>
        <w:t>than the</w:t>
      </w:r>
      <w:r>
        <w:rPr>
          <w:rFonts w:ascii="Arial" w:hAnsi="Arial" w:cs="Arial"/>
          <w:lang w:val="en-GB"/>
        </w:rPr>
        <w:t xml:space="preserve"> AGA </w:t>
      </w:r>
      <w:r w:rsidR="001E68C1">
        <w:rPr>
          <w:rFonts w:ascii="Arial" w:hAnsi="Arial" w:cs="Arial"/>
          <w:lang w:val="en-GB"/>
        </w:rPr>
        <w:t xml:space="preserve">group </w:t>
      </w:r>
      <w:r>
        <w:rPr>
          <w:rFonts w:ascii="Arial" w:hAnsi="Arial" w:cs="Arial"/>
          <w:lang w:val="en-GB"/>
        </w:rPr>
        <w:t xml:space="preserve">at </w:t>
      </w:r>
      <w:r w:rsidR="001E68C1">
        <w:rPr>
          <w:rFonts w:ascii="Arial" w:hAnsi="Arial" w:cs="Arial"/>
          <w:lang w:val="en-GB"/>
        </w:rPr>
        <w:t xml:space="preserve">the </w:t>
      </w:r>
      <w:r>
        <w:rPr>
          <w:rFonts w:ascii="Arial" w:hAnsi="Arial" w:cs="Arial"/>
          <w:lang w:val="en-GB"/>
        </w:rPr>
        <w:t xml:space="preserve">ages </w:t>
      </w:r>
      <w:r w:rsidR="001E68C1">
        <w:rPr>
          <w:rFonts w:ascii="Arial" w:hAnsi="Arial" w:cs="Arial"/>
          <w:lang w:val="en-GB"/>
        </w:rPr>
        <w:t xml:space="preserve">of </w:t>
      </w:r>
      <w:r w:rsidR="00D42659">
        <w:rPr>
          <w:rFonts w:ascii="Arial" w:hAnsi="Arial" w:cs="Arial"/>
          <w:lang w:val="en-GB"/>
        </w:rPr>
        <w:t xml:space="preserve">seven to </w:t>
      </w:r>
      <w:r>
        <w:rPr>
          <w:rFonts w:ascii="Arial" w:hAnsi="Arial" w:cs="Arial"/>
          <w:lang w:val="en-GB"/>
        </w:rPr>
        <w:t xml:space="preserve">21 years </w:t>
      </w:r>
      <w:r>
        <w:rPr>
          <w:rFonts w:ascii="Arial" w:hAnsi="Arial" w:cs="Arial"/>
          <w:noProof/>
          <w:lang w:val="en-GB"/>
        </w:rPr>
        <w:t>(42,44,48,49)</w:t>
      </w:r>
      <w:r>
        <w:rPr>
          <w:rFonts w:ascii="Arial" w:hAnsi="Arial" w:cs="Arial"/>
          <w:lang w:val="en-GB"/>
        </w:rPr>
        <w:t>.</w:t>
      </w:r>
    </w:p>
    <w:p w14:paraId="49EA5637" w14:textId="77777777" w:rsidR="00617FE8" w:rsidRDefault="00617FE8">
      <w:pPr>
        <w:spacing w:after="0" w:line="480" w:lineRule="auto"/>
        <w:jc w:val="both"/>
        <w:rPr>
          <w:rFonts w:ascii="Arial" w:hAnsi="Arial" w:cs="Arial"/>
          <w:b/>
          <w:lang w:val="en-GB"/>
        </w:rPr>
      </w:pPr>
    </w:p>
    <w:p w14:paraId="3DFA48DB" w14:textId="77777777" w:rsidR="00617FE8" w:rsidRDefault="008C06CC">
      <w:pPr>
        <w:spacing w:after="0" w:line="480" w:lineRule="auto"/>
        <w:jc w:val="both"/>
        <w:rPr>
          <w:rFonts w:ascii="Arial" w:hAnsi="Arial" w:cs="Arial"/>
          <w:lang w:val="en-GB"/>
        </w:rPr>
      </w:pPr>
      <w:r>
        <w:rPr>
          <w:rFonts w:ascii="Arial" w:hAnsi="Arial" w:cs="Arial"/>
          <w:b/>
          <w:lang w:val="en-GB"/>
        </w:rPr>
        <w:t>Serum lipid concentrations</w:t>
      </w:r>
    </w:p>
    <w:p w14:paraId="45C9E156" w14:textId="5CA400A6" w:rsidR="00617FE8" w:rsidRDefault="008C06CC">
      <w:pPr>
        <w:spacing w:after="0" w:line="480" w:lineRule="auto"/>
        <w:jc w:val="both"/>
        <w:rPr>
          <w:rFonts w:ascii="Arial" w:hAnsi="Arial" w:cs="Arial"/>
          <w:lang w:val="en-GB"/>
        </w:rPr>
      </w:pPr>
      <w:r>
        <w:rPr>
          <w:rFonts w:ascii="Arial" w:hAnsi="Arial" w:cs="Arial"/>
          <w:lang w:val="en-GB"/>
        </w:rPr>
        <w:t>No RCTs were reported with blood lipid levels as the outcome</w:t>
      </w:r>
      <w:r w:rsidR="00741A98">
        <w:rPr>
          <w:rFonts w:ascii="Arial" w:hAnsi="Arial" w:cs="Arial"/>
          <w:lang w:val="en-GB"/>
        </w:rPr>
        <w:t>,</w:t>
      </w:r>
      <w:r w:rsidR="00D42659">
        <w:rPr>
          <w:rFonts w:ascii="Arial" w:hAnsi="Arial" w:cs="Arial"/>
          <w:lang w:val="en-GB"/>
        </w:rPr>
        <w:t xml:space="preserve"> </w:t>
      </w:r>
      <w:r w:rsidR="001E68C1">
        <w:rPr>
          <w:rFonts w:ascii="Arial" w:hAnsi="Arial" w:cs="Arial"/>
          <w:lang w:val="en-GB"/>
        </w:rPr>
        <w:t>but</w:t>
      </w:r>
      <w:r w:rsidR="00D42659">
        <w:rPr>
          <w:rFonts w:ascii="Arial" w:hAnsi="Arial" w:cs="Arial"/>
          <w:lang w:val="en-GB"/>
        </w:rPr>
        <w:t xml:space="preserve"> s</w:t>
      </w:r>
      <w:r>
        <w:rPr>
          <w:rFonts w:ascii="Arial" w:hAnsi="Arial" w:cs="Arial"/>
          <w:lang w:val="en-GB"/>
        </w:rPr>
        <w:t xml:space="preserve">even observational studies reported on the association between postnatal weight gain or growth and blood lipid levels (Table </w:t>
      </w:r>
      <w:r w:rsidR="001E68C1">
        <w:rPr>
          <w:rFonts w:ascii="Arial" w:hAnsi="Arial" w:cs="Arial"/>
          <w:lang w:val="en-GB"/>
        </w:rPr>
        <w:t>S</w:t>
      </w:r>
      <w:r w:rsidR="00602D2A">
        <w:rPr>
          <w:rFonts w:ascii="Arial" w:hAnsi="Arial" w:cs="Arial"/>
          <w:lang w:val="en-GB"/>
        </w:rPr>
        <w:t>1</w:t>
      </w:r>
      <w:r>
        <w:rPr>
          <w:rFonts w:ascii="Arial" w:hAnsi="Arial" w:cs="Arial"/>
          <w:lang w:val="en-GB"/>
        </w:rPr>
        <w:t>c</w:t>
      </w:r>
      <w:r w:rsidR="001E68C1">
        <w:rPr>
          <w:rFonts w:ascii="Arial" w:hAnsi="Arial" w:cs="Arial"/>
          <w:lang w:val="en-GB"/>
        </w:rPr>
        <w:t xml:space="preserve">) and </w:t>
      </w:r>
      <w:r w:rsidR="00D42659">
        <w:rPr>
          <w:rFonts w:ascii="Arial" w:hAnsi="Arial" w:cs="Arial"/>
          <w:lang w:val="en-GB"/>
        </w:rPr>
        <w:t xml:space="preserve">these </w:t>
      </w:r>
      <w:r>
        <w:rPr>
          <w:rFonts w:ascii="Arial" w:hAnsi="Arial" w:cs="Arial"/>
          <w:lang w:val="en-GB"/>
        </w:rPr>
        <w:t xml:space="preserve">studies varied </w:t>
      </w:r>
      <w:r w:rsidR="00741A98">
        <w:rPr>
          <w:rFonts w:ascii="Arial" w:hAnsi="Arial" w:cs="Arial"/>
          <w:lang w:val="en-GB"/>
        </w:rPr>
        <w:t xml:space="preserve">widely </w:t>
      </w:r>
      <w:r>
        <w:rPr>
          <w:rFonts w:ascii="Arial" w:hAnsi="Arial" w:cs="Arial"/>
          <w:lang w:val="en-GB"/>
        </w:rPr>
        <w:t xml:space="preserve">in measures of early growth and lipid parameters. Only one study </w:t>
      </w:r>
      <w:r w:rsidR="00741A98">
        <w:rPr>
          <w:rFonts w:ascii="Arial" w:hAnsi="Arial" w:cs="Arial"/>
          <w:lang w:val="en-GB"/>
        </w:rPr>
        <w:t>comprising</w:t>
      </w:r>
      <w:r>
        <w:rPr>
          <w:rFonts w:ascii="Arial" w:hAnsi="Arial" w:cs="Arial"/>
          <w:lang w:val="en-GB"/>
        </w:rPr>
        <w:t xml:space="preserve"> 165 children reported that faster weight gain between </w:t>
      </w:r>
      <w:proofErr w:type="gramStart"/>
      <w:r w:rsidR="00D42659">
        <w:rPr>
          <w:rFonts w:ascii="Arial" w:hAnsi="Arial" w:cs="Arial"/>
          <w:lang w:val="en-GB"/>
        </w:rPr>
        <w:t>birth</w:t>
      </w:r>
      <w:proofErr w:type="gramEnd"/>
      <w:r w:rsidR="00D42659">
        <w:rPr>
          <w:rFonts w:ascii="Arial" w:hAnsi="Arial" w:cs="Arial"/>
          <w:lang w:val="en-GB"/>
        </w:rPr>
        <w:t xml:space="preserve"> to eight</w:t>
      </w:r>
      <w:r>
        <w:rPr>
          <w:rFonts w:ascii="Arial" w:hAnsi="Arial" w:cs="Arial"/>
          <w:lang w:val="en-GB"/>
        </w:rPr>
        <w:t xml:space="preserve"> years was positively associated with higher </w:t>
      </w:r>
      <w:r w:rsidR="00D42659">
        <w:rPr>
          <w:rFonts w:ascii="Arial" w:hAnsi="Arial" w:cs="Arial"/>
          <w:lang w:val="en-GB"/>
        </w:rPr>
        <w:t xml:space="preserve">total cholesterol and triglycerides </w:t>
      </w:r>
      <w:r>
        <w:rPr>
          <w:rFonts w:ascii="Arial" w:hAnsi="Arial" w:cs="Arial"/>
          <w:lang w:val="en-GB"/>
        </w:rPr>
        <w:t xml:space="preserve">at </w:t>
      </w:r>
      <w:r w:rsidR="001E68C1">
        <w:rPr>
          <w:rFonts w:ascii="Arial" w:hAnsi="Arial" w:cs="Arial"/>
          <w:lang w:val="en-GB"/>
        </w:rPr>
        <w:t xml:space="preserve">the </w:t>
      </w:r>
      <w:r>
        <w:rPr>
          <w:rFonts w:ascii="Arial" w:hAnsi="Arial" w:cs="Arial"/>
          <w:lang w:val="en-GB"/>
        </w:rPr>
        <w:t xml:space="preserve">age </w:t>
      </w:r>
      <w:r w:rsidR="001E68C1">
        <w:rPr>
          <w:rFonts w:ascii="Arial" w:hAnsi="Arial" w:cs="Arial"/>
          <w:lang w:val="en-GB"/>
        </w:rPr>
        <w:t xml:space="preserve">of </w:t>
      </w:r>
      <w:r w:rsidR="00D42659">
        <w:rPr>
          <w:rFonts w:ascii="Arial" w:hAnsi="Arial" w:cs="Arial"/>
          <w:lang w:val="en-GB"/>
        </w:rPr>
        <w:t xml:space="preserve">eight </w:t>
      </w:r>
      <w:r>
        <w:rPr>
          <w:rFonts w:ascii="Arial" w:hAnsi="Arial" w:cs="Arial"/>
          <w:lang w:val="en-GB"/>
        </w:rPr>
        <w:t xml:space="preserve">years </w:t>
      </w:r>
      <w:r>
        <w:rPr>
          <w:rFonts w:ascii="Arial" w:hAnsi="Arial" w:cs="Arial"/>
          <w:noProof/>
          <w:lang w:val="en-GB"/>
        </w:rPr>
        <w:t>(44</w:t>
      </w:r>
      <w:r w:rsidR="00D42659">
        <w:rPr>
          <w:rFonts w:ascii="Arial" w:hAnsi="Arial" w:cs="Arial"/>
          <w:noProof/>
          <w:lang w:val="en-GB"/>
        </w:rPr>
        <w:t>)</w:t>
      </w:r>
      <w:r w:rsidR="001E68C1">
        <w:rPr>
          <w:rFonts w:ascii="Arial" w:hAnsi="Arial" w:cs="Arial"/>
          <w:noProof/>
          <w:lang w:val="en-GB"/>
        </w:rPr>
        <w:t xml:space="preserve">. </w:t>
      </w:r>
      <w:r w:rsidR="001E68C1">
        <w:rPr>
          <w:rFonts w:ascii="Arial" w:hAnsi="Arial" w:cs="Arial"/>
          <w:lang w:val="en-GB"/>
        </w:rPr>
        <w:t>In contrast,</w:t>
      </w:r>
      <w:r>
        <w:rPr>
          <w:rFonts w:ascii="Arial" w:hAnsi="Arial" w:cs="Arial"/>
          <w:lang w:val="en-GB"/>
        </w:rPr>
        <w:t xml:space="preserve"> </w:t>
      </w:r>
      <w:r w:rsidR="001E68C1">
        <w:rPr>
          <w:rFonts w:ascii="Arial" w:hAnsi="Arial" w:cs="Arial"/>
          <w:lang w:val="en-GB"/>
        </w:rPr>
        <w:t xml:space="preserve">a </w:t>
      </w:r>
      <w:r>
        <w:rPr>
          <w:rFonts w:ascii="Arial" w:hAnsi="Arial" w:cs="Arial"/>
          <w:lang w:val="en-GB"/>
        </w:rPr>
        <w:t xml:space="preserve">further five studies </w:t>
      </w:r>
      <w:r w:rsidR="00741A98">
        <w:rPr>
          <w:rFonts w:ascii="Arial" w:hAnsi="Arial" w:cs="Arial"/>
          <w:lang w:val="en-GB"/>
        </w:rPr>
        <w:t>comprising</w:t>
      </w:r>
      <w:r w:rsidR="00D42659">
        <w:rPr>
          <w:rFonts w:ascii="Arial" w:hAnsi="Arial" w:cs="Arial"/>
          <w:lang w:val="en-GB"/>
        </w:rPr>
        <w:t xml:space="preserve"> </w:t>
      </w:r>
      <w:r>
        <w:rPr>
          <w:rFonts w:ascii="Arial" w:hAnsi="Arial" w:cs="Arial"/>
          <w:lang w:val="en-GB"/>
        </w:rPr>
        <w:t>364</w:t>
      </w:r>
      <w:r w:rsidR="00D42659">
        <w:rPr>
          <w:rFonts w:ascii="Arial" w:hAnsi="Arial" w:cs="Arial"/>
          <w:lang w:val="en-GB"/>
        </w:rPr>
        <w:t xml:space="preserve"> </w:t>
      </w:r>
      <w:r>
        <w:rPr>
          <w:rFonts w:ascii="Arial" w:hAnsi="Arial" w:cs="Arial"/>
          <w:lang w:val="en-GB"/>
        </w:rPr>
        <w:t>children</w:t>
      </w:r>
      <w:r w:rsidR="00741A98">
        <w:rPr>
          <w:rFonts w:ascii="Arial" w:hAnsi="Arial" w:cs="Arial"/>
          <w:lang w:val="en-GB"/>
        </w:rPr>
        <w:t xml:space="preserve"> </w:t>
      </w:r>
      <w:r>
        <w:rPr>
          <w:rFonts w:ascii="Arial" w:hAnsi="Arial" w:cs="Arial"/>
          <w:lang w:val="en-GB"/>
        </w:rPr>
        <w:t xml:space="preserve">reported no association between postnatal growth between </w:t>
      </w:r>
      <w:r w:rsidR="001E68C1">
        <w:rPr>
          <w:rFonts w:ascii="Arial" w:hAnsi="Arial" w:cs="Arial"/>
          <w:lang w:val="en-GB"/>
        </w:rPr>
        <w:t xml:space="preserve">the </w:t>
      </w:r>
      <w:r>
        <w:rPr>
          <w:rFonts w:ascii="Arial" w:hAnsi="Arial" w:cs="Arial"/>
          <w:lang w:val="en-GB"/>
        </w:rPr>
        <w:t xml:space="preserve">ages </w:t>
      </w:r>
      <w:r w:rsidR="001E68C1">
        <w:rPr>
          <w:rFonts w:ascii="Arial" w:hAnsi="Arial" w:cs="Arial"/>
          <w:lang w:val="en-GB"/>
        </w:rPr>
        <w:t xml:space="preserve">of </w:t>
      </w:r>
      <w:r w:rsidR="00D42659">
        <w:rPr>
          <w:rFonts w:ascii="Arial" w:hAnsi="Arial" w:cs="Arial"/>
          <w:lang w:val="en-GB"/>
        </w:rPr>
        <w:t xml:space="preserve">zero </w:t>
      </w:r>
      <w:r w:rsidR="004B5F59">
        <w:rPr>
          <w:rFonts w:ascii="Arial" w:hAnsi="Arial" w:cs="Arial"/>
          <w:lang w:val="en-GB"/>
        </w:rPr>
        <w:t xml:space="preserve">and </w:t>
      </w:r>
      <w:r w:rsidR="00D42659">
        <w:rPr>
          <w:rFonts w:ascii="Arial" w:hAnsi="Arial" w:cs="Arial"/>
          <w:lang w:val="en-GB"/>
        </w:rPr>
        <w:t xml:space="preserve">one to eight </w:t>
      </w:r>
      <w:r>
        <w:rPr>
          <w:rFonts w:ascii="Arial" w:hAnsi="Arial" w:cs="Arial"/>
          <w:lang w:val="en-GB"/>
        </w:rPr>
        <w:t>y</w:t>
      </w:r>
      <w:r w:rsidR="00D42659">
        <w:rPr>
          <w:rFonts w:ascii="Arial" w:hAnsi="Arial" w:cs="Arial"/>
          <w:lang w:val="en-GB"/>
        </w:rPr>
        <w:t>ears</w:t>
      </w:r>
      <w:r>
        <w:rPr>
          <w:rFonts w:ascii="Arial" w:hAnsi="Arial" w:cs="Arial"/>
          <w:lang w:val="en-GB"/>
        </w:rPr>
        <w:t xml:space="preserve"> and lipid levels </w:t>
      </w:r>
      <w:r w:rsidR="00D42659">
        <w:rPr>
          <w:rFonts w:ascii="Arial" w:hAnsi="Arial" w:cs="Arial"/>
          <w:lang w:val="en-GB"/>
        </w:rPr>
        <w:t xml:space="preserve">in terms of </w:t>
      </w:r>
      <w:r>
        <w:rPr>
          <w:rFonts w:ascii="Arial" w:hAnsi="Arial" w:cs="Arial"/>
          <w:lang w:val="en-GB"/>
        </w:rPr>
        <w:t xml:space="preserve">total cholesterol, </w:t>
      </w:r>
      <w:r w:rsidR="00D42659">
        <w:rPr>
          <w:rFonts w:ascii="Arial" w:hAnsi="Arial" w:cs="Arial"/>
          <w:lang w:val="en-GB"/>
        </w:rPr>
        <w:t>low density lipoprotein, high density lipoprotein or t</w:t>
      </w:r>
      <w:r>
        <w:rPr>
          <w:rFonts w:ascii="Arial" w:hAnsi="Arial" w:cs="Arial"/>
          <w:lang w:val="en-GB"/>
        </w:rPr>
        <w:t xml:space="preserve">riglycerides at </w:t>
      </w:r>
      <w:r w:rsidR="001E68C1">
        <w:rPr>
          <w:rFonts w:ascii="Arial" w:hAnsi="Arial" w:cs="Arial"/>
          <w:lang w:val="en-GB"/>
        </w:rPr>
        <w:t xml:space="preserve">the </w:t>
      </w:r>
      <w:r>
        <w:rPr>
          <w:rFonts w:ascii="Arial" w:hAnsi="Arial" w:cs="Arial"/>
          <w:lang w:val="en-GB"/>
        </w:rPr>
        <w:t xml:space="preserve">ages </w:t>
      </w:r>
      <w:r w:rsidR="001E68C1">
        <w:rPr>
          <w:rFonts w:ascii="Arial" w:hAnsi="Arial" w:cs="Arial"/>
          <w:lang w:val="en-GB"/>
        </w:rPr>
        <w:t xml:space="preserve">of </w:t>
      </w:r>
      <w:r w:rsidR="00D42659">
        <w:rPr>
          <w:rFonts w:ascii="Arial" w:hAnsi="Arial" w:cs="Arial"/>
          <w:lang w:val="en-GB"/>
        </w:rPr>
        <w:t>one to eight</w:t>
      </w:r>
      <w:r>
        <w:rPr>
          <w:rFonts w:ascii="Arial" w:hAnsi="Arial" w:cs="Arial"/>
          <w:lang w:val="en-GB"/>
        </w:rPr>
        <w:t xml:space="preserve"> years</w:t>
      </w:r>
      <w:r w:rsidR="00D42659">
        <w:rPr>
          <w:rFonts w:ascii="Arial" w:hAnsi="Arial" w:cs="Arial"/>
          <w:lang w:val="en-GB"/>
        </w:rPr>
        <w:t xml:space="preserve"> </w:t>
      </w:r>
      <w:r>
        <w:rPr>
          <w:rFonts w:ascii="Arial" w:hAnsi="Arial" w:cs="Arial"/>
          <w:noProof/>
          <w:lang w:val="en-GB"/>
        </w:rPr>
        <w:t>(1</w:t>
      </w:r>
      <w:r w:rsidR="00446481">
        <w:rPr>
          <w:rFonts w:ascii="Arial" w:hAnsi="Arial" w:cs="Arial"/>
          <w:noProof/>
          <w:lang w:val="en-GB"/>
        </w:rPr>
        <w:t>5</w:t>
      </w:r>
      <w:r>
        <w:rPr>
          <w:rFonts w:ascii="Arial" w:hAnsi="Arial" w:cs="Arial"/>
          <w:noProof/>
          <w:lang w:val="en-GB"/>
        </w:rPr>
        <w:t>,1</w:t>
      </w:r>
      <w:r w:rsidR="00446481">
        <w:rPr>
          <w:rFonts w:ascii="Arial" w:hAnsi="Arial" w:cs="Arial"/>
          <w:noProof/>
          <w:lang w:val="en-GB"/>
        </w:rPr>
        <w:t>7</w:t>
      </w:r>
      <w:r>
        <w:rPr>
          <w:rFonts w:ascii="Arial" w:hAnsi="Arial" w:cs="Arial"/>
          <w:noProof/>
          <w:lang w:val="en-GB"/>
        </w:rPr>
        <w:t>,31,37,45)</w:t>
      </w:r>
      <w:r>
        <w:rPr>
          <w:rFonts w:ascii="Arial" w:hAnsi="Arial" w:cs="Arial"/>
          <w:lang w:val="en-GB"/>
        </w:rPr>
        <w:t xml:space="preserve">. </w:t>
      </w:r>
      <w:r w:rsidR="00D42659">
        <w:rPr>
          <w:rFonts w:ascii="Arial" w:hAnsi="Arial" w:cs="Arial"/>
          <w:lang w:val="en-GB"/>
        </w:rPr>
        <w:t>Further</w:t>
      </w:r>
      <w:r w:rsidR="001E68C1">
        <w:rPr>
          <w:rFonts w:ascii="Arial" w:hAnsi="Arial" w:cs="Arial"/>
          <w:lang w:val="en-GB"/>
        </w:rPr>
        <w:t>more</w:t>
      </w:r>
      <w:r w:rsidR="00D42659">
        <w:rPr>
          <w:rFonts w:ascii="Arial" w:hAnsi="Arial" w:cs="Arial"/>
          <w:lang w:val="en-GB"/>
        </w:rPr>
        <w:t>, t</w:t>
      </w:r>
      <w:r>
        <w:rPr>
          <w:rFonts w:ascii="Arial" w:hAnsi="Arial" w:cs="Arial"/>
          <w:lang w:val="en-GB"/>
        </w:rPr>
        <w:t xml:space="preserve">hree studies </w:t>
      </w:r>
      <w:r w:rsidR="00741A98">
        <w:rPr>
          <w:rFonts w:ascii="Arial" w:hAnsi="Arial" w:cs="Arial"/>
          <w:lang w:val="en-GB"/>
        </w:rPr>
        <w:t>comprising</w:t>
      </w:r>
      <w:r>
        <w:rPr>
          <w:rFonts w:ascii="Arial" w:hAnsi="Arial" w:cs="Arial"/>
          <w:lang w:val="en-GB"/>
        </w:rPr>
        <w:t xml:space="preserve"> 189 children reported that faster height</w:t>
      </w:r>
      <w:r w:rsidR="00D42659">
        <w:rPr>
          <w:rFonts w:ascii="Arial" w:hAnsi="Arial" w:cs="Arial"/>
          <w:lang w:val="en-GB"/>
        </w:rPr>
        <w:t xml:space="preserve"> or </w:t>
      </w:r>
      <w:r>
        <w:rPr>
          <w:rFonts w:ascii="Arial" w:hAnsi="Arial" w:cs="Arial"/>
          <w:lang w:val="en-GB"/>
        </w:rPr>
        <w:t xml:space="preserve">length gain between </w:t>
      </w:r>
      <w:proofErr w:type="gramStart"/>
      <w:r w:rsidR="001E68C1">
        <w:rPr>
          <w:rFonts w:ascii="Arial" w:hAnsi="Arial" w:cs="Arial"/>
          <w:lang w:val="en-GB"/>
        </w:rPr>
        <w:t>birth</w:t>
      </w:r>
      <w:proofErr w:type="gramEnd"/>
      <w:r w:rsidR="00D42659">
        <w:rPr>
          <w:rFonts w:ascii="Arial" w:hAnsi="Arial" w:cs="Arial"/>
          <w:lang w:val="en-GB"/>
        </w:rPr>
        <w:t xml:space="preserve"> </w:t>
      </w:r>
      <w:r w:rsidR="004B5F59">
        <w:rPr>
          <w:rFonts w:ascii="Arial" w:hAnsi="Arial" w:cs="Arial"/>
          <w:lang w:val="en-GB"/>
        </w:rPr>
        <w:t xml:space="preserve">and </w:t>
      </w:r>
      <w:r w:rsidR="00D42659">
        <w:rPr>
          <w:rFonts w:ascii="Arial" w:hAnsi="Arial" w:cs="Arial"/>
          <w:lang w:val="en-GB"/>
        </w:rPr>
        <w:t>five</w:t>
      </w:r>
      <w:r w:rsidR="004B5F59">
        <w:rPr>
          <w:rFonts w:ascii="Arial" w:hAnsi="Arial" w:cs="Arial"/>
          <w:lang w:val="en-GB"/>
        </w:rPr>
        <w:t xml:space="preserve"> </w:t>
      </w:r>
      <w:r w:rsidR="00D42659">
        <w:rPr>
          <w:rFonts w:ascii="Arial" w:hAnsi="Arial" w:cs="Arial"/>
          <w:lang w:val="en-GB"/>
        </w:rPr>
        <w:t>to</w:t>
      </w:r>
      <w:r w:rsidR="004B5F59">
        <w:rPr>
          <w:rFonts w:ascii="Arial" w:hAnsi="Arial" w:cs="Arial"/>
          <w:lang w:val="en-GB"/>
        </w:rPr>
        <w:t xml:space="preserve"> </w:t>
      </w:r>
      <w:r w:rsidR="00D42659">
        <w:rPr>
          <w:rFonts w:ascii="Arial" w:hAnsi="Arial" w:cs="Arial"/>
          <w:lang w:val="en-GB"/>
        </w:rPr>
        <w:t>eight yea</w:t>
      </w:r>
      <w:r>
        <w:rPr>
          <w:rFonts w:ascii="Arial" w:hAnsi="Arial" w:cs="Arial"/>
          <w:lang w:val="en-GB"/>
        </w:rPr>
        <w:t xml:space="preserve">rs was negatively associated with total cholesterol, </w:t>
      </w:r>
      <w:r w:rsidR="00D42659">
        <w:rPr>
          <w:rFonts w:ascii="Arial" w:hAnsi="Arial" w:cs="Arial"/>
          <w:lang w:val="en-GB"/>
        </w:rPr>
        <w:t>low density lipoprotein and high density lipoprotein</w:t>
      </w:r>
      <w:r>
        <w:rPr>
          <w:rFonts w:ascii="Arial" w:hAnsi="Arial" w:cs="Arial"/>
          <w:lang w:val="en-GB"/>
        </w:rPr>
        <w:t xml:space="preserve"> </w:t>
      </w:r>
      <w:r>
        <w:rPr>
          <w:rFonts w:ascii="Arial" w:hAnsi="Arial" w:cs="Arial"/>
          <w:noProof/>
          <w:lang w:val="en-GB"/>
        </w:rPr>
        <w:t>(1</w:t>
      </w:r>
      <w:r w:rsidR="00446481">
        <w:rPr>
          <w:rFonts w:ascii="Arial" w:hAnsi="Arial" w:cs="Arial"/>
          <w:noProof/>
          <w:lang w:val="en-GB"/>
        </w:rPr>
        <w:t>7</w:t>
      </w:r>
      <w:r>
        <w:rPr>
          <w:rFonts w:ascii="Arial" w:hAnsi="Arial" w:cs="Arial"/>
          <w:noProof/>
          <w:lang w:val="en-GB"/>
        </w:rPr>
        <w:t>,31,50)</w:t>
      </w:r>
      <w:r>
        <w:rPr>
          <w:rFonts w:ascii="Arial" w:hAnsi="Arial" w:cs="Arial"/>
          <w:lang w:val="en-GB"/>
        </w:rPr>
        <w:t xml:space="preserve">. </w:t>
      </w:r>
      <w:r>
        <w:rPr>
          <w:rFonts w:ascii="Arial" w:hAnsi="Arial" w:cs="Arial"/>
          <w:lang w:val="en-GB"/>
        </w:rPr>
        <w:lastRenderedPageBreak/>
        <w:t>Only one of the seven studies that included an AGA control group reported that the SGA group</w:t>
      </w:r>
      <w:r w:rsidR="00D42659">
        <w:rPr>
          <w:rFonts w:ascii="Arial" w:hAnsi="Arial" w:cs="Arial"/>
          <w:lang w:val="en-GB"/>
        </w:rPr>
        <w:t>,</w:t>
      </w:r>
      <w:r>
        <w:rPr>
          <w:rFonts w:ascii="Arial" w:hAnsi="Arial" w:cs="Arial"/>
          <w:lang w:val="en-GB"/>
        </w:rPr>
        <w:t xml:space="preserve"> particularly those with poor height growth</w:t>
      </w:r>
      <w:r w:rsidR="00D42659">
        <w:rPr>
          <w:rFonts w:ascii="Arial" w:hAnsi="Arial" w:cs="Arial"/>
          <w:lang w:val="en-GB"/>
        </w:rPr>
        <w:t xml:space="preserve">, </w:t>
      </w:r>
      <w:r>
        <w:rPr>
          <w:rFonts w:ascii="Arial" w:hAnsi="Arial" w:cs="Arial"/>
          <w:lang w:val="en-GB"/>
        </w:rPr>
        <w:t>had significantly higher total cholesterol</w:t>
      </w:r>
      <w:r w:rsidR="00D42659">
        <w:rPr>
          <w:rFonts w:ascii="Arial" w:hAnsi="Arial" w:cs="Arial"/>
          <w:lang w:val="en-GB"/>
        </w:rPr>
        <w:t xml:space="preserve"> compared to</w:t>
      </w:r>
      <w:r>
        <w:rPr>
          <w:rFonts w:ascii="Arial" w:hAnsi="Arial" w:cs="Arial"/>
          <w:lang w:val="en-GB"/>
        </w:rPr>
        <w:t xml:space="preserve"> </w:t>
      </w:r>
      <w:r w:rsidR="001E68C1">
        <w:rPr>
          <w:rFonts w:ascii="Arial" w:hAnsi="Arial" w:cs="Arial"/>
          <w:lang w:val="en-GB"/>
        </w:rPr>
        <w:t xml:space="preserve">the </w:t>
      </w:r>
      <w:r>
        <w:rPr>
          <w:rFonts w:ascii="Arial" w:hAnsi="Arial" w:cs="Arial"/>
          <w:lang w:val="en-GB"/>
        </w:rPr>
        <w:t>AGA</w:t>
      </w:r>
      <w:r w:rsidR="001E68C1">
        <w:rPr>
          <w:rFonts w:ascii="Arial" w:hAnsi="Arial" w:cs="Arial"/>
          <w:lang w:val="en-GB"/>
        </w:rPr>
        <w:t xml:space="preserve"> group</w:t>
      </w:r>
      <w:r>
        <w:rPr>
          <w:rFonts w:ascii="Arial" w:hAnsi="Arial" w:cs="Arial"/>
          <w:lang w:val="en-GB"/>
        </w:rPr>
        <w:t xml:space="preserve"> at </w:t>
      </w:r>
      <w:r w:rsidR="001E68C1">
        <w:rPr>
          <w:rFonts w:ascii="Arial" w:hAnsi="Arial" w:cs="Arial"/>
          <w:lang w:val="en-GB"/>
        </w:rPr>
        <w:t xml:space="preserve">the </w:t>
      </w:r>
      <w:r>
        <w:rPr>
          <w:rFonts w:ascii="Arial" w:hAnsi="Arial" w:cs="Arial"/>
          <w:lang w:val="en-GB"/>
        </w:rPr>
        <w:t>age</w:t>
      </w:r>
      <w:r w:rsidR="001E68C1">
        <w:rPr>
          <w:rFonts w:ascii="Arial" w:hAnsi="Arial" w:cs="Arial"/>
          <w:lang w:val="en-GB"/>
        </w:rPr>
        <w:t xml:space="preserve"> of</w:t>
      </w:r>
      <w:r>
        <w:rPr>
          <w:rFonts w:ascii="Arial" w:hAnsi="Arial" w:cs="Arial"/>
          <w:lang w:val="en-GB"/>
        </w:rPr>
        <w:t xml:space="preserve"> 12 years </w:t>
      </w:r>
      <w:r>
        <w:rPr>
          <w:rFonts w:ascii="Arial" w:hAnsi="Arial" w:cs="Arial"/>
          <w:noProof/>
          <w:lang w:val="en-GB"/>
        </w:rPr>
        <w:t>(50</w:t>
      </w:r>
      <w:r>
        <w:rPr>
          <w:rFonts w:ascii="Arial" w:hAnsi="Arial" w:cs="Arial"/>
          <w:lang w:val="en-GB"/>
        </w:rPr>
        <w:t xml:space="preserve">). </w:t>
      </w:r>
    </w:p>
    <w:p w14:paraId="6CD669AB" w14:textId="77777777" w:rsidR="00617FE8" w:rsidRDefault="00617FE8">
      <w:pPr>
        <w:spacing w:after="0" w:line="480" w:lineRule="auto"/>
        <w:jc w:val="both"/>
        <w:rPr>
          <w:rFonts w:ascii="Arial" w:hAnsi="Arial" w:cs="Arial"/>
          <w:b/>
          <w:lang w:val="en-GB"/>
        </w:rPr>
      </w:pPr>
    </w:p>
    <w:p w14:paraId="78A0C59F" w14:textId="77777777" w:rsidR="00617FE8" w:rsidRDefault="008C06CC">
      <w:pPr>
        <w:spacing w:after="0" w:line="480" w:lineRule="auto"/>
        <w:jc w:val="both"/>
        <w:rPr>
          <w:rFonts w:ascii="Arial" w:hAnsi="Arial" w:cs="Arial"/>
          <w:b/>
          <w:lang w:val="en-GB"/>
        </w:rPr>
      </w:pPr>
      <w:r>
        <w:rPr>
          <w:rFonts w:ascii="Arial" w:hAnsi="Arial" w:cs="Arial"/>
          <w:b/>
          <w:lang w:val="en-GB"/>
        </w:rPr>
        <w:t>DISCUSSION</w:t>
      </w:r>
    </w:p>
    <w:p w14:paraId="4ACA5262" w14:textId="56F080C3" w:rsidR="00617FE8" w:rsidRDefault="001E68C1">
      <w:pPr>
        <w:spacing w:after="0" w:line="480" w:lineRule="auto"/>
        <w:jc w:val="both"/>
        <w:rPr>
          <w:rFonts w:ascii="Arial" w:hAnsi="Arial" w:cs="Arial"/>
          <w:lang w:val="en-GB"/>
        </w:rPr>
      </w:pPr>
      <w:r>
        <w:rPr>
          <w:rFonts w:ascii="Arial" w:hAnsi="Arial" w:cs="Arial"/>
          <w:lang w:val="en-GB"/>
        </w:rPr>
        <w:t>This</w:t>
      </w:r>
      <w:r w:rsidR="008C06CC">
        <w:rPr>
          <w:rFonts w:ascii="Arial" w:hAnsi="Arial" w:cs="Arial"/>
          <w:lang w:val="en-GB"/>
        </w:rPr>
        <w:t xml:space="preserve"> review of postnatal weight gain and growth in relation to neurocognitive and metabolic outcomes in term</w:t>
      </w:r>
      <w:r>
        <w:rPr>
          <w:rFonts w:ascii="Arial" w:hAnsi="Arial" w:cs="Arial"/>
          <w:lang w:val="en-GB"/>
        </w:rPr>
        <w:t>-</w:t>
      </w:r>
      <w:r w:rsidR="008C06CC">
        <w:rPr>
          <w:rFonts w:ascii="Arial" w:hAnsi="Arial" w:cs="Arial"/>
          <w:lang w:val="en-GB"/>
        </w:rPr>
        <w:t xml:space="preserve">born </w:t>
      </w:r>
      <w:r w:rsidR="003115DA">
        <w:rPr>
          <w:rFonts w:ascii="Arial" w:hAnsi="Arial" w:cs="Arial"/>
          <w:lang w:val="en-GB"/>
        </w:rPr>
        <w:t>SGA</w:t>
      </w:r>
      <w:r>
        <w:rPr>
          <w:rFonts w:ascii="Arial" w:hAnsi="Arial" w:cs="Arial"/>
          <w:lang w:val="en-GB"/>
        </w:rPr>
        <w:t xml:space="preserve"> children</w:t>
      </w:r>
      <w:r w:rsidR="003115DA">
        <w:rPr>
          <w:rFonts w:ascii="Arial" w:hAnsi="Arial" w:cs="Arial"/>
          <w:lang w:val="en-GB"/>
        </w:rPr>
        <w:t xml:space="preserve"> </w:t>
      </w:r>
      <w:r w:rsidR="008C06CC">
        <w:rPr>
          <w:rFonts w:ascii="Arial" w:hAnsi="Arial" w:cs="Arial"/>
          <w:lang w:val="en-GB"/>
        </w:rPr>
        <w:t xml:space="preserve">only </w:t>
      </w:r>
      <w:r>
        <w:rPr>
          <w:rFonts w:ascii="Arial" w:hAnsi="Arial" w:cs="Arial"/>
          <w:lang w:val="en-GB"/>
        </w:rPr>
        <w:t xml:space="preserve">found </w:t>
      </w:r>
      <w:r w:rsidR="008C06CC">
        <w:rPr>
          <w:rFonts w:ascii="Arial" w:hAnsi="Arial" w:cs="Arial"/>
          <w:lang w:val="en-GB"/>
        </w:rPr>
        <w:t>two</w:t>
      </w:r>
      <w:r w:rsidR="003115DA">
        <w:rPr>
          <w:rFonts w:ascii="Arial" w:hAnsi="Arial" w:cs="Arial"/>
          <w:lang w:val="en-GB"/>
        </w:rPr>
        <w:t xml:space="preserve"> </w:t>
      </w:r>
      <w:r w:rsidR="008C06CC">
        <w:rPr>
          <w:rFonts w:ascii="Arial" w:hAnsi="Arial" w:cs="Arial"/>
          <w:lang w:val="en-GB"/>
        </w:rPr>
        <w:t>RCTs that met the eligibility criteria</w:t>
      </w:r>
      <w:r w:rsidR="00D449E6">
        <w:rPr>
          <w:rFonts w:ascii="Arial" w:hAnsi="Arial" w:cs="Arial"/>
          <w:lang w:val="en-GB"/>
        </w:rPr>
        <w:t>. The</w:t>
      </w:r>
      <w:r w:rsidR="008C06CC">
        <w:rPr>
          <w:rFonts w:ascii="Arial" w:hAnsi="Arial" w:cs="Arial"/>
          <w:lang w:val="en-GB"/>
        </w:rPr>
        <w:t xml:space="preserve"> same RCT was reported with differing outcomes in </w:t>
      </w:r>
      <w:r w:rsidR="00D449E6">
        <w:rPr>
          <w:rFonts w:ascii="Arial" w:hAnsi="Arial" w:cs="Arial"/>
          <w:lang w:val="en-GB"/>
        </w:rPr>
        <w:t>three</w:t>
      </w:r>
      <w:r w:rsidR="008C06CC">
        <w:rPr>
          <w:rFonts w:ascii="Arial" w:hAnsi="Arial" w:cs="Arial"/>
          <w:lang w:val="en-GB"/>
        </w:rPr>
        <w:t xml:space="preserve"> papers </w:t>
      </w:r>
      <w:r w:rsidR="008C06CC">
        <w:rPr>
          <w:rFonts w:ascii="Arial" w:hAnsi="Arial" w:cs="Arial"/>
          <w:noProof/>
          <w:lang w:val="en-GB"/>
        </w:rPr>
        <w:t>(20</w:t>
      </w:r>
      <w:r w:rsidR="00D42659">
        <w:rPr>
          <w:rFonts w:ascii="Arial" w:hAnsi="Arial" w:cs="Arial"/>
          <w:noProof/>
          <w:lang w:val="en-GB"/>
        </w:rPr>
        <w:t>-</w:t>
      </w:r>
      <w:r w:rsidR="008C06CC">
        <w:rPr>
          <w:rFonts w:ascii="Arial" w:hAnsi="Arial" w:cs="Arial"/>
          <w:noProof/>
          <w:lang w:val="en-GB"/>
        </w:rPr>
        <w:t>22)</w:t>
      </w:r>
      <w:r w:rsidR="008C06CC">
        <w:rPr>
          <w:rFonts w:ascii="Arial" w:hAnsi="Arial" w:cs="Arial"/>
          <w:lang w:val="en-GB"/>
        </w:rPr>
        <w:t xml:space="preserve"> and a second RCT was </w:t>
      </w:r>
      <w:r w:rsidR="00D449E6">
        <w:rPr>
          <w:rFonts w:ascii="Arial" w:hAnsi="Arial" w:cs="Arial"/>
          <w:lang w:val="en-GB"/>
        </w:rPr>
        <w:t xml:space="preserve">also </w:t>
      </w:r>
      <w:r w:rsidR="008C06CC">
        <w:rPr>
          <w:rFonts w:ascii="Arial" w:hAnsi="Arial" w:cs="Arial"/>
          <w:lang w:val="en-GB"/>
        </w:rPr>
        <w:t xml:space="preserve">described by </w:t>
      </w:r>
      <w:r w:rsidR="00D449E6">
        <w:rPr>
          <w:rFonts w:ascii="Arial" w:hAnsi="Arial" w:cs="Arial"/>
          <w:lang w:val="en-GB"/>
        </w:rPr>
        <w:t xml:space="preserve">the </w:t>
      </w:r>
      <w:proofErr w:type="spellStart"/>
      <w:r w:rsidR="008C06CC">
        <w:rPr>
          <w:rFonts w:ascii="Arial" w:hAnsi="Arial" w:cs="Arial"/>
          <w:lang w:val="en-GB"/>
        </w:rPr>
        <w:t>Singhal</w:t>
      </w:r>
      <w:proofErr w:type="spellEnd"/>
      <w:r w:rsidR="008C06CC">
        <w:rPr>
          <w:rFonts w:ascii="Arial" w:hAnsi="Arial" w:cs="Arial"/>
          <w:lang w:val="en-GB"/>
        </w:rPr>
        <w:t xml:space="preserve"> et al </w:t>
      </w:r>
      <w:r w:rsidR="00D449E6">
        <w:rPr>
          <w:rFonts w:ascii="Arial" w:hAnsi="Arial" w:cs="Arial"/>
          <w:lang w:val="en-GB"/>
        </w:rPr>
        <w:t xml:space="preserve">paper </w:t>
      </w:r>
      <w:r w:rsidR="008C06CC">
        <w:rPr>
          <w:rFonts w:ascii="Arial" w:hAnsi="Arial" w:cs="Arial"/>
          <w:noProof/>
          <w:lang w:val="en-GB"/>
        </w:rPr>
        <w:t>(22)</w:t>
      </w:r>
      <w:r w:rsidR="008C06CC">
        <w:rPr>
          <w:rFonts w:ascii="Arial" w:hAnsi="Arial" w:cs="Arial"/>
          <w:lang w:val="en-GB"/>
        </w:rPr>
        <w:t>. These trials showed that nutrient and energy enriched formula</w:t>
      </w:r>
      <w:r w:rsidR="00847FE5">
        <w:rPr>
          <w:rFonts w:ascii="Arial" w:hAnsi="Arial" w:cs="Arial"/>
          <w:lang w:val="en-GB"/>
        </w:rPr>
        <w:t>s</w:t>
      </w:r>
      <w:r w:rsidR="008C06CC">
        <w:rPr>
          <w:rFonts w:ascii="Arial" w:hAnsi="Arial" w:cs="Arial"/>
          <w:lang w:val="en-GB"/>
        </w:rPr>
        <w:t xml:space="preserve"> that promoted early growth increased fat mass</w:t>
      </w:r>
      <w:r w:rsidR="00D449E6">
        <w:rPr>
          <w:rFonts w:ascii="Arial" w:hAnsi="Arial" w:cs="Arial"/>
          <w:lang w:val="en-GB"/>
        </w:rPr>
        <w:t xml:space="preserve"> and also demonstrated</w:t>
      </w:r>
      <w:r w:rsidR="008C06CC">
        <w:rPr>
          <w:rFonts w:ascii="Arial" w:hAnsi="Arial" w:cs="Arial"/>
          <w:lang w:val="en-GB"/>
        </w:rPr>
        <w:t xml:space="preserve"> some increase</w:t>
      </w:r>
      <w:r w:rsidR="00D449E6">
        <w:rPr>
          <w:rFonts w:ascii="Arial" w:hAnsi="Arial" w:cs="Arial"/>
          <w:lang w:val="en-GB"/>
        </w:rPr>
        <w:t>s</w:t>
      </w:r>
      <w:r w:rsidR="008C06CC">
        <w:rPr>
          <w:rFonts w:ascii="Arial" w:hAnsi="Arial" w:cs="Arial"/>
          <w:lang w:val="en-GB"/>
        </w:rPr>
        <w:t xml:space="preserve"> in lean body mass and increased </w:t>
      </w:r>
      <w:r w:rsidR="003115DA">
        <w:rPr>
          <w:rFonts w:ascii="Arial" w:hAnsi="Arial" w:cs="Arial"/>
          <w:lang w:val="en-GB"/>
        </w:rPr>
        <w:t>blood pressure (BP)</w:t>
      </w:r>
      <w:r w:rsidR="008C06CC">
        <w:rPr>
          <w:rFonts w:ascii="Arial" w:hAnsi="Arial" w:cs="Arial"/>
          <w:lang w:val="en-GB"/>
        </w:rPr>
        <w:t xml:space="preserve">. There </w:t>
      </w:r>
      <w:r w:rsidR="00D449E6">
        <w:rPr>
          <w:rFonts w:ascii="Arial" w:hAnsi="Arial" w:cs="Arial"/>
          <w:lang w:val="en-GB"/>
        </w:rPr>
        <w:t xml:space="preserve">were </w:t>
      </w:r>
      <w:r w:rsidR="008C06CC">
        <w:rPr>
          <w:rFonts w:ascii="Arial" w:hAnsi="Arial" w:cs="Arial"/>
          <w:lang w:val="en-GB"/>
        </w:rPr>
        <w:t xml:space="preserve">no benefit on neurocognitive outcomes.  </w:t>
      </w:r>
    </w:p>
    <w:p w14:paraId="4EC7498D" w14:textId="3325A428" w:rsidR="00617FE8" w:rsidRDefault="00D449E6">
      <w:pPr>
        <w:spacing w:after="0" w:line="480" w:lineRule="auto"/>
        <w:jc w:val="both"/>
        <w:rPr>
          <w:rFonts w:ascii="Arial" w:hAnsi="Arial" w:cs="Arial"/>
          <w:b/>
          <w:lang w:val="en-GB"/>
        </w:rPr>
      </w:pPr>
      <w:r>
        <w:rPr>
          <w:rFonts w:ascii="Arial" w:hAnsi="Arial" w:cs="Arial"/>
          <w:lang w:val="en-GB"/>
        </w:rPr>
        <w:t>The o</w:t>
      </w:r>
      <w:r w:rsidR="008C06CC">
        <w:rPr>
          <w:rFonts w:ascii="Arial" w:hAnsi="Arial" w:cs="Arial"/>
          <w:lang w:val="en-GB"/>
        </w:rPr>
        <w:t xml:space="preserve">bservational studies </w:t>
      </w:r>
      <w:r>
        <w:rPr>
          <w:rFonts w:ascii="Arial" w:hAnsi="Arial" w:cs="Arial"/>
          <w:lang w:val="en-GB"/>
        </w:rPr>
        <w:t xml:space="preserve">generally </w:t>
      </w:r>
      <w:r w:rsidR="008C06CC">
        <w:rPr>
          <w:rFonts w:ascii="Arial" w:hAnsi="Arial" w:cs="Arial"/>
          <w:lang w:val="en-GB"/>
        </w:rPr>
        <w:t xml:space="preserve">reported consistent associations between postnatal weight gain </w:t>
      </w:r>
      <w:proofErr w:type="gramStart"/>
      <w:r w:rsidR="008C06CC">
        <w:rPr>
          <w:rFonts w:ascii="Arial" w:hAnsi="Arial" w:cs="Arial"/>
          <w:lang w:val="en-GB"/>
        </w:rPr>
        <w:t>or</w:t>
      </w:r>
      <w:proofErr w:type="gramEnd"/>
      <w:r w:rsidR="008C06CC">
        <w:rPr>
          <w:rFonts w:ascii="Arial" w:hAnsi="Arial" w:cs="Arial"/>
          <w:lang w:val="en-GB"/>
        </w:rPr>
        <w:t xml:space="preserve"> growth with neurocognitive outcomes, adiposity, insulin resistance and blood pressure. Postnatal weight gain appeared to be beneficial for neurocognitive outcomes, but seemed to have adverse effects on adiposity and related markers of metabolic health. However, it is important to consider the metabolic risk</w:t>
      </w:r>
      <w:r>
        <w:rPr>
          <w:rFonts w:ascii="Arial" w:hAnsi="Arial" w:cs="Arial"/>
          <w:lang w:val="en-GB"/>
        </w:rPr>
        <w:t xml:space="preserve">s that </w:t>
      </w:r>
      <w:r w:rsidR="008C06CC">
        <w:rPr>
          <w:rFonts w:ascii="Arial" w:hAnsi="Arial" w:cs="Arial"/>
          <w:lang w:val="en-GB"/>
        </w:rPr>
        <w:t xml:space="preserve">SGA individuals </w:t>
      </w:r>
      <w:r>
        <w:rPr>
          <w:rFonts w:ascii="Arial" w:hAnsi="Arial" w:cs="Arial"/>
          <w:lang w:val="en-GB"/>
        </w:rPr>
        <w:t xml:space="preserve">face </w:t>
      </w:r>
      <w:r w:rsidR="008C06CC">
        <w:rPr>
          <w:rFonts w:ascii="Arial" w:hAnsi="Arial" w:cs="Arial"/>
          <w:lang w:val="en-GB"/>
        </w:rPr>
        <w:t xml:space="preserve">in </w:t>
      </w:r>
      <w:r>
        <w:rPr>
          <w:rFonts w:ascii="Arial" w:hAnsi="Arial" w:cs="Arial"/>
          <w:lang w:val="en-GB"/>
        </w:rPr>
        <w:t xml:space="preserve">the </w:t>
      </w:r>
      <w:r w:rsidR="008C06CC">
        <w:rPr>
          <w:rFonts w:ascii="Arial" w:hAnsi="Arial" w:cs="Arial"/>
          <w:lang w:val="en-GB"/>
        </w:rPr>
        <w:t xml:space="preserve">context of the general population. Compared to </w:t>
      </w:r>
      <w:r w:rsidR="003115DA">
        <w:rPr>
          <w:rFonts w:ascii="Arial" w:hAnsi="Arial" w:cs="Arial"/>
          <w:lang w:val="en-GB"/>
        </w:rPr>
        <w:t xml:space="preserve">AGA </w:t>
      </w:r>
      <w:r w:rsidR="008C06CC">
        <w:rPr>
          <w:rFonts w:ascii="Arial" w:hAnsi="Arial" w:cs="Arial"/>
          <w:lang w:val="en-GB"/>
        </w:rPr>
        <w:t xml:space="preserve">controls, SGA groups had higher insulin resistance, but lower </w:t>
      </w:r>
      <w:r w:rsidR="00847FE5">
        <w:rPr>
          <w:rFonts w:ascii="Arial" w:hAnsi="Arial" w:cs="Arial"/>
          <w:lang w:val="en-GB"/>
        </w:rPr>
        <w:t xml:space="preserve">total </w:t>
      </w:r>
      <w:r w:rsidR="008C06CC">
        <w:rPr>
          <w:rFonts w:ascii="Arial" w:hAnsi="Arial" w:cs="Arial"/>
          <w:lang w:val="en-GB"/>
        </w:rPr>
        <w:t>adiposity</w:t>
      </w:r>
      <w:r>
        <w:rPr>
          <w:rFonts w:ascii="Arial" w:hAnsi="Arial" w:cs="Arial"/>
          <w:lang w:val="en-GB"/>
        </w:rPr>
        <w:t xml:space="preserve"> - </w:t>
      </w:r>
      <w:r w:rsidR="008C06CC">
        <w:rPr>
          <w:rFonts w:ascii="Arial" w:hAnsi="Arial" w:cs="Arial"/>
          <w:lang w:val="en-GB"/>
        </w:rPr>
        <w:t>albeit most commonly assessed by BMI</w:t>
      </w:r>
      <w:r>
        <w:rPr>
          <w:rFonts w:ascii="Arial" w:hAnsi="Arial" w:cs="Arial"/>
          <w:lang w:val="en-GB"/>
        </w:rPr>
        <w:t xml:space="preserve"> - </w:t>
      </w:r>
      <w:r w:rsidR="008C06CC">
        <w:rPr>
          <w:rFonts w:ascii="Arial" w:hAnsi="Arial" w:cs="Arial"/>
          <w:lang w:val="en-GB"/>
        </w:rPr>
        <w:t xml:space="preserve">and no evidence for higher BP. </w:t>
      </w:r>
    </w:p>
    <w:p w14:paraId="780BCA0A" w14:textId="412C29B7" w:rsidR="00617FE8" w:rsidRDefault="008C06CC">
      <w:pPr>
        <w:spacing w:after="0" w:line="480" w:lineRule="auto"/>
        <w:jc w:val="both"/>
        <w:rPr>
          <w:rFonts w:ascii="Arial" w:hAnsi="Arial" w:cs="Arial"/>
          <w:lang w:val="en-GB"/>
        </w:rPr>
      </w:pPr>
      <w:r>
        <w:rPr>
          <w:rFonts w:ascii="Arial" w:hAnsi="Arial" w:cs="Arial"/>
          <w:lang w:val="en-GB"/>
        </w:rPr>
        <w:t>Most of the observational studies were of moderate to high quality</w:t>
      </w:r>
      <w:r w:rsidR="00D449E6">
        <w:rPr>
          <w:rFonts w:ascii="Arial" w:hAnsi="Arial" w:cs="Arial"/>
          <w:lang w:val="en-GB"/>
        </w:rPr>
        <w:t xml:space="preserve">. The </w:t>
      </w:r>
      <w:r>
        <w:rPr>
          <w:rFonts w:ascii="Arial" w:hAnsi="Arial" w:cs="Arial"/>
          <w:lang w:val="en-GB"/>
        </w:rPr>
        <w:t xml:space="preserve">four studies rated as low quality were distributed across the outcome categories and their exclusion would have </w:t>
      </w:r>
      <w:r w:rsidR="00602D2A">
        <w:rPr>
          <w:rFonts w:ascii="Arial" w:hAnsi="Arial" w:cs="Arial"/>
          <w:lang w:val="en-GB"/>
        </w:rPr>
        <w:t>h</w:t>
      </w:r>
      <w:r>
        <w:rPr>
          <w:rFonts w:ascii="Arial" w:hAnsi="Arial" w:cs="Arial"/>
          <w:lang w:val="en-GB"/>
        </w:rPr>
        <w:t xml:space="preserve">ad little or no impact on the conclusions. We were unable to perform meta-analyses due to the high variability in age at outcome and </w:t>
      </w:r>
      <w:r w:rsidR="003115DA">
        <w:rPr>
          <w:rFonts w:ascii="Arial" w:hAnsi="Arial" w:cs="Arial"/>
          <w:lang w:val="en-GB"/>
        </w:rPr>
        <w:t xml:space="preserve">the </w:t>
      </w:r>
      <w:r>
        <w:rPr>
          <w:rFonts w:ascii="Arial" w:hAnsi="Arial" w:cs="Arial"/>
          <w:lang w:val="en-GB"/>
        </w:rPr>
        <w:t xml:space="preserve">paucity of comparable outcome measures. However, we found consistent observational evidence for most outcomes.  </w:t>
      </w:r>
    </w:p>
    <w:p w14:paraId="7752D83E" w14:textId="24C950DD" w:rsidR="00617FE8" w:rsidRPr="00F938E3" w:rsidRDefault="00D449E6">
      <w:pPr>
        <w:spacing w:after="0" w:line="480" w:lineRule="auto"/>
        <w:jc w:val="both"/>
        <w:rPr>
          <w:rFonts w:ascii="Arial" w:hAnsi="Arial" w:cs="Arial"/>
          <w:lang w:val="en-GB"/>
        </w:rPr>
      </w:pPr>
      <w:r>
        <w:rPr>
          <w:rFonts w:ascii="Arial" w:hAnsi="Arial" w:cs="Arial"/>
          <w:lang w:val="en-GB"/>
        </w:rPr>
        <w:t xml:space="preserve">Only one study compared SGA to an AGA control group with regard to </w:t>
      </w:r>
      <w:r w:rsidR="008C06CC">
        <w:rPr>
          <w:rFonts w:ascii="Arial" w:hAnsi="Arial" w:cs="Arial"/>
          <w:lang w:val="en-GB"/>
        </w:rPr>
        <w:t>neurocognitive outcomes</w:t>
      </w:r>
      <w:r>
        <w:rPr>
          <w:rFonts w:ascii="Arial" w:hAnsi="Arial" w:cs="Arial"/>
          <w:lang w:val="en-GB"/>
        </w:rPr>
        <w:t xml:space="preserve"> </w:t>
      </w:r>
      <w:r w:rsidRPr="00F938E3">
        <w:rPr>
          <w:rFonts w:ascii="Arial" w:hAnsi="Arial" w:cs="Arial"/>
          <w:lang w:val="en-GB"/>
        </w:rPr>
        <w:t>(</w:t>
      </w:r>
      <w:r w:rsidR="00D55160" w:rsidRPr="00F938E3">
        <w:rPr>
          <w:rFonts w:ascii="Arial" w:hAnsi="Arial" w:cs="Arial"/>
          <w:lang w:val="en-GB"/>
        </w:rPr>
        <w:t>25</w:t>
      </w:r>
      <w:r w:rsidRPr="00F938E3">
        <w:rPr>
          <w:rFonts w:ascii="Arial" w:hAnsi="Arial" w:cs="Arial"/>
          <w:lang w:val="en-GB"/>
        </w:rPr>
        <w:t>)</w:t>
      </w:r>
      <w:r w:rsidR="008C06CC" w:rsidRPr="00F938E3">
        <w:rPr>
          <w:rFonts w:ascii="Arial" w:hAnsi="Arial" w:cs="Arial"/>
          <w:lang w:val="en-GB"/>
        </w:rPr>
        <w:t>. However</w:t>
      </w:r>
      <w:r w:rsidR="008C06CC">
        <w:rPr>
          <w:rFonts w:ascii="Arial" w:hAnsi="Arial" w:cs="Arial"/>
          <w:lang w:val="en-GB"/>
        </w:rPr>
        <w:t xml:space="preserve">, one other review reported lower verbal and performance </w:t>
      </w:r>
      <w:r w:rsidR="003115DA">
        <w:rPr>
          <w:rFonts w:ascii="Arial" w:hAnsi="Arial" w:cs="Arial"/>
          <w:lang w:val="en-GB"/>
        </w:rPr>
        <w:t xml:space="preserve">intelligence quotient </w:t>
      </w:r>
      <w:r w:rsidR="008C06CC">
        <w:rPr>
          <w:rFonts w:ascii="Arial" w:hAnsi="Arial" w:cs="Arial"/>
          <w:lang w:val="en-GB"/>
        </w:rPr>
        <w:lastRenderedPageBreak/>
        <w:t xml:space="preserve">scores in school-age </w:t>
      </w:r>
      <w:r w:rsidR="009B307A">
        <w:rPr>
          <w:rFonts w:ascii="Arial" w:hAnsi="Arial" w:cs="Arial"/>
          <w:lang w:val="en-GB"/>
        </w:rPr>
        <w:t xml:space="preserve">children born </w:t>
      </w:r>
      <w:r w:rsidR="009B2C01">
        <w:rPr>
          <w:rFonts w:ascii="Arial" w:hAnsi="Arial" w:cs="Arial"/>
          <w:lang w:val="en-GB"/>
        </w:rPr>
        <w:t>SGA</w:t>
      </w:r>
      <w:r w:rsidR="008C06CC">
        <w:rPr>
          <w:rFonts w:ascii="Arial" w:hAnsi="Arial" w:cs="Arial"/>
          <w:lang w:val="en-GB"/>
        </w:rPr>
        <w:t xml:space="preserve"> </w:t>
      </w:r>
      <w:r w:rsidR="008C06CC">
        <w:rPr>
          <w:rFonts w:ascii="Arial" w:hAnsi="Arial" w:cs="Arial"/>
          <w:noProof/>
          <w:lang w:val="en-GB"/>
        </w:rPr>
        <w:t>(51)</w:t>
      </w:r>
      <w:r w:rsidR="008C06CC">
        <w:rPr>
          <w:rFonts w:ascii="Arial" w:hAnsi="Arial" w:cs="Arial"/>
          <w:lang w:val="en-GB"/>
        </w:rPr>
        <w:t xml:space="preserve"> and neuroimaging studies have </w:t>
      </w:r>
      <w:r w:rsidR="008C06CC">
        <w:rPr>
          <w:rFonts w:ascii="Arial" w:hAnsi="Arial" w:cs="Arial"/>
        </w:rPr>
        <w:t xml:space="preserve">shown early microstructural changes related to altered neurobehavioral outcomes </w:t>
      </w:r>
      <w:r w:rsidR="008C06CC">
        <w:rPr>
          <w:rFonts w:ascii="Arial" w:hAnsi="Arial" w:cs="Arial"/>
          <w:noProof/>
        </w:rPr>
        <w:t>(52)</w:t>
      </w:r>
      <w:r w:rsidR="008C06CC">
        <w:rPr>
          <w:rFonts w:ascii="Arial" w:hAnsi="Arial" w:cs="Arial"/>
          <w:lang w:val="en-GB"/>
        </w:rPr>
        <w:t xml:space="preserve">. We found consistently positive associations between postnatal growth and neurocognitive outcomes in </w:t>
      </w:r>
      <w:r w:rsidR="003115DA">
        <w:rPr>
          <w:rFonts w:ascii="Arial" w:hAnsi="Arial" w:cs="Arial"/>
          <w:lang w:val="en-GB"/>
        </w:rPr>
        <w:t xml:space="preserve">four </w:t>
      </w:r>
      <w:r w:rsidR="008C06CC">
        <w:rPr>
          <w:rFonts w:ascii="Arial" w:hAnsi="Arial" w:cs="Arial"/>
          <w:lang w:val="en-GB"/>
        </w:rPr>
        <w:t xml:space="preserve">out of </w:t>
      </w:r>
      <w:r w:rsidR="001C0D2F">
        <w:rPr>
          <w:rFonts w:ascii="Arial" w:hAnsi="Arial" w:cs="Arial"/>
          <w:lang w:val="en-GB"/>
        </w:rPr>
        <w:t xml:space="preserve">the </w:t>
      </w:r>
      <w:r w:rsidR="003115DA">
        <w:rPr>
          <w:rFonts w:ascii="Arial" w:hAnsi="Arial" w:cs="Arial"/>
          <w:lang w:val="en-GB"/>
        </w:rPr>
        <w:t xml:space="preserve">five </w:t>
      </w:r>
      <w:r w:rsidR="008C06CC">
        <w:rPr>
          <w:rFonts w:ascii="Arial" w:hAnsi="Arial" w:cs="Arial"/>
          <w:lang w:val="en-GB"/>
        </w:rPr>
        <w:t>observational studies</w:t>
      </w:r>
      <w:r w:rsidR="001C0D2F">
        <w:rPr>
          <w:rFonts w:ascii="Arial" w:hAnsi="Arial" w:cs="Arial"/>
          <w:lang w:val="en-GB"/>
        </w:rPr>
        <w:t xml:space="preserve"> included in the review (51)</w:t>
      </w:r>
      <w:r w:rsidR="006F797C">
        <w:rPr>
          <w:rFonts w:ascii="Arial" w:hAnsi="Arial" w:cs="Arial"/>
          <w:lang w:val="en-GB"/>
        </w:rPr>
        <w:t xml:space="preserve">. </w:t>
      </w:r>
      <w:r w:rsidR="008C06CC">
        <w:rPr>
          <w:rFonts w:ascii="Arial" w:hAnsi="Arial" w:cs="Arial"/>
          <w:lang w:val="en-GB"/>
        </w:rPr>
        <w:t xml:space="preserve">Interestingly, the only RCT included in this review reported a negative effect of growth induced by nutrient and energy enriched formula feeding on developmental scores at </w:t>
      </w:r>
      <w:r w:rsidR="003115DA">
        <w:rPr>
          <w:rFonts w:ascii="Arial" w:hAnsi="Arial" w:cs="Arial"/>
          <w:lang w:val="en-GB"/>
        </w:rPr>
        <w:t xml:space="preserve">nine </w:t>
      </w:r>
      <w:r w:rsidR="008C06CC">
        <w:rPr>
          <w:rFonts w:ascii="Arial" w:hAnsi="Arial" w:cs="Arial"/>
          <w:lang w:val="en-GB"/>
        </w:rPr>
        <w:t xml:space="preserve">months in </w:t>
      </w:r>
      <w:r w:rsidR="001C0D2F">
        <w:rPr>
          <w:rFonts w:ascii="Arial" w:hAnsi="Arial" w:cs="Arial"/>
          <w:lang w:val="en-GB"/>
        </w:rPr>
        <w:t xml:space="preserve">just </w:t>
      </w:r>
      <w:r w:rsidR="008C06CC">
        <w:rPr>
          <w:rFonts w:ascii="Arial" w:hAnsi="Arial" w:cs="Arial"/>
          <w:lang w:val="en-GB"/>
        </w:rPr>
        <w:t xml:space="preserve">girls, but no differences between </w:t>
      </w:r>
      <w:r w:rsidR="00E43834">
        <w:rPr>
          <w:rFonts w:ascii="Arial" w:hAnsi="Arial" w:cs="Arial"/>
          <w:lang w:val="en-GB"/>
        </w:rPr>
        <w:t>nutri</w:t>
      </w:r>
      <w:r w:rsidR="00DC57BC">
        <w:rPr>
          <w:rFonts w:ascii="Arial" w:hAnsi="Arial" w:cs="Arial"/>
          <w:lang w:val="en-GB"/>
        </w:rPr>
        <w:t>tional</w:t>
      </w:r>
      <w:r w:rsidR="003115DA">
        <w:rPr>
          <w:rFonts w:ascii="Arial" w:hAnsi="Arial" w:cs="Arial"/>
          <w:lang w:val="en-GB"/>
        </w:rPr>
        <w:t xml:space="preserve"> </w:t>
      </w:r>
      <w:r w:rsidR="008C06CC">
        <w:rPr>
          <w:rFonts w:ascii="Arial" w:hAnsi="Arial" w:cs="Arial"/>
          <w:lang w:val="en-GB"/>
        </w:rPr>
        <w:t xml:space="preserve">groups at 18 months. The discordance between the RCT and the observational studies </w:t>
      </w:r>
      <w:r w:rsidR="001C0D2F">
        <w:rPr>
          <w:rFonts w:ascii="Arial" w:hAnsi="Arial" w:cs="Arial"/>
          <w:lang w:val="en-GB"/>
        </w:rPr>
        <w:t xml:space="preserve">in the review (51) </w:t>
      </w:r>
      <w:r w:rsidR="008C06CC">
        <w:rPr>
          <w:rFonts w:ascii="Arial" w:hAnsi="Arial" w:cs="Arial"/>
          <w:lang w:val="en-GB"/>
        </w:rPr>
        <w:t xml:space="preserve">may </w:t>
      </w:r>
      <w:r w:rsidR="001C0D2F">
        <w:rPr>
          <w:rFonts w:ascii="Arial" w:hAnsi="Arial" w:cs="Arial"/>
          <w:lang w:val="en-GB"/>
        </w:rPr>
        <w:t xml:space="preserve">have </w:t>
      </w:r>
      <w:r w:rsidR="008C06CC">
        <w:rPr>
          <w:rFonts w:ascii="Arial" w:hAnsi="Arial" w:cs="Arial"/>
          <w:lang w:val="en-GB"/>
        </w:rPr>
        <w:t>be</w:t>
      </w:r>
      <w:r w:rsidR="001C0D2F">
        <w:rPr>
          <w:rFonts w:ascii="Arial" w:hAnsi="Arial" w:cs="Arial"/>
          <w:lang w:val="en-GB"/>
        </w:rPr>
        <w:t>en</w:t>
      </w:r>
      <w:r w:rsidR="008C06CC">
        <w:rPr>
          <w:rFonts w:ascii="Arial" w:hAnsi="Arial" w:cs="Arial"/>
          <w:lang w:val="en-GB"/>
        </w:rPr>
        <w:t xml:space="preserve"> due to the early age at which neurocognitive outcomes were measured in the RCT</w:t>
      </w:r>
      <w:r w:rsidR="001C0D2F">
        <w:rPr>
          <w:rFonts w:ascii="Arial" w:hAnsi="Arial" w:cs="Arial"/>
          <w:lang w:val="en-GB"/>
        </w:rPr>
        <w:t xml:space="preserve">- </w:t>
      </w:r>
      <w:r w:rsidR="003115DA">
        <w:rPr>
          <w:rFonts w:ascii="Arial" w:hAnsi="Arial" w:cs="Arial"/>
          <w:lang w:val="en-GB"/>
        </w:rPr>
        <w:t xml:space="preserve">nine </w:t>
      </w:r>
      <w:r w:rsidR="008C06CC">
        <w:rPr>
          <w:rFonts w:ascii="Arial" w:hAnsi="Arial" w:cs="Arial"/>
          <w:lang w:val="en-GB"/>
        </w:rPr>
        <w:t>and 18 months</w:t>
      </w:r>
      <w:r w:rsidR="001C0D2F">
        <w:rPr>
          <w:rFonts w:ascii="Arial" w:hAnsi="Arial" w:cs="Arial"/>
          <w:lang w:val="en-GB"/>
        </w:rPr>
        <w:t xml:space="preserve"> - </w:t>
      </w:r>
      <w:r w:rsidR="003115DA">
        <w:rPr>
          <w:rFonts w:ascii="Arial" w:hAnsi="Arial" w:cs="Arial"/>
          <w:lang w:val="en-GB"/>
        </w:rPr>
        <w:t>compared to</w:t>
      </w:r>
      <w:r w:rsidR="008C06CC">
        <w:rPr>
          <w:rFonts w:ascii="Arial" w:hAnsi="Arial" w:cs="Arial"/>
          <w:lang w:val="en-GB"/>
        </w:rPr>
        <w:t xml:space="preserve"> the observational studies</w:t>
      </w:r>
      <w:r w:rsidR="001C0D2F">
        <w:rPr>
          <w:rFonts w:ascii="Arial" w:hAnsi="Arial" w:cs="Arial"/>
          <w:lang w:val="en-GB"/>
        </w:rPr>
        <w:t xml:space="preserve"> at </w:t>
      </w:r>
      <w:r w:rsidR="003115DA">
        <w:rPr>
          <w:rFonts w:ascii="Arial" w:hAnsi="Arial" w:cs="Arial"/>
          <w:lang w:val="en-GB"/>
        </w:rPr>
        <w:t xml:space="preserve">seven </w:t>
      </w:r>
      <w:r w:rsidR="008C06CC">
        <w:rPr>
          <w:rFonts w:ascii="Arial" w:hAnsi="Arial" w:cs="Arial"/>
          <w:lang w:val="en-GB"/>
        </w:rPr>
        <w:t xml:space="preserve">to 26 years. </w:t>
      </w:r>
      <w:r w:rsidR="006F797C">
        <w:rPr>
          <w:rFonts w:ascii="Arial" w:hAnsi="Arial" w:cs="Arial"/>
          <w:lang w:val="en-GB"/>
        </w:rPr>
        <w:t>Alternatively</w:t>
      </w:r>
      <w:r w:rsidR="001C0D2F">
        <w:rPr>
          <w:rFonts w:ascii="Arial" w:hAnsi="Arial" w:cs="Arial"/>
          <w:lang w:val="en-GB"/>
        </w:rPr>
        <w:t>,</w:t>
      </w:r>
      <w:r w:rsidR="00AE65B2">
        <w:rPr>
          <w:rFonts w:ascii="Arial" w:hAnsi="Arial" w:cs="Arial"/>
          <w:lang w:val="en-GB"/>
        </w:rPr>
        <w:t xml:space="preserve"> </w:t>
      </w:r>
      <w:r w:rsidR="006F797C">
        <w:rPr>
          <w:rFonts w:ascii="Arial" w:hAnsi="Arial" w:cs="Arial"/>
          <w:lang w:val="en-GB"/>
        </w:rPr>
        <w:t xml:space="preserve">residual confounding factors may </w:t>
      </w:r>
      <w:r w:rsidR="001C0D2F">
        <w:rPr>
          <w:rFonts w:ascii="Arial" w:hAnsi="Arial" w:cs="Arial"/>
          <w:lang w:val="en-GB"/>
        </w:rPr>
        <w:t xml:space="preserve">have </w:t>
      </w:r>
      <w:r w:rsidR="006F797C">
        <w:rPr>
          <w:rFonts w:ascii="Arial" w:hAnsi="Arial" w:cs="Arial"/>
          <w:lang w:val="en-GB"/>
        </w:rPr>
        <w:t>remain</w:t>
      </w:r>
      <w:r w:rsidR="001C0D2F">
        <w:rPr>
          <w:rFonts w:ascii="Arial" w:hAnsi="Arial" w:cs="Arial"/>
          <w:lang w:val="en-GB"/>
        </w:rPr>
        <w:t>ed</w:t>
      </w:r>
      <w:r w:rsidR="001C0D2F" w:rsidRPr="001C0D2F">
        <w:rPr>
          <w:rFonts w:ascii="Arial" w:hAnsi="Arial" w:cs="Arial"/>
          <w:lang w:val="en-GB"/>
        </w:rPr>
        <w:t xml:space="preserve"> </w:t>
      </w:r>
      <w:r w:rsidR="001C0D2F">
        <w:rPr>
          <w:rFonts w:ascii="Arial" w:hAnsi="Arial" w:cs="Arial"/>
          <w:lang w:val="en-GB"/>
        </w:rPr>
        <w:t>in the observational studies</w:t>
      </w:r>
      <w:r w:rsidR="006F797C">
        <w:rPr>
          <w:rFonts w:ascii="Arial" w:hAnsi="Arial" w:cs="Arial"/>
          <w:lang w:val="en-GB"/>
        </w:rPr>
        <w:t xml:space="preserve">. For example, comorbidities that </w:t>
      </w:r>
      <w:r w:rsidR="001C0D2F">
        <w:rPr>
          <w:rFonts w:ascii="Arial" w:hAnsi="Arial" w:cs="Arial"/>
          <w:lang w:val="en-GB"/>
        </w:rPr>
        <w:t xml:space="preserve">arose </w:t>
      </w:r>
      <w:r w:rsidR="006F797C">
        <w:rPr>
          <w:rFonts w:ascii="Arial" w:hAnsi="Arial" w:cs="Arial"/>
          <w:lang w:val="en-GB"/>
        </w:rPr>
        <w:t xml:space="preserve">during the neonatal period might </w:t>
      </w:r>
      <w:r w:rsidR="001C0D2F">
        <w:rPr>
          <w:rFonts w:ascii="Arial" w:hAnsi="Arial" w:cs="Arial"/>
          <w:lang w:val="en-GB"/>
        </w:rPr>
        <w:t xml:space="preserve">have had an adverse </w:t>
      </w:r>
      <w:r w:rsidR="006F797C" w:rsidRPr="00F938E3">
        <w:rPr>
          <w:rFonts w:ascii="Arial" w:hAnsi="Arial" w:cs="Arial"/>
          <w:lang w:val="en-GB"/>
        </w:rPr>
        <w:t xml:space="preserve">impact </w:t>
      </w:r>
      <w:r w:rsidR="001C0D2F" w:rsidRPr="00F938E3">
        <w:rPr>
          <w:rFonts w:ascii="Arial" w:hAnsi="Arial" w:cs="Arial"/>
          <w:lang w:val="en-GB"/>
        </w:rPr>
        <w:t xml:space="preserve">on </w:t>
      </w:r>
      <w:r w:rsidR="006F797C" w:rsidRPr="00F938E3">
        <w:rPr>
          <w:rFonts w:ascii="Arial" w:hAnsi="Arial" w:cs="Arial"/>
          <w:lang w:val="en-GB"/>
        </w:rPr>
        <w:t xml:space="preserve">both growth and </w:t>
      </w:r>
      <w:proofErr w:type="spellStart"/>
      <w:r w:rsidR="006F797C" w:rsidRPr="00F938E3">
        <w:rPr>
          <w:rFonts w:ascii="Arial" w:hAnsi="Arial" w:cs="Arial"/>
          <w:lang w:val="en-GB"/>
        </w:rPr>
        <w:t>neurocognition</w:t>
      </w:r>
      <w:proofErr w:type="spellEnd"/>
      <w:r w:rsidR="006F797C" w:rsidRPr="00F938E3">
        <w:rPr>
          <w:rFonts w:ascii="Arial" w:hAnsi="Arial" w:cs="Arial"/>
          <w:lang w:val="en-GB"/>
        </w:rPr>
        <w:t>.</w:t>
      </w:r>
    </w:p>
    <w:p w14:paraId="403EB10B" w14:textId="5A97A44C" w:rsidR="00617FE8" w:rsidRDefault="008C06CC">
      <w:pPr>
        <w:spacing w:after="0" w:line="480" w:lineRule="auto"/>
        <w:jc w:val="both"/>
        <w:rPr>
          <w:rFonts w:ascii="Arial" w:hAnsi="Arial" w:cs="Arial"/>
          <w:lang w:val="en-GB"/>
        </w:rPr>
      </w:pPr>
      <w:r w:rsidRPr="00F938E3">
        <w:rPr>
          <w:rFonts w:ascii="Arial" w:hAnsi="Arial" w:cs="Arial"/>
          <w:lang w:val="en-GB"/>
        </w:rPr>
        <w:t xml:space="preserve">For adiposity and metabolic outcomes, most studies considered the period of postnatal weight gain exposure as birth to </w:t>
      </w:r>
      <w:r w:rsidR="00C6461F" w:rsidRPr="00F938E3">
        <w:rPr>
          <w:rFonts w:ascii="Arial" w:hAnsi="Arial" w:cs="Arial"/>
          <w:lang w:val="en-GB"/>
        </w:rPr>
        <w:t xml:space="preserve">the </w:t>
      </w:r>
      <w:r w:rsidRPr="00F938E3">
        <w:rPr>
          <w:rFonts w:ascii="Arial" w:hAnsi="Arial" w:cs="Arial"/>
          <w:lang w:val="en-GB"/>
        </w:rPr>
        <w:t>age at outcome</w:t>
      </w:r>
      <w:r w:rsidR="006723F0" w:rsidRPr="00F938E3">
        <w:rPr>
          <w:rFonts w:ascii="Arial" w:hAnsi="Arial" w:cs="Arial"/>
          <w:lang w:val="en-GB"/>
        </w:rPr>
        <w:t xml:space="preserve">. In </w:t>
      </w:r>
      <w:r w:rsidR="001F4FFC" w:rsidRPr="00F938E3">
        <w:rPr>
          <w:rFonts w:ascii="Arial" w:hAnsi="Arial" w:cs="Arial"/>
          <w:lang w:val="en-GB"/>
        </w:rPr>
        <w:t>such</w:t>
      </w:r>
      <w:r w:rsidRPr="00F938E3">
        <w:rPr>
          <w:rFonts w:ascii="Arial" w:hAnsi="Arial" w:cs="Arial"/>
          <w:lang w:val="en-GB"/>
        </w:rPr>
        <w:t xml:space="preserve"> analyses the influence of growth </w:t>
      </w:r>
      <w:r w:rsidR="001F4FFC" w:rsidRPr="00F938E3">
        <w:rPr>
          <w:rFonts w:ascii="Arial" w:hAnsi="Arial" w:cs="Arial"/>
          <w:lang w:val="en-GB"/>
        </w:rPr>
        <w:t xml:space="preserve">would be </w:t>
      </w:r>
      <w:r w:rsidRPr="00F938E3">
        <w:rPr>
          <w:rFonts w:ascii="Arial" w:hAnsi="Arial" w:cs="Arial"/>
          <w:lang w:val="en-GB"/>
        </w:rPr>
        <w:t xml:space="preserve">dominated by </w:t>
      </w:r>
      <w:r w:rsidR="00C6461F" w:rsidRPr="00F938E3">
        <w:rPr>
          <w:rFonts w:ascii="Arial" w:hAnsi="Arial" w:cs="Arial"/>
          <w:lang w:val="en-GB"/>
        </w:rPr>
        <w:t xml:space="preserve">the </w:t>
      </w:r>
      <w:r w:rsidRPr="00F938E3">
        <w:rPr>
          <w:rFonts w:ascii="Arial" w:hAnsi="Arial" w:cs="Arial"/>
          <w:lang w:val="en-GB"/>
        </w:rPr>
        <w:t>current body size. This was the case for</w:t>
      </w:r>
      <w:r w:rsidR="005A6F39" w:rsidRPr="00F938E3">
        <w:rPr>
          <w:rFonts w:ascii="Arial" w:hAnsi="Arial" w:cs="Arial"/>
          <w:lang w:val="en-GB"/>
        </w:rPr>
        <w:t>:</w:t>
      </w:r>
      <w:r w:rsidRPr="00F938E3">
        <w:rPr>
          <w:rFonts w:ascii="Arial" w:hAnsi="Arial" w:cs="Arial"/>
          <w:lang w:val="en-GB"/>
        </w:rPr>
        <w:t xml:space="preserve"> 11</w:t>
      </w:r>
      <w:r w:rsidR="003115DA" w:rsidRPr="00F938E3">
        <w:rPr>
          <w:rFonts w:ascii="Arial" w:hAnsi="Arial" w:cs="Arial"/>
          <w:lang w:val="en-GB"/>
        </w:rPr>
        <w:t xml:space="preserve"> out of </w:t>
      </w:r>
      <w:r w:rsidRPr="00F938E3">
        <w:rPr>
          <w:rFonts w:ascii="Arial" w:hAnsi="Arial" w:cs="Arial"/>
          <w:lang w:val="en-GB"/>
        </w:rPr>
        <w:t xml:space="preserve">14 studies for BMI; </w:t>
      </w:r>
      <w:r w:rsidR="003115DA" w:rsidRPr="00F938E3">
        <w:rPr>
          <w:rFonts w:ascii="Arial" w:hAnsi="Arial" w:cs="Arial"/>
          <w:lang w:val="en-GB"/>
        </w:rPr>
        <w:t>three out of five</w:t>
      </w:r>
      <w:r w:rsidRPr="00F938E3">
        <w:rPr>
          <w:rFonts w:ascii="Arial" w:hAnsi="Arial" w:cs="Arial"/>
          <w:lang w:val="en-GB"/>
        </w:rPr>
        <w:t xml:space="preserve"> studies for percent body fat; </w:t>
      </w:r>
      <w:r w:rsidR="003115DA" w:rsidRPr="00F938E3">
        <w:rPr>
          <w:rFonts w:ascii="Arial" w:hAnsi="Arial" w:cs="Arial"/>
          <w:lang w:val="en-GB"/>
        </w:rPr>
        <w:t>four out of six</w:t>
      </w:r>
      <w:r w:rsidRPr="00F938E3">
        <w:rPr>
          <w:rFonts w:ascii="Arial" w:hAnsi="Arial" w:cs="Arial"/>
          <w:lang w:val="en-GB"/>
        </w:rPr>
        <w:t xml:space="preserve"> studies for fat mass; 15</w:t>
      </w:r>
      <w:r w:rsidR="003115DA" w:rsidRPr="00F938E3">
        <w:rPr>
          <w:rFonts w:ascii="Arial" w:hAnsi="Arial" w:cs="Arial"/>
          <w:lang w:val="en-GB"/>
        </w:rPr>
        <w:t xml:space="preserve"> out of </w:t>
      </w:r>
      <w:r w:rsidRPr="00F938E3">
        <w:rPr>
          <w:rFonts w:ascii="Arial" w:hAnsi="Arial" w:cs="Arial"/>
          <w:lang w:val="en-GB"/>
        </w:rPr>
        <w:t>18 studies for insulin resistance</w:t>
      </w:r>
      <w:r w:rsidR="006D6FCF" w:rsidRPr="00F938E3">
        <w:rPr>
          <w:rFonts w:ascii="Arial" w:hAnsi="Arial" w:cs="Arial"/>
          <w:lang w:val="en-GB"/>
        </w:rPr>
        <w:t>,</w:t>
      </w:r>
      <w:r w:rsidRPr="00F938E3">
        <w:rPr>
          <w:rFonts w:ascii="Arial" w:hAnsi="Arial" w:cs="Arial"/>
          <w:lang w:val="en-GB"/>
        </w:rPr>
        <w:t xml:space="preserve"> </w:t>
      </w:r>
      <w:r w:rsidR="006723F0" w:rsidRPr="00F938E3">
        <w:rPr>
          <w:rFonts w:ascii="Arial" w:hAnsi="Arial" w:cs="Arial"/>
          <w:lang w:val="en-GB"/>
        </w:rPr>
        <w:t>and 2/4 studies</w:t>
      </w:r>
      <w:r w:rsidRPr="00F938E3">
        <w:rPr>
          <w:rFonts w:ascii="Arial" w:hAnsi="Arial" w:cs="Arial"/>
          <w:lang w:val="en-GB"/>
        </w:rPr>
        <w:t xml:space="preserve"> for BP</w:t>
      </w:r>
      <w:r w:rsidR="006723F0" w:rsidRPr="00F938E3">
        <w:rPr>
          <w:rFonts w:ascii="Arial" w:hAnsi="Arial" w:cs="Arial"/>
          <w:lang w:val="en-GB"/>
        </w:rPr>
        <w:t xml:space="preserve">, </w:t>
      </w:r>
      <w:r w:rsidR="001F4FFC" w:rsidRPr="00F938E3">
        <w:rPr>
          <w:rFonts w:ascii="Arial" w:hAnsi="Arial" w:cs="Arial"/>
          <w:lang w:val="en-GB"/>
        </w:rPr>
        <w:t>although in all cases the remaining studies all reported significant positive associations</w:t>
      </w:r>
      <w:r w:rsidRPr="00F938E3">
        <w:rPr>
          <w:rFonts w:ascii="Arial" w:hAnsi="Arial" w:cs="Arial"/>
          <w:lang w:val="en-GB"/>
        </w:rPr>
        <w:t xml:space="preserve">. </w:t>
      </w:r>
      <w:r w:rsidR="006D6FCF" w:rsidRPr="00F938E3">
        <w:rPr>
          <w:rFonts w:ascii="Arial" w:hAnsi="Arial" w:cs="Arial"/>
          <w:lang w:val="en-GB"/>
        </w:rPr>
        <w:t>Hence, t</w:t>
      </w:r>
      <w:r w:rsidRPr="00F938E3">
        <w:rPr>
          <w:rFonts w:ascii="Arial" w:hAnsi="Arial" w:cs="Arial"/>
          <w:lang w:val="en-GB"/>
        </w:rPr>
        <w:t>he exclusion of such studies did not materially alter the conclusions. However, there w</w:t>
      </w:r>
      <w:r w:rsidR="006D6FCF" w:rsidRPr="00F938E3">
        <w:rPr>
          <w:rFonts w:ascii="Arial" w:hAnsi="Arial" w:cs="Arial"/>
          <w:lang w:val="en-GB"/>
        </w:rPr>
        <w:t>ere</w:t>
      </w:r>
      <w:r w:rsidRPr="00F938E3">
        <w:rPr>
          <w:rFonts w:ascii="Arial" w:hAnsi="Arial" w:cs="Arial"/>
          <w:lang w:val="en-GB"/>
        </w:rPr>
        <w:t xml:space="preserve"> insufficient data</w:t>
      </w:r>
      <w:r>
        <w:rPr>
          <w:rFonts w:ascii="Arial" w:hAnsi="Arial" w:cs="Arial"/>
          <w:lang w:val="en-GB"/>
        </w:rPr>
        <w:t xml:space="preserve"> with discrete periods of postnatal weight gain to estimate the presence of critical</w:t>
      </w:r>
      <w:r w:rsidR="003115DA">
        <w:rPr>
          <w:rFonts w:ascii="Arial" w:hAnsi="Arial" w:cs="Arial"/>
          <w:lang w:val="en-GB"/>
        </w:rPr>
        <w:t xml:space="preserve">, </w:t>
      </w:r>
      <w:r>
        <w:rPr>
          <w:rFonts w:ascii="Arial" w:hAnsi="Arial" w:cs="Arial"/>
          <w:lang w:val="en-GB"/>
        </w:rPr>
        <w:t xml:space="preserve">early windows of weight gain or growth associated with later outcomes.  </w:t>
      </w:r>
    </w:p>
    <w:p w14:paraId="401AC9D7" w14:textId="6DDE9A44" w:rsidR="00617FE8" w:rsidRDefault="008C06CC">
      <w:pPr>
        <w:spacing w:after="0" w:line="480" w:lineRule="auto"/>
        <w:jc w:val="both"/>
        <w:rPr>
          <w:rFonts w:ascii="Arial" w:hAnsi="Arial" w:cs="Arial"/>
          <w:lang w:val="en-GB"/>
        </w:rPr>
      </w:pPr>
      <w:r>
        <w:rPr>
          <w:rFonts w:ascii="Arial" w:hAnsi="Arial" w:cs="Arial"/>
          <w:lang w:val="en-GB"/>
        </w:rPr>
        <w:t xml:space="preserve">Despite the consistent evidence for a positive association between postnatal weight gain and adiposity, SGA individuals </w:t>
      </w:r>
      <w:r w:rsidR="006723F0">
        <w:rPr>
          <w:rFonts w:ascii="Arial" w:hAnsi="Arial" w:cs="Arial"/>
          <w:lang w:val="en-GB"/>
        </w:rPr>
        <w:t>continued,</w:t>
      </w:r>
      <w:r>
        <w:rPr>
          <w:rFonts w:ascii="Arial" w:hAnsi="Arial" w:cs="Arial"/>
          <w:lang w:val="en-GB"/>
        </w:rPr>
        <w:t xml:space="preserve"> on average</w:t>
      </w:r>
      <w:r w:rsidR="00DA30D7">
        <w:rPr>
          <w:rFonts w:ascii="Arial" w:hAnsi="Arial" w:cs="Arial"/>
          <w:lang w:val="en-GB"/>
        </w:rPr>
        <w:t>, to have</w:t>
      </w:r>
      <w:r>
        <w:rPr>
          <w:rFonts w:ascii="Arial" w:hAnsi="Arial" w:cs="Arial"/>
          <w:lang w:val="en-GB"/>
        </w:rPr>
        <w:t xml:space="preserve"> less adipose than AGA individuals. With the exception of two observational studies that measured abdominal fat, adipose tissue distribution was not evaluated among the outcomes. The possibility that SGA children </w:t>
      </w:r>
      <w:r>
        <w:rPr>
          <w:rFonts w:ascii="Arial" w:hAnsi="Arial" w:cs="Arial"/>
          <w:lang w:val="en-GB"/>
        </w:rPr>
        <w:lastRenderedPageBreak/>
        <w:t>accumulate greater visceral adiposity than AGA children without greater BMI or total body fat cannot be discarded.</w:t>
      </w:r>
    </w:p>
    <w:p w14:paraId="5EBE0496" w14:textId="5FC35C9A" w:rsidR="00617FE8" w:rsidRDefault="008C06CC">
      <w:pPr>
        <w:spacing w:after="0" w:line="480" w:lineRule="auto"/>
        <w:jc w:val="both"/>
        <w:rPr>
          <w:rFonts w:ascii="Arial" w:hAnsi="Arial" w:cs="Arial"/>
          <w:lang w:val="en-GB"/>
        </w:rPr>
      </w:pPr>
      <w:r>
        <w:rPr>
          <w:rFonts w:ascii="Arial" w:hAnsi="Arial" w:cs="Arial"/>
          <w:lang w:val="en-GB"/>
        </w:rPr>
        <w:t xml:space="preserve">Only one of </w:t>
      </w:r>
      <w:r w:rsidR="00DA30D7">
        <w:rPr>
          <w:rFonts w:ascii="Arial" w:hAnsi="Arial" w:cs="Arial"/>
          <w:lang w:val="en-GB"/>
        </w:rPr>
        <w:t xml:space="preserve">the </w:t>
      </w:r>
      <w:r>
        <w:rPr>
          <w:rFonts w:ascii="Arial" w:hAnsi="Arial" w:cs="Arial"/>
          <w:lang w:val="en-GB"/>
        </w:rPr>
        <w:t xml:space="preserve">seven observational studies reported a positive association between postnatal weight gain or growth and blood total cholesterol levels. However, </w:t>
      </w:r>
      <w:r w:rsidR="00DA30D7">
        <w:rPr>
          <w:rFonts w:ascii="Arial" w:hAnsi="Arial" w:cs="Arial"/>
          <w:lang w:val="en-GB"/>
        </w:rPr>
        <w:t>these studies only inc</w:t>
      </w:r>
      <w:r w:rsidR="001F4FFC">
        <w:rPr>
          <w:rFonts w:ascii="Arial" w:hAnsi="Arial" w:cs="Arial"/>
          <w:lang w:val="en-GB"/>
        </w:rPr>
        <w:t>l</w:t>
      </w:r>
      <w:r w:rsidR="00DA30D7">
        <w:rPr>
          <w:rFonts w:ascii="Arial" w:hAnsi="Arial" w:cs="Arial"/>
          <w:lang w:val="en-GB"/>
        </w:rPr>
        <w:t xml:space="preserve">uded </w:t>
      </w:r>
      <w:r>
        <w:rPr>
          <w:rFonts w:ascii="Arial" w:hAnsi="Arial" w:cs="Arial"/>
          <w:lang w:val="en-GB"/>
        </w:rPr>
        <w:t xml:space="preserve">children only up to age 12 years old and we note that total cholesterol is an imprecise marker in </w:t>
      </w:r>
      <w:r w:rsidR="003115DA">
        <w:rPr>
          <w:rFonts w:ascii="Arial" w:hAnsi="Arial" w:cs="Arial"/>
          <w:lang w:val="en-GB"/>
        </w:rPr>
        <w:t xml:space="preserve">cardiovascular disease </w:t>
      </w:r>
      <w:r>
        <w:rPr>
          <w:rFonts w:ascii="Arial" w:hAnsi="Arial" w:cs="Arial"/>
          <w:lang w:val="en-GB"/>
        </w:rPr>
        <w:t xml:space="preserve">risk in children due to their higher proportion of </w:t>
      </w:r>
      <w:r w:rsidR="003115DA">
        <w:rPr>
          <w:rFonts w:ascii="Arial" w:hAnsi="Arial" w:cs="Arial"/>
          <w:lang w:val="en-GB"/>
        </w:rPr>
        <w:t xml:space="preserve">high density lipoprotein </w:t>
      </w:r>
      <w:r>
        <w:rPr>
          <w:rFonts w:ascii="Arial" w:hAnsi="Arial" w:cs="Arial"/>
          <w:lang w:val="en-GB"/>
        </w:rPr>
        <w:t xml:space="preserve">to </w:t>
      </w:r>
      <w:r w:rsidR="003115DA">
        <w:rPr>
          <w:rFonts w:ascii="Arial" w:hAnsi="Arial" w:cs="Arial"/>
          <w:lang w:val="en-GB"/>
        </w:rPr>
        <w:t>low density lipoprotein</w:t>
      </w:r>
      <w:r>
        <w:rPr>
          <w:rFonts w:ascii="Arial" w:hAnsi="Arial" w:cs="Arial"/>
          <w:lang w:val="en-GB"/>
        </w:rPr>
        <w:t xml:space="preserve"> cholesterol. </w:t>
      </w:r>
    </w:p>
    <w:p w14:paraId="3AC2D345" w14:textId="6A93F1AA" w:rsidR="00617FE8" w:rsidRDefault="00DA30D7">
      <w:pPr>
        <w:spacing w:after="0" w:line="480" w:lineRule="auto"/>
        <w:jc w:val="both"/>
        <w:rPr>
          <w:rFonts w:ascii="Arial" w:hAnsi="Arial" w:cs="Arial"/>
          <w:b/>
          <w:lang w:val="en-GB"/>
        </w:rPr>
      </w:pPr>
      <w:r>
        <w:rPr>
          <w:rFonts w:ascii="Arial" w:hAnsi="Arial" w:cs="Arial"/>
          <w:lang w:val="en-GB"/>
        </w:rPr>
        <w:t>The o</w:t>
      </w:r>
      <w:r w:rsidR="008C06CC">
        <w:rPr>
          <w:rFonts w:ascii="Arial" w:hAnsi="Arial" w:cs="Arial"/>
          <w:lang w:val="en-GB"/>
        </w:rPr>
        <w:t xml:space="preserve">bservational studies were set across diverse geographical regions. This </w:t>
      </w:r>
      <w:r>
        <w:rPr>
          <w:rFonts w:ascii="Arial" w:hAnsi="Arial" w:cs="Arial"/>
          <w:lang w:val="en-GB"/>
        </w:rPr>
        <w:t xml:space="preserve">was </w:t>
      </w:r>
      <w:r w:rsidR="008C06CC">
        <w:rPr>
          <w:rFonts w:ascii="Arial" w:hAnsi="Arial" w:cs="Arial"/>
          <w:lang w:val="en-GB"/>
        </w:rPr>
        <w:t>a strength of the evidence base as most full-term SGA infants are born in low-</w:t>
      </w:r>
      <w:r>
        <w:rPr>
          <w:rFonts w:ascii="Arial" w:hAnsi="Arial" w:cs="Arial"/>
          <w:lang w:val="en-GB"/>
        </w:rPr>
        <w:t>income</w:t>
      </w:r>
      <w:r w:rsidR="008C06CC">
        <w:rPr>
          <w:rFonts w:ascii="Arial" w:hAnsi="Arial" w:cs="Arial"/>
          <w:lang w:val="en-GB"/>
        </w:rPr>
        <w:t xml:space="preserve"> and middle-income countries </w:t>
      </w:r>
      <w:r w:rsidR="008C06CC">
        <w:rPr>
          <w:rFonts w:ascii="Arial" w:hAnsi="Arial" w:cs="Arial"/>
          <w:noProof/>
          <w:lang w:val="en-GB"/>
        </w:rPr>
        <w:t>(53)</w:t>
      </w:r>
      <w:r w:rsidR="008C06CC">
        <w:rPr>
          <w:rFonts w:ascii="Arial" w:hAnsi="Arial" w:cs="Arial"/>
          <w:lang w:val="en-GB"/>
        </w:rPr>
        <w:t xml:space="preserve"> and these babies face higher risks of postnatal growth failure. It is possible that it is not weight gain that predicts metabolic and disease outcome, but rather the infancy gains in lean versus fat mass and</w:t>
      </w:r>
      <w:r w:rsidR="00F45F83">
        <w:rPr>
          <w:rFonts w:ascii="Arial" w:hAnsi="Arial" w:cs="Arial"/>
          <w:lang w:val="en-GB"/>
        </w:rPr>
        <w:t xml:space="preserve">, </w:t>
      </w:r>
      <w:r w:rsidR="008C06CC">
        <w:rPr>
          <w:rFonts w:ascii="Arial" w:hAnsi="Arial" w:cs="Arial"/>
          <w:lang w:val="en-GB"/>
        </w:rPr>
        <w:t>or</w:t>
      </w:r>
      <w:r w:rsidR="00F45F83">
        <w:rPr>
          <w:rFonts w:ascii="Arial" w:hAnsi="Arial" w:cs="Arial"/>
          <w:lang w:val="en-GB"/>
        </w:rPr>
        <w:t>,</w:t>
      </w:r>
      <w:r w:rsidR="008C06CC">
        <w:rPr>
          <w:rFonts w:ascii="Arial" w:hAnsi="Arial" w:cs="Arial"/>
          <w:lang w:val="en-GB"/>
        </w:rPr>
        <w:t xml:space="preserve"> changes in fat mass distribution</w:t>
      </w:r>
      <w:r>
        <w:rPr>
          <w:rFonts w:ascii="Arial" w:hAnsi="Arial" w:cs="Arial"/>
          <w:lang w:val="en-GB"/>
        </w:rPr>
        <w:t>. H</w:t>
      </w:r>
      <w:r w:rsidR="008C06CC">
        <w:rPr>
          <w:rFonts w:ascii="Arial" w:hAnsi="Arial" w:cs="Arial"/>
          <w:lang w:val="en-GB"/>
        </w:rPr>
        <w:t>owever, few studies</w:t>
      </w:r>
      <w:r>
        <w:rPr>
          <w:rFonts w:ascii="Arial" w:hAnsi="Arial" w:cs="Arial"/>
          <w:lang w:val="en-GB"/>
        </w:rPr>
        <w:t xml:space="preserve"> to date</w:t>
      </w:r>
      <w:r w:rsidR="008C06CC">
        <w:rPr>
          <w:rFonts w:ascii="Arial" w:hAnsi="Arial" w:cs="Arial"/>
          <w:lang w:val="en-GB"/>
        </w:rPr>
        <w:t xml:space="preserve"> have related changes in infancy body composition to later outcomes. </w:t>
      </w:r>
    </w:p>
    <w:p w14:paraId="5F2FE3AB" w14:textId="77777777" w:rsidR="00617FE8" w:rsidRDefault="00617FE8">
      <w:pPr>
        <w:spacing w:after="0" w:line="480" w:lineRule="auto"/>
        <w:jc w:val="both"/>
        <w:rPr>
          <w:rFonts w:ascii="Arial" w:hAnsi="Arial" w:cs="Arial"/>
          <w:b/>
          <w:lang w:val="en-GB"/>
        </w:rPr>
      </w:pPr>
    </w:p>
    <w:p w14:paraId="4B3DFCA6" w14:textId="77777777" w:rsidR="00617FE8" w:rsidRDefault="008C06CC">
      <w:pPr>
        <w:spacing w:after="0" w:line="480" w:lineRule="auto"/>
        <w:jc w:val="both"/>
        <w:rPr>
          <w:rFonts w:ascii="Arial" w:hAnsi="Arial" w:cs="Arial"/>
          <w:b/>
          <w:lang w:val="en-GB"/>
        </w:rPr>
      </w:pPr>
      <w:r>
        <w:rPr>
          <w:rFonts w:ascii="Arial" w:hAnsi="Arial" w:cs="Arial"/>
          <w:b/>
          <w:lang w:val="en-GB"/>
        </w:rPr>
        <w:t>Interpretation for policy and recommendations for future studies</w:t>
      </w:r>
    </w:p>
    <w:p w14:paraId="24124ADE" w14:textId="253748F7" w:rsidR="00617FE8" w:rsidRDefault="00DA30D7">
      <w:pPr>
        <w:spacing w:after="0" w:line="480" w:lineRule="auto"/>
        <w:jc w:val="both"/>
        <w:rPr>
          <w:rFonts w:ascii="Arial" w:hAnsi="Arial" w:cs="Arial"/>
          <w:lang w:val="en-GB"/>
        </w:rPr>
      </w:pPr>
      <w:r>
        <w:rPr>
          <w:rFonts w:ascii="Arial" w:hAnsi="Arial" w:cs="Arial"/>
          <w:lang w:val="en-GB"/>
        </w:rPr>
        <w:t xml:space="preserve">In general </w:t>
      </w:r>
      <w:r w:rsidR="008C06CC">
        <w:rPr>
          <w:rFonts w:ascii="Arial" w:hAnsi="Arial" w:cs="Arial"/>
          <w:lang w:val="en-GB"/>
        </w:rPr>
        <w:t xml:space="preserve">SGA infants </w:t>
      </w:r>
      <w:r>
        <w:rPr>
          <w:rFonts w:ascii="Arial" w:hAnsi="Arial" w:cs="Arial"/>
          <w:lang w:val="en-GB"/>
        </w:rPr>
        <w:t>face an</w:t>
      </w:r>
      <w:r w:rsidR="008C06CC">
        <w:rPr>
          <w:rFonts w:ascii="Arial" w:hAnsi="Arial" w:cs="Arial"/>
          <w:lang w:val="en-GB"/>
        </w:rPr>
        <w:t xml:space="preserve"> increased risk of short stature, with average adult heights</w:t>
      </w:r>
      <w:r w:rsidR="003115DA">
        <w:rPr>
          <w:rFonts w:ascii="Arial" w:hAnsi="Arial" w:cs="Arial"/>
          <w:lang w:val="en-GB"/>
        </w:rPr>
        <w:t xml:space="preserve"> </w:t>
      </w:r>
      <w:r>
        <w:rPr>
          <w:rFonts w:ascii="Arial" w:hAnsi="Arial" w:cs="Arial"/>
          <w:lang w:val="en-GB"/>
        </w:rPr>
        <w:t xml:space="preserve">being </w:t>
      </w:r>
      <w:r w:rsidR="003115DA">
        <w:rPr>
          <w:rFonts w:ascii="Arial" w:hAnsi="Arial" w:cs="Arial"/>
          <w:lang w:val="en-GB"/>
        </w:rPr>
        <w:t>approximately one standard deviation score</w:t>
      </w:r>
      <w:r w:rsidR="005A6F39">
        <w:rPr>
          <w:rFonts w:ascii="Arial" w:hAnsi="Arial" w:cs="Arial"/>
          <w:lang w:val="en-GB"/>
        </w:rPr>
        <w:t xml:space="preserve"> </w:t>
      </w:r>
      <w:r w:rsidR="008C06CC">
        <w:rPr>
          <w:rFonts w:ascii="Arial" w:hAnsi="Arial" w:cs="Arial"/>
          <w:lang w:val="en-GB"/>
        </w:rPr>
        <w:t xml:space="preserve">below the mean population height </w:t>
      </w:r>
      <w:r w:rsidR="008C06CC">
        <w:rPr>
          <w:rFonts w:ascii="Arial" w:hAnsi="Arial" w:cs="Arial"/>
          <w:noProof/>
          <w:lang w:val="en-GB"/>
        </w:rPr>
        <w:t>(54)</w:t>
      </w:r>
      <w:r w:rsidR="008C06CC">
        <w:rPr>
          <w:rFonts w:ascii="Arial" w:hAnsi="Arial" w:cs="Arial"/>
          <w:lang w:val="en-GB"/>
        </w:rPr>
        <w:t xml:space="preserve">. </w:t>
      </w:r>
      <w:r>
        <w:rPr>
          <w:rFonts w:ascii="Arial" w:hAnsi="Arial" w:cs="Arial"/>
          <w:lang w:val="en-GB"/>
        </w:rPr>
        <w:t>However,</w:t>
      </w:r>
      <w:r w:rsidR="008C06CC">
        <w:rPr>
          <w:rFonts w:ascii="Arial" w:hAnsi="Arial" w:cs="Arial"/>
          <w:lang w:val="en-GB"/>
        </w:rPr>
        <w:t xml:space="preserve"> faster postnatal growth and weight gain </w:t>
      </w:r>
      <w:r>
        <w:rPr>
          <w:rFonts w:ascii="Arial" w:hAnsi="Arial" w:cs="Arial"/>
          <w:lang w:val="en-GB"/>
        </w:rPr>
        <w:t>can l</w:t>
      </w:r>
      <w:r w:rsidR="008C06CC">
        <w:rPr>
          <w:rFonts w:ascii="Arial" w:hAnsi="Arial" w:cs="Arial"/>
          <w:lang w:val="en-GB"/>
        </w:rPr>
        <w:t>ead to taller adult height</w:t>
      </w:r>
      <w:r>
        <w:rPr>
          <w:rFonts w:ascii="Arial" w:hAnsi="Arial" w:cs="Arial"/>
          <w:lang w:val="en-GB"/>
        </w:rPr>
        <w:t xml:space="preserve">s, but this study did not review that factor </w:t>
      </w:r>
      <w:r w:rsidR="008C06CC">
        <w:rPr>
          <w:rFonts w:ascii="Arial" w:hAnsi="Arial" w:cs="Arial"/>
          <w:noProof/>
          <w:lang w:val="en-GB"/>
        </w:rPr>
        <w:t>(54)</w:t>
      </w:r>
      <w:r w:rsidR="008C06CC">
        <w:rPr>
          <w:rFonts w:ascii="Arial" w:hAnsi="Arial" w:cs="Arial"/>
          <w:lang w:val="en-GB"/>
        </w:rPr>
        <w:t xml:space="preserve">. Although the evidence for a similar positive impact on neurocognitive outcomes is relatively sparse, the potential for such long-term benefits on height and </w:t>
      </w:r>
      <w:proofErr w:type="spellStart"/>
      <w:r w:rsidR="008C06CC">
        <w:rPr>
          <w:rFonts w:ascii="Arial" w:hAnsi="Arial" w:cs="Arial"/>
          <w:lang w:val="en-GB"/>
        </w:rPr>
        <w:t>neurocognition</w:t>
      </w:r>
      <w:proofErr w:type="spellEnd"/>
      <w:r w:rsidR="008C06CC">
        <w:rPr>
          <w:rFonts w:ascii="Arial" w:hAnsi="Arial" w:cs="Arial"/>
          <w:lang w:val="en-GB"/>
        </w:rPr>
        <w:t xml:space="preserve"> makes the promotion of infancy weight gain an appealing policy. On the </w:t>
      </w:r>
      <w:r w:rsidR="00AC7926">
        <w:rPr>
          <w:rFonts w:ascii="Arial" w:hAnsi="Arial" w:cs="Arial"/>
          <w:lang w:val="en-GB"/>
        </w:rPr>
        <w:t>other hand</w:t>
      </w:r>
      <w:r w:rsidR="008C06CC">
        <w:rPr>
          <w:rFonts w:ascii="Arial" w:hAnsi="Arial" w:cs="Arial"/>
          <w:lang w:val="en-GB"/>
        </w:rPr>
        <w:t>, insulin resistance is higher in SGA</w:t>
      </w:r>
      <w:r w:rsidR="003115DA">
        <w:rPr>
          <w:rFonts w:ascii="Arial" w:hAnsi="Arial" w:cs="Arial"/>
          <w:lang w:val="en-GB"/>
        </w:rPr>
        <w:t xml:space="preserve"> </w:t>
      </w:r>
      <w:r w:rsidR="008C06CC">
        <w:rPr>
          <w:rFonts w:ascii="Arial" w:hAnsi="Arial" w:cs="Arial"/>
          <w:lang w:val="en-GB"/>
        </w:rPr>
        <w:t>catch-up children than in the general population and this finding is supported by consistent evidence on the associatio</w:t>
      </w:r>
      <w:r w:rsidR="00442992">
        <w:rPr>
          <w:rFonts w:ascii="Arial" w:hAnsi="Arial" w:cs="Arial"/>
          <w:lang w:val="en-GB"/>
        </w:rPr>
        <w:t xml:space="preserve">n between low birth weight and </w:t>
      </w:r>
      <w:r w:rsidR="003115DA">
        <w:rPr>
          <w:rFonts w:ascii="Arial" w:hAnsi="Arial" w:cs="Arial"/>
          <w:lang w:val="en-GB"/>
        </w:rPr>
        <w:t xml:space="preserve">type </w:t>
      </w:r>
      <w:r w:rsidR="008C06CC">
        <w:rPr>
          <w:rFonts w:ascii="Arial" w:hAnsi="Arial" w:cs="Arial"/>
          <w:lang w:val="en-GB"/>
        </w:rPr>
        <w:t xml:space="preserve">2 diabetes </w:t>
      </w:r>
      <w:r w:rsidR="008C06CC">
        <w:rPr>
          <w:rFonts w:ascii="Arial" w:hAnsi="Arial" w:cs="Arial"/>
          <w:noProof/>
          <w:lang w:val="en-GB"/>
        </w:rPr>
        <w:t>(7)</w:t>
      </w:r>
      <w:r w:rsidR="008C06CC">
        <w:rPr>
          <w:rFonts w:ascii="Arial" w:hAnsi="Arial" w:cs="Arial"/>
          <w:lang w:val="en-GB"/>
        </w:rPr>
        <w:t xml:space="preserve">. </w:t>
      </w:r>
    </w:p>
    <w:p w14:paraId="6CCEE2F7" w14:textId="1EC97B53" w:rsidR="00617FE8" w:rsidRDefault="008C06CC">
      <w:pPr>
        <w:spacing w:after="0" w:line="480" w:lineRule="auto"/>
        <w:jc w:val="both"/>
        <w:rPr>
          <w:rFonts w:ascii="Arial" w:hAnsi="Arial" w:cs="Arial"/>
          <w:lang w:val="en-GB"/>
        </w:rPr>
      </w:pPr>
      <w:r>
        <w:rPr>
          <w:rFonts w:ascii="Arial" w:hAnsi="Arial" w:cs="Arial"/>
          <w:lang w:val="en-GB"/>
        </w:rPr>
        <w:t xml:space="preserve">Regarding long-term </w:t>
      </w:r>
      <w:r w:rsidR="003115DA">
        <w:rPr>
          <w:rFonts w:ascii="Arial" w:hAnsi="Arial" w:cs="Arial"/>
          <w:lang w:val="en-GB"/>
        </w:rPr>
        <w:t>cardiovascular disease</w:t>
      </w:r>
      <w:r>
        <w:rPr>
          <w:rFonts w:ascii="Arial" w:hAnsi="Arial" w:cs="Arial"/>
          <w:lang w:val="en-GB"/>
        </w:rPr>
        <w:t xml:space="preserve"> risk</w:t>
      </w:r>
      <w:r w:rsidR="00AC7926">
        <w:rPr>
          <w:rFonts w:ascii="Arial" w:hAnsi="Arial" w:cs="Arial"/>
          <w:lang w:val="en-GB"/>
        </w:rPr>
        <w:t>s</w:t>
      </w:r>
      <w:r>
        <w:rPr>
          <w:rFonts w:ascii="Arial" w:hAnsi="Arial" w:cs="Arial"/>
          <w:lang w:val="en-GB"/>
        </w:rPr>
        <w:t xml:space="preserve">, prenatal growth restriction can result in prenatal circulatory adaptations and altered heart and vascular tree development </w:t>
      </w:r>
      <w:r>
        <w:rPr>
          <w:rFonts w:ascii="Arial" w:hAnsi="Arial" w:cs="Arial"/>
          <w:noProof/>
          <w:lang w:val="en-GB"/>
        </w:rPr>
        <w:t>(55)</w:t>
      </w:r>
      <w:r>
        <w:rPr>
          <w:rFonts w:ascii="Arial" w:hAnsi="Arial" w:cs="Arial"/>
          <w:lang w:val="en-GB"/>
        </w:rPr>
        <w:t xml:space="preserve"> and one </w:t>
      </w:r>
      <w:r>
        <w:rPr>
          <w:rFonts w:ascii="Arial" w:hAnsi="Arial" w:cs="Arial"/>
          <w:lang w:val="en-GB"/>
        </w:rPr>
        <w:lastRenderedPageBreak/>
        <w:t xml:space="preserve">study reported that weight gain over the long period </w:t>
      </w:r>
      <w:r w:rsidR="00AC7926">
        <w:rPr>
          <w:rFonts w:ascii="Arial" w:hAnsi="Arial" w:cs="Arial"/>
          <w:lang w:val="en-GB"/>
        </w:rPr>
        <w:t xml:space="preserve">from birth </w:t>
      </w:r>
      <w:r w:rsidR="003115DA">
        <w:rPr>
          <w:rFonts w:ascii="Arial" w:hAnsi="Arial" w:cs="Arial"/>
          <w:lang w:val="en-GB"/>
        </w:rPr>
        <w:t xml:space="preserve">to </w:t>
      </w:r>
      <w:r>
        <w:rPr>
          <w:rFonts w:ascii="Arial" w:hAnsi="Arial" w:cs="Arial"/>
          <w:lang w:val="en-GB"/>
        </w:rPr>
        <w:t xml:space="preserve">21 years was positively associated with carotid intima media thickness at 21 years </w:t>
      </w:r>
      <w:r>
        <w:rPr>
          <w:rFonts w:ascii="Arial" w:hAnsi="Arial" w:cs="Arial"/>
          <w:noProof/>
          <w:lang w:val="en-GB"/>
        </w:rPr>
        <w:t>(42)</w:t>
      </w:r>
      <w:r>
        <w:rPr>
          <w:rFonts w:ascii="Arial" w:hAnsi="Arial" w:cs="Arial"/>
          <w:lang w:val="en-GB"/>
        </w:rPr>
        <w:t>. We found consistent experimental and observational evidence linking postnatal weight gain and growth to higher BP</w:t>
      </w:r>
      <w:r w:rsidR="00AC7926">
        <w:rPr>
          <w:rFonts w:ascii="Arial" w:hAnsi="Arial" w:cs="Arial"/>
          <w:lang w:val="en-GB"/>
        </w:rPr>
        <w:t>. N</w:t>
      </w:r>
      <w:r>
        <w:rPr>
          <w:rFonts w:ascii="Arial" w:hAnsi="Arial" w:cs="Arial"/>
          <w:lang w:val="en-GB"/>
        </w:rPr>
        <w:t xml:space="preserve">evertheless, none of the studies reported higher BP in SGA </w:t>
      </w:r>
      <w:r w:rsidR="00CF4D75">
        <w:rPr>
          <w:rFonts w:ascii="Arial" w:hAnsi="Arial" w:cs="Arial"/>
          <w:lang w:val="en-GB"/>
        </w:rPr>
        <w:t>versus</w:t>
      </w:r>
      <w:r>
        <w:rPr>
          <w:rFonts w:ascii="Arial" w:hAnsi="Arial" w:cs="Arial"/>
          <w:lang w:val="en-GB"/>
        </w:rPr>
        <w:t xml:space="preserve"> AGA groups and</w:t>
      </w:r>
      <w:r w:rsidR="00E35850">
        <w:rPr>
          <w:rFonts w:ascii="Arial" w:hAnsi="Arial" w:cs="Arial"/>
          <w:lang w:val="en-GB"/>
        </w:rPr>
        <w:t>,</w:t>
      </w:r>
      <w:r>
        <w:rPr>
          <w:rFonts w:ascii="Arial" w:hAnsi="Arial" w:cs="Arial"/>
          <w:lang w:val="en-GB"/>
        </w:rPr>
        <w:t xml:space="preserve"> as discussed above</w:t>
      </w:r>
      <w:r w:rsidR="00E35850">
        <w:rPr>
          <w:rFonts w:ascii="Arial" w:hAnsi="Arial" w:cs="Arial"/>
          <w:lang w:val="en-GB"/>
        </w:rPr>
        <w:t>,</w:t>
      </w:r>
      <w:r>
        <w:rPr>
          <w:rFonts w:ascii="Arial" w:hAnsi="Arial" w:cs="Arial"/>
          <w:lang w:val="en-GB"/>
        </w:rPr>
        <w:t xml:space="preserve"> the evidence on lipid outcomes was inconsistent. Thus the relevance of postnatal growth to </w:t>
      </w:r>
      <w:r w:rsidR="003115DA">
        <w:rPr>
          <w:rFonts w:ascii="Arial" w:hAnsi="Arial" w:cs="Arial"/>
          <w:lang w:val="en-GB"/>
        </w:rPr>
        <w:t xml:space="preserve">cardiovascular disease </w:t>
      </w:r>
      <w:r>
        <w:rPr>
          <w:rFonts w:ascii="Arial" w:hAnsi="Arial" w:cs="Arial"/>
          <w:lang w:val="en-GB"/>
        </w:rPr>
        <w:t>risk in SGA individuals remains unclear.</w:t>
      </w:r>
    </w:p>
    <w:p w14:paraId="57E60009" w14:textId="7BD0782D" w:rsidR="00617FE8" w:rsidRDefault="008C06CC">
      <w:pPr>
        <w:spacing w:after="0" w:line="480" w:lineRule="auto"/>
        <w:jc w:val="both"/>
        <w:rPr>
          <w:rFonts w:ascii="Arial" w:hAnsi="Arial" w:cs="Arial"/>
          <w:lang w:val="en-GB"/>
        </w:rPr>
      </w:pPr>
      <w:r>
        <w:rPr>
          <w:rFonts w:ascii="Arial" w:hAnsi="Arial" w:cs="Arial"/>
          <w:lang w:val="en-GB"/>
        </w:rPr>
        <w:t xml:space="preserve">Establishing the optimal growth patterns in term-born SGA infants to </w:t>
      </w:r>
      <w:r w:rsidR="00AC7926">
        <w:rPr>
          <w:rFonts w:ascii="Arial" w:hAnsi="Arial" w:cs="Arial"/>
          <w:lang w:val="en-GB"/>
        </w:rPr>
        <w:t xml:space="preserve">minimise </w:t>
      </w:r>
      <w:r>
        <w:rPr>
          <w:rFonts w:ascii="Arial" w:hAnsi="Arial" w:cs="Arial"/>
          <w:lang w:val="en-GB"/>
        </w:rPr>
        <w:t>short</w:t>
      </w:r>
      <w:r w:rsidR="00AC7926">
        <w:rPr>
          <w:rFonts w:ascii="Arial" w:hAnsi="Arial" w:cs="Arial"/>
          <w:lang w:val="en-GB"/>
        </w:rPr>
        <w:t>-term</w:t>
      </w:r>
      <w:r>
        <w:rPr>
          <w:rFonts w:ascii="Arial" w:hAnsi="Arial" w:cs="Arial"/>
          <w:lang w:val="en-GB"/>
        </w:rPr>
        <w:t xml:space="preserve"> and long</w:t>
      </w:r>
      <w:r w:rsidR="00AC7926">
        <w:rPr>
          <w:rFonts w:ascii="Arial" w:hAnsi="Arial" w:cs="Arial"/>
          <w:lang w:val="en-GB"/>
        </w:rPr>
        <w:t>-</w:t>
      </w:r>
      <w:r>
        <w:rPr>
          <w:rFonts w:ascii="Arial" w:hAnsi="Arial" w:cs="Arial"/>
          <w:lang w:val="en-GB"/>
        </w:rPr>
        <w:t xml:space="preserve">term risks is crucial. It has been proposed that reaching </w:t>
      </w:r>
      <w:r w:rsidR="00AC7926">
        <w:rPr>
          <w:rFonts w:ascii="Arial" w:hAnsi="Arial" w:cs="Arial"/>
          <w:lang w:val="en-GB"/>
        </w:rPr>
        <w:t xml:space="preserve">around </w:t>
      </w:r>
      <w:r>
        <w:rPr>
          <w:rFonts w:ascii="Arial" w:hAnsi="Arial" w:cs="Arial"/>
          <w:lang w:val="en-GB"/>
        </w:rPr>
        <w:t>the 30</w:t>
      </w:r>
      <w:r>
        <w:rPr>
          <w:rFonts w:ascii="Arial" w:hAnsi="Arial" w:cs="Arial"/>
          <w:vertAlign w:val="superscript"/>
          <w:lang w:val="en-GB"/>
        </w:rPr>
        <w:t>th</w:t>
      </w:r>
      <w:r>
        <w:rPr>
          <w:rFonts w:ascii="Arial" w:hAnsi="Arial" w:cs="Arial"/>
          <w:lang w:val="en-GB"/>
        </w:rPr>
        <w:t xml:space="preserve"> weight percentile in the first postnatal months and around the 50</w:t>
      </w:r>
      <w:r>
        <w:rPr>
          <w:rFonts w:ascii="Arial" w:hAnsi="Arial" w:cs="Arial"/>
          <w:vertAlign w:val="superscript"/>
          <w:lang w:val="en-GB"/>
        </w:rPr>
        <w:t>th</w:t>
      </w:r>
      <w:r>
        <w:rPr>
          <w:rFonts w:ascii="Arial" w:hAnsi="Arial" w:cs="Arial"/>
          <w:lang w:val="en-GB"/>
        </w:rPr>
        <w:t xml:space="preserve"> percentile by </w:t>
      </w:r>
      <w:r w:rsidR="00AC7926">
        <w:rPr>
          <w:rFonts w:ascii="Arial" w:hAnsi="Arial" w:cs="Arial"/>
          <w:lang w:val="en-GB"/>
        </w:rPr>
        <w:t>the age of seven</w:t>
      </w:r>
      <w:r>
        <w:rPr>
          <w:rFonts w:ascii="Arial" w:hAnsi="Arial" w:cs="Arial"/>
          <w:lang w:val="en-GB"/>
        </w:rPr>
        <w:t xml:space="preserve"> may prevent </w:t>
      </w:r>
      <w:r w:rsidR="00AC7926">
        <w:rPr>
          <w:rFonts w:ascii="Arial" w:hAnsi="Arial" w:cs="Arial"/>
          <w:lang w:val="en-GB"/>
        </w:rPr>
        <w:t xml:space="preserve">the </w:t>
      </w:r>
      <w:r>
        <w:rPr>
          <w:rFonts w:ascii="Arial" w:hAnsi="Arial" w:cs="Arial"/>
          <w:lang w:val="en-GB"/>
        </w:rPr>
        <w:t xml:space="preserve">risks of adverse outcomes </w:t>
      </w:r>
      <w:r>
        <w:rPr>
          <w:rFonts w:ascii="Arial" w:hAnsi="Arial" w:cs="Arial"/>
          <w:noProof/>
          <w:lang w:val="en-GB"/>
        </w:rPr>
        <w:t>(56)</w:t>
      </w:r>
      <w:r>
        <w:rPr>
          <w:rFonts w:ascii="Arial" w:hAnsi="Arial" w:cs="Arial"/>
          <w:lang w:val="en-GB"/>
        </w:rPr>
        <w:t xml:space="preserve">. However, that hypothesis was </w:t>
      </w:r>
      <w:r w:rsidR="00AC7926">
        <w:rPr>
          <w:rFonts w:ascii="Arial" w:hAnsi="Arial" w:cs="Arial"/>
          <w:lang w:val="en-GB"/>
        </w:rPr>
        <w:t xml:space="preserve">only </w:t>
      </w:r>
      <w:r>
        <w:rPr>
          <w:rFonts w:ascii="Arial" w:hAnsi="Arial" w:cs="Arial"/>
          <w:lang w:val="en-GB"/>
        </w:rPr>
        <w:t>based on observational data and it remains a challenge to safely promote infancy growth in SGA, let alone attain such a narrow growth target. Furthermore, whether such growth patterns are appropriate across settings that differ in exposure to infections and risk of malnutrition is unknown.</w:t>
      </w:r>
    </w:p>
    <w:p w14:paraId="2D9C3F19" w14:textId="77777777" w:rsidR="00617FE8" w:rsidRDefault="00617FE8">
      <w:pPr>
        <w:spacing w:after="0" w:line="480" w:lineRule="auto"/>
        <w:jc w:val="both"/>
        <w:rPr>
          <w:rFonts w:ascii="Arial" w:hAnsi="Arial" w:cs="Arial"/>
          <w:b/>
          <w:lang w:val="en-GB"/>
        </w:rPr>
      </w:pPr>
    </w:p>
    <w:p w14:paraId="5E2D7626" w14:textId="079F488B" w:rsidR="00617FE8" w:rsidRDefault="00AC7926">
      <w:pPr>
        <w:spacing w:after="0" w:line="480" w:lineRule="auto"/>
        <w:jc w:val="both"/>
        <w:rPr>
          <w:rFonts w:ascii="Arial" w:hAnsi="Arial" w:cs="Arial"/>
          <w:b/>
          <w:lang w:val="en-GB"/>
        </w:rPr>
      </w:pPr>
      <w:r>
        <w:rPr>
          <w:rFonts w:ascii="Arial" w:hAnsi="Arial" w:cs="Arial"/>
          <w:b/>
          <w:lang w:val="en-GB"/>
        </w:rPr>
        <w:t>CONCLUSION</w:t>
      </w:r>
    </w:p>
    <w:p w14:paraId="111A885E" w14:textId="3B994107" w:rsidR="00617FE8" w:rsidRDefault="008C06CC">
      <w:pPr>
        <w:spacing w:after="0" w:line="480" w:lineRule="auto"/>
        <w:jc w:val="both"/>
        <w:rPr>
          <w:rFonts w:ascii="Arial" w:hAnsi="Arial" w:cs="Arial"/>
          <w:lang w:val="en-GB"/>
        </w:rPr>
      </w:pPr>
      <w:r>
        <w:rPr>
          <w:rFonts w:ascii="Arial" w:hAnsi="Arial" w:cs="Arial"/>
          <w:lang w:val="en-GB"/>
        </w:rPr>
        <w:t xml:space="preserve">This review </w:t>
      </w:r>
      <w:r w:rsidR="00E35850">
        <w:rPr>
          <w:rFonts w:ascii="Arial" w:hAnsi="Arial" w:cs="Arial"/>
          <w:lang w:val="en-GB"/>
        </w:rPr>
        <w:t xml:space="preserve">summarises </w:t>
      </w:r>
      <w:r>
        <w:rPr>
          <w:rFonts w:ascii="Arial" w:hAnsi="Arial" w:cs="Arial"/>
          <w:lang w:val="en-GB"/>
        </w:rPr>
        <w:t>the published evidence on postnatal weight gain</w:t>
      </w:r>
      <w:r w:rsidR="00E35850">
        <w:rPr>
          <w:rFonts w:ascii="Arial" w:hAnsi="Arial" w:cs="Arial"/>
          <w:lang w:val="en-GB"/>
        </w:rPr>
        <w:t xml:space="preserve"> and, or, </w:t>
      </w:r>
      <w:r>
        <w:rPr>
          <w:rFonts w:ascii="Arial" w:hAnsi="Arial" w:cs="Arial"/>
          <w:lang w:val="en-GB"/>
        </w:rPr>
        <w:t>growth in term-born SGA infants, regarding the potential neurodevelopmental benefits and adverse metabolic outcomes. Only two RCTs were identified</w:t>
      </w:r>
      <w:r w:rsidR="00AC7926">
        <w:rPr>
          <w:rFonts w:ascii="Arial" w:hAnsi="Arial" w:cs="Arial"/>
          <w:lang w:val="en-GB"/>
        </w:rPr>
        <w:t>, including</w:t>
      </w:r>
      <w:r w:rsidR="00E35850">
        <w:rPr>
          <w:rFonts w:ascii="Arial" w:hAnsi="Arial" w:cs="Arial"/>
          <w:lang w:val="en-GB"/>
        </w:rPr>
        <w:t xml:space="preserve"> </w:t>
      </w:r>
      <w:r>
        <w:rPr>
          <w:rFonts w:ascii="Arial" w:hAnsi="Arial" w:cs="Arial"/>
          <w:lang w:val="en-GB"/>
        </w:rPr>
        <w:t xml:space="preserve">one </w:t>
      </w:r>
      <w:r w:rsidR="00AC7926">
        <w:rPr>
          <w:rFonts w:ascii="Arial" w:hAnsi="Arial" w:cs="Arial"/>
          <w:lang w:val="en-GB"/>
        </w:rPr>
        <w:t xml:space="preserve">that </w:t>
      </w:r>
      <w:r>
        <w:rPr>
          <w:rFonts w:ascii="Arial" w:hAnsi="Arial" w:cs="Arial"/>
          <w:lang w:val="en-GB"/>
        </w:rPr>
        <w:t xml:space="preserve">reported on neurocognitive outcomes and found no effect. </w:t>
      </w:r>
      <w:r w:rsidR="00E35850">
        <w:rPr>
          <w:rFonts w:ascii="Arial" w:hAnsi="Arial" w:cs="Arial"/>
          <w:lang w:val="en-GB"/>
        </w:rPr>
        <w:t xml:space="preserve">Overall, </w:t>
      </w:r>
      <w:r w:rsidR="009B2C01">
        <w:rPr>
          <w:rFonts w:ascii="Arial" w:hAnsi="Arial" w:cs="Arial"/>
          <w:lang w:val="en-GB"/>
        </w:rPr>
        <w:t>31</w:t>
      </w:r>
      <w:r>
        <w:rPr>
          <w:rFonts w:ascii="Arial" w:hAnsi="Arial" w:cs="Arial"/>
          <w:lang w:val="en-GB"/>
        </w:rPr>
        <w:t xml:space="preserve"> observational studies did report consistent positive associations between postnatal weight gain</w:t>
      </w:r>
      <w:r w:rsidR="00E35850">
        <w:rPr>
          <w:rFonts w:ascii="Arial" w:hAnsi="Arial" w:cs="Arial"/>
          <w:lang w:val="en-GB"/>
        </w:rPr>
        <w:t xml:space="preserve"> and, or, </w:t>
      </w:r>
      <w:r>
        <w:rPr>
          <w:rFonts w:ascii="Arial" w:hAnsi="Arial" w:cs="Arial"/>
          <w:lang w:val="en-GB"/>
        </w:rPr>
        <w:t xml:space="preserve">growth with neurocognitive outcomes, adiposity, insulin resistance and blood pressure. </w:t>
      </w:r>
    </w:p>
    <w:p w14:paraId="41EE3B97" w14:textId="4BCDBABF" w:rsidR="00617FE8" w:rsidRDefault="006F51D7">
      <w:pPr>
        <w:spacing w:after="0" w:line="480" w:lineRule="auto"/>
        <w:jc w:val="both"/>
        <w:rPr>
          <w:rFonts w:ascii="Arial" w:hAnsi="Arial" w:cs="Arial"/>
          <w:lang w:val="en-GB"/>
        </w:rPr>
      </w:pPr>
      <w:r>
        <w:rPr>
          <w:rFonts w:ascii="Arial" w:hAnsi="Arial" w:cs="Arial"/>
          <w:lang w:val="en-GB"/>
        </w:rPr>
        <w:t>In conclusion, o</w:t>
      </w:r>
      <w:r w:rsidR="008C06CC">
        <w:rPr>
          <w:rFonts w:ascii="Arial" w:hAnsi="Arial" w:cs="Arial"/>
          <w:lang w:val="en-GB"/>
        </w:rPr>
        <w:t xml:space="preserve">ur systematic review highlights </w:t>
      </w:r>
      <w:r w:rsidR="00AC7926">
        <w:rPr>
          <w:rFonts w:ascii="Arial" w:hAnsi="Arial" w:cs="Arial"/>
          <w:lang w:val="en-GB"/>
        </w:rPr>
        <w:t>hard it was to find</w:t>
      </w:r>
      <w:r w:rsidR="008C06CC">
        <w:rPr>
          <w:rFonts w:ascii="Arial" w:hAnsi="Arial" w:cs="Arial"/>
          <w:lang w:val="en-GB"/>
        </w:rPr>
        <w:t xml:space="preserve"> RCTs </w:t>
      </w:r>
      <w:r w:rsidR="00AC7926">
        <w:rPr>
          <w:rFonts w:ascii="Arial" w:hAnsi="Arial" w:cs="Arial"/>
          <w:lang w:val="en-GB"/>
        </w:rPr>
        <w:t xml:space="preserve">that focused on promoting </w:t>
      </w:r>
      <w:r w:rsidR="008C06CC">
        <w:rPr>
          <w:rFonts w:ascii="Arial" w:hAnsi="Arial" w:cs="Arial"/>
          <w:lang w:val="en-GB"/>
        </w:rPr>
        <w:t xml:space="preserve">growth in full-term SGA infants. There is great potential for such interventions to have long-term benefits on height and </w:t>
      </w:r>
      <w:proofErr w:type="spellStart"/>
      <w:r w:rsidR="008C06CC">
        <w:rPr>
          <w:rFonts w:ascii="Arial" w:hAnsi="Arial" w:cs="Arial"/>
          <w:lang w:val="en-GB"/>
        </w:rPr>
        <w:t>neurocognition</w:t>
      </w:r>
      <w:proofErr w:type="spellEnd"/>
      <w:r w:rsidR="008C06CC">
        <w:rPr>
          <w:rFonts w:ascii="Arial" w:hAnsi="Arial" w:cs="Arial"/>
          <w:lang w:val="en-GB"/>
        </w:rPr>
        <w:t xml:space="preserve"> without significant </w:t>
      </w:r>
      <w:r w:rsidR="00E35850">
        <w:rPr>
          <w:rFonts w:ascii="Arial" w:hAnsi="Arial" w:cs="Arial"/>
          <w:lang w:val="en-GB"/>
        </w:rPr>
        <w:t xml:space="preserve">negative effects </w:t>
      </w:r>
      <w:r w:rsidR="008C06CC">
        <w:rPr>
          <w:rFonts w:ascii="Arial" w:hAnsi="Arial" w:cs="Arial"/>
          <w:lang w:val="en-GB"/>
        </w:rPr>
        <w:t>on metabolic health, but there remains a substantial knowledge gap on the impact of nutritional interventions on growth in this population, especially in low-</w:t>
      </w:r>
      <w:r w:rsidR="00AC7926">
        <w:rPr>
          <w:rFonts w:ascii="Arial" w:hAnsi="Arial" w:cs="Arial"/>
          <w:lang w:val="en-GB"/>
        </w:rPr>
        <w:t>income</w:t>
      </w:r>
      <w:r w:rsidR="008C06CC">
        <w:rPr>
          <w:rFonts w:ascii="Arial" w:hAnsi="Arial" w:cs="Arial"/>
          <w:lang w:val="en-GB"/>
        </w:rPr>
        <w:t xml:space="preserve"> and middle-income settings. </w:t>
      </w:r>
      <w:r w:rsidR="008C06CC">
        <w:rPr>
          <w:rFonts w:ascii="Arial" w:hAnsi="Arial" w:cs="Arial"/>
          <w:lang w:val="en-GB"/>
        </w:rPr>
        <w:lastRenderedPageBreak/>
        <w:t xml:space="preserve">Further observational studies that include repeated postnatal anthropometric measurements would allow </w:t>
      </w:r>
      <w:r w:rsidR="00AC7926">
        <w:rPr>
          <w:rFonts w:ascii="Arial" w:hAnsi="Arial" w:cs="Arial"/>
          <w:lang w:val="en-GB"/>
        </w:rPr>
        <w:t xml:space="preserve">us to identify </w:t>
      </w:r>
      <w:r w:rsidR="008C06CC">
        <w:rPr>
          <w:rFonts w:ascii="Arial" w:hAnsi="Arial" w:cs="Arial"/>
          <w:lang w:val="en-GB"/>
        </w:rPr>
        <w:t>possible critical windows of growth associated with differing health outcomes and more studies assessing neurocognitive outcomes are needed. Finally, future prospective studies should assess the potential contribution of body composition</w:t>
      </w:r>
      <w:r w:rsidR="00A81A47">
        <w:rPr>
          <w:rFonts w:ascii="Arial" w:hAnsi="Arial" w:cs="Arial"/>
          <w:lang w:val="en-GB"/>
        </w:rPr>
        <w:t>,</w:t>
      </w:r>
      <w:r w:rsidR="008C06CC">
        <w:rPr>
          <w:rFonts w:ascii="Arial" w:hAnsi="Arial" w:cs="Arial"/>
          <w:lang w:val="en-GB"/>
        </w:rPr>
        <w:t xml:space="preserve"> rather than total body weight gain on later outcomes. It is plausible that the potential benefits of postnatal growth on neurocognitive and other outcomes are related to gains in lean body mass, whereas gains in body fat mass, in particular central fat, might predict insulin resistance and related adverse metabolic and health outcomes. </w:t>
      </w:r>
      <w:r w:rsidR="008C06CC">
        <w:rPr>
          <w:rFonts w:ascii="Arial" w:hAnsi="Arial" w:cs="Arial"/>
          <w:b/>
          <w:color w:val="000000" w:themeColor="text1"/>
          <w:lang w:val="en-GB"/>
        </w:rPr>
        <w:br w:type="page"/>
      </w:r>
    </w:p>
    <w:p w14:paraId="6B70E798" w14:textId="77777777" w:rsidR="00617FE8" w:rsidRPr="00F938E3" w:rsidRDefault="008C06CC">
      <w:pPr>
        <w:spacing w:after="0" w:line="480" w:lineRule="auto"/>
        <w:jc w:val="both"/>
        <w:rPr>
          <w:rFonts w:ascii="Arial" w:hAnsi="Arial" w:cs="Arial"/>
          <w:b/>
          <w:color w:val="000000" w:themeColor="text1"/>
          <w:lang w:val="en-GB"/>
        </w:rPr>
      </w:pPr>
      <w:r w:rsidRPr="00F938E3">
        <w:rPr>
          <w:rFonts w:ascii="Arial" w:hAnsi="Arial" w:cs="Arial"/>
          <w:b/>
          <w:color w:val="000000" w:themeColor="text1"/>
          <w:lang w:val="en-GB"/>
        </w:rPr>
        <w:lastRenderedPageBreak/>
        <w:t>Acknowledgements</w:t>
      </w:r>
    </w:p>
    <w:p w14:paraId="6571A6F5" w14:textId="2E82054F" w:rsidR="00B307C0" w:rsidRDefault="00B307C0">
      <w:pPr>
        <w:spacing w:after="0" w:line="480" w:lineRule="auto"/>
        <w:jc w:val="both"/>
        <w:rPr>
          <w:rFonts w:ascii="Arial" w:hAnsi="Arial" w:cs="Arial"/>
          <w:lang w:val="en-GB"/>
        </w:rPr>
      </w:pPr>
      <w:r w:rsidRPr="00F938E3">
        <w:rPr>
          <w:rFonts w:ascii="Arial" w:hAnsi="Arial" w:cs="Arial"/>
          <w:lang w:val="en-GB"/>
        </w:rPr>
        <w:t xml:space="preserve">The authors would like to thank </w:t>
      </w:r>
      <w:r w:rsidR="008C06CC" w:rsidRPr="00F938E3">
        <w:rPr>
          <w:rFonts w:ascii="Arial" w:hAnsi="Arial" w:cs="Arial"/>
          <w:lang w:val="en-GB"/>
        </w:rPr>
        <w:t xml:space="preserve">Mr </w:t>
      </w:r>
      <w:proofErr w:type="spellStart"/>
      <w:r w:rsidR="008C06CC" w:rsidRPr="00F938E3">
        <w:rPr>
          <w:rFonts w:ascii="Arial" w:hAnsi="Arial" w:cs="Arial"/>
          <w:lang w:val="en-GB"/>
        </w:rPr>
        <w:t>Jeroen</w:t>
      </w:r>
      <w:proofErr w:type="spellEnd"/>
      <w:r w:rsidR="008C06CC" w:rsidRPr="00F938E3">
        <w:rPr>
          <w:rFonts w:ascii="Arial" w:hAnsi="Arial" w:cs="Arial"/>
          <w:lang w:val="en-GB"/>
        </w:rPr>
        <w:t xml:space="preserve"> </w:t>
      </w:r>
      <w:proofErr w:type="spellStart"/>
      <w:r w:rsidR="008C06CC" w:rsidRPr="00F938E3">
        <w:rPr>
          <w:rFonts w:ascii="Arial" w:hAnsi="Arial" w:cs="Arial"/>
          <w:lang w:val="en-GB"/>
        </w:rPr>
        <w:t>Schuermans</w:t>
      </w:r>
      <w:proofErr w:type="spellEnd"/>
      <w:r w:rsidR="008C06CC" w:rsidRPr="00F938E3">
        <w:rPr>
          <w:rFonts w:ascii="Arial" w:hAnsi="Arial" w:cs="Arial"/>
          <w:lang w:val="en-GB"/>
        </w:rPr>
        <w:t xml:space="preserve"> and Dr Bettina Schelkle, Scientific Project Managers at ILSI Europe</w:t>
      </w:r>
      <w:r w:rsidRPr="00F938E3">
        <w:rPr>
          <w:rFonts w:ascii="Arial" w:hAnsi="Arial" w:cs="Arial"/>
          <w:lang w:val="en-GB"/>
        </w:rPr>
        <w:t xml:space="preserve">, who coordinated this </w:t>
      </w:r>
      <w:r w:rsidR="00A81A47" w:rsidRPr="00F938E3">
        <w:rPr>
          <w:rFonts w:ascii="Arial" w:hAnsi="Arial" w:cs="Arial"/>
          <w:lang w:val="en-GB"/>
        </w:rPr>
        <w:t>paper</w:t>
      </w:r>
      <w:r w:rsidR="008C06CC" w:rsidRPr="00F938E3">
        <w:rPr>
          <w:rFonts w:ascii="Arial" w:hAnsi="Arial" w:cs="Arial"/>
          <w:lang w:val="en-GB"/>
        </w:rPr>
        <w:t>.</w:t>
      </w:r>
      <w:r w:rsidR="008C06CC">
        <w:rPr>
          <w:rFonts w:ascii="Arial" w:hAnsi="Arial" w:cs="Arial"/>
          <w:lang w:val="en-GB"/>
        </w:rPr>
        <w:t xml:space="preserve"> </w:t>
      </w:r>
    </w:p>
    <w:p w14:paraId="541EDED8" w14:textId="77777777" w:rsidR="00A81A47" w:rsidRDefault="00A81A47" w:rsidP="00B307C0">
      <w:pPr>
        <w:spacing w:after="0" w:line="480" w:lineRule="auto"/>
        <w:jc w:val="both"/>
        <w:rPr>
          <w:rFonts w:ascii="Arial" w:hAnsi="Arial" w:cs="Arial"/>
          <w:b/>
          <w:lang w:val="en-GB"/>
        </w:rPr>
      </w:pPr>
    </w:p>
    <w:p w14:paraId="3F57D624" w14:textId="56C4820D" w:rsidR="00A81A47" w:rsidRDefault="00A81A47" w:rsidP="00B307C0">
      <w:pPr>
        <w:spacing w:after="0" w:line="480" w:lineRule="auto"/>
        <w:jc w:val="both"/>
        <w:rPr>
          <w:rFonts w:ascii="Arial" w:hAnsi="Arial" w:cs="Arial"/>
          <w:lang w:val="en-GB"/>
        </w:rPr>
      </w:pPr>
      <w:r>
        <w:rPr>
          <w:rFonts w:ascii="Arial" w:hAnsi="Arial" w:cs="Arial"/>
          <w:b/>
          <w:lang w:val="en-GB"/>
        </w:rPr>
        <w:t>CONFLICTS OF INTEREST</w:t>
      </w:r>
      <w:r w:rsidR="00B307C0" w:rsidRPr="00B307C0">
        <w:rPr>
          <w:rFonts w:ascii="Arial" w:hAnsi="Arial" w:cs="Arial"/>
          <w:lang w:val="en-GB"/>
        </w:rPr>
        <w:t xml:space="preserve"> </w:t>
      </w:r>
    </w:p>
    <w:p w14:paraId="27BEFC78" w14:textId="40AE00B5" w:rsidR="00B307C0" w:rsidRPr="00B307C0" w:rsidRDefault="00B307C0" w:rsidP="00B307C0">
      <w:pPr>
        <w:spacing w:after="0" w:line="480" w:lineRule="auto"/>
        <w:jc w:val="both"/>
        <w:rPr>
          <w:rFonts w:ascii="Arial" w:hAnsi="Arial" w:cs="Arial"/>
          <w:lang w:val="en-GB"/>
        </w:rPr>
      </w:pPr>
      <w:r w:rsidRPr="00B307C0">
        <w:rPr>
          <w:rFonts w:ascii="Arial" w:hAnsi="Arial" w:cs="Arial"/>
          <w:lang w:val="en-GB"/>
        </w:rPr>
        <w:t xml:space="preserve">Keith Godfrey has received reimbursement for speaking at conferences sponsored by companies selling nutritional products and is part of an academic consortium that has received research funding from Abbott Nutrition, </w:t>
      </w:r>
      <w:proofErr w:type="spellStart"/>
      <w:r w:rsidRPr="00B307C0">
        <w:rPr>
          <w:rFonts w:ascii="Arial" w:hAnsi="Arial" w:cs="Arial"/>
          <w:lang w:val="en-GB"/>
        </w:rPr>
        <w:t>Nestec</w:t>
      </w:r>
      <w:proofErr w:type="spellEnd"/>
      <w:r w:rsidRPr="00B307C0">
        <w:rPr>
          <w:rFonts w:ascii="Arial" w:hAnsi="Arial" w:cs="Arial"/>
          <w:lang w:val="en-GB"/>
        </w:rPr>
        <w:t xml:space="preserve"> and Danone. Berthold Koletzko is a member of the National Breastfeeding Committee. The Ludwig-</w:t>
      </w:r>
      <w:proofErr w:type="spellStart"/>
      <w:r w:rsidRPr="00B307C0">
        <w:rPr>
          <w:rFonts w:ascii="Arial" w:hAnsi="Arial" w:cs="Arial"/>
          <w:lang w:val="en-GB"/>
        </w:rPr>
        <w:t>Maximilians</w:t>
      </w:r>
      <w:proofErr w:type="spellEnd"/>
      <w:r w:rsidRPr="00B307C0">
        <w:rPr>
          <w:rFonts w:ascii="Arial" w:hAnsi="Arial" w:cs="Arial"/>
          <w:lang w:val="en-GB"/>
        </w:rPr>
        <w:t>-</w:t>
      </w:r>
      <w:proofErr w:type="spellStart"/>
      <w:r w:rsidRPr="00B307C0">
        <w:rPr>
          <w:rFonts w:ascii="Arial" w:hAnsi="Arial" w:cs="Arial"/>
          <w:lang w:val="en-GB"/>
        </w:rPr>
        <w:t>Universität</w:t>
      </w:r>
      <w:proofErr w:type="spellEnd"/>
      <w:r w:rsidRPr="00B307C0">
        <w:rPr>
          <w:rFonts w:ascii="Arial" w:hAnsi="Arial" w:cs="Arial"/>
          <w:lang w:val="en-GB"/>
        </w:rPr>
        <w:t xml:space="preserve"> </w:t>
      </w:r>
      <w:proofErr w:type="spellStart"/>
      <w:r w:rsidRPr="00B307C0">
        <w:rPr>
          <w:rFonts w:ascii="Arial" w:hAnsi="Arial" w:cs="Arial"/>
          <w:lang w:val="en-GB"/>
        </w:rPr>
        <w:t>München</w:t>
      </w:r>
      <w:proofErr w:type="spellEnd"/>
      <w:r w:rsidRPr="00B307C0">
        <w:rPr>
          <w:rFonts w:ascii="Arial" w:hAnsi="Arial" w:cs="Arial"/>
          <w:lang w:val="en-GB"/>
        </w:rPr>
        <w:t xml:space="preserve"> and its employee Berthold Koletzko have received support for scientific and educational activities by companies marketing nutritional products, predominantly as part of publically funded research projects with support of the European Commission or German governmental research support. </w:t>
      </w:r>
      <w:r w:rsidR="00A81A47">
        <w:rPr>
          <w:rFonts w:ascii="Arial" w:hAnsi="Arial" w:cs="Arial"/>
          <w:lang w:val="en-GB"/>
        </w:rPr>
        <w:t>The other</w:t>
      </w:r>
      <w:r w:rsidRPr="00B307C0">
        <w:rPr>
          <w:rFonts w:ascii="Arial" w:hAnsi="Arial" w:cs="Arial"/>
          <w:lang w:val="en-GB"/>
        </w:rPr>
        <w:t xml:space="preserve"> authors declare no conflict of interest. </w:t>
      </w:r>
    </w:p>
    <w:p w14:paraId="64E855D1" w14:textId="77777777" w:rsidR="00A81A47" w:rsidRDefault="00A81A47" w:rsidP="00B307C0">
      <w:pPr>
        <w:spacing w:after="0" w:line="480" w:lineRule="auto"/>
        <w:jc w:val="both"/>
        <w:rPr>
          <w:rFonts w:ascii="Arial" w:hAnsi="Arial" w:cs="Arial"/>
          <w:b/>
          <w:lang w:val="en-GB"/>
        </w:rPr>
      </w:pPr>
    </w:p>
    <w:p w14:paraId="4031250B" w14:textId="6FDC4C17" w:rsidR="00A81A47" w:rsidRDefault="00A81A47" w:rsidP="00B307C0">
      <w:pPr>
        <w:spacing w:after="0" w:line="480" w:lineRule="auto"/>
        <w:jc w:val="both"/>
        <w:rPr>
          <w:rFonts w:ascii="Arial" w:hAnsi="Arial" w:cs="Arial"/>
          <w:lang w:val="en-GB"/>
        </w:rPr>
      </w:pPr>
      <w:r>
        <w:rPr>
          <w:rFonts w:ascii="Arial" w:hAnsi="Arial" w:cs="Arial"/>
          <w:b/>
          <w:lang w:val="en-GB"/>
        </w:rPr>
        <w:t>FUNDING</w:t>
      </w:r>
      <w:r w:rsidR="00B307C0" w:rsidRPr="00B307C0">
        <w:rPr>
          <w:rFonts w:ascii="Arial" w:hAnsi="Arial" w:cs="Arial"/>
          <w:lang w:val="en-GB"/>
        </w:rPr>
        <w:t xml:space="preserve"> </w:t>
      </w:r>
    </w:p>
    <w:p w14:paraId="3866E2F9" w14:textId="6DA12C69" w:rsidR="00B307C0" w:rsidRDefault="00B307C0" w:rsidP="00B307C0">
      <w:pPr>
        <w:spacing w:after="0" w:line="480" w:lineRule="auto"/>
        <w:jc w:val="both"/>
        <w:rPr>
          <w:rFonts w:ascii="Arial" w:hAnsi="Arial" w:cs="Arial"/>
          <w:lang w:val="en-GB"/>
        </w:rPr>
      </w:pPr>
      <w:r w:rsidRPr="00B307C0">
        <w:rPr>
          <w:rFonts w:ascii="Arial" w:hAnsi="Arial" w:cs="Arial"/>
          <w:lang w:val="en-GB"/>
        </w:rPr>
        <w:t xml:space="preserve">The expert group received funding from the ILSI Europe Early Nutrition and Long-Term Health (formerly Metabolic Imprinting) Task Force. Industry members of this task force are listed on the ILSI Europe website at </w:t>
      </w:r>
      <w:hyperlink r:id="rId10" w:history="1">
        <w:r w:rsidRPr="00B307C0">
          <w:rPr>
            <w:rStyle w:val="Hyperlink"/>
            <w:rFonts w:ascii="Arial" w:hAnsi="Arial" w:cs="Arial"/>
            <w:lang w:val="en-GB"/>
          </w:rPr>
          <w:t>http://ilsi.eu/task-forces/nutrition/early-nutrition-and-long-term-health/</w:t>
        </w:r>
      </w:hyperlink>
      <w:r w:rsidRPr="00B307C0">
        <w:rPr>
          <w:rFonts w:ascii="Arial" w:hAnsi="Arial" w:cs="Arial"/>
          <w:lang w:val="en-GB"/>
        </w:rPr>
        <w:t xml:space="preserve">. Experts are not paid for the time spent on this work; however, the non-industry members within the expert group received a small compensatory sum (honoraria) and travel support from the Early Nutrition and Long-Term Health Task Force to attend meetings to discuss the review.  </w:t>
      </w:r>
    </w:p>
    <w:p w14:paraId="5E1E4B56" w14:textId="77777777" w:rsidR="006F51D7" w:rsidRDefault="006F51D7">
      <w:pPr>
        <w:rPr>
          <w:rFonts w:ascii="Arial" w:hAnsi="Arial" w:cs="Arial"/>
          <w:lang w:val="en-GB"/>
        </w:rPr>
      </w:pPr>
      <w:r>
        <w:rPr>
          <w:rFonts w:ascii="Arial" w:hAnsi="Arial" w:cs="Arial"/>
          <w:lang w:val="en-GB"/>
        </w:rPr>
        <w:br w:type="page"/>
      </w:r>
    </w:p>
    <w:p w14:paraId="4B3D1D20" w14:textId="77777777" w:rsidR="006F51D7" w:rsidRDefault="006F51D7" w:rsidP="006F51D7">
      <w:pPr>
        <w:rPr>
          <w:rFonts w:ascii="Arial" w:hAnsi="Arial" w:cs="Arial"/>
          <w:b/>
          <w:lang w:val="en-GB"/>
        </w:rPr>
      </w:pPr>
      <w:r>
        <w:rPr>
          <w:rFonts w:ascii="Arial" w:hAnsi="Arial" w:cs="Arial"/>
          <w:b/>
          <w:lang w:val="en-GB"/>
        </w:rPr>
        <w:lastRenderedPageBreak/>
        <w:t>List of abbreviations</w:t>
      </w:r>
    </w:p>
    <w:p w14:paraId="02932A46" w14:textId="77777777" w:rsidR="006F51D7" w:rsidRDefault="006F51D7" w:rsidP="006F51D7">
      <w:pPr>
        <w:rPr>
          <w:rFonts w:ascii="Arial" w:hAnsi="Arial" w:cs="Arial"/>
          <w:lang w:val="en-GB"/>
        </w:rPr>
      </w:pPr>
      <w:r>
        <w:rPr>
          <w:rFonts w:ascii="Arial" w:hAnsi="Arial" w:cs="Arial"/>
          <w:lang w:val="en-GB"/>
        </w:rPr>
        <w:t>AGA: appropriate for gestational age</w:t>
      </w:r>
    </w:p>
    <w:p w14:paraId="62C96425" w14:textId="77777777" w:rsidR="006F51D7" w:rsidRDefault="006F51D7" w:rsidP="006F51D7">
      <w:pPr>
        <w:rPr>
          <w:rFonts w:ascii="Arial" w:hAnsi="Arial" w:cs="Arial"/>
          <w:lang w:val="en-GB"/>
        </w:rPr>
      </w:pPr>
      <w:r>
        <w:rPr>
          <w:rFonts w:ascii="Arial" w:hAnsi="Arial" w:cs="Arial"/>
          <w:lang w:val="en-GB"/>
        </w:rPr>
        <w:t>BMI: Body Mass Index</w:t>
      </w:r>
    </w:p>
    <w:p w14:paraId="6313B96E" w14:textId="77777777" w:rsidR="006F51D7" w:rsidRDefault="006F51D7" w:rsidP="006F51D7">
      <w:pPr>
        <w:rPr>
          <w:rFonts w:ascii="Arial" w:hAnsi="Arial" w:cs="Arial"/>
          <w:lang w:val="en-GB"/>
        </w:rPr>
      </w:pPr>
      <w:r>
        <w:rPr>
          <w:rFonts w:ascii="Arial" w:hAnsi="Arial" w:cs="Arial"/>
          <w:lang w:val="en-GB"/>
        </w:rPr>
        <w:t>BP: blood pressure</w:t>
      </w:r>
    </w:p>
    <w:p w14:paraId="06BDA794" w14:textId="77777777" w:rsidR="006F51D7" w:rsidRDefault="006F51D7" w:rsidP="006F51D7">
      <w:pPr>
        <w:rPr>
          <w:rFonts w:ascii="Arial" w:hAnsi="Arial" w:cs="Arial"/>
          <w:lang w:val="en-GB"/>
        </w:rPr>
      </w:pPr>
      <w:r>
        <w:rPr>
          <w:rFonts w:ascii="Arial" w:hAnsi="Arial" w:cs="Arial"/>
          <w:lang w:val="en-GB"/>
        </w:rPr>
        <w:t>RCT: randomised controlled trial</w:t>
      </w:r>
    </w:p>
    <w:p w14:paraId="34D27A7C" w14:textId="77777777" w:rsidR="006F51D7" w:rsidRDefault="006F51D7" w:rsidP="006F51D7">
      <w:pPr>
        <w:rPr>
          <w:rFonts w:ascii="Arial" w:hAnsi="Arial" w:cs="Arial"/>
          <w:lang w:val="en-GB"/>
        </w:rPr>
      </w:pPr>
      <w:r>
        <w:rPr>
          <w:rFonts w:ascii="Arial" w:hAnsi="Arial" w:cs="Arial"/>
          <w:lang w:val="en-GB"/>
        </w:rPr>
        <w:t>SGA: small for gestational age</w:t>
      </w:r>
    </w:p>
    <w:p w14:paraId="09B1B6D9" w14:textId="77777777" w:rsidR="006F51D7" w:rsidRDefault="006F51D7" w:rsidP="00B307C0">
      <w:pPr>
        <w:spacing w:after="0" w:line="480" w:lineRule="auto"/>
        <w:jc w:val="both"/>
        <w:rPr>
          <w:rFonts w:ascii="Arial" w:hAnsi="Arial" w:cs="Arial"/>
          <w:lang w:val="en-GB"/>
        </w:rPr>
      </w:pPr>
    </w:p>
    <w:p w14:paraId="4A332DA7" w14:textId="286B4C17" w:rsidR="00AE65B2" w:rsidRDefault="00AE65B2">
      <w:pPr>
        <w:rPr>
          <w:rFonts w:ascii="Arial" w:hAnsi="Arial" w:cs="Arial"/>
          <w:lang w:val="en-GB"/>
        </w:rPr>
      </w:pPr>
      <w:r>
        <w:rPr>
          <w:rFonts w:ascii="Arial" w:hAnsi="Arial" w:cs="Arial"/>
          <w:lang w:val="en-GB"/>
        </w:rPr>
        <w:br w:type="page"/>
      </w:r>
    </w:p>
    <w:p w14:paraId="01AE42D5" w14:textId="77777777" w:rsidR="00AE65B2" w:rsidRPr="00F938E3" w:rsidRDefault="00AE65B2" w:rsidP="00AE65B2">
      <w:pPr>
        <w:spacing w:after="0" w:line="480" w:lineRule="auto"/>
        <w:jc w:val="both"/>
        <w:rPr>
          <w:rFonts w:ascii="Arial" w:eastAsia="Calibri" w:hAnsi="Arial" w:cs="Arial"/>
          <w:lang w:val="en-GB" w:eastAsia="en-GB"/>
        </w:rPr>
      </w:pPr>
      <w:r w:rsidRPr="00F938E3">
        <w:rPr>
          <w:rFonts w:ascii="Arial" w:eastAsia="Calibri" w:hAnsi="Arial" w:cs="Arial"/>
          <w:lang w:val="en-GB" w:eastAsia="en-GB"/>
        </w:rPr>
        <w:lastRenderedPageBreak/>
        <w:t xml:space="preserve">Table 1: Postnatal growth in full-term SGA infants related to later neurocognitive outcomes. </w:t>
      </w:r>
    </w:p>
    <w:p w14:paraId="15469D6E" w14:textId="77777777" w:rsidR="00AE65B2" w:rsidRPr="00F938E3" w:rsidRDefault="00AE65B2" w:rsidP="00AE65B2">
      <w:pPr>
        <w:spacing w:after="0" w:line="480" w:lineRule="auto"/>
        <w:jc w:val="both"/>
        <w:rPr>
          <w:rFonts w:ascii="Arial" w:eastAsia="Calibri" w:hAnsi="Arial" w:cs="Arial"/>
          <w:lang w:val="en-GB" w:eastAsia="en-GB"/>
        </w:rPr>
      </w:pPr>
      <w:r w:rsidRPr="00F938E3">
        <w:rPr>
          <w:rFonts w:ascii="Arial" w:eastAsia="Calibri" w:hAnsi="Arial" w:cs="Arial"/>
          <w:lang w:val="en-GB" w:eastAsia="en-GB"/>
        </w:rPr>
        <w:t xml:space="preserve">Reports are ordered by study design and age at outcome assessment. </w:t>
      </w:r>
    </w:p>
    <w:p w14:paraId="51123358" w14:textId="77777777" w:rsidR="00AE65B2" w:rsidRPr="00F938E3" w:rsidRDefault="00AE65B2" w:rsidP="00AE65B2">
      <w:pPr>
        <w:spacing w:after="0" w:line="480" w:lineRule="auto"/>
        <w:jc w:val="both"/>
        <w:rPr>
          <w:rFonts w:ascii="Arial" w:eastAsia="Calibri" w:hAnsi="Arial" w:cs="Arial"/>
          <w:lang w:val="en-GB"/>
        </w:rPr>
      </w:pPr>
      <w:r w:rsidRPr="00F938E3">
        <w:rPr>
          <w:rFonts w:ascii="Arial" w:eastAsia="Calibri" w:hAnsi="Arial" w:cs="Arial"/>
          <w:lang w:val="en-GB"/>
        </w:rPr>
        <w:t>B, birth; MDI, mental developmental index; PDI, psychomotor developmental index;</w:t>
      </w:r>
      <w:r w:rsidRPr="00F938E3">
        <w:rPr>
          <w:rFonts w:ascii="Arial" w:hAnsi="Arial" w:cs="Arial"/>
        </w:rPr>
        <w:t xml:space="preserve"> </w:t>
      </w:r>
      <w:r w:rsidRPr="00F938E3">
        <w:rPr>
          <w:rFonts w:ascii="Arial" w:eastAsia="Calibri" w:hAnsi="Arial" w:cs="Arial"/>
        </w:rPr>
        <w:t xml:space="preserve">WT, weight; HT, height or length; </w:t>
      </w:r>
      <w:r w:rsidRPr="00F938E3">
        <w:rPr>
          <w:rFonts w:ascii="Arial" w:eastAsia="Calibri" w:hAnsi="Arial" w:cs="Arial"/>
          <w:lang w:val="en-GB"/>
        </w:rPr>
        <w:t xml:space="preserve">IP, intellectual performance; PP, psychological performance; SES, socioeconomic status; WISC,  Wechsler intelligence scale for children; HC, head circumference; y, years; </w:t>
      </w:r>
      <w:proofErr w:type="spellStart"/>
      <w:r w:rsidRPr="00F938E3">
        <w:rPr>
          <w:rFonts w:ascii="Arial" w:eastAsia="Calibri" w:hAnsi="Arial" w:cs="Arial"/>
          <w:lang w:val="en-GB"/>
        </w:rPr>
        <w:t>mo</w:t>
      </w:r>
      <w:proofErr w:type="spellEnd"/>
      <w:r w:rsidRPr="00F938E3">
        <w:rPr>
          <w:rFonts w:ascii="Arial" w:eastAsia="Calibri" w:hAnsi="Arial" w:cs="Arial"/>
          <w:lang w:val="en-GB"/>
        </w:rPr>
        <w:t>, months.</w:t>
      </w:r>
    </w:p>
    <w:p w14:paraId="42489228" w14:textId="77777777" w:rsidR="00AE65B2" w:rsidRDefault="00AE65B2" w:rsidP="00AE65B2">
      <w:pPr>
        <w:spacing w:after="0" w:line="480" w:lineRule="auto"/>
        <w:jc w:val="both"/>
        <w:rPr>
          <w:rFonts w:ascii="Arial" w:eastAsia="Calibri" w:hAnsi="Arial" w:cs="Arial"/>
          <w:lang w:val="en-GB"/>
        </w:rPr>
      </w:pPr>
      <w:r w:rsidRPr="00F938E3">
        <w:rPr>
          <w:rFonts w:ascii="Arial" w:eastAsia="Calibri" w:hAnsi="Arial" w:cs="Arial"/>
          <w:lang w:val="en-GB"/>
        </w:rPr>
        <w:t>Study quality: Low (L), 0-4 points in the Newcastle-Ottawa Scale; moderate (M), 5-7 points; high (H), 8-9 points.</w:t>
      </w:r>
      <w:r>
        <w:rPr>
          <w:rFonts w:ascii="Arial" w:eastAsia="Calibri" w:hAnsi="Arial" w:cs="Arial"/>
          <w:lang w:val="en-GB"/>
        </w:rPr>
        <w:t xml:space="preserve"> </w:t>
      </w:r>
    </w:p>
    <w:p w14:paraId="01C06778" w14:textId="77777777" w:rsidR="00617FE8" w:rsidRDefault="008C06CC">
      <w:pPr>
        <w:spacing w:after="0" w:line="480" w:lineRule="auto"/>
        <w:jc w:val="both"/>
        <w:rPr>
          <w:rFonts w:ascii="Arial" w:hAnsi="Arial" w:cs="Arial"/>
          <w:color w:val="000000" w:themeColor="text1"/>
          <w:lang w:val="en-GB"/>
        </w:rPr>
      </w:pPr>
      <w:r>
        <w:rPr>
          <w:rFonts w:ascii="Arial" w:hAnsi="Arial" w:cs="Arial"/>
          <w:color w:val="000000" w:themeColor="text1"/>
          <w:lang w:val="en-GB"/>
        </w:rPr>
        <w:br w:type="page"/>
      </w:r>
    </w:p>
    <w:p w14:paraId="4D4E28C1" w14:textId="77777777" w:rsidR="00617FE8" w:rsidRDefault="00617FE8" w:rsidP="00EC5084">
      <w:pPr>
        <w:rPr>
          <w:rFonts w:ascii="Arial" w:hAnsi="Arial" w:cs="Arial"/>
          <w:lang w:val="en-GB"/>
        </w:rPr>
      </w:pPr>
    </w:p>
    <w:tbl>
      <w:tblPr>
        <w:tblpPr w:leftFromText="141" w:rightFromText="141" w:horzAnchor="margin" w:tblpY="727"/>
        <w:tblW w:w="9039" w:type="dxa"/>
        <w:tblLayout w:type="fixed"/>
        <w:tblLook w:val="00A0" w:firstRow="1" w:lastRow="0" w:firstColumn="1" w:lastColumn="0" w:noHBand="0" w:noVBand="0"/>
      </w:tblPr>
      <w:tblGrid>
        <w:gridCol w:w="959"/>
        <w:gridCol w:w="1042"/>
        <w:gridCol w:w="616"/>
        <w:gridCol w:w="992"/>
        <w:gridCol w:w="1060"/>
        <w:gridCol w:w="3002"/>
        <w:gridCol w:w="1368"/>
      </w:tblGrid>
      <w:tr w:rsidR="00617FE8" w14:paraId="305BF93E" w14:textId="77777777">
        <w:trPr>
          <w:trHeight w:val="511"/>
        </w:trPr>
        <w:tc>
          <w:tcPr>
            <w:tcW w:w="959" w:type="dxa"/>
            <w:tcBorders>
              <w:bottom w:val="single" w:sz="4" w:space="0" w:color="auto"/>
            </w:tcBorders>
          </w:tcPr>
          <w:p w14:paraId="4A7E5CDD"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a) WT gain</w:t>
            </w:r>
          </w:p>
        </w:tc>
        <w:tc>
          <w:tcPr>
            <w:tcW w:w="1042" w:type="dxa"/>
            <w:tcBorders>
              <w:bottom w:val="single" w:sz="4" w:space="0" w:color="auto"/>
            </w:tcBorders>
          </w:tcPr>
          <w:p w14:paraId="6CBD7894"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Timing of exposure</w:t>
            </w:r>
          </w:p>
        </w:tc>
        <w:tc>
          <w:tcPr>
            <w:tcW w:w="616" w:type="dxa"/>
            <w:tcBorders>
              <w:bottom w:val="single" w:sz="4" w:space="0" w:color="auto"/>
            </w:tcBorders>
          </w:tcPr>
          <w:p w14:paraId="3BC7ADFE"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N</w:t>
            </w:r>
          </w:p>
          <w:p w14:paraId="766AB639"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SGA</w:t>
            </w:r>
          </w:p>
        </w:tc>
        <w:tc>
          <w:tcPr>
            <w:tcW w:w="992" w:type="dxa"/>
            <w:tcBorders>
              <w:bottom w:val="single" w:sz="4" w:space="0" w:color="auto"/>
            </w:tcBorders>
          </w:tcPr>
          <w:p w14:paraId="76DD9773"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Age at outcome</w:t>
            </w:r>
          </w:p>
        </w:tc>
        <w:tc>
          <w:tcPr>
            <w:tcW w:w="1060" w:type="dxa"/>
            <w:tcBorders>
              <w:bottom w:val="single" w:sz="4" w:space="0" w:color="auto"/>
            </w:tcBorders>
          </w:tcPr>
          <w:p w14:paraId="2E08029A"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Summary result</w:t>
            </w:r>
          </w:p>
        </w:tc>
        <w:tc>
          <w:tcPr>
            <w:tcW w:w="3002" w:type="dxa"/>
            <w:tcBorders>
              <w:bottom w:val="single" w:sz="4" w:space="0" w:color="auto"/>
            </w:tcBorders>
          </w:tcPr>
          <w:p w14:paraId="0458901C"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Comments</w:t>
            </w:r>
          </w:p>
        </w:tc>
        <w:tc>
          <w:tcPr>
            <w:tcW w:w="1368" w:type="dxa"/>
            <w:tcBorders>
              <w:bottom w:val="single" w:sz="4" w:space="0" w:color="auto"/>
            </w:tcBorders>
          </w:tcPr>
          <w:p w14:paraId="549D448F" w14:textId="77777777" w:rsidR="00617FE8" w:rsidRDefault="008C06CC">
            <w:pPr>
              <w:spacing w:after="0" w:line="240" w:lineRule="auto"/>
              <w:rPr>
                <w:rFonts w:eastAsia="Calibri" w:cs="Arial"/>
                <w:b/>
                <w:bCs/>
                <w:sz w:val="20"/>
                <w:szCs w:val="20"/>
                <w:lang w:val="en-GB" w:eastAsia="en-GB"/>
              </w:rPr>
            </w:pPr>
            <w:r>
              <w:rPr>
                <w:rFonts w:eastAsia="Calibri" w:cs="Arial"/>
                <w:b/>
                <w:bCs/>
                <w:sz w:val="20"/>
                <w:szCs w:val="20"/>
                <w:lang w:val="en-GB" w:eastAsia="en-GB"/>
              </w:rPr>
              <w:t>Adjustment</w:t>
            </w:r>
          </w:p>
        </w:tc>
      </w:tr>
      <w:tr w:rsidR="00617FE8" w14:paraId="5F4D5031" w14:textId="77777777">
        <w:trPr>
          <w:trHeight w:val="487"/>
        </w:trPr>
        <w:tc>
          <w:tcPr>
            <w:tcW w:w="9039" w:type="dxa"/>
            <w:gridSpan w:val="7"/>
            <w:tcBorders>
              <w:top w:val="single" w:sz="4" w:space="0" w:color="auto"/>
              <w:bottom w:val="single" w:sz="4" w:space="0" w:color="auto"/>
            </w:tcBorders>
          </w:tcPr>
          <w:p w14:paraId="53758A73" w14:textId="77777777" w:rsidR="00617FE8" w:rsidRDefault="008C06CC">
            <w:pPr>
              <w:spacing w:after="0" w:line="240" w:lineRule="auto"/>
              <w:rPr>
                <w:rFonts w:eastAsia="Calibri" w:cs="Arial"/>
                <w:sz w:val="20"/>
                <w:szCs w:val="20"/>
                <w:lang w:val="en-GB" w:eastAsia="en-GB"/>
              </w:rPr>
            </w:pPr>
            <w:r>
              <w:rPr>
                <w:rFonts w:eastAsia="Calibri" w:cs="Arial"/>
                <w:b/>
                <w:sz w:val="20"/>
                <w:szCs w:val="20"/>
                <w:lang w:val="en-GB"/>
              </w:rPr>
              <w:t>Randomised controlled trials</w:t>
            </w:r>
          </w:p>
        </w:tc>
      </w:tr>
      <w:tr w:rsidR="00617FE8" w14:paraId="04A61FD9" w14:textId="77777777">
        <w:trPr>
          <w:trHeight w:val="1183"/>
        </w:trPr>
        <w:tc>
          <w:tcPr>
            <w:tcW w:w="959" w:type="dxa"/>
            <w:tcBorders>
              <w:top w:val="single" w:sz="4" w:space="0" w:color="auto"/>
              <w:bottom w:val="single" w:sz="4" w:space="0" w:color="auto"/>
            </w:tcBorders>
          </w:tcPr>
          <w:p w14:paraId="340A4FA7"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Morley</w:t>
            </w:r>
            <w:r>
              <w:rPr>
                <w:rFonts w:eastAsia="Calibri" w:cs="Arial"/>
                <w:color w:val="000000" w:themeColor="text1"/>
                <w:sz w:val="20"/>
                <w:szCs w:val="20"/>
                <w:vertAlign w:val="superscript"/>
                <w:lang w:val="en-GB"/>
              </w:rPr>
              <w:t xml:space="preserve"> </w:t>
            </w:r>
            <w:r>
              <w:rPr>
                <w:rFonts w:eastAsia="Calibri" w:cs="Arial"/>
                <w:sz w:val="20"/>
                <w:szCs w:val="20"/>
                <w:lang w:val="en-GB" w:eastAsia="en-GB"/>
              </w:rPr>
              <w:t>2004</w:t>
            </w:r>
            <w:r>
              <w:rPr>
                <w:rFonts w:eastAsia="Calibri" w:cs="Arial"/>
                <w:color w:val="000000" w:themeColor="text1"/>
                <w:sz w:val="20"/>
                <w:szCs w:val="20"/>
                <w:vertAlign w:val="superscript"/>
                <w:lang w:val="en-GB"/>
              </w:rPr>
              <w:t>M</w:t>
            </w:r>
          </w:p>
          <w:p w14:paraId="0A9E8A12"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(20)</w:t>
            </w:r>
          </w:p>
        </w:tc>
        <w:tc>
          <w:tcPr>
            <w:tcW w:w="1042" w:type="dxa"/>
            <w:tcBorders>
              <w:top w:val="single" w:sz="4" w:space="0" w:color="auto"/>
              <w:bottom w:val="single" w:sz="4" w:space="0" w:color="auto"/>
            </w:tcBorders>
          </w:tcPr>
          <w:p w14:paraId="7F23843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B-9mo</w:t>
            </w:r>
          </w:p>
          <w:p w14:paraId="109339B9"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(Nutrient enriched formula)</w:t>
            </w:r>
          </w:p>
        </w:tc>
        <w:tc>
          <w:tcPr>
            <w:tcW w:w="616" w:type="dxa"/>
            <w:tcBorders>
              <w:top w:val="single" w:sz="4" w:space="0" w:color="auto"/>
              <w:bottom w:val="single" w:sz="4" w:space="0" w:color="auto"/>
            </w:tcBorders>
          </w:tcPr>
          <w:p w14:paraId="7B1A33AA"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299</w:t>
            </w:r>
          </w:p>
        </w:tc>
        <w:tc>
          <w:tcPr>
            <w:tcW w:w="992" w:type="dxa"/>
            <w:tcBorders>
              <w:top w:val="single" w:sz="4" w:space="0" w:color="auto"/>
              <w:bottom w:val="single" w:sz="4" w:space="0" w:color="auto"/>
            </w:tcBorders>
          </w:tcPr>
          <w:p w14:paraId="373CE935"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9mo </w:t>
            </w:r>
          </w:p>
          <w:p w14:paraId="36CB7830" w14:textId="77777777" w:rsidR="00617FE8" w:rsidRDefault="00617FE8">
            <w:pPr>
              <w:spacing w:after="0" w:line="240" w:lineRule="auto"/>
              <w:rPr>
                <w:rFonts w:eastAsia="Calibri" w:cs="Arial"/>
                <w:sz w:val="20"/>
                <w:szCs w:val="20"/>
                <w:lang w:val="en-GB" w:eastAsia="en-GB"/>
              </w:rPr>
            </w:pPr>
          </w:p>
          <w:p w14:paraId="36CE8C6D" w14:textId="77777777" w:rsidR="00617FE8" w:rsidRDefault="00617FE8">
            <w:pPr>
              <w:spacing w:after="0" w:line="240" w:lineRule="auto"/>
              <w:rPr>
                <w:rFonts w:eastAsia="Calibri" w:cs="Arial"/>
                <w:sz w:val="20"/>
                <w:szCs w:val="20"/>
                <w:lang w:val="en-GB" w:eastAsia="en-GB"/>
              </w:rPr>
            </w:pPr>
          </w:p>
          <w:p w14:paraId="2CEDF3E9" w14:textId="77777777" w:rsidR="00617FE8" w:rsidRDefault="00617FE8">
            <w:pPr>
              <w:spacing w:after="0" w:line="240" w:lineRule="auto"/>
              <w:rPr>
                <w:rFonts w:eastAsia="Calibri" w:cs="Arial"/>
                <w:sz w:val="20"/>
                <w:szCs w:val="20"/>
                <w:lang w:val="en-GB" w:eastAsia="en-GB"/>
              </w:rPr>
            </w:pPr>
          </w:p>
          <w:p w14:paraId="3FB301F8"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18mo</w:t>
            </w:r>
          </w:p>
        </w:tc>
        <w:tc>
          <w:tcPr>
            <w:tcW w:w="1060" w:type="dxa"/>
            <w:tcBorders>
              <w:top w:val="single" w:sz="4" w:space="0" w:color="auto"/>
              <w:bottom w:val="single" w:sz="4" w:space="0" w:color="auto"/>
            </w:tcBorders>
          </w:tcPr>
          <w:p w14:paraId="515F5624"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(9mo)</w:t>
            </w:r>
          </w:p>
          <w:p w14:paraId="5178951E" w14:textId="77777777" w:rsidR="00617FE8" w:rsidRDefault="00617FE8">
            <w:pPr>
              <w:spacing w:after="0" w:line="240" w:lineRule="auto"/>
              <w:rPr>
                <w:rFonts w:eastAsia="Calibri" w:cs="Arial"/>
                <w:sz w:val="20"/>
                <w:szCs w:val="20"/>
                <w:lang w:val="en-GB" w:eastAsia="en-GB"/>
              </w:rPr>
            </w:pPr>
          </w:p>
          <w:p w14:paraId="19FD8B46" w14:textId="77777777" w:rsidR="00617FE8" w:rsidRDefault="00617FE8">
            <w:pPr>
              <w:spacing w:after="0" w:line="240" w:lineRule="auto"/>
              <w:rPr>
                <w:rFonts w:eastAsia="Calibri" w:cs="Arial"/>
                <w:sz w:val="20"/>
                <w:szCs w:val="20"/>
                <w:lang w:val="en-GB" w:eastAsia="en-GB"/>
              </w:rPr>
            </w:pPr>
          </w:p>
          <w:p w14:paraId="2ED4BB12" w14:textId="77777777" w:rsidR="00617FE8" w:rsidRDefault="00617FE8">
            <w:pPr>
              <w:spacing w:after="0" w:line="240" w:lineRule="auto"/>
              <w:rPr>
                <w:rFonts w:eastAsia="Calibri" w:cs="Arial"/>
                <w:sz w:val="20"/>
                <w:szCs w:val="20"/>
                <w:lang w:val="en-GB" w:eastAsia="en-GB"/>
              </w:rPr>
            </w:pPr>
          </w:p>
          <w:p w14:paraId="321975AF"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0 (18mo)</w:t>
            </w:r>
          </w:p>
        </w:tc>
        <w:tc>
          <w:tcPr>
            <w:tcW w:w="3002" w:type="dxa"/>
            <w:tcBorders>
              <w:top w:val="single" w:sz="4" w:space="0" w:color="auto"/>
              <w:bottom w:val="single" w:sz="4" w:space="0" w:color="auto"/>
            </w:tcBorders>
          </w:tcPr>
          <w:p w14:paraId="15C493BE"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At 9mo, enriched formula group had lower developmental quotient than the standard formula group</w:t>
            </w:r>
          </w:p>
          <w:p w14:paraId="31649958"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At 18mo, no difference was seen in Bayley MDI or PDI scores </w:t>
            </w:r>
          </w:p>
        </w:tc>
        <w:tc>
          <w:tcPr>
            <w:tcW w:w="1368" w:type="dxa"/>
            <w:tcBorders>
              <w:top w:val="single" w:sz="4" w:space="0" w:color="auto"/>
              <w:bottom w:val="single" w:sz="4" w:space="0" w:color="auto"/>
            </w:tcBorders>
          </w:tcPr>
          <w:p w14:paraId="7B5B9D15"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Sex, age, maternal education, social class</w:t>
            </w:r>
          </w:p>
        </w:tc>
      </w:tr>
      <w:tr w:rsidR="00617FE8" w14:paraId="1FCDB8DA" w14:textId="77777777">
        <w:trPr>
          <w:trHeight w:val="420"/>
        </w:trPr>
        <w:tc>
          <w:tcPr>
            <w:tcW w:w="9039" w:type="dxa"/>
            <w:gridSpan w:val="7"/>
            <w:tcBorders>
              <w:top w:val="single" w:sz="4" w:space="0" w:color="auto"/>
              <w:bottom w:val="single" w:sz="4" w:space="0" w:color="auto"/>
            </w:tcBorders>
          </w:tcPr>
          <w:p w14:paraId="74208CFD" w14:textId="77777777" w:rsidR="00617FE8" w:rsidRDefault="008C06CC">
            <w:pPr>
              <w:spacing w:after="0" w:line="240" w:lineRule="auto"/>
              <w:rPr>
                <w:rFonts w:eastAsia="Calibri" w:cs="Arial"/>
                <w:sz w:val="20"/>
                <w:szCs w:val="20"/>
                <w:lang w:val="en-GB" w:eastAsia="en-GB"/>
              </w:rPr>
            </w:pPr>
            <w:r>
              <w:rPr>
                <w:rFonts w:eastAsia="Calibri" w:cs="Arial"/>
                <w:b/>
                <w:sz w:val="20"/>
                <w:szCs w:val="20"/>
                <w:lang w:val="en-GB"/>
              </w:rPr>
              <w:t>Observational studies (n=5)</w:t>
            </w:r>
          </w:p>
        </w:tc>
      </w:tr>
      <w:tr w:rsidR="00617FE8" w14:paraId="0C4B4B76" w14:textId="77777777">
        <w:trPr>
          <w:trHeight w:val="420"/>
        </w:trPr>
        <w:tc>
          <w:tcPr>
            <w:tcW w:w="959" w:type="dxa"/>
            <w:tcBorders>
              <w:top w:val="single" w:sz="4" w:space="0" w:color="auto"/>
              <w:bottom w:val="single" w:sz="4" w:space="0" w:color="auto"/>
            </w:tcBorders>
          </w:tcPr>
          <w:p w14:paraId="32394F40"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sz w:val="20"/>
                <w:szCs w:val="20"/>
                <w:lang w:val="en-GB" w:eastAsia="en-GB"/>
              </w:rPr>
              <w:t>Pylipow</w:t>
            </w:r>
            <w:proofErr w:type="spellEnd"/>
            <w:r>
              <w:rPr>
                <w:rFonts w:eastAsia="Calibri" w:cs="Arial"/>
                <w:sz w:val="20"/>
                <w:szCs w:val="20"/>
                <w:lang w:val="en-GB" w:eastAsia="en-GB"/>
              </w:rPr>
              <w:t xml:space="preserve"> 2009</w:t>
            </w:r>
            <w:r>
              <w:rPr>
                <w:rFonts w:eastAsia="Calibri" w:cs="Arial"/>
                <w:color w:val="000000" w:themeColor="text1"/>
                <w:sz w:val="20"/>
                <w:szCs w:val="20"/>
                <w:vertAlign w:val="superscript"/>
                <w:lang w:val="en-GB"/>
              </w:rPr>
              <w:t>M</w:t>
            </w:r>
          </w:p>
          <w:p w14:paraId="5BA20BBC"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(27)</w:t>
            </w:r>
          </w:p>
        </w:tc>
        <w:tc>
          <w:tcPr>
            <w:tcW w:w="1042" w:type="dxa"/>
            <w:tcBorders>
              <w:top w:val="single" w:sz="4" w:space="0" w:color="auto"/>
              <w:bottom w:val="single" w:sz="4" w:space="0" w:color="auto"/>
            </w:tcBorders>
          </w:tcPr>
          <w:p w14:paraId="72A9220E"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B-4mo</w:t>
            </w:r>
          </w:p>
          <w:p w14:paraId="5D8C6F77"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gain)</w:t>
            </w:r>
          </w:p>
        </w:tc>
        <w:tc>
          <w:tcPr>
            <w:tcW w:w="616" w:type="dxa"/>
            <w:tcBorders>
              <w:top w:val="single" w:sz="4" w:space="0" w:color="auto"/>
              <w:bottom w:val="single" w:sz="4" w:space="0" w:color="auto"/>
            </w:tcBorders>
          </w:tcPr>
          <w:p w14:paraId="6F9D162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503</w:t>
            </w:r>
          </w:p>
        </w:tc>
        <w:tc>
          <w:tcPr>
            <w:tcW w:w="992" w:type="dxa"/>
            <w:tcBorders>
              <w:top w:val="single" w:sz="4" w:space="0" w:color="auto"/>
              <w:bottom w:val="single" w:sz="4" w:space="0" w:color="auto"/>
            </w:tcBorders>
          </w:tcPr>
          <w:p w14:paraId="78679B8C"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7y</w:t>
            </w:r>
          </w:p>
        </w:tc>
        <w:tc>
          <w:tcPr>
            <w:tcW w:w="1060" w:type="dxa"/>
            <w:tcBorders>
              <w:top w:val="single" w:sz="4" w:space="0" w:color="auto"/>
              <w:bottom w:val="single" w:sz="4" w:space="0" w:color="auto"/>
            </w:tcBorders>
          </w:tcPr>
          <w:p w14:paraId="39C751DB"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2E9C0C1C"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(inverted </w:t>
            </w:r>
          </w:p>
          <w:p w14:paraId="338967F0"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J-shape)</w:t>
            </w:r>
          </w:p>
        </w:tc>
        <w:tc>
          <w:tcPr>
            <w:tcW w:w="3002" w:type="dxa"/>
            <w:tcBorders>
              <w:top w:val="single" w:sz="4" w:space="0" w:color="auto"/>
              <w:bottom w:val="single" w:sz="4" w:space="0" w:color="auto"/>
            </w:tcBorders>
          </w:tcPr>
          <w:p w14:paraId="39652CE4"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Both fast or slow WT gain to age 4mo associated with lower WISC </w:t>
            </w:r>
          </w:p>
        </w:tc>
        <w:tc>
          <w:tcPr>
            <w:tcW w:w="1368" w:type="dxa"/>
            <w:tcBorders>
              <w:top w:val="single" w:sz="4" w:space="0" w:color="auto"/>
              <w:bottom w:val="single" w:sz="4" w:space="0" w:color="auto"/>
            </w:tcBorders>
          </w:tcPr>
          <w:p w14:paraId="7978045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Sex, race, SES</w:t>
            </w:r>
          </w:p>
        </w:tc>
      </w:tr>
      <w:tr w:rsidR="00617FE8" w14:paraId="65CF7AAD" w14:textId="77777777">
        <w:trPr>
          <w:trHeight w:val="420"/>
        </w:trPr>
        <w:tc>
          <w:tcPr>
            <w:tcW w:w="959" w:type="dxa"/>
            <w:tcBorders>
              <w:top w:val="single" w:sz="4" w:space="0" w:color="auto"/>
              <w:bottom w:val="single" w:sz="4" w:space="0" w:color="auto"/>
            </w:tcBorders>
          </w:tcPr>
          <w:p w14:paraId="3F9A96DA"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Jensen</w:t>
            </w:r>
          </w:p>
          <w:p w14:paraId="289A10BF"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sz w:val="20"/>
                <w:szCs w:val="20"/>
                <w:lang w:val="en-GB" w:eastAsia="en-GB"/>
              </w:rPr>
              <w:t>2015</w:t>
            </w:r>
            <w:r>
              <w:rPr>
                <w:rFonts w:eastAsia="Calibri" w:cs="Arial"/>
                <w:color w:val="000000" w:themeColor="text1"/>
                <w:sz w:val="20"/>
                <w:szCs w:val="20"/>
                <w:vertAlign w:val="superscript"/>
                <w:lang w:val="en-GB"/>
              </w:rPr>
              <w:t>M</w:t>
            </w:r>
          </w:p>
          <w:p w14:paraId="39814A47"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(25)</w:t>
            </w:r>
          </w:p>
        </w:tc>
        <w:tc>
          <w:tcPr>
            <w:tcW w:w="1042" w:type="dxa"/>
            <w:tcBorders>
              <w:top w:val="single" w:sz="4" w:space="0" w:color="auto"/>
              <w:bottom w:val="single" w:sz="4" w:space="0" w:color="auto"/>
            </w:tcBorders>
          </w:tcPr>
          <w:p w14:paraId="300B45EF"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B-3mo</w:t>
            </w:r>
          </w:p>
          <w:p w14:paraId="3B86A7E2"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B-17y</w:t>
            </w:r>
          </w:p>
          <w:p w14:paraId="37E35C93"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(HT gain, HC gain)</w:t>
            </w:r>
          </w:p>
        </w:tc>
        <w:tc>
          <w:tcPr>
            <w:tcW w:w="616" w:type="dxa"/>
            <w:tcBorders>
              <w:top w:val="single" w:sz="4" w:space="0" w:color="auto"/>
              <w:bottom w:val="single" w:sz="4" w:space="0" w:color="auto"/>
            </w:tcBorders>
          </w:tcPr>
          <w:p w14:paraId="28633438"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47</w:t>
            </w:r>
          </w:p>
        </w:tc>
        <w:tc>
          <w:tcPr>
            <w:tcW w:w="992" w:type="dxa"/>
            <w:tcBorders>
              <w:top w:val="single" w:sz="4" w:space="0" w:color="auto"/>
              <w:bottom w:val="single" w:sz="4" w:space="0" w:color="auto"/>
            </w:tcBorders>
          </w:tcPr>
          <w:p w14:paraId="00D70065"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17y</w:t>
            </w:r>
          </w:p>
        </w:tc>
        <w:tc>
          <w:tcPr>
            <w:tcW w:w="1060" w:type="dxa"/>
            <w:tcBorders>
              <w:top w:val="single" w:sz="4" w:space="0" w:color="auto"/>
              <w:bottom w:val="single" w:sz="4" w:space="0" w:color="auto"/>
            </w:tcBorders>
          </w:tcPr>
          <w:p w14:paraId="5336D112"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78FF8A1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(B-3m)</w:t>
            </w:r>
          </w:p>
          <w:p w14:paraId="7E615E88"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78748103"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(B-17y)</w:t>
            </w:r>
          </w:p>
        </w:tc>
        <w:tc>
          <w:tcPr>
            <w:tcW w:w="3002" w:type="dxa"/>
            <w:tcBorders>
              <w:top w:val="single" w:sz="4" w:space="0" w:color="auto"/>
              <w:bottom w:val="single" w:sz="4" w:space="0" w:color="auto"/>
            </w:tcBorders>
          </w:tcPr>
          <w:p w14:paraId="288648CD"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HT gain to age 3mo showed a </w:t>
            </w:r>
            <w:r w:rsidR="00B728B2">
              <w:rPr>
                <w:rFonts w:eastAsia="Calibri" w:cs="Arial"/>
                <w:sz w:val="20"/>
                <w:szCs w:val="20"/>
                <w:lang w:val="en-GB" w:eastAsia="en-GB"/>
              </w:rPr>
              <w:t xml:space="preserve">positive </w:t>
            </w:r>
            <w:r>
              <w:rPr>
                <w:rFonts w:eastAsia="Calibri" w:cs="Arial"/>
                <w:sz w:val="20"/>
                <w:szCs w:val="20"/>
                <w:lang w:val="en-GB" w:eastAsia="en-GB"/>
              </w:rPr>
              <w:t xml:space="preserve">trend with IQ </w:t>
            </w:r>
          </w:p>
          <w:p w14:paraId="42A3ABED"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HT gain to age 17y was positively associated with IQ</w:t>
            </w:r>
          </w:p>
        </w:tc>
        <w:tc>
          <w:tcPr>
            <w:tcW w:w="1368" w:type="dxa"/>
            <w:tcBorders>
              <w:top w:val="single" w:sz="4" w:space="0" w:color="auto"/>
              <w:bottom w:val="single" w:sz="4" w:space="0" w:color="auto"/>
            </w:tcBorders>
          </w:tcPr>
          <w:p w14:paraId="1C07799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Sex, age, parental SES, maternal age</w:t>
            </w:r>
          </w:p>
        </w:tc>
      </w:tr>
      <w:tr w:rsidR="00617FE8" w14:paraId="32D84529" w14:textId="77777777">
        <w:trPr>
          <w:trHeight w:val="420"/>
        </w:trPr>
        <w:tc>
          <w:tcPr>
            <w:tcW w:w="959" w:type="dxa"/>
            <w:tcBorders>
              <w:top w:val="single" w:sz="4" w:space="0" w:color="auto"/>
              <w:bottom w:val="single" w:sz="4" w:space="0" w:color="auto"/>
            </w:tcBorders>
          </w:tcPr>
          <w:p w14:paraId="63A2383B"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sz w:val="20"/>
                <w:szCs w:val="20"/>
                <w:lang w:val="en-GB" w:eastAsia="en-GB"/>
              </w:rPr>
              <w:t>Horta</w:t>
            </w:r>
            <w:proofErr w:type="spellEnd"/>
            <w:r>
              <w:rPr>
                <w:rFonts w:eastAsia="Calibri" w:cs="Arial"/>
                <w:sz w:val="20"/>
                <w:szCs w:val="20"/>
                <w:lang w:val="en-GB" w:eastAsia="en-GB"/>
              </w:rPr>
              <w:t xml:space="preserve"> 2009</w:t>
            </w:r>
            <w:r>
              <w:rPr>
                <w:rFonts w:eastAsia="Calibri" w:cs="Arial"/>
                <w:color w:val="000000" w:themeColor="text1"/>
                <w:sz w:val="20"/>
                <w:szCs w:val="20"/>
                <w:vertAlign w:val="superscript"/>
                <w:lang w:val="en-GB"/>
              </w:rPr>
              <w:t>M</w:t>
            </w:r>
          </w:p>
          <w:p w14:paraId="61541329"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(24)</w:t>
            </w:r>
          </w:p>
        </w:tc>
        <w:tc>
          <w:tcPr>
            <w:tcW w:w="1042" w:type="dxa"/>
            <w:tcBorders>
              <w:top w:val="single" w:sz="4" w:space="0" w:color="auto"/>
              <w:bottom w:val="single" w:sz="4" w:space="0" w:color="auto"/>
            </w:tcBorders>
          </w:tcPr>
          <w:p w14:paraId="71700307" w14:textId="77777777" w:rsidR="00617FE8" w:rsidRDefault="008C06CC">
            <w:pPr>
              <w:spacing w:after="0" w:line="240" w:lineRule="auto"/>
              <w:rPr>
                <w:rFonts w:eastAsia="Calibri" w:cs="Arial"/>
                <w:sz w:val="20"/>
                <w:szCs w:val="20"/>
                <w:lang w:val="en-GB"/>
              </w:rPr>
            </w:pPr>
            <w:r>
              <w:rPr>
                <w:rFonts w:eastAsia="Calibri" w:cs="Arial"/>
                <w:sz w:val="20"/>
                <w:szCs w:val="20"/>
                <w:lang w:val="en-GB"/>
              </w:rPr>
              <w:t xml:space="preserve">B-20mo </w:t>
            </w:r>
          </w:p>
          <w:p w14:paraId="71311C66" w14:textId="77777777" w:rsidR="00617FE8" w:rsidRDefault="008C06CC">
            <w:pPr>
              <w:spacing w:after="0" w:line="240" w:lineRule="auto"/>
              <w:rPr>
                <w:rFonts w:eastAsia="Calibri" w:cs="Arial"/>
                <w:sz w:val="20"/>
                <w:szCs w:val="20"/>
                <w:lang w:val="en-GB"/>
              </w:rPr>
            </w:pPr>
            <w:r>
              <w:rPr>
                <w:rFonts w:eastAsia="Calibri" w:cs="Arial"/>
                <w:sz w:val="20"/>
                <w:szCs w:val="20"/>
                <w:lang w:val="en-GB"/>
              </w:rPr>
              <w:t>(WT gain)</w:t>
            </w:r>
          </w:p>
          <w:p w14:paraId="041B74D0" w14:textId="77777777" w:rsidR="00617FE8" w:rsidRDefault="008C06CC">
            <w:pPr>
              <w:spacing w:after="0" w:line="240" w:lineRule="auto"/>
              <w:rPr>
                <w:rFonts w:eastAsia="Calibri" w:cs="Arial"/>
                <w:sz w:val="20"/>
                <w:szCs w:val="20"/>
                <w:lang w:val="en-GB"/>
              </w:rPr>
            </w:pPr>
            <w:r>
              <w:rPr>
                <w:rFonts w:eastAsia="Calibri" w:cs="Arial"/>
                <w:sz w:val="20"/>
                <w:szCs w:val="20"/>
                <w:lang w:val="en-GB"/>
              </w:rPr>
              <w:t>20-42mo</w:t>
            </w:r>
          </w:p>
          <w:p w14:paraId="2C5CF780"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gain)</w:t>
            </w:r>
          </w:p>
        </w:tc>
        <w:tc>
          <w:tcPr>
            <w:tcW w:w="616" w:type="dxa"/>
            <w:tcBorders>
              <w:top w:val="single" w:sz="4" w:space="0" w:color="auto"/>
              <w:bottom w:val="single" w:sz="4" w:space="0" w:color="auto"/>
            </w:tcBorders>
          </w:tcPr>
          <w:p w14:paraId="058FBC3A"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1822</w:t>
            </w:r>
          </w:p>
        </w:tc>
        <w:tc>
          <w:tcPr>
            <w:tcW w:w="992" w:type="dxa"/>
            <w:tcBorders>
              <w:top w:val="single" w:sz="4" w:space="0" w:color="auto"/>
              <w:bottom w:val="single" w:sz="4" w:space="0" w:color="auto"/>
            </w:tcBorders>
          </w:tcPr>
          <w:p w14:paraId="76349E8F"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18y</w:t>
            </w:r>
          </w:p>
        </w:tc>
        <w:tc>
          <w:tcPr>
            <w:tcW w:w="1060" w:type="dxa"/>
            <w:tcBorders>
              <w:top w:val="single" w:sz="4" w:space="0" w:color="auto"/>
              <w:bottom w:val="single" w:sz="4" w:space="0" w:color="auto"/>
            </w:tcBorders>
          </w:tcPr>
          <w:p w14:paraId="5BB3DB9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1DFB4130"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(B-20mo)</w:t>
            </w:r>
          </w:p>
          <w:p w14:paraId="4B009D69"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0 </w:t>
            </w:r>
          </w:p>
          <w:p w14:paraId="71A3B037"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(20-42mo)</w:t>
            </w:r>
          </w:p>
        </w:tc>
        <w:tc>
          <w:tcPr>
            <w:tcW w:w="3002" w:type="dxa"/>
            <w:tcBorders>
              <w:top w:val="single" w:sz="4" w:space="0" w:color="auto"/>
              <w:bottom w:val="single" w:sz="4" w:space="0" w:color="auto"/>
            </w:tcBorders>
          </w:tcPr>
          <w:p w14:paraId="2FAC1D7A"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gain to age 20mo, but not between 20-42mo, was positively associated with achieved schooling</w:t>
            </w:r>
          </w:p>
        </w:tc>
        <w:tc>
          <w:tcPr>
            <w:tcW w:w="1368" w:type="dxa"/>
            <w:tcBorders>
              <w:top w:val="single" w:sz="4" w:space="0" w:color="auto"/>
              <w:bottom w:val="single" w:sz="4" w:space="0" w:color="auto"/>
            </w:tcBorders>
          </w:tcPr>
          <w:p w14:paraId="78F38F95"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Parental education, household assets, SES</w:t>
            </w:r>
          </w:p>
        </w:tc>
      </w:tr>
      <w:tr w:rsidR="00617FE8" w14:paraId="6C186C91" w14:textId="77777777">
        <w:trPr>
          <w:trHeight w:val="420"/>
        </w:trPr>
        <w:tc>
          <w:tcPr>
            <w:tcW w:w="959" w:type="dxa"/>
            <w:tcBorders>
              <w:top w:val="single" w:sz="4" w:space="0" w:color="auto"/>
              <w:bottom w:val="single" w:sz="4" w:space="0" w:color="auto"/>
            </w:tcBorders>
          </w:tcPr>
          <w:p w14:paraId="2DE1FD74"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Lundgren 2001</w:t>
            </w:r>
            <w:r>
              <w:rPr>
                <w:rFonts w:eastAsia="Calibri" w:cs="Arial"/>
                <w:color w:val="000000" w:themeColor="text1"/>
                <w:sz w:val="20"/>
                <w:szCs w:val="20"/>
                <w:vertAlign w:val="superscript"/>
                <w:lang w:val="en-GB"/>
              </w:rPr>
              <w:t>M</w:t>
            </w:r>
          </w:p>
          <w:p w14:paraId="51C5108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(26)</w:t>
            </w:r>
          </w:p>
        </w:tc>
        <w:tc>
          <w:tcPr>
            <w:tcW w:w="1042" w:type="dxa"/>
            <w:tcBorders>
              <w:top w:val="single" w:sz="4" w:space="0" w:color="auto"/>
              <w:bottom w:val="single" w:sz="4" w:space="0" w:color="auto"/>
            </w:tcBorders>
          </w:tcPr>
          <w:p w14:paraId="1017C62A"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B-18y</w:t>
            </w:r>
          </w:p>
          <w:p w14:paraId="7B19F8CB"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gain)</w:t>
            </w:r>
          </w:p>
        </w:tc>
        <w:tc>
          <w:tcPr>
            <w:tcW w:w="616" w:type="dxa"/>
            <w:tcBorders>
              <w:top w:val="single" w:sz="4" w:space="0" w:color="auto"/>
              <w:bottom w:val="single" w:sz="4" w:space="0" w:color="auto"/>
            </w:tcBorders>
          </w:tcPr>
          <w:p w14:paraId="2E6A852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 xml:space="preserve">6440 </w:t>
            </w:r>
          </w:p>
        </w:tc>
        <w:tc>
          <w:tcPr>
            <w:tcW w:w="992" w:type="dxa"/>
            <w:tcBorders>
              <w:top w:val="single" w:sz="4" w:space="0" w:color="auto"/>
              <w:bottom w:val="single" w:sz="4" w:space="0" w:color="auto"/>
            </w:tcBorders>
          </w:tcPr>
          <w:p w14:paraId="4782D0F4"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18y</w:t>
            </w:r>
          </w:p>
        </w:tc>
        <w:tc>
          <w:tcPr>
            <w:tcW w:w="1060" w:type="dxa"/>
            <w:tcBorders>
              <w:top w:val="single" w:sz="4" w:space="0" w:color="auto"/>
              <w:bottom w:val="single" w:sz="4" w:space="0" w:color="auto"/>
            </w:tcBorders>
          </w:tcPr>
          <w:p w14:paraId="00970BCB"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3DAC147B" w14:textId="77777777" w:rsidR="00617FE8" w:rsidRDefault="00617FE8">
            <w:pPr>
              <w:spacing w:after="0" w:line="240" w:lineRule="auto"/>
              <w:rPr>
                <w:rFonts w:eastAsia="Calibri" w:cs="Arial"/>
                <w:sz w:val="20"/>
                <w:szCs w:val="20"/>
                <w:lang w:val="en-GB" w:eastAsia="en-GB"/>
              </w:rPr>
            </w:pPr>
          </w:p>
        </w:tc>
        <w:tc>
          <w:tcPr>
            <w:tcW w:w="3002" w:type="dxa"/>
            <w:tcBorders>
              <w:top w:val="single" w:sz="4" w:space="0" w:color="auto"/>
              <w:bottom w:val="single" w:sz="4" w:space="0" w:color="auto"/>
            </w:tcBorders>
          </w:tcPr>
          <w:p w14:paraId="0D9A9332" w14:textId="77777777" w:rsidR="00617FE8" w:rsidRDefault="008C06CC" w:rsidP="002B1B68">
            <w:pPr>
              <w:spacing w:after="0" w:line="240" w:lineRule="auto"/>
              <w:rPr>
                <w:rFonts w:eastAsia="Calibri" w:cs="Arial"/>
                <w:sz w:val="20"/>
                <w:szCs w:val="20"/>
                <w:lang w:val="en-GB" w:eastAsia="en-GB"/>
              </w:rPr>
            </w:pPr>
            <w:r>
              <w:rPr>
                <w:rFonts w:eastAsia="Calibri" w:cs="Arial"/>
                <w:sz w:val="20"/>
                <w:szCs w:val="20"/>
                <w:lang w:val="en-GB" w:eastAsia="en-GB"/>
              </w:rPr>
              <w:t xml:space="preserve">WT gain was </w:t>
            </w:r>
            <w:r w:rsidR="002B1B68" w:rsidRPr="002B1B68">
              <w:rPr>
                <w:rFonts w:eastAsia="Calibri" w:cs="Arial"/>
                <w:sz w:val="20"/>
                <w:szCs w:val="20"/>
                <w:lang w:val="en-GB" w:eastAsia="en-GB"/>
              </w:rPr>
              <w:t xml:space="preserve">positively </w:t>
            </w:r>
            <w:r>
              <w:rPr>
                <w:rFonts w:eastAsia="Calibri" w:cs="Arial"/>
                <w:sz w:val="20"/>
                <w:szCs w:val="20"/>
                <w:lang w:val="en-GB" w:eastAsia="en-GB"/>
              </w:rPr>
              <w:t>associated with IP and PP</w:t>
            </w:r>
          </w:p>
        </w:tc>
        <w:tc>
          <w:tcPr>
            <w:tcW w:w="1368" w:type="dxa"/>
            <w:tcBorders>
              <w:top w:val="single" w:sz="4" w:space="0" w:color="auto"/>
              <w:bottom w:val="single" w:sz="4" w:space="0" w:color="auto"/>
            </w:tcBorders>
          </w:tcPr>
          <w:p w14:paraId="7E0DA24D"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Birth WT and length</w:t>
            </w:r>
          </w:p>
        </w:tc>
      </w:tr>
      <w:tr w:rsidR="00617FE8" w14:paraId="7D8ADD9F" w14:textId="77777777">
        <w:trPr>
          <w:trHeight w:val="420"/>
        </w:trPr>
        <w:tc>
          <w:tcPr>
            <w:tcW w:w="959" w:type="dxa"/>
            <w:tcBorders>
              <w:top w:val="single" w:sz="4" w:space="0" w:color="auto"/>
              <w:bottom w:val="single" w:sz="4" w:space="0" w:color="auto"/>
            </w:tcBorders>
          </w:tcPr>
          <w:p w14:paraId="0009D59D"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Strauss</w:t>
            </w:r>
          </w:p>
          <w:p w14:paraId="1454A0E9"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sz w:val="20"/>
                <w:szCs w:val="20"/>
                <w:lang w:val="en-GB" w:eastAsia="en-GB"/>
              </w:rPr>
              <w:t>2000</w:t>
            </w:r>
            <w:r>
              <w:rPr>
                <w:rFonts w:eastAsia="Calibri" w:cs="Arial"/>
                <w:color w:val="000000" w:themeColor="text1"/>
                <w:sz w:val="20"/>
                <w:szCs w:val="20"/>
                <w:vertAlign w:val="superscript"/>
                <w:lang w:val="en-GB"/>
              </w:rPr>
              <w:t>M</w:t>
            </w:r>
          </w:p>
          <w:p w14:paraId="0DADB8F4"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(23)</w:t>
            </w:r>
          </w:p>
        </w:tc>
        <w:tc>
          <w:tcPr>
            <w:tcW w:w="1042" w:type="dxa"/>
            <w:tcBorders>
              <w:top w:val="single" w:sz="4" w:space="0" w:color="auto"/>
              <w:bottom w:val="single" w:sz="4" w:space="0" w:color="auto"/>
            </w:tcBorders>
          </w:tcPr>
          <w:p w14:paraId="5C9D3383"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B-5y</w:t>
            </w:r>
          </w:p>
          <w:p w14:paraId="15CE0C3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(HC gain)</w:t>
            </w:r>
          </w:p>
        </w:tc>
        <w:tc>
          <w:tcPr>
            <w:tcW w:w="616" w:type="dxa"/>
            <w:tcBorders>
              <w:top w:val="single" w:sz="4" w:space="0" w:color="auto"/>
              <w:bottom w:val="single" w:sz="4" w:space="0" w:color="auto"/>
            </w:tcBorders>
          </w:tcPr>
          <w:p w14:paraId="1CB66EC6"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1064</w:t>
            </w:r>
          </w:p>
        </w:tc>
        <w:tc>
          <w:tcPr>
            <w:tcW w:w="992" w:type="dxa"/>
            <w:tcBorders>
              <w:top w:val="single" w:sz="4" w:space="0" w:color="auto"/>
              <w:bottom w:val="single" w:sz="4" w:space="0" w:color="auto"/>
            </w:tcBorders>
          </w:tcPr>
          <w:p w14:paraId="1DC45389"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26y</w:t>
            </w:r>
          </w:p>
        </w:tc>
        <w:tc>
          <w:tcPr>
            <w:tcW w:w="1060" w:type="dxa"/>
            <w:tcBorders>
              <w:top w:val="single" w:sz="4" w:space="0" w:color="auto"/>
              <w:bottom w:val="single" w:sz="4" w:space="0" w:color="auto"/>
            </w:tcBorders>
          </w:tcPr>
          <w:p w14:paraId="0FC56BB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w:t>
            </w:r>
          </w:p>
          <w:p w14:paraId="23C10C44" w14:textId="77777777" w:rsidR="00617FE8" w:rsidRDefault="00617FE8">
            <w:pPr>
              <w:spacing w:after="0" w:line="240" w:lineRule="auto"/>
              <w:rPr>
                <w:rFonts w:eastAsia="Calibri" w:cs="Arial"/>
                <w:sz w:val="20"/>
                <w:szCs w:val="20"/>
                <w:lang w:val="en-GB" w:eastAsia="en-GB"/>
              </w:rPr>
            </w:pPr>
          </w:p>
        </w:tc>
        <w:tc>
          <w:tcPr>
            <w:tcW w:w="3002" w:type="dxa"/>
            <w:tcBorders>
              <w:top w:val="single" w:sz="4" w:space="0" w:color="auto"/>
              <w:bottom w:val="single" w:sz="4" w:space="0" w:color="auto"/>
            </w:tcBorders>
          </w:tcPr>
          <w:p w14:paraId="40005190" w14:textId="77777777" w:rsidR="00617FE8" w:rsidRDefault="008C06CC" w:rsidP="00B728B2">
            <w:pPr>
              <w:spacing w:after="0" w:line="240" w:lineRule="auto"/>
              <w:rPr>
                <w:rFonts w:eastAsia="Calibri" w:cs="Arial"/>
                <w:sz w:val="20"/>
                <w:szCs w:val="20"/>
                <w:lang w:val="en-GB" w:eastAsia="en-GB"/>
              </w:rPr>
            </w:pPr>
            <w:r>
              <w:rPr>
                <w:rFonts w:eastAsia="Calibri" w:cs="Arial"/>
                <w:sz w:val="20"/>
                <w:szCs w:val="20"/>
                <w:lang w:val="en-GB" w:eastAsia="en-GB"/>
              </w:rPr>
              <w:t xml:space="preserve">HC gain was </w:t>
            </w:r>
            <w:r w:rsidR="002B1B68" w:rsidRPr="002B1B68">
              <w:rPr>
                <w:rFonts w:eastAsia="Calibri" w:cs="Arial"/>
                <w:sz w:val="20"/>
                <w:szCs w:val="20"/>
                <w:lang w:val="en-GB" w:eastAsia="en-GB"/>
              </w:rPr>
              <w:t xml:space="preserve">positively </w:t>
            </w:r>
            <w:r>
              <w:rPr>
                <w:rFonts w:eastAsia="Calibri" w:cs="Arial"/>
                <w:sz w:val="20"/>
                <w:szCs w:val="20"/>
                <w:lang w:val="en-GB" w:eastAsia="en-GB"/>
              </w:rPr>
              <w:t xml:space="preserve">associated with professional attainment and a </w:t>
            </w:r>
            <w:r w:rsidR="00B728B2">
              <w:rPr>
                <w:rFonts w:eastAsia="Calibri" w:cs="Arial"/>
                <w:sz w:val="20"/>
                <w:szCs w:val="20"/>
                <w:lang w:val="en-GB" w:eastAsia="en-GB"/>
              </w:rPr>
              <w:t xml:space="preserve">positive </w:t>
            </w:r>
            <w:r>
              <w:rPr>
                <w:rFonts w:eastAsia="Calibri" w:cs="Arial"/>
                <w:sz w:val="20"/>
                <w:szCs w:val="20"/>
                <w:lang w:val="en-GB" w:eastAsia="en-GB"/>
              </w:rPr>
              <w:t xml:space="preserve">trend </w:t>
            </w:r>
            <w:r w:rsidR="00B728B2">
              <w:rPr>
                <w:rFonts w:eastAsia="Calibri" w:cs="Arial"/>
                <w:sz w:val="20"/>
                <w:szCs w:val="20"/>
                <w:lang w:val="en-GB" w:eastAsia="en-GB"/>
              </w:rPr>
              <w:t>with</w:t>
            </w:r>
            <w:r>
              <w:rPr>
                <w:rFonts w:eastAsia="Calibri" w:cs="Arial"/>
                <w:sz w:val="20"/>
                <w:szCs w:val="20"/>
                <w:lang w:val="en-GB" w:eastAsia="en-GB"/>
              </w:rPr>
              <w:t xml:space="preserve"> income</w:t>
            </w:r>
          </w:p>
        </w:tc>
        <w:tc>
          <w:tcPr>
            <w:tcW w:w="1368" w:type="dxa"/>
            <w:tcBorders>
              <w:top w:val="single" w:sz="4" w:space="0" w:color="auto"/>
              <w:bottom w:val="single" w:sz="4" w:space="0" w:color="auto"/>
            </w:tcBorders>
          </w:tcPr>
          <w:p w14:paraId="6745D861" w14:textId="77777777" w:rsidR="00617FE8" w:rsidRDefault="008C06CC">
            <w:pPr>
              <w:spacing w:after="0" w:line="240" w:lineRule="auto"/>
              <w:rPr>
                <w:rFonts w:eastAsia="Calibri" w:cs="Arial"/>
                <w:sz w:val="20"/>
                <w:szCs w:val="20"/>
                <w:lang w:val="en-GB" w:eastAsia="en-GB"/>
              </w:rPr>
            </w:pPr>
            <w:r>
              <w:rPr>
                <w:rFonts w:eastAsia="Calibri" w:cs="Arial"/>
                <w:sz w:val="20"/>
                <w:szCs w:val="20"/>
                <w:lang w:val="en-GB" w:eastAsia="en-GB"/>
              </w:rPr>
              <w:t>Sex, parental SES, neonatal distress</w:t>
            </w:r>
          </w:p>
        </w:tc>
      </w:tr>
    </w:tbl>
    <w:p w14:paraId="28F85957" w14:textId="77777777" w:rsidR="00617FE8" w:rsidRDefault="00617FE8">
      <w:pPr>
        <w:spacing w:after="0" w:line="480" w:lineRule="auto"/>
        <w:jc w:val="both"/>
        <w:rPr>
          <w:rFonts w:ascii="Arial" w:hAnsi="Arial" w:cs="Arial"/>
          <w:lang w:val="en-GB"/>
        </w:rPr>
      </w:pPr>
    </w:p>
    <w:p w14:paraId="1C38EB96" w14:textId="4EB29BCE" w:rsidR="00AE65B2" w:rsidRDefault="00AE65B2">
      <w:pPr>
        <w:rPr>
          <w:rFonts w:ascii="Arial" w:hAnsi="Arial" w:cs="Arial"/>
          <w:lang w:val="en-GB"/>
        </w:rPr>
      </w:pPr>
      <w:r>
        <w:rPr>
          <w:rFonts w:ascii="Arial" w:hAnsi="Arial" w:cs="Arial"/>
          <w:lang w:val="en-GB"/>
        </w:rPr>
        <w:br w:type="page"/>
      </w:r>
    </w:p>
    <w:p w14:paraId="3B39C498" w14:textId="77777777" w:rsidR="00AE65B2" w:rsidRDefault="00AE65B2" w:rsidP="00AE65B2">
      <w:pPr>
        <w:rPr>
          <w:rFonts w:ascii="Arial" w:eastAsia="Calibri" w:hAnsi="Arial" w:cs="Arial"/>
          <w:lang w:val="en-GB" w:eastAsia="en-GB"/>
        </w:rPr>
      </w:pPr>
      <w:proofErr w:type="gramStart"/>
      <w:r w:rsidRPr="00F938E3">
        <w:rPr>
          <w:rFonts w:ascii="Arial" w:eastAsia="Calibri" w:hAnsi="Arial" w:cs="Arial"/>
          <w:lang w:val="en-GB" w:eastAsia="en-GB"/>
        </w:rPr>
        <w:lastRenderedPageBreak/>
        <w:t>Table 2: Summary of findings relating postnatal growth in full-term small-for-gestational-age infants to neurocognitive and metabolic outcomes in the 34 identified papers.</w:t>
      </w:r>
      <w:proofErr w:type="gramEnd"/>
    </w:p>
    <w:p w14:paraId="5A883273" w14:textId="77777777" w:rsidR="00DA6353" w:rsidRDefault="00DA6353">
      <w:pPr>
        <w:rPr>
          <w:rFonts w:ascii="Arial" w:eastAsia="Calibri" w:hAnsi="Arial" w:cs="Arial"/>
          <w:lang w:val="en-GB" w:eastAsia="en-GB"/>
        </w:rPr>
      </w:pPr>
      <w:r>
        <w:rPr>
          <w:rFonts w:ascii="Arial" w:eastAsia="Calibri" w:hAnsi="Arial" w:cs="Arial"/>
          <w:lang w:val="en-GB" w:eastAsia="en-GB"/>
        </w:rPr>
        <w:br w:type="page"/>
      </w:r>
    </w:p>
    <w:p w14:paraId="3604496F" w14:textId="77777777" w:rsidR="00DA6353" w:rsidRDefault="00DA6353">
      <w:pPr>
        <w:rPr>
          <w:rFonts w:ascii="Arial" w:eastAsia="Calibri" w:hAnsi="Arial" w:cs="Arial"/>
          <w:lang w:val="en-GB" w:eastAsia="en-GB"/>
        </w:rPr>
        <w:sectPr w:rsidR="00DA6353" w:rsidSect="00AB3056">
          <w:footerReference w:type="default" r:id="rId11"/>
          <w:pgSz w:w="12240" w:h="15840"/>
          <w:pgMar w:top="1440" w:right="1440" w:bottom="1440" w:left="1440" w:header="709" w:footer="709" w:gutter="0"/>
          <w:cols w:space="708"/>
          <w:docGrid w:linePitch="360"/>
        </w:sectPr>
      </w:pPr>
    </w:p>
    <w:tbl>
      <w:tblPr>
        <w:tblStyle w:val="TableGrid1"/>
        <w:tblW w:w="12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26"/>
        <w:gridCol w:w="1417"/>
        <w:gridCol w:w="851"/>
        <w:gridCol w:w="896"/>
        <w:gridCol w:w="7892"/>
      </w:tblGrid>
      <w:tr w:rsidR="00611361" w:rsidRPr="00DA6353" w14:paraId="56A1F2E8" w14:textId="77777777" w:rsidTr="00611361">
        <w:trPr>
          <w:trHeight w:val="557"/>
        </w:trPr>
        <w:tc>
          <w:tcPr>
            <w:tcW w:w="1526" w:type="dxa"/>
            <w:hideMark/>
          </w:tcPr>
          <w:p w14:paraId="5D81F121" w14:textId="77777777" w:rsidR="00DA6353" w:rsidRPr="00DA6353" w:rsidRDefault="00DA6353" w:rsidP="00611361">
            <w:pPr>
              <w:rPr>
                <w:rFonts w:eastAsia="Calibri" w:cs="Arial"/>
                <w:sz w:val="20"/>
                <w:szCs w:val="20"/>
                <w:lang w:val="en-GB" w:eastAsia="en-GB"/>
              </w:rPr>
            </w:pPr>
            <w:r w:rsidRPr="00DA6353">
              <w:rPr>
                <w:rFonts w:eastAsia="Calibri" w:cs="Arial"/>
                <w:b/>
                <w:bCs/>
                <w:sz w:val="20"/>
                <w:szCs w:val="20"/>
                <w:lang w:val="en-GB" w:eastAsia="en-GB"/>
              </w:rPr>
              <w:lastRenderedPageBreak/>
              <w:t>Outcomes</w:t>
            </w:r>
          </w:p>
        </w:tc>
        <w:tc>
          <w:tcPr>
            <w:tcW w:w="1417" w:type="dxa"/>
            <w:hideMark/>
          </w:tcPr>
          <w:p w14:paraId="5D0C559B" w14:textId="77777777" w:rsidR="00DA6353" w:rsidRPr="00DA6353" w:rsidRDefault="00DA6353" w:rsidP="00DA6353">
            <w:pPr>
              <w:rPr>
                <w:rFonts w:eastAsia="Calibri" w:cs="Arial"/>
                <w:sz w:val="20"/>
                <w:szCs w:val="20"/>
                <w:lang w:val="en-GB" w:eastAsia="en-GB"/>
              </w:rPr>
            </w:pPr>
            <w:r w:rsidRPr="00DA6353">
              <w:rPr>
                <w:rFonts w:eastAsia="Calibri" w:cs="Arial"/>
                <w:b/>
                <w:bCs/>
                <w:sz w:val="20"/>
                <w:szCs w:val="20"/>
                <w:lang w:val="en-GB" w:eastAsia="en-GB"/>
              </w:rPr>
              <w:t>Study design</w:t>
            </w:r>
          </w:p>
        </w:tc>
        <w:tc>
          <w:tcPr>
            <w:tcW w:w="851" w:type="dxa"/>
            <w:hideMark/>
          </w:tcPr>
          <w:p w14:paraId="3D3CF440" w14:textId="77777777" w:rsidR="00DA6353" w:rsidRPr="00DA6353" w:rsidRDefault="00DA6353" w:rsidP="00DA6353">
            <w:pPr>
              <w:rPr>
                <w:rFonts w:eastAsia="Calibri" w:cs="Arial"/>
                <w:sz w:val="20"/>
                <w:szCs w:val="20"/>
                <w:lang w:val="en-GB" w:eastAsia="en-GB"/>
              </w:rPr>
            </w:pPr>
            <w:r w:rsidRPr="00DA6353">
              <w:rPr>
                <w:rFonts w:eastAsia="Calibri" w:cs="Arial"/>
                <w:b/>
                <w:bCs/>
                <w:sz w:val="20"/>
                <w:szCs w:val="20"/>
                <w:lang w:val="en-GB" w:eastAsia="en-GB"/>
              </w:rPr>
              <w:t>No. of studies</w:t>
            </w:r>
          </w:p>
        </w:tc>
        <w:tc>
          <w:tcPr>
            <w:tcW w:w="896" w:type="dxa"/>
          </w:tcPr>
          <w:p w14:paraId="66730607" w14:textId="77777777" w:rsidR="00DA6353" w:rsidRPr="00DA6353" w:rsidRDefault="00DA6353" w:rsidP="00DA6353">
            <w:pPr>
              <w:rPr>
                <w:rFonts w:eastAsia="Calibri" w:cs="Arial"/>
                <w:b/>
                <w:bCs/>
                <w:sz w:val="20"/>
                <w:szCs w:val="20"/>
                <w:lang w:eastAsia="en-GB"/>
              </w:rPr>
            </w:pPr>
            <w:r w:rsidRPr="00DA6353">
              <w:rPr>
                <w:rFonts w:eastAsia="Calibri" w:cs="Arial"/>
                <w:b/>
                <w:bCs/>
                <w:sz w:val="20"/>
                <w:szCs w:val="20"/>
                <w:lang w:val="en-GB" w:eastAsia="en-GB"/>
              </w:rPr>
              <w:t>No. of subjects</w:t>
            </w:r>
          </w:p>
        </w:tc>
        <w:tc>
          <w:tcPr>
            <w:tcW w:w="7892" w:type="dxa"/>
          </w:tcPr>
          <w:p w14:paraId="65BB1F05" w14:textId="77777777" w:rsidR="00DA6353" w:rsidRPr="00DA6353" w:rsidRDefault="00DA6353" w:rsidP="00DA6353">
            <w:pPr>
              <w:rPr>
                <w:rFonts w:eastAsia="Calibri" w:cs="Arial"/>
                <w:b/>
                <w:bCs/>
                <w:sz w:val="20"/>
                <w:szCs w:val="20"/>
                <w:lang w:val="en-GB" w:eastAsia="en-GB"/>
              </w:rPr>
            </w:pPr>
            <w:r w:rsidRPr="00DA6353">
              <w:rPr>
                <w:rFonts w:eastAsia="Calibri" w:cs="Arial"/>
                <w:b/>
                <w:bCs/>
                <w:sz w:val="20"/>
                <w:szCs w:val="20"/>
                <w:lang w:eastAsia="en-GB"/>
              </w:rPr>
              <w:t>Summary of findings</w:t>
            </w:r>
          </w:p>
        </w:tc>
      </w:tr>
      <w:tr w:rsidR="00611361" w:rsidRPr="00DA6353" w14:paraId="73450286" w14:textId="77777777" w:rsidTr="00611361">
        <w:trPr>
          <w:trHeight w:val="584"/>
        </w:trPr>
        <w:tc>
          <w:tcPr>
            <w:tcW w:w="1526" w:type="dxa"/>
            <w:hideMark/>
          </w:tcPr>
          <w:p w14:paraId="1DF0A44C" w14:textId="77777777" w:rsidR="00DA6353" w:rsidRPr="00611361" w:rsidRDefault="00611361" w:rsidP="00DA6353">
            <w:pPr>
              <w:rPr>
                <w:rFonts w:eastAsia="Calibri" w:cs="Arial"/>
                <w:sz w:val="20"/>
                <w:szCs w:val="20"/>
                <w:lang w:val="en-GB" w:eastAsia="en-GB"/>
              </w:rPr>
            </w:pPr>
            <w:proofErr w:type="spellStart"/>
            <w:r>
              <w:rPr>
                <w:rFonts w:eastAsia="Calibri" w:cs="Arial"/>
                <w:bCs/>
                <w:sz w:val="20"/>
                <w:szCs w:val="20"/>
                <w:lang w:val="en-GB" w:eastAsia="en-GB"/>
              </w:rPr>
              <w:t>Neuro</w:t>
            </w:r>
            <w:r w:rsidR="00DA6353" w:rsidRPr="00611361">
              <w:rPr>
                <w:rFonts w:eastAsia="Calibri" w:cs="Arial"/>
                <w:bCs/>
                <w:sz w:val="20"/>
                <w:szCs w:val="20"/>
                <w:lang w:val="en-GB" w:eastAsia="en-GB"/>
              </w:rPr>
              <w:t>cognition</w:t>
            </w:r>
            <w:proofErr w:type="spellEnd"/>
          </w:p>
        </w:tc>
        <w:tc>
          <w:tcPr>
            <w:tcW w:w="1417" w:type="dxa"/>
            <w:hideMark/>
          </w:tcPr>
          <w:p w14:paraId="33DBAE4F" w14:textId="77777777" w:rsidR="00DA6353" w:rsidRPr="00611361" w:rsidRDefault="00F01252" w:rsidP="00DA6353">
            <w:pPr>
              <w:rPr>
                <w:rFonts w:eastAsia="Calibri" w:cs="Arial"/>
                <w:sz w:val="20"/>
                <w:szCs w:val="20"/>
                <w:lang w:val="en-GB" w:eastAsia="en-GB"/>
              </w:rPr>
            </w:pPr>
            <w:r>
              <w:rPr>
                <w:rFonts w:eastAsia="Calibri" w:cs="Arial"/>
                <w:sz w:val="20"/>
                <w:szCs w:val="20"/>
                <w:lang w:val="en-GB" w:eastAsia="en-GB"/>
              </w:rPr>
              <w:t>Randomised trial</w:t>
            </w:r>
            <w:r w:rsidRPr="00611361">
              <w:rPr>
                <w:rFonts w:eastAsia="Calibri" w:cs="Arial"/>
                <w:sz w:val="20"/>
                <w:szCs w:val="20"/>
                <w:lang w:val="en-GB" w:eastAsia="en-GB"/>
              </w:rPr>
              <w:t xml:space="preserve"> </w:t>
            </w:r>
          </w:p>
        </w:tc>
        <w:tc>
          <w:tcPr>
            <w:tcW w:w="851" w:type="dxa"/>
            <w:hideMark/>
          </w:tcPr>
          <w:p w14:paraId="0DBAD71B"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1</w:t>
            </w:r>
          </w:p>
        </w:tc>
        <w:tc>
          <w:tcPr>
            <w:tcW w:w="896" w:type="dxa"/>
          </w:tcPr>
          <w:p w14:paraId="53DAE872" w14:textId="77777777" w:rsidR="00DA6353" w:rsidRPr="00611361" w:rsidRDefault="00DA6353" w:rsidP="00DA6353">
            <w:pPr>
              <w:rPr>
                <w:rFonts w:eastAsia="Calibri" w:cs="Arial"/>
                <w:sz w:val="20"/>
                <w:szCs w:val="20"/>
                <w:lang w:eastAsia="en-GB"/>
              </w:rPr>
            </w:pPr>
            <w:r w:rsidRPr="00611361">
              <w:rPr>
                <w:rFonts w:eastAsia="Calibri" w:cs="Arial"/>
                <w:sz w:val="20"/>
                <w:szCs w:val="20"/>
                <w:lang w:eastAsia="en-GB"/>
              </w:rPr>
              <w:t>299</w:t>
            </w:r>
          </w:p>
        </w:tc>
        <w:tc>
          <w:tcPr>
            <w:tcW w:w="7892" w:type="dxa"/>
          </w:tcPr>
          <w:p w14:paraId="10143BC1" w14:textId="77777777" w:rsidR="00DA6353" w:rsidRPr="00611361" w:rsidRDefault="00DA6353" w:rsidP="00F01252">
            <w:pPr>
              <w:spacing w:after="120"/>
              <w:rPr>
                <w:rFonts w:eastAsia="Calibri" w:cs="Arial"/>
                <w:sz w:val="20"/>
                <w:szCs w:val="20"/>
                <w:lang w:eastAsia="en-GB"/>
              </w:rPr>
            </w:pPr>
            <w:r w:rsidRPr="00611361">
              <w:rPr>
                <w:rFonts w:eastAsia="Calibri" w:cs="Arial"/>
                <w:sz w:val="20"/>
                <w:szCs w:val="20"/>
                <w:lang w:eastAsia="en-GB"/>
              </w:rPr>
              <w:t xml:space="preserve">Enriched formula from birth to 9 months increased </w:t>
            </w:r>
            <w:r w:rsidR="00821C06">
              <w:rPr>
                <w:rFonts w:eastAsia="Calibri" w:cs="Arial"/>
                <w:sz w:val="20"/>
                <w:szCs w:val="20"/>
                <w:lang w:eastAsia="en-GB"/>
              </w:rPr>
              <w:t xml:space="preserve">infancy </w:t>
            </w:r>
            <w:r w:rsidRPr="00611361">
              <w:rPr>
                <w:rFonts w:eastAsia="Calibri" w:cs="Arial"/>
                <w:sz w:val="20"/>
                <w:szCs w:val="20"/>
                <w:lang w:eastAsia="en-GB"/>
              </w:rPr>
              <w:t>weight gain &amp; length growth</w:t>
            </w:r>
            <w:r w:rsidR="00611361" w:rsidRPr="00611361">
              <w:rPr>
                <w:rFonts w:eastAsia="Calibri" w:cs="Arial"/>
                <w:sz w:val="20"/>
                <w:szCs w:val="20"/>
                <w:lang w:eastAsia="en-GB"/>
              </w:rPr>
              <w:t xml:space="preserve"> b</w:t>
            </w:r>
            <w:r w:rsidRPr="00611361">
              <w:rPr>
                <w:rFonts w:eastAsia="Calibri" w:cs="Arial"/>
                <w:sz w:val="20"/>
                <w:szCs w:val="20"/>
                <w:lang w:eastAsia="en-GB"/>
              </w:rPr>
              <w:t xml:space="preserve">ut there was </w:t>
            </w:r>
            <w:r w:rsidRPr="00611361">
              <w:rPr>
                <w:rFonts w:eastAsia="Calibri" w:cs="Arial"/>
                <w:bCs/>
                <w:sz w:val="20"/>
                <w:szCs w:val="20"/>
                <w:lang w:eastAsia="en-GB"/>
              </w:rPr>
              <w:t xml:space="preserve">no difference in </w:t>
            </w:r>
            <w:proofErr w:type="spellStart"/>
            <w:r w:rsidRPr="00611361">
              <w:rPr>
                <w:rFonts w:eastAsia="Calibri" w:cs="Arial"/>
                <w:bCs/>
                <w:sz w:val="20"/>
                <w:szCs w:val="20"/>
                <w:lang w:eastAsia="en-GB"/>
              </w:rPr>
              <w:t>Bayleys</w:t>
            </w:r>
            <w:proofErr w:type="spellEnd"/>
            <w:r w:rsidRPr="00611361">
              <w:rPr>
                <w:rFonts w:eastAsia="Calibri" w:cs="Arial"/>
                <w:bCs/>
                <w:sz w:val="20"/>
                <w:szCs w:val="20"/>
                <w:lang w:eastAsia="en-GB"/>
              </w:rPr>
              <w:t xml:space="preserve"> score at 18 months</w:t>
            </w:r>
            <w:r w:rsidR="00611361" w:rsidRPr="00611361">
              <w:rPr>
                <w:rFonts w:eastAsia="Calibri" w:cs="Arial"/>
                <w:bCs/>
                <w:sz w:val="20"/>
                <w:szCs w:val="20"/>
                <w:lang w:eastAsia="en-GB"/>
              </w:rPr>
              <w:t>.</w:t>
            </w:r>
          </w:p>
        </w:tc>
      </w:tr>
      <w:tr w:rsidR="00611361" w:rsidRPr="00DA6353" w14:paraId="1073237F" w14:textId="77777777" w:rsidTr="00611361">
        <w:trPr>
          <w:trHeight w:val="584"/>
        </w:trPr>
        <w:tc>
          <w:tcPr>
            <w:tcW w:w="1526" w:type="dxa"/>
            <w:hideMark/>
          </w:tcPr>
          <w:p w14:paraId="397EBD59" w14:textId="77777777" w:rsidR="00DA6353" w:rsidRPr="00611361" w:rsidRDefault="00DA6353" w:rsidP="00DA6353">
            <w:pPr>
              <w:rPr>
                <w:rFonts w:eastAsia="Calibri" w:cs="Arial"/>
                <w:sz w:val="20"/>
                <w:szCs w:val="20"/>
                <w:lang w:val="en-GB" w:eastAsia="en-GB"/>
              </w:rPr>
            </w:pPr>
          </w:p>
        </w:tc>
        <w:tc>
          <w:tcPr>
            <w:tcW w:w="1417" w:type="dxa"/>
            <w:hideMark/>
          </w:tcPr>
          <w:p w14:paraId="4E32E41C"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hideMark/>
          </w:tcPr>
          <w:p w14:paraId="1165EBC7"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5</w:t>
            </w:r>
          </w:p>
        </w:tc>
        <w:tc>
          <w:tcPr>
            <w:tcW w:w="896" w:type="dxa"/>
          </w:tcPr>
          <w:p w14:paraId="0E12F076"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1482</w:t>
            </w:r>
          </w:p>
        </w:tc>
        <w:tc>
          <w:tcPr>
            <w:tcW w:w="7892" w:type="dxa"/>
          </w:tcPr>
          <w:p w14:paraId="079F9711" w14:textId="77777777" w:rsidR="00DA6353" w:rsidRPr="00611361" w:rsidRDefault="00DA6353" w:rsidP="00F01252">
            <w:pPr>
              <w:spacing w:after="120"/>
              <w:rPr>
                <w:rFonts w:eastAsia="Calibri" w:cs="Arial"/>
                <w:sz w:val="20"/>
                <w:szCs w:val="20"/>
                <w:lang w:val="en-GB" w:eastAsia="en-GB"/>
              </w:rPr>
            </w:pPr>
            <w:r w:rsidRPr="00611361">
              <w:rPr>
                <w:rFonts w:eastAsia="Calibri" w:cs="Arial"/>
                <w:sz w:val="20"/>
                <w:szCs w:val="20"/>
                <w:lang w:val="en-GB" w:eastAsia="en-GB"/>
              </w:rPr>
              <w:t xml:space="preserve">4/5 studies (n=979) </w:t>
            </w:r>
            <w:r w:rsidR="00821C06">
              <w:rPr>
                <w:rFonts w:eastAsia="Calibri" w:cs="Arial"/>
                <w:sz w:val="20"/>
                <w:szCs w:val="20"/>
                <w:lang w:val="en-GB" w:eastAsia="en-GB"/>
              </w:rPr>
              <w:t>reported</w:t>
            </w:r>
            <w:r w:rsidRPr="00611361">
              <w:rPr>
                <w:rFonts w:eastAsia="Calibri" w:cs="Arial"/>
                <w:sz w:val="20"/>
                <w:szCs w:val="20"/>
                <w:lang w:val="en-GB" w:eastAsia="en-GB"/>
              </w:rPr>
              <w:t xml:space="preserve"> </w:t>
            </w:r>
            <w:r w:rsidRPr="00611361">
              <w:rPr>
                <w:rFonts w:eastAsia="Calibri" w:cs="Arial"/>
                <w:bCs/>
                <w:sz w:val="20"/>
                <w:szCs w:val="20"/>
                <w:lang w:val="en-GB" w:eastAsia="en-GB"/>
              </w:rPr>
              <w:t xml:space="preserve">early growth was positively associated with cognition </w:t>
            </w:r>
            <w:r w:rsidRPr="00611361">
              <w:rPr>
                <w:rFonts w:eastAsia="Calibri" w:cs="Arial"/>
                <w:sz w:val="20"/>
                <w:szCs w:val="20"/>
                <w:lang w:val="en-GB" w:eastAsia="en-GB"/>
              </w:rPr>
              <w:t>at ages 17 to 26 yrs.</w:t>
            </w:r>
            <w:r w:rsidR="006F435C">
              <w:rPr>
                <w:rFonts w:eastAsia="Calibri" w:cs="Arial"/>
                <w:sz w:val="20"/>
                <w:szCs w:val="20"/>
                <w:lang w:val="en-GB" w:eastAsia="en-GB"/>
              </w:rPr>
              <w:t xml:space="preserve"> </w:t>
            </w:r>
            <w:r w:rsidRPr="00611361">
              <w:rPr>
                <w:rFonts w:eastAsia="Calibri" w:cs="Arial"/>
                <w:sz w:val="20"/>
                <w:szCs w:val="20"/>
                <w:lang w:val="en-GB" w:eastAsia="en-GB"/>
              </w:rPr>
              <w:t xml:space="preserve">1/5 study (n=503) </w:t>
            </w:r>
            <w:r w:rsidR="00821C06">
              <w:rPr>
                <w:rFonts w:eastAsia="Calibri" w:cs="Arial"/>
                <w:sz w:val="20"/>
                <w:szCs w:val="20"/>
                <w:lang w:val="en-GB" w:eastAsia="en-GB"/>
              </w:rPr>
              <w:t>reported</w:t>
            </w:r>
            <w:r w:rsidRPr="00611361">
              <w:rPr>
                <w:rFonts w:eastAsia="Calibri" w:cs="Arial"/>
                <w:sz w:val="20"/>
                <w:szCs w:val="20"/>
                <w:lang w:val="en-GB" w:eastAsia="en-GB"/>
              </w:rPr>
              <w:t xml:space="preserve"> </w:t>
            </w:r>
            <w:r w:rsidRPr="00611361">
              <w:rPr>
                <w:rFonts w:eastAsia="Calibri" w:cs="Arial"/>
                <w:bCs/>
                <w:sz w:val="20"/>
                <w:szCs w:val="20"/>
                <w:lang w:val="en-GB" w:eastAsia="en-GB"/>
              </w:rPr>
              <w:t xml:space="preserve">both fast and slow early growth </w:t>
            </w:r>
            <w:r w:rsidR="00821C06">
              <w:rPr>
                <w:rFonts w:eastAsia="Calibri" w:cs="Arial"/>
                <w:bCs/>
                <w:sz w:val="20"/>
                <w:szCs w:val="20"/>
                <w:lang w:val="en-GB" w:eastAsia="en-GB"/>
              </w:rPr>
              <w:t xml:space="preserve">was </w:t>
            </w:r>
            <w:r w:rsidRPr="00611361">
              <w:rPr>
                <w:rFonts w:eastAsia="Calibri" w:cs="Arial"/>
                <w:bCs/>
                <w:sz w:val="20"/>
                <w:szCs w:val="20"/>
                <w:lang w:val="en-GB" w:eastAsia="en-GB"/>
              </w:rPr>
              <w:t xml:space="preserve">associated with lower </w:t>
            </w:r>
            <w:r w:rsidR="00821C06">
              <w:rPr>
                <w:rFonts w:eastAsia="Calibri" w:cs="Arial"/>
                <w:bCs/>
                <w:sz w:val="20"/>
                <w:szCs w:val="20"/>
                <w:lang w:val="en-GB" w:eastAsia="en-GB"/>
              </w:rPr>
              <w:t>intelligence quotient</w:t>
            </w:r>
            <w:r w:rsidRPr="00611361">
              <w:rPr>
                <w:rFonts w:eastAsia="Calibri" w:cs="Arial"/>
                <w:bCs/>
                <w:sz w:val="20"/>
                <w:szCs w:val="20"/>
                <w:lang w:val="en-GB" w:eastAsia="en-GB"/>
              </w:rPr>
              <w:t xml:space="preserve"> </w:t>
            </w:r>
            <w:r w:rsidRPr="00611361">
              <w:rPr>
                <w:rFonts w:eastAsia="Calibri" w:cs="Arial"/>
                <w:sz w:val="20"/>
                <w:szCs w:val="20"/>
                <w:lang w:val="en-GB" w:eastAsia="en-GB"/>
              </w:rPr>
              <w:t>at 7 yrs.</w:t>
            </w:r>
          </w:p>
        </w:tc>
      </w:tr>
      <w:tr w:rsidR="00611361" w:rsidRPr="00DA6353" w14:paraId="64549B08" w14:textId="77777777" w:rsidTr="00611361">
        <w:trPr>
          <w:trHeight w:val="629"/>
        </w:trPr>
        <w:tc>
          <w:tcPr>
            <w:tcW w:w="1526" w:type="dxa"/>
            <w:hideMark/>
          </w:tcPr>
          <w:p w14:paraId="2C257B15" w14:textId="77777777" w:rsidR="00DA6353" w:rsidRPr="00611361" w:rsidRDefault="00611361" w:rsidP="00DA6353">
            <w:pPr>
              <w:rPr>
                <w:rFonts w:eastAsia="Calibri" w:cs="Arial"/>
                <w:sz w:val="20"/>
                <w:szCs w:val="20"/>
                <w:lang w:val="en-GB" w:eastAsia="en-GB"/>
              </w:rPr>
            </w:pPr>
            <w:r w:rsidRPr="00611361">
              <w:rPr>
                <w:rFonts w:eastAsia="Calibri" w:cs="Arial"/>
                <w:bCs/>
                <w:sz w:val="20"/>
                <w:szCs w:val="20"/>
                <w:lang w:eastAsia="en-GB"/>
              </w:rPr>
              <w:t>Body mass index</w:t>
            </w:r>
            <w:r w:rsidR="00821C06">
              <w:rPr>
                <w:rFonts w:eastAsia="Calibri" w:cs="Arial"/>
                <w:bCs/>
                <w:sz w:val="20"/>
                <w:szCs w:val="20"/>
                <w:lang w:eastAsia="en-GB"/>
              </w:rPr>
              <w:t xml:space="preserve"> (BMI)</w:t>
            </w:r>
          </w:p>
        </w:tc>
        <w:tc>
          <w:tcPr>
            <w:tcW w:w="1417" w:type="dxa"/>
            <w:hideMark/>
          </w:tcPr>
          <w:p w14:paraId="34EF9418"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hideMark/>
          </w:tcPr>
          <w:p w14:paraId="661130C9"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14</w:t>
            </w:r>
          </w:p>
        </w:tc>
        <w:tc>
          <w:tcPr>
            <w:tcW w:w="896" w:type="dxa"/>
          </w:tcPr>
          <w:p w14:paraId="3C898794" w14:textId="77777777" w:rsidR="00DA6353" w:rsidRPr="00611361" w:rsidRDefault="00DA6353" w:rsidP="00DA6353">
            <w:pPr>
              <w:rPr>
                <w:rFonts w:eastAsia="Calibri" w:cs="Arial"/>
                <w:sz w:val="20"/>
                <w:szCs w:val="20"/>
                <w:lang w:val="en-GB" w:eastAsia="en-GB"/>
              </w:rPr>
            </w:pPr>
            <w:r w:rsidRPr="00611361">
              <w:rPr>
                <w:rFonts w:eastAsia="Calibri" w:cs="Arial"/>
                <w:sz w:val="20"/>
                <w:szCs w:val="20"/>
                <w:lang w:val="en-GB" w:eastAsia="en-GB"/>
              </w:rPr>
              <w:t>2151</w:t>
            </w:r>
          </w:p>
          <w:p w14:paraId="03231C93" w14:textId="77777777" w:rsidR="00DA6353" w:rsidRPr="00611361" w:rsidRDefault="00DA6353" w:rsidP="00DA6353">
            <w:pPr>
              <w:rPr>
                <w:rFonts w:eastAsia="Calibri" w:cs="Arial"/>
                <w:sz w:val="20"/>
                <w:szCs w:val="20"/>
                <w:lang w:val="en-GB" w:eastAsia="en-GB"/>
              </w:rPr>
            </w:pPr>
          </w:p>
        </w:tc>
        <w:tc>
          <w:tcPr>
            <w:tcW w:w="7892" w:type="dxa"/>
          </w:tcPr>
          <w:p w14:paraId="750BE4C7" w14:textId="77777777" w:rsidR="00DA6353" w:rsidRPr="00611361" w:rsidRDefault="00DA6353" w:rsidP="00F01252">
            <w:pPr>
              <w:spacing w:after="120"/>
              <w:rPr>
                <w:rFonts w:eastAsia="Calibri" w:cs="Arial"/>
                <w:sz w:val="20"/>
                <w:szCs w:val="20"/>
                <w:lang w:val="en-GB" w:eastAsia="en-GB"/>
              </w:rPr>
            </w:pPr>
            <w:r w:rsidRPr="00611361">
              <w:rPr>
                <w:rFonts w:eastAsia="Calibri" w:cs="Arial"/>
                <w:sz w:val="20"/>
                <w:szCs w:val="20"/>
                <w:lang w:val="en-GB" w:eastAsia="en-GB"/>
              </w:rPr>
              <w:t xml:space="preserve">11/14 studies (n=2031) </w:t>
            </w:r>
            <w:r w:rsidR="00821C06">
              <w:rPr>
                <w:rFonts w:eastAsia="Calibri" w:cs="Arial"/>
                <w:sz w:val="20"/>
                <w:szCs w:val="20"/>
                <w:lang w:val="en-GB" w:eastAsia="en-GB"/>
              </w:rPr>
              <w:t>reported</w:t>
            </w:r>
            <w:r w:rsidRPr="00611361">
              <w:rPr>
                <w:rFonts w:eastAsia="Calibri" w:cs="Arial"/>
                <w:sz w:val="20"/>
                <w:szCs w:val="20"/>
                <w:lang w:val="en-GB" w:eastAsia="en-GB"/>
              </w:rPr>
              <w:t xml:space="preserve"> </w:t>
            </w:r>
            <w:r w:rsidRPr="00611361">
              <w:rPr>
                <w:rFonts w:eastAsia="Calibri" w:cs="Arial"/>
                <w:bCs/>
                <w:sz w:val="20"/>
                <w:szCs w:val="20"/>
                <w:lang w:val="en-GB" w:eastAsia="en-GB"/>
              </w:rPr>
              <w:t>early growth was positively associated with BMI</w:t>
            </w:r>
            <w:r w:rsidRPr="00611361">
              <w:rPr>
                <w:rFonts w:eastAsia="Calibri" w:cs="Arial"/>
                <w:sz w:val="20"/>
                <w:szCs w:val="20"/>
                <w:lang w:val="en-GB" w:eastAsia="en-GB"/>
              </w:rPr>
              <w:t>.</w:t>
            </w:r>
            <w:r w:rsidR="00821C06">
              <w:rPr>
                <w:rFonts w:eastAsia="Calibri" w:cs="Arial"/>
                <w:sz w:val="20"/>
                <w:szCs w:val="20"/>
                <w:lang w:val="en-GB" w:eastAsia="en-GB"/>
              </w:rPr>
              <w:t xml:space="preserve"> 3/14 </w:t>
            </w:r>
            <w:r w:rsidRPr="00611361">
              <w:rPr>
                <w:rFonts w:eastAsia="Calibri" w:cs="Arial"/>
                <w:sz w:val="20"/>
                <w:szCs w:val="20"/>
                <w:lang w:val="en-GB" w:eastAsia="en-GB"/>
              </w:rPr>
              <w:t xml:space="preserve">studies (n=120) </w:t>
            </w:r>
            <w:r w:rsidR="00821C06">
              <w:rPr>
                <w:rFonts w:eastAsia="Calibri" w:cs="Arial"/>
                <w:sz w:val="20"/>
                <w:szCs w:val="20"/>
                <w:lang w:val="en-GB" w:eastAsia="en-GB"/>
              </w:rPr>
              <w:t>reported</w:t>
            </w:r>
            <w:r w:rsidRPr="00611361">
              <w:rPr>
                <w:rFonts w:eastAsia="Calibri" w:cs="Arial"/>
                <w:sz w:val="20"/>
                <w:szCs w:val="20"/>
                <w:lang w:val="en-GB" w:eastAsia="en-GB"/>
              </w:rPr>
              <w:t xml:space="preserve"> </w:t>
            </w:r>
            <w:r w:rsidRPr="00611361">
              <w:rPr>
                <w:rFonts w:eastAsia="Calibri" w:cs="Arial"/>
                <w:bCs/>
                <w:sz w:val="20"/>
                <w:szCs w:val="20"/>
                <w:lang w:val="en-GB" w:eastAsia="en-GB"/>
              </w:rPr>
              <w:t xml:space="preserve">no association </w:t>
            </w:r>
            <w:r w:rsidRPr="00611361">
              <w:rPr>
                <w:rFonts w:eastAsia="Calibri" w:cs="Arial"/>
                <w:sz w:val="20"/>
                <w:szCs w:val="20"/>
                <w:lang w:val="en-GB" w:eastAsia="en-GB"/>
              </w:rPr>
              <w:t>between early growth and later BMI.</w:t>
            </w:r>
          </w:p>
        </w:tc>
      </w:tr>
      <w:tr w:rsidR="00821C06" w:rsidRPr="00DA6353" w14:paraId="7EFB2232" w14:textId="77777777" w:rsidTr="00611361">
        <w:trPr>
          <w:trHeight w:val="584"/>
        </w:trPr>
        <w:tc>
          <w:tcPr>
            <w:tcW w:w="1526" w:type="dxa"/>
          </w:tcPr>
          <w:p w14:paraId="1CCC72AD" w14:textId="77777777" w:rsidR="00821C06" w:rsidRPr="00611361" w:rsidRDefault="00821C06" w:rsidP="00E5601F">
            <w:pPr>
              <w:rPr>
                <w:rFonts w:eastAsia="Calibri" w:cs="Arial"/>
                <w:sz w:val="20"/>
                <w:szCs w:val="20"/>
                <w:lang w:val="en-GB" w:eastAsia="en-GB"/>
              </w:rPr>
            </w:pPr>
            <w:r>
              <w:rPr>
                <w:rFonts w:eastAsia="Calibri" w:cs="Arial"/>
                <w:bCs/>
                <w:sz w:val="20"/>
                <w:szCs w:val="20"/>
                <w:lang w:eastAsia="en-GB"/>
              </w:rPr>
              <w:t>Percent</w:t>
            </w:r>
            <w:r w:rsidRPr="00611361">
              <w:rPr>
                <w:rFonts w:eastAsia="Calibri" w:cs="Arial"/>
                <w:bCs/>
                <w:sz w:val="20"/>
                <w:szCs w:val="20"/>
                <w:lang w:eastAsia="en-GB"/>
              </w:rPr>
              <w:t xml:space="preserve"> body fat</w:t>
            </w:r>
          </w:p>
        </w:tc>
        <w:tc>
          <w:tcPr>
            <w:tcW w:w="1417" w:type="dxa"/>
          </w:tcPr>
          <w:p w14:paraId="6A58187C" w14:textId="77777777" w:rsidR="00821C06" w:rsidRPr="00611361" w:rsidRDefault="00F01252" w:rsidP="00E5601F">
            <w:pPr>
              <w:rPr>
                <w:rFonts w:eastAsia="Calibri" w:cs="Arial"/>
                <w:sz w:val="20"/>
                <w:szCs w:val="20"/>
                <w:lang w:val="en-GB" w:eastAsia="en-GB"/>
              </w:rPr>
            </w:pPr>
            <w:r w:rsidRPr="00F01252">
              <w:rPr>
                <w:rFonts w:eastAsia="Calibri" w:cs="Arial"/>
                <w:sz w:val="20"/>
                <w:szCs w:val="20"/>
                <w:lang w:val="en-GB" w:eastAsia="en-GB"/>
              </w:rPr>
              <w:t>Randomised trial</w:t>
            </w:r>
          </w:p>
        </w:tc>
        <w:tc>
          <w:tcPr>
            <w:tcW w:w="851" w:type="dxa"/>
          </w:tcPr>
          <w:p w14:paraId="50B02B62" w14:textId="77777777" w:rsidR="00821C06" w:rsidRPr="00611361" w:rsidRDefault="00821C06" w:rsidP="00E5601F">
            <w:pPr>
              <w:rPr>
                <w:rFonts w:eastAsia="Calibri" w:cs="Arial"/>
                <w:sz w:val="20"/>
                <w:szCs w:val="20"/>
                <w:lang w:val="en-GB" w:eastAsia="en-GB"/>
              </w:rPr>
            </w:pPr>
            <w:r w:rsidRPr="00611361">
              <w:rPr>
                <w:rFonts w:eastAsia="Calibri" w:cs="Arial"/>
                <w:sz w:val="20"/>
                <w:szCs w:val="20"/>
                <w:lang w:eastAsia="en-GB"/>
              </w:rPr>
              <w:t>1</w:t>
            </w:r>
          </w:p>
        </w:tc>
        <w:tc>
          <w:tcPr>
            <w:tcW w:w="896" w:type="dxa"/>
          </w:tcPr>
          <w:p w14:paraId="117D1C61" w14:textId="77777777" w:rsidR="00821C06" w:rsidRPr="00611361" w:rsidRDefault="00821C06" w:rsidP="00E5601F">
            <w:pPr>
              <w:rPr>
                <w:rFonts w:eastAsia="Calibri" w:cs="Arial"/>
                <w:sz w:val="20"/>
                <w:szCs w:val="20"/>
                <w:lang w:val="en-GB" w:eastAsia="en-GB"/>
              </w:rPr>
            </w:pPr>
            <w:r w:rsidRPr="00611361">
              <w:rPr>
                <w:rFonts w:eastAsia="Calibri" w:cs="Arial"/>
                <w:sz w:val="20"/>
                <w:szCs w:val="20"/>
                <w:lang w:eastAsia="en-GB"/>
              </w:rPr>
              <w:t>299</w:t>
            </w:r>
          </w:p>
        </w:tc>
        <w:tc>
          <w:tcPr>
            <w:tcW w:w="7892" w:type="dxa"/>
          </w:tcPr>
          <w:p w14:paraId="07B67D8C" w14:textId="77777777" w:rsidR="00821C06" w:rsidRPr="00611361" w:rsidRDefault="00821C06" w:rsidP="00F01252">
            <w:pPr>
              <w:spacing w:after="120"/>
              <w:rPr>
                <w:rFonts w:eastAsia="Calibri" w:cs="Arial"/>
                <w:sz w:val="20"/>
                <w:szCs w:val="20"/>
                <w:lang w:eastAsia="en-GB"/>
              </w:rPr>
            </w:pPr>
            <w:r w:rsidRPr="00611361">
              <w:rPr>
                <w:rFonts w:eastAsia="Calibri" w:cs="Arial"/>
                <w:sz w:val="20"/>
                <w:szCs w:val="20"/>
                <w:lang w:val="en-GB" w:eastAsia="en-GB"/>
              </w:rPr>
              <w:t xml:space="preserve">Enriched formula increased </w:t>
            </w:r>
            <w:r>
              <w:rPr>
                <w:rFonts w:eastAsia="Calibri" w:cs="Arial"/>
                <w:sz w:val="20"/>
                <w:szCs w:val="20"/>
                <w:lang w:val="en-GB" w:eastAsia="en-GB"/>
              </w:rPr>
              <w:t xml:space="preserve">infancy </w:t>
            </w:r>
            <w:r w:rsidRPr="00611361">
              <w:rPr>
                <w:rFonts w:eastAsia="Calibri" w:cs="Arial"/>
                <w:sz w:val="20"/>
                <w:szCs w:val="20"/>
                <w:lang w:val="en-GB" w:eastAsia="en-GB"/>
              </w:rPr>
              <w:t xml:space="preserve">weight gain and length growth and </w:t>
            </w:r>
            <w:r>
              <w:rPr>
                <w:rFonts w:eastAsia="Calibri" w:cs="Arial"/>
                <w:sz w:val="20"/>
                <w:szCs w:val="20"/>
                <w:lang w:val="en-GB" w:eastAsia="en-GB"/>
              </w:rPr>
              <w:t xml:space="preserve">also </w:t>
            </w:r>
            <w:r w:rsidRPr="00611361">
              <w:rPr>
                <w:rFonts w:eastAsia="Calibri" w:cs="Arial"/>
                <w:bCs/>
                <w:sz w:val="20"/>
                <w:szCs w:val="20"/>
                <w:lang w:val="en-GB" w:eastAsia="en-GB"/>
              </w:rPr>
              <w:t xml:space="preserve">increased </w:t>
            </w:r>
            <w:r>
              <w:rPr>
                <w:rFonts w:eastAsia="Calibri" w:cs="Arial"/>
                <w:bCs/>
                <w:sz w:val="20"/>
                <w:szCs w:val="20"/>
                <w:lang w:val="en-GB" w:eastAsia="en-GB"/>
              </w:rPr>
              <w:t>percent</w:t>
            </w:r>
            <w:r w:rsidRPr="00611361">
              <w:rPr>
                <w:rFonts w:eastAsia="Calibri" w:cs="Arial"/>
                <w:bCs/>
                <w:sz w:val="20"/>
                <w:szCs w:val="20"/>
                <w:lang w:val="en-GB" w:eastAsia="en-GB"/>
              </w:rPr>
              <w:t xml:space="preserve"> body fat </w:t>
            </w:r>
            <w:r w:rsidRPr="00611361">
              <w:rPr>
                <w:rFonts w:eastAsia="Calibri" w:cs="Arial"/>
                <w:sz w:val="20"/>
                <w:szCs w:val="20"/>
                <w:lang w:val="en-GB" w:eastAsia="en-GB"/>
              </w:rPr>
              <w:t xml:space="preserve">at ages 6 to </w:t>
            </w:r>
            <w:r>
              <w:rPr>
                <w:rFonts w:eastAsia="Calibri" w:cs="Arial"/>
                <w:sz w:val="20"/>
                <w:szCs w:val="20"/>
                <w:lang w:val="en-GB" w:eastAsia="en-GB"/>
              </w:rPr>
              <w:t>8 yrs.</w:t>
            </w:r>
          </w:p>
        </w:tc>
      </w:tr>
      <w:tr w:rsidR="00821C06" w:rsidRPr="00DA6353" w14:paraId="049C76A0" w14:textId="77777777" w:rsidTr="00611361">
        <w:trPr>
          <w:trHeight w:val="584"/>
        </w:trPr>
        <w:tc>
          <w:tcPr>
            <w:tcW w:w="1526" w:type="dxa"/>
          </w:tcPr>
          <w:p w14:paraId="035BDD2A" w14:textId="77777777" w:rsidR="00821C06" w:rsidRPr="00611361" w:rsidRDefault="00821C06" w:rsidP="00E5601F">
            <w:pPr>
              <w:rPr>
                <w:rFonts w:eastAsia="Calibri" w:cs="Arial"/>
                <w:sz w:val="20"/>
                <w:szCs w:val="20"/>
                <w:lang w:val="en-GB" w:eastAsia="en-GB"/>
              </w:rPr>
            </w:pPr>
          </w:p>
        </w:tc>
        <w:tc>
          <w:tcPr>
            <w:tcW w:w="1417" w:type="dxa"/>
          </w:tcPr>
          <w:p w14:paraId="7640579E" w14:textId="77777777" w:rsidR="00821C06" w:rsidRPr="00611361" w:rsidRDefault="00821C06" w:rsidP="00E5601F">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tcPr>
          <w:p w14:paraId="1D6E2D8E" w14:textId="77777777" w:rsidR="00821C06" w:rsidRPr="00611361" w:rsidRDefault="00821C06" w:rsidP="00E5601F">
            <w:pPr>
              <w:rPr>
                <w:rFonts w:eastAsia="Calibri" w:cs="Arial"/>
                <w:sz w:val="20"/>
                <w:szCs w:val="20"/>
                <w:lang w:val="en-GB" w:eastAsia="en-GB"/>
              </w:rPr>
            </w:pPr>
            <w:r w:rsidRPr="00611361">
              <w:rPr>
                <w:rFonts w:eastAsia="Calibri" w:cs="Arial"/>
                <w:sz w:val="20"/>
                <w:szCs w:val="20"/>
                <w:lang w:eastAsia="en-GB"/>
              </w:rPr>
              <w:t>5</w:t>
            </w:r>
          </w:p>
        </w:tc>
        <w:tc>
          <w:tcPr>
            <w:tcW w:w="896" w:type="dxa"/>
          </w:tcPr>
          <w:p w14:paraId="26D65C75" w14:textId="77777777" w:rsidR="00821C06" w:rsidRPr="00611361" w:rsidRDefault="00821C06" w:rsidP="00E5601F">
            <w:pPr>
              <w:rPr>
                <w:rFonts w:eastAsia="Calibri" w:cs="Arial"/>
                <w:sz w:val="20"/>
                <w:szCs w:val="20"/>
                <w:lang w:val="en-GB" w:eastAsia="en-GB"/>
              </w:rPr>
            </w:pPr>
            <w:r w:rsidRPr="00611361">
              <w:rPr>
                <w:rFonts w:eastAsia="Calibri" w:cs="Arial"/>
                <w:sz w:val="20"/>
                <w:szCs w:val="20"/>
                <w:lang w:eastAsia="en-GB"/>
              </w:rPr>
              <w:t>1476</w:t>
            </w:r>
          </w:p>
          <w:p w14:paraId="08A5AD01" w14:textId="77777777" w:rsidR="00821C06" w:rsidRPr="00611361" w:rsidRDefault="00821C06" w:rsidP="00E5601F">
            <w:pPr>
              <w:rPr>
                <w:rFonts w:eastAsia="Calibri" w:cs="Arial"/>
                <w:sz w:val="20"/>
                <w:szCs w:val="20"/>
                <w:lang w:eastAsia="en-GB"/>
              </w:rPr>
            </w:pPr>
          </w:p>
        </w:tc>
        <w:tc>
          <w:tcPr>
            <w:tcW w:w="7892" w:type="dxa"/>
          </w:tcPr>
          <w:p w14:paraId="56EAB131" w14:textId="77777777" w:rsidR="00821C06" w:rsidRPr="00611361" w:rsidRDefault="00821C06" w:rsidP="00F01252">
            <w:pPr>
              <w:spacing w:after="120"/>
              <w:rPr>
                <w:rFonts w:eastAsia="Calibri" w:cs="Arial"/>
                <w:sz w:val="20"/>
                <w:szCs w:val="20"/>
                <w:lang w:eastAsia="en-GB"/>
              </w:rPr>
            </w:pPr>
            <w:r w:rsidRPr="00611361">
              <w:rPr>
                <w:rFonts w:eastAsia="Calibri" w:cs="Arial"/>
                <w:sz w:val="20"/>
                <w:szCs w:val="20"/>
                <w:lang w:eastAsia="en-GB"/>
              </w:rPr>
              <w:t xml:space="preserve">2/5 studies (n=54)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early growth was positively associated with </w:t>
            </w:r>
            <w:r>
              <w:rPr>
                <w:rFonts w:eastAsia="Calibri" w:cs="Arial"/>
                <w:bCs/>
                <w:sz w:val="20"/>
                <w:szCs w:val="20"/>
                <w:lang w:eastAsia="en-GB"/>
              </w:rPr>
              <w:t>percent</w:t>
            </w:r>
            <w:r w:rsidRPr="00611361">
              <w:rPr>
                <w:rFonts w:eastAsia="Calibri" w:cs="Arial"/>
                <w:bCs/>
                <w:sz w:val="20"/>
                <w:szCs w:val="20"/>
                <w:lang w:eastAsia="en-GB"/>
              </w:rPr>
              <w:t xml:space="preserve"> body fat </w:t>
            </w:r>
            <w:r w:rsidRPr="00611361">
              <w:rPr>
                <w:rFonts w:eastAsia="Calibri" w:cs="Arial"/>
                <w:sz w:val="20"/>
                <w:szCs w:val="20"/>
                <w:lang w:eastAsia="en-GB"/>
              </w:rPr>
              <w:t>at ages 2 to 4</w:t>
            </w:r>
            <w:r>
              <w:rPr>
                <w:rFonts w:eastAsia="Calibri" w:cs="Arial"/>
                <w:sz w:val="20"/>
                <w:szCs w:val="20"/>
                <w:lang w:eastAsia="en-GB"/>
              </w:rPr>
              <w:t xml:space="preserve"> </w:t>
            </w:r>
            <w:r w:rsidRPr="00611361">
              <w:rPr>
                <w:rFonts w:eastAsia="Calibri" w:cs="Arial"/>
                <w:sz w:val="20"/>
                <w:szCs w:val="20"/>
                <w:lang w:eastAsia="en-GB"/>
              </w:rPr>
              <w:t>yrs.</w:t>
            </w:r>
            <w:r>
              <w:rPr>
                <w:rFonts w:eastAsia="Calibri" w:cs="Arial"/>
                <w:sz w:val="20"/>
                <w:szCs w:val="20"/>
                <w:lang w:eastAsia="en-GB"/>
              </w:rPr>
              <w:t xml:space="preserve"> </w:t>
            </w:r>
            <w:r w:rsidRPr="00611361">
              <w:rPr>
                <w:rFonts w:eastAsia="Calibri" w:cs="Arial"/>
                <w:sz w:val="20"/>
                <w:szCs w:val="20"/>
                <w:lang w:eastAsia="en-GB"/>
              </w:rPr>
              <w:t xml:space="preserve">3/5 studies (n=1412)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no association </w:t>
            </w:r>
            <w:r w:rsidRPr="00611361">
              <w:rPr>
                <w:rFonts w:eastAsia="Calibri" w:cs="Arial"/>
                <w:sz w:val="20"/>
                <w:szCs w:val="20"/>
                <w:lang w:eastAsia="en-GB"/>
              </w:rPr>
              <w:t>between early growth and later</w:t>
            </w:r>
            <w:r>
              <w:rPr>
                <w:rFonts w:eastAsia="Calibri" w:cs="Arial"/>
                <w:sz w:val="20"/>
                <w:szCs w:val="20"/>
                <w:lang w:eastAsia="en-GB"/>
              </w:rPr>
              <w:t xml:space="preserve"> percent</w:t>
            </w:r>
            <w:r w:rsidRPr="00611361">
              <w:rPr>
                <w:rFonts w:eastAsia="Calibri" w:cs="Arial"/>
                <w:sz w:val="20"/>
                <w:szCs w:val="20"/>
                <w:lang w:eastAsia="en-GB"/>
              </w:rPr>
              <w:t xml:space="preserve"> body fat at ages 4</w:t>
            </w:r>
            <w:r>
              <w:rPr>
                <w:rFonts w:eastAsia="Calibri" w:cs="Arial"/>
                <w:sz w:val="20"/>
                <w:szCs w:val="20"/>
                <w:lang w:eastAsia="en-GB"/>
              </w:rPr>
              <w:t xml:space="preserve"> </w:t>
            </w:r>
            <w:proofErr w:type="spellStart"/>
            <w:r w:rsidRPr="00611361">
              <w:rPr>
                <w:rFonts w:eastAsia="Calibri" w:cs="Arial"/>
                <w:sz w:val="20"/>
                <w:szCs w:val="20"/>
                <w:lang w:eastAsia="en-GB"/>
              </w:rPr>
              <w:t>mo</w:t>
            </w:r>
            <w:proofErr w:type="spellEnd"/>
            <w:r w:rsidRPr="00611361">
              <w:rPr>
                <w:rFonts w:eastAsia="Calibri" w:cs="Arial"/>
                <w:sz w:val="20"/>
                <w:szCs w:val="20"/>
                <w:lang w:eastAsia="en-GB"/>
              </w:rPr>
              <w:t xml:space="preserve"> to 21</w:t>
            </w:r>
            <w:r>
              <w:rPr>
                <w:rFonts w:eastAsia="Calibri" w:cs="Arial"/>
                <w:sz w:val="20"/>
                <w:szCs w:val="20"/>
                <w:lang w:eastAsia="en-GB"/>
              </w:rPr>
              <w:t xml:space="preserve"> </w:t>
            </w:r>
            <w:r w:rsidRPr="00611361">
              <w:rPr>
                <w:rFonts w:eastAsia="Calibri" w:cs="Arial"/>
                <w:sz w:val="20"/>
                <w:szCs w:val="20"/>
                <w:lang w:eastAsia="en-GB"/>
              </w:rPr>
              <w:t xml:space="preserve">yrs.    </w:t>
            </w:r>
          </w:p>
        </w:tc>
      </w:tr>
      <w:tr w:rsidR="00821C06" w:rsidRPr="00DA6353" w14:paraId="6EBF6403" w14:textId="77777777" w:rsidTr="00611361">
        <w:trPr>
          <w:trHeight w:val="584"/>
        </w:trPr>
        <w:tc>
          <w:tcPr>
            <w:tcW w:w="1526" w:type="dxa"/>
            <w:hideMark/>
          </w:tcPr>
          <w:p w14:paraId="017F9918" w14:textId="77777777" w:rsidR="00821C06" w:rsidRPr="00611361" w:rsidRDefault="00821C06" w:rsidP="00821C06">
            <w:pPr>
              <w:rPr>
                <w:rFonts w:eastAsia="Calibri" w:cs="Arial"/>
                <w:sz w:val="20"/>
                <w:szCs w:val="20"/>
                <w:lang w:val="en-GB" w:eastAsia="en-GB"/>
              </w:rPr>
            </w:pPr>
            <w:r w:rsidRPr="00611361">
              <w:rPr>
                <w:rFonts w:eastAsia="Calibri" w:cs="Arial"/>
                <w:bCs/>
                <w:sz w:val="20"/>
                <w:szCs w:val="20"/>
                <w:lang w:val="en-GB" w:eastAsia="en-GB"/>
              </w:rPr>
              <w:t xml:space="preserve">Fat </w:t>
            </w:r>
            <w:r>
              <w:rPr>
                <w:rFonts w:eastAsia="Calibri" w:cs="Arial"/>
                <w:bCs/>
                <w:sz w:val="20"/>
                <w:szCs w:val="20"/>
                <w:lang w:val="en-GB" w:eastAsia="en-GB"/>
              </w:rPr>
              <w:t>and</w:t>
            </w:r>
            <w:r w:rsidRPr="00611361">
              <w:rPr>
                <w:rFonts w:eastAsia="Calibri" w:cs="Arial"/>
                <w:bCs/>
                <w:sz w:val="20"/>
                <w:szCs w:val="20"/>
                <w:lang w:val="en-GB" w:eastAsia="en-GB"/>
              </w:rPr>
              <w:t xml:space="preserve"> lean mass</w:t>
            </w:r>
          </w:p>
        </w:tc>
        <w:tc>
          <w:tcPr>
            <w:tcW w:w="1417" w:type="dxa"/>
            <w:hideMark/>
          </w:tcPr>
          <w:p w14:paraId="1720CD57" w14:textId="77777777" w:rsidR="00821C06" w:rsidRPr="00611361" w:rsidRDefault="00F01252" w:rsidP="00DA6353">
            <w:pPr>
              <w:rPr>
                <w:rFonts w:eastAsia="Calibri" w:cs="Arial"/>
                <w:sz w:val="20"/>
                <w:szCs w:val="20"/>
                <w:lang w:val="en-GB" w:eastAsia="en-GB"/>
              </w:rPr>
            </w:pPr>
            <w:r w:rsidRPr="00F01252">
              <w:rPr>
                <w:rFonts w:eastAsia="Calibri" w:cs="Arial"/>
                <w:sz w:val="20"/>
                <w:szCs w:val="20"/>
                <w:lang w:val="en-GB" w:eastAsia="en-GB"/>
              </w:rPr>
              <w:t>Randomised trial</w:t>
            </w:r>
          </w:p>
        </w:tc>
        <w:tc>
          <w:tcPr>
            <w:tcW w:w="851" w:type="dxa"/>
            <w:hideMark/>
          </w:tcPr>
          <w:p w14:paraId="60724F1B"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val="en-GB" w:eastAsia="en-GB"/>
              </w:rPr>
              <w:t>1</w:t>
            </w:r>
          </w:p>
        </w:tc>
        <w:tc>
          <w:tcPr>
            <w:tcW w:w="896" w:type="dxa"/>
          </w:tcPr>
          <w:p w14:paraId="1C51B59C"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val="en-GB" w:eastAsia="en-GB"/>
              </w:rPr>
              <w:t>246</w:t>
            </w:r>
          </w:p>
        </w:tc>
        <w:tc>
          <w:tcPr>
            <w:tcW w:w="7892" w:type="dxa"/>
          </w:tcPr>
          <w:p w14:paraId="05B0E7F5" w14:textId="77777777" w:rsidR="00821C06" w:rsidRPr="00611361" w:rsidRDefault="00821C06" w:rsidP="00F01252">
            <w:pPr>
              <w:spacing w:after="120"/>
              <w:rPr>
                <w:rFonts w:eastAsia="Calibri" w:cs="Arial"/>
                <w:sz w:val="20"/>
                <w:szCs w:val="20"/>
                <w:lang w:val="en-GB" w:eastAsia="en-GB"/>
              </w:rPr>
            </w:pPr>
            <w:r w:rsidRPr="00611361">
              <w:rPr>
                <w:rFonts w:eastAsia="Calibri" w:cs="Arial"/>
                <w:sz w:val="20"/>
                <w:szCs w:val="20"/>
                <w:lang w:val="en-GB" w:eastAsia="en-GB"/>
              </w:rPr>
              <w:t xml:space="preserve">Enriched formula increased </w:t>
            </w:r>
            <w:r>
              <w:rPr>
                <w:rFonts w:eastAsia="Calibri" w:cs="Arial"/>
                <w:sz w:val="20"/>
                <w:szCs w:val="20"/>
                <w:lang w:val="en-GB" w:eastAsia="en-GB"/>
              </w:rPr>
              <w:t xml:space="preserve">infancy </w:t>
            </w:r>
            <w:r w:rsidRPr="00611361">
              <w:rPr>
                <w:rFonts w:eastAsia="Calibri" w:cs="Arial"/>
                <w:sz w:val="20"/>
                <w:szCs w:val="20"/>
                <w:lang w:val="en-GB" w:eastAsia="en-GB"/>
              </w:rPr>
              <w:t xml:space="preserve">weight gain and length growth and </w:t>
            </w:r>
            <w:r>
              <w:rPr>
                <w:rFonts w:eastAsia="Calibri" w:cs="Arial"/>
                <w:sz w:val="20"/>
                <w:szCs w:val="20"/>
                <w:lang w:val="en-GB" w:eastAsia="en-GB"/>
              </w:rPr>
              <w:t xml:space="preserve">also </w:t>
            </w:r>
            <w:r w:rsidRPr="00611361">
              <w:rPr>
                <w:rFonts w:eastAsia="Calibri" w:cs="Arial"/>
                <w:bCs/>
                <w:sz w:val="20"/>
                <w:szCs w:val="20"/>
                <w:lang w:val="en-GB" w:eastAsia="en-GB"/>
              </w:rPr>
              <w:t xml:space="preserve">increased fat mass </w:t>
            </w:r>
            <w:r w:rsidRPr="00611361">
              <w:rPr>
                <w:rFonts w:eastAsia="Calibri" w:cs="Arial"/>
                <w:sz w:val="20"/>
                <w:szCs w:val="20"/>
                <w:lang w:val="en-GB" w:eastAsia="en-GB"/>
              </w:rPr>
              <w:t xml:space="preserve">at ages 5 to 7 yrs. </w:t>
            </w:r>
          </w:p>
        </w:tc>
      </w:tr>
      <w:tr w:rsidR="00821C06" w:rsidRPr="00DA6353" w14:paraId="2496EF3A" w14:textId="77777777" w:rsidTr="00611361">
        <w:trPr>
          <w:trHeight w:val="584"/>
        </w:trPr>
        <w:tc>
          <w:tcPr>
            <w:tcW w:w="1526" w:type="dxa"/>
            <w:hideMark/>
          </w:tcPr>
          <w:p w14:paraId="3F6CC844" w14:textId="77777777" w:rsidR="00821C06" w:rsidRPr="00611361" w:rsidRDefault="00821C06" w:rsidP="00DA6353">
            <w:pPr>
              <w:rPr>
                <w:rFonts w:eastAsia="Calibri" w:cs="Arial"/>
                <w:sz w:val="20"/>
                <w:szCs w:val="20"/>
                <w:lang w:val="en-GB" w:eastAsia="en-GB"/>
              </w:rPr>
            </w:pPr>
          </w:p>
        </w:tc>
        <w:tc>
          <w:tcPr>
            <w:tcW w:w="1417" w:type="dxa"/>
            <w:hideMark/>
          </w:tcPr>
          <w:p w14:paraId="4B4BB83D"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hideMark/>
          </w:tcPr>
          <w:p w14:paraId="32E7C657"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eastAsia="en-GB"/>
              </w:rPr>
              <w:t>6</w:t>
            </w:r>
          </w:p>
        </w:tc>
        <w:tc>
          <w:tcPr>
            <w:tcW w:w="896" w:type="dxa"/>
          </w:tcPr>
          <w:p w14:paraId="00B0CAB5" w14:textId="77777777" w:rsidR="00821C06" w:rsidRPr="00611361" w:rsidRDefault="00821C06" w:rsidP="00DA6353">
            <w:pPr>
              <w:rPr>
                <w:rFonts w:eastAsia="Calibri" w:cs="Arial"/>
                <w:sz w:val="20"/>
                <w:szCs w:val="20"/>
                <w:lang w:eastAsia="en-GB"/>
              </w:rPr>
            </w:pPr>
            <w:r w:rsidRPr="00611361">
              <w:rPr>
                <w:rFonts w:eastAsia="Calibri" w:cs="Arial"/>
                <w:sz w:val="20"/>
                <w:szCs w:val="20"/>
                <w:lang w:eastAsia="en-GB"/>
              </w:rPr>
              <w:t>591</w:t>
            </w:r>
          </w:p>
        </w:tc>
        <w:tc>
          <w:tcPr>
            <w:tcW w:w="7892" w:type="dxa"/>
          </w:tcPr>
          <w:p w14:paraId="195D1FBA" w14:textId="77777777" w:rsidR="00821C06" w:rsidRPr="00611361" w:rsidRDefault="00821C06" w:rsidP="00F01252">
            <w:pPr>
              <w:spacing w:after="120"/>
              <w:rPr>
                <w:rFonts w:eastAsia="Calibri" w:cs="Arial"/>
                <w:sz w:val="20"/>
                <w:szCs w:val="20"/>
                <w:lang w:eastAsia="en-GB"/>
              </w:rPr>
            </w:pPr>
            <w:r w:rsidRPr="00611361">
              <w:rPr>
                <w:rFonts w:eastAsia="Calibri" w:cs="Arial"/>
                <w:sz w:val="20"/>
                <w:szCs w:val="20"/>
                <w:lang w:eastAsia="en-GB"/>
              </w:rPr>
              <w:t xml:space="preserve">5/6 studies (n=486)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early </w:t>
            </w:r>
            <w:r>
              <w:rPr>
                <w:rFonts w:eastAsia="Calibri" w:cs="Arial"/>
                <w:bCs/>
                <w:sz w:val="20"/>
                <w:szCs w:val="20"/>
                <w:lang w:eastAsia="en-GB"/>
              </w:rPr>
              <w:t>weight</w:t>
            </w:r>
            <w:r w:rsidRPr="00611361">
              <w:rPr>
                <w:rFonts w:eastAsia="Calibri" w:cs="Arial"/>
                <w:bCs/>
                <w:sz w:val="20"/>
                <w:szCs w:val="20"/>
                <w:lang w:eastAsia="en-GB"/>
              </w:rPr>
              <w:t xml:space="preserve"> gain was positively associated with fat mass </w:t>
            </w:r>
            <w:r w:rsidRPr="00611361">
              <w:rPr>
                <w:rFonts w:eastAsia="Calibri" w:cs="Arial"/>
                <w:sz w:val="20"/>
                <w:szCs w:val="20"/>
                <w:lang w:eastAsia="en-GB"/>
              </w:rPr>
              <w:t>at ages 1 to 8 yrs.</w:t>
            </w:r>
            <w:r>
              <w:rPr>
                <w:rFonts w:eastAsia="Calibri" w:cs="Arial"/>
                <w:sz w:val="20"/>
                <w:szCs w:val="20"/>
                <w:lang w:eastAsia="en-GB"/>
              </w:rPr>
              <w:t xml:space="preserve"> </w:t>
            </w:r>
            <w:r w:rsidRPr="00611361">
              <w:rPr>
                <w:rFonts w:eastAsia="Calibri" w:cs="Arial"/>
                <w:sz w:val="20"/>
                <w:szCs w:val="20"/>
                <w:lang w:eastAsia="en-GB"/>
              </w:rPr>
              <w:t xml:space="preserve">1/6 study (n=106)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early </w:t>
            </w:r>
            <w:r>
              <w:rPr>
                <w:rFonts w:eastAsia="Calibri" w:cs="Arial"/>
                <w:bCs/>
                <w:sz w:val="20"/>
                <w:szCs w:val="20"/>
                <w:lang w:eastAsia="en-GB"/>
              </w:rPr>
              <w:t>weight</w:t>
            </w:r>
            <w:r w:rsidRPr="00611361">
              <w:rPr>
                <w:rFonts w:eastAsia="Calibri" w:cs="Arial"/>
                <w:bCs/>
                <w:sz w:val="20"/>
                <w:szCs w:val="20"/>
                <w:lang w:eastAsia="en-GB"/>
              </w:rPr>
              <w:t xml:space="preserve"> gain was positively associated with lean mass </w:t>
            </w:r>
            <w:r>
              <w:rPr>
                <w:rFonts w:eastAsia="Calibri" w:cs="Arial"/>
                <w:bCs/>
                <w:sz w:val="20"/>
                <w:szCs w:val="20"/>
                <w:lang w:eastAsia="en-GB"/>
              </w:rPr>
              <w:t xml:space="preserve">but </w:t>
            </w:r>
            <w:r w:rsidRPr="00611361">
              <w:rPr>
                <w:rFonts w:eastAsia="Calibri" w:cs="Arial"/>
                <w:sz w:val="20"/>
                <w:szCs w:val="20"/>
                <w:lang w:eastAsia="en-GB"/>
              </w:rPr>
              <w:t>not fat mass at age 21 yrs.</w:t>
            </w:r>
          </w:p>
        </w:tc>
      </w:tr>
      <w:tr w:rsidR="00821C06" w:rsidRPr="00DA6353" w14:paraId="46E7298E" w14:textId="77777777" w:rsidTr="00611361">
        <w:trPr>
          <w:trHeight w:val="584"/>
        </w:trPr>
        <w:tc>
          <w:tcPr>
            <w:tcW w:w="1526" w:type="dxa"/>
            <w:hideMark/>
          </w:tcPr>
          <w:p w14:paraId="4D643C14" w14:textId="77777777" w:rsidR="00821C06" w:rsidRPr="00611361" w:rsidRDefault="00821C06" w:rsidP="00DA6353">
            <w:pPr>
              <w:rPr>
                <w:rFonts w:eastAsia="Calibri" w:cs="Arial"/>
                <w:sz w:val="20"/>
                <w:szCs w:val="20"/>
                <w:lang w:val="en-GB" w:eastAsia="en-GB"/>
              </w:rPr>
            </w:pPr>
            <w:r w:rsidRPr="00611361">
              <w:rPr>
                <w:rFonts w:eastAsia="Calibri" w:cs="Arial"/>
                <w:bCs/>
                <w:sz w:val="20"/>
                <w:szCs w:val="20"/>
                <w:lang w:val="en-GB" w:eastAsia="en-GB"/>
              </w:rPr>
              <w:t>Insulin resistance</w:t>
            </w:r>
          </w:p>
        </w:tc>
        <w:tc>
          <w:tcPr>
            <w:tcW w:w="1417" w:type="dxa"/>
            <w:hideMark/>
          </w:tcPr>
          <w:p w14:paraId="1961AFB6"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hideMark/>
          </w:tcPr>
          <w:p w14:paraId="539E8C38"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eastAsia="en-GB"/>
              </w:rPr>
              <w:t>12</w:t>
            </w:r>
          </w:p>
        </w:tc>
        <w:tc>
          <w:tcPr>
            <w:tcW w:w="896" w:type="dxa"/>
          </w:tcPr>
          <w:p w14:paraId="0476158B" w14:textId="77777777" w:rsidR="00821C06" w:rsidRPr="00611361" w:rsidRDefault="00821C06" w:rsidP="00DA6353">
            <w:pPr>
              <w:rPr>
                <w:rFonts w:eastAsia="Calibri" w:cs="Arial"/>
                <w:sz w:val="20"/>
                <w:szCs w:val="20"/>
                <w:lang w:eastAsia="en-GB"/>
              </w:rPr>
            </w:pPr>
            <w:r w:rsidRPr="00611361">
              <w:rPr>
                <w:rFonts w:eastAsia="Calibri" w:cs="Arial"/>
                <w:sz w:val="20"/>
                <w:szCs w:val="20"/>
                <w:lang w:eastAsia="en-GB"/>
              </w:rPr>
              <w:t>1119</w:t>
            </w:r>
          </w:p>
        </w:tc>
        <w:tc>
          <w:tcPr>
            <w:tcW w:w="7892" w:type="dxa"/>
          </w:tcPr>
          <w:p w14:paraId="412516C4" w14:textId="77777777" w:rsidR="00821C06" w:rsidRPr="00611361" w:rsidRDefault="00821C06" w:rsidP="00F01252">
            <w:pPr>
              <w:spacing w:after="120"/>
              <w:rPr>
                <w:rFonts w:eastAsia="Calibri" w:cs="Arial"/>
                <w:sz w:val="20"/>
                <w:szCs w:val="20"/>
                <w:lang w:eastAsia="en-GB"/>
              </w:rPr>
            </w:pPr>
            <w:r w:rsidRPr="00611361">
              <w:rPr>
                <w:rFonts w:eastAsia="Calibri" w:cs="Arial"/>
                <w:sz w:val="20"/>
                <w:szCs w:val="20"/>
                <w:lang w:eastAsia="en-GB"/>
              </w:rPr>
              <w:t xml:space="preserve">12/18 studies (n=763) </w:t>
            </w:r>
            <w:r>
              <w:rPr>
                <w:rFonts w:eastAsia="Calibri" w:cs="Arial"/>
                <w:sz w:val="20"/>
                <w:szCs w:val="20"/>
                <w:lang w:eastAsia="en-GB"/>
              </w:rPr>
              <w:t>reported</w:t>
            </w:r>
            <w:r w:rsidRPr="00611361">
              <w:rPr>
                <w:rFonts w:eastAsia="Calibri" w:cs="Arial"/>
                <w:sz w:val="20"/>
                <w:szCs w:val="20"/>
                <w:lang w:eastAsia="en-GB"/>
              </w:rPr>
              <w:t xml:space="preserve"> </w:t>
            </w:r>
            <w:r>
              <w:rPr>
                <w:rFonts w:eastAsia="Calibri" w:cs="Arial"/>
                <w:sz w:val="20"/>
                <w:szCs w:val="20"/>
                <w:lang w:eastAsia="en-GB"/>
              </w:rPr>
              <w:t>weight</w:t>
            </w:r>
            <w:r w:rsidRPr="00611361">
              <w:rPr>
                <w:rFonts w:eastAsia="Calibri" w:cs="Arial"/>
                <w:bCs/>
                <w:sz w:val="20"/>
                <w:szCs w:val="20"/>
                <w:lang w:eastAsia="en-GB"/>
              </w:rPr>
              <w:t xml:space="preserve"> gain (birth to 7-21 </w:t>
            </w:r>
            <w:proofErr w:type="spellStart"/>
            <w:r w:rsidRPr="00611361">
              <w:rPr>
                <w:rFonts w:eastAsia="Calibri" w:cs="Arial"/>
                <w:bCs/>
                <w:sz w:val="20"/>
                <w:szCs w:val="20"/>
                <w:lang w:eastAsia="en-GB"/>
              </w:rPr>
              <w:t>yrs</w:t>
            </w:r>
            <w:proofErr w:type="spellEnd"/>
            <w:r w:rsidRPr="00611361">
              <w:rPr>
                <w:rFonts w:eastAsia="Calibri" w:cs="Arial"/>
                <w:bCs/>
                <w:sz w:val="20"/>
                <w:szCs w:val="20"/>
                <w:lang w:eastAsia="en-GB"/>
              </w:rPr>
              <w:t>) was positively associated with insulin resistance</w:t>
            </w:r>
            <w:r w:rsidRPr="00611361">
              <w:rPr>
                <w:rFonts w:eastAsia="Calibri" w:cs="Arial"/>
                <w:sz w:val="20"/>
                <w:szCs w:val="20"/>
                <w:lang w:eastAsia="en-GB"/>
              </w:rPr>
              <w:t>.</w:t>
            </w:r>
            <w:r w:rsidR="00F01252">
              <w:rPr>
                <w:rFonts w:eastAsia="Calibri" w:cs="Arial"/>
                <w:sz w:val="20"/>
                <w:szCs w:val="20"/>
                <w:lang w:eastAsia="en-GB"/>
              </w:rPr>
              <w:t xml:space="preserve"> </w:t>
            </w:r>
            <w:r w:rsidRPr="00611361">
              <w:rPr>
                <w:rFonts w:eastAsia="Calibri" w:cs="Arial"/>
                <w:sz w:val="20"/>
                <w:szCs w:val="20"/>
                <w:lang w:eastAsia="en-GB"/>
              </w:rPr>
              <w:t xml:space="preserve">6/18 studies (n=356)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no association </w:t>
            </w:r>
            <w:r w:rsidRPr="00611361">
              <w:rPr>
                <w:rFonts w:eastAsia="Calibri" w:cs="Arial"/>
                <w:sz w:val="20"/>
                <w:szCs w:val="20"/>
                <w:lang w:eastAsia="en-GB"/>
              </w:rPr>
              <w:t xml:space="preserve">between postnatal growth and later insulin resistance. </w:t>
            </w:r>
          </w:p>
        </w:tc>
      </w:tr>
      <w:tr w:rsidR="00821C06" w:rsidRPr="00DA6353" w14:paraId="47431C63" w14:textId="77777777" w:rsidTr="00611361">
        <w:trPr>
          <w:trHeight w:val="584"/>
        </w:trPr>
        <w:tc>
          <w:tcPr>
            <w:tcW w:w="1526" w:type="dxa"/>
            <w:hideMark/>
          </w:tcPr>
          <w:p w14:paraId="2D3209F3" w14:textId="77777777" w:rsidR="00821C06" w:rsidRPr="00611361" w:rsidRDefault="00821C06" w:rsidP="00611361">
            <w:pPr>
              <w:rPr>
                <w:rFonts w:eastAsia="Calibri" w:cs="Arial"/>
                <w:sz w:val="20"/>
                <w:szCs w:val="20"/>
                <w:lang w:val="en-GB" w:eastAsia="en-GB"/>
              </w:rPr>
            </w:pPr>
            <w:r w:rsidRPr="00611361">
              <w:rPr>
                <w:rFonts w:eastAsia="Calibri" w:cs="Arial"/>
                <w:bCs/>
                <w:sz w:val="20"/>
                <w:szCs w:val="20"/>
                <w:lang w:val="en-GB" w:eastAsia="en-GB"/>
              </w:rPr>
              <w:t>B</w:t>
            </w:r>
            <w:r>
              <w:rPr>
                <w:rFonts w:eastAsia="Calibri" w:cs="Arial"/>
                <w:bCs/>
                <w:sz w:val="20"/>
                <w:szCs w:val="20"/>
                <w:lang w:val="en-GB" w:eastAsia="en-GB"/>
              </w:rPr>
              <w:t>lood pressure</w:t>
            </w:r>
          </w:p>
        </w:tc>
        <w:tc>
          <w:tcPr>
            <w:tcW w:w="1417" w:type="dxa"/>
            <w:hideMark/>
          </w:tcPr>
          <w:p w14:paraId="73B46F30" w14:textId="77777777" w:rsidR="00821C06" w:rsidRPr="00611361" w:rsidRDefault="00F01252" w:rsidP="00DA6353">
            <w:pPr>
              <w:rPr>
                <w:rFonts w:eastAsia="Calibri" w:cs="Arial"/>
                <w:sz w:val="20"/>
                <w:szCs w:val="20"/>
                <w:lang w:val="en-GB" w:eastAsia="en-GB"/>
              </w:rPr>
            </w:pPr>
            <w:r w:rsidRPr="00F01252">
              <w:rPr>
                <w:rFonts w:eastAsia="Calibri" w:cs="Arial"/>
                <w:sz w:val="20"/>
                <w:szCs w:val="20"/>
                <w:lang w:val="en-GB" w:eastAsia="en-GB"/>
              </w:rPr>
              <w:t>Randomised trial</w:t>
            </w:r>
          </w:p>
        </w:tc>
        <w:tc>
          <w:tcPr>
            <w:tcW w:w="851" w:type="dxa"/>
            <w:hideMark/>
          </w:tcPr>
          <w:p w14:paraId="6C1A8251" w14:textId="77777777" w:rsidR="00821C06" w:rsidRPr="00611361" w:rsidRDefault="00F01252" w:rsidP="00DA6353">
            <w:pPr>
              <w:rPr>
                <w:rFonts w:eastAsia="Calibri" w:cs="Arial"/>
                <w:sz w:val="20"/>
                <w:szCs w:val="20"/>
                <w:lang w:val="en-GB" w:eastAsia="en-GB"/>
              </w:rPr>
            </w:pPr>
            <w:r>
              <w:rPr>
                <w:rFonts w:eastAsia="Calibri" w:cs="Arial"/>
                <w:sz w:val="20"/>
                <w:szCs w:val="20"/>
                <w:lang w:eastAsia="en-GB"/>
              </w:rPr>
              <w:t>1</w:t>
            </w:r>
          </w:p>
        </w:tc>
        <w:tc>
          <w:tcPr>
            <w:tcW w:w="896" w:type="dxa"/>
          </w:tcPr>
          <w:p w14:paraId="50063D42" w14:textId="77777777" w:rsidR="00821C06" w:rsidRPr="00611361" w:rsidRDefault="00821C06" w:rsidP="00DA6353">
            <w:pPr>
              <w:rPr>
                <w:rFonts w:eastAsia="Calibri" w:cs="Arial"/>
                <w:sz w:val="20"/>
                <w:szCs w:val="20"/>
                <w:lang w:eastAsia="en-GB"/>
              </w:rPr>
            </w:pPr>
            <w:r w:rsidRPr="00611361">
              <w:rPr>
                <w:rFonts w:eastAsia="Calibri" w:cs="Arial"/>
                <w:sz w:val="20"/>
                <w:szCs w:val="20"/>
                <w:lang w:eastAsia="en-GB"/>
              </w:rPr>
              <w:t>153</w:t>
            </w:r>
          </w:p>
        </w:tc>
        <w:tc>
          <w:tcPr>
            <w:tcW w:w="7892" w:type="dxa"/>
          </w:tcPr>
          <w:p w14:paraId="1A68F31B" w14:textId="77777777" w:rsidR="00821C06" w:rsidRPr="00611361" w:rsidRDefault="00821C06" w:rsidP="00F01252">
            <w:pPr>
              <w:spacing w:after="120"/>
              <w:rPr>
                <w:rFonts w:eastAsia="Calibri" w:cs="Arial"/>
                <w:sz w:val="20"/>
                <w:szCs w:val="20"/>
                <w:lang w:eastAsia="en-GB"/>
              </w:rPr>
            </w:pPr>
            <w:r w:rsidRPr="00611361">
              <w:rPr>
                <w:rFonts w:eastAsia="Calibri" w:cs="Arial"/>
                <w:sz w:val="20"/>
                <w:szCs w:val="20"/>
                <w:lang w:eastAsia="en-GB"/>
              </w:rPr>
              <w:t xml:space="preserve">Enriched formula </w:t>
            </w:r>
            <w:r w:rsidRPr="00611361">
              <w:rPr>
                <w:rFonts w:eastAsia="Calibri" w:cs="Arial"/>
                <w:sz w:val="20"/>
                <w:szCs w:val="20"/>
                <w:lang w:val="en-GB" w:eastAsia="en-GB"/>
              </w:rPr>
              <w:t xml:space="preserve">increased </w:t>
            </w:r>
            <w:r w:rsidR="00F01252">
              <w:rPr>
                <w:rFonts w:eastAsia="Calibri" w:cs="Arial"/>
                <w:sz w:val="20"/>
                <w:szCs w:val="20"/>
                <w:lang w:val="en-GB" w:eastAsia="en-GB"/>
              </w:rPr>
              <w:t xml:space="preserve">infancy </w:t>
            </w:r>
            <w:r w:rsidRPr="00611361">
              <w:rPr>
                <w:rFonts w:eastAsia="Calibri" w:cs="Arial"/>
                <w:sz w:val="20"/>
                <w:szCs w:val="20"/>
                <w:lang w:val="en-GB" w:eastAsia="en-GB"/>
              </w:rPr>
              <w:t xml:space="preserve">weight gain and length growth </w:t>
            </w:r>
            <w:r w:rsidRPr="00611361">
              <w:rPr>
                <w:rFonts w:eastAsia="Calibri" w:cs="Arial"/>
                <w:sz w:val="20"/>
                <w:szCs w:val="20"/>
                <w:lang w:eastAsia="en-GB"/>
              </w:rPr>
              <w:t xml:space="preserve">and </w:t>
            </w:r>
            <w:r w:rsidR="00F01252">
              <w:rPr>
                <w:rFonts w:eastAsia="Calibri" w:cs="Arial"/>
                <w:sz w:val="20"/>
                <w:szCs w:val="20"/>
                <w:lang w:eastAsia="en-GB"/>
              </w:rPr>
              <w:t xml:space="preserve">also </w:t>
            </w:r>
            <w:r w:rsidRPr="00611361">
              <w:rPr>
                <w:rFonts w:eastAsia="Calibri" w:cs="Arial"/>
                <w:bCs/>
                <w:sz w:val="20"/>
                <w:szCs w:val="20"/>
                <w:lang w:eastAsia="en-GB"/>
              </w:rPr>
              <w:t xml:space="preserve">increased the risk of higher </w:t>
            </w:r>
            <w:r w:rsidR="00F01252">
              <w:rPr>
                <w:rFonts w:eastAsia="Calibri" w:cs="Arial"/>
                <w:bCs/>
                <w:sz w:val="20"/>
                <w:szCs w:val="20"/>
                <w:lang w:eastAsia="en-GB"/>
              </w:rPr>
              <w:t>blood pressure</w:t>
            </w:r>
            <w:r w:rsidRPr="00611361">
              <w:rPr>
                <w:rFonts w:eastAsia="Calibri" w:cs="Arial"/>
                <w:bCs/>
                <w:sz w:val="20"/>
                <w:szCs w:val="20"/>
                <w:lang w:eastAsia="en-GB"/>
              </w:rPr>
              <w:t xml:space="preserve"> </w:t>
            </w:r>
            <w:r w:rsidRPr="00611361">
              <w:rPr>
                <w:rFonts w:eastAsia="Calibri" w:cs="Arial"/>
                <w:sz w:val="20"/>
                <w:szCs w:val="20"/>
                <w:lang w:eastAsia="en-GB"/>
              </w:rPr>
              <w:t>at 6</w:t>
            </w:r>
            <w:r w:rsidR="00F01252">
              <w:rPr>
                <w:rFonts w:eastAsia="Calibri" w:cs="Arial"/>
                <w:sz w:val="20"/>
                <w:szCs w:val="20"/>
                <w:lang w:eastAsia="en-GB"/>
              </w:rPr>
              <w:t xml:space="preserve"> to </w:t>
            </w:r>
            <w:r w:rsidRPr="00611361">
              <w:rPr>
                <w:rFonts w:eastAsia="Calibri" w:cs="Arial"/>
                <w:sz w:val="20"/>
                <w:szCs w:val="20"/>
                <w:lang w:eastAsia="en-GB"/>
              </w:rPr>
              <w:t>9 yrs.</w:t>
            </w:r>
          </w:p>
        </w:tc>
      </w:tr>
      <w:tr w:rsidR="00821C06" w:rsidRPr="00DA6353" w14:paraId="6FDA4643" w14:textId="77777777" w:rsidTr="00611361">
        <w:trPr>
          <w:trHeight w:val="584"/>
        </w:trPr>
        <w:tc>
          <w:tcPr>
            <w:tcW w:w="1526" w:type="dxa"/>
            <w:hideMark/>
          </w:tcPr>
          <w:p w14:paraId="74A4EA0A" w14:textId="77777777" w:rsidR="00821C06" w:rsidRPr="00611361" w:rsidRDefault="00821C06" w:rsidP="00DA6353">
            <w:pPr>
              <w:rPr>
                <w:rFonts w:eastAsia="Calibri" w:cs="Arial"/>
                <w:sz w:val="20"/>
                <w:szCs w:val="20"/>
                <w:lang w:val="en-GB" w:eastAsia="en-GB"/>
              </w:rPr>
            </w:pPr>
          </w:p>
        </w:tc>
        <w:tc>
          <w:tcPr>
            <w:tcW w:w="1417" w:type="dxa"/>
            <w:hideMark/>
          </w:tcPr>
          <w:p w14:paraId="75B366EF"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val="en-GB" w:eastAsia="en-GB"/>
              </w:rPr>
              <w:t>Observational</w:t>
            </w:r>
          </w:p>
        </w:tc>
        <w:tc>
          <w:tcPr>
            <w:tcW w:w="851" w:type="dxa"/>
            <w:hideMark/>
          </w:tcPr>
          <w:p w14:paraId="7E80CED7" w14:textId="77777777" w:rsidR="00821C06" w:rsidRPr="00611361" w:rsidRDefault="00F01252" w:rsidP="00DA6353">
            <w:pPr>
              <w:rPr>
                <w:rFonts w:eastAsia="Calibri" w:cs="Arial"/>
                <w:sz w:val="20"/>
                <w:szCs w:val="20"/>
                <w:lang w:val="en-GB" w:eastAsia="en-GB"/>
              </w:rPr>
            </w:pPr>
            <w:r>
              <w:rPr>
                <w:rFonts w:eastAsia="Calibri" w:cs="Arial"/>
                <w:sz w:val="20"/>
                <w:szCs w:val="20"/>
                <w:lang w:eastAsia="en-GB"/>
              </w:rPr>
              <w:t>4</w:t>
            </w:r>
          </w:p>
          <w:p w14:paraId="2E8BFD3A" w14:textId="77777777" w:rsidR="00821C06" w:rsidRPr="00611361" w:rsidRDefault="00821C06" w:rsidP="00F01252">
            <w:pPr>
              <w:rPr>
                <w:rFonts w:eastAsia="Calibri" w:cs="Arial"/>
                <w:sz w:val="20"/>
                <w:szCs w:val="20"/>
                <w:lang w:val="en-GB" w:eastAsia="en-GB"/>
              </w:rPr>
            </w:pPr>
          </w:p>
        </w:tc>
        <w:tc>
          <w:tcPr>
            <w:tcW w:w="896" w:type="dxa"/>
          </w:tcPr>
          <w:p w14:paraId="4B7E5BEF" w14:textId="77777777" w:rsidR="00821C06" w:rsidRPr="00611361" w:rsidRDefault="00821C06" w:rsidP="00DA6353">
            <w:pPr>
              <w:rPr>
                <w:rFonts w:eastAsia="Calibri" w:cs="Arial"/>
                <w:sz w:val="20"/>
                <w:szCs w:val="20"/>
                <w:lang w:val="en-GB" w:eastAsia="en-GB"/>
              </w:rPr>
            </w:pPr>
            <w:r w:rsidRPr="00611361">
              <w:rPr>
                <w:rFonts w:eastAsia="Calibri" w:cs="Arial"/>
                <w:sz w:val="20"/>
                <w:szCs w:val="20"/>
                <w:lang w:eastAsia="en-GB"/>
              </w:rPr>
              <w:t>3180</w:t>
            </w:r>
          </w:p>
          <w:p w14:paraId="4999ACB3" w14:textId="77777777" w:rsidR="00821C06" w:rsidRPr="00611361" w:rsidRDefault="00821C06" w:rsidP="00DA6353">
            <w:pPr>
              <w:rPr>
                <w:rFonts w:eastAsia="Calibri" w:cs="Arial"/>
                <w:sz w:val="20"/>
                <w:szCs w:val="20"/>
                <w:lang w:eastAsia="en-GB"/>
              </w:rPr>
            </w:pPr>
          </w:p>
        </w:tc>
        <w:tc>
          <w:tcPr>
            <w:tcW w:w="7892" w:type="dxa"/>
          </w:tcPr>
          <w:p w14:paraId="278336CE" w14:textId="77777777" w:rsidR="00821C06" w:rsidRPr="00F01252" w:rsidRDefault="00821C06" w:rsidP="00F01252">
            <w:pPr>
              <w:spacing w:after="120"/>
              <w:rPr>
                <w:rFonts w:eastAsia="Calibri" w:cs="Arial"/>
                <w:sz w:val="20"/>
                <w:szCs w:val="20"/>
                <w:lang w:val="en-GB" w:eastAsia="en-GB"/>
              </w:rPr>
            </w:pPr>
            <w:r w:rsidRPr="00611361">
              <w:rPr>
                <w:rFonts w:eastAsia="Calibri" w:cs="Arial"/>
                <w:sz w:val="20"/>
                <w:szCs w:val="20"/>
                <w:lang w:eastAsia="en-GB"/>
              </w:rPr>
              <w:t xml:space="preserve">3/4 studies (n=3074)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early </w:t>
            </w:r>
            <w:r w:rsidR="00F01252">
              <w:rPr>
                <w:rFonts w:eastAsia="Calibri" w:cs="Arial"/>
                <w:bCs/>
                <w:sz w:val="20"/>
                <w:szCs w:val="20"/>
                <w:lang w:eastAsia="en-GB"/>
              </w:rPr>
              <w:t>weight</w:t>
            </w:r>
            <w:r w:rsidRPr="00611361">
              <w:rPr>
                <w:rFonts w:eastAsia="Calibri" w:cs="Arial"/>
                <w:bCs/>
                <w:sz w:val="20"/>
                <w:szCs w:val="20"/>
                <w:lang w:eastAsia="en-GB"/>
              </w:rPr>
              <w:t xml:space="preserve"> gain was positively associated with </w:t>
            </w:r>
            <w:r w:rsidR="00F01252">
              <w:rPr>
                <w:rFonts w:eastAsia="Calibri" w:cs="Arial"/>
                <w:bCs/>
                <w:sz w:val="20"/>
                <w:szCs w:val="20"/>
                <w:lang w:eastAsia="en-GB"/>
              </w:rPr>
              <w:t>blood pressure</w:t>
            </w:r>
            <w:r w:rsidRPr="00611361">
              <w:rPr>
                <w:rFonts w:eastAsia="Calibri" w:cs="Arial"/>
                <w:bCs/>
                <w:sz w:val="20"/>
                <w:szCs w:val="20"/>
                <w:lang w:eastAsia="en-GB"/>
              </w:rPr>
              <w:t xml:space="preserve"> </w:t>
            </w:r>
            <w:r w:rsidR="00F01252">
              <w:rPr>
                <w:rFonts w:eastAsia="Calibri" w:cs="Arial"/>
                <w:sz w:val="20"/>
                <w:szCs w:val="20"/>
                <w:lang w:eastAsia="en-GB"/>
              </w:rPr>
              <w:t>at ages 6 to</w:t>
            </w:r>
            <w:r w:rsidRPr="00611361">
              <w:rPr>
                <w:rFonts w:eastAsia="Calibri" w:cs="Arial"/>
                <w:sz w:val="20"/>
                <w:szCs w:val="20"/>
                <w:lang w:eastAsia="en-GB"/>
              </w:rPr>
              <w:t xml:space="preserve"> 15 yrs.</w:t>
            </w:r>
            <w:r w:rsidR="00F01252">
              <w:rPr>
                <w:rFonts w:eastAsia="Calibri" w:cs="Arial"/>
                <w:sz w:val="20"/>
                <w:szCs w:val="20"/>
                <w:lang w:eastAsia="en-GB"/>
              </w:rPr>
              <w:t xml:space="preserve"> </w:t>
            </w:r>
            <w:r w:rsidRPr="00611361">
              <w:rPr>
                <w:rFonts w:eastAsia="Calibri" w:cs="Arial"/>
                <w:sz w:val="20"/>
                <w:szCs w:val="20"/>
                <w:lang w:eastAsia="en-GB"/>
              </w:rPr>
              <w:t xml:space="preserve">1/4 study (n=106)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no association </w:t>
            </w:r>
            <w:r w:rsidRPr="00611361">
              <w:rPr>
                <w:rFonts w:eastAsia="Calibri" w:cs="Arial"/>
                <w:sz w:val="20"/>
                <w:szCs w:val="20"/>
                <w:lang w:eastAsia="en-GB"/>
              </w:rPr>
              <w:t xml:space="preserve">between early </w:t>
            </w:r>
            <w:r w:rsidR="00F01252">
              <w:rPr>
                <w:rFonts w:eastAsia="Calibri" w:cs="Arial"/>
                <w:sz w:val="20"/>
                <w:szCs w:val="20"/>
                <w:lang w:eastAsia="en-GB"/>
              </w:rPr>
              <w:t>weight</w:t>
            </w:r>
            <w:r w:rsidRPr="00611361">
              <w:rPr>
                <w:rFonts w:eastAsia="Calibri" w:cs="Arial"/>
                <w:sz w:val="20"/>
                <w:szCs w:val="20"/>
                <w:lang w:eastAsia="en-GB"/>
              </w:rPr>
              <w:t xml:space="preserve"> gain with </w:t>
            </w:r>
            <w:r w:rsidR="00F01252" w:rsidRPr="00F01252">
              <w:rPr>
                <w:rFonts w:eastAsia="Calibri" w:cs="Arial"/>
                <w:sz w:val="20"/>
                <w:szCs w:val="20"/>
                <w:lang w:eastAsia="en-GB"/>
              </w:rPr>
              <w:t xml:space="preserve">blood pressure </w:t>
            </w:r>
            <w:r w:rsidRPr="00611361">
              <w:rPr>
                <w:rFonts w:eastAsia="Calibri" w:cs="Arial"/>
                <w:sz w:val="20"/>
                <w:szCs w:val="20"/>
                <w:lang w:eastAsia="en-GB"/>
              </w:rPr>
              <w:t>at age 21</w:t>
            </w:r>
            <w:r w:rsidR="00F01252">
              <w:rPr>
                <w:rFonts w:eastAsia="Calibri" w:cs="Arial"/>
                <w:sz w:val="20"/>
                <w:szCs w:val="20"/>
                <w:lang w:eastAsia="en-GB"/>
              </w:rPr>
              <w:t xml:space="preserve"> </w:t>
            </w:r>
            <w:r w:rsidRPr="00611361">
              <w:rPr>
                <w:rFonts w:eastAsia="Calibri" w:cs="Arial"/>
                <w:sz w:val="20"/>
                <w:szCs w:val="20"/>
                <w:lang w:eastAsia="en-GB"/>
              </w:rPr>
              <w:t>yrs.</w:t>
            </w:r>
          </w:p>
        </w:tc>
      </w:tr>
      <w:tr w:rsidR="00F01252" w:rsidRPr="00DA6353" w14:paraId="1E5384AF" w14:textId="77777777" w:rsidTr="00611361">
        <w:trPr>
          <w:trHeight w:val="584"/>
        </w:trPr>
        <w:tc>
          <w:tcPr>
            <w:tcW w:w="1526" w:type="dxa"/>
          </w:tcPr>
          <w:p w14:paraId="23C678D8" w14:textId="77777777" w:rsidR="00F01252" w:rsidRPr="00611361" w:rsidRDefault="00F01252" w:rsidP="00DA6353">
            <w:pPr>
              <w:rPr>
                <w:rFonts w:eastAsia="Calibri" w:cs="Arial"/>
                <w:sz w:val="20"/>
                <w:szCs w:val="20"/>
                <w:lang w:val="en-GB" w:eastAsia="en-GB"/>
              </w:rPr>
            </w:pPr>
            <w:r>
              <w:rPr>
                <w:rFonts w:eastAsia="Calibri" w:cs="Arial"/>
                <w:sz w:val="20"/>
                <w:szCs w:val="20"/>
                <w:lang w:val="en-GB" w:eastAsia="en-GB"/>
              </w:rPr>
              <w:t>Lipids</w:t>
            </w:r>
          </w:p>
        </w:tc>
        <w:tc>
          <w:tcPr>
            <w:tcW w:w="1417" w:type="dxa"/>
          </w:tcPr>
          <w:p w14:paraId="1016BDBB" w14:textId="77777777" w:rsidR="00F01252" w:rsidRPr="00611361" w:rsidRDefault="00F01252" w:rsidP="00DA6353">
            <w:pPr>
              <w:rPr>
                <w:rFonts w:eastAsia="Calibri" w:cs="Arial"/>
                <w:sz w:val="20"/>
                <w:szCs w:val="20"/>
                <w:lang w:val="en-GB" w:eastAsia="en-GB"/>
              </w:rPr>
            </w:pPr>
            <w:r w:rsidRPr="00F01252">
              <w:rPr>
                <w:rFonts w:eastAsia="Calibri" w:cs="Arial"/>
                <w:sz w:val="20"/>
                <w:szCs w:val="20"/>
                <w:lang w:val="en-GB" w:eastAsia="en-GB"/>
              </w:rPr>
              <w:t>Observational</w:t>
            </w:r>
          </w:p>
        </w:tc>
        <w:tc>
          <w:tcPr>
            <w:tcW w:w="851" w:type="dxa"/>
          </w:tcPr>
          <w:p w14:paraId="53795871" w14:textId="77777777" w:rsidR="00F01252" w:rsidRPr="00611361" w:rsidRDefault="00F01252" w:rsidP="00DA6353">
            <w:pPr>
              <w:rPr>
                <w:rFonts w:eastAsia="Calibri" w:cs="Arial"/>
                <w:sz w:val="20"/>
                <w:szCs w:val="20"/>
                <w:lang w:eastAsia="en-GB"/>
              </w:rPr>
            </w:pPr>
            <w:r>
              <w:rPr>
                <w:rFonts w:eastAsia="Calibri" w:cs="Arial"/>
                <w:sz w:val="20"/>
                <w:szCs w:val="20"/>
                <w:lang w:eastAsia="en-GB"/>
              </w:rPr>
              <w:t>7</w:t>
            </w:r>
          </w:p>
        </w:tc>
        <w:tc>
          <w:tcPr>
            <w:tcW w:w="896" w:type="dxa"/>
          </w:tcPr>
          <w:p w14:paraId="7142D904" w14:textId="77777777" w:rsidR="00F01252" w:rsidRPr="00611361" w:rsidRDefault="00F01252" w:rsidP="00DA6353">
            <w:pPr>
              <w:rPr>
                <w:rFonts w:eastAsia="Calibri" w:cs="Arial"/>
                <w:sz w:val="20"/>
                <w:szCs w:val="20"/>
                <w:lang w:eastAsia="en-GB"/>
              </w:rPr>
            </w:pPr>
            <w:r w:rsidRPr="00611361">
              <w:rPr>
                <w:rFonts w:eastAsia="Calibri" w:cs="Arial"/>
                <w:sz w:val="20"/>
                <w:szCs w:val="20"/>
                <w:lang w:eastAsia="en-GB"/>
              </w:rPr>
              <w:t>585</w:t>
            </w:r>
          </w:p>
        </w:tc>
        <w:tc>
          <w:tcPr>
            <w:tcW w:w="7892" w:type="dxa"/>
          </w:tcPr>
          <w:p w14:paraId="2C8C52DC" w14:textId="77777777" w:rsidR="00F01252" w:rsidRPr="00611361" w:rsidRDefault="00F01252" w:rsidP="00F01252">
            <w:pPr>
              <w:spacing w:after="120"/>
              <w:rPr>
                <w:rFonts w:eastAsia="Calibri" w:cs="Arial"/>
                <w:sz w:val="20"/>
                <w:szCs w:val="20"/>
                <w:lang w:eastAsia="en-GB"/>
              </w:rPr>
            </w:pPr>
            <w:r w:rsidRPr="00611361">
              <w:rPr>
                <w:rFonts w:eastAsia="Calibri" w:cs="Arial"/>
                <w:sz w:val="20"/>
                <w:szCs w:val="20"/>
                <w:lang w:eastAsia="en-GB"/>
              </w:rPr>
              <w:t xml:space="preserve">1/7 study (n=165)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early </w:t>
            </w:r>
            <w:r>
              <w:rPr>
                <w:rFonts w:eastAsia="Calibri" w:cs="Arial"/>
                <w:bCs/>
                <w:sz w:val="20"/>
                <w:szCs w:val="20"/>
                <w:lang w:eastAsia="en-GB"/>
              </w:rPr>
              <w:t>weight</w:t>
            </w:r>
            <w:r w:rsidRPr="00611361">
              <w:rPr>
                <w:rFonts w:eastAsia="Calibri" w:cs="Arial"/>
                <w:bCs/>
                <w:sz w:val="20"/>
                <w:szCs w:val="20"/>
                <w:lang w:eastAsia="en-GB"/>
              </w:rPr>
              <w:t xml:space="preserve"> gain was positively associated with total cholesterol </w:t>
            </w:r>
            <w:r>
              <w:rPr>
                <w:rFonts w:eastAsia="Calibri" w:cs="Arial"/>
                <w:bCs/>
                <w:sz w:val="20"/>
                <w:szCs w:val="20"/>
                <w:lang w:eastAsia="en-GB"/>
              </w:rPr>
              <w:t>and</w:t>
            </w:r>
            <w:r w:rsidRPr="00611361">
              <w:rPr>
                <w:rFonts w:eastAsia="Calibri" w:cs="Arial"/>
                <w:bCs/>
                <w:sz w:val="20"/>
                <w:szCs w:val="20"/>
                <w:lang w:eastAsia="en-GB"/>
              </w:rPr>
              <w:t xml:space="preserve"> triglycerides </w:t>
            </w:r>
            <w:r w:rsidRPr="00611361">
              <w:rPr>
                <w:rFonts w:eastAsia="Calibri" w:cs="Arial"/>
                <w:sz w:val="20"/>
                <w:szCs w:val="20"/>
                <w:lang w:eastAsia="en-GB"/>
              </w:rPr>
              <w:t xml:space="preserve">at </w:t>
            </w:r>
            <w:r>
              <w:rPr>
                <w:rFonts w:eastAsia="Calibri" w:cs="Arial"/>
                <w:sz w:val="20"/>
                <w:szCs w:val="20"/>
                <w:lang w:eastAsia="en-GB"/>
              </w:rPr>
              <w:t xml:space="preserve">age </w:t>
            </w:r>
            <w:r w:rsidRPr="00611361">
              <w:rPr>
                <w:rFonts w:eastAsia="Calibri" w:cs="Arial"/>
                <w:sz w:val="20"/>
                <w:szCs w:val="20"/>
                <w:lang w:eastAsia="en-GB"/>
              </w:rPr>
              <w:t>8</w:t>
            </w:r>
            <w:r>
              <w:rPr>
                <w:rFonts w:eastAsia="Calibri" w:cs="Arial"/>
                <w:sz w:val="20"/>
                <w:szCs w:val="20"/>
                <w:lang w:eastAsia="en-GB"/>
              </w:rPr>
              <w:t xml:space="preserve"> </w:t>
            </w:r>
            <w:r w:rsidRPr="00611361">
              <w:rPr>
                <w:rFonts w:eastAsia="Calibri" w:cs="Arial"/>
                <w:sz w:val="20"/>
                <w:szCs w:val="20"/>
                <w:lang w:eastAsia="en-GB"/>
              </w:rPr>
              <w:t>yrs.</w:t>
            </w:r>
            <w:r>
              <w:rPr>
                <w:rFonts w:eastAsia="Calibri" w:cs="Arial"/>
                <w:sz w:val="20"/>
                <w:szCs w:val="20"/>
                <w:lang w:eastAsia="en-GB"/>
              </w:rPr>
              <w:t xml:space="preserve"> </w:t>
            </w:r>
            <w:r w:rsidRPr="00611361">
              <w:rPr>
                <w:rFonts w:eastAsia="Calibri" w:cs="Arial"/>
                <w:sz w:val="20"/>
                <w:szCs w:val="20"/>
                <w:lang w:eastAsia="en-GB"/>
              </w:rPr>
              <w:t xml:space="preserve">6/7 studies (n=420) </w:t>
            </w:r>
            <w:r>
              <w:rPr>
                <w:rFonts w:eastAsia="Calibri" w:cs="Arial"/>
                <w:sz w:val="20"/>
                <w:szCs w:val="20"/>
                <w:lang w:eastAsia="en-GB"/>
              </w:rPr>
              <w:t>reported</w:t>
            </w:r>
            <w:r w:rsidRPr="00611361">
              <w:rPr>
                <w:rFonts w:eastAsia="Calibri" w:cs="Arial"/>
                <w:sz w:val="20"/>
                <w:szCs w:val="20"/>
                <w:lang w:eastAsia="en-GB"/>
              </w:rPr>
              <w:t xml:space="preserve"> </w:t>
            </w:r>
            <w:r w:rsidRPr="00611361">
              <w:rPr>
                <w:rFonts w:eastAsia="Calibri" w:cs="Arial"/>
                <w:bCs/>
                <w:sz w:val="20"/>
                <w:szCs w:val="20"/>
                <w:lang w:eastAsia="en-GB"/>
              </w:rPr>
              <w:t xml:space="preserve">no association </w:t>
            </w:r>
            <w:r w:rsidRPr="00611361">
              <w:rPr>
                <w:rFonts w:eastAsia="Calibri" w:cs="Arial"/>
                <w:sz w:val="20"/>
                <w:szCs w:val="20"/>
                <w:lang w:eastAsia="en-GB"/>
              </w:rPr>
              <w:t xml:space="preserve">between early </w:t>
            </w:r>
            <w:r>
              <w:rPr>
                <w:rFonts w:eastAsia="Calibri" w:cs="Arial"/>
                <w:sz w:val="20"/>
                <w:szCs w:val="20"/>
                <w:lang w:eastAsia="en-GB"/>
              </w:rPr>
              <w:t xml:space="preserve">weight </w:t>
            </w:r>
            <w:r w:rsidRPr="00611361">
              <w:rPr>
                <w:rFonts w:eastAsia="Calibri" w:cs="Arial"/>
                <w:sz w:val="20"/>
                <w:szCs w:val="20"/>
                <w:lang w:eastAsia="en-GB"/>
              </w:rPr>
              <w:t>gain with later lipid profiles</w:t>
            </w:r>
            <w:r>
              <w:rPr>
                <w:rFonts w:eastAsia="Calibri" w:cs="Arial"/>
                <w:sz w:val="20"/>
                <w:szCs w:val="20"/>
                <w:lang w:eastAsia="en-GB"/>
              </w:rPr>
              <w:t>.</w:t>
            </w:r>
          </w:p>
        </w:tc>
      </w:tr>
    </w:tbl>
    <w:p w14:paraId="05160159" w14:textId="4F369681" w:rsidR="00DA6353" w:rsidRDefault="00DA6353">
      <w:pPr>
        <w:rPr>
          <w:rFonts w:ascii="Arial" w:eastAsia="Calibri" w:hAnsi="Arial" w:cs="Arial"/>
          <w:lang w:val="en-GB" w:eastAsia="en-GB"/>
        </w:rPr>
      </w:pPr>
      <w:r>
        <w:rPr>
          <w:rFonts w:ascii="Arial" w:eastAsia="Calibri" w:hAnsi="Arial" w:cs="Arial"/>
          <w:lang w:val="en-GB" w:eastAsia="en-GB"/>
        </w:rPr>
        <w:br w:type="page"/>
      </w:r>
    </w:p>
    <w:p w14:paraId="383E69A8" w14:textId="77777777" w:rsidR="00DA6353" w:rsidRDefault="00DA6353">
      <w:pPr>
        <w:spacing w:after="0" w:line="480" w:lineRule="auto"/>
        <w:jc w:val="both"/>
        <w:rPr>
          <w:rFonts w:ascii="Arial" w:eastAsia="Calibri" w:hAnsi="Arial" w:cs="Arial"/>
          <w:lang w:val="en-GB" w:eastAsia="en-GB"/>
        </w:rPr>
        <w:sectPr w:rsidR="00DA6353" w:rsidSect="00611361">
          <w:pgSz w:w="15840" w:h="12240" w:orient="landscape" w:code="1"/>
          <w:pgMar w:top="1440" w:right="1440" w:bottom="1440" w:left="1440" w:header="709" w:footer="709" w:gutter="0"/>
          <w:cols w:space="708"/>
          <w:docGrid w:linePitch="360"/>
        </w:sectPr>
      </w:pPr>
    </w:p>
    <w:p w14:paraId="4D681FF5" w14:textId="06CA0C1C" w:rsidR="00617FE8" w:rsidRDefault="00A81A47" w:rsidP="00F01252">
      <w:pPr>
        <w:spacing w:after="0" w:line="240" w:lineRule="auto"/>
        <w:jc w:val="both"/>
        <w:rPr>
          <w:rFonts w:ascii="Arial" w:eastAsia="Calibri" w:hAnsi="Arial" w:cs="Arial"/>
          <w:lang w:val="en-GB"/>
        </w:rPr>
      </w:pPr>
      <w:r>
        <w:rPr>
          <w:rFonts w:ascii="Arial" w:eastAsia="Calibri" w:hAnsi="Arial" w:cs="Arial"/>
          <w:lang w:val="en-GB" w:eastAsia="en-GB"/>
        </w:rPr>
        <w:lastRenderedPageBreak/>
        <w:t>Table S1</w:t>
      </w:r>
      <w:r w:rsidR="008C06CC">
        <w:rPr>
          <w:rFonts w:ascii="Arial" w:eastAsia="Calibri" w:hAnsi="Arial" w:cs="Arial"/>
          <w:lang w:val="en-GB" w:eastAsia="en-GB"/>
        </w:rPr>
        <w:t xml:space="preserve">: Postnatal growth in full-term SGA infants related to: a) adiposity; b) insulin resistance; c) </w:t>
      </w:r>
      <w:r w:rsidR="002B1B68">
        <w:rPr>
          <w:rFonts w:ascii="Arial" w:eastAsia="Calibri" w:hAnsi="Arial" w:cs="Arial"/>
          <w:lang w:val="en-GB" w:eastAsia="en-GB"/>
        </w:rPr>
        <w:t>blood pressure</w:t>
      </w:r>
      <w:r w:rsidR="004E0FAF">
        <w:rPr>
          <w:rFonts w:ascii="Arial" w:eastAsia="Calibri" w:hAnsi="Arial" w:cs="Arial"/>
          <w:lang w:val="en-GB" w:eastAsia="en-GB"/>
        </w:rPr>
        <w:t xml:space="preserve"> and </w:t>
      </w:r>
      <w:r w:rsidR="002B1B68">
        <w:rPr>
          <w:rFonts w:ascii="Arial" w:eastAsia="Calibri" w:hAnsi="Arial" w:cs="Arial"/>
          <w:lang w:val="en-GB" w:eastAsia="en-GB"/>
        </w:rPr>
        <w:t>d) lipid profiles</w:t>
      </w:r>
      <w:r w:rsidR="008C06CC">
        <w:rPr>
          <w:rFonts w:ascii="Arial" w:eastAsia="Calibri" w:hAnsi="Arial" w:cs="Arial"/>
          <w:lang w:val="en-GB" w:eastAsia="en-GB"/>
        </w:rPr>
        <w:t>. Studies are ordered by study design and age at outcome assessment.</w:t>
      </w:r>
    </w:p>
    <w:tbl>
      <w:tblPr>
        <w:tblW w:w="9712" w:type="dxa"/>
        <w:tblBorders>
          <w:bottom w:val="single" w:sz="4" w:space="0" w:color="auto"/>
          <w:insideH w:val="single" w:sz="4" w:space="0" w:color="auto"/>
        </w:tblBorders>
        <w:tblLayout w:type="fixed"/>
        <w:tblLook w:val="00A0" w:firstRow="1" w:lastRow="0" w:firstColumn="1" w:lastColumn="0" w:noHBand="0" w:noVBand="0"/>
      </w:tblPr>
      <w:tblGrid>
        <w:gridCol w:w="1207"/>
        <w:gridCol w:w="1276"/>
        <w:gridCol w:w="685"/>
        <w:gridCol w:w="980"/>
        <w:gridCol w:w="1418"/>
        <w:gridCol w:w="1214"/>
        <w:gridCol w:w="2932"/>
      </w:tblGrid>
      <w:tr w:rsidR="00617FE8" w14:paraId="63C2A193" w14:textId="77777777">
        <w:trPr>
          <w:cantSplit/>
        </w:trPr>
        <w:tc>
          <w:tcPr>
            <w:tcW w:w="1207" w:type="dxa"/>
          </w:tcPr>
          <w:p w14:paraId="2E9ED03F"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a) Adiposity</w:t>
            </w:r>
          </w:p>
        </w:tc>
        <w:tc>
          <w:tcPr>
            <w:tcW w:w="1276" w:type="dxa"/>
          </w:tcPr>
          <w:p w14:paraId="1DA7DD5A"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 xml:space="preserve">Timing of exposure </w:t>
            </w:r>
          </w:p>
          <w:p w14:paraId="4BE37EB7"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(nature)</w:t>
            </w:r>
          </w:p>
        </w:tc>
        <w:tc>
          <w:tcPr>
            <w:tcW w:w="685" w:type="dxa"/>
          </w:tcPr>
          <w:p w14:paraId="71811515"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 xml:space="preserve">N </w:t>
            </w:r>
          </w:p>
          <w:p w14:paraId="0012C856"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SGA</w:t>
            </w:r>
          </w:p>
        </w:tc>
        <w:tc>
          <w:tcPr>
            <w:tcW w:w="980" w:type="dxa"/>
          </w:tcPr>
          <w:p w14:paraId="6B9C2889"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Age at outcome</w:t>
            </w:r>
          </w:p>
        </w:tc>
        <w:tc>
          <w:tcPr>
            <w:tcW w:w="1418" w:type="dxa"/>
          </w:tcPr>
          <w:p w14:paraId="60CC10CC"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Summary result</w:t>
            </w:r>
          </w:p>
        </w:tc>
        <w:tc>
          <w:tcPr>
            <w:tcW w:w="1214" w:type="dxa"/>
          </w:tcPr>
          <w:p w14:paraId="0FAD417F"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SGA vs. AGA controls</w:t>
            </w:r>
          </w:p>
        </w:tc>
        <w:tc>
          <w:tcPr>
            <w:tcW w:w="2932" w:type="dxa"/>
          </w:tcPr>
          <w:p w14:paraId="04B66162" w14:textId="77777777" w:rsidR="00617FE8" w:rsidRDefault="008C06CC">
            <w:pPr>
              <w:spacing w:after="0" w:line="240" w:lineRule="auto"/>
              <w:rPr>
                <w:rFonts w:eastAsia="Calibri" w:cs="Arial"/>
                <w:b/>
                <w:bCs/>
                <w:sz w:val="20"/>
                <w:szCs w:val="20"/>
                <w:lang w:val="en-GB"/>
              </w:rPr>
            </w:pPr>
            <w:r>
              <w:rPr>
                <w:rFonts w:eastAsia="Calibri" w:cs="Arial"/>
                <w:b/>
                <w:bCs/>
                <w:sz w:val="20"/>
                <w:szCs w:val="20"/>
                <w:lang w:val="en-GB"/>
              </w:rPr>
              <w:t>Comments</w:t>
            </w:r>
          </w:p>
        </w:tc>
      </w:tr>
      <w:tr w:rsidR="00617FE8" w14:paraId="4A3F4664" w14:textId="77777777">
        <w:trPr>
          <w:cantSplit/>
        </w:trPr>
        <w:tc>
          <w:tcPr>
            <w:tcW w:w="9712" w:type="dxa"/>
            <w:gridSpan w:val="7"/>
          </w:tcPr>
          <w:p w14:paraId="3CBD6E5A" w14:textId="77777777" w:rsidR="00617FE8" w:rsidRDefault="008C06CC">
            <w:pPr>
              <w:spacing w:after="0" w:line="240" w:lineRule="auto"/>
              <w:rPr>
                <w:rFonts w:eastAsia="Calibri" w:cs="Arial"/>
                <w:sz w:val="20"/>
                <w:szCs w:val="20"/>
                <w:lang w:val="en-GB"/>
              </w:rPr>
            </w:pPr>
            <w:r>
              <w:rPr>
                <w:rFonts w:eastAsia="Calibri" w:cs="Arial"/>
                <w:b/>
                <w:sz w:val="20"/>
                <w:szCs w:val="20"/>
                <w:lang w:val="en-GB"/>
              </w:rPr>
              <w:t>Randomised controlled trials</w:t>
            </w:r>
          </w:p>
        </w:tc>
      </w:tr>
      <w:tr w:rsidR="00617FE8" w14:paraId="495B80C7" w14:textId="77777777">
        <w:trPr>
          <w:cantSplit/>
        </w:trPr>
        <w:tc>
          <w:tcPr>
            <w:tcW w:w="1207" w:type="dxa"/>
          </w:tcPr>
          <w:p w14:paraId="787C400B"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sz w:val="20"/>
                <w:szCs w:val="20"/>
                <w:lang w:val="en-GB"/>
              </w:rPr>
              <w:t>Singhal</w:t>
            </w:r>
            <w:proofErr w:type="spellEnd"/>
            <w:r>
              <w:rPr>
                <w:rFonts w:eastAsia="Calibri" w:cs="Arial"/>
                <w:sz w:val="20"/>
                <w:szCs w:val="20"/>
                <w:lang w:val="en-GB"/>
              </w:rPr>
              <w:t xml:space="preserve"> 2010</w:t>
            </w:r>
            <w:r>
              <w:rPr>
                <w:rFonts w:eastAsia="Calibri" w:cs="Arial"/>
                <w:color w:val="000000" w:themeColor="text1"/>
                <w:sz w:val="20"/>
                <w:szCs w:val="20"/>
                <w:vertAlign w:val="superscript"/>
                <w:lang w:val="en-GB"/>
              </w:rPr>
              <w:t>M</w:t>
            </w:r>
          </w:p>
          <w:p w14:paraId="51B1DE68" w14:textId="77777777" w:rsidR="00617FE8" w:rsidRDefault="008C06CC">
            <w:pPr>
              <w:spacing w:after="0" w:line="240" w:lineRule="auto"/>
              <w:rPr>
                <w:rFonts w:eastAsia="Calibri" w:cs="Arial"/>
                <w:sz w:val="20"/>
                <w:szCs w:val="20"/>
                <w:lang w:val="en-GB"/>
              </w:rPr>
            </w:pPr>
            <w:r>
              <w:rPr>
                <w:rFonts w:eastAsia="Calibri" w:cs="Arial"/>
                <w:sz w:val="20"/>
                <w:szCs w:val="20"/>
                <w:lang w:val="en-GB"/>
              </w:rPr>
              <w:t>(22)</w:t>
            </w:r>
          </w:p>
        </w:tc>
        <w:tc>
          <w:tcPr>
            <w:tcW w:w="1276" w:type="dxa"/>
          </w:tcPr>
          <w:p w14:paraId="2FAE11BA" w14:textId="77777777" w:rsidR="00617FE8" w:rsidRDefault="008C06CC">
            <w:pPr>
              <w:spacing w:after="0" w:line="240" w:lineRule="auto"/>
              <w:rPr>
                <w:rFonts w:eastAsia="Calibri" w:cs="Arial"/>
                <w:sz w:val="20"/>
                <w:szCs w:val="20"/>
                <w:lang w:val="en-GB"/>
              </w:rPr>
            </w:pPr>
            <w:r>
              <w:rPr>
                <w:rFonts w:eastAsia="Calibri" w:cs="Arial"/>
                <w:sz w:val="20"/>
                <w:szCs w:val="20"/>
                <w:lang w:val="en-GB"/>
              </w:rPr>
              <w:t>1. B-9mo</w:t>
            </w:r>
          </w:p>
          <w:p w14:paraId="43EACD29" w14:textId="77777777" w:rsidR="00617FE8" w:rsidRDefault="00617FE8">
            <w:pPr>
              <w:spacing w:after="0" w:line="240" w:lineRule="auto"/>
              <w:rPr>
                <w:rFonts w:eastAsia="Calibri" w:cs="Arial"/>
                <w:sz w:val="20"/>
                <w:szCs w:val="20"/>
                <w:lang w:val="en-GB"/>
              </w:rPr>
            </w:pPr>
          </w:p>
          <w:p w14:paraId="21CD6767" w14:textId="77777777" w:rsidR="00617FE8" w:rsidRDefault="008C06CC">
            <w:pPr>
              <w:spacing w:after="0" w:line="240" w:lineRule="auto"/>
              <w:rPr>
                <w:rFonts w:eastAsia="Calibri" w:cs="Arial"/>
                <w:sz w:val="20"/>
                <w:szCs w:val="20"/>
                <w:lang w:val="en-GB"/>
              </w:rPr>
            </w:pPr>
            <w:r>
              <w:rPr>
                <w:rFonts w:eastAsia="Calibri" w:cs="Arial"/>
                <w:sz w:val="20"/>
                <w:szCs w:val="20"/>
                <w:lang w:val="en-GB"/>
              </w:rPr>
              <w:t>2. B-6mo</w:t>
            </w:r>
          </w:p>
          <w:p w14:paraId="60049529" w14:textId="77777777" w:rsidR="00617FE8" w:rsidRDefault="008C06CC">
            <w:pPr>
              <w:spacing w:after="0" w:line="240" w:lineRule="auto"/>
              <w:rPr>
                <w:rFonts w:eastAsia="Calibri" w:cs="Arial"/>
                <w:sz w:val="20"/>
                <w:szCs w:val="20"/>
                <w:lang w:val="en-GB"/>
              </w:rPr>
            </w:pPr>
            <w:r>
              <w:rPr>
                <w:rFonts w:eastAsia="Calibri" w:cs="Arial"/>
                <w:sz w:val="20"/>
                <w:szCs w:val="20"/>
                <w:lang w:val="en-GB"/>
              </w:rPr>
              <w:t>(Nutrient enriched formula)</w:t>
            </w:r>
          </w:p>
        </w:tc>
        <w:tc>
          <w:tcPr>
            <w:tcW w:w="685" w:type="dxa"/>
          </w:tcPr>
          <w:p w14:paraId="2ADB2F52" w14:textId="77777777" w:rsidR="00617FE8" w:rsidRDefault="008C06CC">
            <w:pPr>
              <w:spacing w:after="0" w:line="240" w:lineRule="auto"/>
              <w:rPr>
                <w:rFonts w:eastAsia="Calibri" w:cs="Arial"/>
                <w:sz w:val="20"/>
                <w:szCs w:val="20"/>
                <w:lang w:val="en-GB"/>
              </w:rPr>
            </w:pPr>
            <w:r>
              <w:rPr>
                <w:rFonts w:eastAsia="Calibri" w:cs="Arial"/>
                <w:sz w:val="20"/>
                <w:szCs w:val="20"/>
                <w:lang w:val="en-GB"/>
              </w:rPr>
              <w:t>1. 299</w:t>
            </w:r>
          </w:p>
          <w:p w14:paraId="35B32612" w14:textId="77777777" w:rsidR="00F01252" w:rsidRDefault="00F01252">
            <w:pPr>
              <w:spacing w:after="0" w:line="240" w:lineRule="auto"/>
              <w:rPr>
                <w:rFonts w:eastAsia="Calibri" w:cs="Arial"/>
                <w:sz w:val="20"/>
                <w:szCs w:val="20"/>
                <w:lang w:val="en-GB"/>
              </w:rPr>
            </w:pPr>
          </w:p>
          <w:p w14:paraId="34C84CBE" w14:textId="77777777" w:rsidR="00617FE8" w:rsidRDefault="008C06CC">
            <w:pPr>
              <w:spacing w:after="0" w:line="240" w:lineRule="auto"/>
              <w:rPr>
                <w:rFonts w:eastAsia="Calibri" w:cs="Arial"/>
                <w:sz w:val="20"/>
                <w:szCs w:val="20"/>
                <w:lang w:val="en-GB"/>
              </w:rPr>
            </w:pPr>
            <w:r>
              <w:rPr>
                <w:rFonts w:eastAsia="Calibri" w:cs="Arial"/>
                <w:sz w:val="20"/>
                <w:szCs w:val="20"/>
                <w:lang w:val="en-GB"/>
              </w:rPr>
              <w:t>2. 246</w:t>
            </w:r>
          </w:p>
        </w:tc>
        <w:tc>
          <w:tcPr>
            <w:tcW w:w="980" w:type="dxa"/>
          </w:tcPr>
          <w:p w14:paraId="0334E474" w14:textId="77777777" w:rsidR="00617FE8" w:rsidRDefault="008C06CC">
            <w:pPr>
              <w:spacing w:after="0" w:line="240" w:lineRule="auto"/>
              <w:rPr>
                <w:rFonts w:eastAsia="Calibri" w:cs="Arial"/>
                <w:sz w:val="20"/>
                <w:szCs w:val="20"/>
                <w:lang w:val="en-GB"/>
              </w:rPr>
            </w:pPr>
            <w:r>
              <w:rPr>
                <w:rFonts w:eastAsia="Calibri" w:cs="Arial"/>
                <w:sz w:val="20"/>
                <w:szCs w:val="20"/>
                <w:lang w:val="en-GB"/>
              </w:rPr>
              <w:t>1. 6-8y</w:t>
            </w:r>
          </w:p>
          <w:p w14:paraId="1F2CD7F0" w14:textId="77777777" w:rsidR="00617FE8" w:rsidRDefault="00617FE8">
            <w:pPr>
              <w:spacing w:after="0" w:line="240" w:lineRule="auto"/>
              <w:rPr>
                <w:rFonts w:eastAsia="Calibri" w:cs="Arial"/>
                <w:sz w:val="20"/>
                <w:szCs w:val="20"/>
                <w:lang w:val="en-GB"/>
              </w:rPr>
            </w:pPr>
          </w:p>
          <w:p w14:paraId="1664C299" w14:textId="77777777" w:rsidR="00617FE8" w:rsidRDefault="00617FE8">
            <w:pPr>
              <w:spacing w:after="0" w:line="240" w:lineRule="auto"/>
              <w:rPr>
                <w:rFonts w:eastAsia="Calibri" w:cs="Arial"/>
                <w:sz w:val="20"/>
                <w:szCs w:val="20"/>
                <w:lang w:val="en-GB"/>
              </w:rPr>
            </w:pPr>
          </w:p>
          <w:p w14:paraId="328A18BC" w14:textId="77777777" w:rsidR="00617FE8" w:rsidRDefault="008C06CC">
            <w:pPr>
              <w:spacing w:after="0" w:line="240" w:lineRule="auto"/>
              <w:rPr>
                <w:rFonts w:eastAsia="Calibri" w:cs="Arial"/>
                <w:sz w:val="20"/>
                <w:szCs w:val="20"/>
                <w:lang w:val="en-GB"/>
              </w:rPr>
            </w:pPr>
            <w:r>
              <w:rPr>
                <w:rFonts w:eastAsia="Calibri" w:cs="Arial"/>
                <w:sz w:val="20"/>
                <w:szCs w:val="20"/>
                <w:lang w:val="en-GB"/>
              </w:rPr>
              <w:t>2. 5-7y</w:t>
            </w:r>
          </w:p>
        </w:tc>
        <w:tc>
          <w:tcPr>
            <w:tcW w:w="1418" w:type="dxa"/>
          </w:tcPr>
          <w:p w14:paraId="76E3C421" w14:textId="77777777" w:rsidR="00617FE8" w:rsidRDefault="008C06CC">
            <w:pPr>
              <w:spacing w:after="0" w:line="240" w:lineRule="auto"/>
              <w:rPr>
                <w:rFonts w:eastAsia="Calibri" w:cs="Arial"/>
                <w:sz w:val="20"/>
                <w:szCs w:val="20"/>
                <w:lang w:val="en-GB"/>
              </w:rPr>
            </w:pPr>
            <w:r>
              <w:rPr>
                <w:rFonts w:eastAsia="Calibri" w:cs="Arial"/>
                <w:sz w:val="20"/>
                <w:szCs w:val="20"/>
                <w:lang w:val="en-GB"/>
              </w:rPr>
              <w:t>++</w:t>
            </w:r>
          </w:p>
          <w:p w14:paraId="1AE80C0B" w14:textId="77777777" w:rsidR="00617FE8" w:rsidRDefault="008C06CC">
            <w:pPr>
              <w:spacing w:after="0" w:line="240" w:lineRule="auto"/>
              <w:rPr>
                <w:rFonts w:eastAsia="Calibri" w:cs="Arial"/>
                <w:sz w:val="20"/>
                <w:szCs w:val="20"/>
                <w:lang w:val="en-GB"/>
              </w:rPr>
            </w:pPr>
            <w:r>
              <w:rPr>
                <w:rFonts w:eastAsia="Calibri" w:cs="Arial"/>
                <w:sz w:val="20"/>
                <w:szCs w:val="20"/>
                <w:lang w:val="en-GB"/>
              </w:rPr>
              <w:t>(% body fat)</w:t>
            </w:r>
          </w:p>
          <w:p w14:paraId="5322C4C2" w14:textId="77777777" w:rsidR="00617FE8" w:rsidRDefault="00617FE8">
            <w:pPr>
              <w:spacing w:after="0" w:line="240" w:lineRule="auto"/>
              <w:rPr>
                <w:rFonts w:eastAsia="Calibri" w:cs="Arial"/>
                <w:sz w:val="20"/>
                <w:szCs w:val="20"/>
                <w:lang w:val="en-GB"/>
              </w:rPr>
            </w:pPr>
          </w:p>
          <w:p w14:paraId="77E31A3E" w14:textId="77777777" w:rsidR="00617FE8" w:rsidRDefault="008C06CC">
            <w:pPr>
              <w:spacing w:after="0" w:line="240" w:lineRule="auto"/>
              <w:rPr>
                <w:rFonts w:eastAsia="Calibri" w:cs="Arial"/>
                <w:sz w:val="20"/>
                <w:szCs w:val="20"/>
                <w:lang w:val="en-GB"/>
              </w:rPr>
            </w:pPr>
            <w:r>
              <w:rPr>
                <w:rFonts w:eastAsia="Calibri" w:cs="Arial"/>
                <w:sz w:val="20"/>
                <w:szCs w:val="20"/>
                <w:lang w:val="en-GB"/>
              </w:rPr>
              <w:t>0 (BMI)</w:t>
            </w:r>
          </w:p>
          <w:p w14:paraId="5E72BF92" w14:textId="77777777" w:rsidR="00617FE8" w:rsidRDefault="008C06CC">
            <w:pPr>
              <w:spacing w:after="0" w:line="240" w:lineRule="auto"/>
              <w:rPr>
                <w:rFonts w:eastAsia="Calibri" w:cs="Arial"/>
                <w:sz w:val="20"/>
                <w:szCs w:val="20"/>
                <w:lang w:val="en-GB"/>
              </w:rPr>
            </w:pPr>
            <w:r>
              <w:rPr>
                <w:rFonts w:eastAsia="Calibri" w:cs="Arial"/>
                <w:sz w:val="20"/>
                <w:szCs w:val="20"/>
                <w:lang w:val="en-GB"/>
              </w:rPr>
              <w:t>++ (Total fat mass)</w:t>
            </w:r>
          </w:p>
        </w:tc>
        <w:tc>
          <w:tcPr>
            <w:tcW w:w="1214" w:type="dxa"/>
          </w:tcPr>
          <w:p w14:paraId="732C3866" w14:textId="77777777" w:rsidR="00617FE8" w:rsidRDefault="00617FE8">
            <w:pPr>
              <w:spacing w:after="0" w:line="240" w:lineRule="auto"/>
              <w:rPr>
                <w:rFonts w:eastAsia="Calibri" w:cs="Arial"/>
                <w:sz w:val="20"/>
                <w:szCs w:val="20"/>
                <w:lang w:val="en-GB"/>
              </w:rPr>
            </w:pPr>
          </w:p>
        </w:tc>
        <w:tc>
          <w:tcPr>
            <w:tcW w:w="2932" w:type="dxa"/>
          </w:tcPr>
          <w:p w14:paraId="027CA4A2" w14:textId="77777777" w:rsidR="00617FE8" w:rsidRDefault="008C06CC">
            <w:pPr>
              <w:spacing w:after="0" w:line="240" w:lineRule="auto"/>
              <w:rPr>
                <w:rFonts w:eastAsia="Calibri" w:cs="Arial"/>
                <w:sz w:val="20"/>
                <w:szCs w:val="20"/>
                <w:lang w:val="en-GB"/>
              </w:rPr>
            </w:pPr>
            <w:r>
              <w:rPr>
                <w:rFonts w:eastAsia="Calibri" w:cs="Arial"/>
                <w:sz w:val="20"/>
                <w:szCs w:val="20"/>
                <w:lang w:val="en-GB"/>
              </w:rPr>
              <w:t xml:space="preserve">In both studies, the enriched formula increased WT and HT gains and later fat mass </w:t>
            </w:r>
          </w:p>
          <w:p w14:paraId="02C48CD5" w14:textId="77777777" w:rsidR="00617FE8" w:rsidRDefault="008C06CC">
            <w:pPr>
              <w:spacing w:after="0" w:line="240" w:lineRule="auto"/>
              <w:rPr>
                <w:rFonts w:eastAsia="Calibri" w:cs="Arial"/>
                <w:sz w:val="20"/>
                <w:szCs w:val="20"/>
                <w:lang w:val="en-GB"/>
              </w:rPr>
            </w:pPr>
            <w:r>
              <w:rPr>
                <w:rFonts w:eastAsia="Calibri" w:cs="Arial"/>
                <w:sz w:val="20"/>
                <w:szCs w:val="20"/>
                <w:lang w:val="en-GB"/>
              </w:rPr>
              <w:t xml:space="preserve">Faster WT and HT growth were associated with later fat mass </w:t>
            </w:r>
          </w:p>
        </w:tc>
      </w:tr>
      <w:tr w:rsidR="00617FE8" w14:paraId="73EDA979" w14:textId="77777777">
        <w:trPr>
          <w:cantSplit/>
        </w:trPr>
        <w:tc>
          <w:tcPr>
            <w:tcW w:w="9712" w:type="dxa"/>
            <w:gridSpan w:val="7"/>
          </w:tcPr>
          <w:p w14:paraId="56682203" w14:textId="77777777" w:rsidR="00617FE8" w:rsidRDefault="008C06CC" w:rsidP="00F01252">
            <w:pPr>
              <w:spacing w:after="0" w:line="240" w:lineRule="auto"/>
              <w:rPr>
                <w:rFonts w:eastAsia="Calibri" w:cs="Arial"/>
                <w:color w:val="000000" w:themeColor="text1"/>
                <w:sz w:val="20"/>
                <w:szCs w:val="20"/>
                <w:lang w:val="en-GB"/>
              </w:rPr>
            </w:pPr>
            <w:r w:rsidRPr="00F01252">
              <w:rPr>
                <w:rFonts w:eastAsia="Calibri" w:cs="Arial"/>
                <w:b/>
                <w:color w:val="000000" w:themeColor="text1"/>
                <w:sz w:val="20"/>
                <w:szCs w:val="20"/>
                <w:lang w:val="en-GB"/>
              </w:rPr>
              <w:t>O</w:t>
            </w:r>
            <w:r w:rsidR="00F01252">
              <w:rPr>
                <w:rFonts w:eastAsia="Calibri" w:cs="Arial"/>
                <w:b/>
                <w:color w:val="000000" w:themeColor="text1"/>
                <w:sz w:val="20"/>
                <w:szCs w:val="20"/>
                <w:lang w:val="en-GB"/>
              </w:rPr>
              <w:t xml:space="preserve">bservational studies (n=14) </w:t>
            </w:r>
          </w:p>
        </w:tc>
      </w:tr>
      <w:tr w:rsidR="00617FE8" w14:paraId="37463492" w14:textId="77777777">
        <w:trPr>
          <w:cantSplit/>
        </w:trPr>
        <w:tc>
          <w:tcPr>
            <w:tcW w:w="1207" w:type="dxa"/>
          </w:tcPr>
          <w:p w14:paraId="7F8B85BB"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Soto 2003</w:t>
            </w:r>
            <w:r>
              <w:rPr>
                <w:rFonts w:eastAsia="Calibri" w:cs="Arial"/>
                <w:color w:val="000000" w:themeColor="text1"/>
                <w:sz w:val="20"/>
                <w:szCs w:val="20"/>
                <w:vertAlign w:val="superscript"/>
                <w:lang w:val="en-GB"/>
              </w:rPr>
              <w:t>M</w:t>
            </w:r>
          </w:p>
          <w:p w14:paraId="26966407" w14:textId="77777777" w:rsidR="00617FE8" w:rsidRDefault="008C06CC" w:rsidP="00442992">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r w:rsidR="00442992">
              <w:rPr>
                <w:rFonts w:eastAsia="Calibri" w:cs="Arial"/>
                <w:color w:val="000000" w:themeColor="text1"/>
                <w:sz w:val="20"/>
                <w:szCs w:val="20"/>
                <w:lang w:val="en-GB"/>
              </w:rPr>
              <w:t>15</w:t>
            </w:r>
            <w:r>
              <w:rPr>
                <w:rFonts w:eastAsia="Calibri" w:cs="Arial"/>
                <w:color w:val="000000" w:themeColor="text1"/>
                <w:sz w:val="20"/>
                <w:szCs w:val="20"/>
                <w:lang w:val="en-GB"/>
              </w:rPr>
              <w:t>)</w:t>
            </w:r>
          </w:p>
        </w:tc>
        <w:tc>
          <w:tcPr>
            <w:tcW w:w="1276" w:type="dxa"/>
          </w:tcPr>
          <w:p w14:paraId="7288153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69A2D36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gain)</w:t>
            </w:r>
          </w:p>
        </w:tc>
        <w:tc>
          <w:tcPr>
            <w:tcW w:w="685" w:type="dxa"/>
          </w:tcPr>
          <w:p w14:paraId="2695943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w:t>
            </w:r>
          </w:p>
        </w:tc>
        <w:tc>
          <w:tcPr>
            <w:tcW w:w="980" w:type="dxa"/>
          </w:tcPr>
          <w:p w14:paraId="53634AA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418" w:type="dxa"/>
          </w:tcPr>
          <w:p w14:paraId="2334F3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416CF88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0C87BDF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4E8EB16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533870A4"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but not HT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w:t>
            </w:r>
          </w:p>
        </w:tc>
      </w:tr>
      <w:tr w:rsidR="00617FE8" w14:paraId="7CCE9BB8" w14:textId="77777777">
        <w:trPr>
          <w:cantSplit/>
        </w:trPr>
        <w:tc>
          <w:tcPr>
            <w:tcW w:w="1207" w:type="dxa"/>
          </w:tcPr>
          <w:p w14:paraId="1B5B9B95"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Iniguez</w:t>
            </w:r>
            <w:proofErr w:type="spellEnd"/>
            <w:r>
              <w:rPr>
                <w:rFonts w:eastAsia="Calibri" w:cs="Arial"/>
                <w:color w:val="000000" w:themeColor="text1"/>
                <w:sz w:val="20"/>
                <w:szCs w:val="20"/>
                <w:lang w:val="en-GB"/>
              </w:rPr>
              <w:t xml:space="preserve"> 2004</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(28)</w:t>
            </w:r>
          </w:p>
        </w:tc>
        <w:tc>
          <w:tcPr>
            <w:tcW w:w="1276" w:type="dxa"/>
          </w:tcPr>
          <w:p w14:paraId="246C751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w:t>
            </w:r>
          </w:p>
          <w:p w14:paraId="6FD5355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616C551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65</w:t>
            </w:r>
          </w:p>
        </w:tc>
        <w:tc>
          <w:tcPr>
            <w:tcW w:w="980" w:type="dxa"/>
          </w:tcPr>
          <w:p w14:paraId="140887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w:t>
            </w:r>
          </w:p>
        </w:tc>
        <w:tc>
          <w:tcPr>
            <w:tcW w:w="1418" w:type="dxa"/>
          </w:tcPr>
          <w:p w14:paraId="2635C76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7830556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7149EC3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3BF908D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5BD45BB2"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w:t>
            </w:r>
          </w:p>
        </w:tc>
      </w:tr>
      <w:tr w:rsidR="00617FE8" w14:paraId="611FF806" w14:textId="77777777">
        <w:trPr>
          <w:cantSplit/>
        </w:trPr>
        <w:tc>
          <w:tcPr>
            <w:tcW w:w="1207" w:type="dxa"/>
          </w:tcPr>
          <w:p w14:paraId="1D38DCCE"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Taal</w:t>
            </w:r>
            <w:proofErr w:type="spellEnd"/>
            <w:r>
              <w:rPr>
                <w:rFonts w:eastAsia="Calibri" w:cs="Arial"/>
                <w:color w:val="000000" w:themeColor="text1"/>
                <w:sz w:val="20"/>
                <w:szCs w:val="20"/>
                <w:lang w:val="en-GB"/>
              </w:rPr>
              <w:t xml:space="preserve"> 2013</w:t>
            </w:r>
            <w:r>
              <w:rPr>
                <w:rFonts w:eastAsia="Calibri" w:cs="Arial"/>
                <w:color w:val="000000" w:themeColor="text1"/>
                <w:sz w:val="20"/>
                <w:szCs w:val="20"/>
                <w:vertAlign w:val="superscript"/>
                <w:lang w:val="en-GB"/>
              </w:rPr>
              <w:t>M</w:t>
            </w:r>
          </w:p>
          <w:p w14:paraId="297B812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(36)</w:t>
            </w:r>
          </w:p>
        </w:tc>
        <w:tc>
          <w:tcPr>
            <w:tcW w:w="1276" w:type="dxa"/>
          </w:tcPr>
          <w:p w14:paraId="0216CFD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 2-4y</w:t>
            </w:r>
          </w:p>
          <w:p w14:paraId="402F818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w:t>
            </w:r>
          </w:p>
        </w:tc>
        <w:tc>
          <w:tcPr>
            <w:tcW w:w="685" w:type="dxa"/>
          </w:tcPr>
          <w:p w14:paraId="79891AD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191</w:t>
            </w:r>
          </w:p>
        </w:tc>
        <w:tc>
          <w:tcPr>
            <w:tcW w:w="980" w:type="dxa"/>
          </w:tcPr>
          <w:p w14:paraId="1BD8AD0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4y</w:t>
            </w:r>
          </w:p>
        </w:tc>
        <w:tc>
          <w:tcPr>
            <w:tcW w:w="1418" w:type="dxa"/>
          </w:tcPr>
          <w:p w14:paraId="62730BC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298E05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 at 4y)</w:t>
            </w:r>
          </w:p>
        </w:tc>
        <w:tc>
          <w:tcPr>
            <w:tcW w:w="1214" w:type="dxa"/>
          </w:tcPr>
          <w:p w14:paraId="6DE4134B"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61C51769"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w:t>
            </w:r>
            <w:r w:rsidR="002B1B68">
              <w:t xml:space="preserve"> </w:t>
            </w:r>
            <w:r w:rsidR="002B1B68" w:rsidRPr="002B1B68">
              <w:rPr>
                <w:rFonts w:eastAsia="Calibri" w:cs="Arial"/>
                <w:color w:val="000000" w:themeColor="text1"/>
                <w:sz w:val="20"/>
                <w:szCs w:val="20"/>
                <w:lang w:val="en-GB"/>
              </w:rPr>
              <w:t>positively</w:t>
            </w:r>
            <w:r>
              <w:rPr>
                <w:rFonts w:eastAsia="Calibri" w:cs="Arial"/>
                <w:color w:val="000000" w:themeColor="text1"/>
                <w:sz w:val="20"/>
                <w:szCs w:val="20"/>
                <w:lang w:val="en-GB"/>
              </w:rPr>
              <w:t xml:space="preserve"> associated with fat mass at 2y and BMI at 4y </w:t>
            </w:r>
          </w:p>
        </w:tc>
      </w:tr>
      <w:tr w:rsidR="00617FE8" w14:paraId="16F04FDD" w14:textId="77777777">
        <w:trPr>
          <w:cantSplit/>
        </w:trPr>
        <w:tc>
          <w:tcPr>
            <w:tcW w:w="1207" w:type="dxa"/>
          </w:tcPr>
          <w:p w14:paraId="227AF910"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2006</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(38)</w:t>
            </w:r>
          </w:p>
        </w:tc>
        <w:tc>
          <w:tcPr>
            <w:tcW w:w="1276" w:type="dxa"/>
          </w:tcPr>
          <w:p w14:paraId="62B1B07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w:t>
            </w:r>
          </w:p>
          <w:p w14:paraId="55CB439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2-4y</w:t>
            </w:r>
          </w:p>
          <w:p w14:paraId="71EC851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19BBAF8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980" w:type="dxa"/>
          </w:tcPr>
          <w:p w14:paraId="5048DF6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4y</w:t>
            </w:r>
          </w:p>
        </w:tc>
        <w:tc>
          <w:tcPr>
            <w:tcW w:w="1418" w:type="dxa"/>
          </w:tcPr>
          <w:p w14:paraId="16AE34D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42E53E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(BMI) </w:t>
            </w:r>
          </w:p>
          <w:p w14:paraId="7055B46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tc>
        <w:tc>
          <w:tcPr>
            <w:tcW w:w="1214" w:type="dxa"/>
          </w:tcPr>
          <w:p w14:paraId="22F704C6"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797EF7A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between 0-2y was not associated with higher BMI (</w:t>
            </w:r>
            <w:r>
              <w:rPr>
                <w:rFonts w:eastAsia="Calibri" w:cs="Arial"/>
                <w:b/>
                <w:color w:val="000000" w:themeColor="text1"/>
                <w:sz w:val="20"/>
                <w:szCs w:val="20"/>
                <w:lang w:val="en-GB"/>
              </w:rPr>
              <w:t>adjusted for height</w:t>
            </w:r>
            <w:r>
              <w:rPr>
                <w:rFonts w:eastAsia="Calibri" w:cs="Arial"/>
                <w:color w:val="000000" w:themeColor="text1"/>
                <w:sz w:val="20"/>
                <w:szCs w:val="20"/>
                <w:lang w:val="en-GB"/>
              </w:rPr>
              <w:t>)</w:t>
            </w:r>
          </w:p>
        </w:tc>
      </w:tr>
      <w:tr w:rsidR="00617FE8" w14:paraId="30975CE5" w14:textId="77777777">
        <w:trPr>
          <w:cantSplit/>
        </w:trPr>
        <w:tc>
          <w:tcPr>
            <w:tcW w:w="1207" w:type="dxa"/>
          </w:tcPr>
          <w:p w14:paraId="1C3484C3"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Mohn</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(35)</w:t>
            </w:r>
          </w:p>
        </w:tc>
        <w:tc>
          <w:tcPr>
            <w:tcW w:w="1276" w:type="dxa"/>
          </w:tcPr>
          <w:p w14:paraId="25D5FE8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B-4y</w:t>
            </w:r>
          </w:p>
          <w:p w14:paraId="1D91C0F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7BA52B6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980" w:type="dxa"/>
          </w:tcPr>
          <w:p w14:paraId="0A7F26E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4y</w:t>
            </w:r>
          </w:p>
          <w:p w14:paraId="4B04119B"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76244F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69FDA84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432E1B5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w:t>
            </w:r>
          </w:p>
          <w:p w14:paraId="5ADBA72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37A7849D"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 xml:space="preserve">associated with BMI </w:t>
            </w:r>
          </w:p>
        </w:tc>
      </w:tr>
      <w:tr w:rsidR="00617FE8" w14:paraId="2E8A2E4A" w14:textId="77777777">
        <w:trPr>
          <w:cantSplit/>
        </w:trPr>
        <w:tc>
          <w:tcPr>
            <w:tcW w:w="1207" w:type="dxa"/>
          </w:tcPr>
          <w:p w14:paraId="39D37936"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Deng 2011</w:t>
            </w:r>
            <w:r>
              <w:rPr>
                <w:rFonts w:eastAsia="Calibri" w:cs="Arial"/>
                <w:color w:val="000000" w:themeColor="text1"/>
                <w:sz w:val="20"/>
                <w:szCs w:val="20"/>
                <w:vertAlign w:val="superscript"/>
                <w:lang w:val="en-GB"/>
              </w:rPr>
              <w:t>M</w:t>
            </w:r>
          </w:p>
          <w:p w14:paraId="00DDD30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(33)</w:t>
            </w:r>
          </w:p>
        </w:tc>
        <w:tc>
          <w:tcPr>
            <w:tcW w:w="1276" w:type="dxa"/>
          </w:tcPr>
          <w:p w14:paraId="58F669A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B-6y</w:t>
            </w:r>
          </w:p>
          <w:p w14:paraId="0040BE1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w:t>
            </w:r>
          </w:p>
        </w:tc>
        <w:tc>
          <w:tcPr>
            <w:tcW w:w="685" w:type="dxa"/>
          </w:tcPr>
          <w:p w14:paraId="4EC80AD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67</w:t>
            </w:r>
          </w:p>
        </w:tc>
        <w:tc>
          <w:tcPr>
            <w:tcW w:w="980" w:type="dxa"/>
          </w:tcPr>
          <w:p w14:paraId="6B546ED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6y</w:t>
            </w:r>
          </w:p>
        </w:tc>
        <w:tc>
          <w:tcPr>
            <w:tcW w:w="1418" w:type="dxa"/>
          </w:tcPr>
          <w:p w14:paraId="212DE23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784C07D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17D65F6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1616122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67C292E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Trend to higher BMI in children with catch-up growth.</w:t>
            </w:r>
          </w:p>
        </w:tc>
      </w:tr>
      <w:tr w:rsidR="00617FE8" w14:paraId="44192D08" w14:textId="77777777">
        <w:trPr>
          <w:cantSplit/>
        </w:trPr>
        <w:tc>
          <w:tcPr>
            <w:tcW w:w="1207" w:type="dxa"/>
          </w:tcPr>
          <w:p w14:paraId="061E9139"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Uçar</w:t>
            </w:r>
            <w:proofErr w:type="spellEnd"/>
            <w:r>
              <w:rPr>
                <w:rFonts w:eastAsia="Calibri" w:cs="Arial"/>
                <w:color w:val="000000" w:themeColor="text1"/>
                <w:sz w:val="20"/>
                <w:szCs w:val="20"/>
                <w:lang w:val="en-GB"/>
              </w:rPr>
              <w:t xml:space="preserve"> 2014</w:t>
            </w:r>
            <w:r>
              <w:rPr>
                <w:rFonts w:eastAsia="Calibri" w:cs="Arial"/>
                <w:color w:val="000000" w:themeColor="text1"/>
                <w:sz w:val="20"/>
                <w:szCs w:val="20"/>
                <w:vertAlign w:val="superscript"/>
                <w:lang w:val="en-GB"/>
              </w:rPr>
              <w:t>L</w:t>
            </w:r>
          </w:p>
          <w:p w14:paraId="5DB5DDF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1276" w:type="dxa"/>
          </w:tcPr>
          <w:p w14:paraId="2512528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B-6.5y</w:t>
            </w:r>
          </w:p>
          <w:p w14:paraId="4AF41B0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gain)</w:t>
            </w:r>
          </w:p>
        </w:tc>
        <w:tc>
          <w:tcPr>
            <w:tcW w:w="685" w:type="dxa"/>
          </w:tcPr>
          <w:p w14:paraId="11BD67D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31</w:t>
            </w:r>
          </w:p>
          <w:p w14:paraId="2A452821" w14:textId="77777777" w:rsidR="00617FE8" w:rsidRDefault="00617FE8">
            <w:pPr>
              <w:spacing w:after="0" w:line="240" w:lineRule="auto"/>
              <w:rPr>
                <w:rFonts w:eastAsia="Calibri" w:cs="Arial"/>
                <w:b/>
                <w:bCs/>
                <w:color w:val="000000" w:themeColor="text1"/>
                <w:sz w:val="20"/>
                <w:szCs w:val="20"/>
                <w:lang w:val="en-GB"/>
              </w:rPr>
            </w:pPr>
          </w:p>
        </w:tc>
        <w:tc>
          <w:tcPr>
            <w:tcW w:w="980" w:type="dxa"/>
          </w:tcPr>
          <w:p w14:paraId="3A2133F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6.5y</w:t>
            </w:r>
          </w:p>
        </w:tc>
        <w:tc>
          <w:tcPr>
            <w:tcW w:w="1418" w:type="dxa"/>
          </w:tcPr>
          <w:p w14:paraId="26D414A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312916C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105C5891"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41BE7EF4"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 in girls</w:t>
            </w:r>
          </w:p>
        </w:tc>
      </w:tr>
      <w:tr w:rsidR="00617FE8" w14:paraId="7278A526" w14:textId="77777777">
        <w:trPr>
          <w:cantSplit/>
        </w:trPr>
        <w:tc>
          <w:tcPr>
            <w:tcW w:w="1207" w:type="dxa"/>
          </w:tcPr>
          <w:p w14:paraId="14E1764F"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Miras</w:t>
            </w:r>
            <w:proofErr w:type="spellEnd"/>
            <w:r>
              <w:rPr>
                <w:rFonts w:eastAsia="Calibri" w:cs="Arial"/>
                <w:color w:val="000000" w:themeColor="text1"/>
                <w:sz w:val="20"/>
                <w:szCs w:val="20"/>
                <w:lang w:val="en-GB"/>
              </w:rPr>
              <w:t xml:space="preserve"> 2010</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(30)</w:t>
            </w:r>
          </w:p>
        </w:tc>
        <w:tc>
          <w:tcPr>
            <w:tcW w:w="1276" w:type="dxa"/>
          </w:tcPr>
          <w:p w14:paraId="2884657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B-6.5y</w:t>
            </w:r>
          </w:p>
          <w:p w14:paraId="7A35DCA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7F5FAD2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49</w:t>
            </w:r>
          </w:p>
        </w:tc>
        <w:tc>
          <w:tcPr>
            <w:tcW w:w="980" w:type="dxa"/>
          </w:tcPr>
          <w:p w14:paraId="1482254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6.5y</w:t>
            </w:r>
          </w:p>
          <w:p w14:paraId="5FDC0D19"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17EF53C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536E792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502B727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2DD20A4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6DE12C98"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w:t>
            </w:r>
          </w:p>
        </w:tc>
      </w:tr>
      <w:tr w:rsidR="00617FE8" w14:paraId="0CFB31EE" w14:textId="77777777">
        <w:trPr>
          <w:cantSplit/>
        </w:trPr>
        <w:tc>
          <w:tcPr>
            <w:tcW w:w="1207" w:type="dxa"/>
          </w:tcPr>
          <w:p w14:paraId="19648C3B"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Evagelidou</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(37)</w:t>
            </w:r>
          </w:p>
        </w:tc>
        <w:tc>
          <w:tcPr>
            <w:tcW w:w="1276" w:type="dxa"/>
          </w:tcPr>
          <w:p w14:paraId="41647CC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4714248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6ACB26E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980" w:type="dxa"/>
          </w:tcPr>
          <w:p w14:paraId="0E9FC15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418" w:type="dxa"/>
          </w:tcPr>
          <w:p w14:paraId="21C9B9A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w:t>
            </w:r>
          </w:p>
          <w:p w14:paraId="52E4A76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28F6921A"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164FC31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BMI</w:t>
            </w:r>
          </w:p>
        </w:tc>
      </w:tr>
      <w:tr w:rsidR="00617FE8" w14:paraId="69ACB108" w14:textId="77777777">
        <w:trPr>
          <w:cantSplit/>
        </w:trPr>
        <w:tc>
          <w:tcPr>
            <w:tcW w:w="1207" w:type="dxa"/>
          </w:tcPr>
          <w:p w14:paraId="1BB72745"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(39)</w:t>
            </w:r>
          </w:p>
        </w:tc>
        <w:tc>
          <w:tcPr>
            <w:tcW w:w="1276" w:type="dxa"/>
          </w:tcPr>
          <w:p w14:paraId="5C6A313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70EE2EA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7C81385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56</w:t>
            </w:r>
          </w:p>
        </w:tc>
        <w:tc>
          <w:tcPr>
            <w:tcW w:w="980" w:type="dxa"/>
          </w:tcPr>
          <w:p w14:paraId="045BB3A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418" w:type="dxa"/>
          </w:tcPr>
          <w:p w14:paraId="4D0706B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2199BBE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p w14:paraId="21C963F5" w14:textId="77777777" w:rsidR="00617FE8" w:rsidRDefault="00617FE8">
            <w:pPr>
              <w:spacing w:after="0" w:line="240" w:lineRule="auto"/>
              <w:rPr>
                <w:rFonts w:eastAsia="Calibri" w:cs="Arial"/>
                <w:color w:val="000000" w:themeColor="text1"/>
                <w:sz w:val="20"/>
                <w:szCs w:val="20"/>
                <w:lang w:val="en-GB"/>
              </w:rPr>
            </w:pPr>
          </w:p>
        </w:tc>
        <w:tc>
          <w:tcPr>
            <w:tcW w:w="1214" w:type="dxa"/>
          </w:tcPr>
          <w:p w14:paraId="460C70D7"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6651C2D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BMI</w:t>
            </w:r>
          </w:p>
        </w:tc>
      </w:tr>
      <w:tr w:rsidR="00617FE8" w14:paraId="15BEDF61" w14:textId="77777777">
        <w:trPr>
          <w:cantSplit/>
        </w:trPr>
        <w:tc>
          <w:tcPr>
            <w:tcW w:w="1207" w:type="dxa"/>
          </w:tcPr>
          <w:p w14:paraId="2110749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Torre 2008</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(31)</w:t>
            </w:r>
          </w:p>
        </w:tc>
        <w:tc>
          <w:tcPr>
            <w:tcW w:w="1276" w:type="dxa"/>
          </w:tcPr>
          <w:p w14:paraId="0F54D7C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44E61BB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BMI)</w:t>
            </w:r>
          </w:p>
        </w:tc>
        <w:tc>
          <w:tcPr>
            <w:tcW w:w="685" w:type="dxa"/>
          </w:tcPr>
          <w:p w14:paraId="4AC15CE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52</w:t>
            </w:r>
          </w:p>
        </w:tc>
        <w:tc>
          <w:tcPr>
            <w:tcW w:w="980" w:type="dxa"/>
          </w:tcPr>
          <w:p w14:paraId="77169AB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418" w:type="dxa"/>
          </w:tcPr>
          <w:p w14:paraId="393ADF5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2296B33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0A654D8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6B5CB92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5F388122"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w:t>
            </w:r>
          </w:p>
        </w:tc>
      </w:tr>
      <w:tr w:rsidR="00617FE8" w14:paraId="09493278" w14:textId="77777777">
        <w:trPr>
          <w:cantSplit/>
        </w:trPr>
        <w:tc>
          <w:tcPr>
            <w:tcW w:w="1207" w:type="dxa"/>
          </w:tcPr>
          <w:p w14:paraId="568C408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Cianfarani 2003</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(16)</w:t>
            </w:r>
          </w:p>
        </w:tc>
        <w:tc>
          <w:tcPr>
            <w:tcW w:w="1276" w:type="dxa"/>
          </w:tcPr>
          <w:p w14:paraId="5D94BFB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B-8.5y</w:t>
            </w:r>
          </w:p>
          <w:p w14:paraId="2E8C3B5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w:t>
            </w:r>
          </w:p>
        </w:tc>
        <w:tc>
          <w:tcPr>
            <w:tcW w:w="685" w:type="dxa"/>
          </w:tcPr>
          <w:p w14:paraId="54CDE46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82</w:t>
            </w:r>
          </w:p>
        </w:tc>
        <w:tc>
          <w:tcPr>
            <w:tcW w:w="980" w:type="dxa"/>
          </w:tcPr>
          <w:p w14:paraId="79C035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8.5y</w:t>
            </w:r>
          </w:p>
        </w:tc>
        <w:tc>
          <w:tcPr>
            <w:tcW w:w="1418" w:type="dxa"/>
          </w:tcPr>
          <w:p w14:paraId="5DC4356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4B4132E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1F4A2E72"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7BE4882D"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 was</w:t>
            </w:r>
            <w:r w:rsidR="002B1B68">
              <w:t xml:space="preserve"> </w:t>
            </w:r>
            <w:r w:rsidR="002B1B68" w:rsidRPr="002B1B68">
              <w:rPr>
                <w:rFonts w:eastAsia="Calibri" w:cs="Arial"/>
                <w:color w:val="000000" w:themeColor="text1"/>
                <w:sz w:val="20"/>
                <w:szCs w:val="20"/>
                <w:lang w:val="en-GB"/>
              </w:rPr>
              <w:t>positively</w:t>
            </w:r>
            <w:r>
              <w:rPr>
                <w:rFonts w:eastAsia="Calibri" w:cs="Arial"/>
                <w:color w:val="000000" w:themeColor="text1"/>
                <w:sz w:val="20"/>
                <w:szCs w:val="20"/>
                <w:lang w:val="en-GB"/>
              </w:rPr>
              <w:t xml:space="preserve"> associated with BMI</w:t>
            </w:r>
          </w:p>
        </w:tc>
      </w:tr>
      <w:tr w:rsidR="00617FE8" w14:paraId="6608E412" w14:textId="77777777">
        <w:trPr>
          <w:cantSplit/>
        </w:trPr>
        <w:tc>
          <w:tcPr>
            <w:tcW w:w="1207" w:type="dxa"/>
          </w:tcPr>
          <w:p w14:paraId="5821CC7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Kramer 2014</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(34)</w:t>
            </w:r>
          </w:p>
        </w:tc>
        <w:tc>
          <w:tcPr>
            <w:tcW w:w="1276" w:type="dxa"/>
          </w:tcPr>
          <w:p w14:paraId="23AE6EF1"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B-6mo</w:t>
            </w:r>
          </w:p>
          <w:p w14:paraId="75E2C85F"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6mo-6.5y </w:t>
            </w:r>
          </w:p>
          <w:p w14:paraId="182DE6E4"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6.5y-11.5y</w:t>
            </w:r>
          </w:p>
          <w:p w14:paraId="33FF6E67"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(WT </w:t>
            </w:r>
            <w:proofErr w:type="spellStart"/>
            <w:r>
              <w:rPr>
                <w:rFonts w:eastAsia="Calibri" w:cs="Arial"/>
                <w:color w:val="000000" w:themeColor="text1"/>
                <w:sz w:val="20"/>
                <w:szCs w:val="20"/>
                <w:lang w:val="es-ES"/>
              </w:rPr>
              <w:t>gain</w:t>
            </w:r>
            <w:proofErr w:type="spellEnd"/>
            <w:r>
              <w:rPr>
                <w:rFonts w:eastAsia="Calibri" w:cs="Arial"/>
                <w:color w:val="000000" w:themeColor="text1"/>
                <w:sz w:val="20"/>
                <w:szCs w:val="20"/>
                <w:lang w:val="es-ES"/>
              </w:rPr>
              <w:t>)</w:t>
            </w:r>
          </w:p>
        </w:tc>
        <w:tc>
          <w:tcPr>
            <w:tcW w:w="685" w:type="dxa"/>
          </w:tcPr>
          <w:p w14:paraId="693B3A6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1247</w:t>
            </w:r>
          </w:p>
        </w:tc>
        <w:tc>
          <w:tcPr>
            <w:tcW w:w="980" w:type="dxa"/>
          </w:tcPr>
          <w:p w14:paraId="203BC10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6mo, 6.5y, 11.5y</w:t>
            </w:r>
          </w:p>
          <w:p w14:paraId="2F6A0ECD"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12C6AAB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A8FD29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2A8F003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4B070BA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6856D3D1" w14:textId="77777777" w:rsidR="00617FE8" w:rsidRDefault="008C06CC" w:rsidP="00F01252">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significantly associated with adiposity (</w:t>
            </w:r>
            <w:r>
              <w:rPr>
                <w:rFonts w:eastAsia="Calibri" w:cs="Arial"/>
                <w:b/>
                <w:color w:val="000000" w:themeColor="text1"/>
                <w:sz w:val="20"/>
                <w:szCs w:val="20"/>
                <w:lang w:val="en-GB"/>
              </w:rPr>
              <w:t xml:space="preserve">adjusted for </w:t>
            </w:r>
            <w:r w:rsidR="00F01252">
              <w:rPr>
                <w:rFonts w:eastAsia="Calibri" w:cs="Arial"/>
                <w:b/>
                <w:color w:val="000000" w:themeColor="text1"/>
                <w:sz w:val="20"/>
                <w:szCs w:val="20"/>
                <w:lang w:val="en-GB"/>
              </w:rPr>
              <w:t>parental</w:t>
            </w:r>
            <w:r>
              <w:rPr>
                <w:rFonts w:eastAsia="Calibri" w:cs="Arial"/>
                <w:b/>
                <w:color w:val="000000" w:themeColor="text1"/>
                <w:sz w:val="20"/>
                <w:szCs w:val="20"/>
                <w:lang w:val="en-GB"/>
              </w:rPr>
              <w:t xml:space="preserve"> height</w:t>
            </w:r>
            <w:r>
              <w:rPr>
                <w:rFonts w:eastAsia="Calibri" w:cs="Arial"/>
                <w:color w:val="000000" w:themeColor="text1"/>
                <w:sz w:val="20"/>
                <w:szCs w:val="20"/>
                <w:lang w:val="en-GB"/>
              </w:rPr>
              <w:t>)</w:t>
            </w:r>
          </w:p>
        </w:tc>
      </w:tr>
      <w:tr w:rsidR="00617FE8" w14:paraId="20FE3567" w14:textId="77777777">
        <w:trPr>
          <w:cantSplit/>
        </w:trPr>
        <w:tc>
          <w:tcPr>
            <w:tcW w:w="1207" w:type="dxa"/>
          </w:tcPr>
          <w:p w14:paraId="7E227CFF"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Ezzahir</w:t>
            </w:r>
            <w:proofErr w:type="spellEnd"/>
            <w:r>
              <w:rPr>
                <w:rFonts w:eastAsia="Calibri" w:cs="Arial"/>
                <w:color w:val="000000" w:themeColor="text1"/>
                <w:sz w:val="20"/>
                <w:szCs w:val="20"/>
                <w:lang w:val="en-GB"/>
              </w:rPr>
              <w:t xml:space="preserve"> 2005</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(32)</w:t>
            </w:r>
          </w:p>
        </w:tc>
        <w:tc>
          <w:tcPr>
            <w:tcW w:w="1276" w:type="dxa"/>
          </w:tcPr>
          <w:p w14:paraId="0C224983"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B-1y </w:t>
            </w:r>
          </w:p>
          <w:p w14:paraId="1A6AD845"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B-2y</w:t>
            </w:r>
          </w:p>
          <w:p w14:paraId="0FF792F4"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B-6y</w:t>
            </w:r>
          </w:p>
          <w:p w14:paraId="27CD63D9"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 (BMI </w:t>
            </w:r>
            <w:proofErr w:type="spellStart"/>
            <w:r>
              <w:rPr>
                <w:rFonts w:eastAsia="Calibri" w:cs="Arial"/>
                <w:color w:val="000000" w:themeColor="text1"/>
                <w:sz w:val="20"/>
                <w:szCs w:val="20"/>
                <w:lang w:val="es-ES"/>
              </w:rPr>
              <w:t>gain</w:t>
            </w:r>
            <w:proofErr w:type="spellEnd"/>
            <w:r>
              <w:rPr>
                <w:rFonts w:eastAsia="Calibri" w:cs="Arial"/>
                <w:color w:val="000000" w:themeColor="text1"/>
                <w:sz w:val="20"/>
                <w:szCs w:val="20"/>
                <w:lang w:val="es-ES"/>
              </w:rPr>
              <w:t>)</w:t>
            </w:r>
          </w:p>
        </w:tc>
        <w:tc>
          <w:tcPr>
            <w:tcW w:w="685" w:type="dxa"/>
          </w:tcPr>
          <w:p w14:paraId="0D7C411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127</w:t>
            </w:r>
          </w:p>
        </w:tc>
        <w:tc>
          <w:tcPr>
            <w:tcW w:w="980" w:type="dxa"/>
          </w:tcPr>
          <w:p w14:paraId="72D8FCB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21y</w:t>
            </w:r>
          </w:p>
        </w:tc>
        <w:tc>
          <w:tcPr>
            <w:tcW w:w="1418" w:type="dxa"/>
          </w:tcPr>
          <w:p w14:paraId="09640CF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5E53205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1214" w:type="dxa"/>
          </w:tcPr>
          <w:p w14:paraId="360CD96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25FC89C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w:t>
            </w:r>
          </w:p>
        </w:tc>
        <w:tc>
          <w:tcPr>
            <w:tcW w:w="2932" w:type="dxa"/>
          </w:tcPr>
          <w:p w14:paraId="643D5BF8"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BMI gain, especially after the first year of life,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adiposity</w:t>
            </w:r>
          </w:p>
        </w:tc>
      </w:tr>
      <w:tr w:rsidR="00617FE8" w14:paraId="4323233B" w14:textId="77777777">
        <w:trPr>
          <w:cantSplit/>
        </w:trPr>
        <w:tc>
          <w:tcPr>
            <w:tcW w:w="9712" w:type="dxa"/>
            <w:gridSpan w:val="7"/>
          </w:tcPr>
          <w:p w14:paraId="53537101" w14:textId="77777777" w:rsidR="00617FE8" w:rsidRDefault="00617FE8">
            <w:pPr>
              <w:spacing w:after="0" w:line="240" w:lineRule="auto"/>
              <w:jc w:val="both"/>
              <w:rPr>
                <w:rFonts w:eastAsia="Calibri" w:cs="Arial"/>
                <w:b/>
                <w:color w:val="000000" w:themeColor="text1"/>
                <w:sz w:val="20"/>
                <w:szCs w:val="20"/>
                <w:lang w:val="en-GB"/>
              </w:rPr>
            </w:pPr>
          </w:p>
        </w:tc>
      </w:tr>
      <w:tr w:rsidR="00617FE8" w14:paraId="6FC2EA8E" w14:textId="77777777">
        <w:trPr>
          <w:cantSplit/>
        </w:trPr>
        <w:tc>
          <w:tcPr>
            <w:tcW w:w="9712" w:type="dxa"/>
            <w:gridSpan w:val="7"/>
          </w:tcPr>
          <w:p w14:paraId="360B6F8B" w14:textId="77777777" w:rsidR="00617FE8" w:rsidRDefault="008C06CC">
            <w:pPr>
              <w:spacing w:after="0" w:line="240" w:lineRule="auto"/>
              <w:rPr>
                <w:rFonts w:eastAsia="Calibri" w:cs="Arial"/>
                <w:color w:val="000000" w:themeColor="text1"/>
                <w:sz w:val="20"/>
                <w:szCs w:val="20"/>
                <w:lang w:val="en-GB"/>
              </w:rPr>
            </w:pPr>
            <w:r>
              <w:rPr>
                <w:rFonts w:eastAsia="Calibri" w:cs="Arial"/>
                <w:b/>
                <w:color w:val="000000" w:themeColor="text1"/>
                <w:sz w:val="20"/>
                <w:szCs w:val="20"/>
                <w:lang w:val="en-GB"/>
              </w:rPr>
              <w:t xml:space="preserve">Observational studies (n=5)  -  % Body fat </w:t>
            </w:r>
          </w:p>
        </w:tc>
      </w:tr>
      <w:tr w:rsidR="00617FE8" w14:paraId="1CF81A72" w14:textId="77777777">
        <w:trPr>
          <w:cantSplit/>
        </w:trPr>
        <w:tc>
          <w:tcPr>
            <w:tcW w:w="1207" w:type="dxa"/>
          </w:tcPr>
          <w:p w14:paraId="23AD393B"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Beltrand</w:t>
            </w:r>
            <w:proofErr w:type="spellEnd"/>
            <w:r>
              <w:rPr>
                <w:rFonts w:eastAsia="Calibri" w:cs="Arial"/>
                <w:color w:val="000000" w:themeColor="text1"/>
                <w:sz w:val="20"/>
                <w:szCs w:val="20"/>
                <w:lang w:val="en-GB"/>
              </w:rPr>
              <w:t xml:space="preserve"> 2009</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(40)</w:t>
            </w:r>
          </w:p>
        </w:tc>
        <w:tc>
          <w:tcPr>
            <w:tcW w:w="1276" w:type="dxa"/>
          </w:tcPr>
          <w:p w14:paraId="477958C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B-4mo</w:t>
            </w:r>
          </w:p>
          <w:p w14:paraId="154FF46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4mo-1y</w:t>
            </w:r>
          </w:p>
          <w:p w14:paraId="375F138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557C86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94</w:t>
            </w:r>
          </w:p>
        </w:tc>
        <w:tc>
          <w:tcPr>
            <w:tcW w:w="980" w:type="dxa"/>
          </w:tcPr>
          <w:p w14:paraId="253F896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4mo, 1y</w:t>
            </w:r>
          </w:p>
        </w:tc>
        <w:tc>
          <w:tcPr>
            <w:tcW w:w="1418" w:type="dxa"/>
          </w:tcPr>
          <w:p w14:paraId="118800A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298DC94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body fat)</w:t>
            </w:r>
          </w:p>
          <w:p w14:paraId="3F6F94FD" w14:textId="77777777" w:rsidR="00617FE8" w:rsidRDefault="00617FE8">
            <w:pPr>
              <w:spacing w:after="0" w:line="240" w:lineRule="auto"/>
              <w:rPr>
                <w:rFonts w:eastAsia="Calibri" w:cs="Arial"/>
                <w:color w:val="000000" w:themeColor="text1"/>
                <w:sz w:val="20"/>
                <w:szCs w:val="20"/>
                <w:lang w:val="en-GB"/>
              </w:rPr>
            </w:pPr>
          </w:p>
        </w:tc>
        <w:tc>
          <w:tcPr>
            <w:tcW w:w="1214" w:type="dxa"/>
          </w:tcPr>
          <w:p w14:paraId="36B392D7"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22150F4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 body fat</w:t>
            </w:r>
          </w:p>
        </w:tc>
      </w:tr>
      <w:tr w:rsidR="00617FE8" w14:paraId="2B1FB73E" w14:textId="77777777">
        <w:trPr>
          <w:cantSplit/>
        </w:trPr>
        <w:tc>
          <w:tcPr>
            <w:tcW w:w="1207" w:type="dxa"/>
          </w:tcPr>
          <w:p w14:paraId="751B405B"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2006</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(38)</w:t>
            </w:r>
          </w:p>
        </w:tc>
        <w:tc>
          <w:tcPr>
            <w:tcW w:w="1276" w:type="dxa"/>
          </w:tcPr>
          <w:p w14:paraId="3180E50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w:t>
            </w:r>
          </w:p>
          <w:p w14:paraId="38E04FF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2-4y</w:t>
            </w:r>
          </w:p>
          <w:p w14:paraId="106940B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30E4F2A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980" w:type="dxa"/>
          </w:tcPr>
          <w:p w14:paraId="5A3E4E7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4y</w:t>
            </w:r>
          </w:p>
        </w:tc>
        <w:tc>
          <w:tcPr>
            <w:tcW w:w="1418" w:type="dxa"/>
          </w:tcPr>
          <w:p w14:paraId="2354AB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 body fat) </w:t>
            </w:r>
          </w:p>
          <w:p w14:paraId="0236F068" w14:textId="77777777" w:rsidR="00617FE8" w:rsidRDefault="00617FE8">
            <w:pPr>
              <w:spacing w:after="0" w:line="240" w:lineRule="auto"/>
              <w:rPr>
                <w:rFonts w:eastAsia="Calibri" w:cs="Arial"/>
                <w:color w:val="000000" w:themeColor="text1"/>
                <w:sz w:val="20"/>
                <w:szCs w:val="20"/>
                <w:lang w:val="en-GB"/>
              </w:rPr>
            </w:pPr>
          </w:p>
        </w:tc>
        <w:tc>
          <w:tcPr>
            <w:tcW w:w="1214" w:type="dxa"/>
          </w:tcPr>
          <w:p w14:paraId="10B1753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 % body fat)</w:t>
            </w:r>
          </w:p>
          <w:p w14:paraId="02EA71A3"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77163C99"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between 0-2y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adiposity and fat gains between 2-4y (</w:t>
            </w:r>
            <w:r>
              <w:rPr>
                <w:rFonts w:eastAsia="Calibri" w:cs="Arial"/>
                <w:b/>
                <w:color w:val="000000" w:themeColor="text1"/>
                <w:sz w:val="20"/>
                <w:szCs w:val="20"/>
                <w:lang w:val="en-GB"/>
              </w:rPr>
              <w:t>adjusted for height</w:t>
            </w:r>
            <w:r>
              <w:rPr>
                <w:rFonts w:eastAsia="Calibri" w:cs="Arial"/>
                <w:color w:val="000000" w:themeColor="text1"/>
                <w:sz w:val="20"/>
                <w:szCs w:val="20"/>
                <w:lang w:val="en-GB"/>
              </w:rPr>
              <w:t>)</w:t>
            </w:r>
          </w:p>
        </w:tc>
      </w:tr>
      <w:tr w:rsidR="00617FE8" w14:paraId="2C39D7F9" w14:textId="77777777">
        <w:trPr>
          <w:cantSplit/>
        </w:trPr>
        <w:tc>
          <w:tcPr>
            <w:tcW w:w="1207" w:type="dxa"/>
          </w:tcPr>
          <w:p w14:paraId="7AC58117"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Mohn</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(35)</w:t>
            </w:r>
          </w:p>
        </w:tc>
        <w:tc>
          <w:tcPr>
            <w:tcW w:w="1276" w:type="dxa"/>
          </w:tcPr>
          <w:p w14:paraId="05F638B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B-4y</w:t>
            </w:r>
          </w:p>
          <w:p w14:paraId="51EA3A3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21C82E3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980" w:type="dxa"/>
          </w:tcPr>
          <w:p w14:paraId="17A2C75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4y</w:t>
            </w:r>
          </w:p>
          <w:p w14:paraId="5AC5D44E"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726E98A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17E393E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body fat)</w:t>
            </w:r>
          </w:p>
        </w:tc>
        <w:tc>
          <w:tcPr>
            <w:tcW w:w="1214" w:type="dxa"/>
          </w:tcPr>
          <w:p w14:paraId="10AE500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w:t>
            </w:r>
          </w:p>
          <w:p w14:paraId="0A41C69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body fat)</w:t>
            </w:r>
          </w:p>
        </w:tc>
        <w:tc>
          <w:tcPr>
            <w:tcW w:w="2932" w:type="dxa"/>
          </w:tcPr>
          <w:p w14:paraId="186D17E1"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BMI and % fat mass</w:t>
            </w:r>
          </w:p>
        </w:tc>
      </w:tr>
      <w:tr w:rsidR="00617FE8" w14:paraId="2E125195" w14:textId="77777777">
        <w:trPr>
          <w:cantSplit/>
        </w:trPr>
        <w:tc>
          <w:tcPr>
            <w:tcW w:w="1207" w:type="dxa"/>
          </w:tcPr>
          <w:p w14:paraId="421F3F0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Kramer 2014</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(34)</w:t>
            </w:r>
          </w:p>
        </w:tc>
        <w:tc>
          <w:tcPr>
            <w:tcW w:w="1276" w:type="dxa"/>
          </w:tcPr>
          <w:p w14:paraId="43C0D125"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B-6mo</w:t>
            </w:r>
          </w:p>
          <w:p w14:paraId="572452BB"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6mo-6.5y </w:t>
            </w:r>
          </w:p>
          <w:p w14:paraId="2786A50E"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6.5y-11.5y</w:t>
            </w:r>
          </w:p>
          <w:p w14:paraId="7376CABF"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(WT </w:t>
            </w:r>
            <w:proofErr w:type="spellStart"/>
            <w:r>
              <w:rPr>
                <w:rFonts w:eastAsia="Calibri" w:cs="Arial"/>
                <w:color w:val="000000" w:themeColor="text1"/>
                <w:sz w:val="20"/>
                <w:szCs w:val="20"/>
                <w:lang w:val="es-ES"/>
              </w:rPr>
              <w:t>gain</w:t>
            </w:r>
            <w:proofErr w:type="spellEnd"/>
            <w:r>
              <w:rPr>
                <w:rFonts w:eastAsia="Calibri" w:cs="Arial"/>
                <w:color w:val="000000" w:themeColor="text1"/>
                <w:sz w:val="20"/>
                <w:szCs w:val="20"/>
                <w:lang w:val="es-ES"/>
              </w:rPr>
              <w:t>)</w:t>
            </w:r>
          </w:p>
        </w:tc>
        <w:tc>
          <w:tcPr>
            <w:tcW w:w="685" w:type="dxa"/>
          </w:tcPr>
          <w:p w14:paraId="2F4CF83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1247</w:t>
            </w:r>
          </w:p>
        </w:tc>
        <w:tc>
          <w:tcPr>
            <w:tcW w:w="980" w:type="dxa"/>
          </w:tcPr>
          <w:p w14:paraId="36DB7FD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6mo, 6.5y, 11.5y</w:t>
            </w:r>
          </w:p>
          <w:p w14:paraId="1DC452D8"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0FAAE5F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2A45D34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body fat)</w:t>
            </w:r>
          </w:p>
        </w:tc>
        <w:tc>
          <w:tcPr>
            <w:tcW w:w="1214" w:type="dxa"/>
          </w:tcPr>
          <w:p w14:paraId="53C6553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AC0927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body fat)</w:t>
            </w:r>
          </w:p>
        </w:tc>
        <w:tc>
          <w:tcPr>
            <w:tcW w:w="2932" w:type="dxa"/>
          </w:tcPr>
          <w:p w14:paraId="48C0F8B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significantly associated with adiposity (</w:t>
            </w:r>
            <w:r>
              <w:rPr>
                <w:rFonts w:eastAsia="Calibri" w:cs="Arial"/>
                <w:b/>
                <w:color w:val="000000" w:themeColor="text1"/>
                <w:sz w:val="20"/>
                <w:szCs w:val="20"/>
                <w:lang w:val="en-GB"/>
              </w:rPr>
              <w:t>adjusted for parental heights</w:t>
            </w:r>
            <w:r>
              <w:rPr>
                <w:rFonts w:eastAsia="Calibri" w:cs="Arial"/>
                <w:color w:val="000000" w:themeColor="text1"/>
                <w:sz w:val="20"/>
                <w:szCs w:val="20"/>
                <w:lang w:val="en-GB"/>
              </w:rPr>
              <w:t>)</w:t>
            </w:r>
          </w:p>
        </w:tc>
      </w:tr>
      <w:tr w:rsidR="00617FE8" w14:paraId="10B0F869" w14:textId="77777777">
        <w:trPr>
          <w:cantSplit/>
        </w:trPr>
        <w:tc>
          <w:tcPr>
            <w:tcW w:w="1207" w:type="dxa"/>
          </w:tcPr>
          <w:p w14:paraId="0FD09773"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Leunissen</w:t>
            </w:r>
            <w:proofErr w:type="spellEnd"/>
            <w:r>
              <w:rPr>
                <w:rFonts w:eastAsia="Calibri" w:cs="Arial"/>
                <w:color w:val="000000" w:themeColor="text1"/>
                <w:sz w:val="20"/>
                <w:szCs w:val="20"/>
                <w:lang w:val="en-GB"/>
              </w:rPr>
              <w:t xml:space="preserve"> 2008</w:t>
            </w:r>
            <w:r>
              <w:rPr>
                <w:rFonts w:eastAsia="Calibri" w:cs="Arial"/>
                <w:color w:val="000000" w:themeColor="text1"/>
                <w:sz w:val="20"/>
                <w:szCs w:val="20"/>
                <w:vertAlign w:val="superscript"/>
                <w:lang w:val="en-GB"/>
              </w:rPr>
              <w:t>H</w:t>
            </w:r>
            <w:r>
              <w:rPr>
                <w:rFonts w:eastAsia="Calibri" w:cs="Arial"/>
                <w:color w:val="000000" w:themeColor="text1"/>
                <w:sz w:val="20"/>
                <w:szCs w:val="20"/>
                <w:lang w:val="en-GB"/>
              </w:rPr>
              <w:t xml:space="preserve"> (41)</w:t>
            </w:r>
          </w:p>
        </w:tc>
        <w:tc>
          <w:tcPr>
            <w:tcW w:w="1276" w:type="dxa"/>
          </w:tcPr>
          <w:p w14:paraId="504ED3D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B-21.5y</w:t>
            </w:r>
          </w:p>
          <w:p w14:paraId="7B21E0B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5DB748E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71</w:t>
            </w:r>
          </w:p>
        </w:tc>
        <w:tc>
          <w:tcPr>
            <w:tcW w:w="980" w:type="dxa"/>
          </w:tcPr>
          <w:p w14:paraId="5B7510E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21.5y</w:t>
            </w:r>
          </w:p>
        </w:tc>
        <w:tc>
          <w:tcPr>
            <w:tcW w:w="1418" w:type="dxa"/>
          </w:tcPr>
          <w:p w14:paraId="351623D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 body fat)</w:t>
            </w:r>
          </w:p>
          <w:p w14:paraId="2D6ACD19" w14:textId="77777777" w:rsidR="00617FE8" w:rsidRDefault="00617FE8">
            <w:pPr>
              <w:spacing w:after="0" w:line="240" w:lineRule="auto"/>
              <w:rPr>
                <w:rFonts w:eastAsia="Calibri" w:cs="Arial"/>
                <w:color w:val="000000" w:themeColor="text1"/>
                <w:sz w:val="20"/>
                <w:szCs w:val="20"/>
                <w:lang w:val="en-GB"/>
              </w:rPr>
            </w:pPr>
          </w:p>
        </w:tc>
        <w:tc>
          <w:tcPr>
            <w:tcW w:w="1214" w:type="dxa"/>
          </w:tcPr>
          <w:p w14:paraId="754AFC90"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58C8214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significantly associated with adiposity (</w:t>
            </w:r>
            <w:r>
              <w:rPr>
                <w:rFonts w:eastAsia="Calibri" w:cs="Arial"/>
                <w:b/>
                <w:color w:val="000000" w:themeColor="text1"/>
                <w:sz w:val="20"/>
                <w:szCs w:val="20"/>
                <w:lang w:val="en-GB"/>
              </w:rPr>
              <w:t>adjusted for height</w:t>
            </w:r>
            <w:r>
              <w:rPr>
                <w:rFonts w:eastAsia="Calibri" w:cs="Arial"/>
                <w:color w:val="000000" w:themeColor="text1"/>
                <w:sz w:val="20"/>
                <w:szCs w:val="20"/>
                <w:lang w:val="en-GB"/>
              </w:rPr>
              <w:t>)</w:t>
            </w:r>
          </w:p>
        </w:tc>
      </w:tr>
      <w:tr w:rsidR="00617FE8" w14:paraId="778A8A18" w14:textId="77777777">
        <w:trPr>
          <w:cantSplit/>
        </w:trPr>
        <w:tc>
          <w:tcPr>
            <w:tcW w:w="9712" w:type="dxa"/>
            <w:gridSpan w:val="7"/>
          </w:tcPr>
          <w:p w14:paraId="70368B4A" w14:textId="77777777" w:rsidR="00617FE8" w:rsidRDefault="00617FE8">
            <w:pPr>
              <w:spacing w:after="0" w:line="240" w:lineRule="auto"/>
              <w:rPr>
                <w:rFonts w:eastAsia="Calibri" w:cs="Arial"/>
                <w:b/>
                <w:color w:val="000000" w:themeColor="text1"/>
                <w:sz w:val="20"/>
                <w:szCs w:val="20"/>
                <w:lang w:val="en-GB"/>
              </w:rPr>
            </w:pPr>
          </w:p>
        </w:tc>
      </w:tr>
      <w:tr w:rsidR="00617FE8" w14:paraId="7EDD5395" w14:textId="77777777">
        <w:trPr>
          <w:cantSplit/>
        </w:trPr>
        <w:tc>
          <w:tcPr>
            <w:tcW w:w="9712" w:type="dxa"/>
            <w:gridSpan w:val="7"/>
          </w:tcPr>
          <w:p w14:paraId="18E0B06F" w14:textId="77777777" w:rsidR="00617FE8" w:rsidRDefault="008C06CC" w:rsidP="00F01252">
            <w:pPr>
              <w:spacing w:after="0" w:line="240" w:lineRule="auto"/>
              <w:rPr>
                <w:rFonts w:eastAsia="Calibri" w:cs="Arial"/>
                <w:color w:val="000000" w:themeColor="text1"/>
                <w:sz w:val="20"/>
                <w:szCs w:val="20"/>
                <w:lang w:val="en-GB"/>
              </w:rPr>
            </w:pPr>
            <w:r w:rsidRPr="00F01252">
              <w:rPr>
                <w:rFonts w:eastAsia="Calibri" w:cs="Arial"/>
                <w:b/>
                <w:color w:val="000000" w:themeColor="text1"/>
                <w:sz w:val="20"/>
                <w:szCs w:val="20"/>
                <w:lang w:val="en-GB"/>
              </w:rPr>
              <w:t>Observational stu</w:t>
            </w:r>
            <w:r w:rsidR="00F01252">
              <w:rPr>
                <w:rFonts w:eastAsia="Calibri" w:cs="Arial"/>
                <w:b/>
                <w:color w:val="000000" w:themeColor="text1"/>
                <w:sz w:val="20"/>
                <w:szCs w:val="20"/>
                <w:lang w:val="en-GB"/>
              </w:rPr>
              <w:t>dies (n=6)  -  Fat or lean mass</w:t>
            </w:r>
          </w:p>
        </w:tc>
      </w:tr>
      <w:tr w:rsidR="00617FE8" w14:paraId="258D1B94" w14:textId="77777777">
        <w:trPr>
          <w:cantSplit/>
        </w:trPr>
        <w:tc>
          <w:tcPr>
            <w:tcW w:w="1207" w:type="dxa"/>
          </w:tcPr>
          <w:p w14:paraId="0BDC835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Amador-</w:t>
            </w:r>
            <w:proofErr w:type="spellStart"/>
            <w:r>
              <w:rPr>
                <w:rFonts w:eastAsia="Calibri" w:cs="Arial"/>
                <w:color w:val="000000" w:themeColor="text1"/>
                <w:sz w:val="20"/>
                <w:szCs w:val="20"/>
                <w:lang w:val="en-GB"/>
              </w:rPr>
              <w:t>Licona</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(43)</w:t>
            </w:r>
          </w:p>
        </w:tc>
        <w:tc>
          <w:tcPr>
            <w:tcW w:w="1276" w:type="dxa"/>
          </w:tcPr>
          <w:p w14:paraId="25A7CFD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31DE25A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325765B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44</w:t>
            </w:r>
          </w:p>
        </w:tc>
        <w:tc>
          <w:tcPr>
            <w:tcW w:w="980" w:type="dxa"/>
          </w:tcPr>
          <w:p w14:paraId="5DE6D6F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418" w:type="dxa"/>
          </w:tcPr>
          <w:p w14:paraId="7BD2346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4A31F9E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Abdo</w:t>
            </w:r>
            <w:proofErr w:type="spellEnd"/>
            <w:r>
              <w:rPr>
                <w:rFonts w:eastAsia="Calibri" w:cs="Arial"/>
                <w:color w:val="000000" w:themeColor="text1"/>
                <w:sz w:val="20"/>
                <w:szCs w:val="20"/>
                <w:lang w:val="en-GB"/>
              </w:rPr>
              <w:t>. fat)</w:t>
            </w:r>
          </w:p>
        </w:tc>
        <w:tc>
          <w:tcPr>
            <w:tcW w:w="1214" w:type="dxa"/>
          </w:tcPr>
          <w:p w14:paraId="7A4C4D9B"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5C4A32D6"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abdominal fat</w:t>
            </w:r>
          </w:p>
        </w:tc>
      </w:tr>
      <w:tr w:rsidR="00617FE8" w14:paraId="78F71A44" w14:textId="77777777">
        <w:trPr>
          <w:cantSplit/>
        </w:trPr>
        <w:tc>
          <w:tcPr>
            <w:tcW w:w="1207" w:type="dxa"/>
          </w:tcPr>
          <w:p w14:paraId="3167BC75"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Taal</w:t>
            </w:r>
            <w:proofErr w:type="spellEnd"/>
            <w:r>
              <w:rPr>
                <w:rFonts w:eastAsia="Calibri" w:cs="Arial"/>
                <w:color w:val="000000" w:themeColor="text1"/>
                <w:sz w:val="20"/>
                <w:szCs w:val="20"/>
                <w:lang w:val="en-GB"/>
              </w:rPr>
              <w:t xml:space="preserve"> 2013</w:t>
            </w:r>
            <w:r>
              <w:rPr>
                <w:rFonts w:eastAsia="Calibri" w:cs="Arial"/>
                <w:color w:val="000000" w:themeColor="text1"/>
                <w:sz w:val="20"/>
                <w:szCs w:val="20"/>
                <w:vertAlign w:val="superscript"/>
                <w:lang w:val="en-GB"/>
              </w:rPr>
              <w:t>M</w:t>
            </w:r>
          </w:p>
          <w:p w14:paraId="73B5971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(36)</w:t>
            </w:r>
          </w:p>
        </w:tc>
        <w:tc>
          <w:tcPr>
            <w:tcW w:w="1276" w:type="dxa"/>
          </w:tcPr>
          <w:p w14:paraId="18731FB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 2-4y</w:t>
            </w:r>
          </w:p>
          <w:p w14:paraId="13952DD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w:t>
            </w:r>
          </w:p>
        </w:tc>
        <w:tc>
          <w:tcPr>
            <w:tcW w:w="685" w:type="dxa"/>
          </w:tcPr>
          <w:p w14:paraId="5D0D447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191</w:t>
            </w:r>
          </w:p>
        </w:tc>
        <w:tc>
          <w:tcPr>
            <w:tcW w:w="980" w:type="dxa"/>
          </w:tcPr>
          <w:p w14:paraId="6108402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4y</w:t>
            </w:r>
          </w:p>
        </w:tc>
        <w:tc>
          <w:tcPr>
            <w:tcW w:w="1418" w:type="dxa"/>
          </w:tcPr>
          <w:p w14:paraId="1491F77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3ECFDEF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(Total fat mass at 2y)</w:t>
            </w:r>
          </w:p>
        </w:tc>
        <w:tc>
          <w:tcPr>
            <w:tcW w:w="1214" w:type="dxa"/>
          </w:tcPr>
          <w:p w14:paraId="47A93C76"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42816471"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 xml:space="preserve">associated with fat mass at 2y and BMI at 4y </w:t>
            </w:r>
          </w:p>
        </w:tc>
      </w:tr>
      <w:tr w:rsidR="00617FE8" w14:paraId="5B1DF23A" w14:textId="77777777">
        <w:trPr>
          <w:cantSplit/>
        </w:trPr>
        <w:tc>
          <w:tcPr>
            <w:tcW w:w="1207" w:type="dxa"/>
          </w:tcPr>
          <w:p w14:paraId="3AB78D07"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2006</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(38)</w:t>
            </w:r>
          </w:p>
        </w:tc>
        <w:tc>
          <w:tcPr>
            <w:tcW w:w="1276" w:type="dxa"/>
          </w:tcPr>
          <w:p w14:paraId="2EAA15C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w:t>
            </w:r>
          </w:p>
          <w:p w14:paraId="4E12D4D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2-4y</w:t>
            </w:r>
          </w:p>
          <w:p w14:paraId="437B98D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77A24E8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980" w:type="dxa"/>
          </w:tcPr>
          <w:p w14:paraId="28ACAC7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4y</w:t>
            </w:r>
          </w:p>
        </w:tc>
        <w:tc>
          <w:tcPr>
            <w:tcW w:w="1418" w:type="dxa"/>
          </w:tcPr>
          <w:p w14:paraId="036186C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w:t>
            </w:r>
            <w:proofErr w:type="spellStart"/>
            <w:r>
              <w:rPr>
                <w:rFonts w:eastAsia="Calibri" w:cs="Arial"/>
                <w:color w:val="000000" w:themeColor="text1"/>
                <w:sz w:val="20"/>
                <w:szCs w:val="20"/>
                <w:lang w:val="en-GB"/>
              </w:rPr>
              <w:t>Abdo</w:t>
            </w:r>
            <w:proofErr w:type="spellEnd"/>
            <w:r>
              <w:rPr>
                <w:rFonts w:eastAsia="Calibri" w:cs="Arial"/>
                <w:color w:val="000000" w:themeColor="text1"/>
                <w:sz w:val="20"/>
                <w:szCs w:val="20"/>
                <w:lang w:val="en-GB"/>
              </w:rPr>
              <w:t xml:space="preserve">. fat) </w:t>
            </w:r>
          </w:p>
          <w:p w14:paraId="4F7C84E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 (Lean mass) </w:t>
            </w:r>
          </w:p>
        </w:tc>
        <w:tc>
          <w:tcPr>
            <w:tcW w:w="1214" w:type="dxa"/>
          </w:tcPr>
          <w:p w14:paraId="7703F22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w:t>
            </w:r>
            <w:proofErr w:type="spellStart"/>
            <w:r>
              <w:rPr>
                <w:rFonts w:eastAsia="Calibri" w:cs="Arial"/>
                <w:color w:val="000000" w:themeColor="text1"/>
                <w:sz w:val="20"/>
                <w:szCs w:val="20"/>
                <w:lang w:val="en-GB"/>
              </w:rPr>
              <w:t>Abdo</w:t>
            </w:r>
            <w:proofErr w:type="spellEnd"/>
            <w:r>
              <w:rPr>
                <w:rFonts w:eastAsia="Calibri" w:cs="Arial"/>
                <w:color w:val="000000" w:themeColor="text1"/>
                <w:sz w:val="20"/>
                <w:szCs w:val="20"/>
                <w:lang w:val="en-GB"/>
              </w:rPr>
              <w:t>. fat)</w:t>
            </w:r>
          </w:p>
          <w:p w14:paraId="6D6E9B2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 (Lean mass)</w:t>
            </w:r>
          </w:p>
        </w:tc>
        <w:tc>
          <w:tcPr>
            <w:tcW w:w="2932" w:type="dxa"/>
          </w:tcPr>
          <w:p w14:paraId="4742720B"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between 0-2y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adiposity and fat gains between 2-4y (</w:t>
            </w:r>
            <w:r>
              <w:rPr>
                <w:rFonts w:eastAsia="Calibri" w:cs="Arial"/>
                <w:b/>
                <w:color w:val="000000" w:themeColor="text1"/>
                <w:sz w:val="20"/>
                <w:szCs w:val="20"/>
                <w:lang w:val="en-GB"/>
              </w:rPr>
              <w:t>adjusted for height</w:t>
            </w:r>
            <w:r>
              <w:rPr>
                <w:rFonts w:eastAsia="Calibri" w:cs="Arial"/>
                <w:color w:val="000000" w:themeColor="text1"/>
                <w:sz w:val="20"/>
                <w:szCs w:val="20"/>
                <w:lang w:val="en-GB"/>
              </w:rPr>
              <w:t>)</w:t>
            </w:r>
          </w:p>
        </w:tc>
      </w:tr>
      <w:tr w:rsidR="00617FE8" w14:paraId="1865464D" w14:textId="77777777">
        <w:trPr>
          <w:cantSplit/>
        </w:trPr>
        <w:tc>
          <w:tcPr>
            <w:tcW w:w="1207" w:type="dxa"/>
          </w:tcPr>
          <w:p w14:paraId="26E279EE"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(39)</w:t>
            </w:r>
          </w:p>
        </w:tc>
        <w:tc>
          <w:tcPr>
            <w:tcW w:w="1276" w:type="dxa"/>
          </w:tcPr>
          <w:p w14:paraId="596C77A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3137137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28F389B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56</w:t>
            </w:r>
          </w:p>
        </w:tc>
        <w:tc>
          <w:tcPr>
            <w:tcW w:w="980" w:type="dxa"/>
          </w:tcPr>
          <w:p w14:paraId="21F7DDA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418" w:type="dxa"/>
          </w:tcPr>
          <w:p w14:paraId="3CFECF7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(Total fat &amp; </w:t>
            </w:r>
          </w:p>
          <w:p w14:paraId="16690D5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Lean mass)</w:t>
            </w:r>
          </w:p>
        </w:tc>
        <w:tc>
          <w:tcPr>
            <w:tcW w:w="1214" w:type="dxa"/>
          </w:tcPr>
          <w:p w14:paraId="5731ED5E"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316C076A"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fat and lean mass, and also subcutaneous and visceral fat</w:t>
            </w:r>
          </w:p>
        </w:tc>
      </w:tr>
      <w:tr w:rsidR="00617FE8" w14:paraId="061DA440" w14:textId="77777777">
        <w:trPr>
          <w:cantSplit/>
        </w:trPr>
        <w:tc>
          <w:tcPr>
            <w:tcW w:w="1207" w:type="dxa"/>
          </w:tcPr>
          <w:p w14:paraId="0046B4D2"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Bavdekar</w:t>
            </w:r>
            <w:proofErr w:type="spellEnd"/>
            <w:r>
              <w:rPr>
                <w:rFonts w:eastAsia="Calibri" w:cs="Arial"/>
                <w:color w:val="000000" w:themeColor="text1"/>
                <w:sz w:val="20"/>
                <w:szCs w:val="20"/>
                <w:vertAlign w:val="superscript"/>
                <w:lang w:val="en-GB"/>
              </w:rPr>
              <w:t xml:space="preserve"> </w:t>
            </w:r>
            <w:r>
              <w:rPr>
                <w:rFonts w:eastAsia="Calibri" w:cs="Arial"/>
                <w:color w:val="000000" w:themeColor="text1"/>
                <w:sz w:val="20"/>
                <w:szCs w:val="20"/>
                <w:lang w:val="en-GB"/>
              </w:rPr>
              <w:t>1999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(44)</w:t>
            </w:r>
          </w:p>
        </w:tc>
        <w:tc>
          <w:tcPr>
            <w:tcW w:w="1276" w:type="dxa"/>
          </w:tcPr>
          <w:p w14:paraId="33937C4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3C13C58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5D8CA49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165</w:t>
            </w:r>
          </w:p>
        </w:tc>
        <w:tc>
          <w:tcPr>
            <w:tcW w:w="980" w:type="dxa"/>
          </w:tcPr>
          <w:p w14:paraId="77929CE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418" w:type="dxa"/>
          </w:tcPr>
          <w:p w14:paraId="4E9938C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72430C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(SS/TR)</w:t>
            </w:r>
          </w:p>
        </w:tc>
        <w:tc>
          <w:tcPr>
            <w:tcW w:w="1214" w:type="dxa"/>
          </w:tcPr>
          <w:p w14:paraId="727090F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3756C6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(SS/TR)</w:t>
            </w:r>
          </w:p>
        </w:tc>
        <w:tc>
          <w:tcPr>
            <w:tcW w:w="2932" w:type="dxa"/>
          </w:tcPr>
          <w:p w14:paraId="2ACC9931"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fat mass</w:t>
            </w:r>
          </w:p>
        </w:tc>
      </w:tr>
      <w:tr w:rsidR="00617FE8" w14:paraId="06B6DA49" w14:textId="77777777">
        <w:trPr>
          <w:cantSplit/>
        </w:trPr>
        <w:tc>
          <w:tcPr>
            <w:tcW w:w="1207" w:type="dxa"/>
          </w:tcPr>
          <w:p w14:paraId="3A32EE9C"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Leunissen</w:t>
            </w:r>
            <w:proofErr w:type="spellEnd"/>
            <w:r>
              <w:rPr>
                <w:rFonts w:eastAsia="Calibri" w:cs="Arial"/>
                <w:color w:val="000000" w:themeColor="text1"/>
                <w:sz w:val="20"/>
                <w:szCs w:val="20"/>
                <w:lang w:val="en-GB"/>
              </w:rPr>
              <w:t xml:space="preserve"> 2012</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(42)</w:t>
            </w:r>
          </w:p>
        </w:tc>
        <w:tc>
          <w:tcPr>
            <w:tcW w:w="1276" w:type="dxa"/>
          </w:tcPr>
          <w:p w14:paraId="4EF8BBD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B-21y</w:t>
            </w:r>
          </w:p>
          <w:p w14:paraId="374A6FB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85" w:type="dxa"/>
          </w:tcPr>
          <w:p w14:paraId="3DAD503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106</w:t>
            </w:r>
          </w:p>
        </w:tc>
        <w:tc>
          <w:tcPr>
            <w:tcW w:w="980" w:type="dxa"/>
          </w:tcPr>
          <w:p w14:paraId="3CEB54C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21y</w:t>
            </w:r>
          </w:p>
        </w:tc>
        <w:tc>
          <w:tcPr>
            <w:tcW w:w="1418" w:type="dxa"/>
          </w:tcPr>
          <w:p w14:paraId="2B20275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(Total fat mass)</w:t>
            </w:r>
          </w:p>
          <w:p w14:paraId="0B9309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(Total lean mass)</w:t>
            </w:r>
          </w:p>
        </w:tc>
        <w:tc>
          <w:tcPr>
            <w:tcW w:w="1214" w:type="dxa"/>
          </w:tcPr>
          <w:p w14:paraId="22D30C5D" w14:textId="77777777" w:rsidR="00617FE8" w:rsidRDefault="00617FE8">
            <w:pPr>
              <w:spacing w:after="0" w:line="240" w:lineRule="auto"/>
              <w:rPr>
                <w:rFonts w:eastAsia="Calibri" w:cs="Arial"/>
                <w:color w:val="000000" w:themeColor="text1"/>
                <w:sz w:val="20"/>
                <w:szCs w:val="20"/>
                <w:lang w:val="en-GB"/>
              </w:rPr>
            </w:pPr>
          </w:p>
        </w:tc>
        <w:tc>
          <w:tcPr>
            <w:tcW w:w="2932" w:type="dxa"/>
          </w:tcPr>
          <w:p w14:paraId="158E148B"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lean mass, but not fat mass</w:t>
            </w:r>
          </w:p>
        </w:tc>
      </w:tr>
    </w:tbl>
    <w:p w14:paraId="2FE0E86E" w14:textId="77777777" w:rsidR="00617FE8" w:rsidRDefault="008C06CC">
      <w:pPr>
        <w:spacing w:after="0" w:line="480" w:lineRule="auto"/>
        <w:jc w:val="both"/>
        <w:rPr>
          <w:rFonts w:ascii="Arial" w:eastAsia="Calibri" w:hAnsi="Arial" w:cs="Arial"/>
          <w:color w:val="000000" w:themeColor="text1"/>
          <w:lang w:val="en-GB"/>
        </w:rPr>
      </w:pPr>
      <w:r>
        <w:rPr>
          <w:rFonts w:ascii="Arial" w:eastAsia="Calibri" w:hAnsi="Arial" w:cs="Arial"/>
          <w:color w:val="000000" w:themeColor="text1"/>
          <w:lang w:val="en-GB"/>
        </w:rPr>
        <w:br w:type="page"/>
      </w:r>
    </w:p>
    <w:tbl>
      <w:tblPr>
        <w:tblW w:w="9632" w:type="dxa"/>
        <w:tblInd w:w="-106" w:type="dxa"/>
        <w:tblBorders>
          <w:bottom w:val="single" w:sz="4" w:space="0" w:color="auto"/>
          <w:insideH w:val="single" w:sz="4" w:space="0" w:color="auto"/>
        </w:tblBorders>
        <w:tblLayout w:type="fixed"/>
        <w:tblLook w:val="00A0" w:firstRow="1" w:lastRow="0" w:firstColumn="1" w:lastColumn="0" w:noHBand="0" w:noVBand="0"/>
      </w:tblPr>
      <w:tblGrid>
        <w:gridCol w:w="1490"/>
        <w:gridCol w:w="1377"/>
        <w:gridCol w:w="595"/>
        <w:gridCol w:w="1005"/>
        <w:gridCol w:w="1194"/>
        <w:gridCol w:w="1216"/>
        <w:gridCol w:w="2755"/>
      </w:tblGrid>
      <w:tr w:rsidR="00617FE8" w14:paraId="7238A443" w14:textId="77777777">
        <w:trPr>
          <w:cantSplit/>
        </w:trPr>
        <w:tc>
          <w:tcPr>
            <w:tcW w:w="1490" w:type="dxa"/>
          </w:tcPr>
          <w:p w14:paraId="6241897E"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lastRenderedPageBreak/>
              <w:t>b) Insulin resistance</w:t>
            </w:r>
          </w:p>
        </w:tc>
        <w:tc>
          <w:tcPr>
            <w:tcW w:w="1377" w:type="dxa"/>
          </w:tcPr>
          <w:p w14:paraId="07449632"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Timing of exposure (nature)</w:t>
            </w:r>
          </w:p>
        </w:tc>
        <w:tc>
          <w:tcPr>
            <w:tcW w:w="595" w:type="dxa"/>
          </w:tcPr>
          <w:p w14:paraId="6D42B375"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N SGA</w:t>
            </w:r>
          </w:p>
        </w:tc>
        <w:tc>
          <w:tcPr>
            <w:tcW w:w="1005" w:type="dxa"/>
          </w:tcPr>
          <w:p w14:paraId="32EB91A8"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Age at outcome</w:t>
            </w:r>
          </w:p>
        </w:tc>
        <w:tc>
          <w:tcPr>
            <w:tcW w:w="1194" w:type="dxa"/>
          </w:tcPr>
          <w:p w14:paraId="123FA124"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Summary result</w:t>
            </w:r>
          </w:p>
        </w:tc>
        <w:tc>
          <w:tcPr>
            <w:tcW w:w="1216" w:type="dxa"/>
          </w:tcPr>
          <w:p w14:paraId="2E15A404"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SGA vs. AGA controls</w:t>
            </w:r>
          </w:p>
        </w:tc>
        <w:tc>
          <w:tcPr>
            <w:tcW w:w="2755" w:type="dxa"/>
          </w:tcPr>
          <w:p w14:paraId="0F42014D"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Comment</w:t>
            </w:r>
          </w:p>
        </w:tc>
      </w:tr>
      <w:tr w:rsidR="00617FE8" w14:paraId="3721E7EB" w14:textId="77777777">
        <w:trPr>
          <w:cantSplit/>
        </w:trPr>
        <w:tc>
          <w:tcPr>
            <w:tcW w:w="9632" w:type="dxa"/>
            <w:gridSpan w:val="7"/>
          </w:tcPr>
          <w:p w14:paraId="02028E83" w14:textId="77777777" w:rsidR="00617FE8" w:rsidRDefault="008C06CC">
            <w:pPr>
              <w:spacing w:after="0" w:line="240" w:lineRule="auto"/>
              <w:rPr>
                <w:rFonts w:eastAsia="Calibri" w:cs="Arial"/>
                <w:color w:val="000000" w:themeColor="text1"/>
                <w:sz w:val="20"/>
                <w:szCs w:val="20"/>
                <w:lang w:val="en-GB"/>
              </w:rPr>
            </w:pPr>
            <w:r>
              <w:rPr>
                <w:rFonts w:eastAsia="Calibri" w:cs="Arial"/>
                <w:b/>
                <w:color w:val="000000" w:themeColor="text1"/>
                <w:sz w:val="20"/>
                <w:szCs w:val="20"/>
                <w:lang w:val="en-GB"/>
              </w:rPr>
              <w:t xml:space="preserve">Observational studies (n=18) </w:t>
            </w:r>
          </w:p>
        </w:tc>
      </w:tr>
      <w:tr w:rsidR="00617FE8" w14:paraId="37ADF90F" w14:textId="77777777">
        <w:trPr>
          <w:cantSplit/>
        </w:trPr>
        <w:tc>
          <w:tcPr>
            <w:tcW w:w="1490" w:type="dxa"/>
          </w:tcPr>
          <w:p w14:paraId="2ACB024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Amador-</w:t>
            </w:r>
            <w:proofErr w:type="spellStart"/>
            <w:r>
              <w:rPr>
                <w:rFonts w:eastAsia="Calibri" w:cs="Arial"/>
                <w:color w:val="000000" w:themeColor="text1"/>
                <w:sz w:val="20"/>
                <w:szCs w:val="20"/>
                <w:lang w:val="en-GB"/>
              </w:rPr>
              <w:t>Licona</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L</w:t>
            </w:r>
            <w:r>
              <w:rPr>
                <w:rFonts w:eastAsia="Calibri" w:cs="Arial"/>
                <w:color w:val="000000" w:themeColor="text1"/>
                <w:sz w:val="20"/>
                <w:szCs w:val="20"/>
                <w:lang w:val="en-GB"/>
              </w:rPr>
              <w:t xml:space="preserve"> (43)</w:t>
            </w:r>
          </w:p>
        </w:tc>
        <w:tc>
          <w:tcPr>
            <w:tcW w:w="1377" w:type="dxa"/>
          </w:tcPr>
          <w:p w14:paraId="492361D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6D6C6AB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7346B58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44</w:t>
            </w:r>
          </w:p>
        </w:tc>
        <w:tc>
          <w:tcPr>
            <w:tcW w:w="1005" w:type="dxa"/>
          </w:tcPr>
          <w:p w14:paraId="7AAE43E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194" w:type="dxa"/>
          </w:tcPr>
          <w:p w14:paraId="0A708CC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1AD5724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098CF7CA" w14:textId="77777777" w:rsidR="00617FE8" w:rsidRDefault="00617FE8">
            <w:pPr>
              <w:spacing w:after="0" w:line="240" w:lineRule="auto"/>
              <w:rPr>
                <w:rFonts w:eastAsia="Calibri" w:cs="Arial"/>
                <w:color w:val="000000" w:themeColor="text1"/>
                <w:sz w:val="20"/>
                <w:szCs w:val="20"/>
                <w:lang w:val="en-GB"/>
              </w:rPr>
            </w:pPr>
          </w:p>
        </w:tc>
        <w:tc>
          <w:tcPr>
            <w:tcW w:w="2755" w:type="dxa"/>
          </w:tcPr>
          <w:p w14:paraId="000AC18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not associated with IR </w:t>
            </w:r>
          </w:p>
        </w:tc>
      </w:tr>
      <w:tr w:rsidR="00617FE8" w14:paraId="509CAE32" w14:textId="77777777">
        <w:trPr>
          <w:cantSplit/>
        </w:trPr>
        <w:tc>
          <w:tcPr>
            <w:tcW w:w="1490" w:type="dxa"/>
          </w:tcPr>
          <w:p w14:paraId="283878B6"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Beltrand</w:t>
            </w:r>
            <w:proofErr w:type="spellEnd"/>
            <w:r>
              <w:rPr>
                <w:rFonts w:eastAsia="Calibri" w:cs="Arial"/>
                <w:color w:val="000000" w:themeColor="text1"/>
                <w:sz w:val="20"/>
                <w:szCs w:val="20"/>
                <w:lang w:val="en-GB"/>
              </w:rPr>
              <w:t xml:space="preserve"> 2009</w:t>
            </w:r>
            <w:r>
              <w:rPr>
                <w:rFonts w:eastAsia="Calibri" w:cs="Arial"/>
                <w:color w:val="000000" w:themeColor="text1"/>
                <w:sz w:val="20"/>
                <w:szCs w:val="20"/>
                <w:vertAlign w:val="superscript"/>
                <w:lang w:val="en-GB"/>
              </w:rPr>
              <w:t>L</w:t>
            </w:r>
          </w:p>
          <w:p w14:paraId="197BB17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(40)</w:t>
            </w:r>
          </w:p>
        </w:tc>
        <w:tc>
          <w:tcPr>
            <w:tcW w:w="1377" w:type="dxa"/>
          </w:tcPr>
          <w:p w14:paraId="3952EEE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B-4mo</w:t>
            </w:r>
          </w:p>
          <w:p w14:paraId="3DA4E0C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4mo-1y</w:t>
            </w:r>
          </w:p>
          <w:p w14:paraId="794EF9B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65CFDF9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94</w:t>
            </w:r>
          </w:p>
        </w:tc>
        <w:tc>
          <w:tcPr>
            <w:tcW w:w="1005" w:type="dxa"/>
          </w:tcPr>
          <w:p w14:paraId="72C271F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194" w:type="dxa"/>
          </w:tcPr>
          <w:p w14:paraId="289AC1B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54071B5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(Fasting insulin)</w:t>
            </w:r>
          </w:p>
        </w:tc>
        <w:tc>
          <w:tcPr>
            <w:tcW w:w="1216" w:type="dxa"/>
          </w:tcPr>
          <w:p w14:paraId="2FB0D4D7" w14:textId="77777777" w:rsidR="00617FE8" w:rsidRDefault="00617FE8">
            <w:pPr>
              <w:spacing w:after="0" w:line="240" w:lineRule="auto"/>
              <w:rPr>
                <w:rFonts w:eastAsia="Calibri" w:cs="Arial"/>
                <w:color w:val="000000" w:themeColor="text1"/>
                <w:sz w:val="20"/>
                <w:szCs w:val="20"/>
                <w:lang w:val="en-GB"/>
              </w:rPr>
            </w:pPr>
          </w:p>
        </w:tc>
        <w:tc>
          <w:tcPr>
            <w:tcW w:w="2755" w:type="dxa"/>
          </w:tcPr>
          <w:p w14:paraId="2DE1F5B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IR</w:t>
            </w:r>
          </w:p>
        </w:tc>
      </w:tr>
      <w:tr w:rsidR="00617FE8" w14:paraId="31ACEB10" w14:textId="77777777">
        <w:trPr>
          <w:cantSplit/>
        </w:trPr>
        <w:tc>
          <w:tcPr>
            <w:tcW w:w="1490" w:type="dxa"/>
          </w:tcPr>
          <w:p w14:paraId="25D394E6"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Soto 2003</w:t>
            </w:r>
            <w:r>
              <w:rPr>
                <w:rFonts w:eastAsia="Calibri" w:cs="Arial"/>
                <w:color w:val="000000" w:themeColor="text1"/>
                <w:sz w:val="20"/>
                <w:szCs w:val="20"/>
                <w:vertAlign w:val="superscript"/>
                <w:lang w:val="en-GB"/>
              </w:rPr>
              <w:t>M</w:t>
            </w:r>
          </w:p>
          <w:p w14:paraId="41040223" w14:textId="77777777" w:rsidR="00617FE8" w:rsidRDefault="008C06CC" w:rsidP="008E3193">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w:t>
            </w:r>
            <w:r w:rsidR="008E3193">
              <w:rPr>
                <w:rFonts w:eastAsia="Calibri" w:cs="Arial"/>
                <w:color w:val="000000" w:themeColor="text1"/>
                <w:sz w:val="20"/>
                <w:szCs w:val="20"/>
                <w:lang w:val="en-GB"/>
              </w:rPr>
              <w:t>5</w:t>
            </w:r>
            <w:r>
              <w:rPr>
                <w:rFonts w:eastAsia="Calibri" w:cs="Arial"/>
                <w:color w:val="000000" w:themeColor="text1"/>
                <w:sz w:val="20"/>
                <w:szCs w:val="20"/>
                <w:lang w:val="en-GB"/>
              </w:rPr>
              <w:t>)</w:t>
            </w:r>
          </w:p>
        </w:tc>
        <w:tc>
          <w:tcPr>
            <w:tcW w:w="1377" w:type="dxa"/>
          </w:tcPr>
          <w:p w14:paraId="51D2D69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207F9C4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gain)</w:t>
            </w:r>
          </w:p>
        </w:tc>
        <w:tc>
          <w:tcPr>
            <w:tcW w:w="595" w:type="dxa"/>
            <w:noWrap/>
          </w:tcPr>
          <w:p w14:paraId="5A9B0A7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w:t>
            </w:r>
          </w:p>
        </w:tc>
        <w:tc>
          <w:tcPr>
            <w:tcW w:w="1005" w:type="dxa"/>
          </w:tcPr>
          <w:p w14:paraId="08ED335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194" w:type="dxa"/>
          </w:tcPr>
          <w:p w14:paraId="0ED6C48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03F476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(Fasting insulin)</w:t>
            </w:r>
          </w:p>
        </w:tc>
        <w:tc>
          <w:tcPr>
            <w:tcW w:w="1216" w:type="dxa"/>
          </w:tcPr>
          <w:p w14:paraId="76A3807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983BEE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(Fasting insulin)</w:t>
            </w:r>
          </w:p>
        </w:tc>
        <w:tc>
          <w:tcPr>
            <w:tcW w:w="2755" w:type="dxa"/>
          </w:tcPr>
          <w:p w14:paraId="4E3F78F6" w14:textId="77777777" w:rsidR="00617FE8" w:rsidRDefault="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C</w:t>
            </w:r>
            <w:r w:rsidR="008C06CC">
              <w:rPr>
                <w:rFonts w:eastAsia="Calibri" w:cs="Arial"/>
                <w:color w:val="000000" w:themeColor="text1"/>
                <w:sz w:val="20"/>
                <w:szCs w:val="20"/>
                <w:lang w:val="en-GB"/>
              </w:rPr>
              <w:t xml:space="preserve">atch up </w:t>
            </w:r>
            <w:r>
              <w:rPr>
                <w:rFonts w:eastAsia="Calibri" w:cs="Arial"/>
                <w:color w:val="000000" w:themeColor="text1"/>
                <w:sz w:val="20"/>
                <w:szCs w:val="20"/>
                <w:lang w:val="en-GB"/>
              </w:rPr>
              <w:t>growth was associated with</w:t>
            </w:r>
            <w:r w:rsidR="008C06CC">
              <w:rPr>
                <w:rFonts w:eastAsia="Calibri" w:cs="Arial"/>
                <w:color w:val="000000" w:themeColor="text1"/>
                <w:sz w:val="20"/>
                <w:szCs w:val="20"/>
                <w:lang w:val="en-GB"/>
              </w:rPr>
              <w:t xml:space="preserve"> higher IR (</w:t>
            </w:r>
            <w:r w:rsidR="008C06CC">
              <w:rPr>
                <w:rFonts w:eastAsia="Calibri" w:cs="Arial"/>
                <w:b/>
                <w:color w:val="000000" w:themeColor="text1"/>
                <w:sz w:val="20"/>
                <w:szCs w:val="20"/>
                <w:lang w:val="en-GB"/>
              </w:rPr>
              <w:t>adjusted for BMI</w:t>
            </w:r>
            <w:r w:rsidR="000B0959">
              <w:rPr>
                <w:rFonts w:eastAsia="Calibri" w:cs="Arial"/>
                <w:color w:val="000000" w:themeColor="text1"/>
                <w:sz w:val="20"/>
                <w:szCs w:val="20"/>
                <w:lang w:val="en-GB"/>
              </w:rPr>
              <w:t>)</w:t>
            </w:r>
          </w:p>
          <w:p w14:paraId="7410557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tc>
      </w:tr>
      <w:tr w:rsidR="00617FE8" w14:paraId="13030B4E" w14:textId="77777777">
        <w:trPr>
          <w:cantSplit/>
        </w:trPr>
        <w:tc>
          <w:tcPr>
            <w:tcW w:w="1490" w:type="dxa"/>
          </w:tcPr>
          <w:p w14:paraId="51C29D74"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Mericq</w:t>
            </w:r>
            <w:proofErr w:type="spellEnd"/>
            <w:r>
              <w:rPr>
                <w:rFonts w:eastAsia="Calibri" w:cs="Arial"/>
                <w:color w:val="000000" w:themeColor="text1"/>
                <w:sz w:val="20"/>
                <w:szCs w:val="20"/>
                <w:lang w:val="en-GB"/>
              </w:rPr>
              <w:t xml:space="preserve"> 2005</w:t>
            </w:r>
            <w:r>
              <w:rPr>
                <w:rFonts w:eastAsia="Calibri" w:cs="Arial"/>
                <w:color w:val="000000" w:themeColor="text1"/>
                <w:sz w:val="20"/>
                <w:szCs w:val="20"/>
                <w:vertAlign w:val="superscript"/>
                <w:lang w:val="en-GB"/>
              </w:rPr>
              <w:t>M</w:t>
            </w:r>
          </w:p>
          <w:p w14:paraId="321F406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(47)</w:t>
            </w:r>
          </w:p>
        </w:tc>
        <w:tc>
          <w:tcPr>
            <w:tcW w:w="1377" w:type="dxa"/>
          </w:tcPr>
          <w:p w14:paraId="73F6CAB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B-3y</w:t>
            </w:r>
          </w:p>
          <w:p w14:paraId="5DCCC99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gain)</w:t>
            </w:r>
          </w:p>
        </w:tc>
        <w:tc>
          <w:tcPr>
            <w:tcW w:w="595" w:type="dxa"/>
            <w:noWrap/>
          </w:tcPr>
          <w:p w14:paraId="145F902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55</w:t>
            </w:r>
          </w:p>
        </w:tc>
        <w:tc>
          <w:tcPr>
            <w:tcW w:w="1005" w:type="dxa"/>
          </w:tcPr>
          <w:p w14:paraId="31294B1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3y</w:t>
            </w:r>
          </w:p>
        </w:tc>
        <w:tc>
          <w:tcPr>
            <w:tcW w:w="1194" w:type="dxa"/>
          </w:tcPr>
          <w:p w14:paraId="1833341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F61EB5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6A8E16A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8092CA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4304321B" w14:textId="77777777" w:rsidR="00617FE8" w:rsidRDefault="008C06CC" w:rsidP="002B1B68">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2B1B68" w:rsidRPr="002B1B68">
              <w:rPr>
                <w:rFonts w:eastAsia="Calibri" w:cs="Arial"/>
                <w:color w:val="000000" w:themeColor="text1"/>
                <w:sz w:val="20"/>
                <w:szCs w:val="20"/>
                <w:lang w:val="en-GB"/>
              </w:rPr>
              <w:t xml:space="preserve">positively </w:t>
            </w:r>
            <w:r>
              <w:rPr>
                <w:rFonts w:eastAsia="Calibri" w:cs="Arial"/>
                <w:color w:val="000000" w:themeColor="text1"/>
                <w:sz w:val="20"/>
                <w:szCs w:val="20"/>
                <w:lang w:val="en-GB"/>
              </w:rPr>
              <w:t xml:space="preserve">associated with IR </w:t>
            </w:r>
          </w:p>
        </w:tc>
      </w:tr>
      <w:tr w:rsidR="00617FE8" w14:paraId="48F9779D" w14:textId="77777777">
        <w:trPr>
          <w:cantSplit/>
        </w:trPr>
        <w:tc>
          <w:tcPr>
            <w:tcW w:w="1490" w:type="dxa"/>
          </w:tcPr>
          <w:p w14:paraId="76D56C79"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2006</w:t>
            </w:r>
            <w:r>
              <w:rPr>
                <w:rFonts w:eastAsia="Calibri" w:cs="Arial"/>
                <w:color w:val="000000" w:themeColor="text1"/>
                <w:sz w:val="20"/>
                <w:szCs w:val="20"/>
                <w:vertAlign w:val="superscript"/>
                <w:lang w:val="en-GB"/>
              </w:rPr>
              <w:t>M</w:t>
            </w:r>
          </w:p>
          <w:p w14:paraId="74AF668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(38)</w:t>
            </w:r>
          </w:p>
        </w:tc>
        <w:tc>
          <w:tcPr>
            <w:tcW w:w="1377" w:type="dxa"/>
          </w:tcPr>
          <w:p w14:paraId="07FE0E2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B-2y</w:t>
            </w:r>
          </w:p>
          <w:p w14:paraId="3871F3C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2-4y</w:t>
            </w:r>
          </w:p>
          <w:p w14:paraId="06A17AE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t>
            </w:r>
          </w:p>
        </w:tc>
        <w:tc>
          <w:tcPr>
            <w:tcW w:w="595" w:type="dxa"/>
            <w:noWrap/>
          </w:tcPr>
          <w:p w14:paraId="7BF3A09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1005" w:type="dxa"/>
          </w:tcPr>
          <w:p w14:paraId="4C64AA0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2y, 3y, 4y</w:t>
            </w:r>
          </w:p>
        </w:tc>
        <w:tc>
          <w:tcPr>
            <w:tcW w:w="1194" w:type="dxa"/>
          </w:tcPr>
          <w:p w14:paraId="4CDCB5D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(HOMA-IR @4y)</w:t>
            </w:r>
          </w:p>
        </w:tc>
        <w:tc>
          <w:tcPr>
            <w:tcW w:w="1216" w:type="dxa"/>
          </w:tcPr>
          <w:p w14:paraId="4A383838"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(HOMA-IR @2y)</w:t>
            </w:r>
          </w:p>
          <w:p w14:paraId="69D18AA4"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(HOMA-IR @4y)</w:t>
            </w:r>
          </w:p>
        </w:tc>
        <w:tc>
          <w:tcPr>
            <w:tcW w:w="2755" w:type="dxa"/>
          </w:tcPr>
          <w:p w14:paraId="26C0AEAA" w14:textId="77777777" w:rsidR="00617FE8" w:rsidRDefault="000B0959"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between 0-2y </w:t>
            </w:r>
            <w:r w:rsidR="008C06CC">
              <w:rPr>
                <w:rFonts w:eastAsia="Calibri" w:cs="Arial"/>
                <w:color w:val="000000" w:themeColor="text1"/>
                <w:sz w:val="20"/>
                <w:szCs w:val="20"/>
                <w:lang w:val="en-GB"/>
              </w:rPr>
              <w:t xml:space="preserve">was </w:t>
            </w:r>
            <w:r w:rsidRPr="000B0959">
              <w:rPr>
                <w:rFonts w:eastAsia="Calibri" w:cs="Arial"/>
                <w:color w:val="000000" w:themeColor="text1"/>
                <w:sz w:val="20"/>
                <w:szCs w:val="20"/>
                <w:lang w:val="en-GB"/>
              </w:rPr>
              <w:t xml:space="preserve">positively </w:t>
            </w:r>
            <w:r w:rsidR="008C06CC">
              <w:rPr>
                <w:rFonts w:eastAsia="Calibri" w:cs="Arial"/>
                <w:color w:val="000000" w:themeColor="text1"/>
                <w:sz w:val="20"/>
                <w:szCs w:val="20"/>
                <w:lang w:val="en-GB"/>
              </w:rPr>
              <w:t xml:space="preserve">associated with </w:t>
            </w:r>
            <w:r>
              <w:rPr>
                <w:rFonts w:eastAsia="Calibri" w:cs="Arial"/>
                <w:color w:val="000000" w:themeColor="text1"/>
                <w:sz w:val="20"/>
                <w:szCs w:val="20"/>
                <w:lang w:val="en-GB"/>
              </w:rPr>
              <w:t xml:space="preserve">change in IR between 2-4y </w:t>
            </w:r>
          </w:p>
        </w:tc>
      </w:tr>
      <w:tr w:rsidR="00617FE8" w14:paraId="64626317" w14:textId="77777777">
        <w:trPr>
          <w:cantSplit/>
        </w:trPr>
        <w:tc>
          <w:tcPr>
            <w:tcW w:w="1490" w:type="dxa"/>
          </w:tcPr>
          <w:p w14:paraId="256EA34B"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Mohn</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L</w:t>
            </w:r>
          </w:p>
          <w:p w14:paraId="207B453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1377" w:type="dxa"/>
          </w:tcPr>
          <w:p w14:paraId="341C42E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B-4y</w:t>
            </w:r>
          </w:p>
          <w:p w14:paraId="3B404B0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2C8BFA1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1005" w:type="dxa"/>
          </w:tcPr>
          <w:p w14:paraId="1106A31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4y</w:t>
            </w:r>
          </w:p>
          <w:p w14:paraId="46AC9069" w14:textId="77777777" w:rsidR="00617FE8" w:rsidRDefault="00617FE8">
            <w:pPr>
              <w:spacing w:after="0" w:line="240" w:lineRule="auto"/>
              <w:rPr>
                <w:rFonts w:eastAsia="Calibri" w:cs="Arial"/>
                <w:color w:val="000000" w:themeColor="text1"/>
                <w:sz w:val="20"/>
                <w:szCs w:val="20"/>
                <w:lang w:val="en-GB"/>
              </w:rPr>
            </w:pPr>
          </w:p>
        </w:tc>
        <w:tc>
          <w:tcPr>
            <w:tcW w:w="1194" w:type="dxa"/>
          </w:tcPr>
          <w:p w14:paraId="652CF62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08ECAA4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7A4D841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0AD2455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3FBA2D23"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w:t>
            </w:r>
            <w:r w:rsidR="000B0959">
              <w:t xml:space="preserve"> </w:t>
            </w:r>
            <w:r w:rsidR="000B0959" w:rsidRPr="000B0959">
              <w:rPr>
                <w:rFonts w:eastAsia="Calibri" w:cs="Arial"/>
                <w:color w:val="000000" w:themeColor="text1"/>
                <w:sz w:val="20"/>
                <w:szCs w:val="20"/>
                <w:lang w:val="en-GB"/>
              </w:rPr>
              <w:t>positively</w:t>
            </w:r>
            <w:r>
              <w:rPr>
                <w:rFonts w:eastAsia="Calibri" w:cs="Arial"/>
                <w:color w:val="000000" w:themeColor="text1"/>
                <w:sz w:val="20"/>
                <w:szCs w:val="20"/>
                <w:lang w:val="en-GB"/>
              </w:rPr>
              <w:t xml:space="preserve"> associated with IR</w:t>
            </w:r>
          </w:p>
        </w:tc>
      </w:tr>
      <w:tr w:rsidR="00617FE8" w14:paraId="2BC8581C" w14:textId="77777777">
        <w:trPr>
          <w:cantSplit/>
        </w:trPr>
        <w:tc>
          <w:tcPr>
            <w:tcW w:w="1490" w:type="dxa"/>
          </w:tcPr>
          <w:p w14:paraId="2D805F38"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Deng 2012</w:t>
            </w:r>
            <w:r>
              <w:rPr>
                <w:rFonts w:eastAsia="Calibri" w:cs="Arial"/>
                <w:color w:val="000000" w:themeColor="text1"/>
                <w:sz w:val="20"/>
                <w:szCs w:val="20"/>
                <w:vertAlign w:val="superscript"/>
                <w:lang w:val="en-GB"/>
              </w:rPr>
              <w:t>M</w:t>
            </w:r>
          </w:p>
          <w:p w14:paraId="30D1B6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(45)</w:t>
            </w:r>
          </w:p>
        </w:tc>
        <w:tc>
          <w:tcPr>
            <w:tcW w:w="1377" w:type="dxa"/>
          </w:tcPr>
          <w:p w14:paraId="7851EC3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B-6y</w:t>
            </w:r>
          </w:p>
          <w:p w14:paraId="79E0C76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BMI gain)</w:t>
            </w:r>
          </w:p>
        </w:tc>
        <w:tc>
          <w:tcPr>
            <w:tcW w:w="595" w:type="dxa"/>
            <w:noWrap/>
          </w:tcPr>
          <w:p w14:paraId="3F4EECA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111</w:t>
            </w:r>
          </w:p>
        </w:tc>
        <w:tc>
          <w:tcPr>
            <w:tcW w:w="1005" w:type="dxa"/>
          </w:tcPr>
          <w:p w14:paraId="51DA611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6y</w:t>
            </w:r>
          </w:p>
        </w:tc>
        <w:tc>
          <w:tcPr>
            <w:tcW w:w="1194" w:type="dxa"/>
          </w:tcPr>
          <w:p w14:paraId="41CCA58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2F7CA0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570EEE3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72D4EB1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6D4B1BD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w:t>
            </w:r>
            <w:r w:rsidR="000B0959">
              <w:rPr>
                <w:rFonts w:eastAsia="Calibri" w:cs="Arial"/>
                <w:color w:val="000000" w:themeColor="text1"/>
                <w:sz w:val="20"/>
                <w:szCs w:val="20"/>
                <w:lang w:val="en-GB"/>
              </w:rPr>
              <w:t xml:space="preserve"> &amp; </w:t>
            </w:r>
            <w:r>
              <w:rPr>
                <w:rFonts w:eastAsia="Calibri" w:cs="Arial"/>
                <w:color w:val="000000" w:themeColor="text1"/>
                <w:sz w:val="20"/>
                <w:szCs w:val="20"/>
                <w:lang w:val="en-GB"/>
              </w:rPr>
              <w:t>BMI gain</w:t>
            </w:r>
            <w:r w:rsidR="000B0959">
              <w:rPr>
                <w:rFonts w:eastAsia="Calibri" w:cs="Arial"/>
                <w:color w:val="000000" w:themeColor="text1"/>
                <w:sz w:val="20"/>
                <w:szCs w:val="20"/>
                <w:lang w:val="en-GB"/>
              </w:rPr>
              <w:t>s</w:t>
            </w:r>
            <w:r>
              <w:rPr>
                <w:rFonts w:eastAsia="Calibri" w:cs="Arial"/>
                <w:color w:val="000000" w:themeColor="text1"/>
                <w:sz w:val="20"/>
                <w:szCs w:val="20"/>
                <w:lang w:val="en-GB"/>
              </w:rPr>
              <w:t xml:space="preserve"> w</w:t>
            </w:r>
            <w:r w:rsidR="000B0959">
              <w:rPr>
                <w:rFonts w:eastAsia="Calibri" w:cs="Arial"/>
                <w:color w:val="000000" w:themeColor="text1"/>
                <w:sz w:val="20"/>
                <w:szCs w:val="20"/>
                <w:lang w:val="en-GB"/>
              </w:rPr>
              <w:t>ere</w:t>
            </w:r>
            <w:r>
              <w:rPr>
                <w:rFonts w:eastAsia="Calibri" w:cs="Arial"/>
                <w:color w:val="000000" w:themeColor="text1"/>
                <w:sz w:val="20"/>
                <w:szCs w:val="20"/>
                <w:lang w:val="en-GB"/>
              </w:rPr>
              <w:t xml:space="preserve">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w:t>
            </w:r>
          </w:p>
          <w:p w14:paraId="7578866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0772A68E" w14:textId="77777777">
        <w:trPr>
          <w:cantSplit/>
        </w:trPr>
        <w:tc>
          <w:tcPr>
            <w:tcW w:w="1490" w:type="dxa"/>
          </w:tcPr>
          <w:p w14:paraId="3FE90369"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Deng 2011</w:t>
            </w:r>
            <w:r>
              <w:rPr>
                <w:rFonts w:eastAsia="Calibri" w:cs="Arial"/>
                <w:color w:val="000000" w:themeColor="text1"/>
                <w:sz w:val="20"/>
                <w:szCs w:val="20"/>
                <w:vertAlign w:val="superscript"/>
                <w:lang w:val="en-GB"/>
              </w:rPr>
              <w:t>M</w:t>
            </w:r>
          </w:p>
          <w:p w14:paraId="6934B9C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(33)</w:t>
            </w:r>
          </w:p>
        </w:tc>
        <w:tc>
          <w:tcPr>
            <w:tcW w:w="1377" w:type="dxa"/>
          </w:tcPr>
          <w:p w14:paraId="26C89B1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B-6y</w:t>
            </w:r>
          </w:p>
          <w:p w14:paraId="78F3260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w:t>
            </w:r>
          </w:p>
        </w:tc>
        <w:tc>
          <w:tcPr>
            <w:tcW w:w="595" w:type="dxa"/>
            <w:noWrap/>
          </w:tcPr>
          <w:p w14:paraId="23070F3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67</w:t>
            </w:r>
          </w:p>
        </w:tc>
        <w:tc>
          <w:tcPr>
            <w:tcW w:w="1005" w:type="dxa"/>
          </w:tcPr>
          <w:p w14:paraId="60DEC89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6y</w:t>
            </w:r>
          </w:p>
        </w:tc>
        <w:tc>
          <w:tcPr>
            <w:tcW w:w="1194" w:type="dxa"/>
          </w:tcPr>
          <w:p w14:paraId="5DC2BB2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1293712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3D68F42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E6A85B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579843EC"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HT gain was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 (</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4E3B3923" w14:textId="77777777">
        <w:trPr>
          <w:cantSplit/>
        </w:trPr>
        <w:tc>
          <w:tcPr>
            <w:tcW w:w="1490" w:type="dxa"/>
          </w:tcPr>
          <w:p w14:paraId="546C45B0"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Miras</w:t>
            </w:r>
            <w:proofErr w:type="spellEnd"/>
            <w:r>
              <w:rPr>
                <w:rFonts w:eastAsia="Calibri" w:cs="Arial"/>
                <w:color w:val="000000" w:themeColor="text1"/>
                <w:sz w:val="20"/>
                <w:szCs w:val="20"/>
                <w:lang w:val="en-GB"/>
              </w:rPr>
              <w:t xml:space="preserve"> 2010</w:t>
            </w:r>
            <w:r>
              <w:rPr>
                <w:rFonts w:eastAsia="Calibri" w:cs="Arial"/>
                <w:color w:val="000000" w:themeColor="text1"/>
                <w:sz w:val="20"/>
                <w:szCs w:val="20"/>
                <w:vertAlign w:val="superscript"/>
                <w:lang w:val="en-GB"/>
              </w:rPr>
              <w:t>M</w:t>
            </w:r>
          </w:p>
          <w:p w14:paraId="58BA624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(30)</w:t>
            </w:r>
          </w:p>
        </w:tc>
        <w:tc>
          <w:tcPr>
            <w:tcW w:w="1377" w:type="dxa"/>
          </w:tcPr>
          <w:p w14:paraId="015A1D5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B-6.5y</w:t>
            </w:r>
          </w:p>
          <w:p w14:paraId="79250FC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1DDB892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49</w:t>
            </w:r>
          </w:p>
        </w:tc>
        <w:tc>
          <w:tcPr>
            <w:tcW w:w="1005" w:type="dxa"/>
          </w:tcPr>
          <w:p w14:paraId="0A29A19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6.5y</w:t>
            </w:r>
          </w:p>
        </w:tc>
        <w:tc>
          <w:tcPr>
            <w:tcW w:w="1194" w:type="dxa"/>
          </w:tcPr>
          <w:p w14:paraId="7A280FF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6DF8695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6DEE11E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6130FED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2FAE568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No differences between groups (</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50B0142B" w14:textId="77777777">
        <w:trPr>
          <w:cantSplit/>
        </w:trPr>
        <w:tc>
          <w:tcPr>
            <w:tcW w:w="1490" w:type="dxa"/>
          </w:tcPr>
          <w:p w14:paraId="510BCC5B"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Uçar</w:t>
            </w:r>
            <w:proofErr w:type="spellEnd"/>
            <w:r>
              <w:rPr>
                <w:rFonts w:eastAsia="Calibri" w:cs="Arial"/>
                <w:color w:val="000000" w:themeColor="text1"/>
                <w:sz w:val="20"/>
                <w:szCs w:val="20"/>
                <w:lang w:val="en-GB"/>
              </w:rPr>
              <w:t xml:space="preserve"> 2014</w:t>
            </w:r>
            <w:r>
              <w:rPr>
                <w:rFonts w:eastAsia="Calibri" w:cs="Arial"/>
                <w:color w:val="000000" w:themeColor="text1"/>
                <w:sz w:val="20"/>
                <w:szCs w:val="20"/>
                <w:vertAlign w:val="superscript"/>
                <w:lang w:val="en-GB"/>
              </w:rPr>
              <w:t>L</w:t>
            </w:r>
          </w:p>
          <w:p w14:paraId="4CAB945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(29)</w:t>
            </w:r>
          </w:p>
        </w:tc>
        <w:tc>
          <w:tcPr>
            <w:tcW w:w="1377" w:type="dxa"/>
          </w:tcPr>
          <w:p w14:paraId="6D66291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B-6.5y</w:t>
            </w:r>
          </w:p>
          <w:p w14:paraId="03442C2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695DCBB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31</w:t>
            </w:r>
          </w:p>
        </w:tc>
        <w:tc>
          <w:tcPr>
            <w:tcW w:w="1005" w:type="dxa"/>
          </w:tcPr>
          <w:p w14:paraId="4E5D5AF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6.5y</w:t>
            </w:r>
          </w:p>
        </w:tc>
        <w:tc>
          <w:tcPr>
            <w:tcW w:w="1194" w:type="dxa"/>
          </w:tcPr>
          <w:p w14:paraId="6E778FA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7BCE859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(OGTT)</w:t>
            </w:r>
          </w:p>
        </w:tc>
        <w:tc>
          <w:tcPr>
            <w:tcW w:w="1216" w:type="dxa"/>
          </w:tcPr>
          <w:p w14:paraId="3CE77A7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1752499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(OGTT)</w:t>
            </w:r>
          </w:p>
        </w:tc>
        <w:tc>
          <w:tcPr>
            <w:tcW w:w="2755" w:type="dxa"/>
          </w:tcPr>
          <w:p w14:paraId="4ADE640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SGA girls with premature </w:t>
            </w:r>
            <w:proofErr w:type="spellStart"/>
            <w:r>
              <w:rPr>
                <w:rFonts w:eastAsia="Calibri" w:cs="Arial"/>
                <w:color w:val="000000" w:themeColor="text1"/>
                <w:sz w:val="20"/>
                <w:szCs w:val="20"/>
                <w:lang w:val="en-GB"/>
              </w:rPr>
              <w:t>adrenarche</w:t>
            </w:r>
            <w:proofErr w:type="spellEnd"/>
            <w:r>
              <w:rPr>
                <w:rFonts w:eastAsia="Calibri" w:cs="Arial"/>
                <w:color w:val="000000" w:themeColor="text1"/>
                <w:sz w:val="20"/>
                <w:szCs w:val="20"/>
                <w:lang w:val="en-GB"/>
              </w:rPr>
              <w:t xml:space="preserve"> had higher IR than AGA (</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38C7C5D5" w14:textId="77777777">
        <w:trPr>
          <w:cantSplit/>
        </w:trPr>
        <w:tc>
          <w:tcPr>
            <w:tcW w:w="1490" w:type="dxa"/>
          </w:tcPr>
          <w:p w14:paraId="0E02953C"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Evagelidou</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(37)</w:t>
            </w:r>
          </w:p>
        </w:tc>
        <w:tc>
          <w:tcPr>
            <w:tcW w:w="1377" w:type="dxa"/>
          </w:tcPr>
          <w:p w14:paraId="1423C99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3BF9281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6084588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1005" w:type="dxa"/>
          </w:tcPr>
          <w:p w14:paraId="5044AF7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194" w:type="dxa"/>
          </w:tcPr>
          <w:p w14:paraId="760B8D0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42EB6A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7F225F50" w14:textId="77777777" w:rsidR="00617FE8" w:rsidRDefault="00617FE8">
            <w:pPr>
              <w:spacing w:after="0" w:line="240" w:lineRule="auto"/>
              <w:rPr>
                <w:rFonts w:eastAsia="Calibri" w:cs="Arial"/>
                <w:color w:val="000000" w:themeColor="text1"/>
                <w:sz w:val="20"/>
                <w:szCs w:val="20"/>
                <w:lang w:val="en-GB"/>
              </w:rPr>
            </w:pPr>
          </w:p>
        </w:tc>
        <w:tc>
          <w:tcPr>
            <w:tcW w:w="2755" w:type="dxa"/>
          </w:tcPr>
          <w:p w14:paraId="64AF6BC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IR</w:t>
            </w:r>
          </w:p>
        </w:tc>
      </w:tr>
      <w:tr w:rsidR="00617FE8" w14:paraId="5F9F31F2" w14:textId="77777777">
        <w:trPr>
          <w:cantSplit/>
        </w:trPr>
        <w:tc>
          <w:tcPr>
            <w:tcW w:w="1490" w:type="dxa"/>
          </w:tcPr>
          <w:p w14:paraId="62FD49DA"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Ibañez</w:t>
            </w:r>
            <w:proofErr w:type="spellEnd"/>
            <w:r>
              <w:rPr>
                <w:rFonts w:eastAsia="Calibri" w:cs="Arial"/>
                <w:color w:val="000000" w:themeColor="text1"/>
                <w:sz w:val="20"/>
                <w:szCs w:val="20"/>
                <w:lang w:val="en-GB"/>
              </w:rPr>
              <w:t xml:space="preserve"> 2009</w:t>
            </w:r>
            <w:r>
              <w:rPr>
                <w:rFonts w:eastAsia="Calibri" w:cs="Arial"/>
                <w:color w:val="000000" w:themeColor="text1"/>
                <w:sz w:val="20"/>
                <w:szCs w:val="20"/>
                <w:vertAlign w:val="superscript"/>
                <w:lang w:val="en-GB"/>
              </w:rPr>
              <w:t>M</w:t>
            </w:r>
          </w:p>
          <w:p w14:paraId="2A07295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(39)</w:t>
            </w:r>
          </w:p>
        </w:tc>
        <w:tc>
          <w:tcPr>
            <w:tcW w:w="1377" w:type="dxa"/>
          </w:tcPr>
          <w:p w14:paraId="6FCA56E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4073F93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3C2D6A9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56</w:t>
            </w:r>
          </w:p>
        </w:tc>
        <w:tc>
          <w:tcPr>
            <w:tcW w:w="1005" w:type="dxa"/>
          </w:tcPr>
          <w:p w14:paraId="355FA72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194" w:type="dxa"/>
          </w:tcPr>
          <w:p w14:paraId="319C841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5C8563E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0455F860" w14:textId="77777777" w:rsidR="00617FE8" w:rsidRDefault="00617FE8">
            <w:pPr>
              <w:spacing w:after="0" w:line="240" w:lineRule="auto"/>
              <w:rPr>
                <w:rFonts w:eastAsia="Calibri" w:cs="Arial"/>
                <w:color w:val="000000" w:themeColor="text1"/>
                <w:sz w:val="20"/>
                <w:szCs w:val="20"/>
                <w:lang w:val="en-GB"/>
              </w:rPr>
            </w:pPr>
          </w:p>
        </w:tc>
        <w:tc>
          <w:tcPr>
            <w:tcW w:w="2755" w:type="dxa"/>
          </w:tcPr>
          <w:p w14:paraId="7126267B"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w:t>
            </w:r>
          </w:p>
        </w:tc>
      </w:tr>
      <w:tr w:rsidR="00617FE8" w14:paraId="71527F1F" w14:textId="77777777">
        <w:trPr>
          <w:cantSplit/>
        </w:trPr>
        <w:tc>
          <w:tcPr>
            <w:tcW w:w="1490" w:type="dxa"/>
          </w:tcPr>
          <w:p w14:paraId="794BF517"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Bavdekar</w:t>
            </w:r>
            <w:proofErr w:type="spellEnd"/>
            <w:r>
              <w:rPr>
                <w:rFonts w:eastAsia="Calibri" w:cs="Arial"/>
                <w:color w:val="000000" w:themeColor="text1"/>
                <w:sz w:val="20"/>
                <w:szCs w:val="20"/>
                <w:lang w:val="en-GB"/>
              </w:rPr>
              <w:t xml:space="preserve"> 1999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(44)</w:t>
            </w:r>
          </w:p>
        </w:tc>
        <w:tc>
          <w:tcPr>
            <w:tcW w:w="1377" w:type="dxa"/>
          </w:tcPr>
          <w:p w14:paraId="72066DE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B-8y </w:t>
            </w:r>
          </w:p>
          <w:p w14:paraId="7BB4705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5445D56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165</w:t>
            </w:r>
          </w:p>
        </w:tc>
        <w:tc>
          <w:tcPr>
            <w:tcW w:w="1005" w:type="dxa"/>
          </w:tcPr>
          <w:p w14:paraId="1619962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194" w:type="dxa"/>
          </w:tcPr>
          <w:p w14:paraId="6EA1608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4001148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047C5D4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2131A0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21DB3379"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w:t>
            </w:r>
          </w:p>
        </w:tc>
      </w:tr>
      <w:tr w:rsidR="00617FE8" w14:paraId="497E9E27" w14:textId="77777777">
        <w:trPr>
          <w:cantSplit/>
        </w:trPr>
        <w:tc>
          <w:tcPr>
            <w:tcW w:w="1490" w:type="dxa"/>
          </w:tcPr>
          <w:p w14:paraId="04E3C41F"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Torre 2008</w:t>
            </w:r>
            <w:r>
              <w:rPr>
                <w:rFonts w:eastAsia="Calibri" w:cs="Arial"/>
                <w:color w:val="000000" w:themeColor="text1"/>
                <w:sz w:val="20"/>
                <w:szCs w:val="20"/>
                <w:vertAlign w:val="superscript"/>
                <w:lang w:val="en-GB"/>
              </w:rPr>
              <w:t>M</w:t>
            </w:r>
          </w:p>
          <w:p w14:paraId="30E7967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(31)</w:t>
            </w:r>
          </w:p>
        </w:tc>
        <w:tc>
          <w:tcPr>
            <w:tcW w:w="1377" w:type="dxa"/>
          </w:tcPr>
          <w:p w14:paraId="3F84AF8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604E5C0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BMI gain)</w:t>
            </w:r>
          </w:p>
        </w:tc>
        <w:tc>
          <w:tcPr>
            <w:tcW w:w="595" w:type="dxa"/>
            <w:noWrap/>
          </w:tcPr>
          <w:p w14:paraId="392E5DA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52</w:t>
            </w:r>
          </w:p>
        </w:tc>
        <w:tc>
          <w:tcPr>
            <w:tcW w:w="1005" w:type="dxa"/>
          </w:tcPr>
          <w:p w14:paraId="42CB9DF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194" w:type="dxa"/>
          </w:tcPr>
          <w:p w14:paraId="187805D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4F83EAC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12D2DBE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E4B710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6F3B1AC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Catch up growth was not associated with IR, if BMI was normal</w:t>
            </w:r>
          </w:p>
        </w:tc>
      </w:tr>
      <w:tr w:rsidR="00617FE8" w14:paraId="651D4CA8" w14:textId="77777777">
        <w:trPr>
          <w:cantSplit/>
        </w:trPr>
        <w:tc>
          <w:tcPr>
            <w:tcW w:w="1490" w:type="dxa"/>
          </w:tcPr>
          <w:p w14:paraId="19862CFD" w14:textId="77777777" w:rsidR="00617FE8" w:rsidRDefault="008C06CC" w:rsidP="008E3193">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Cianfarani 2003</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(1</w:t>
            </w:r>
            <w:r w:rsidR="008E3193">
              <w:rPr>
                <w:rFonts w:eastAsia="Calibri" w:cs="Arial"/>
                <w:color w:val="000000" w:themeColor="text1"/>
                <w:sz w:val="20"/>
                <w:szCs w:val="20"/>
                <w:lang w:val="en-GB"/>
              </w:rPr>
              <w:t>7</w:t>
            </w:r>
            <w:r>
              <w:rPr>
                <w:rFonts w:eastAsia="Calibri" w:cs="Arial"/>
                <w:color w:val="000000" w:themeColor="text1"/>
                <w:sz w:val="20"/>
                <w:szCs w:val="20"/>
                <w:lang w:val="en-GB"/>
              </w:rPr>
              <w:t>)</w:t>
            </w:r>
          </w:p>
        </w:tc>
        <w:tc>
          <w:tcPr>
            <w:tcW w:w="1377" w:type="dxa"/>
          </w:tcPr>
          <w:p w14:paraId="4B78B23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B-8.5y</w:t>
            </w:r>
          </w:p>
          <w:p w14:paraId="7058B1D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w:t>
            </w:r>
          </w:p>
        </w:tc>
        <w:tc>
          <w:tcPr>
            <w:tcW w:w="595" w:type="dxa"/>
            <w:noWrap/>
          </w:tcPr>
          <w:p w14:paraId="15AAFC6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82</w:t>
            </w:r>
          </w:p>
        </w:tc>
        <w:tc>
          <w:tcPr>
            <w:tcW w:w="1005" w:type="dxa"/>
          </w:tcPr>
          <w:p w14:paraId="5BA245A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8.5y</w:t>
            </w:r>
          </w:p>
        </w:tc>
        <w:tc>
          <w:tcPr>
            <w:tcW w:w="1194" w:type="dxa"/>
          </w:tcPr>
          <w:p w14:paraId="7B56D4A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4D292BB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3F7DE61D" w14:textId="77777777" w:rsidR="00617FE8" w:rsidRDefault="00617FE8">
            <w:pPr>
              <w:spacing w:after="0" w:line="240" w:lineRule="auto"/>
              <w:rPr>
                <w:rFonts w:eastAsia="Calibri" w:cs="Arial"/>
                <w:color w:val="000000" w:themeColor="text1"/>
                <w:sz w:val="20"/>
                <w:szCs w:val="20"/>
                <w:lang w:val="en-GB"/>
              </w:rPr>
            </w:pPr>
          </w:p>
        </w:tc>
        <w:tc>
          <w:tcPr>
            <w:tcW w:w="2755" w:type="dxa"/>
          </w:tcPr>
          <w:p w14:paraId="5BF1C4F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No differences between groups (</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1DC1E658" w14:textId="77777777">
        <w:trPr>
          <w:cantSplit/>
        </w:trPr>
        <w:tc>
          <w:tcPr>
            <w:tcW w:w="1490" w:type="dxa"/>
          </w:tcPr>
          <w:p w14:paraId="3012B395"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Veening</w:t>
            </w:r>
            <w:proofErr w:type="spellEnd"/>
            <w:r>
              <w:rPr>
                <w:rFonts w:eastAsia="Calibri" w:cs="Arial"/>
                <w:color w:val="000000" w:themeColor="text1"/>
                <w:sz w:val="20"/>
                <w:szCs w:val="20"/>
                <w:lang w:val="en-GB"/>
              </w:rPr>
              <w:t xml:space="preserve"> 2003</w:t>
            </w:r>
            <w:r>
              <w:rPr>
                <w:rFonts w:eastAsia="Calibri" w:cs="Arial"/>
                <w:color w:val="000000" w:themeColor="text1"/>
                <w:sz w:val="20"/>
                <w:szCs w:val="20"/>
                <w:vertAlign w:val="superscript"/>
                <w:lang w:val="en-GB"/>
              </w:rPr>
              <w:t>M</w:t>
            </w:r>
          </w:p>
          <w:p w14:paraId="588019D8" w14:textId="77777777" w:rsidR="00617FE8" w:rsidRDefault="008C06CC" w:rsidP="008E3193">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w:t>
            </w:r>
            <w:r w:rsidR="008E3193">
              <w:rPr>
                <w:rFonts w:eastAsia="Calibri" w:cs="Arial"/>
                <w:color w:val="000000" w:themeColor="text1"/>
                <w:sz w:val="20"/>
                <w:szCs w:val="20"/>
                <w:lang w:val="en-GB"/>
              </w:rPr>
              <w:t>6</w:t>
            </w:r>
            <w:r>
              <w:rPr>
                <w:rFonts w:eastAsia="Calibri" w:cs="Arial"/>
                <w:color w:val="000000" w:themeColor="text1"/>
                <w:sz w:val="20"/>
                <w:szCs w:val="20"/>
                <w:lang w:val="en-GB"/>
              </w:rPr>
              <w:t>)</w:t>
            </w:r>
          </w:p>
        </w:tc>
        <w:tc>
          <w:tcPr>
            <w:tcW w:w="1377" w:type="dxa"/>
          </w:tcPr>
          <w:p w14:paraId="456C4E95"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B-1y </w:t>
            </w:r>
          </w:p>
          <w:p w14:paraId="670F7F2C"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B-2y </w:t>
            </w:r>
          </w:p>
          <w:p w14:paraId="588E9B0B"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2-9y</w:t>
            </w:r>
          </w:p>
          <w:p w14:paraId="71DEC996"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(BMI </w:t>
            </w:r>
            <w:proofErr w:type="spellStart"/>
            <w:r>
              <w:rPr>
                <w:rFonts w:eastAsia="Calibri" w:cs="Arial"/>
                <w:color w:val="000000" w:themeColor="text1"/>
                <w:sz w:val="20"/>
                <w:szCs w:val="20"/>
                <w:lang w:val="es-ES"/>
              </w:rPr>
              <w:t>gain</w:t>
            </w:r>
            <w:proofErr w:type="spellEnd"/>
            <w:r>
              <w:rPr>
                <w:rFonts w:eastAsia="Calibri" w:cs="Arial"/>
                <w:color w:val="000000" w:themeColor="text1"/>
                <w:sz w:val="20"/>
                <w:szCs w:val="20"/>
                <w:lang w:val="es-ES"/>
              </w:rPr>
              <w:t>)</w:t>
            </w:r>
          </w:p>
        </w:tc>
        <w:tc>
          <w:tcPr>
            <w:tcW w:w="595" w:type="dxa"/>
            <w:noWrap/>
          </w:tcPr>
          <w:p w14:paraId="0AE882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28</w:t>
            </w:r>
          </w:p>
        </w:tc>
        <w:tc>
          <w:tcPr>
            <w:tcW w:w="1005" w:type="dxa"/>
          </w:tcPr>
          <w:p w14:paraId="14E1FC8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 2y, 9y</w:t>
            </w:r>
          </w:p>
        </w:tc>
        <w:tc>
          <w:tcPr>
            <w:tcW w:w="1194" w:type="dxa"/>
          </w:tcPr>
          <w:p w14:paraId="3CA2879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(0-2y, Clamp)</w:t>
            </w:r>
          </w:p>
          <w:p w14:paraId="4238619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(2-9y, Clamp)</w:t>
            </w:r>
          </w:p>
        </w:tc>
        <w:tc>
          <w:tcPr>
            <w:tcW w:w="1216" w:type="dxa"/>
          </w:tcPr>
          <w:p w14:paraId="08044DA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(Clamp)</w:t>
            </w:r>
          </w:p>
        </w:tc>
        <w:tc>
          <w:tcPr>
            <w:tcW w:w="2755" w:type="dxa"/>
          </w:tcPr>
          <w:p w14:paraId="28249055"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BMI gain between 2-9y was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w:t>
            </w:r>
          </w:p>
        </w:tc>
      </w:tr>
      <w:tr w:rsidR="00617FE8" w14:paraId="3360E986" w14:textId="77777777">
        <w:trPr>
          <w:cantSplit/>
        </w:trPr>
        <w:tc>
          <w:tcPr>
            <w:tcW w:w="1490" w:type="dxa"/>
          </w:tcPr>
          <w:p w14:paraId="32AE932A"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Fabricius-Bjerre</w:t>
            </w:r>
            <w:proofErr w:type="spellEnd"/>
            <w:r>
              <w:rPr>
                <w:rFonts w:eastAsia="Calibri" w:cs="Arial"/>
                <w:color w:val="000000" w:themeColor="text1"/>
                <w:sz w:val="20"/>
                <w:szCs w:val="20"/>
                <w:lang w:val="en-GB"/>
              </w:rPr>
              <w:t xml:space="preserve"> 2011</w:t>
            </w:r>
            <w:r>
              <w:rPr>
                <w:rFonts w:eastAsia="Calibri" w:cs="Arial"/>
                <w:color w:val="000000" w:themeColor="text1"/>
                <w:sz w:val="20"/>
                <w:szCs w:val="20"/>
                <w:vertAlign w:val="superscript"/>
                <w:lang w:val="en-GB"/>
              </w:rPr>
              <w:t>M</w:t>
            </w:r>
          </w:p>
          <w:p w14:paraId="6E5079E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(46)</w:t>
            </w:r>
          </w:p>
        </w:tc>
        <w:tc>
          <w:tcPr>
            <w:tcW w:w="1377" w:type="dxa"/>
          </w:tcPr>
          <w:p w14:paraId="2060EC2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B-3mo</w:t>
            </w:r>
          </w:p>
          <w:p w14:paraId="41517E2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6E613EA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23AEB95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30</w:t>
            </w:r>
          </w:p>
        </w:tc>
        <w:tc>
          <w:tcPr>
            <w:tcW w:w="1005" w:type="dxa"/>
          </w:tcPr>
          <w:p w14:paraId="0108D22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17.6y</w:t>
            </w:r>
          </w:p>
        </w:tc>
        <w:tc>
          <w:tcPr>
            <w:tcW w:w="1194" w:type="dxa"/>
          </w:tcPr>
          <w:p w14:paraId="4A73586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4612EAF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1216" w:type="dxa"/>
          </w:tcPr>
          <w:p w14:paraId="5ECBF31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5139CDD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(HOMA-IR)</w:t>
            </w:r>
          </w:p>
        </w:tc>
        <w:tc>
          <w:tcPr>
            <w:tcW w:w="2755" w:type="dxa"/>
          </w:tcPr>
          <w:p w14:paraId="319B7193" w14:textId="77777777" w:rsidR="00617FE8" w:rsidRDefault="008C06CC" w:rsidP="000B0959">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w:t>
            </w:r>
            <w:r w:rsidR="000B0959" w:rsidRPr="000B0959">
              <w:rPr>
                <w:rFonts w:eastAsia="Calibri" w:cs="Arial"/>
                <w:color w:val="000000" w:themeColor="text1"/>
                <w:sz w:val="20"/>
                <w:szCs w:val="20"/>
                <w:lang w:val="en-GB"/>
              </w:rPr>
              <w:t xml:space="preserve">positively </w:t>
            </w:r>
            <w:r>
              <w:rPr>
                <w:rFonts w:eastAsia="Calibri" w:cs="Arial"/>
                <w:color w:val="000000" w:themeColor="text1"/>
                <w:sz w:val="20"/>
                <w:szCs w:val="20"/>
                <w:lang w:val="en-GB"/>
              </w:rPr>
              <w:t>associated with IR (</w:t>
            </w:r>
            <w:r>
              <w:rPr>
                <w:rFonts w:eastAsia="Calibri" w:cs="Arial"/>
                <w:b/>
                <w:color w:val="000000" w:themeColor="text1"/>
                <w:sz w:val="20"/>
                <w:szCs w:val="20"/>
                <w:lang w:val="en-GB"/>
              </w:rPr>
              <w:t>adjusted for BMI</w:t>
            </w:r>
            <w:r>
              <w:rPr>
                <w:rFonts w:eastAsia="Calibri" w:cs="Arial"/>
                <w:color w:val="000000" w:themeColor="text1"/>
                <w:sz w:val="20"/>
                <w:szCs w:val="20"/>
                <w:lang w:val="en-GB"/>
              </w:rPr>
              <w:t>)</w:t>
            </w:r>
          </w:p>
        </w:tc>
      </w:tr>
      <w:tr w:rsidR="00617FE8" w14:paraId="1D1EE810" w14:textId="77777777">
        <w:trPr>
          <w:cantSplit/>
        </w:trPr>
        <w:tc>
          <w:tcPr>
            <w:tcW w:w="1490" w:type="dxa"/>
          </w:tcPr>
          <w:p w14:paraId="27EB7A58"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lastRenderedPageBreak/>
              <w:t>Leunissen</w:t>
            </w:r>
            <w:proofErr w:type="spellEnd"/>
            <w:r>
              <w:rPr>
                <w:rFonts w:eastAsia="Calibri" w:cs="Arial"/>
                <w:color w:val="000000" w:themeColor="text1"/>
                <w:sz w:val="20"/>
                <w:szCs w:val="20"/>
                <w:lang w:val="en-GB"/>
              </w:rPr>
              <w:t xml:space="preserve"> 2008</w:t>
            </w:r>
            <w:r>
              <w:rPr>
                <w:rFonts w:eastAsia="Calibri" w:cs="Arial"/>
                <w:color w:val="000000" w:themeColor="text1"/>
                <w:sz w:val="20"/>
                <w:szCs w:val="20"/>
                <w:vertAlign w:val="superscript"/>
                <w:lang w:val="en-GB"/>
              </w:rPr>
              <w:t>H</w:t>
            </w:r>
            <w:r>
              <w:rPr>
                <w:rFonts w:eastAsia="Calibri" w:cs="Arial"/>
                <w:color w:val="000000" w:themeColor="text1"/>
                <w:sz w:val="20"/>
                <w:szCs w:val="20"/>
                <w:lang w:val="en-GB"/>
              </w:rPr>
              <w:t xml:space="preserve"> (41)</w:t>
            </w:r>
          </w:p>
        </w:tc>
        <w:tc>
          <w:tcPr>
            <w:tcW w:w="1377" w:type="dxa"/>
          </w:tcPr>
          <w:p w14:paraId="0FC1527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B-21.5y</w:t>
            </w:r>
          </w:p>
          <w:p w14:paraId="0684960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595" w:type="dxa"/>
            <w:noWrap/>
          </w:tcPr>
          <w:p w14:paraId="277CC11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71</w:t>
            </w:r>
          </w:p>
        </w:tc>
        <w:tc>
          <w:tcPr>
            <w:tcW w:w="1005" w:type="dxa"/>
          </w:tcPr>
          <w:p w14:paraId="7807954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21.5y</w:t>
            </w:r>
          </w:p>
        </w:tc>
        <w:tc>
          <w:tcPr>
            <w:tcW w:w="1194" w:type="dxa"/>
          </w:tcPr>
          <w:p w14:paraId="55F7629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0E8D4C7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(IVGTT)</w:t>
            </w:r>
          </w:p>
        </w:tc>
        <w:tc>
          <w:tcPr>
            <w:tcW w:w="1216" w:type="dxa"/>
          </w:tcPr>
          <w:p w14:paraId="5DBC1BE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1486FAC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(IVGTT)</w:t>
            </w:r>
          </w:p>
        </w:tc>
        <w:tc>
          <w:tcPr>
            <w:tcW w:w="2755" w:type="dxa"/>
          </w:tcPr>
          <w:p w14:paraId="194F954A" w14:textId="77777777" w:rsidR="00617FE8" w:rsidRDefault="000B0959" w:rsidP="000B0959">
            <w:pPr>
              <w:spacing w:after="0" w:line="240" w:lineRule="auto"/>
              <w:rPr>
                <w:rFonts w:eastAsia="Calibri" w:cs="Arial"/>
                <w:color w:val="000000" w:themeColor="text1"/>
                <w:sz w:val="20"/>
                <w:szCs w:val="20"/>
                <w:lang w:val="en-GB"/>
              </w:rPr>
            </w:pPr>
            <w:r w:rsidRPr="000B0959">
              <w:rPr>
                <w:rFonts w:eastAsia="Calibri" w:cs="Arial"/>
                <w:color w:val="000000" w:themeColor="text1"/>
                <w:sz w:val="20"/>
                <w:szCs w:val="20"/>
                <w:lang w:val="en-GB"/>
              </w:rPr>
              <w:t xml:space="preserve">Catch up growth was associated with higher </w:t>
            </w:r>
            <w:r w:rsidR="008C06CC">
              <w:rPr>
                <w:rFonts w:eastAsia="Calibri" w:cs="Arial"/>
                <w:color w:val="000000" w:themeColor="text1"/>
                <w:sz w:val="20"/>
                <w:szCs w:val="20"/>
                <w:lang w:val="en-GB"/>
              </w:rPr>
              <w:t>IR (</w:t>
            </w:r>
            <w:r w:rsidR="008C06CC">
              <w:rPr>
                <w:rFonts w:eastAsia="Calibri" w:cs="Arial"/>
                <w:b/>
                <w:color w:val="000000" w:themeColor="text1"/>
                <w:sz w:val="20"/>
                <w:szCs w:val="20"/>
                <w:lang w:val="en-GB"/>
              </w:rPr>
              <w:t>adjusted for height and fat mass</w:t>
            </w:r>
            <w:r w:rsidR="008C06CC">
              <w:rPr>
                <w:rFonts w:eastAsia="Calibri" w:cs="Arial"/>
                <w:color w:val="000000" w:themeColor="text1"/>
                <w:sz w:val="20"/>
                <w:szCs w:val="20"/>
                <w:lang w:val="en-GB"/>
              </w:rPr>
              <w:t>)</w:t>
            </w:r>
          </w:p>
        </w:tc>
      </w:tr>
    </w:tbl>
    <w:p w14:paraId="45B97FC9" w14:textId="77777777" w:rsidR="000B0959" w:rsidRDefault="000B0959">
      <w:pPr>
        <w:rPr>
          <w:rFonts w:ascii="Arial" w:eastAsia="Calibri" w:hAnsi="Arial" w:cs="Arial"/>
          <w:color w:val="000000" w:themeColor="text1"/>
          <w:lang w:val="en-GB"/>
        </w:rPr>
      </w:pPr>
    </w:p>
    <w:tbl>
      <w:tblPr>
        <w:tblW w:w="9570" w:type="dxa"/>
        <w:tblInd w:w="-106" w:type="dxa"/>
        <w:tblBorders>
          <w:bottom w:val="single" w:sz="4" w:space="0" w:color="auto"/>
          <w:insideH w:val="single" w:sz="4" w:space="0" w:color="auto"/>
        </w:tblBorders>
        <w:tblLayout w:type="fixed"/>
        <w:tblLook w:val="00A0" w:firstRow="1" w:lastRow="0" w:firstColumn="1" w:lastColumn="0" w:noHBand="0" w:noVBand="0"/>
      </w:tblPr>
      <w:tblGrid>
        <w:gridCol w:w="1325"/>
        <w:gridCol w:w="1299"/>
        <w:gridCol w:w="673"/>
        <w:gridCol w:w="881"/>
        <w:gridCol w:w="1423"/>
        <w:gridCol w:w="1418"/>
        <w:gridCol w:w="2551"/>
      </w:tblGrid>
      <w:tr w:rsidR="00617FE8" w14:paraId="7E14DA50" w14:textId="77777777">
        <w:trPr>
          <w:cantSplit/>
        </w:trPr>
        <w:tc>
          <w:tcPr>
            <w:tcW w:w="1325" w:type="dxa"/>
          </w:tcPr>
          <w:p w14:paraId="786810EA"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c) Blood pressure</w:t>
            </w:r>
          </w:p>
        </w:tc>
        <w:tc>
          <w:tcPr>
            <w:tcW w:w="1299" w:type="dxa"/>
          </w:tcPr>
          <w:p w14:paraId="4B5DEB7A"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Timing of exposure (nature)</w:t>
            </w:r>
          </w:p>
        </w:tc>
        <w:tc>
          <w:tcPr>
            <w:tcW w:w="673" w:type="dxa"/>
          </w:tcPr>
          <w:p w14:paraId="6D1F7492"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N</w:t>
            </w:r>
          </w:p>
          <w:p w14:paraId="6AC7E94A"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SGA</w:t>
            </w:r>
          </w:p>
        </w:tc>
        <w:tc>
          <w:tcPr>
            <w:tcW w:w="881" w:type="dxa"/>
          </w:tcPr>
          <w:p w14:paraId="124DBD96"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Age at outcome</w:t>
            </w:r>
          </w:p>
        </w:tc>
        <w:tc>
          <w:tcPr>
            <w:tcW w:w="1423" w:type="dxa"/>
          </w:tcPr>
          <w:p w14:paraId="4B6EE727"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Summary result</w:t>
            </w:r>
          </w:p>
        </w:tc>
        <w:tc>
          <w:tcPr>
            <w:tcW w:w="1418" w:type="dxa"/>
          </w:tcPr>
          <w:p w14:paraId="78A69DD4"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SGA vs. AGA controls</w:t>
            </w:r>
          </w:p>
        </w:tc>
        <w:tc>
          <w:tcPr>
            <w:tcW w:w="2551" w:type="dxa"/>
          </w:tcPr>
          <w:p w14:paraId="2B01C5FA" w14:textId="77777777" w:rsidR="00617FE8" w:rsidRDefault="008C06CC">
            <w:pPr>
              <w:spacing w:after="0" w:line="240" w:lineRule="auto"/>
              <w:rPr>
                <w:rFonts w:eastAsia="Calibri" w:cs="Arial"/>
                <w:b/>
                <w:bCs/>
                <w:color w:val="000000" w:themeColor="text1"/>
                <w:sz w:val="20"/>
                <w:szCs w:val="20"/>
                <w:lang w:val="en-GB"/>
              </w:rPr>
            </w:pPr>
            <w:r>
              <w:rPr>
                <w:rFonts w:eastAsia="Calibri" w:cs="Arial"/>
                <w:b/>
                <w:bCs/>
                <w:color w:val="000000" w:themeColor="text1"/>
                <w:sz w:val="20"/>
                <w:szCs w:val="20"/>
                <w:lang w:val="en-GB"/>
              </w:rPr>
              <w:t>Comment</w:t>
            </w:r>
          </w:p>
        </w:tc>
      </w:tr>
      <w:tr w:rsidR="00617FE8" w14:paraId="31F5F648" w14:textId="77777777">
        <w:trPr>
          <w:cantSplit/>
        </w:trPr>
        <w:tc>
          <w:tcPr>
            <w:tcW w:w="9570" w:type="dxa"/>
            <w:gridSpan w:val="7"/>
          </w:tcPr>
          <w:p w14:paraId="01082EBF" w14:textId="77777777" w:rsidR="00617FE8" w:rsidRDefault="008C06CC">
            <w:pPr>
              <w:spacing w:after="0" w:line="240" w:lineRule="auto"/>
              <w:rPr>
                <w:rFonts w:eastAsia="Calibri" w:cs="Arial"/>
                <w:color w:val="000000" w:themeColor="text1"/>
                <w:sz w:val="20"/>
                <w:szCs w:val="20"/>
                <w:lang w:val="en-GB"/>
              </w:rPr>
            </w:pPr>
            <w:r>
              <w:rPr>
                <w:rFonts w:eastAsia="Calibri" w:cs="Arial"/>
                <w:b/>
                <w:color w:val="000000" w:themeColor="text1"/>
                <w:sz w:val="20"/>
                <w:szCs w:val="20"/>
                <w:lang w:val="en-GB"/>
              </w:rPr>
              <w:t>Randomised controlled trials</w:t>
            </w:r>
          </w:p>
        </w:tc>
      </w:tr>
      <w:tr w:rsidR="00617FE8" w14:paraId="20CCD2D8" w14:textId="77777777">
        <w:trPr>
          <w:cantSplit/>
        </w:trPr>
        <w:tc>
          <w:tcPr>
            <w:tcW w:w="1325" w:type="dxa"/>
          </w:tcPr>
          <w:p w14:paraId="43F5F808"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Singhal</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H</w:t>
            </w:r>
            <w:r>
              <w:rPr>
                <w:rFonts w:eastAsia="Calibri" w:cs="Arial"/>
                <w:color w:val="000000" w:themeColor="text1"/>
                <w:sz w:val="20"/>
                <w:szCs w:val="20"/>
                <w:lang w:val="en-GB"/>
              </w:rPr>
              <w:t xml:space="preserve"> (21)</w:t>
            </w:r>
          </w:p>
        </w:tc>
        <w:tc>
          <w:tcPr>
            <w:tcW w:w="1299" w:type="dxa"/>
          </w:tcPr>
          <w:p w14:paraId="4E39220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4d-9mo</w:t>
            </w:r>
          </w:p>
          <w:p w14:paraId="00DA99D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(Nutrient enriched formula)</w:t>
            </w:r>
          </w:p>
        </w:tc>
        <w:tc>
          <w:tcPr>
            <w:tcW w:w="673" w:type="dxa"/>
            <w:noWrap/>
          </w:tcPr>
          <w:p w14:paraId="5D4BC0C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153</w:t>
            </w:r>
          </w:p>
        </w:tc>
        <w:tc>
          <w:tcPr>
            <w:tcW w:w="881" w:type="dxa"/>
          </w:tcPr>
          <w:p w14:paraId="3E2EF0E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6-8y</w:t>
            </w:r>
          </w:p>
        </w:tc>
        <w:tc>
          <w:tcPr>
            <w:tcW w:w="1423" w:type="dxa"/>
          </w:tcPr>
          <w:p w14:paraId="29DBA63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A84EBA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1418" w:type="dxa"/>
          </w:tcPr>
          <w:p w14:paraId="0850D3FD" w14:textId="77777777" w:rsidR="00617FE8" w:rsidRDefault="00617FE8">
            <w:pPr>
              <w:spacing w:after="0" w:line="240" w:lineRule="auto"/>
              <w:rPr>
                <w:rFonts w:eastAsia="Calibri" w:cs="Arial"/>
                <w:color w:val="000000" w:themeColor="text1"/>
                <w:sz w:val="20"/>
                <w:szCs w:val="20"/>
                <w:lang w:val="en-GB"/>
              </w:rPr>
            </w:pPr>
          </w:p>
        </w:tc>
        <w:tc>
          <w:tcPr>
            <w:tcW w:w="2551" w:type="dxa"/>
          </w:tcPr>
          <w:p w14:paraId="1FE1497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Enriched formula increased the risk of high BP at 6-8 y WT gain B-9mo was positively associated with systolic BP</w:t>
            </w:r>
          </w:p>
        </w:tc>
      </w:tr>
      <w:tr w:rsidR="00617FE8" w14:paraId="54DF3752" w14:textId="77777777">
        <w:trPr>
          <w:cantSplit/>
        </w:trPr>
        <w:tc>
          <w:tcPr>
            <w:tcW w:w="9570" w:type="dxa"/>
            <w:gridSpan w:val="7"/>
          </w:tcPr>
          <w:p w14:paraId="6CC1762B" w14:textId="77777777" w:rsidR="00617FE8" w:rsidRDefault="008C06CC">
            <w:pPr>
              <w:spacing w:after="0" w:line="240" w:lineRule="auto"/>
              <w:rPr>
                <w:rFonts w:eastAsia="Calibri" w:cs="Arial"/>
                <w:color w:val="000000" w:themeColor="text1"/>
                <w:sz w:val="20"/>
                <w:szCs w:val="20"/>
                <w:lang w:val="en-GB"/>
              </w:rPr>
            </w:pPr>
            <w:r>
              <w:rPr>
                <w:rFonts w:eastAsia="Calibri" w:cs="Arial"/>
                <w:b/>
                <w:color w:val="000000" w:themeColor="text1"/>
                <w:sz w:val="20"/>
                <w:szCs w:val="20"/>
                <w:lang w:val="en-GB"/>
              </w:rPr>
              <w:t>Observational studies (4 studies)</w:t>
            </w:r>
          </w:p>
        </w:tc>
      </w:tr>
      <w:tr w:rsidR="00617FE8" w14:paraId="7914A32E" w14:textId="77777777">
        <w:trPr>
          <w:cantSplit/>
        </w:trPr>
        <w:tc>
          <w:tcPr>
            <w:tcW w:w="1325" w:type="dxa"/>
          </w:tcPr>
          <w:p w14:paraId="125A2D9E"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Hemachandra</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(48)</w:t>
            </w:r>
          </w:p>
        </w:tc>
        <w:tc>
          <w:tcPr>
            <w:tcW w:w="1299" w:type="dxa"/>
          </w:tcPr>
          <w:p w14:paraId="2894BE4C"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B-4mo</w:t>
            </w:r>
          </w:p>
          <w:p w14:paraId="6D55306A"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4mo-1y  </w:t>
            </w:r>
          </w:p>
          <w:p w14:paraId="782F454B"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1-4y</w:t>
            </w:r>
          </w:p>
          <w:p w14:paraId="488258F0"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4-7y</w:t>
            </w:r>
          </w:p>
          <w:p w14:paraId="4B9AD16B" w14:textId="77777777" w:rsidR="00617FE8" w:rsidRDefault="008C06CC">
            <w:pPr>
              <w:spacing w:after="0" w:line="240" w:lineRule="auto"/>
              <w:rPr>
                <w:rFonts w:eastAsia="Calibri" w:cs="Arial"/>
                <w:color w:val="000000" w:themeColor="text1"/>
                <w:sz w:val="20"/>
                <w:szCs w:val="20"/>
                <w:lang w:val="es-ES"/>
              </w:rPr>
            </w:pPr>
            <w:r>
              <w:rPr>
                <w:rFonts w:eastAsia="Calibri" w:cs="Arial"/>
                <w:color w:val="000000" w:themeColor="text1"/>
                <w:sz w:val="20"/>
                <w:szCs w:val="20"/>
                <w:lang w:val="es-ES"/>
              </w:rPr>
              <w:t xml:space="preserve">(WT </w:t>
            </w:r>
            <w:proofErr w:type="spellStart"/>
            <w:r>
              <w:rPr>
                <w:rFonts w:eastAsia="Calibri" w:cs="Arial"/>
                <w:color w:val="000000" w:themeColor="text1"/>
                <w:sz w:val="20"/>
                <w:szCs w:val="20"/>
                <w:lang w:val="es-ES"/>
              </w:rPr>
              <w:t>gain</w:t>
            </w:r>
            <w:proofErr w:type="spellEnd"/>
            <w:r>
              <w:rPr>
                <w:rFonts w:eastAsia="Calibri" w:cs="Arial"/>
                <w:color w:val="000000" w:themeColor="text1"/>
                <w:sz w:val="20"/>
                <w:szCs w:val="20"/>
                <w:lang w:val="es-ES"/>
              </w:rPr>
              <w:t>)</w:t>
            </w:r>
          </w:p>
        </w:tc>
        <w:tc>
          <w:tcPr>
            <w:tcW w:w="673" w:type="dxa"/>
            <w:noWrap/>
          </w:tcPr>
          <w:p w14:paraId="0D60D4B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2802 </w:t>
            </w:r>
          </w:p>
        </w:tc>
        <w:tc>
          <w:tcPr>
            <w:tcW w:w="881" w:type="dxa"/>
          </w:tcPr>
          <w:p w14:paraId="56CDE22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423" w:type="dxa"/>
          </w:tcPr>
          <w:p w14:paraId="3368B77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535277B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1418" w:type="dxa"/>
          </w:tcPr>
          <w:p w14:paraId="1DC87A0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w:t>
            </w:r>
          </w:p>
          <w:p w14:paraId="2EFD6B3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2551" w:type="dxa"/>
          </w:tcPr>
          <w:p w14:paraId="4B077B5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during any period was positively associated with high systolic BP</w:t>
            </w:r>
          </w:p>
        </w:tc>
      </w:tr>
      <w:tr w:rsidR="00617FE8" w14:paraId="2DCD37FE" w14:textId="77777777">
        <w:trPr>
          <w:cantSplit/>
        </w:trPr>
        <w:tc>
          <w:tcPr>
            <w:tcW w:w="1325" w:type="dxa"/>
          </w:tcPr>
          <w:p w14:paraId="27C51A57"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Bavdekar</w:t>
            </w:r>
            <w:proofErr w:type="spellEnd"/>
            <w:r>
              <w:rPr>
                <w:rFonts w:eastAsia="Calibri" w:cs="Arial"/>
                <w:color w:val="000000" w:themeColor="text1"/>
                <w:sz w:val="20"/>
                <w:szCs w:val="20"/>
                <w:lang w:val="en-GB"/>
              </w:rPr>
              <w:t xml:space="preserve"> 1999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(44)</w:t>
            </w:r>
          </w:p>
        </w:tc>
        <w:tc>
          <w:tcPr>
            <w:tcW w:w="1299" w:type="dxa"/>
          </w:tcPr>
          <w:p w14:paraId="4F90548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6F0849A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2BFDD6B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165</w:t>
            </w:r>
          </w:p>
        </w:tc>
        <w:tc>
          <w:tcPr>
            <w:tcW w:w="881" w:type="dxa"/>
          </w:tcPr>
          <w:p w14:paraId="442234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423" w:type="dxa"/>
          </w:tcPr>
          <w:p w14:paraId="6F43B63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13B20E8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1418" w:type="dxa"/>
          </w:tcPr>
          <w:p w14:paraId="30E54EC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80CF9E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2551" w:type="dxa"/>
          </w:tcPr>
          <w:p w14:paraId="54DC985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associated with higher BP, TG and </w:t>
            </w:r>
            <w:proofErr w:type="spellStart"/>
            <w:r>
              <w:rPr>
                <w:rFonts w:eastAsia="Calibri" w:cs="Arial"/>
                <w:color w:val="000000" w:themeColor="text1"/>
                <w:sz w:val="20"/>
                <w:szCs w:val="20"/>
                <w:lang w:val="en-GB"/>
              </w:rPr>
              <w:t>TChol</w:t>
            </w:r>
            <w:proofErr w:type="spellEnd"/>
          </w:p>
        </w:tc>
      </w:tr>
      <w:tr w:rsidR="00617FE8" w14:paraId="20E2ECF2" w14:textId="77777777">
        <w:trPr>
          <w:cantSplit/>
        </w:trPr>
        <w:tc>
          <w:tcPr>
            <w:tcW w:w="1325" w:type="dxa"/>
          </w:tcPr>
          <w:p w14:paraId="34E9E4D0" w14:textId="77777777" w:rsidR="00617FE8" w:rsidRDefault="008C06CC">
            <w:pPr>
              <w:spacing w:after="0" w:line="240" w:lineRule="auto"/>
              <w:rPr>
                <w:rFonts w:eastAsia="Calibri" w:cs="Arial"/>
                <w:color w:val="000000" w:themeColor="text1"/>
                <w:sz w:val="20"/>
                <w:szCs w:val="20"/>
                <w:vertAlign w:val="superscript"/>
                <w:lang w:val="en-GB"/>
              </w:rPr>
            </w:pPr>
            <w:proofErr w:type="spellStart"/>
            <w:r>
              <w:rPr>
                <w:rFonts w:eastAsia="Calibri" w:cs="Arial"/>
                <w:color w:val="000000" w:themeColor="text1"/>
                <w:sz w:val="20"/>
                <w:szCs w:val="20"/>
                <w:lang w:val="en-GB"/>
              </w:rPr>
              <w:t>Horta</w:t>
            </w:r>
            <w:proofErr w:type="spellEnd"/>
            <w:r>
              <w:rPr>
                <w:rFonts w:eastAsia="Calibri" w:cs="Arial"/>
                <w:color w:val="000000" w:themeColor="text1"/>
                <w:sz w:val="20"/>
                <w:szCs w:val="20"/>
                <w:lang w:val="en-GB"/>
              </w:rPr>
              <w:t xml:space="preserve"> 2003</w:t>
            </w:r>
            <w:r>
              <w:rPr>
                <w:rFonts w:eastAsia="Calibri" w:cs="Arial"/>
                <w:color w:val="000000" w:themeColor="text1"/>
                <w:sz w:val="20"/>
                <w:szCs w:val="20"/>
                <w:vertAlign w:val="superscript"/>
                <w:lang w:val="en-GB"/>
              </w:rPr>
              <w:t>M</w:t>
            </w:r>
          </w:p>
          <w:p w14:paraId="0BFBDBB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(49)</w:t>
            </w:r>
          </w:p>
        </w:tc>
        <w:tc>
          <w:tcPr>
            <w:tcW w:w="1299" w:type="dxa"/>
          </w:tcPr>
          <w:p w14:paraId="5829321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B-20mo, </w:t>
            </w:r>
          </w:p>
          <w:p w14:paraId="3F731C5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B-42mo</w:t>
            </w:r>
          </w:p>
          <w:p w14:paraId="3E13A8E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1343513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38</w:t>
            </w:r>
          </w:p>
        </w:tc>
        <w:tc>
          <w:tcPr>
            <w:tcW w:w="881" w:type="dxa"/>
          </w:tcPr>
          <w:p w14:paraId="188FF77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15y </w:t>
            </w:r>
          </w:p>
        </w:tc>
        <w:tc>
          <w:tcPr>
            <w:tcW w:w="1423" w:type="dxa"/>
          </w:tcPr>
          <w:p w14:paraId="6615381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5715BC7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1418" w:type="dxa"/>
          </w:tcPr>
          <w:p w14:paraId="77EC39E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C7766B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2551" w:type="dxa"/>
          </w:tcPr>
          <w:p w14:paraId="4BAC025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associated with higher systolic BP</w:t>
            </w:r>
          </w:p>
        </w:tc>
      </w:tr>
      <w:tr w:rsidR="00617FE8" w14:paraId="2FA33073" w14:textId="77777777">
        <w:trPr>
          <w:cantSplit/>
        </w:trPr>
        <w:tc>
          <w:tcPr>
            <w:tcW w:w="1325" w:type="dxa"/>
          </w:tcPr>
          <w:p w14:paraId="3CA8C6DF"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Leunissen</w:t>
            </w:r>
            <w:proofErr w:type="spellEnd"/>
            <w:r>
              <w:rPr>
                <w:rFonts w:eastAsia="Calibri" w:cs="Arial"/>
                <w:color w:val="000000" w:themeColor="text1"/>
                <w:sz w:val="20"/>
                <w:szCs w:val="20"/>
                <w:lang w:val="en-GB"/>
              </w:rPr>
              <w:t xml:space="preserve"> 2012</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(42)</w:t>
            </w:r>
          </w:p>
        </w:tc>
        <w:tc>
          <w:tcPr>
            <w:tcW w:w="1299" w:type="dxa"/>
          </w:tcPr>
          <w:p w14:paraId="31E2336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B-21y</w:t>
            </w:r>
          </w:p>
          <w:p w14:paraId="4DD9C5F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368C514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106</w:t>
            </w:r>
          </w:p>
        </w:tc>
        <w:tc>
          <w:tcPr>
            <w:tcW w:w="881" w:type="dxa"/>
          </w:tcPr>
          <w:p w14:paraId="4016BB4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21y</w:t>
            </w:r>
          </w:p>
        </w:tc>
        <w:tc>
          <w:tcPr>
            <w:tcW w:w="1423" w:type="dxa"/>
          </w:tcPr>
          <w:p w14:paraId="431B6C4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(BP)</w:t>
            </w:r>
          </w:p>
          <w:p w14:paraId="0E14F52C" w14:textId="77777777" w:rsidR="00617FE8" w:rsidRDefault="00617FE8">
            <w:pPr>
              <w:spacing w:after="0" w:line="240" w:lineRule="auto"/>
              <w:rPr>
                <w:rFonts w:eastAsia="Calibri" w:cs="Arial"/>
                <w:color w:val="000000" w:themeColor="text1"/>
                <w:sz w:val="20"/>
                <w:szCs w:val="20"/>
                <w:lang w:val="en-GB"/>
              </w:rPr>
            </w:pPr>
          </w:p>
        </w:tc>
        <w:tc>
          <w:tcPr>
            <w:tcW w:w="1418" w:type="dxa"/>
          </w:tcPr>
          <w:p w14:paraId="550E609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w:t>
            </w:r>
          </w:p>
          <w:p w14:paraId="239D59C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(BP)</w:t>
            </w:r>
          </w:p>
        </w:tc>
        <w:tc>
          <w:tcPr>
            <w:tcW w:w="2551" w:type="dxa"/>
          </w:tcPr>
          <w:p w14:paraId="6688F81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 was not associated with BP</w:t>
            </w:r>
          </w:p>
        </w:tc>
      </w:tr>
      <w:tr w:rsidR="00617FE8" w14:paraId="3E2D9167" w14:textId="77777777">
        <w:trPr>
          <w:cantSplit/>
        </w:trPr>
        <w:tc>
          <w:tcPr>
            <w:tcW w:w="9570" w:type="dxa"/>
            <w:gridSpan w:val="7"/>
          </w:tcPr>
          <w:p w14:paraId="2286834C" w14:textId="77777777" w:rsidR="00617FE8" w:rsidRDefault="00617FE8">
            <w:pPr>
              <w:spacing w:after="0" w:line="240" w:lineRule="auto"/>
              <w:rPr>
                <w:rFonts w:eastAsia="Calibri" w:cs="Arial"/>
                <w:b/>
                <w:bCs/>
                <w:color w:val="000000" w:themeColor="text1"/>
                <w:sz w:val="20"/>
                <w:szCs w:val="20"/>
                <w:lang w:val="en-GB"/>
              </w:rPr>
            </w:pPr>
          </w:p>
          <w:p w14:paraId="1D67B415" w14:textId="77777777" w:rsidR="00617FE8" w:rsidRPr="002B1B68" w:rsidRDefault="008C06CC">
            <w:pPr>
              <w:spacing w:after="0" w:line="240" w:lineRule="auto"/>
              <w:rPr>
                <w:rFonts w:eastAsia="Calibri" w:cs="Arial"/>
                <w:b/>
                <w:color w:val="000000" w:themeColor="text1"/>
                <w:sz w:val="20"/>
                <w:szCs w:val="20"/>
                <w:lang w:val="en-GB"/>
              </w:rPr>
            </w:pPr>
            <w:r w:rsidRPr="002B1B68">
              <w:rPr>
                <w:rFonts w:eastAsia="Calibri" w:cs="Arial"/>
                <w:b/>
                <w:bCs/>
                <w:color w:val="000000" w:themeColor="text1"/>
                <w:sz w:val="20"/>
                <w:szCs w:val="20"/>
                <w:lang w:val="en-GB"/>
              </w:rPr>
              <w:t>d) Lipids</w:t>
            </w:r>
          </w:p>
          <w:p w14:paraId="2E744952" w14:textId="77777777" w:rsidR="00617FE8" w:rsidRDefault="008C06CC" w:rsidP="002B1B68">
            <w:pPr>
              <w:spacing w:after="0" w:line="240" w:lineRule="auto"/>
              <w:rPr>
                <w:rFonts w:eastAsia="Calibri" w:cs="Arial"/>
                <w:color w:val="000000" w:themeColor="text1"/>
                <w:sz w:val="20"/>
                <w:szCs w:val="20"/>
                <w:lang w:val="en-GB"/>
              </w:rPr>
            </w:pPr>
            <w:r w:rsidRPr="002B1B68">
              <w:rPr>
                <w:rFonts w:eastAsia="Calibri" w:cs="Arial"/>
                <w:b/>
                <w:color w:val="000000" w:themeColor="text1"/>
                <w:sz w:val="20"/>
                <w:szCs w:val="20"/>
                <w:lang w:val="en-GB"/>
              </w:rPr>
              <w:t>Obse</w:t>
            </w:r>
            <w:r w:rsidR="002B1B68">
              <w:rPr>
                <w:rFonts w:eastAsia="Calibri" w:cs="Arial"/>
                <w:b/>
                <w:color w:val="000000" w:themeColor="text1"/>
                <w:sz w:val="20"/>
                <w:szCs w:val="20"/>
                <w:lang w:val="en-GB"/>
              </w:rPr>
              <w:t>rvational studies – (7 studies)</w:t>
            </w:r>
          </w:p>
        </w:tc>
      </w:tr>
      <w:tr w:rsidR="00617FE8" w14:paraId="3C3BD78C" w14:textId="77777777">
        <w:trPr>
          <w:cantSplit/>
        </w:trPr>
        <w:tc>
          <w:tcPr>
            <w:tcW w:w="1325" w:type="dxa"/>
          </w:tcPr>
          <w:p w14:paraId="752FE240"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Soto 2003</w:t>
            </w:r>
            <w:r>
              <w:rPr>
                <w:rFonts w:eastAsia="Calibri" w:cs="Arial"/>
                <w:color w:val="000000" w:themeColor="text1"/>
                <w:sz w:val="20"/>
                <w:szCs w:val="20"/>
                <w:vertAlign w:val="superscript"/>
                <w:lang w:val="en-GB"/>
              </w:rPr>
              <w:t>M</w:t>
            </w:r>
          </w:p>
          <w:p w14:paraId="4907962E" w14:textId="77777777" w:rsidR="00617FE8" w:rsidRDefault="008E3193">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(15</w:t>
            </w:r>
            <w:r w:rsidR="008C06CC">
              <w:rPr>
                <w:rFonts w:eastAsia="Calibri" w:cs="Arial"/>
                <w:color w:val="000000" w:themeColor="text1"/>
                <w:sz w:val="20"/>
                <w:szCs w:val="20"/>
                <w:lang w:val="en-GB"/>
              </w:rPr>
              <w:t>)</w:t>
            </w:r>
          </w:p>
        </w:tc>
        <w:tc>
          <w:tcPr>
            <w:tcW w:w="1299" w:type="dxa"/>
          </w:tcPr>
          <w:p w14:paraId="43192FF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B-1y</w:t>
            </w:r>
          </w:p>
          <w:p w14:paraId="3851D49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HT gain)</w:t>
            </w:r>
          </w:p>
        </w:tc>
        <w:tc>
          <w:tcPr>
            <w:tcW w:w="673" w:type="dxa"/>
          </w:tcPr>
          <w:p w14:paraId="3656B2F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w:t>
            </w:r>
          </w:p>
        </w:tc>
        <w:tc>
          <w:tcPr>
            <w:tcW w:w="881" w:type="dxa"/>
          </w:tcPr>
          <w:p w14:paraId="371BF04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1y</w:t>
            </w:r>
          </w:p>
        </w:tc>
        <w:tc>
          <w:tcPr>
            <w:tcW w:w="1423" w:type="dxa"/>
          </w:tcPr>
          <w:p w14:paraId="45DE22D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75EAA74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TG)</w:t>
            </w:r>
          </w:p>
        </w:tc>
        <w:tc>
          <w:tcPr>
            <w:tcW w:w="1418" w:type="dxa"/>
          </w:tcPr>
          <w:p w14:paraId="461F681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3DE82CF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(TG)</w:t>
            </w:r>
          </w:p>
        </w:tc>
        <w:tc>
          <w:tcPr>
            <w:tcW w:w="2551" w:type="dxa"/>
          </w:tcPr>
          <w:p w14:paraId="0F11E2F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No association with blood lipids between SGA groups</w:t>
            </w:r>
          </w:p>
        </w:tc>
      </w:tr>
      <w:tr w:rsidR="00617FE8" w14:paraId="0D446801" w14:textId="77777777">
        <w:trPr>
          <w:cantSplit/>
        </w:trPr>
        <w:tc>
          <w:tcPr>
            <w:tcW w:w="1325" w:type="dxa"/>
          </w:tcPr>
          <w:p w14:paraId="5EC8DED7"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Deng 2012</w:t>
            </w:r>
            <w:r>
              <w:rPr>
                <w:rFonts w:eastAsia="Calibri" w:cs="Arial"/>
                <w:color w:val="000000" w:themeColor="text1"/>
                <w:sz w:val="20"/>
                <w:szCs w:val="20"/>
                <w:vertAlign w:val="superscript"/>
                <w:lang w:val="en-GB"/>
              </w:rPr>
              <w:t>M</w:t>
            </w:r>
          </w:p>
          <w:p w14:paraId="5B19B4C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(45)</w:t>
            </w:r>
          </w:p>
        </w:tc>
        <w:tc>
          <w:tcPr>
            <w:tcW w:w="1299" w:type="dxa"/>
          </w:tcPr>
          <w:p w14:paraId="0439D60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B-6y</w:t>
            </w:r>
          </w:p>
          <w:p w14:paraId="39D4447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1F53BAD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111</w:t>
            </w:r>
          </w:p>
        </w:tc>
        <w:tc>
          <w:tcPr>
            <w:tcW w:w="881" w:type="dxa"/>
          </w:tcPr>
          <w:p w14:paraId="6A3283C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6y</w:t>
            </w:r>
          </w:p>
          <w:p w14:paraId="2EF5FDF9" w14:textId="77777777" w:rsidR="00617FE8" w:rsidRDefault="00617FE8">
            <w:pPr>
              <w:spacing w:after="0" w:line="240" w:lineRule="auto"/>
              <w:rPr>
                <w:rFonts w:eastAsia="Calibri" w:cs="Arial"/>
                <w:color w:val="000000" w:themeColor="text1"/>
                <w:sz w:val="20"/>
                <w:szCs w:val="20"/>
                <w:lang w:val="en-GB"/>
              </w:rPr>
            </w:pPr>
          </w:p>
        </w:tc>
        <w:tc>
          <w:tcPr>
            <w:tcW w:w="1423" w:type="dxa"/>
          </w:tcPr>
          <w:p w14:paraId="2E1D186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2D3D937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(TG)</w:t>
            </w:r>
          </w:p>
        </w:tc>
        <w:tc>
          <w:tcPr>
            <w:tcW w:w="1418" w:type="dxa"/>
          </w:tcPr>
          <w:p w14:paraId="2E4FF01D"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4BBB49DF"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(TG)</w:t>
            </w:r>
          </w:p>
        </w:tc>
        <w:tc>
          <w:tcPr>
            <w:tcW w:w="2551" w:type="dxa"/>
          </w:tcPr>
          <w:p w14:paraId="6B0DD8D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No association with TG levels (adjusted for BMI)</w:t>
            </w:r>
          </w:p>
        </w:tc>
      </w:tr>
      <w:tr w:rsidR="00617FE8" w14:paraId="7A2BE0B5" w14:textId="77777777">
        <w:trPr>
          <w:cantSplit/>
        </w:trPr>
        <w:tc>
          <w:tcPr>
            <w:tcW w:w="1325" w:type="dxa"/>
          </w:tcPr>
          <w:p w14:paraId="1456B553"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Evagelidou</w:t>
            </w:r>
            <w:proofErr w:type="spellEnd"/>
            <w:r>
              <w:rPr>
                <w:rFonts w:eastAsia="Calibri" w:cs="Arial"/>
                <w:color w:val="000000" w:themeColor="text1"/>
                <w:sz w:val="20"/>
                <w:szCs w:val="20"/>
                <w:lang w:val="en-GB"/>
              </w:rPr>
              <w:t xml:space="preserve"> 2007</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(37)</w:t>
            </w:r>
          </w:p>
        </w:tc>
        <w:tc>
          <w:tcPr>
            <w:tcW w:w="1299" w:type="dxa"/>
          </w:tcPr>
          <w:p w14:paraId="5D76E52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B-7y</w:t>
            </w:r>
          </w:p>
          <w:p w14:paraId="3541E54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3C04D18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35</w:t>
            </w:r>
          </w:p>
        </w:tc>
        <w:tc>
          <w:tcPr>
            <w:tcW w:w="881" w:type="dxa"/>
          </w:tcPr>
          <w:p w14:paraId="1FE6AC2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7y</w:t>
            </w:r>
          </w:p>
        </w:tc>
        <w:tc>
          <w:tcPr>
            <w:tcW w:w="1423" w:type="dxa"/>
          </w:tcPr>
          <w:p w14:paraId="6F67A0B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758DAE6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TG)</w:t>
            </w:r>
          </w:p>
        </w:tc>
        <w:tc>
          <w:tcPr>
            <w:tcW w:w="1418" w:type="dxa"/>
          </w:tcPr>
          <w:p w14:paraId="57686D2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5C2F380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w:t>
            </w:r>
            <w:proofErr w:type="spellEnd"/>
            <w:r>
              <w:rPr>
                <w:rFonts w:eastAsia="Calibri" w:cs="Arial"/>
                <w:color w:val="000000" w:themeColor="text1"/>
                <w:sz w:val="20"/>
                <w:szCs w:val="20"/>
                <w:lang w:val="en-GB"/>
              </w:rPr>
              <w:t>, TG)</w:t>
            </w:r>
          </w:p>
        </w:tc>
        <w:tc>
          <w:tcPr>
            <w:tcW w:w="2551" w:type="dxa"/>
          </w:tcPr>
          <w:p w14:paraId="1A84F80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No association with blood lipids</w:t>
            </w:r>
          </w:p>
        </w:tc>
      </w:tr>
      <w:tr w:rsidR="00617FE8" w14:paraId="0B509E37" w14:textId="77777777">
        <w:trPr>
          <w:cantSplit/>
        </w:trPr>
        <w:tc>
          <w:tcPr>
            <w:tcW w:w="1325" w:type="dxa"/>
          </w:tcPr>
          <w:p w14:paraId="00587A7E"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Bavdekar</w:t>
            </w:r>
            <w:proofErr w:type="spellEnd"/>
            <w:r>
              <w:rPr>
                <w:rFonts w:eastAsia="Calibri" w:cs="Arial"/>
                <w:color w:val="000000" w:themeColor="text1"/>
                <w:sz w:val="20"/>
                <w:szCs w:val="20"/>
                <w:lang w:val="en-GB"/>
              </w:rPr>
              <w:t xml:space="preserve"> 1999</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(44)</w:t>
            </w:r>
          </w:p>
        </w:tc>
        <w:tc>
          <w:tcPr>
            <w:tcW w:w="1299" w:type="dxa"/>
          </w:tcPr>
          <w:p w14:paraId="5D5FD54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408572F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gain)</w:t>
            </w:r>
          </w:p>
        </w:tc>
        <w:tc>
          <w:tcPr>
            <w:tcW w:w="673" w:type="dxa"/>
          </w:tcPr>
          <w:p w14:paraId="5A9826C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165</w:t>
            </w:r>
          </w:p>
        </w:tc>
        <w:tc>
          <w:tcPr>
            <w:tcW w:w="881" w:type="dxa"/>
          </w:tcPr>
          <w:p w14:paraId="1A13765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423" w:type="dxa"/>
          </w:tcPr>
          <w:p w14:paraId="77B05C6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
          <w:p w14:paraId="43D578A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TG)</w:t>
            </w:r>
          </w:p>
        </w:tc>
        <w:tc>
          <w:tcPr>
            <w:tcW w:w="1418" w:type="dxa"/>
          </w:tcPr>
          <w:p w14:paraId="6F81FF6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930B5E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LDL)</w:t>
            </w:r>
          </w:p>
        </w:tc>
        <w:tc>
          <w:tcPr>
            <w:tcW w:w="2551" w:type="dxa"/>
          </w:tcPr>
          <w:p w14:paraId="0CBEB5C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WT gain was associated with higher BP, TG and </w:t>
            </w:r>
            <w:proofErr w:type="spellStart"/>
            <w:r>
              <w:rPr>
                <w:rFonts w:eastAsia="Calibri" w:cs="Arial"/>
                <w:color w:val="000000" w:themeColor="text1"/>
                <w:sz w:val="20"/>
                <w:szCs w:val="20"/>
                <w:lang w:val="en-GB"/>
              </w:rPr>
              <w:t>TChol</w:t>
            </w:r>
            <w:proofErr w:type="spellEnd"/>
          </w:p>
        </w:tc>
      </w:tr>
      <w:tr w:rsidR="00617FE8" w14:paraId="66AA958D" w14:textId="77777777">
        <w:trPr>
          <w:cantSplit/>
        </w:trPr>
        <w:tc>
          <w:tcPr>
            <w:tcW w:w="1325" w:type="dxa"/>
          </w:tcPr>
          <w:p w14:paraId="2ED24E51" w14:textId="77777777" w:rsidR="00617FE8" w:rsidRDefault="008C06CC">
            <w:pPr>
              <w:spacing w:after="0" w:line="240" w:lineRule="auto"/>
              <w:rPr>
                <w:rFonts w:eastAsia="Calibri" w:cs="Arial"/>
                <w:color w:val="000000" w:themeColor="text1"/>
                <w:sz w:val="20"/>
                <w:szCs w:val="20"/>
                <w:vertAlign w:val="superscript"/>
                <w:lang w:val="en-GB"/>
              </w:rPr>
            </w:pPr>
            <w:r>
              <w:rPr>
                <w:rFonts w:eastAsia="Calibri" w:cs="Arial"/>
                <w:color w:val="000000" w:themeColor="text1"/>
                <w:sz w:val="20"/>
                <w:szCs w:val="20"/>
                <w:lang w:val="en-GB"/>
              </w:rPr>
              <w:t>Torre 2008</w:t>
            </w:r>
            <w:r>
              <w:rPr>
                <w:rFonts w:eastAsia="Calibri" w:cs="Arial"/>
                <w:color w:val="000000" w:themeColor="text1"/>
                <w:sz w:val="20"/>
                <w:szCs w:val="20"/>
                <w:vertAlign w:val="superscript"/>
                <w:lang w:val="en-GB"/>
              </w:rPr>
              <w:t>M</w:t>
            </w:r>
          </w:p>
          <w:p w14:paraId="551344F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(31)</w:t>
            </w:r>
          </w:p>
        </w:tc>
        <w:tc>
          <w:tcPr>
            <w:tcW w:w="1299" w:type="dxa"/>
          </w:tcPr>
          <w:p w14:paraId="5F492213"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B-8y</w:t>
            </w:r>
          </w:p>
          <w:p w14:paraId="13AD202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(BMI, HT gain)</w:t>
            </w:r>
          </w:p>
        </w:tc>
        <w:tc>
          <w:tcPr>
            <w:tcW w:w="673" w:type="dxa"/>
          </w:tcPr>
          <w:p w14:paraId="73B7253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52</w:t>
            </w:r>
          </w:p>
        </w:tc>
        <w:tc>
          <w:tcPr>
            <w:tcW w:w="881" w:type="dxa"/>
          </w:tcPr>
          <w:p w14:paraId="541AF5B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8y</w:t>
            </w:r>
          </w:p>
        </w:tc>
        <w:tc>
          <w:tcPr>
            <w:tcW w:w="1423" w:type="dxa"/>
          </w:tcPr>
          <w:p w14:paraId="29520FD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LDL &amp; TG)</w:t>
            </w:r>
          </w:p>
          <w:p w14:paraId="4C360C6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(HDL, HT gain)</w:t>
            </w:r>
          </w:p>
        </w:tc>
        <w:tc>
          <w:tcPr>
            <w:tcW w:w="1418" w:type="dxa"/>
          </w:tcPr>
          <w:p w14:paraId="5085F9A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0 </w:t>
            </w:r>
          </w:p>
          <w:p w14:paraId="3EC80EC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(LDL, HDL, TG)</w:t>
            </w:r>
          </w:p>
        </w:tc>
        <w:tc>
          <w:tcPr>
            <w:tcW w:w="2551" w:type="dxa"/>
          </w:tcPr>
          <w:p w14:paraId="1BECCE1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 was inversely associated with HDL cholesterol</w:t>
            </w:r>
          </w:p>
        </w:tc>
      </w:tr>
      <w:tr w:rsidR="00617FE8" w14:paraId="29233245" w14:textId="77777777">
        <w:trPr>
          <w:cantSplit/>
        </w:trPr>
        <w:tc>
          <w:tcPr>
            <w:tcW w:w="1325" w:type="dxa"/>
          </w:tcPr>
          <w:p w14:paraId="39383C95" w14:textId="77777777" w:rsidR="00617FE8" w:rsidRDefault="008C06CC" w:rsidP="008E3193">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Cianfarani 2003</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(1</w:t>
            </w:r>
            <w:r w:rsidR="008E3193">
              <w:rPr>
                <w:rFonts w:eastAsia="Calibri" w:cs="Arial"/>
                <w:color w:val="000000" w:themeColor="text1"/>
                <w:sz w:val="20"/>
                <w:szCs w:val="20"/>
                <w:lang w:val="en-GB"/>
              </w:rPr>
              <w:t>7</w:t>
            </w:r>
            <w:r>
              <w:rPr>
                <w:rFonts w:eastAsia="Calibri" w:cs="Arial"/>
                <w:color w:val="000000" w:themeColor="text1"/>
                <w:sz w:val="20"/>
                <w:szCs w:val="20"/>
                <w:lang w:val="en-GB"/>
              </w:rPr>
              <w:t>)</w:t>
            </w:r>
          </w:p>
        </w:tc>
        <w:tc>
          <w:tcPr>
            <w:tcW w:w="1299" w:type="dxa"/>
          </w:tcPr>
          <w:p w14:paraId="3D78EB5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B-8.5y</w:t>
            </w:r>
          </w:p>
          <w:p w14:paraId="62E9E9F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w:t>
            </w:r>
          </w:p>
        </w:tc>
        <w:tc>
          <w:tcPr>
            <w:tcW w:w="673" w:type="dxa"/>
          </w:tcPr>
          <w:p w14:paraId="42C23FEA"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82</w:t>
            </w:r>
          </w:p>
        </w:tc>
        <w:tc>
          <w:tcPr>
            <w:tcW w:w="881" w:type="dxa"/>
          </w:tcPr>
          <w:p w14:paraId="311AC5E8"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8.5y</w:t>
            </w:r>
          </w:p>
        </w:tc>
        <w:tc>
          <w:tcPr>
            <w:tcW w:w="1423" w:type="dxa"/>
          </w:tcPr>
          <w:p w14:paraId="6B271D36"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xml:space="preserve"> &amp; LDL)</w:t>
            </w:r>
          </w:p>
          <w:p w14:paraId="569888D7"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0 (TG &amp; HDL)</w:t>
            </w:r>
          </w:p>
        </w:tc>
        <w:tc>
          <w:tcPr>
            <w:tcW w:w="1418" w:type="dxa"/>
          </w:tcPr>
          <w:p w14:paraId="34C6936C"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41125E9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HDL)</w:t>
            </w:r>
          </w:p>
        </w:tc>
        <w:tc>
          <w:tcPr>
            <w:tcW w:w="2551" w:type="dxa"/>
          </w:tcPr>
          <w:p w14:paraId="78C498B4"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HT gain was inversely associated with </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xml:space="preserve"> &amp; LDL</w:t>
            </w:r>
          </w:p>
        </w:tc>
      </w:tr>
      <w:tr w:rsidR="00617FE8" w14:paraId="7C482F80" w14:textId="77777777">
        <w:trPr>
          <w:cantSplit/>
        </w:trPr>
        <w:tc>
          <w:tcPr>
            <w:tcW w:w="1325" w:type="dxa"/>
          </w:tcPr>
          <w:p w14:paraId="464C44BA" w14:textId="77777777" w:rsidR="00617FE8" w:rsidRDefault="008C06CC">
            <w:pPr>
              <w:spacing w:after="0" w:line="240" w:lineRule="auto"/>
              <w:rPr>
                <w:rFonts w:eastAsia="Calibri" w:cs="Arial"/>
                <w:color w:val="000000" w:themeColor="text1"/>
                <w:sz w:val="20"/>
                <w:szCs w:val="20"/>
                <w:lang w:val="en-GB"/>
              </w:rPr>
            </w:pPr>
            <w:proofErr w:type="spellStart"/>
            <w:r>
              <w:rPr>
                <w:rFonts w:eastAsia="Calibri" w:cs="Arial"/>
                <w:color w:val="000000" w:themeColor="text1"/>
                <w:sz w:val="20"/>
                <w:szCs w:val="20"/>
                <w:lang w:val="en-GB"/>
              </w:rPr>
              <w:t>Tenhola</w:t>
            </w:r>
            <w:proofErr w:type="spellEnd"/>
            <w:r>
              <w:rPr>
                <w:rFonts w:eastAsia="Calibri" w:cs="Arial"/>
                <w:color w:val="000000" w:themeColor="text1"/>
                <w:sz w:val="20"/>
                <w:szCs w:val="20"/>
                <w:lang w:val="en-GB"/>
              </w:rPr>
              <w:t xml:space="preserve"> 2000</w:t>
            </w:r>
            <w:r>
              <w:rPr>
                <w:rFonts w:eastAsia="Calibri" w:cs="Arial"/>
                <w:color w:val="000000" w:themeColor="text1"/>
                <w:sz w:val="20"/>
                <w:szCs w:val="20"/>
                <w:vertAlign w:val="superscript"/>
                <w:lang w:val="en-GB"/>
              </w:rPr>
              <w:t>M</w:t>
            </w:r>
            <w:r>
              <w:rPr>
                <w:rFonts w:eastAsia="Calibri" w:cs="Arial"/>
                <w:color w:val="000000" w:themeColor="text1"/>
                <w:sz w:val="20"/>
                <w:szCs w:val="20"/>
                <w:lang w:val="en-GB"/>
              </w:rPr>
              <w:t xml:space="preserve"> (50)</w:t>
            </w:r>
          </w:p>
        </w:tc>
        <w:tc>
          <w:tcPr>
            <w:tcW w:w="1299" w:type="dxa"/>
          </w:tcPr>
          <w:p w14:paraId="76F56E3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B-5y</w:t>
            </w:r>
          </w:p>
          <w:p w14:paraId="4092C565"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(HT gain)</w:t>
            </w:r>
          </w:p>
        </w:tc>
        <w:tc>
          <w:tcPr>
            <w:tcW w:w="673" w:type="dxa"/>
          </w:tcPr>
          <w:p w14:paraId="59AB8630"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55</w:t>
            </w:r>
          </w:p>
        </w:tc>
        <w:tc>
          <w:tcPr>
            <w:tcW w:w="881" w:type="dxa"/>
          </w:tcPr>
          <w:p w14:paraId="2447B8C1"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12 y</w:t>
            </w:r>
          </w:p>
        </w:tc>
        <w:tc>
          <w:tcPr>
            <w:tcW w:w="1423" w:type="dxa"/>
          </w:tcPr>
          <w:p w14:paraId="6E878B5E"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0FA8B6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w:t>
            </w:r>
          </w:p>
        </w:tc>
        <w:tc>
          <w:tcPr>
            <w:tcW w:w="1418" w:type="dxa"/>
          </w:tcPr>
          <w:p w14:paraId="06C220B9"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 </w:t>
            </w:r>
          </w:p>
          <w:p w14:paraId="606DFED2"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w:t>
            </w:r>
          </w:p>
        </w:tc>
        <w:tc>
          <w:tcPr>
            <w:tcW w:w="2551" w:type="dxa"/>
          </w:tcPr>
          <w:p w14:paraId="76D59F2B" w14:textId="77777777" w:rsidR="00617FE8" w:rsidRDefault="008C06CC">
            <w:pPr>
              <w:spacing w:after="0" w:line="240" w:lineRule="auto"/>
              <w:rPr>
                <w:rFonts w:eastAsia="Calibri" w:cs="Arial"/>
                <w:color w:val="000000" w:themeColor="text1"/>
                <w:sz w:val="20"/>
                <w:szCs w:val="20"/>
                <w:lang w:val="en-GB"/>
              </w:rPr>
            </w:pPr>
            <w:r>
              <w:rPr>
                <w:rFonts w:eastAsia="Calibri" w:cs="Arial"/>
                <w:color w:val="000000" w:themeColor="text1"/>
                <w:sz w:val="20"/>
                <w:szCs w:val="20"/>
                <w:lang w:val="en-GB"/>
              </w:rPr>
              <w:t xml:space="preserve">SGA with poor HT gain had higher </w:t>
            </w:r>
            <w:proofErr w:type="spellStart"/>
            <w:r>
              <w:rPr>
                <w:rFonts w:eastAsia="Calibri" w:cs="Arial"/>
                <w:color w:val="000000" w:themeColor="text1"/>
                <w:sz w:val="20"/>
                <w:szCs w:val="20"/>
                <w:lang w:val="en-GB"/>
              </w:rPr>
              <w:t>TChol</w:t>
            </w:r>
            <w:proofErr w:type="spellEnd"/>
            <w:r>
              <w:rPr>
                <w:rFonts w:eastAsia="Calibri" w:cs="Arial"/>
                <w:color w:val="000000" w:themeColor="text1"/>
                <w:sz w:val="20"/>
                <w:szCs w:val="20"/>
                <w:lang w:val="en-GB"/>
              </w:rPr>
              <w:t xml:space="preserve"> </w:t>
            </w:r>
          </w:p>
        </w:tc>
      </w:tr>
    </w:tbl>
    <w:p w14:paraId="78533D81" w14:textId="77777777" w:rsidR="00617FE8" w:rsidRDefault="00617FE8">
      <w:pPr>
        <w:spacing w:after="0" w:line="480" w:lineRule="auto"/>
        <w:jc w:val="both"/>
        <w:rPr>
          <w:rFonts w:ascii="Arial" w:hAnsi="Arial" w:cs="Arial"/>
        </w:rPr>
      </w:pPr>
    </w:p>
    <w:p w14:paraId="2C6B6F62" w14:textId="244C3251" w:rsidR="00617FE8" w:rsidRDefault="008C06CC">
      <w:pPr>
        <w:spacing w:after="0" w:line="480" w:lineRule="auto"/>
        <w:jc w:val="both"/>
        <w:rPr>
          <w:rFonts w:ascii="Arial" w:hAnsi="Arial" w:cs="Arial"/>
        </w:rPr>
      </w:pPr>
      <w:r>
        <w:rPr>
          <w:rFonts w:ascii="Arial" w:hAnsi="Arial" w:cs="Arial"/>
        </w:rPr>
        <w:lastRenderedPageBreak/>
        <w:t>B, birth; BMI, body mass index; WT, weight; HT, height or length; IR, insulin resistance; SGA, small-for-gestational age; AGA, appropriate-for-gestational age; OGTT, oral glucose tolerance test; IVGTT, intravenous glucose tolerance test; BP; blood pressure; TG, tr</w:t>
      </w:r>
      <w:r w:rsidRPr="00F938E3">
        <w:rPr>
          <w:rFonts w:ascii="Arial" w:hAnsi="Arial" w:cs="Arial"/>
        </w:rPr>
        <w:t xml:space="preserve">iglycerides; </w:t>
      </w:r>
      <w:proofErr w:type="spellStart"/>
      <w:r w:rsidRPr="00F938E3">
        <w:rPr>
          <w:rFonts w:ascii="Arial" w:hAnsi="Arial" w:cs="Arial"/>
        </w:rPr>
        <w:t>TChol</w:t>
      </w:r>
      <w:proofErr w:type="spellEnd"/>
      <w:r w:rsidRPr="00F938E3">
        <w:rPr>
          <w:rFonts w:ascii="Arial" w:hAnsi="Arial" w:cs="Arial"/>
        </w:rPr>
        <w:t xml:space="preserve">, total cholesterol; CIMT, carotid-intimal thickness; </w:t>
      </w:r>
      <w:r w:rsidRPr="00F938E3">
        <w:rPr>
          <w:rFonts w:ascii="Arial" w:eastAsia="Calibri" w:hAnsi="Arial" w:cs="Arial"/>
          <w:lang w:val="en-GB"/>
        </w:rPr>
        <w:t xml:space="preserve">y, years; </w:t>
      </w:r>
      <w:proofErr w:type="spellStart"/>
      <w:r w:rsidRPr="00F938E3">
        <w:rPr>
          <w:rFonts w:ascii="Arial" w:eastAsia="Calibri" w:hAnsi="Arial" w:cs="Arial"/>
          <w:lang w:val="en-GB"/>
        </w:rPr>
        <w:t>mo</w:t>
      </w:r>
      <w:proofErr w:type="spellEnd"/>
      <w:r w:rsidRPr="00F938E3">
        <w:rPr>
          <w:rFonts w:ascii="Arial" w:eastAsia="Calibri" w:hAnsi="Arial" w:cs="Arial"/>
          <w:lang w:val="en-GB"/>
        </w:rPr>
        <w:t>, months</w:t>
      </w:r>
      <w:r w:rsidRPr="00F938E3">
        <w:rPr>
          <w:rFonts w:ascii="Arial" w:hAnsi="Arial" w:cs="Arial"/>
        </w:rPr>
        <w:t xml:space="preserve">. </w:t>
      </w:r>
      <w:r w:rsidR="00AE65B2" w:rsidRPr="00F938E3">
        <w:rPr>
          <w:rFonts w:ascii="Arial" w:hAnsi="Arial" w:cs="Arial"/>
          <w:color w:val="000000" w:themeColor="text1"/>
          <w:lang w:val="en-GB"/>
        </w:rPr>
        <w:t>(++) statistically significant positive association; (+) non-significant positive trend; (0) no association; (-) non-significant inverse trend; and (--) significant inverse association.</w:t>
      </w:r>
    </w:p>
    <w:p w14:paraId="309CBD46" w14:textId="77777777" w:rsidR="000B0959" w:rsidRDefault="000B0959">
      <w:pPr>
        <w:rPr>
          <w:rFonts w:ascii="Arial" w:hAnsi="Arial" w:cs="Arial"/>
          <w:b/>
          <w:color w:val="000000" w:themeColor="text1"/>
          <w:lang w:val="en-GB"/>
        </w:rPr>
      </w:pPr>
      <w:r>
        <w:rPr>
          <w:rFonts w:ascii="Arial" w:hAnsi="Arial" w:cs="Arial"/>
          <w:b/>
          <w:color w:val="000000" w:themeColor="text1"/>
          <w:lang w:val="en-GB"/>
        </w:rPr>
        <w:br w:type="page"/>
      </w:r>
    </w:p>
    <w:p w14:paraId="0815E287" w14:textId="77777777" w:rsidR="00617FE8" w:rsidRDefault="008C06CC">
      <w:pPr>
        <w:spacing w:after="0" w:line="480" w:lineRule="auto"/>
        <w:jc w:val="both"/>
        <w:rPr>
          <w:rFonts w:ascii="Arial" w:hAnsi="Arial" w:cs="Arial"/>
          <w:color w:val="000000" w:themeColor="text1"/>
          <w:lang w:val="en-GB"/>
        </w:rPr>
      </w:pPr>
      <w:r>
        <w:rPr>
          <w:rFonts w:ascii="Arial" w:hAnsi="Arial" w:cs="Arial"/>
          <w:b/>
          <w:color w:val="000000" w:themeColor="text1"/>
          <w:lang w:val="en-GB"/>
        </w:rPr>
        <w:lastRenderedPageBreak/>
        <w:t>Figure 1.</w:t>
      </w:r>
      <w:r>
        <w:rPr>
          <w:rFonts w:ascii="Arial" w:hAnsi="Arial" w:cs="Arial"/>
          <w:color w:val="000000" w:themeColor="text1"/>
          <w:lang w:val="en-GB"/>
        </w:rPr>
        <w:t xml:space="preserve"> Flow chart of search strategy and selection of relevant studies.</w:t>
      </w:r>
      <w:r>
        <w:rPr>
          <w:rFonts w:ascii="Arial" w:hAnsi="Arial" w:cs="Arial"/>
          <w:lang w:val="en-GB"/>
        </w:rPr>
        <w:br w:type="page"/>
      </w:r>
    </w:p>
    <w:p w14:paraId="4A9FFC15" w14:textId="77777777" w:rsidR="00617FE8" w:rsidRDefault="008C06CC">
      <w:pPr>
        <w:spacing w:after="0" w:line="480" w:lineRule="auto"/>
        <w:jc w:val="both"/>
        <w:rPr>
          <w:rFonts w:ascii="Arial" w:hAnsi="Arial" w:cs="Arial"/>
          <w:color w:val="000000" w:themeColor="text1"/>
          <w:lang w:val="en-GB"/>
        </w:rPr>
      </w:pPr>
      <w:r>
        <w:rPr>
          <w:rFonts w:ascii="Arial" w:hAnsi="Arial" w:cs="Arial"/>
          <w:b/>
          <w:color w:val="000000" w:themeColor="text1"/>
          <w:lang w:val="en-GB"/>
        </w:rPr>
        <w:lastRenderedPageBreak/>
        <w:t>Figure 1.</w:t>
      </w:r>
    </w:p>
    <w:p w14:paraId="76967D74" w14:textId="77777777" w:rsidR="00617FE8" w:rsidRDefault="008C06CC">
      <w:pPr>
        <w:spacing w:after="0" w:line="480" w:lineRule="auto"/>
        <w:jc w:val="both"/>
        <w:rPr>
          <w:rFonts w:ascii="Arial" w:hAnsi="Arial" w:cs="Arial"/>
          <w:color w:val="000000" w:themeColor="text1"/>
          <w:lang w:val="en-GB"/>
        </w:rPr>
      </w:pPr>
      <w:r>
        <w:rPr>
          <w:rFonts w:ascii="Arial" w:hAnsi="Arial" w:cs="Arial"/>
          <w:noProof/>
          <w:color w:val="000000" w:themeColor="text1"/>
          <w:lang w:val="en-GB" w:eastAsia="en-GB"/>
        </w:rPr>
        <w:drawing>
          <wp:anchor distT="0" distB="0" distL="114300" distR="114300" simplePos="0" relativeHeight="251658240" behindDoc="1" locked="0" layoutInCell="1" allowOverlap="1" wp14:anchorId="6B341ABF" wp14:editId="48F2F245">
            <wp:simplePos x="0" y="0"/>
            <wp:positionH relativeFrom="column">
              <wp:posOffset>76200</wp:posOffset>
            </wp:positionH>
            <wp:positionV relativeFrom="paragraph">
              <wp:posOffset>50165</wp:posOffset>
            </wp:positionV>
            <wp:extent cx="5328285" cy="2877820"/>
            <wp:effectExtent l="0" t="0" r="5715" b="0"/>
            <wp:wrapThrough wrapText="bothSides">
              <wp:wrapPolygon edited="0">
                <wp:start x="77" y="0"/>
                <wp:lineTo x="0" y="286"/>
                <wp:lineTo x="0" y="21447"/>
                <wp:lineTo x="1236" y="21447"/>
                <wp:lineTo x="10889" y="21162"/>
                <wp:lineTo x="10812" y="18445"/>
                <wp:lineTo x="21546" y="18302"/>
                <wp:lineTo x="21546" y="12154"/>
                <wp:lineTo x="10812" y="11582"/>
                <wp:lineTo x="21546" y="11010"/>
                <wp:lineTo x="21546" y="6148"/>
                <wp:lineTo x="13978" y="4718"/>
                <wp:lineTo x="13901" y="0"/>
                <wp:lineTo x="7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8285" cy="2877820"/>
                    </a:xfrm>
                    <a:prstGeom prst="rect">
                      <a:avLst/>
                    </a:prstGeom>
                    <a:noFill/>
                  </pic:spPr>
                </pic:pic>
              </a:graphicData>
            </a:graphic>
            <wp14:sizeRelH relativeFrom="page">
              <wp14:pctWidth>0</wp14:pctWidth>
            </wp14:sizeRelH>
            <wp14:sizeRelV relativeFrom="page">
              <wp14:pctHeight>0</wp14:pctHeight>
            </wp14:sizeRelV>
          </wp:anchor>
        </w:drawing>
      </w:r>
    </w:p>
    <w:p w14:paraId="0657C474" w14:textId="77777777" w:rsidR="00617FE8" w:rsidRDefault="00617FE8">
      <w:pPr>
        <w:spacing w:after="0" w:line="480" w:lineRule="auto"/>
        <w:jc w:val="both"/>
        <w:rPr>
          <w:rFonts w:ascii="Arial" w:hAnsi="Arial" w:cs="Arial"/>
          <w:color w:val="000000" w:themeColor="text1"/>
          <w:lang w:val="en-GB"/>
        </w:rPr>
      </w:pPr>
    </w:p>
    <w:p w14:paraId="70184C9C" w14:textId="77777777" w:rsidR="00617FE8" w:rsidRDefault="008C06CC">
      <w:pPr>
        <w:spacing w:after="0" w:line="480" w:lineRule="auto"/>
        <w:jc w:val="both"/>
        <w:rPr>
          <w:rFonts w:ascii="Arial" w:hAnsi="Arial" w:cs="Arial"/>
          <w:color w:val="000000" w:themeColor="text1"/>
          <w:lang w:val="en-GB"/>
        </w:rPr>
      </w:pPr>
      <w:r>
        <w:rPr>
          <w:rFonts w:ascii="Arial" w:hAnsi="Arial" w:cs="Arial"/>
          <w:color w:val="000000" w:themeColor="text1"/>
          <w:lang w:val="en-GB"/>
        </w:rPr>
        <w:t xml:space="preserve">      </w:t>
      </w:r>
    </w:p>
    <w:p w14:paraId="6F3FFEE5" w14:textId="77777777" w:rsidR="00617FE8" w:rsidRDefault="00617FE8">
      <w:pPr>
        <w:spacing w:after="0" w:line="480" w:lineRule="auto"/>
        <w:jc w:val="both"/>
        <w:rPr>
          <w:rFonts w:ascii="Arial" w:hAnsi="Arial" w:cs="Arial"/>
          <w:highlight w:val="cyan"/>
          <w:lang w:val="en-GB"/>
        </w:rPr>
      </w:pPr>
    </w:p>
    <w:p w14:paraId="05228BB5" w14:textId="77777777" w:rsidR="00617FE8" w:rsidRDefault="00617FE8">
      <w:pPr>
        <w:spacing w:after="0" w:line="480" w:lineRule="auto"/>
        <w:jc w:val="both"/>
        <w:rPr>
          <w:rFonts w:ascii="Arial" w:hAnsi="Arial" w:cs="Arial"/>
          <w:highlight w:val="cyan"/>
          <w:lang w:val="en-GB"/>
        </w:rPr>
      </w:pPr>
    </w:p>
    <w:p w14:paraId="1956639E" w14:textId="77777777" w:rsidR="00617FE8" w:rsidRDefault="00617FE8">
      <w:pPr>
        <w:spacing w:after="0" w:line="480" w:lineRule="auto"/>
        <w:jc w:val="both"/>
        <w:rPr>
          <w:rFonts w:ascii="Arial" w:hAnsi="Arial" w:cs="Arial"/>
          <w:highlight w:val="cyan"/>
          <w:lang w:val="en-GB"/>
        </w:rPr>
      </w:pPr>
    </w:p>
    <w:p w14:paraId="2238551B" w14:textId="77777777" w:rsidR="00617FE8" w:rsidRDefault="00617FE8">
      <w:pPr>
        <w:spacing w:after="0" w:line="480" w:lineRule="auto"/>
        <w:jc w:val="both"/>
        <w:rPr>
          <w:rFonts w:ascii="Arial" w:hAnsi="Arial" w:cs="Arial"/>
          <w:highlight w:val="cyan"/>
          <w:lang w:val="en-GB"/>
        </w:rPr>
      </w:pPr>
    </w:p>
    <w:p w14:paraId="6625A2D4" w14:textId="77777777" w:rsidR="00617FE8" w:rsidRDefault="00617FE8">
      <w:pPr>
        <w:spacing w:after="0" w:line="480" w:lineRule="auto"/>
        <w:jc w:val="both"/>
        <w:rPr>
          <w:rFonts w:ascii="Arial" w:hAnsi="Arial" w:cs="Arial"/>
          <w:highlight w:val="cyan"/>
          <w:lang w:val="en-GB"/>
        </w:rPr>
      </w:pPr>
    </w:p>
    <w:p w14:paraId="4CE49DCB" w14:textId="77777777" w:rsidR="00617FE8" w:rsidRDefault="00617FE8">
      <w:pPr>
        <w:spacing w:after="0" w:line="480" w:lineRule="auto"/>
        <w:jc w:val="both"/>
        <w:rPr>
          <w:rFonts w:ascii="Arial" w:hAnsi="Arial" w:cs="Arial"/>
          <w:highlight w:val="cyan"/>
          <w:lang w:val="en-GB"/>
        </w:rPr>
      </w:pPr>
    </w:p>
    <w:p w14:paraId="79865B78" w14:textId="77777777" w:rsidR="00617FE8" w:rsidRDefault="00617FE8">
      <w:pPr>
        <w:spacing w:after="0" w:line="480" w:lineRule="auto"/>
        <w:jc w:val="center"/>
        <w:rPr>
          <w:rFonts w:ascii="Arial" w:hAnsi="Arial" w:cs="Arial"/>
          <w:highlight w:val="cyan"/>
          <w:lang w:val="en-GB"/>
        </w:rPr>
      </w:pPr>
    </w:p>
    <w:p w14:paraId="32700BEC" w14:textId="77777777" w:rsidR="00972958" w:rsidRDefault="00972958">
      <w:pPr>
        <w:rPr>
          <w:rFonts w:ascii="Arial" w:hAnsi="Arial" w:cs="Arial"/>
          <w:b/>
          <w:lang w:val="en-GB"/>
        </w:rPr>
      </w:pPr>
      <w:r>
        <w:rPr>
          <w:rFonts w:ascii="Arial" w:hAnsi="Arial" w:cs="Arial"/>
          <w:b/>
          <w:lang w:val="en-GB"/>
        </w:rPr>
        <w:br w:type="page"/>
      </w:r>
    </w:p>
    <w:p w14:paraId="0F8623FF" w14:textId="77777777" w:rsidR="00617FE8" w:rsidRDefault="008C06CC">
      <w:pPr>
        <w:spacing w:after="0" w:line="480" w:lineRule="auto"/>
        <w:rPr>
          <w:rFonts w:ascii="Arial" w:hAnsi="Arial" w:cs="Arial"/>
          <w:b/>
          <w:lang w:val="en-GB"/>
        </w:rPr>
      </w:pPr>
      <w:r>
        <w:rPr>
          <w:rFonts w:ascii="Arial" w:hAnsi="Arial" w:cs="Arial"/>
          <w:b/>
          <w:lang w:val="en-GB"/>
        </w:rPr>
        <w:lastRenderedPageBreak/>
        <w:t>References</w:t>
      </w:r>
    </w:p>
    <w:p w14:paraId="281F9726"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Yeung MY. Postnatal growth, neurodevelopment and altered adiposity after preterm birth</w:t>
      </w:r>
      <w:r w:rsidR="00503819">
        <w:rPr>
          <w:rFonts w:ascii="Arial" w:hAnsi="Arial" w:cs="Arial"/>
          <w:noProof/>
          <w:szCs w:val="24"/>
        </w:rPr>
        <w:t xml:space="preserve"> </w:t>
      </w:r>
      <w:r w:rsidRPr="00860561">
        <w:rPr>
          <w:rFonts w:ascii="Arial" w:hAnsi="Arial" w:cs="Arial"/>
          <w:noProof/>
          <w:szCs w:val="24"/>
        </w:rPr>
        <w:t xml:space="preserve">—from a clinical nutrition perspective. </w:t>
      </w:r>
      <w:r w:rsidRPr="00860561">
        <w:rPr>
          <w:rFonts w:ascii="Arial" w:hAnsi="Arial" w:cs="Arial"/>
          <w:i/>
          <w:noProof/>
          <w:szCs w:val="24"/>
        </w:rPr>
        <w:t>Acta Paediatr</w:t>
      </w:r>
      <w:r w:rsidRPr="00860561">
        <w:rPr>
          <w:rFonts w:ascii="Arial" w:hAnsi="Arial" w:cs="Arial"/>
          <w:noProof/>
          <w:szCs w:val="24"/>
        </w:rPr>
        <w:t xml:space="preserve"> 2006;</w:t>
      </w:r>
      <w:r w:rsidR="00503819">
        <w:rPr>
          <w:rFonts w:ascii="Arial" w:hAnsi="Arial" w:cs="Arial"/>
          <w:noProof/>
          <w:szCs w:val="24"/>
        </w:rPr>
        <w:t xml:space="preserve"> </w:t>
      </w:r>
      <w:r w:rsidRPr="00860561">
        <w:rPr>
          <w:rFonts w:ascii="Arial" w:hAnsi="Arial" w:cs="Arial"/>
          <w:noProof/>
          <w:szCs w:val="24"/>
        </w:rPr>
        <w:t>95:909</w:t>
      </w:r>
      <w:r w:rsidR="00503819">
        <w:rPr>
          <w:rFonts w:ascii="Arial" w:hAnsi="Arial" w:cs="Arial"/>
          <w:noProof/>
          <w:szCs w:val="24"/>
        </w:rPr>
        <w:t>-9</w:t>
      </w:r>
      <w:r w:rsidRPr="00860561">
        <w:rPr>
          <w:rFonts w:ascii="Arial" w:hAnsi="Arial" w:cs="Arial"/>
          <w:noProof/>
          <w:szCs w:val="24"/>
        </w:rPr>
        <w:t xml:space="preserve">17. </w:t>
      </w:r>
    </w:p>
    <w:p w14:paraId="5EF6586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Eriksson JG, Forsen T, Tuomilehto J, Osmond C, Barker DJP. Early growth and coronary heart disease in later life: longitudinal study. </w:t>
      </w:r>
      <w:r w:rsidRPr="00860561">
        <w:rPr>
          <w:rFonts w:ascii="Arial" w:hAnsi="Arial" w:cs="Arial"/>
          <w:i/>
          <w:noProof/>
          <w:szCs w:val="24"/>
        </w:rPr>
        <w:t>BMJ</w:t>
      </w:r>
      <w:r w:rsidRPr="00860561">
        <w:rPr>
          <w:rFonts w:ascii="Arial" w:hAnsi="Arial" w:cs="Arial"/>
          <w:noProof/>
          <w:szCs w:val="24"/>
        </w:rPr>
        <w:t xml:space="preserve"> 2001;</w:t>
      </w:r>
      <w:r w:rsidR="00503819">
        <w:rPr>
          <w:rFonts w:ascii="Arial" w:hAnsi="Arial" w:cs="Arial"/>
          <w:noProof/>
          <w:szCs w:val="24"/>
        </w:rPr>
        <w:t xml:space="preserve"> </w:t>
      </w:r>
      <w:r w:rsidRPr="00860561">
        <w:rPr>
          <w:rFonts w:ascii="Arial" w:hAnsi="Arial" w:cs="Arial"/>
          <w:noProof/>
          <w:szCs w:val="24"/>
        </w:rPr>
        <w:t>322:949</w:t>
      </w:r>
      <w:r w:rsidR="00503819">
        <w:rPr>
          <w:rFonts w:ascii="Arial" w:hAnsi="Arial" w:cs="Arial"/>
          <w:noProof/>
          <w:szCs w:val="24"/>
        </w:rPr>
        <w:t>-9</w:t>
      </w:r>
      <w:r w:rsidRPr="00860561">
        <w:rPr>
          <w:rFonts w:ascii="Arial" w:hAnsi="Arial" w:cs="Arial"/>
          <w:noProof/>
          <w:szCs w:val="24"/>
        </w:rPr>
        <w:t xml:space="preserve">53. </w:t>
      </w:r>
    </w:p>
    <w:p w14:paraId="2BAA7230"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Ong KKL, Ahmed ML, Emmett PM, Preece MA, Dunger DB. Association between postnatal catch-up growth and obesity in childhood: prospective cohort study. </w:t>
      </w:r>
      <w:r w:rsidRPr="00860561">
        <w:rPr>
          <w:rFonts w:ascii="Arial" w:hAnsi="Arial" w:cs="Arial"/>
          <w:i/>
          <w:noProof/>
          <w:szCs w:val="24"/>
        </w:rPr>
        <w:t>BMJ</w:t>
      </w:r>
      <w:r w:rsidRPr="00860561">
        <w:rPr>
          <w:rFonts w:ascii="Arial" w:hAnsi="Arial" w:cs="Arial"/>
          <w:noProof/>
          <w:szCs w:val="24"/>
        </w:rPr>
        <w:t xml:space="preserve"> 2000; 320:967</w:t>
      </w:r>
      <w:r w:rsidR="00503819">
        <w:rPr>
          <w:rFonts w:ascii="Arial" w:hAnsi="Arial" w:cs="Arial"/>
          <w:noProof/>
          <w:szCs w:val="24"/>
        </w:rPr>
        <w:t>-9</w:t>
      </w:r>
      <w:r w:rsidRPr="00860561">
        <w:rPr>
          <w:rFonts w:ascii="Arial" w:hAnsi="Arial" w:cs="Arial"/>
          <w:noProof/>
          <w:szCs w:val="24"/>
        </w:rPr>
        <w:t xml:space="preserve">71. </w:t>
      </w:r>
    </w:p>
    <w:p w14:paraId="44EB5E33"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Baidal JAW, Locks LM, Cheng ER, Blake-Lamb TL, Perkins ME, Taveras EM. Risk factors for childhood obesity in the first 1,000 days: a systematic review. </w:t>
      </w:r>
      <w:r w:rsidRPr="00860561">
        <w:rPr>
          <w:rFonts w:ascii="Arial" w:hAnsi="Arial" w:cs="Arial"/>
          <w:i/>
          <w:noProof/>
          <w:szCs w:val="24"/>
        </w:rPr>
        <w:t>Am J Prev Med</w:t>
      </w:r>
      <w:r w:rsidRPr="00860561">
        <w:rPr>
          <w:rFonts w:ascii="Arial" w:hAnsi="Arial" w:cs="Arial"/>
          <w:noProof/>
          <w:szCs w:val="24"/>
        </w:rPr>
        <w:t xml:space="preserve"> 2016; 50:761</w:t>
      </w:r>
      <w:r w:rsidR="00503819">
        <w:rPr>
          <w:rFonts w:ascii="Arial" w:hAnsi="Arial" w:cs="Arial"/>
          <w:noProof/>
          <w:szCs w:val="24"/>
        </w:rPr>
        <w:t>-7</w:t>
      </w:r>
      <w:r w:rsidRPr="00860561">
        <w:rPr>
          <w:rFonts w:ascii="Arial" w:hAnsi="Arial" w:cs="Arial"/>
          <w:noProof/>
          <w:szCs w:val="24"/>
        </w:rPr>
        <w:t xml:space="preserve">79. </w:t>
      </w:r>
    </w:p>
    <w:p w14:paraId="14899E4D"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Martin-Gronert MS, Ozanne SE. Mechanisms underlying the developmental origins of disease. </w:t>
      </w:r>
      <w:r w:rsidRPr="00860561">
        <w:rPr>
          <w:rFonts w:ascii="Arial" w:hAnsi="Arial" w:cs="Arial"/>
          <w:i/>
          <w:noProof/>
          <w:szCs w:val="24"/>
        </w:rPr>
        <w:t>Rev Endocr Metab Disord</w:t>
      </w:r>
      <w:r w:rsidRPr="00860561">
        <w:rPr>
          <w:rFonts w:ascii="Arial" w:hAnsi="Arial" w:cs="Arial"/>
          <w:noProof/>
          <w:szCs w:val="24"/>
        </w:rPr>
        <w:t xml:space="preserve"> 2012; 13:85</w:t>
      </w:r>
      <w:r w:rsidR="00503819">
        <w:rPr>
          <w:rFonts w:ascii="Arial" w:hAnsi="Arial" w:cs="Arial"/>
          <w:noProof/>
          <w:szCs w:val="24"/>
        </w:rPr>
        <w:t>-</w:t>
      </w:r>
      <w:r w:rsidRPr="00860561">
        <w:rPr>
          <w:rFonts w:ascii="Arial" w:hAnsi="Arial" w:cs="Arial"/>
          <w:noProof/>
          <w:szCs w:val="24"/>
        </w:rPr>
        <w:t xml:space="preserve">92. </w:t>
      </w:r>
    </w:p>
    <w:p w14:paraId="7E8AA64B"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Gluckman PD, Beedle AS, Hanson MA, Low FM. Human growth: evolutionary and life history perspectives. </w:t>
      </w:r>
      <w:r w:rsidRPr="00860561">
        <w:rPr>
          <w:rFonts w:ascii="Arial" w:hAnsi="Arial" w:cs="Arial"/>
          <w:i/>
          <w:noProof/>
          <w:szCs w:val="24"/>
        </w:rPr>
        <w:t>Nestle Nutr Inst Workshop Ser</w:t>
      </w:r>
      <w:r w:rsidRPr="00860561">
        <w:rPr>
          <w:rFonts w:ascii="Arial" w:hAnsi="Arial" w:cs="Arial"/>
          <w:noProof/>
          <w:szCs w:val="24"/>
        </w:rPr>
        <w:t xml:space="preserve"> 2013; 71:89</w:t>
      </w:r>
      <w:r w:rsidR="00503819">
        <w:rPr>
          <w:rFonts w:ascii="Arial" w:hAnsi="Arial" w:cs="Arial"/>
          <w:noProof/>
          <w:szCs w:val="24"/>
        </w:rPr>
        <w:t>-</w:t>
      </w:r>
      <w:r w:rsidRPr="00860561">
        <w:rPr>
          <w:rFonts w:ascii="Arial" w:hAnsi="Arial" w:cs="Arial"/>
          <w:noProof/>
          <w:szCs w:val="24"/>
        </w:rPr>
        <w:t xml:space="preserve">102. </w:t>
      </w:r>
    </w:p>
    <w:p w14:paraId="281A7F89"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Whincup PH, Kaye SJ, Owen CG, Huxley R, Cook DG, Anazawa S, et al. Birth weight and risk of type 2 diabetes: a systematic review. </w:t>
      </w:r>
      <w:r w:rsidRPr="00860561">
        <w:rPr>
          <w:rFonts w:ascii="Arial" w:hAnsi="Arial" w:cs="Arial"/>
          <w:i/>
          <w:noProof/>
          <w:szCs w:val="24"/>
        </w:rPr>
        <w:t>JAMA</w:t>
      </w:r>
      <w:r w:rsidRPr="00860561">
        <w:rPr>
          <w:rFonts w:ascii="Arial" w:hAnsi="Arial" w:cs="Arial"/>
          <w:noProof/>
          <w:szCs w:val="24"/>
        </w:rPr>
        <w:t xml:space="preserve"> 2008; 300:2886</w:t>
      </w:r>
      <w:r w:rsidR="00503819">
        <w:rPr>
          <w:rFonts w:ascii="Arial" w:hAnsi="Arial" w:cs="Arial"/>
          <w:noProof/>
          <w:szCs w:val="24"/>
        </w:rPr>
        <w:t>-28</w:t>
      </w:r>
      <w:r w:rsidRPr="00860561">
        <w:rPr>
          <w:rFonts w:ascii="Arial" w:hAnsi="Arial" w:cs="Arial"/>
          <w:noProof/>
          <w:szCs w:val="24"/>
        </w:rPr>
        <w:t xml:space="preserve">97. </w:t>
      </w:r>
    </w:p>
    <w:p w14:paraId="1B9B8104" w14:textId="77777777" w:rsidR="008E3193" w:rsidRPr="009041EA" w:rsidRDefault="008E3193" w:rsidP="008E3193">
      <w:pPr>
        <w:pStyle w:val="ListParagraph"/>
        <w:widowControl w:val="0"/>
        <w:numPr>
          <w:ilvl w:val="0"/>
          <w:numId w:val="10"/>
        </w:numPr>
        <w:autoSpaceDE w:val="0"/>
        <w:autoSpaceDN w:val="0"/>
        <w:adjustRightInd w:val="0"/>
        <w:spacing w:after="0" w:line="480" w:lineRule="auto"/>
        <w:ind w:left="426" w:hanging="426"/>
        <w:rPr>
          <w:rFonts w:ascii="Arial" w:hAnsi="Arial" w:cs="Arial"/>
          <w:noProof/>
          <w:szCs w:val="24"/>
        </w:rPr>
      </w:pPr>
      <w:r w:rsidRPr="009041EA">
        <w:rPr>
          <w:rFonts w:ascii="Arial" w:hAnsi="Arial" w:cs="Arial"/>
          <w:noProof/>
          <w:szCs w:val="24"/>
        </w:rPr>
        <w:t>Berends LM, Fernandez-Twinn DS, Martin-Gronert MS, Cripps RL, Ozanne SE. Catch-up growth following intra-uterine growth-restriction programmes an insulin-resistant phenotype in adipose tissue. Int J Obes 2013; 37:1051-</w:t>
      </w:r>
      <w:r w:rsidR="00503819">
        <w:rPr>
          <w:rFonts w:ascii="Arial" w:hAnsi="Arial" w:cs="Arial"/>
          <w:noProof/>
          <w:szCs w:val="24"/>
        </w:rPr>
        <w:t>105</w:t>
      </w:r>
      <w:r w:rsidRPr="009041EA">
        <w:rPr>
          <w:rFonts w:ascii="Arial" w:hAnsi="Arial" w:cs="Arial"/>
          <w:noProof/>
          <w:szCs w:val="24"/>
        </w:rPr>
        <w:t>7</w:t>
      </w:r>
      <w:r w:rsidR="00E4564F">
        <w:rPr>
          <w:rFonts w:ascii="Arial" w:hAnsi="Arial" w:cs="Arial"/>
          <w:noProof/>
          <w:szCs w:val="24"/>
        </w:rPr>
        <w:t>.</w:t>
      </w:r>
    </w:p>
    <w:p w14:paraId="37B12C8D"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Painter RC, Roseboom TJ, Bleker OP. Prenatal exposure to the Dutch famine and disease in later life: an overview. </w:t>
      </w:r>
      <w:r w:rsidRPr="00860561">
        <w:rPr>
          <w:rFonts w:ascii="Arial" w:hAnsi="Arial" w:cs="Arial"/>
          <w:i/>
          <w:noProof/>
          <w:szCs w:val="24"/>
        </w:rPr>
        <w:t>Reprod Toxicol</w:t>
      </w:r>
      <w:r w:rsidRPr="00860561">
        <w:rPr>
          <w:rFonts w:ascii="Arial" w:hAnsi="Arial" w:cs="Arial"/>
          <w:noProof/>
          <w:szCs w:val="24"/>
        </w:rPr>
        <w:t xml:space="preserve"> 2005; 20:345</w:t>
      </w:r>
      <w:r w:rsidR="00503819">
        <w:rPr>
          <w:rFonts w:ascii="Arial" w:hAnsi="Arial" w:cs="Arial"/>
          <w:noProof/>
          <w:szCs w:val="24"/>
        </w:rPr>
        <w:t>-3</w:t>
      </w:r>
      <w:r w:rsidRPr="00860561">
        <w:rPr>
          <w:rFonts w:ascii="Arial" w:hAnsi="Arial" w:cs="Arial"/>
          <w:noProof/>
          <w:szCs w:val="24"/>
        </w:rPr>
        <w:t xml:space="preserve">52. </w:t>
      </w:r>
    </w:p>
    <w:p w14:paraId="2306FC9C"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Ong KK, Kennedy K, Castañeda</w:t>
      </w:r>
      <w:r w:rsidRPr="00860561">
        <w:rPr>
          <w:rFonts w:ascii="Cambria Math" w:hAnsi="Cambria Math" w:cs="Cambria Math"/>
          <w:noProof/>
          <w:szCs w:val="24"/>
        </w:rPr>
        <w:t>‐</w:t>
      </w:r>
      <w:r w:rsidRPr="00860561">
        <w:rPr>
          <w:rFonts w:ascii="Arial" w:hAnsi="Arial" w:cs="Arial"/>
          <w:noProof/>
          <w:szCs w:val="24"/>
        </w:rPr>
        <w:t xml:space="preserve">Gutiérrez E, Forsyth S, Godfrey KM, Koletzko B, et al. Postnatal growth in preterm infants and later health outcomes: a systematic review. </w:t>
      </w:r>
      <w:r w:rsidRPr="00860561">
        <w:rPr>
          <w:rFonts w:ascii="Arial" w:hAnsi="Arial" w:cs="Arial"/>
          <w:i/>
          <w:noProof/>
          <w:szCs w:val="24"/>
        </w:rPr>
        <w:t>Acta Paediatr</w:t>
      </w:r>
      <w:r w:rsidRPr="00860561">
        <w:rPr>
          <w:rFonts w:ascii="Arial" w:hAnsi="Arial" w:cs="Arial"/>
          <w:noProof/>
          <w:szCs w:val="24"/>
        </w:rPr>
        <w:t xml:space="preserve"> 2015; 104:974</w:t>
      </w:r>
      <w:r w:rsidR="00503819">
        <w:rPr>
          <w:rFonts w:ascii="Arial" w:hAnsi="Arial" w:cs="Arial"/>
          <w:noProof/>
          <w:szCs w:val="24"/>
        </w:rPr>
        <w:t>-9</w:t>
      </w:r>
      <w:r w:rsidRPr="00860561">
        <w:rPr>
          <w:rFonts w:ascii="Arial" w:hAnsi="Arial" w:cs="Arial"/>
          <w:noProof/>
          <w:szCs w:val="24"/>
        </w:rPr>
        <w:t xml:space="preserve">86. </w:t>
      </w:r>
    </w:p>
    <w:p w14:paraId="5E15A8E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Belfort MB, Rifas-Shiman SL, Sullivan T, Collins CT, McPhee AJ, Ryan P, et al. Infant </w:t>
      </w:r>
      <w:r w:rsidRPr="00860561">
        <w:rPr>
          <w:rFonts w:ascii="Arial" w:hAnsi="Arial" w:cs="Arial"/>
          <w:noProof/>
          <w:szCs w:val="24"/>
        </w:rPr>
        <w:lastRenderedPageBreak/>
        <w:t>growth before and after term: effects on neurodevelopment in preterm infants.</w:t>
      </w:r>
      <w:r w:rsidRPr="00860561">
        <w:rPr>
          <w:rFonts w:ascii="Arial" w:hAnsi="Arial" w:cs="Arial"/>
          <w:i/>
          <w:noProof/>
          <w:szCs w:val="24"/>
        </w:rPr>
        <w:t xml:space="preserve"> Pediatrics</w:t>
      </w:r>
      <w:r w:rsidRPr="00860561">
        <w:rPr>
          <w:rFonts w:ascii="Arial" w:hAnsi="Arial" w:cs="Arial"/>
          <w:noProof/>
          <w:szCs w:val="24"/>
        </w:rPr>
        <w:t xml:space="preserve"> 2011; 128:e899-906. </w:t>
      </w:r>
    </w:p>
    <w:p w14:paraId="7FFDF45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Ma TH, Kim KA, Ko SY, Lee YK, Shin SM. Catch-up growth and development of very low birth weight infants. </w:t>
      </w:r>
      <w:r w:rsidRPr="00860561">
        <w:rPr>
          <w:rFonts w:ascii="Arial" w:hAnsi="Arial" w:cs="Arial"/>
          <w:i/>
          <w:noProof/>
          <w:szCs w:val="24"/>
        </w:rPr>
        <w:t>Korean J Pediatr</w:t>
      </w:r>
      <w:r w:rsidRPr="00860561">
        <w:rPr>
          <w:rFonts w:ascii="Arial" w:hAnsi="Arial" w:cs="Arial"/>
          <w:noProof/>
          <w:szCs w:val="24"/>
        </w:rPr>
        <w:t>; 2006; 49:29</w:t>
      </w:r>
      <w:r w:rsidR="00503819">
        <w:rPr>
          <w:rFonts w:ascii="Arial" w:hAnsi="Arial" w:cs="Arial"/>
          <w:noProof/>
          <w:szCs w:val="24"/>
        </w:rPr>
        <w:t>-</w:t>
      </w:r>
      <w:r w:rsidRPr="00860561">
        <w:rPr>
          <w:rFonts w:ascii="Arial" w:hAnsi="Arial" w:cs="Arial"/>
          <w:noProof/>
          <w:szCs w:val="24"/>
        </w:rPr>
        <w:t xml:space="preserve">33. </w:t>
      </w:r>
    </w:p>
    <w:p w14:paraId="4C93BDEB"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Yadav S, Rustogi D. Small for gestational age: growth and puberty issues. </w:t>
      </w:r>
      <w:r w:rsidRPr="00860561">
        <w:rPr>
          <w:rFonts w:ascii="Arial" w:hAnsi="Arial" w:cs="Arial"/>
          <w:i/>
          <w:noProof/>
          <w:szCs w:val="24"/>
        </w:rPr>
        <w:t>Indian Pediatr</w:t>
      </w:r>
      <w:r w:rsidRPr="00860561">
        <w:rPr>
          <w:rFonts w:ascii="Arial" w:hAnsi="Arial" w:cs="Arial"/>
          <w:noProof/>
          <w:szCs w:val="24"/>
        </w:rPr>
        <w:t xml:space="preserve"> 2015; 52:135</w:t>
      </w:r>
      <w:r w:rsidR="00503819">
        <w:rPr>
          <w:rFonts w:ascii="Arial" w:hAnsi="Arial" w:cs="Arial"/>
          <w:noProof/>
          <w:szCs w:val="24"/>
        </w:rPr>
        <w:t>-1</w:t>
      </w:r>
      <w:r w:rsidRPr="00860561">
        <w:rPr>
          <w:rFonts w:ascii="Arial" w:hAnsi="Arial" w:cs="Arial"/>
          <w:noProof/>
          <w:szCs w:val="24"/>
        </w:rPr>
        <w:t xml:space="preserve">40. </w:t>
      </w:r>
    </w:p>
    <w:p w14:paraId="5AE9B437"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Lee PA, Chernausek SD, Hokken-Koelega ACS, Czernichow P. International Small for Gestational Age Advisory Board consensus development conference statement: management of short children born small for gestational age, April 24–October 1, 2001. Pediatrics. </w:t>
      </w:r>
      <w:r w:rsidRPr="00860561">
        <w:rPr>
          <w:rFonts w:ascii="Arial" w:hAnsi="Arial" w:cs="Arial"/>
          <w:i/>
          <w:noProof/>
          <w:szCs w:val="24"/>
        </w:rPr>
        <w:t>Am Acad Pediatrics</w:t>
      </w:r>
      <w:r w:rsidRPr="00860561">
        <w:rPr>
          <w:rFonts w:ascii="Arial" w:hAnsi="Arial" w:cs="Arial"/>
          <w:noProof/>
          <w:szCs w:val="24"/>
        </w:rPr>
        <w:t xml:space="preserve"> 2003; 111:1253</w:t>
      </w:r>
      <w:r w:rsidR="00503819">
        <w:rPr>
          <w:rFonts w:ascii="Arial" w:hAnsi="Arial" w:cs="Arial"/>
          <w:noProof/>
          <w:szCs w:val="24"/>
        </w:rPr>
        <w:t>-12</w:t>
      </w:r>
      <w:r w:rsidRPr="00860561">
        <w:rPr>
          <w:rFonts w:ascii="Arial" w:hAnsi="Arial" w:cs="Arial"/>
          <w:noProof/>
          <w:szCs w:val="24"/>
        </w:rPr>
        <w:t xml:space="preserve">61. </w:t>
      </w:r>
    </w:p>
    <w:p w14:paraId="52B385A2"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Soto N, Bazaes RA, Peña V, Salazar T, Ávila A, Iñiguez G, et al. Insulin sensitivity and secretion are related to catch-up growth in small-for-gestational-age infants at age 1 year: results from a prospective cohort. </w:t>
      </w:r>
      <w:r w:rsidRPr="00860561">
        <w:rPr>
          <w:rFonts w:ascii="Arial" w:hAnsi="Arial" w:cs="Arial"/>
          <w:i/>
          <w:noProof/>
          <w:szCs w:val="24"/>
        </w:rPr>
        <w:t>J Clin Endocrinol Metab</w:t>
      </w:r>
      <w:r w:rsidRPr="00860561">
        <w:rPr>
          <w:rFonts w:ascii="Arial" w:hAnsi="Arial" w:cs="Arial"/>
          <w:noProof/>
          <w:szCs w:val="24"/>
        </w:rPr>
        <w:t xml:space="preserve"> 2003; 88:3645</w:t>
      </w:r>
      <w:r w:rsidR="00503819">
        <w:rPr>
          <w:rFonts w:ascii="Arial" w:hAnsi="Arial" w:cs="Arial"/>
          <w:noProof/>
          <w:szCs w:val="24"/>
        </w:rPr>
        <w:t>-36</w:t>
      </w:r>
      <w:r w:rsidRPr="00860561">
        <w:rPr>
          <w:rFonts w:ascii="Arial" w:hAnsi="Arial" w:cs="Arial"/>
          <w:noProof/>
          <w:szCs w:val="24"/>
        </w:rPr>
        <w:t xml:space="preserve">50. </w:t>
      </w:r>
    </w:p>
    <w:p w14:paraId="4C1A8805"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Veening MA, van Weissenbruch MM, Heine RJ, Delemarre-van de Waal HA. β-</w:t>
      </w:r>
      <w:r w:rsidR="00503819">
        <w:rPr>
          <w:rFonts w:ascii="Arial" w:hAnsi="Arial" w:cs="Arial"/>
          <w:noProof/>
          <w:szCs w:val="24"/>
        </w:rPr>
        <w:t>c</w:t>
      </w:r>
      <w:r w:rsidR="00503819" w:rsidRPr="00860561">
        <w:rPr>
          <w:rFonts w:ascii="Arial" w:hAnsi="Arial" w:cs="Arial"/>
          <w:noProof/>
          <w:szCs w:val="24"/>
        </w:rPr>
        <w:t xml:space="preserve">ell </w:t>
      </w:r>
      <w:r w:rsidR="00503819">
        <w:rPr>
          <w:rFonts w:ascii="Arial" w:hAnsi="Arial" w:cs="Arial"/>
          <w:noProof/>
          <w:szCs w:val="24"/>
        </w:rPr>
        <w:t>c</w:t>
      </w:r>
      <w:r w:rsidR="00503819" w:rsidRPr="00860561">
        <w:rPr>
          <w:rFonts w:ascii="Arial" w:hAnsi="Arial" w:cs="Arial"/>
          <w:noProof/>
          <w:szCs w:val="24"/>
        </w:rPr>
        <w:t xml:space="preserve">apacity </w:t>
      </w:r>
      <w:r w:rsidRPr="00860561">
        <w:rPr>
          <w:rFonts w:ascii="Arial" w:hAnsi="Arial" w:cs="Arial"/>
          <w:noProof/>
          <w:szCs w:val="24"/>
        </w:rPr>
        <w:t xml:space="preserve">and </w:t>
      </w:r>
      <w:r w:rsidR="00503819">
        <w:rPr>
          <w:rFonts w:ascii="Arial" w:hAnsi="Arial" w:cs="Arial"/>
          <w:noProof/>
          <w:szCs w:val="24"/>
        </w:rPr>
        <w:t>i</w:t>
      </w:r>
      <w:r w:rsidR="00503819" w:rsidRPr="00860561">
        <w:rPr>
          <w:rFonts w:ascii="Arial" w:hAnsi="Arial" w:cs="Arial"/>
          <w:noProof/>
          <w:szCs w:val="24"/>
        </w:rPr>
        <w:t xml:space="preserve">nsulin </w:t>
      </w:r>
      <w:r w:rsidR="00503819">
        <w:rPr>
          <w:rFonts w:ascii="Arial" w:hAnsi="Arial" w:cs="Arial"/>
          <w:noProof/>
          <w:szCs w:val="24"/>
        </w:rPr>
        <w:t>s</w:t>
      </w:r>
      <w:r w:rsidR="00503819" w:rsidRPr="00860561">
        <w:rPr>
          <w:rFonts w:ascii="Arial" w:hAnsi="Arial" w:cs="Arial"/>
          <w:noProof/>
          <w:szCs w:val="24"/>
        </w:rPr>
        <w:t xml:space="preserve">ensitivity </w:t>
      </w:r>
      <w:r w:rsidRPr="00860561">
        <w:rPr>
          <w:rFonts w:ascii="Arial" w:hAnsi="Arial" w:cs="Arial"/>
          <w:noProof/>
          <w:szCs w:val="24"/>
        </w:rPr>
        <w:t xml:space="preserve">in </w:t>
      </w:r>
      <w:r w:rsidR="00503819">
        <w:rPr>
          <w:rFonts w:ascii="Arial" w:hAnsi="Arial" w:cs="Arial"/>
          <w:noProof/>
          <w:szCs w:val="24"/>
        </w:rPr>
        <w:t>p</w:t>
      </w:r>
      <w:r w:rsidR="00503819" w:rsidRPr="00860561">
        <w:rPr>
          <w:rFonts w:ascii="Arial" w:hAnsi="Arial" w:cs="Arial"/>
          <w:noProof/>
          <w:szCs w:val="24"/>
        </w:rPr>
        <w:t xml:space="preserve">repubertal </w:t>
      </w:r>
      <w:r w:rsidR="00503819">
        <w:rPr>
          <w:rFonts w:ascii="Arial" w:hAnsi="Arial" w:cs="Arial"/>
          <w:noProof/>
          <w:szCs w:val="24"/>
        </w:rPr>
        <w:t>c</w:t>
      </w:r>
      <w:r w:rsidR="00503819" w:rsidRPr="00860561">
        <w:rPr>
          <w:rFonts w:ascii="Arial" w:hAnsi="Arial" w:cs="Arial"/>
          <w:noProof/>
          <w:szCs w:val="24"/>
        </w:rPr>
        <w:t xml:space="preserve">hildren </w:t>
      </w:r>
      <w:r w:rsidR="00503819">
        <w:rPr>
          <w:rFonts w:ascii="Arial" w:hAnsi="Arial" w:cs="Arial"/>
          <w:noProof/>
          <w:szCs w:val="24"/>
        </w:rPr>
        <w:t>b</w:t>
      </w:r>
      <w:r w:rsidR="00503819" w:rsidRPr="00860561">
        <w:rPr>
          <w:rFonts w:ascii="Arial" w:hAnsi="Arial" w:cs="Arial"/>
          <w:noProof/>
          <w:szCs w:val="24"/>
        </w:rPr>
        <w:t xml:space="preserve">orn </w:t>
      </w:r>
      <w:r w:rsidR="00503819">
        <w:rPr>
          <w:rFonts w:ascii="Arial" w:hAnsi="Arial" w:cs="Arial"/>
          <w:noProof/>
          <w:szCs w:val="24"/>
        </w:rPr>
        <w:t>s</w:t>
      </w:r>
      <w:r w:rsidR="00503819" w:rsidRPr="00860561">
        <w:rPr>
          <w:rFonts w:ascii="Arial" w:hAnsi="Arial" w:cs="Arial"/>
          <w:noProof/>
          <w:szCs w:val="24"/>
        </w:rPr>
        <w:t xml:space="preserve">mall </w:t>
      </w:r>
      <w:r w:rsidRPr="00860561">
        <w:rPr>
          <w:rFonts w:ascii="Arial" w:hAnsi="Arial" w:cs="Arial"/>
          <w:noProof/>
          <w:szCs w:val="24"/>
        </w:rPr>
        <w:t xml:space="preserve">for </w:t>
      </w:r>
      <w:r w:rsidR="00503819">
        <w:rPr>
          <w:rFonts w:ascii="Arial" w:hAnsi="Arial" w:cs="Arial"/>
          <w:noProof/>
          <w:szCs w:val="24"/>
        </w:rPr>
        <w:t>g</w:t>
      </w:r>
      <w:r w:rsidR="00503819" w:rsidRPr="00860561">
        <w:rPr>
          <w:rFonts w:ascii="Arial" w:hAnsi="Arial" w:cs="Arial"/>
          <w:noProof/>
          <w:szCs w:val="24"/>
        </w:rPr>
        <w:t xml:space="preserve">estational </w:t>
      </w:r>
      <w:r w:rsidR="00503819">
        <w:rPr>
          <w:rFonts w:ascii="Arial" w:hAnsi="Arial" w:cs="Arial"/>
          <w:noProof/>
          <w:szCs w:val="24"/>
        </w:rPr>
        <w:t>a</w:t>
      </w:r>
      <w:r w:rsidR="00503819" w:rsidRPr="00860561">
        <w:rPr>
          <w:rFonts w:ascii="Arial" w:hAnsi="Arial" w:cs="Arial"/>
          <w:noProof/>
          <w:szCs w:val="24"/>
        </w:rPr>
        <w:t>ge</w:t>
      </w:r>
      <w:r w:rsidRPr="00860561">
        <w:rPr>
          <w:rFonts w:ascii="Arial" w:hAnsi="Arial" w:cs="Arial"/>
          <w:noProof/>
          <w:szCs w:val="24"/>
        </w:rPr>
        <w:t xml:space="preserve">. </w:t>
      </w:r>
      <w:r w:rsidRPr="00860561">
        <w:rPr>
          <w:rFonts w:ascii="Arial" w:hAnsi="Arial" w:cs="Arial"/>
          <w:i/>
          <w:noProof/>
          <w:szCs w:val="24"/>
        </w:rPr>
        <w:t>Diabetes</w:t>
      </w:r>
      <w:r w:rsidRPr="00860561">
        <w:rPr>
          <w:rFonts w:ascii="Arial" w:hAnsi="Arial" w:cs="Arial"/>
          <w:noProof/>
          <w:szCs w:val="24"/>
        </w:rPr>
        <w:t xml:space="preserve"> 2003; 52:1756</w:t>
      </w:r>
      <w:r w:rsidR="00503819">
        <w:rPr>
          <w:rFonts w:ascii="Arial" w:hAnsi="Arial" w:cs="Arial"/>
          <w:noProof/>
          <w:szCs w:val="24"/>
        </w:rPr>
        <w:t>-17</w:t>
      </w:r>
      <w:r w:rsidRPr="00860561">
        <w:rPr>
          <w:rFonts w:ascii="Arial" w:hAnsi="Arial" w:cs="Arial"/>
          <w:noProof/>
          <w:szCs w:val="24"/>
        </w:rPr>
        <w:t xml:space="preserve">60. </w:t>
      </w:r>
    </w:p>
    <w:p w14:paraId="30E0FE6F"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Cianfarani S, Maiorana A, Geremia C, Scirè G, Spadoni GL, Germani D. Blood glucose concentrations are reduced in children born small for gestational age (SGA), and thyroid-stimulating hormone levels are increased in SGA with blunted postnatal catch-up growth. </w:t>
      </w:r>
      <w:r w:rsidRPr="00860561">
        <w:rPr>
          <w:rFonts w:ascii="Arial" w:hAnsi="Arial" w:cs="Arial"/>
          <w:i/>
          <w:noProof/>
          <w:szCs w:val="24"/>
        </w:rPr>
        <w:t>J Clin Endocrinol Metab</w:t>
      </w:r>
      <w:r w:rsidRPr="00860561">
        <w:rPr>
          <w:rFonts w:ascii="Arial" w:hAnsi="Arial" w:cs="Arial"/>
          <w:noProof/>
          <w:szCs w:val="24"/>
        </w:rPr>
        <w:t xml:space="preserve"> 2003; 88:2699</w:t>
      </w:r>
      <w:r w:rsidR="00503819">
        <w:rPr>
          <w:rFonts w:ascii="Arial" w:hAnsi="Arial" w:cs="Arial"/>
          <w:noProof/>
          <w:szCs w:val="24"/>
        </w:rPr>
        <w:t>2</w:t>
      </w:r>
      <w:r w:rsidRPr="00860561">
        <w:rPr>
          <w:rFonts w:ascii="Arial" w:hAnsi="Arial" w:cs="Arial"/>
          <w:noProof/>
          <w:szCs w:val="24"/>
        </w:rPr>
        <w:t xml:space="preserve">705. </w:t>
      </w:r>
    </w:p>
    <w:p w14:paraId="428DC144" w14:textId="77777777" w:rsidR="008E3193"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Baird J, Lucas P, Kleijnen J, Fisher D, Roberts H, Law C. Defining optimal infant growth for lifetime health: a systematic review of lay and scientific literature. 2005. Available from: </w:t>
      </w:r>
      <w:hyperlink r:id="rId13" w:history="1">
        <w:r w:rsidR="00503819" w:rsidRPr="00737847">
          <w:rPr>
            <w:rStyle w:val="Hyperlink"/>
            <w:rFonts w:ascii="Arial" w:hAnsi="Arial" w:cs="Arial"/>
            <w:noProof/>
            <w:szCs w:val="24"/>
          </w:rPr>
          <w:t>http://www.mrc.soton.ac.uk/web2/files/2016/10/Full_report_Chapters1_to_13.pdf</w:t>
        </w:r>
      </w:hyperlink>
    </w:p>
    <w:p w14:paraId="533C187B"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Wells GA, Shea B, O’connell D, Peterson J, Welch V, Losos M, et al. The Newcastle-Ottawa Scale (NOS) for assessing the quality of nonrandomised studies in meta-analyses. </w:t>
      </w:r>
      <w:r w:rsidR="00503819" w:rsidRPr="00860561">
        <w:rPr>
          <w:rFonts w:ascii="Arial" w:hAnsi="Arial" w:cs="Arial"/>
          <w:noProof/>
          <w:szCs w:val="24"/>
        </w:rPr>
        <w:t>2008.</w:t>
      </w:r>
      <w:r w:rsidR="00503819">
        <w:rPr>
          <w:rFonts w:ascii="Arial" w:hAnsi="Arial" w:cs="Arial"/>
          <w:noProof/>
          <w:szCs w:val="24"/>
        </w:rPr>
        <w:t xml:space="preserve"> </w:t>
      </w:r>
      <w:r w:rsidRPr="00860561">
        <w:rPr>
          <w:rFonts w:ascii="Arial" w:hAnsi="Arial" w:cs="Arial"/>
          <w:noProof/>
          <w:szCs w:val="24"/>
        </w:rPr>
        <w:t xml:space="preserve">Available at: http://ohri ca/programs/clinical_epidemiology/oxford asp (accessed June 2014). </w:t>
      </w:r>
    </w:p>
    <w:p w14:paraId="43840B2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lastRenderedPageBreak/>
        <w:t xml:space="preserve">Morley R, Fewtrell MS, Abbott RA, Stephenson T, MacFadyen U, Lucas A. Neurodevelopment in children born small for gestational age: a randomized trial of nutrient-enriched versus standard formula and comparison with a reference breastfed group. </w:t>
      </w:r>
      <w:r w:rsidRPr="00860561">
        <w:rPr>
          <w:rFonts w:ascii="Arial" w:hAnsi="Arial" w:cs="Arial"/>
          <w:i/>
          <w:noProof/>
          <w:szCs w:val="24"/>
        </w:rPr>
        <w:t>Pediatrics</w:t>
      </w:r>
      <w:r w:rsidRPr="00860561">
        <w:rPr>
          <w:rFonts w:ascii="Arial" w:hAnsi="Arial" w:cs="Arial"/>
          <w:noProof/>
          <w:szCs w:val="24"/>
        </w:rPr>
        <w:t xml:space="preserve"> 2004; 113:515</w:t>
      </w:r>
      <w:r w:rsidR="00503819">
        <w:rPr>
          <w:rFonts w:ascii="Arial" w:hAnsi="Arial" w:cs="Arial"/>
          <w:noProof/>
          <w:szCs w:val="24"/>
        </w:rPr>
        <w:t>-5</w:t>
      </w:r>
      <w:r w:rsidRPr="00860561">
        <w:rPr>
          <w:rFonts w:ascii="Arial" w:hAnsi="Arial" w:cs="Arial"/>
          <w:noProof/>
          <w:szCs w:val="24"/>
        </w:rPr>
        <w:t xml:space="preserve">21. </w:t>
      </w:r>
    </w:p>
    <w:p w14:paraId="3BAD13FD"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Singhal A, Cole TJ, Fewtrell M, Kennedy K, Stephenson T, Elias-Jones A, et al. Promotion of faster weight gain in infants born small for gestational age. </w:t>
      </w:r>
      <w:r w:rsidRPr="00860561">
        <w:rPr>
          <w:rFonts w:ascii="Arial" w:hAnsi="Arial" w:cs="Arial"/>
          <w:i/>
          <w:noProof/>
          <w:szCs w:val="24"/>
        </w:rPr>
        <w:t>Circulation</w:t>
      </w:r>
      <w:r w:rsidRPr="00860561">
        <w:rPr>
          <w:rFonts w:ascii="Arial" w:hAnsi="Arial" w:cs="Arial"/>
          <w:noProof/>
          <w:szCs w:val="24"/>
        </w:rPr>
        <w:t xml:space="preserve"> 2007; 115:213</w:t>
      </w:r>
      <w:r w:rsidR="00503819">
        <w:rPr>
          <w:rFonts w:ascii="Arial" w:hAnsi="Arial" w:cs="Arial"/>
          <w:noProof/>
          <w:szCs w:val="24"/>
        </w:rPr>
        <w:t>-2</w:t>
      </w:r>
      <w:r w:rsidRPr="00860561">
        <w:rPr>
          <w:rFonts w:ascii="Arial" w:hAnsi="Arial" w:cs="Arial"/>
          <w:noProof/>
          <w:szCs w:val="24"/>
        </w:rPr>
        <w:t xml:space="preserve">20. </w:t>
      </w:r>
    </w:p>
    <w:p w14:paraId="79E4A08E"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Singhal A, Kennedy K, Lanigan J, Fewtrell M, Cole TJ, Stephenson T, et al. Nutrition in infancy and long-term risk of obesity: evidence from 2 randomized controlled trials. </w:t>
      </w:r>
      <w:r w:rsidRPr="00860561">
        <w:rPr>
          <w:rFonts w:ascii="Arial" w:hAnsi="Arial" w:cs="Arial"/>
          <w:i/>
          <w:noProof/>
          <w:szCs w:val="24"/>
        </w:rPr>
        <w:t>Am J Clin Nutr</w:t>
      </w:r>
      <w:r w:rsidRPr="00860561">
        <w:rPr>
          <w:rFonts w:ascii="Arial" w:hAnsi="Arial" w:cs="Arial"/>
          <w:noProof/>
          <w:szCs w:val="24"/>
        </w:rPr>
        <w:t xml:space="preserve"> 2010; 92:1133</w:t>
      </w:r>
      <w:r w:rsidR="00503819">
        <w:rPr>
          <w:rFonts w:ascii="Arial" w:hAnsi="Arial" w:cs="Arial"/>
          <w:noProof/>
          <w:szCs w:val="24"/>
        </w:rPr>
        <w:t>-11</w:t>
      </w:r>
      <w:r w:rsidRPr="00860561">
        <w:rPr>
          <w:rFonts w:ascii="Arial" w:hAnsi="Arial" w:cs="Arial"/>
          <w:noProof/>
          <w:szCs w:val="24"/>
        </w:rPr>
        <w:t xml:space="preserve">44. </w:t>
      </w:r>
    </w:p>
    <w:p w14:paraId="52F06B02"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Strauss RS. Adult functional outcome of those born small for gestational age: twenty-six–year follow-up of the 1970 British birth cohort. </w:t>
      </w:r>
      <w:r w:rsidRPr="00860561">
        <w:rPr>
          <w:rFonts w:ascii="Arial" w:hAnsi="Arial" w:cs="Arial"/>
          <w:i/>
          <w:noProof/>
          <w:szCs w:val="24"/>
        </w:rPr>
        <w:t>JAMA</w:t>
      </w:r>
      <w:r w:rsidRPr="00860561">
        <w:rPr>
          <w:rFonts w:ascii="Arial" w:hAnsi="Arial" w:cs="Arial"/>
          <w:noProof/>
          <w:szCs w:val="24"/>
        </w:rPr>
        <w:t xml:space="preserve"> 2000; 283:625</w:t>
      </w:r>
      <w:r w:rsidR="00503819">
        <w:rPr>
          <w:rFonts w:ascii="Arial" w:hAnsi="Arial" w:cs="Arial"/>
          <w:noProof/>
          <w:szCs w:val="24"/>
        </w:rPr>
        <w:t>-2</w:t>
      </w:r>
      <w:r w:rsidRPr="00860561">
        <w:rPr>
          <w:rFonts w:ascii="Arial" w:hAnsi="Arial" w:cs="Arial"/>
          <w:noProof/>
          <w:szCs w:val="24"/>
        </w:rPr>
        <w:t xml:space="preserve">32. </w:t>
      </w:r>
    </w:p>
    <w:p w14:paraId="6C461CA4"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Horta BL, Sibbritt DW, Lima RC, Victora CG. Weight catch-up and achieved schooling at 18 years of age in Brazilian males. </w:t>
      </w:r>
      <w:r w:rsidRPr="00860561">
        <w:rPr>
          <w:rFonts w:ascii="Arial" w:hAnsi="Arial" w:cs="Arial"/>
          <w:i/>
          <w:noProof/>
          <w:szCs w:val="24"/>
        </w:rPr>
        <w:t>Eur J Clin Nutr</w:t>
      </w:r>
      <w:r w:rsidRPr="00860561">
        <w:rPr>
          <w:rFonts w:ascii="Arial" w:hAnsi="Arial" w:cs="Arial"/>
          <w:noProof/>
          <w:szCs w:val="24"/>
        </w:rPr>
        <w:t xml:space="preserve"> 2009; 63:369</w:t>
      </w:r>
      <w:r w:rsidR="00503819">
        <w:rPr>
          <w:rFonts w:ascii="Arial" w:hAnsi="Arial" w:cs="Arial"/>
          <w:noProof/>
          <w:szCs w:val="24"/>
        </w:rPr>
        <w:t>-3</w:t>
      </w:r>
      <w:r w:rsidRPr="00860561">
        <w:rPr>
          <w:rFonts w:ascii="Arial" w:hAnsi="Arial" w:cs="Arial"/>
          <w:noProof/>
          <w:szCs w:val="24"/>
        </w:rPr>
        <w:t xml:space="preserve">74. </w:t>
      </w:r>
    </w:p>
    <w:p w14:paraId="58C5B584"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Jensen RB, Juul A, Larsen T, Mortensen EL, Greisen G. Cognitive ability in adolescents born small for gestational age: Associations with fetal growth velocity, head circumference and postnatal growth. </w:t>
      </w:r>
      <w:r w:rsidRPr="00860561">
        <w:rPr>
          <w:rFonts w:ascii="Arial" w:hAnsi="Arial" w:cs="Arial"/>
          <w:i/>
          <w:noProof/>
          <w:szCs w:val="24"/>
        </w:rPr>
        <w:t>Early Hum Dev</w:t>
      </w:r>
      <w:r w:rsidRPr="00860561">
        <w:rPr>
          <w:rFonts w:ascii="Arial" w:hAnsi="Arial" w:cs="Arial"/>
          <w:noProof/>
          <w:szCs w:val="24"/>
        </w:rPr>
        <w:t xml:space="preserve"> 2015; 91:755</w:t>
      </w:r>
      <w:r w:rsidR="00503819">
        <w:rPr>
          <w:rFonts w:ascii="Arial" w:hAnsi="Arial" w:cs="Arial"/>
          <w:noProof/>
          <w:szCs w:val="24"/>
        </w:rPr>
        <w:t>-7</w:t>
      </w:r>
      <w:r w:rsidRPr="00860561">
        <w:rPr>
          <w:rFonts w:ascii="Arial" w:hAnsi="Arial" w:cs="Arial"/>
          <w:noProof/>
          <w:szCs w:val="24"/>
        </w:rPr>
        <w:t xml:space="preserve">60. </w:t>
      </w:r>
    </w:p>
    <w:p w14:paraId="33D15F32"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Lundgren EM, Cnattingius S, Jonsson B, Tuvemo T. Intellectual and psychological performance in males born small for gestational age with and without catch-up growth. </w:t>
      </w:r>
      <w:r w:rsidRPr="00860561">
        <w:rPr>
          <w:rFonts w:ascii="Arial" w:hAnsi="Arial" w:cs="Arial"/>
          <w:i/>
          <w:noProof/>
          <w:szCs w:val="24"/>
        </w:rPr>
        <w:t>Pediatr Res</w:t>
      </w:r>
      <w:r w:rsidRPr="00860561">
        <w:rPr>
          <w:rFonts w:ascii="Arial" w:hAnsi="Arial" w:cs="Arial"/>
          <w:noProof/>
          <w:szCs w:val="24"/>
        </w:rPr>
        <w:t xml:space="preserve"> 2001; 50:91</w:t>
      </w:r>
      <w:r w:rsidR="00503819">
        <w:rPr>
          <w:rFonts w:ascii="Arial" w:hAnsi="Arial" w:cs="Arial"/>
          <w:noProof/>
          <w:szCs w:val="24"/>
        </w:rPr>
        <w:t>-9</w:t>
      </w:r>
      <w:r w:rsidRPr="00860561">
        <w:rPr>
          <w:rFonts w:ascii="Arial" w:hAnsi="Arial" w:cs="Arial"/>
          <w:noProof/>
          <w:szCs w:val="24"/>
        </w:rPr>
        <w:t xml:space="preserve">6. </w:t>
      </w:r>
    </w:p>
    <w:p w14:paraId="023DDDA1"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Pylipow M, Spector LG, Puumala SE, Boys C, Cohen J, Georgieff MK. Early postnatal weight gain, intellectual performance, and body mass index at 7 years of age in term infants with intrauterine growth restriction. </w:t>
      </w:r>
      <w:r w:rsidRPr="00860561">
        <w:rPr>
          <w:rFonts w:ascii="Arial" w:hAnsi="Arial" w:cs="Arial"/>
          <w:i/>
          <w:noProof/>
          <w:szCs w:val="24"/>
        </w:rPr>
        <w:t>J Pediatr</w:t>
      </w:r>
      <w:r w:rsidRPr="00860561">
        <w:rPr>
          <w:rFonts w:ascii="Arial" w:hAnsi="Arial" w:cs="Arial"/>
          <w:noProof/>
          <w:szCs w:val="24"/>
        </w:rPr>
        <w:t xml:space="preserve"> 2009; 154:201</w:t>
      </w:r>
      <w:r w:rsidR="00503819">
        <w:rPr>
          <w:rFonts w:ascii="Arial" w:hAnsi="Arial" w:cs="Arial"/>
          <w:noProof/>
          <w:szCs w:val="24"/>
        </w:rPr>
        <w:t>-20</w:t>
      </w:r>
      <w:r w:rsidRPr="00860561">
        <w:rPr>
          <w:rFonts w:ascii="Arial" w:hAnsi="Arial" w:cs="Arial"/>
          <w:noProof/>
          <w:szCs w:val="24"/>
        </w:rPr>
        <w:t xml:space="preserve">6. </w:t>
      </w:r>
    </w:p>
    <w:p w14:paraId="1A6C2283"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Iñiguez G, Soto N, Avila A, Salazar T, Ong K, Dunger D, et al. Adiponectin levels in the first two years of life in a prospective cohort: relations with weight gain, leptin levels and insulin sensitivity.</w:t>
      </w:r>
      <w:r w:rsidRPr="00860561">
        <w:rPr>
          <w:rFonts w:ascii="Arial" w:hAnsi="Arial" w:cs="Arial"/>
          <w:i/>
          <w:noProof/>
          <w:szCs w:val="24"/>
        </w:rPr>
        <w:t xml:space="preserve"> J Clin Endocrinol Metab</w:t>
      </w:r>
      <w:r w:rsidRPr="00860561">
        <w:rPr>
          <w:rFonts w:ascii="Arial" w:hAnsi="Arial" w:cs="Arial"/>
          <w:noProof/>
          <w:szCs w:val="24"/>
        </w:rPr>
        <w:t xml:space="preserve"> 2004; 89:5500</w:t>
      </w:r>
      <w:r w:rsidR="00503819">
        <w:rPr>
          <w:rFonts w:ascii="Arial" w:hAnsi="Arial" w:cs="Arial"/>
          <w:noProof/>
          <w:szCs w:val="24"/>
        </w:rPr>
        <w:t>-550</w:t>
      </w:r>
      <w:r w:rsidRPr="00860561">
        <w:rPr>
          <w:rFonts w:ascii="Arial" w:hAnsi="Arial" w:cs="Arial"/>
          <w:noProof/>
          <w:szCs w:val="24"/>
        </w:rPr>
        <w:t xml:space="preserve">3. </w:t>
      </w:r>
    </w:p>
    <w:p w14:paraId="4174B7D6"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Uçar A, Yackobovitch-Gavan M, Erol OB, Yekeler E, Saka N, Baş F, et al. Associations of </w:t>
      </w:r>
      <w:r w:rsidRPr="00860561">
        <w:rPr>
          <w:rFonts w:ascii="Arial" w:hAnsi="Arial" w:cs="Arial"/>
          <w:noProof/>
          <w:szCs w:val="24"/>
        </w:rPr>
        <w:lastRenderedPageBreak/>
        <w:t xml:space="preserve">size at birth and postnatal catch-up growth status with clinical and biomedical characteristics in prepubertal girls with precocious adrenarche: preliminary results. </w:t>
      </w:r>
      <w:r w:rsidRPr="00860561">
        <w:rPr>
          <w:rFonts w:ascii="Arial" w:hAnsi="Arial" w:cs="Arial"/>
          <w:i/>
          <w:noProof/>
          <w:szCs w:val="24"/>
        </w:rPr>
        <w:t>J Clin Endocrinol Metab</w:t>
      </w:r>
      <w:r w:rsidRPr="00860561">
        <w:rPr>
          <w:rFonts w:ascii="Arial" w:hAnsi="Arial" w:cs="Arial"/>
          <w:noProof/>
          <w:szCs w:val="24"/>
        </w:rPr>
        <w:t xml:space="preserve"> 2014; 99:2878</w:t>
      </w:r>
      <w:r w:rsidR="00503819">
        <w:rPr>
          <w:rFonts w:ascii="Arial" w:hAnsi="Arial" w:cs="Arial"/>
          <w:noProof/>
          <w:szCs w:val="24"/>
        </w:rPr>
        <w:t>-28</w:t>
      </w:r>
      <w:r w:rsidRPr="00860561">
        <w:rPr>
          <w:rFonts w:ascii="Arial" w:hAnsi="Arial" w:cs="Arial"/>
          <w:noProof/>
          <w:szCs w:val="24"/>
        </w:rPr>
        <w:t xml:space="preserve">86. </w:t>
      </w:r>
    </w:p>
    <w:p w14:paraId="35BD58B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Miras M, Ochetti M, Martín S, Silvano L, Sobrero G, Castro L, et al. Serum levels of adiponectin and leptin in children born small for gestational age: relation to insulin sensitivity parameters.</w:t>
      </w:r>
      <w:r w:rsidRPr="00860561">
        <w:rPr>
          <w:rFonts w:ascii="Arial" w:hAnsi="Arial" w:cs="Arial"/>
          <w:i/>
          <w:noProof/>
          <w:szCs w:val="24"/>
        </w:rPr>
        <w:t xml:space="preserve"> J Pediatr Endocrinol Metab</w:t>
      </w:r>
      <w:r w:rsidRPr="00860561">
        <w:rPr>
          <w:rFonts w:ascii="Arial" w:hAnsi="Arial" w:cs="Arial"/>
          <w:noProof/>
          <w:szCs w:val="24"/>
        </w:rPr>
        <w:t xml:space="preserve"> 2010; 23:463</w:t>
      </w:r>
      <w:r w:rsidR="00503819">
        <w:rPr>
          <w:rFonts w:ascii="Arial" w:hAnsi="Arial" w:cs="Arial"/>
          <w:noProof/>
          <w:szCs w:val="24"/>
        </w:rPr>
        <w:t>-4</w:t>
      </w:r>
      <w:r w:rsidRPr="00860561">
        <w:rPr>
          <w:rFonts w:ascii="Arial" w:hAnsi="Arial" w:cs="Arial"/>
          <w:noProof/>
          <w:szCs w:val="24"/>
        </w:rPr>
        <w:t xml:space="preserve">71. </w:t>
      </w:r>
    </w:p>
    <w:p w14:paraId="3C016BB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Torre P, Ladaki C, Scire G, Spadoni GL, Cianfarani S. Catch-up growth in body mass index is associated neither with reduced insulin sensitivity nor with altered lipid profile in children born small for gestational age. </w:t>
      </w:r>
      <w:r w:rsidRPr="00860561">
        <w:rPr>
          <w:rFonts w:ascii="Arial" w:hAnsi="Arial" w:cs="Arial"/>
          <w:i/>
          <w:noProof/>
          <w:szCs w:val="24"/>
        </w:rPr>
        <w:t>J Endocrinol Invest</w:t>
      </w:r>
      <w:r w:rsidRPr="00860561">
        <w:rPr>
          <w:rFonts w:ascii="Arial" w:hAnsi="Arial" w:cs="Arial"/>
          <w:noProof/>
          <w:szCs w:val="24"/>
        </w:rPr>
        <w:t xml:space="preserve"> 2008; 31:760</w:t>
      </w:r>
      <w:r w:rsidR="00503819">
        <w:rPr>
          <w:rFonts w:ascii="Arial" w:hAnsi="Arial" w:cs="Arial"/>
          <w:noProof/>
          <w:szCs w:val="24"/>
        </w:rPr>
        <w:t>-76</w:t>
      </w:r>
      <w:r w:rsidRPr="00860561">
        <w:rPr>
          <w:rFonts w:ascii="Arial" w:hAnsi="Arial" w:cs="Arial"/>
          <w:noProof/>
          <w:szCs w:val="24"/>
        </w:rPr>
        <w:t xml:space="preserve">4. </w:t>
      </w:r>
    </w:p>
    <w:p w14:paraId="1D8E931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Ezzahir N, Alberti C, Deghmoun S, Zaccaria I, Czernichow P, Levy-Marchal C, et al. Time course of catch-up in adiposity influences adult anthropometry in individuals who were born small for gestational age. </w:t>
      </w:r>
      <w:r w:rsidRPr="00860561">
        <w:rPr>
          <w:rFonts w:ascii="Arial" w:hAnsi="Arial" w:cs="Arial"/>
          <w:i/>
          <w:noProof/>
          <w:szCs w:val="24"/>
        </w:rPr>
        <w:t>Pediatr Res</w:t>
      </w:r>
      <w:r w:rsidRPr="00860561">
        <w:rPr>
          <w:rFonts w:ascii="Arial" w:hAnsi="Arial" w:cs="Arial"/>
          <w:noProof/>
          <w:szCs w:val="24"/>
        </w:rPr>
        <w:t xml:space="preserve"> 2005; 58:243</w:t>
      </w:r>
      <w:r w:rsidR="00503819">
        <w:rPr>
          <w:rFonts w:ascii="Arial" w:hAnsi="Arial" w:cs="Arial"/>
          <w:noProof/>
          <w:szCs w:val="24"/>
        </w:rPr>
        <w:t>-24</w:t>
      </w:r>
      <w:r w:rsidRPr="00860561">
        <w:rPr>
          <w:rFonts w:ascii="Arial" w:hAnsi="Arial" w:cs="Arial"/>
          <w:noProof/>
          <w:szCs w:val="24"/>
        </w:rPr>
        <w:t xml:space="preserve">7. </w:t>
      </w:r>
    </w:p>
    <w:p w14:paraId="01ADAF01"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Deng H-Z, Li Y-H, Su Z, Ma H-M, Huang Y-F, Chen H-S, et al. Association between height and weight catch-up growth with insulin resistance in pre-pubertal Chinese children born small for gestational age at two different ages. </w:t>
      </w:r>
      <w:r w:rsidRPr="00860561">
        <w:rPr>
          <w:rFonts w:ascii="Arial" w:hAnsi="Arial" w:cs="Arial"/>
          <w:i/>
          <w:noProof/>
          <w:szCs w:val="24"/>
        </w:rPr>
        <w:t xml:space="preserve">Eur J Pediatr </w:t>
      </w:r>
      <w:r w:rsidRPr="00860561">
        <w:rPr>
          <w:rFonts w:ascii="Arial" w:hAnsi="Arial" w:cs="Arial"/>
          <w:noProof/>
          <w:szCs w:val="24"/>
        </w:rPr>
        <w:t>2011; 170:75</w:t>
      </w:r>
      <w:r w:rsidR="00503819">
        <w:rPr>
          <w:rFonts w:ascii="Arial" w:hAnsi="Arial" w:cs="Arial"/>
          <w:noProof/>
          <w:szCs w:val="24"/>
        </w:rPr>
        <w:t>-</w:t>
      </w:r>
      <w:r w:rsidRPr="00860561">
        <w:rPr>
          <w:rFonts w:ascii="Arial" w:hAnsi="Arial" w:cs="Arial"/>
          <w:noProof/>
          <w:szCs w:val="24"/>
        </w:rPr>
        <w:t xml:space="preserve">80. </w:t>
      </w:r>
    </w:p>
    <w:p w14:paraId="7F1F5E13"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Kramer MS, Martin RM, Bogdanovich N, Vilchuk K, Dahhou M, Oken E. Is restricted fetal growth associated with later adiposity? Observational analysis of a randomized trial. </w:t>
      </w:r>
      <w:r w:rsidRPr="00860561">
        <w:rPr>
          <w:rFonts w:ascii="Arial" w:hAnsi="Arial" w:cs="Arial"/>
          <w:i/>
          <w:noProof/>
          <w:szCs w:val="24"/>
        </w:rPr>
        <w:t>Am J Clin Nutr</w:t>
      </w:r>
      <w:r w:rsidRPr="00860561">
        <w:rPr>
          <w:rFonts w:ascii="Arial" w:hAnsi="Arial" w:cs="Arial"/>
          <w:noProof/>
          <w:szCs w:val="24"/>
        </w:rPr>
        <w:t xml:space="preserve"> 2014; 100:176</w:t>
      </w:r>
      <w:r w:rsidR="00503819">
        <w:rPr>
          <w:rFonts w:ascii="Arial" w:hAnsi="Arial" w:cs="Arial"/>
          <w:noProof/>
          <w:szCs w:val="24"/>
        </w:rPr>
        <w:t>1</w:t>
      </w:r>
      <w:r w:rsidRPr="00860561">
        <w:rPr>
          <w:rFonts w:ascii="Arial" w:hAnsi="Arial" w:cs="Arial"/>
          <w:noProof/>
          <w:szCs w:val="24"/>
        </w:rPr>
        <w:t xml:space="preserve">81. </w:t>
      </w:r>
    </w:p>
    <w:p w14:paraId="7168FF41"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Mohn A, Chiavaroli V, Cerruto M, Blasetti A, Giannini C, Bucciarelli T, et al. Increased oxidative stress in prepubertal children born small for gestational age. </w:t>
      </w:r>
      <w:r w:rsidRPr="00860561">
        <w:rPr>
          <w:rFonts w:ascii="Arial" w:hAnsi="Arial" w:cs="Arial"/>
          <w:i/>
          <w:noProof/>
          <w:szCs w:val="24"/>
        </w:rPr>
        <w:t>J Clin Endocrinol Metab</w:t>
      </w:r>
      <w:r w:rsidRPr="00860561">
        <w:rPr>
          <w:rFonts w:ascii="Arial" w:hAnsi="Arial" w:cs="Arial"/>
          <w:noProof/>
          <w:szCs w:val="24"/>
        </w:rPr>
        <w:t xml:space="preserve"> 2007; 92:1372</w:t>
      </w:r>
      <w:r w:rsidR="00503819">
        <w:rPr>
          <w:rFonts w:ascii="Arial" w:hAnsi="Arial" w:cs="Arial"/>
          <w:noProof/>
          <w:szCs w:val="24"/>
        </w:rPr>
        <w:t>-137</w:t>
      </w:r>
      <w:r w:rsidRPr="00860561">
        <w:rPr>
          <w:rFonts w:ascii="Arial" w:hAnsi="Arial" w:cs="Arial"/>
          <w:noProof/>
          <w:szCs w:val="24"/>
        </w:rPr>
        <w:t xml:space="preserve">8. </w:t>
      </w:r>
    </w:p>
    <w:p w14:paraId="64155739"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Taal HR, Steegers EAP, Hofman A, Jaddoe VW V. Small and large size for gestational age at birth, infant growth, and childhood overweight. </w:t>
      </w:r>
      <w:r w:rsidRPr="00860561">
        <w:rPr>
          <w:rFonts w:ascii="Arial" w:hAnsi="Arial" w:cs="Arial"/>
          <w:i/>
          <w:noProof/>
          <w:szCs w:val="24"/>
        </w:rPr>
        <w:t>Obesity</w:t>
      </w:r>
      <w:r w:rsidRPr="00860561">
        <w:rPr>
          <w:rFonts w:ascii="Arial" w:hAnsi="Arial" w:cs="Arial"/>
          <w:noProof/>
          <w:szCs w:val="24"/>
        </w:rPr>
        <w:t xml:space="preserve"> 2013; 21:1261</w:t>
      </w:r>
      <w:r w:rsidR="00503819">
        <w:rPr>
          <w:rFonts w:ascii="Arial" w:hAnsi="Arial" w:cs="Arial"/>
          <w:noProof/>
          <w:szCs w:val="24"/>
        </w:rPr>
        <w:t>-126</w:t>
      </w:r>
      <w:r w:rsidRPr="00860561">
        <w:rPr>
          <w:rFonts w:ascii="Arial" w:hAnsi="Arial" w:cs="Arial"/>
          <w:noProof/>
          <w:szCs w:val="24"/>
        </w:rPr>
        <w:t xml:space="preserve">8. </w:t>
      </w:r>
    </w:p>
    <w:p w14:paraId="21C0143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Evagelidou EN, Giapros VI, Challa AS, Kiortsis DN, Tsatsoulis AA, Andronikou SK. Serum adiponectin levels, insulin resistance, and lipid profile in children born small for gestational age are affected by the severity of growth retardation at birth. </w:t>
      </w:r>
      <w:r w:rsidRPr="00860561">
        <w:rPr>
          <w:rFonts w:ascii="Arial" w:hAnsi="Arial" w:cs="Arial"/>
          <w:i/>
          <w:noProof/>
          <w:szCs w:val="24"/>
        </w:rPr>
        <w:t xml:space="preserve">Eur J Endocrinol </w:t>
      </w:r>
      <w:r w:rsidRPr="00860561">
        <w:rPr>
          <w:rFonts w:ascii="Arial" w:hAnsi="Arial" w:cs="Arial"/>
          <w:noProof/>
          <w:szCs w:val="24"/>
        </w:rPr>
        <w:t xml:space="preserve">2007; </w:t>
      </w:r>
      <w:r w:rsidRPr="00860561">
        <w:rPr>
          <w:rFonts w:ascii="Arial" w:hAnsi="Arial" w:cs="Arial"/>
          <w:noProof/>
          <w:szCs w:val="24"/>
        </w:rPr>
        <w:lastRenderedPageBreak/>
        <w:t>156:271</w:t>
      </w:r>
      <w:r w:rsidR="00503819">
        <w:rPr>
          <w:rFonts w:ascii="Arial" w:hAnsi="Arial" w:cs="Arial"/>
          <w:noProof/>
          <w:szCs w:val="24"/>
        </w:rPr>
        <w:t>-27</w:t>
      </w:r>
      <w:r w:rsidRPr="00860561">
        <w:rPr>
          <w:rFonts w:ascii="Arial" w:hAnsi="Arial" w:cs="Arial"/>
          <w:noProof/>
          <w:szCs w:val="24"/>
        </w:rPr>
        <w:t xml:space="preserve">7. </w:t>
      </w:r>
    </w:p>
    <w:p w14:paraId="60D4CBD6"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Ibáñez L, Ong K, Dunger DB, de Zegher F. Early development of adiposity and insulin resistance after catch-up weight gain in small-for-gestational-age children. </w:t>
      </w:r>
      <w:r w:rsidRPr="00860561">
        <w:rPr>
          <w:rFonts w:ascii="Arial" w:hAnsi="Arial" w:cs="Arial"/>
          <w:i/>
          <w:noProof/>
          <w:szCs w:val="24"/>
        </w:rPr>
        <w:t>J Clin Endocrinol Metab</w:t>
      </w:r>
      <w:r w:rsidRPr="00860561">
        <w:rPr>
          <w:rFonts w:ascii="Arial" w:hAnsi="Arial" w:cs="Arial"/>
          <w:noProof/>
          <w:szCs w:val="24"/>
        </w:rPr>
        <w:t xml:space="preserve"> 2006; 91:2153</w:t>
      </w:r>
      <w:r w:rsidR="00503819">
        <w:rPr>
          <w:rFonts w:ascii="Arial" w:hAnsi="Arial" w:cs="Arial"/>
          <w:noProof/>
          <w:szCs w:val="24"/>
        </w:rPr>
        <w:t>-215</w:t>
      </w:r>
      <w:r w:rsidRPr="00860561">
        <w:rPr>
          <w:rFonts w:ascii="Arial" w:hAnsi="Arial" w:cs="Arial"/>
          <w:noProof/>
          <w:szCs w:val="24"/>
        </w:rPr>
        <w:t xml:space="preserve">8. </w:t>
      </w:r>
    </w:p>
    <w:p w14:paraId="5E9CB79E"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Ibáñez L, López-Bermejo A, Díaz M, Marcos MV, Casano P, de Zegher F. Abdominal fat partitioning and high-molecular-weight adiponectin in short children born small for gestational age. </w:t>
      </w:r>
      <w:r w:rsidRPr="00860561">
        <w:rPr>
          <w:rFonts w:ascii="Arial" w:hAnsi="Arial" w:cs="Arial"/>
          <w:i/>
          <w:noProof/>
          <w:szCs w:val="24"/>
        </w:rPr>
        <w:t>J Clin Endocrinol Metab</w:t>
      </w:r>
      <w:r w:rsidRPr="00860561">
        <w:rPr>
          <w:rFonts w:ascii="Arial" w:hAnsi="Arial" w:cs="Arial"/>
          <w:noProof/>
          <w:szCs w:val="24"/>
        </w:rPr>
        <w:t xml:space="preserve"> 2009; 94:1049</w:t>
      </w:r>
      <w:r w:rsidR="00503819">
        <w:rPr>
          <w:rFonts w:ascii="Arial" w:hAnsi="Arial" w:cs="Arial"/>
          <w:noProof/>
          <w:szCs w:val="24"/>
        </w:rPr>
        <w:t>-10</w:t>
      </w:r>
      <w:r w:rsidRPr="00860561">
        <w:rPr>
          <w:rFonts w:ascii="Arial" w:hAnsi="Arial" w:cs="Arial"/>
          <w:noProof/>
          <w:szCs w:val="24"/>
        </w:rPr>
        <w:t xml:space="preserve">52. </w:t>
      </w:r>
    </w:p>
    <w:p w14:paraId="3D3D114C"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Beltrand J, Nicolescu R, Kaguelidou F, Verkauskiene R, Sibony O, Chevenne D, et al. Catch-up growth following fetal growth restriction promotes rapid restoration of fat mass but without metabolic consequences at one year of age. </w:t>
      </w:r>
      <w:r w:rsidRPr="00860561">
        <w:rPr>
          <w:rFonts w:ascii="Arial" w:hAnsi="Arial" w:cs="Arial"/>
          <w:i/>
          <w:noProof/>
          <w:szCs w:val="24"/>
        </w:rPr>
        <w:t>PLoS One</w:t>
      </w:r>
      <w:r w:rsidRPr="00860561">
        <w:rPr>
          <w:rFonts w:ascii="Arial" w:hAnsi="Arial" w:cs="Arial"/>
          <w:noProof/>
          <w:szCs w:val="24"/>
        </w:rPr>
        <w:t xml:space="preserve"> 2009; 4:e5343. </w:t>
      </w:r>
    </w:p>
    <w:p w14:paraId="6ACD75D6"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Leunissen RWJ, Oosterbeek P, Hol LKM, Hellingman AA, Stijnen T, Hokken-Koelega ACS. Fat mass accumulation during childhood determines insulin sensitivity in early adulthood. </w:t>
      </w:r>
      <w:r w:rsidRPr="00860561">
        <w:rPr>
          <w:rFonts w:ascii="Arial" w:hAnsi="Arial" w:cs="Arial"/>
          <w:i/>
          <w:noProof/>
          <w:szCs w:val="24"/>
        </w:rPr>
        <w:t>J Clin Endocrinol Metab</w:t>
      </w:r>
      <w:r w:rsidRPr="00860561">
        <w:rPr>
          <w:rFonts w:ascii="Arial" w:hAnsi="Arial" w:cs="Arial"/>
          <w:noProof/>
          <w:szCs w:val="24"/>
        </w:rPr>
        <w:t xml:space="preserve"> 2008; 93:445</w:t>
      </w:r>
      <w:r w:rsidR="00503819">
        <w:rPr>
          <w:rFonts w:ascii="Arial" w:hAnsi="Arial" w:cs="Arial"/>
          <w:noProof/>
          <w:szCs w:val="24"/>
        </w:rPr>
        <w:t>-4</w:t>
      </w:r>
      <w:r w:rsidRPr="00860561">
        <w:rPr>
          <w:rFonts w:ascii="Arial" w:hAnsi="Arial" w:cs="Arial"/>
          <w:noProof/>
          <w:szCs w:val="24"/>
        </w:rPr>
        <w:t xml:space="preserve">51. </w:t>
      </w:r>
    </w:p>
    <w:p w14:paraId="672E7BC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Leunissen RWJ, Kerkhof GF, Stijnen T, Hokken-Koelega ACS. Effect of birth size and catch-up growth on adult blood pressure and carotid intima-media thickness. </w:t>
      </w:r>
      <w:r w:rsidRPr="00860561">
        <w:rPr>
          <w:rFonts w:ascii="Arial" w:hAnsi="Arial" w:cs="Arial"/>
          <w:i/>
          <w:noProof/>
          <w:szCs w:val="24"/>
        </w:rPr>
        <w:t>Horm Res Paediatr</w:t>
      </w:r>
      <w:r w:rsidRPr="00860561">
        <w:rPr>
          <w:rFonts w:ascii="Arial" w:hAnsi="Arial" w:cs="Arial"/>
          <w:noProof/>
          <w:szCs w:val="24"/>
        </w:rPr>
        <w:t xml:space="preserve"> 2012; 77:394</w:t>
      </w:r>
      <w:r w:rsidR="00503819">
        <w:rPr>
          <w:rFonts w:ascii="Arial" w:hAnsi="Arial" w:cs="Arial"/>
          <w:noProof/>
          <w:szCs w:val="24"/>
        </w:rPr>
        <w:t>-</w:t>
      </w:r>
      <w:r w:rsidRPr="00860561">
        <w:rPr>
          <w:rFonts w:ascii="Arial" w:hAnsi="Arial" w:cs="Arial"/>
          <w:noProof/>
          <w:szCs w:val="24"/>
        </w:rPr>
        <w:t xml:space="preserve">401. </w:t>
      </w:r>
    </w:p>
    <w:p w14:paraId="7D4FE7B2"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Amador-Licona N, Martinez-Cordero C, Guizar-Mendoza JM, Malacara JM, Hernandez J, Alcala JF. Catch-up growth in infants born small for gestational age</w:t>
      </w:r>
      <w:r w:rsidR="001A6189">
        <w:rPr>
          <w:rFonts w:ascii="Arial" w:hAnsi="Arial" w:cs="Arial"/>
          <w:noProof/>
          <w:szCs w:val="24"/>
        </w:rPr>
        <w:t xml:space="preserve"> - </w:t>
      </w:r>
      <w:r w:rsidRPr="00860561">
        <w:rPr>
          <w:rFonts w:ascii="Arial" w:hAnsi="Arial" w:cs="Arial"/>
          <w:noProof/>
          <w:szCs w:val="24"/>
        </w:rPr>
        <w:t xml:space="preserve">a longitudinal study. </w:t>
      </w:r>
      <w:r w:rsidRPr="00860561">
        <w:rPr>
          <w:rFonts w:ascii="Arial" w:hAnsi="Arial" w:cs="Arial"/>
          <w:i/>
          <w:noProof/>
          <w:szCs w:val="24"/>
        </w:rPr>
        <w:t>J Pediatr Endocrinol Metab</w:t>
      </w:r>
      <w:r w:rsidRPr="00860561">
        <w:rPr>
          <w:rFonts w:ascii="Arial" w:hAnsi="Arial" w:cs="Arial"/>
          <w:noProof/>
          <w:szCs w:val="24"/>
        </w:rPr>
        <w:t xml:space="preserve"> 2007; 20:379</w:t>
      </w:r>
      <w:r w:rsidR="001A6189">
        <w:rPr>
          <w:rFonts w:ascii="Arial" w:hAnsi="Arial" w:cs="Arial"/>
          <w:noProof/>
          <w:szCs w:val="24"/>
        </w:rPr>
        <w:t>-3</w:t>
      </w:r>
      <w:r w:rsidRPr="00860561">
        <w:rPr>
          <w:rFonts w:ascii="Arial" w:hAnsi="Arial" w:cs="Arial"/>
          <w:noProof/>
          <w:szCs w:val="24"/>
        </w:rPr>
        <w:t xml:space="preserve">86. </w:t>
      </w:r>
    </w:p>
    <w:p w14:paraId="7D78866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Bavdekar A, Yajnik CS, Fall CHD, Bapat S, Pandit AN, Deshpande V, et al. Insulin resistance syndrome in 8-year-old Indian children: small at birth, big at 8 years, or both? </w:t>
      </w:r>
      <w:r w:rsidRPr="00860561">
        <w:rPr>
          <w:rFonts w:ascii="Arial" w:hAnsi="Arial" w:cs="Arial"/>
          <w:i/>
          <w:noProof/>
          <w:szCs w:val="24"/>
        </w:rPr>
        <w:t xml:space="preserve">Diabetes </w:t>
      </w:r>
      <w:r w:rsidRPr="00860561">
        <w:rPr>
          <w:rFonts w:ascii="Arial" w:hAnsi="Arial" w:cs="Arial"/>
          <w:noProof/>
          <w:szCs w:val="24"/>
        </w:rPr>
        <w:t>1999; 48:2422</w:t>
      </w:r>
      <w:r w:rsidR="001A6189">
        <w:rPr>
          <w:rFonts w:ascii="Arial" w:hAnsi="Arial" w:cs="Arial"/>
          <w:noProof/>
          <w:szCs w:val="24"/>
        </w:rPr>
        <w:t>-242</w:t>
      </w:r>
      <w:r w:rsidRPr="00860561">
        <w:rPr>
          <w:rFonts w:ascii="Arial" w:hAnsi="Arial" w:cs="Arial"/>
          <w:noProof/>
          <w:szCs w:val="24"/>
        </w:rPr>
        <w:t xml:space="preserve">9. </w:t>
      </w:r>
    </w:p>
    <w:p w14:paraId="13C92F9B"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Deng H-Z, Deng H, Su Z, Li Y-H, Ma H-M, Chen H-S, et al. Insulin resistance and adiponectin levels are associated with height catch-up growth in pre-pubertal Chinese individuals born small for gestational age. </w:t>
      </w:r>
      <w:r w:rsidRPr="00860561">
        <w:rPr>
          <w:rFonts w:ascii="Arial" w:hAnsi="Arial" w:cs="Arial"/>
          <w:i/>
          <w:noProof/>
          <w:szCs w:val="24"/>
        </w:rPr>
        <w:t>Nutr Metab</w:t>
      </w:r>
      <w:r w:rsidRPr="00860561">
        <w:rPr>
          <w:rFonts w:ascii="Arial" w:hAnsi="Arial" w:cs="Arial"/>
          <w:noProof/>
          <w:szCs w:val="24"/>
        </w:rPr>
        <w:t xml:space="preserve"> 2012; 9:107. </w:t>
      </w:r>
    </w:p>
    <w:p w14:paraId="28340F79"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Fabricius-Bjerre S, Jensen RB, Færch K, Larsen T, Mølgaard C, Michaelsen KF, et al. </w:t>
      </w:r>
      <w:r w:rsidRPr="00860561">
        <w:rPr>
          <w:rFonts w:ascii="Arial" w:hAnsi="Arial" w:cs="Arial"/>
          <w:noProof/>
          <w:szCs w:val="24"/>
        </w:rPr>
        <w:lastRenderedPageBreak/>
        <w:t xml:space="preserve">Impact of birth weight and early infant weight gain on insulin resistance and associated cardiovascular risk factors in adolescence. </w:t>
      </w:r>
      <w:r w:rsidRPr="00860561">
        <w:rPr>
          <w:rFonts w:ascii="Arial" w:hAnsi="Arial" w:cs="Arial"/>
          <w:i/>
          <w:noProof/>
          <w:szCs w:val="24"/>
        </w:rPr>
        <w:t>PLoS One</w:t>
      </w:r>
      <w:r w:rsidRPr="00860561">
        <w:rPr>
          <w:rFonts w:ascii="Arial" w:hAnsi="Arial" w:cs="Arial"/>
          <w:noProof/>
          <w:szCs w:val="24"/>
        </w:rPr>
        <w:t xml:space="preserve"> 2011; 6:e20595. </w:t>
      </w:r>
    </w:p>
    <w:p w14:paraId="70425757"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Mericq V, Ong KK, Bazaes R, Pena V, Avila A, Salazar T, et al. Longitudinal changes in insulin sensitivity and secretion from birth to age three years in small-and appropriate-for-gestational-age children. </w:t>
      </w:r>
      <w:r w:rsidRPr="00860561">
        <w:rPr>
          <w:rFonts w:ascii="Arial" w:hAnsi="Arial" w:cs="Arial"/>
          <w:i/>
          <w:noProof/>
          <w:szCs w:val="24"/>
        </w:rPr>
        <w:t>Diabetologia</w:t>
      </w:r>
      <w:r w:rsidRPr="00860561">
        <w:rPr>
          <w:rFonts w:ascii="Arial" w:hAnsi="Arial" w:cs="Arial"/>
          <w:noProof/>
          <w:szCs w:val="24"/>
        </w:rPr>
        <w:t xml:space="preserve"> 2005; 48:2609</w:t>
      </w:r>
      <w:r w:rsidR="001A6189">
        <w:rPr>
          <w:rFonts w:ascii="Arial" w:hAnsi="Arial" w:cs="Arial"/>
          <w:noProof/>
          <w:szCs w:val="24"/>
        </w:rPr>
        <w:t>-26</w:t>
      </w:r>
      <w:r w:rsidRPr="00860561">
        <w:rPr>
          <w:rFonts w:ascii="Arial" w:hAnsi="Arial" w:cs="Arial"/>
          <w:noProof/>
          <w:szCs w:val="24"/>
        </w:rPr>
        <w:t xml:space="preserve">14. </w:t>
      </w:r>
    </w:p>
    <w:p w14:paraId="3C1DA243"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Hemachandra AH, Howards PP, Furth SL, Klebanoff MA. Birth weight, postnatal growth, and risk for high blood pressure at 7 years of age: results from the Collaborative Perinatal Project. </w:t>
      </w:r>
      <w:r w:rsidRPr="00860561">
        <w:rPr>
          <w:rFonts w:ascii="Arial" w:hAnsi="Arial" w:cs="Arial"/>
          <w:i/>
          <w:noProof/>
          <w:szCs w:val="24"/>
        </w:rPr>
        <w:t>Pediatrics</w:t>
      </w:r>
      <w:r w:rsidRPr="00860561">
        <w:rPr>
          <w:rFonts w:ascii="Arial" w:hAnsi="Arial" w:cs="Arial"/>
          <w:noProof/>
          <w:szCs w:val="24"/>
        </w:rPr>
        <w:t xml:space="preserve"> 2007; 119:e1264</w:t>
      </w:r>
      <w:r w:rsidR="001A6189">
        <w:rPr>
          <w:rFonts w:ascii="Arial" w:hAnsi="Arial" w:cs="Arial"/>
          <w:noProof/>
          <w:szCs w:val="24"/>
        </w:rPr>
        <w:t>-12</w:t>
      </w:r>
      <w:r w:rsidRPr="00860561">
        <w:rPr>
          <w:rFonts w:ascii="Arial" w:hAnsi="Arial" w:cs="Arial"/>
          <w:noProof/>
          <w:szCs w:val="24"/>
        </w:rPr>
        <w:t xml:space="preserve">70. </w:t>
      </w:r>
    </w:p>
    <w:p w14:paraId="57E6AF5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Horta BL, Barros FC de, Victora CG, Cole TJ. Early and late growth and blood pressure in adolescence. </w:t>
      </w:r>
      <w:r w:rsidRPr="00860561">
        <w:rPr>
          <w:rFonts w:ascii="Arial" w:hAnsi="Arial" w:cs="Arial"/>
          <w:i/>
          <w:noProof/>
          <w:szCs w:val="24"/>
        </w:rPr>
        <w:t>J Epidemiol Community Health</w:t>
      </w:r>
      <w:r w:rsidRPr="00860561">
        <w:rPr>
          <w:rFonts w:ascii="Arial" w:hAnsi="Arial" w:cs="Arial"/>
          <w:noProof/>
          <w:szCs w:val="24"/>
        </w:rPr>
        <w:t xml:space="preserve"> 2003; 57:226</w:t>
      </w:r>
      <w:r w:rsidR="001A6189">
        <w:rPr>
          <w:rFonts w:ascii="Arial" w:hAnsi="Arial" w:cs="Arial"/>
          <w:noProof/>
          <w:szCs w:val="24"/>
        </w:rPr>
        <w:t>-2</w:t>
      </w:r>
      <w:r w:rsidRPr="00860561">
        <w:rPr>
          <w:rFonts w:ascii="Arial" w:hAnsi="Arial" w:cs="Arial"/>
          <w:noProof/>
          <w:szCs w:val="24"/>
        </w:rPr>
        <w:t xml:space="preserve">30. </w:t>
      </w:r>
    </w:p>
    <w:p w14:paraId="47E195FD"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Tenhola S, Martikainen A, Rahiala E, Herrgård E, Halonen P, Voutilainen R. Serum lipid concentrations and growth characteristics in 12-year-old children born small for gestational age. </w:t>
      </w:r>
      <w:r w:rsidRPr="00860561">
        <w:rPr>
          <w:rFonts w:ascii="Arial" w:hAnsi="Arial" w:cs="Arial"/>
          <w:i/>
          <w:noProof/>
          <w:szCs w:val="24"/>
        </w:rPr>
        <w:t>Pediatr Res</w:t>
      </w:r>
      <w:r w:rsidRPr="00860561">
        <w:rPr>
          <w:rFonts w:ascii="Arial" w:hAnsi="Arial" w:cs="Arial"/>
          <w:noProof/>
          <w:szCs w:val="24"/>
        </w:rPr>
        <w:t xml:space="preserve"> 2000; 48:623</w:t>
      </w:r>
      <w:r w:rsidR="001A6189">
        <w:rPr>
          <w:rFonts w:ascii="Arial" w:hAnsi="Arial" w:cs="Arial"/>
          <w:noProof/>
          <w:szCs w:val="24"/>
        </w:rPr>
        <w:t>-62</w:t>
      </w:r>
      <w:r w:rsidRPr="00860561">
        <w:rPr>
          <w:rFonts w:ascii="Arial" w:hAnsi="Arial" w:cs="Arial"/>
          <w:noProof/>
          <w:szCs w:val="24"/>
        </w:rPr>
        <w:t xml:space="preserve">8. </w:t>
      </w:r>
    </w:p>
    <w:p w14:paraId="3443EEA4"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Chen J, Chen P, Bo T, Luo K. Cognitive and behavioral outcomes of intrauterine growth restriction school-age children. </w:t>
      </w:r>
      <w:r w:rsidRPr="009041EA">
        <w:rPr>
          <w:rFonts w:ascii="Arial" w:hAnsi="Arial" w:cs="Arial"/>
          <w:i/>
          <w:noProof/>
          <w:szCs w:val="24"/>
        </w:rPr>
        <w:t>Pediatrics</w:t>
      </w:r>
      <w:r w:rsidRPr="00860561">
        <w:rPr>
          <w:rFonts w:ascii="Arial" w:hAnsi="Arial" w:cs="Arial"/>
          <w:noProof/>
          <w:szCs w:val="24"/>
        </w:rPr>
        <w:t xml:space="preserve"> 2016; 137:e20153868. </w:t>
      </w:r>
    </w:p>
    <w:p w14:paraId="2D26DA5A"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Sanz-Cortes M, Ratta GA, Figueras F, Bonet-Carne E, Padilla N, Arranz A, et al. Automatic quantitative MRI texture analysis in small-for-gestational-age fetuses discriminates abnormal neonatal neurobehavior. </w:t>
      </w:r>
      <w:r w:rsidRPr="00860561">
        <w:rPr>
          <w:rFonts w:ascii="Arial" w:hAnsi="Arial" w:cs="Arial"/>
          <w:i/>
          <w:noProof/>
          <w:szCs w:val="24"/>
        </w:rPr>
        <w:t>PLoS One</w:t>
      </w:r>
      <w:r w:rsidRPr="00860561">
        <w:rPr>
          <w:rFonts w:ascii="Arial" w:hAnsi="Arial" w:cs="Arial"/>
          <w:noProof/>
          <w:szCs w:val="24"/>
        </w:rPr>
        <w:t xml:space="preserve"> 2013; 8:e69595. </w:t>
      </w:r>
    </w:p>
    <w:p w14:paraId="46938131"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Lee ACC, Katz J, Blencowe H, Cousens S, Kozuki N, Vogel JP, et al. National and regional estimates of term and preterm babies born small for gestational age in 138 low-income and middle-income countries in 2010. </w:t>
      </w:r>
      <w:r w:rsidRPr="00860561">
        <w:rPr>
          <w:rFonts w:ascii="Arial" w:hAnsi="Arial" w:cs="Arial"/>
          <w:i/>
          <w:noProof/>
          <w:szCs w:val="24"/>
        </w:rPr>
        <w:t>Lancet Glob Heal</w:t>
      </w:r>
      <w:r w:rsidRPr="00860561">
        <w:rPr>
          <w:rFonts w:ascii="Arial" w:hAnsi="Arial" w:cs="Arial"/>
          <w:noProof/>
          <w:szCs w:val="24"/>
        </w:rPr>
        <w:t xml:space="preserve"> 2013; 1:e26</w:t>
      </w:r>
      <w:r w:rsidR="001A6189">
        <w:rPr>
          <w:rFonts w:ascii="Arial" w:hAnsi="Arial" w:cs="Arial"/>
          <w:noProof/>
          <w:szCs w:val="24"/>
        </w:rPr>
        <w:t>-</w:t>
      </w:r>
      <w:r w:rsidRPr="00860561">
        <w:rPr>
          <w:rFonts w:ascii="Arial" w:hAnsi="Arial" w:cs="Arial"/>
          <w:noProof/>
          <w:szCs w:val="24"/>
        </w:rPr>
        <w:t xml:space="preserve">36. </w:t>
      </w:r>
    </w:p>
    <w:p w14:paraId="23D00E1E"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Clayton PE, Cianfarani S, Czernichow P, Johannsson G, Rapaport R, Rogol A. Management of the child born small for gestational age through to adulthood: a consensus statement of the International Societies of Pediatric Endocrinology and the Growth Hormone Research Society. </w:t>
      </w:r>
      <w:r w:rsidRPr="00860561">
        <w:rPr>
          <w:rFonts w:ascii="Arial" w:hAnsi="Arial" w:cs="Arial"/>
          <w:i/>
          <w:noProof/>
          <w:szCs w:val="24"/>
        </w:rPr>
        <w:t>J Clin Endocrinol Metab</w:t>
      </w:r>
      <w:r w:rsidRPr="00860561">
        <w:rPr>
          <w:rFonts w:ascii="Arial" w:hAnsi="Arial" w:cs="Arial"/>
          <w:noProof/>
          <w:szCs w:val="24"/>
        </w:rPr>
        <w:t xml:space="preserve"> 2007; 92:804</w:t>
      </w:r>
      <w:r w:rsidR="001A6189">
        <w:rPr>
          <w:rFonts w:ascii="Arial" w:hAnsi="Arial" w:cs="Arial"/>
          <w:noProof/>
          <w:szCs w:val="24"/>
        </w:rPr>
        <w:t>-8</w:t>
      </w:r>
      <w:r w:rsidRPr="00860561">
        <w:rPr>
          <w:rFonts w:ascii="Arial" w:hAnsi="Arial" w:cs="Arial"/>
          <w:noProof/>
          <w:szCs w:val="24"/>
        </w:rPr>
        <w:t xml:space="preserve">10. </w:t>
      </w:r>
    </w:p>
    <w:p w14:paraId="7FBA5C27"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szCs w:val="24"/>
        </w:rPr>
      </w:pPr>
      <w:r w:rsidRPr="00860561">
        <w:rPr>
          <w:rFonts w:ascii="Arial" w:hAnsi="Arial" w:cs="Arial"/>
          <w:noProof/>
          <w:szCs w:val="24"/>
        </w:rPr>
        <w:t xml:space="preserve">Cohen E, Wong FY, Horne RSC, Yiallourou SR. Intrauterine growth restriction: impact on </w:t>
      </w:r>
      <w:r w:rsidRPr="00860561">
        <w:rPr>
          <w:rFonts w:ascii="Arial" w:hAnsi="Arial" w:cs="Arial"/>
          <w:noProof/>
          <w:szCs w:val="24"/>
        </w:rPr>
        <w:lastRenderedPageBreak/>
        <w:t xml:space="preserve">cardiovascular development and function throughout infancy. </w:t>
      </w:r>
      <w:r w:rsidRPr="00860561">
        <w:rPr>
          <w:rFonts w:ascii="Arial" w:hAnsi="Arial" w:cs="Arial"/>
          <w:i/>
          <w:noProof/>
          <w:szCs w:val="24"/>
        </w:rPr>
        <w:t>Pediatr Res</w:t>
      </w:r>
      <w:r w:rsidRPr="00860561">
        <w:rPr>
          <w:rFonts w:ascii="Arial" w:hAnsi="Arial" w:cs="Arial"/>
          <w:noProof/>
          <w:szCs w:val="24"/>
        </w:rPr>
        <w:t xml:space="preserve"> 2016; 79:821</w:t>
      </w:r>
      <w:r w:rsidR="001A6189">
        <w:rPr>
          <w:rFonts w:ascii="Arial" w:hAnsi="Arial" w:cs="Arial"/>
          <w:noProof/>
          <w:szCs w:val="24"/>
        </w:rPr>
        <w:t>-8</w:t>
      </w:r>
      <w:r w:rsidRPr="00860561">
        <w:rPr>
          <w:rFonts w:ascii="Arial" w:hAnsi="Arial" w:cs="Arial"/>
          <w:noProof/>
          <w:szCs w:val="24"/>
        </w:rPr>
        <w:t xml:space="preserve">30. </w:t>
      </w:r>
    </w:p>
    <w:p w14:paraId="2B6E3A68" w14:textId="77777777" w:rsidR="008E3193" w:rsidRPr="00860561" w:rsidRDefault="008E3193" w:rsidP="008E3193">
      <w:pPr>
        <w:pStyle w:val="ListParagraph"/>
        <w:widowControl w:val="0"/>
        <w:numPr>
          <w:ilvl w:val="0"/>
          <w:numId w:val="10"/>
        </w:numPr>
        <w:autoSpaceDE w:val="0"/>
        <w:autoSpaceDN w:val="0"/>
        <w:adjustRightInd w:val="0"/>
        <w:spacing w:after="0" w:line="480" w:lineRule="auto"/>
        <w:ind w:left="360"/>
        <w:rPr>
          <w:rFonts w:ascii="Arial" w:hAnsi="Arial" w:cs="Arial"/>
          <w:noProof/>
        </w:rPr>
      </w:pPr>
      <w:r w:rsidRPr="00860561">
        <w:rPr>
          <w:rFonts w:ascii="Arial" w:hAnsi="Arial" w:cs="Arial"/>
          <w:noProof/>
          <w:szCs w:val="24"/>
        </w:rPr>
        <w:t xml:space="preserve">Lei X, Chen Y, Ye J, Ouyang F, Jiang F, Zhang J. The optimal postnatal growth trajectory for term small for gestational age babies: a prospective cohort study. </w:t>
      </w:r>
      <w:r w:rsidRPr="00860561">
        <w:rPr>
          <w:rFonts w:ascii="Arial" w:hAnsi="Arial" w:cs="Arial"/>
          <w:i/>
          <w:noProof/>
          <w:szCs w:val="24"/>
        </w:rPr>
        <w:t>J Pediatr</w:t>
      </w:r>
      <w:r w:rsidRPr="00860561">
        <w:rPr>
          <w:rFonts w:ascii="Arial" w:hAnsi="Arial" w:cs="Arial"/>
          <w:noProof/>
          <w:szCs w:val="24"/>
        </w:rPr>
        <w:t xml:space="preserve"> 2015; 166:54</w:t>
      </w:r>
      <w:r w:rsidR="001A6189">
        <w:rPr>
          <w:rFonts w:ascii="Arial" w:hAnsi="Arial" w:cs="Arial"/>
          <w:noProof/>
          <w:szCs w:val="24"/>
        </w:rPr>
        <w:t>-5</w:t>
      </w:r>
      <w:r w:rsidRPr="00860561">
        <w:rPr>
          <w:rFonts w:ascii="Arial" w:hAnsi="Arial" w:cs="Arial"/>
          <w:noProof/>
          <w:szCs w:val="24"/>
        </w:rPr>
        <w:t xml:space="preserve">8. </w:t>
      </w:r>
    </w:p>
    <w:p w14:paraId="3EC37389" w14:textId="77777777" w:rsidR="00617FE8" w:rsidRDefault="00617FE8">
      <w:pPr>
        <w:spacing w:after="0" w:line="480" w:lineRule="auto"/>
        <w:jc w:val="both"/>
        <w:rPr>
          <w:rFonts w:ascii="Arial" w:hAnsi="Arial" w:cs="Arial"/>
          <w:b/>
          <w:lang w:val="en-GB"/>
        </w:rPr>
      </w:pPr>
    </w:p>
    <w:sectPr w:rsidR="00617FE8" w:rsidSect="00F01252">
      <w:pgSz w:w="12240" w:h="15840" w:code="1"/>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3A1D44" w15:done="0"/>
  <w15:commentEx w15:paraId="6C9CB9C6" w15:done="0"/>
  <w15:commentEx w15:paraId="511B7ABF" w15:done="0"/>
  <w15:commentEx w15:paraId="47CB00AF" w15:done="0"/>
  <w15:commentEx w15:paraId="7A091861" w15:done="0"/>
  <w15:commentEx w15:paraId="66E4C87B" w15:done="0"/>
  <w15:commentEx w15:paraId="0297BA47" w15:done="0"/>
  <w15:commentEx w15:paraId="11D1F257" w15:done="0"/>
  <w15:commentEx w15:paraId="3E4A9E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FE6F4" w14:textId="77777777" w:rsidR="00AE65B2" w:rsidRDefault="00AE65B2">
      <w:pPr>
        <w:spacing w:after="0" w:line="240" w:lineRule="auto"/>
      </w:pPr>
      <w:r>
        <w:separator/>
      </w:r>
    </w:p>
  </w:endnote>
  <w:endnote w:type="continuationSeparator" w:id="0">
    <w:p w14:paraId="528EB9E9" w14:textId="77777777" w:rsidR="00AE65B2" w:rsidRDefault="00AE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38745"/>
      <w:docPartObj>
        <w:docPartGallery w:val="Page Numbers (Bottom of Page)"/>
        <w:docPartUnique/>
      </w:docPartObj>
    </w:sdtPr>
    <w:sdtEndPr>
      <w:rPr>
        <w:noProof/>
      </w:rPr>
    </w:sdtEndPr>
    <w:sdtContent>
      <w:p w14:paraId="1DD73EAB" w14:textId="77777777" w:rsidR="00AE65B2" w:rsidRDefault="00AE65B2">
        <w:pPr>
          <w:pStyle w:val="Footer"/>
          <w:jc w:val="right"/>
        </w:pPr>
        <w:r>
          <w:fldChar w:fldCharType="begin"/>
        </w:r>
        <w:r>
          <w:instrText xml:space="preserve"> PAGE   \* MERGEFORMAT </w:instrText>
        </w:r>
        <w:r>
          <w:fldChar w:fldCharType="separate"/>
        </w:r>
        <w:r w:rsidR="005B6B65">
          <w:rPr>
            <w:noProof/>
          </w:rPr>
          <w:t>3</w:t>
        </w:r>
        <w:r>
          <w:rPr>
            <w:noProof/>
          </w:rPr>
          <w:fldChar w:fldCharType="end"/>
        </w:r>
      </w:p>
    </w:sdtContent>
  </w:sdt>
  <w:p w14:paraId="658BD732" w14:textId="77777777" w:rsidR="00AE65B2" w:rsidRDefault="00AE6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CEFB4" w14:textId="77777777" w:rsidR="00AE65B2" w:rsidRDefault="00AE65B2">
      <w:pPr>
        <w:spacing w:after="0" w:line="240" w:lineRule="auto"/>
      </w:pPr>
      <w:r>
        <w:separator/>
      </w:r>
    </w:p>
  </w:footnote>
  <w:footnote w:type="continuationSeparator" w:id="0">
    <w:p w14:paraId="10FD130B" w14:textId="77777777" w:rsidR="00AE65B2" w:rsidRDefault="00AE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F94"/>
    <w:multiLevelType w:val="hybridMultilevel"/>
    <w:tmpl w:val="F2288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5A43D8"/>
    <w:multiLevelType w:val="hybridMultilevel"/>
    <w:tmpl w:val="E06C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B04669"/>
    <w:multiLevelType w:val="hybridMultilevel"/>
    <w:tmpl w:val="FD487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C50F8"/>
    <w:multiLevelType w:val="hybridMultilevel"/>
    <w:tmpl w:val="35E4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CCF45DA"/>
    <w:multiLevelType w:val="multilevel"/>
    <w:tmpl w:val="1552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0D6421"/>
    <w:multiLevelType w:val="hybridMultilevel"/>
    <w:tmpl w:val="06D0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3D4C68"/>
    <w:multiLevelType w:val="hybridMultilevel"/>
    <w:tmpl w:val="08D65D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69DC668D"/>
    <w:multiLevelType w:val="hybridMultilevel"/>
    <w:tmpl w:val="755CB9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D586C0C"/>
    <w:multiLevelType w:val="hybridMultilevel"/>
    <w:tmpl w:val="90DA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C13C00"/>
    <w:multiLevelType w:val="hybridMultilevel"/>
    <w:tmpl w:val="1CDEC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AC6D44"/>
    <w:multiLevelType w:val="hybridMultilevel"/>
    <w:tmpl w:val="4394EE3A"/>
    <w:lvl w:ilvl="0" w:tplc="EAAAFCF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9"/>
  </w:num>
  <w:num w:numId="2">
    <w:abstractNumId w:val="3"/>
  </w:num>
  <w:num w:numId="3">
    <w:abstractNumId w:val="0"/>
  </w:num>
  <w:num w:numId="4">
    <w:abstractNumId w:val="5"/>
  </w:num>
  <w:num w:numId="5">
    <w:abstractNumId w:val="8"/>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cta Pediatric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ENLayout&gt;"/>
    <w:docVar w:name="EN.Libraries" w:val="&lt;ENLibraries&gt;&lt;Libraries&gt;&lt;item&gt;SGA paper.enl&lt;/item&gt;&lt;/Libraries&gt;&lt;/ENLibraries&gt;"/>
  </w:docVars>
  <w:rsids>
    <w:rsidRoot w:val="00617FE8"/>
    <w:rsid w:val="0000441D"/>
    <w:rsid w:val="00093367"/>
    <w:rsid w:val="000B0959"/>
    <w:rsid w:val="000C7139"/>
    <w:rsid w:val="00176153"/>
    <w:rsid w:val="0018407F"/>
    <w:rsid w:val="001A6189"/>
    <w:rsid w:val="001A75F8"/>
    <w:rsid w:val="001C0D2F"/>
    <w:rsid w:val="001E68C1"/>
    <w:rsid w:val="001F0886"/>
    <w:rsid w:val="001F4FFC"/>
    <w:rsid w:val="00226E3B"/>
    <w:rsid w:val="00247FE0"/>
    <w:rsid w:val="002549E2"/>
    <w:rsid w:val="002964B2"/>
    <w:rsid w:val="002B1B68"/>
    <w:rsid w:val="002C0E42"/>
    <w:rsid w:val="00304BEC"/>
    <w:rsid w:val="003115DA"/>
    <w:rsid w:val="0031295A"/>
    <w:rsid w:val="003141F7"/>
    <w:rsid w:val="0033270C"/>
    <w:rsid w:val="00340BD4"/>
    <w:rsid w:val="003F38E0"/>
    <w:rsid w:val="00422385"/>
    <w:rsid w:val="00423EC2"/>
    <w:rsid w:val="00442992"/>
    <w:rsid w:val="00446481"/>
    <w:rsid w:val="004A7A76"/>
    <w:rsid w:val="004B5F59"/>
    <w:rsid w:val="004E0FAF"/>
    <w:rsid w:val="00503819"/>
    <w:rsid w:val="00536BB8"/>
    <w:rsid w:val="005A6F39"/>
    <w:rsid w:val="005B07F4"/>
    <w:rsid w:val="005B6B65"/>
    <w:rsid w:val="00602D2A"/>
    <w:rsid w:val="00611361"/>
    <w:rsid w:val="00617FE8"/>
    <w:rsid w:val="00640B12"/>
    <w:rsid w:val="006723F0"/>
    <w:rsid w:val="006B49A2"/>
    <w:rsid w:val="006B6F4C"/>
    <w:rsid w:val="006D6FCF"/>
    <w:rsid w:val="006E63B0"/>
    <w:rsid w:val="006E785D"/>
    <w:rsid w:val="006F435C"/>
    <w:rsid w:val="006F51D7"/>
    <w:rsid w:val="006F797C"/>
    <w:rsid w:val="00710B61"/>
    <w:rsid w:val="00741A98"/>
    <w:rsid w:val="0079062B"/>
    <w:rsid w:val="00796695"/>
    <w:rsid w:val="007D13A0"/>
    <w:rsid w:val="00815CD9"/>
    <w:rsid w:val="00821C06"/>
    <w:rsid w:val="008302B6"/>
    <w:rsid w:val="00847FE5"/>
    <w:rsid w:val="008636BD"/>
    <w:rsid w:val="008656CF"/>
    <w:rsid w:val="008A054D"/>
    <w:rsid w:val="008C06CC"/>
    <w:rsid w:val="008D1EF9"/>
    <w:rsid w:val="008D2E3C"/>
    <w:rsid w:val="008E3193"/>
    <w:rsid w:val="00905C78"/>
    <w:rsid w:val="00971A56"/>
    <w:rsid w:val="00972958"/>
    <w:rsid w:val="009915D8"/>
    <w:rsid w:val="009A0447"/>
    <w:rsid w:val="009B2C01"/>
    <w:rsid w:val="009B307A"/>
    <w:rsid w:val="00A26BD0"/>
    <w:rsid w:val="00A81A47"/>
    <w:rsid w:val="00AB3056"/>
    <w:rsid w:val="00AB6554"/>
    <w:rsid w:val="00AC7926"/>
    <w:rsid w:val="00AE65B2"/>
    <w:rsid w:val="00AE6CD5"/>
    <w:rsid w:val="00B02EED"/>
    <w:rsid w:val="00B307C0"/>
    <w:rsid w:val="00B40FA2"/>
    <w:rsid w:val="00B709CE"/>
    <w:rsid w:val="00B728B2"/>
    <w:rsid w:val="00BB719F"/>
    <w:rsid w:val="00BD49C2"/>
    <w:rsid w:val="00C637D4"/>
    <w:rsid w:val="00C6461F"/>
    <w:rsid w:val="00C8424F"/>
    <w:rsid w:val="00CF4D75"/>
    <w:rsid w:val="00D02231"/>
    <w:rsid w:val="00D11CEA"/>
    <w:rsid w:val="00D406A8"/>
    <w:rsid w:val="00D40CBB"/>
    <w:rsid w:val="00D41DDE"/>
    <w:rsid w:val="00D42659"/>
    <w:rsid w:val="00D449E6"/>
    <w:rsid w:val="00D55160"/>
    <w:rsid w:val="00D820BF"/>
    <w:rsid w:val="00DA30D7"/>
    <w:rsid w:val="00DA6353"/>
    <w:rsid w:val="00DC57BC"/>
    <w:rsid w:val="00E05C89"/>
    <w:rsid w:val="00E35850"/>
    <w:rsid w:val="00E43834"/>
    <w:rsid w:val="00E4564F"/>
    <w:rsid w:val="00E5601F"/>
    <w:rsid w:val="00EA0B4E"/>
    <w:rsid w:val="00EC5084"/>
    <w:rsid w:val="00EF3E05"/>
    <w:rsid w:val="00EF7101"/>
    <w:rsid w:val="00F01252"/>
    <w:rsid w:val="00F135FC"/>
    <w:rsid w:val="00F30CC9"/>
    <w:rsid w:val="00F4131D"/>
    <w:rsid w:val="00F45F83"/>
    <w:rsid w:val="00F62EF2"/>
    <w:rsid w:val="00F730DF"/>
    <w:rsid w:val="00F938E3"/>
    <w:rsid w:val="00FC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2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Pr>
      <w:rFonts w:ascii="Calibri" w:hAnsi="Calibri" w:cs="Calibri"/>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numbering" w:customStyle="1" w:styleId="NoList1">
    <w:name w:val="No List1"/>
    <w:next w:val="NoList"/>
    <w:uiPriority w:val="99"/>
    <w:semiHidden/>
    <w:unhideWhenUsed/>
  </w:style>
  <w:style w:type="table" w:styleId="TableGrid">
    <w:name w:val="Table Grid"/>
    <w:basedOn w:val="TableNormal"/>
    <w:uiPriority w:val="9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Comment Text Char Char"/>
    <w:uiPriority w:val="99"/>
    <w:semiHidden/>
    <w:rPr>
      <w:sz w:val="20"/>
      <w:szCs w:val="20"/>
      <w:lang w:val="en-GB" w:eastAsia="en-US"/>
    </w:rPr>
  </w:style>
  <w:style w:type="character" w:customStyle="1" w:styleId="CommentTextChar2">
    <w:name w:val="Comment Text Char2"/>
    <w:aliases w:val="Comment Text Char Char1"/>
    <w:uiPriority w:val="99"/>
    <w:semiHidden/>
    <w:rPr>
      <w:sz w:val="20"/>
      <w:szCs w:val="20"/>
      <w:lang w:val="en-GB" w:eastAsia="en-US"/>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 w:val="24"/>
      <w:szCs w:val="20"/>
      <w:lang w:val="en-GB"/>
    </w:rPr>
  </w:style>
  <w:style w:type="character" w:styleId="LineNumber">
    <w:name w:val="line number"/>
    <w:basedOn w:val="DefaultParagraphFont"/>
    <w:uiPriority w:val="99"/>
    <w:semiHidden/>
    <w:unhideWhenUsed/>
  </w:style>
  <w:style w:type="character" w:customStyle="1" w:styleId="apple-converted-space">
    <w:name w:val="apple-converted-space"/>
    <w:basedOn w:val="DefaultParagraphFont"/>
  </w:style>
  <w:style w:type="character" w:customStyle="1" w:styleId="interref">
    <w:name w:val="interre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sid w:val="00AB30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Pr>
      <w:rFonts w:ascii="Calibri" w:hAnsi="Calibri" w:cs="Calibri"/>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numbering" w:customStyle="1" w:styleId="NoList1">
    <w:name w:val="No List1"/>
    <w:next w:val="NoList"/>
    <w:uiPriority w:val="99"/>
    <w:semiHidden/>
    <w:unhideWhenUsed/>
  </w:style>
  <w:style w:type="table" w:styleId="TableGrid">
    <w:name w:val="Table Grid"/>
    <w:basedOn w:val="TableNormal"/>
    <w:uiPriority w:val="99"/>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Comment Text Char Char"/>
    <w:uiPriority w:val="99"/>
    <w:semiHidden/>
    <w:rPr>
      <w:sz w:val="20"/>
      <w:szCs w:val="20"/>
      <w:lang w:val="en-GB" w:eastAsia="en-US"/>
    </w:rPr>
  </w:style>
  <w:style w:type="character" w:customStyle="1" w:styleId="CommentTextChar2">
    <w:name w:val="Comment Text Char2"/>
    <w:aliases w:val="Comment Text Char Char1"/>
    <w:uiPriority w:val="99"/>
    <w:semiHidden/>
    <w:rPr>
      <w:sz w:val="20"/>
      <w:szCs w:val="20"/>
      <w:lang w:val="en-GB" w:eastAsia="en-US"/>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bCs/>
      <w:sz w:val="24"/>
      <w:szCs w:val="20"/>
      <w:lang w:val="en-GB"/>
    </w:rPr>
  </w:style>
  <w:style w:type="character" w:styleId="LineNumber">
    <w:name w:val="line number"/>
    <w:basedOn w:val="DefaultParagraphFont"/>
    <w:uiPriority w:val="99"/>
    <w:semiHidden/>
    <w:unhideWhenUsed/>
  </w:style>
  <w:style w:type="character" w:customStyle="1" w:styleId="apple-converted-space">
    <w:name w:val="apple-converted-space"/>
    <w:basedOn w:val="DefaultParagraphFont"/>
  </w:style>
  <w:style w:type="character" w:customStyle="1" w:styleId="interref">
    <w:name w:val="interre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sid w:val="00AB3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5514">
      <w:bodyDiv w:val="1"/>
      <w:marLeft w:val="0"/>
      <w:marRight w:val="0"/>
      <w:marTop w:val="0"/>
      <w:marBottom w:val="0"/>
      <w:divBdr>
        <w:top w:val="none" w:sz="0" w:space="0" w:color="auto"/>
        <w:left w:val="none" w:sz="0" w:space="0" w:color="auto"/>
        <w:bottom w:val="none" w:sz="0" w:space="0" w:color="auto"/>
        <w:right w:val="none" w:sz="0" w:space="0" w:color="auto"/>
      </w:divBdr>
    </w:div>
    <w:div w:id="218370912">
      <w:bodyDiv w:val="1"/>
      <w:marLeft w:val="0"/>
      <w:marRight w:val="0"/>
      <w:marTop w:val="0"/>
      <w:marBottom w:val="0"/>
      <w:divBdr>
        <w:top w:val="none" w:sz="0" w:space="0" w:color="auto"/>
        <w:left w:val="none" w:sz="0" w:space="0" w:color="auto"/>
        <w:bottom w:val="none" w:sz="0" w:space="0" w:color="auto"/>
        <w:right w:val="none" w:sz="0" w:space="0" w:color="auto"/>
      </w:divBdr>
    </w:div>
    <w:div w:id="617224719">
      <w:bodyDiv w:val="1"/>
      <w:marLeft w:val="0"/>
      <w:marRight w:val="0"/>
      <w:marTop w:val="0"/>
      <w:marBottom w:val="0"/>
      <w:divBdr>
        <w:top w:val="none" w:sz="0" w:space="0" w:color="auto"/>
        <w:left w:val="none" w:sz="0" w:space="0" w:color="auto"/>
        <w:bottom w:val="none" w:sz="0" w:space="0" w:color="auto"/>
        <w:right w:val="none" w:sz="0" w:space="0" w:color="auto"/>
      </w:divBdr>
    </w:div>
    <w:div w:id="665472592">
      <w:bodyDiv w:val="1"/>
      <w:marLeft w:val="0"/>
      <w:marRight w:val="0"/>
      <w:marTop w:val="0"/>
      <w:marBottom w:val="0"/>
      <w:divBdr>
        <w:top w:val="none" w:sz="0" w:space="0" w:color="auto"/>
        <w:left w:val="none" w:sz="0" w:space="0" w:color="auto"/>
        <w:bottom w:val="none" w:sz="0" w:space="0" w:color="auto"/>
        <w:right w:val="none" w:sz="0" w:space="0" w:color="auto"/>
      </w:divBdr>
    </w:div>
    <w:div w:id="890535666">
      <w:bodyDiv w:val="1"/>
      <w:marLeft w:val="0"/>
      <w:marRight w:val="0"/>
      <w:marTop w:val="0"/>
      <w:marBottom w:val="0"/>
      <w:divBdr>
        <w:top w:val="none" w:sz="0" w:space="0" w:color="auto"/>
        <w:left w:val="none" w:sz="0" w:space="0" w:color="auto"/>
        <w:bottom w:val="none" w:sz="0" w:space="0" w:color="auto"/>
        <w:right w:val="none" w:sz="0" w:space="0" w:color="auto"/>
      </w:divBdr>
    </w:div>
    <w:div w:id="1197892240">
      <w:bodyDiv w:val="1"/>
      <w:marLeft w:val="0"/>
      <w:marRight w:val="0"/>
      <w:marTop w:val="0"/>
      <w:marBottom w:val="0"/>
      <w:divBdr>
        <w:top w:val="none" w:sz="0" w:space="0" w:color="auto"/>
        <w:left w:val="none" w:sz="0" w:space="0" w:color="auto"/>
        <w:bottom w:val="none" w:sz="0" w:space="0" w:color="auto"/>
        <w:right w:val="none" w:sz="0" w:space="0" w:color="auto"/>
      </w:divBdr>
    </w:div>
    <w:div w:id="1365130812">
      <w:bodyDiv w:val="1"/>
      <w:marLeft w:val="0"/>
      <w:marRight w:val="0"/>
      <w:marTop w:val="0"/>
      <w:marBottom w:val="0"/>
      <w:divBdr>
        <w:top w:val="none" w:sz="0" w:space="0" w:color="auto"/>
        <w:left w:val="none" w:sz="0" w:space="0" w:color="auto"/>
        <w:bottom w:val="none" w:sz="0" w:space="0" w:color="auto"/>
        <w:right w:val="none" w:sz="0" w:space="0" w:color="auto"/>
      </w:divBdr>
    </w:div>
    <w:div w:id="1380320382">
      <w:bodyDiv w:val="1"/>
      <w:marLeft w:val="0"/>
      <w:marRight w:val="0"/>
      <w:marTop w:val="0"/>
      <w:marBottom w:val="0"/>
      <w:divBdr>
        <w:top w:val="none" w:sz="0" w:space="0" w:color="auto"/>
        <w:left w:val="none" w:sz="0" w:space="0" w:color="auto"/>
        <w:bottom w:val="none" w:sz="0" w:space="0" w:color="auto"/>
        <w:right w:val="none" w:sz="0" w:space="0" w:color="auto"/>
      </w:divBdr>
    </w:div>
    <w:div w:id="1415856961">
      <w:bodyDiv w:val="1"/>
      <w:marLeft w:val="0"/>
      <w:marRight w:val="0"/>
      <w:marTop w:val="0"/>
      <w:marBottom w:val="0"/>
      <w:divBdr>
        <w:top w:val="none" w:sz="0" w:space="0" w:color="auto"/>
        <w:left w:val="none" w:sz="0" w:space="0" w:color="auto"/>
        <w:bottom w:val="none" w:sz="0" w:space="0" w:color="auto"/>
        <w:right w:val="none" w:sz="0" w:space="0" w:color="auto"/>
      </w:divBdr>
    </w:div>
    <w:div w:id="1469711829">
      <w:bodyDiv w:val="1"/>
      <w:marLeft w:val="0"/>
      <w:marRight w:val="0"/>
      <w:marTop w:val="0"/>
      <w:marBottom w:val="0"/>
      <w:divBdr>
        <w:top w:val="none" w:sz="0" w:space="0" w:color="auto"/>
        <w:left w:val="none" w:sz="0" w:space="0" w:color="auto"/>
        <w:bottom w:val="none" w:sz="0" w:space="0" w:color="auto"/>
        <w:right w:val="none" w:sz="0" w:space="0" w:color="auto"/>
      </w:divBdr>
    </w:div>
    <w:div w:id="1555266718">
      <w:bodyDiv w:val="1"/>
      <w:marLeft w:val="0"/>
      <w:marRight w:val="0"/>
      <w:marTop w:val="0"/>
      <w:marBottom w:val="0"/>
      <w:divBdr>
        <w:top w:val="none" w:sz="0" w:space="0" w:color="auto"/>
        <w:left w:val="none" w:sz="0" w:space="0" w:color="auto"/>
        <w:bottom w:val="none" w:sz="0" w:space="0" w:color="auto"/>
        <w:right w:val="none" w:sz="0" w:space="0" w:color="auto"/>
      </w:divBdr>
    </w:div>
    <w:div w:id="1683900555">
      <w:bodyDiv w:val="1"/>
      <w:marLeft w:val="0"/>
      <w:marRight w:val="0"/>
      <w:marTop w:val="0"/>
      <w:marBottom w:val="0"/>
      <w:divBdr>
        <w:top w:val="none" w:sz="0" w:space="0" w:color="auto"/>
        <w:left w:val="none" w:sz="0" w:space="0" w:color="auto"/>
        <w:bottom w:val="none" w:sz="0" w:space="0" w:color="auto"/>
        <w:right w:val="none" w:sz="0" w:space="0" w:color="auto"/>
      </w:divBdr>
    </w:div>
    <w:div w:id="1745296059">
      <w:bodyDiv w:val="1"/>
      <w:marLeft w:val="0"/>
      <w:marRight w:val="0"/>
      <w:marTop w:val="0"/>
      <w:marBottom w:val="0"/>
      <w:divBdr>
        <w:top w:val="none" w:sz="0" w:space="0" w:color="auto"/>
        <w:left w:val="none" w:sz="0" w:space="0" w:color="auto"/>
        <w:bottom w:val="none" w:sz="0" w:space="0" w:color="auto"/>
        <w:right w:val="none" w:sz="0" w:space="0" w:color="auto"/>
      </w:divBdr>
    </w:div>
    <w:div w:id="1752308530">
      <w:bodyDiv w:val="1"/>
      <w:marLeft w:val="0"/>
      <w:marRight w:val="0"/>
      <w:marTop w:val="0"/>
      <w:marBottom w:val="0"/>
      <w:divBdr>
        <w:top w:val="none" w:sz="0" w:space="0" w:color="auto"/>
        <w:left w:val="none" w:sz="0" w:space="0" w:color="auto"/>
        <w:bottom w:val="none" w:sz="0" w:space="0" w:color="auto"/>
        <w:right w:val="none" w:sz="0" w:space="0" w:color="auto"/>
      </w:divBdr>
    </w:div>
    <w:div w:id="1847864248">
      <w:bodyDiv w:val="1"/>
      <w:marLeft w:val="0"/>
      <w:marRight w:val="0"/>
      <w:marTop w:val="0"/>
      <w:marBottom w:val="0"/>
      <w:divBdr>
        <w:top w:val="none" w:sz="0" w:space="0" w:color="auto"/>
        <w:left w:val="none" w:sz="0" w:space="0" w:color="auto"/>
        <w:bottom w:val="none" w:sz="0" w:space="0" w:color="auto"/>
        <w:right w:val="none" w:sz="0" w:space="0" w:color="auto"/>
      </w:divBdr>
    </w:div>
    <w:div w:id="1943684859">
      <w:bodyDiv w:val="1"/>
      <w:marLeft w:val="0"/>
      <w:marRight w:val="0"/>
      <w:marTop w:val="0"/>
      <w:marBottom w:val="0"/>
      <w:divBdr>
        <w:top w:val="none" w:sz="0" w:space="0" w:color="auto"/>
        <w:left w:val="none" w:sz="0" w:space="0" w:color="auto"/>
        <w:bottom w:val="none" w:sz="0" w:space="0" w:color="auto"/>
        <w:right w:val="none" w:sz="0" w:space="0" w:color="auto"/>
      </w:divBdr>
    </w:div>
    <w:div w:id="1962303993">
      <w:bodyDiv w:val="1"/>
      <w:marLeft w:val="0"/>
      <w:marRight w:val="0"/>
      <w:marTop w:val="0"/>
      <w:marBottom w:val="0"/>
      <w:divBdr>
        <w:top w:val="none" w:sz="0" w:space="0" w:color="auto"/>
        <w:left w:val="none" w:sz="0" w:space="0" w:color="auto"/>
        <w:bottom w:val="none" w:sz="0" w:space="0" w:color="auto"/>
        <w:right w:val="none" w:sz="0" w:space="0" w:color="auto"/>
      </w:divBdr>
    </w:div>
    <w:div w:id="21034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c.soton.ac.uk/web2/files/2016/10/Full_report_Chapters1_to_1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lsi.eu/task-forces/nutrition/early-nutrition-and-long-term-health/" TargetMode="External"/><Relationship Id="rId4" Type="http://schemas.microsoft.com/office/2007/relationships/stylesWithEffects" Target="stylesWithEffects.xml"/><Relationship Id="rId9" Type="http://schemas.openxmlformats.org/officeDocument/2006/relationships/hyperlink" Target="mailto:publications@ilsieurope.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5ECD-2F76-4941-A016-6B7E39BE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8513</Words>
  <Characters>48527</Characters>
  <Application>Microsoft Office Word</Application>
  <DocSecurity>4</DocSecurity>
  <Lines>404</Lines>
  <Paragraphs>113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2017-01-26T16:49:00Z</cp:lastPrinted>
  <dcterms:created xsi:type="dcterms:W3CDTF">2017-04-06T11:10:00Z</dcterms:created>
  <dcterms:modified xsi:type="dcterms:W3CDTF">2017-04-06T11:10:00Z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4246a8e4-36d2-3e09-8378-06efaf9f69e0</vt:lpwstr>
  </property>
  <property fmtid="{D5CDD505-2E9C-101B-9397-08002B2CF9AE}" pid="4" name="Mendeley Recent Style Id 0_1">
    <vt:lpwstr>http://www.zotero.org/styles/acta-paediatrica</vt:lpwstr>
  </property>
  <property fmtid="{D5CDD505-2E9C-101B-9397-08002B2CF9AE}" pid="5" name="Mendeley Recent Style Name 0_1">
    <vt:lpwstr>Acta Paediatrica</vt:lpwstr>
  </property>
  <property fmtid="{D5CDD505-2E9C-101B-9397-08002B2CF9AE}" pid="6" name="Mendeley Recent Style Id 1_1">
    <vt:lpwstr>http://www.zotero.org/styles/ageing-research-reviews</vt:lpwstr>
  </property>
  <property fmtid="{D5CDD505-2E9C-101B-9397-08002B2CF9AE}" pid="7" name="Mendeley Recent Style Name 1_1">
    <vt:lpwstr>Ageing Research Reviews</vt:lpwstr>
  </property>
  <property fmtid="{D5CDD505-2E9C-101B-9397-08002B2CF9AE}" pid="8" name="Mendeley Recent Style Id 2_1">
    <vt:lpwstr>http://www.zotero.org/styles/annals-of-nutrition-and-metabolism</vt:lpwstr>
  </property>
  <property fmtid="{D5CDD505-2E9C-101B-9397-08002B2CF9AE}" pid="9" name="Mendeley Recent Style Name 2_1">
    <vt:lpwstr>Annals of Nutrition &amp; Metabolism</vt:lpwstr>
  </property>
  <property fmtid="{D5CDD505-2E9C-101B-9397-08002B2CF9AE}" pid="10" name="Mendeley Recent Style Id 3_1">
    <vt:lpwstr>http://www.zotero.org/styles/clinical-and-translational-gastroenterology</vt:lpwstr>
  </property>
  <property fmtid="{D5CDD505-2E9C-101B-9397-08002B2CF9AE}" pid="11" name="Mendeley Recent Style Name 3_1">
    <vt:lpwstr>Clinical and Translational Gastroenterology</vt:lpwstr>
  </property>
  <property fmtid="{D5CDD505-2E9C-101B-9397-08002B2CF9AE}" pid="12" name="Mendeley Recent Style Id 4_1">
    <vt:lpwstr>http://www.zotero.org/styles/council-of-science-editors-author-date</vt:lpwstr>
  </property>
  <property fmtid="{D5CDD505-2E9C-101B-9397-08002B2CF9AE}" pid="13" name="Mendeley Recent Style Name 4_1">
    <vt:lpwstr>Council of Science Editors, Name-Year (author-date)</vt:lpwstr>
  </property>
  <property fmtid="{D5CDD505-2E9C-101B-9397-08002B2CF9AE}" pid="14" name="Mendeley Recent Style Id 5_1">
    <vt:lpwstr>http://www.zotero.org/styles/european-journal-of-nutrition</vt:lpwstr>
  </property>
  <property fmtid="{D5CDD505-2E9C-101B-9397-08002B2CF9AE}" pid="15" name="Mendeley Recent Style Name 5_1">
    <vt:lpwstr>European Journal of Nutrition</vt:lpwstr>
  </property>
  <property fmtid="{D5CDD505-2E9C-101B-9397-08002B2CF9AE}" pid="16" name="Mendeley Recent Style Id 6_1">
    <vt:lpwstr>http://www.zotero.org/styles/national-library-of-medicine</vt:lpwstr>
  </property>
  <property fmtid="{D5CDD505-2E9C-101B-9397-08002B2CF9AE}" pid="17" name="Mendeley Recent Style Name 6_1">
    <vt:lpwstr>National Library of Medicine</vt:lpwstr>
  </property>
  <property fmtid="{D5CDD505-2E9C-101B-9397-08002B2CF9AE}" pid="18" name="Mendeley Recent Style Id 7_1">
    <vt:lpwstr>http://www.zotero.org/styles/public-health-nutrition</vt:lpwstr>
  </property>
  <property fmtid="{D5CDD505-2E9C-101B-9397-08002B2CF9AE}" pid="19" name="Mendeley Recent Style Name 7_1">
    <vt:lpwstr>Public Health Nutrition</vt:lpwstr>
  </property>
  <property fmtid="{D5CDD505-2E9C-101B-9397-08002B2CF9AE}" pid="20" name="Mendeley Recent Style Id 8_1">
    <vt:lpwstr>http://www.zotero.org/styles/regulatory-toxicology-and-pharmacology</vt:lpwstr>
  </property>
  <property fmtid="{D5CDD505-2E9C-101B-9397-08002B2CF9AE}" pid="21" name="Mendeley Recent Style Name 8_1">
    <vt:lpwstr>Regulatory Toxicology and Pharmacology</vt:lpwstr>
  </property>
  <property fmtid="{D5CDD505-2E9C-101B-9397-08002B2CF9AE}" pid="22" name="Mendeley Recent Style Id 9_1">
    <vt:lpwstr>http://www.zotero.org/styles/taylor-and-francis-chicago-author-date</vt:lpwstr>
  </property>
  <property fmtid="{D5CDD505-2E9C-101B-9397-08002B2CF9AE}" pid="23" name="Mendeley Recent Style Name 9_1">
    <vt:lpwstr>Taylor &amp; Francis - Chicago Manual of Style (author-date)</vt:lpwstr>
  </property>
  <property fmtid="{D5CDD505-2E9C-101B-9397-08002B2CF9AE}" pid="24" name="Mendeley Citation Style_1">
    <vt:lpwstr>http://www.zotero.org/styles/acta-paediatrica</vt:lpwstr>
  </property>
</Properties>
</file>