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01761" w14:textId="77777777" w:rsidR="00ED55D1" w:rsidRDefault="00ED55D1" w:rsidP="00ED55D1">
      <w:pPr>
        <w:pStyle w:val="Heading1"/>
        <w:rPr>
          <w:lang w:val="en-GB"/>
        </w:rPr>
      </w:pPr>
      <w:bookmarkStart w:id="0" w:name="_GoBack"/>
      <w:bookmarkEnd w:id="0"/>
      <w:r>
        <w:rPr>
          <w:lang w:val="en-GB"/>
        </w:rPr>
        <w:t>Objectively measured physical activity</w:t>
      </w:r>
      <w:r w:rsidRPr="008760E1">
        <w:rPr>
          <w:lang w:val="en-GB"/>
        </w:rPr>
        <w:t xml:space="preserve"> and</w:t>
      </w:r>
      <w:r>
        <w:rPr>
          <w:lang w:val="en-GB"/>
        </w:rPr>
        <w:t xml:space="preserve"> physical performance in old age</w:t>
      </w:r>
    </w:p>
    <w:p w14:paraId="3C1D9996" w14:textId="77777777" w:rsidR="00ED55D1" w:rsidRPr="00723868" w:rsidRDefault="00ED55D1" w:rsidP="00ED55D1">
      <w:pPr>
        <w:rPr>
          <w:vertAlign w:val="superscript"/>
          <w:lang w:eastAsia="fi-FI"/>
        </w:rPr>
      </w:pPr>
      <w:r w:rsidRPr="0080286C">
        <w:rPr>
          <w:lang w:eastAsia="fi-FI"/>
        </w:rPr>
        <w:t>Hanna Jantunen</w:t>
      </w:r>
      <w:r w:rsidRPr="009469DD">
        <w:rPr>
          <w:vertAlign w:val="superscript"/>
          <w:lang w:eastAsia="fi-FI"/>
        </w:rPr>
        <w:t>12</w:t>
      </w:r>
      <w:r>
        <w:rPr>
          <w:lang w:eastAsia="fi-FI"/>
        </w:rPr>
        <w:t>, Niko Wasenius</w:t>
      </w:r>
      <w:r w:rsidRPr="009469DD">
        <w:rPr>
          <w:vertAlign w:val="superscript"/>
          <w:lang w:eastAsia="fi-FI"/>
        </w:rPr>
        <w:t>12</w:t>
      </w:r>
      <w:r w:rsidRPr="0080286C">
        <w:rPr>
          <w:lang w:eastAsia="fi-FI"/>
        </w:rPr>
        <w:t xml:space="preserve">, Minna K. </w:t>
      </w:r>
      <w:r w:rsidRPr="009469DD">
        <w:rPr>
          <w:lang w:eastAsia="fi-FI"/>
        </w:rPr>
        <w:t>Salonen</w:t>
      </w:r>
      <w:r w:rsidRPr="009469DD">
        <w:rPr>
          <w:vertAlign w:val="superscript"/>
          <w:lang w:eastAsia="fi-FI"/>
        </w:rPr>
        <w:t>3</w:t>
      </w:r>
      <w:r>
        <w:rPr>
          <w:lang w:eastAsia="fi-FI"/>
        </w:rPr>
        <w:t xml:space="preserve">, </w:t>
      </w:r>
      <w:r w:rsidRPr="009469DD">
        <w:rPr>
          <w:lang w:eastAsia="fi-FI"/>
        </w:rPr>
        <w:t>Mia</w:t>
      </w:r>
      <w:r w:rsidRPr="0080286C">
        <w:rPr>
          <w:lang w:eastAsia="fi-FI"/>
        </w:rPr>
        <w:t>-Maria Perälä</w:t>
      </w:r>
      <w:r>
        <w:rPr>
          <w:vertAlign w:val="superscript"/>
          <w:lang w:eastAsia="fi-FI"/>
        </w:rPr>
        <w:t>3</w:t>
      </w:r>
      <w:r w:rsidRPr="0080286C">
        <w:rPr>
          <w:lang w:eastAsia="fi-FI"/>
        </w:rPr>
        <w:t xml:space="preserve">, Clive </w:t>
      </w:r>
      <w:r w:rsidRPr="009469DD">
        <w:rPr>
          <w:lang w:eastAsia="fi-FI"/>
        </w:rPr>
        <w:t>Osmond</w:t>
      </w:r>
      <w:r w:rsidRPr="009469DD">
        <w:rPr>
          <w:vertAlign w:val="superscript"/>
          <w:lang w:eastAsia="fi-FI"/>
        </w:rPr>
        <w:t>4</w:t>
      </w:r>
      <w:r>
        <w:rPr>
          <w:lang w:eastAsia="fi-FI"/>
        </w:rPr>
        <w:t>, Hannu Kautiainen</w:t>
      </w:r>
      <w:r>
        <w:rPr>
          <w:vertAlign w:val="superscript"/>
          <w:lang w:eastAsia="fi-FI"/>
        </w:rPr>
        <w:t>2</w:t>
      </w:r>
      <w:r>
        <w:rPr>
          <w:lang w:eastAsia="fi-FI"/>
        </w:rPr>
        <w:t xml:space="preserve">, </w:t>
      </w:r>
      <w:r w:rsidRPr="009469DD">
        <w:rPr>
          <w:lang w:eastAsia="fi-FI"/>
        </w:rPr>
        <w:t>Mika</w:t>
      </w:r>
      <w:r w:rsidRPr="0080286C">
        <w:rPr>
          <w:lang w:eastAsia="fi-FI"/>
        </w:rPr>
        <w:t xml:space="preserve"> Simonen</w:t>
      </w:r>
      <w:r w:rsidRPr="0080286C">
        <w:rPr>
          <w:vertAlign w:val="superscript"/>
          <w:lang w:eastAsia="fi-FI"/>
        </w:rPr>
        <w:t>5</w:t>
      </w:r>
      <w:r w:rsidRPr="0080286C">
        <w:rPr>
          <w:lang w:eastAsia="fi-FI"/>
        </w:rPr>
        <w:t>, Pertti Pohjolainen</w:t>
      </w:r>
      <w:r w:rsidRPr="0080286C">
        <w:rPr>
          <w:vertAlign w:val="superscript"/>
          <w:lang w:eastAsia="fi-FI"/>
        </w:rPr>
        <w:t>6</w:t>
      </w:r>
      <w:r w:rsidRPr="0080286C">
        <w:rPr>
          <w:lang w:eastAsia="fi-FI"/>
        </w:rPr>
        <w:t xml:space="preserve">, Eero </w:t>
      </w:r>
      <w:r w:rsidRPr="00B26BE8">
        <w:rPr>
          <w:lang w:eastAsia="fi-FI"/>
        </w:rPr>
        <w:t>Kajantie</w:t>
      </w:r>
      <w:r>
        <w:rPr>
          <w:vertAlign w:val="superscript"/>
          <w:lang w:eastAsia="fi-FI"/>
        </w:rPr>
        <w:t>3</w:t>
      </w:r>
      <w:r w:rsidRPr="00B26BE8">
        <w:rPr>
          <w:vertAlign w:val="superscript"/>
          <w:lang w:eastAsia="fi-FI"/>
        </w:rPr>
        <w:t>78</w:t>
      </w:r>
      <w:r>
        <w:rPr>
          <w:lang w:eastAsia="fi-FI"/>
        </w:rPr>
        <w:t xml:space="preserve">, </w:t>
      </w:r>
      <w:r w:rsidRPr="0080286C">
        <w:rPr>
          <w:lang w:eastAsia="fi-FI"/>
        </w:rPr>
        <w:t>Taina Rantanen</w:t>
      </w:r>
      <w:r w:rsidRPr="0080286C">
        <w:rPr>
          <w:vertAlign w:val="superscript"/>
          <w:lang w:eastAsia="fi-FI"/>
        </w:rPr>
        <w:t>9</w:t>
      </w:r>
      <w:r w:rsidRPr="0080286C">
        <w:rPr>
          <w:lang w:eastAsia="fi-FI"/>
        </w:rPr>
        <w:t xml:space="preserve">, Mikaela B. </w:t>
      </w:r>
      <w:r w:rsidRPr="00723868">
        <w:rPr>
          <w:lang w:eastAsia="fi-FI"/>
        </w:rPr>
        <w:t>von Bonsdorff</w:t>
      </w:r>
      <w:r w:rsidRPr="00723868">
        <w:rPr>
          <w:vertAlign w:val="superscript"/>
          <w:lang w:eastAsia="fi-FI"/>
        </w:rPr>
        <w:t>19</w:t>
      </w:r>
      <w:r w:rsidRPr="00723868">
        <w:rPr>
          <w:lang w:eastAsia="fi-FI"/>
        </w:rPr>
        <w:t>, Johan G. Eriksson</w:t>
      </w:r>
      <w:r w:rsidRPr="00723868">
        <w:rPr>
          <w:vertAlign w:val="superscript"/>
          <w:lang w:eastAsia="fi-FI"/>
        </w:rPr>
        <w:t>123</w:t>
      </w:r>
    </w:p>
    <w:p w14:paraId="5699F5EB" w14:textId="77777777" w:rsidR="00ED55D1" w:rsidRPr="00723868" w:rsidRDefault="00ED55D1" w:rsidP="00ED55D1">
      <w:pPr>
        <w:rPr>
          <w:lang w:eastAsia="fi-FI"/>
        </w:rPr>
      </w:pPr>
    </w:p>
    <w:p w14:paraId="6B7C1DD2" w14:textId="77777777" w:rsidR="00ED55D1" w:rsidRDefault="00ED55D1" w:rsidP="00ED55D1">
      <w:pPr>
        <w:rPr>
          <w:lang w:val="en-GB" w:eastAsia="fi-FI"/>
        </w:rPr>
      </w:pPr>
      <w:r w:rsidRPr="0080286C">
        <w:rPr>
          <w:vertAlign w:val="superscript"/>
          <w:lang w:val="en-GB" w:eastAsia="fi-FI"/>
        </w:rPr>
        <w:t>1</w:t>
      </w:r>
      <w:r w:rsidRPr="0080286C">
        <w:rPr>
          <w:lang w:val="en-GB" w:eastAsia="fi-FI"/>
        </w:rPr>
        <w:t>Folkhälsan Research Center, Helsinki, Finland</w:t>
      </w:r>
    </w:p>
    <w:p w14:paraId="1390FF3F" w14:textId="77777777" w:rsidR="00ED55D1" w:rsidRPr="0080286C" w:rsidRDefault="00ED55D1" w:rsidP="00ED55D1">
      <w:pPr>
        <w:rPr>
          <w:lang w:val="en-GB" w:eastAsia="fi-FI"/>
        </w:rPr>
      </w:pPr>
      <w:r>
        <w:rPr>
          <w:vertAlign w:val="superscript"/>
          <w:lang w:val="en-GB" w:eastAsia="fi-FI"/>
        </w:rPr>
        <w:t>2</w:t>
      </w:r>
      <w:r w:rsidRPr="0080286C">
        <w:rPr>
          <w:lang w:val="en-GB" w:eastAsia="fi-FI"/>
        </w:rPr>
        <w:t>Department of General Practice and Primary Health, Care and Helsinki University Hospital, University of Helsinki, P.O. Box 20, 00014 Helsinki, Finland</w:t>
      </w:r>
    </w:p>
    <w:p w14:paraId="3C9CD467" w14:textId="77777777" w:rsidR="00ED55D1" w:rsidRPr="0080286C" w:rsidRDefault="00ED55D1" w:rsidP="00ED55D1">
      <w:pPr>
        <w:rPr>
          <w:lang w:val="en-GB" w:eastAsia="fi-FI"/>
        </w:rPr>
      </w:pPr>
      <w:r>
        <w:rPr>
          <w:vertAlign w:val="superscript"/>
          <w:lang w:val="en-GB" w:eastAsia="fi-FI"/>
        </w:rPr>
        <w:t>3</w:t>
      </w:r>
      <w:r w:rsidRPr="0080286C">
        <w:rPr>
          <w:lang w:val="en-GB" w:eastAsia="fi-FI"/>
        </w:rPr>
        <w:t>Chronic Disease Prevention Unit, National Institute for Health and Welfare, Helsinki, Finland</w:t>
      </w:r>
    </w:p>
    <w:p w14:paraId="678D35F4" w14:textId="77777777" w:rsidR="00ED55D1" w:rsidRPr="0080286C" w:rsidRDefault="00ED55D1" w:rsidP="00ED55D1">
      <w:pPr>
        <w:rPr>
          <w:lang w:val="en-GB" w:eastAsia="fi-FI"/>
        </w:rPr>
      </w:pPr>
      <w:r w:rsidRPr="0080286C">
        <w:rPr>
          <w:vertAlign w:val="superscript"/>
          <w:lang w:val="en-GB" w:eastAsia="fi-FI"/>
        </w:rPr>
        <w:t>4</w:t>
      </w:r>
      <w:r w:rsidRPr="0080286C">
        <w:rPr>
          <w:lang w:val="en-GB" w:eastAsia="fi-FI"/>
        </w:rPr>
        <w:t>MRC Lifecourse Epidemiology Unit, University of Southampton, Southampton General Hospital, Southampton, UK</w:t>
      </w:r>
    </w:p>
    <w:p w14:paraId="2F5BB6DF" w14:textId="77777777" w:rsidR="00ED55D1" w:rsidRPr="00CF4885" w:rsidRDefault="00ED55D1" w:rsidP="00ED55D1">
      <w:pPr>
        <w:rPr>
          <w:lang w:val="en-GB" w:eastAsia="fi-FI"/>
        </w:rPr>
      </w:pPr>
      <w:r w:rsidRPr="00CF4885">
        <w:rPr>
          <w:vertAlign w:val="superscript"/>
          <w:lang w:val="en-GB" w:eastAsia="fi-FI"/>
        </w:rPr>
        <w:t>5</w:t>
      </w:r>
      <w:r w:rsidRPr="00CF4885">
        <w:rPr>
          <w:lang w:val="en-GB" w:eastAsia="fi-FI"/>
        </w:rPr>
        <w:t>Department of Social Research, University of Helsinki, Helsinki, Finland</w:t>
      </w:r>
    </w:p>
    <w:p w14:paraId="6C834BB2" w14:textId="77777777" w:rsidR="00ED55D1" w:rsidRPr="0080286C" w:rsidRDefault="00ED55D1" w:rsidP="00ED55D1">
      <w:pPr>
        <w:rPr>
          <w:lang w:val="en-GB" w:eastAsia="fi-FI"/>
        </w:rPr>
      </w:pPr>
      <w:r w:rsidRPr="0080286C">
        <w:rPr>
          <w:vertAlign w:val="superscript"/>
          <w:lang w:val="en-GB" w:eastAsia="fi-FI"/>
        </w:rPr>
        <w:t>6</w:t>
      </w:r>
      <w:r w:rsidRPr="0080286C">
        <w:rPr>
          <w:lang w:val="en-GB" w:eastAsia="fi-FI"/>
        </w:rPr>
        <w:t>Age Institute, Helsinki, Finland</w:t>
      </w:r>
    </w:p>
    <w:p w14:paraId="03FBDED5" w14:textId="77777777" w:rsidR="00ED55D1" w:rsidRPr="0080286C" w:rsidRDefault="00ED55D1" w:rsidP="00ED55D1">
      <w:pPr>
        <w:rPr>
          <w:lang w:val="en-GB" w:eastAsia="fi-FI"/>
        </w:rPr>
      </w:pPr>
      <w:r w:rsidRPr="0080286C">
        <w:rPr>
          <w:vertAlign w:val="superscript"/>
          <w:lang w:val="en-GB" w:eastAsia="fi-FI"/>
        </w:rPr>
        <w:t>7</w:t>
      </w:r>
      <w:r w:rsidRPr="0080286C">
        <w:rPr>
          <w:lang w:val="en-GB" w:eastAsia="fi-FI"/>
        </w:rPr>
        <w:t>Children’s Hospital, Helsinki University Hospital and University of Helsinki, Helsinki, Finland</w:t>
      </w:r>
    </w:p>
    <w:p w14:paraId="70A04BE5" w14:textId="77777777" w:rsidR="00ED55D1" w:rsidRPr="0080286C" w:rsidRDefault="00ED55D1" w:rsidP="00ED55D1">
      <w:pPr>
        <w:rPr>
          <w:lang w:val="en-GB" w:eastAsia="fi-FI"/>
        </w:rPr>
      </w:pPr>
      <w:r w:rsidRPr="00A038D2">
        <w:rPr>
          <w:vertAlign w:val="superscript"/>
          <w:lang w:val="en-GB" w:eastAsia="fi-FI"/>
        </w:rPr>
        <w:t>8</w:t>
      </w:r>
      <w:r>
        <w:rPr>
          <w:lang w:val="en-GB" w:eastAsia="fi-FI"/>
        </w:rPr>
        <w:t>PEDEGO Reseach Unit</w:t>
      </w:r>
      <w:r w:rsidRPr="00B26BE8">
        <w:rPr>
          <w:lang w:val="en-GB" w:eastAsia="fi-FI"/>
        </w:rPr>
        <w:t>,</w:t>
      </w:r>
      <w:r w:rsidRPr="0080286C">
        <w:rPr>
          <w:lang w:val="en-GB" w:eastAsia="fi-FI"/>
        </w:rPr>
        <w:t xml:space="preserve"> MRC Oulu, Oulu University Hospital and University of Oulu, Oulu, Finland</w:t>
      </w:r>
    </w:p>
    <w:p w14:paraId="508C8B13" w14:textId="77777777" w:rsidR="00ED55D1" w:rsidRPr="0080286C" w:rsidRDefault="00ED55D1" w:rsidP="00ED55D1">
      <w:pPr>
        <w:rPr>
          <w:lang w:val="en-GB" w:eastAsia="fi-FI"/>
        </w:rPr>
      </w:pPr>
      <w:r w:rsidRPr="0080286C">
        <w:rPr>
          <w:vertAlign w:val="superscript"/>
          <w:lang w:val="en-GB" w:eastAsia="fi-FI"/>
        </w:rPr>
        <w:t>9</w:t>
      </w:r>
      <w:r w:rsidRPr="0080286C">
        <w:rPr>
          <w:lang w:val="en-GB" w:eastAsia="fi-FI"/>
        </w:rPr>
        <w:t>Gerontology Research Center and Department of Health Sciences, University of Jyväskylä, Jyväskylä, Finland</w:t>
      </w:r>
    </w:p>
    <w:p w14:paraId="3AC02D8C" w14:textId="77777777" w:rsidR="00ED55D1" w:rsidRDefault="00ED55D1" w:rsidP="00ED55D1">
      <w:pPr>
        <w:pStyle w:val="NoSpacing"/>
        <w:rPr>
          <w:lang w:val="en-GB"/>
        </w:rPr>
      </w:pPr>
      <w:r>
        <w:rPr>
          <w:lang w:val="en-GB"/>
        </w:rPr>
        <w:br w:type="page"/>
      </w:r>
    </w:p>
    <w:p w14:paraId="51D3CA8A" w14:textId="24A1826A" w:rsidR="008B4E68" w:rsidRPr="000D41E7" w:rsidRDefault="008B4E68" w:rsidP="008B4E68">
      <w:pPr>
        <w:pStyle w:val="Heading2"/>
      </w:pPr>
      <w:r w:rsidRPr="000D41E7">
        <w:lastRenderedPageBreak/>
        <w:t>Abstract</w:t>
      </w:r>
    </w:p>
    <w:p w14:paraId="450DF882" w14:textId="02C1D02A" w:rsidR="008B4E68" w:rsidRPr="00E17ACA" w:rsidRDefault="008B4E68" w:rsidP="009469DD">
      <w:pPr>
        <w:rPr>
          <w:lang w:val="en-GB"/>
        </w:rPr>
      </w:pPr>
      <w:r w:rsidRPr="00E17ACA">
        <w:rPr>
          <w:b/>
          <w:lang w:val="en-GB"/>
        </w:rPr>
        <w:t xml:space="preserve">Background: </w:t>
      </w:r>
      <w:r w:rsidRPr="00E17ACA">
        <w:rPr>
          <w:lang w:val="en-GB"/>
        </w:rPr>
        <w:t xml:space="preserve">Physical </w:t>
      </w:r>
      <w:r w:rsidR="00DB4725">
        <w:rPr>
          <w:lang w:val="en-GB"/>
        </w:rPr>
        <w:t>performance</w:t>
      </w:r>
      <w:r w:rsidRPr="00E17ACA">
        <w:rPr>
          <w:lang w:val="en-GB"/>
        </w:rPr>
        <w:t xml:space="preserve"> is</w:t>
      </w:r>
      <w:r w:rsidR="0080134B">
        <w:rPr>
          <w:lang w:val="en-GB"/>
        </w:rPr>
        <w:t xml:space="preserve"> </w:t>
      </w:r>
      <w:r w:rsidR="00DB4725">
        <w:rPr>
          <w:lang w:val="en-GB"/>
        </w:rPr>
        <w:t>a key factor</w:t>
      </w:r>
      <w:r w:rsidR="00D152E8" w:rsidRPr="007611E5">
        <w:rPr>
          <w:lang w:val="en-GB"/>
        </w:rPr>
        <w:t xml:space="preserve"> </w:t>
      </w:r>
      <w:r w:rsidR="00DB4725">
        <w:rPr>
          <w:lang w:val="en-GB"/>
        </w:rPr>
        <w:t>that</w:t>
      </w:r>
      <w:r w:rsidR="00D152E8" w:rsidRPr="007611E5">
        <w:rPr>
          <w:lang w:val="en-GB"/>
        </w:rPr>
        <w:t xml:space="preserve"> determin</w:t>
      </w:r>
      <w:r w:rsidR="00DB4725">
        <w:rPr>
          <w:lang w:val="en-GB"/>
        </w:rPr>
        <w:t>es</w:t>
      </w:r>
      <w:r w:rsidR="007611E5">
        <w:rPr>
          <w:lang w:val="en-GB"/>
        </w:rPr>
        <w:t xml:space="preserve"> </w:t>
      </w:r>
      <w:r w:rsidRPr="00E17ACA">
        <w:rPr>
          <w:lang w:val="en-GB"/>
        </w:rPr>
        <w:t xml:space="preserve">how </w:t>
      </w:r>
      <w:r w:rsidR="00DB4725">
        <w:rPr>
          <w:lang w:val="en-GB"/>
        </w:rPr>
        <w:t>older</w:t>
      </w:r>
      <w:r w:rsidRPr="00E17ACA">
        <w:rPr>
          <w:lang w:val="en-GB"/>
        </w:rPr>
        <w:t xml:space="preserve"> people cope with daily tasks and </w:t>
      </w:r>
      <w:r w:rsidR="00DB4725">
        <w:rPr>
          <w:lang w:val="en-GB"/>
        </w:rPr>
        <w:t>maintain</w:t>
      </w:r>
      <w:r w:rsidRPr="00E17ACA">
        <w:rPr>
          <w:lang w:val="en-GB"/>
        </w:rPr>
        <w:t xml:space="preserve"> independency. There is strong evidence</w:t>
      </w:r>
      <w:r w:rsidR="0080134B">
        <w:rPr>
          <w:lang w:val="en-GB"/>
        </w:rPr>
        <w:t xml:space="preserve"> suggesting</w:t>
      </w:r>
      <w:r w:rsidRPr="00E17ACA">
        <w:rPr>
          <w:lang w:val="en-GB"/>
        </w:rPr>
        <w:t xml:space="preserve"> that physical activity (PA) is important in maintaining</w:t>
      </w:r>
      <w:r w:rsidR="0080134B">
        <w:rPr>
          <w:lang w:val="en-GB"/>
        </w:rPr>
        <w:t xml:space="preserve"> </w:t>
      </w:r>
      <w:r w:rsidRPr="00E17ACA">
        <w:rPr>
          <w:lang w:val="en-GB"/>
        </w:rPr>
        <w:t xml:space="preserve">physical </w:t>
      </w:r>
      <w:r w:rsidR="00DB4725">
        <w:rPr>
          <w:lang w:val="en-GB"/>
        </w:rPr>
        <w:t>performance</w:t>
      </w:r>
      <w:r w:rsidRPr="00E17ACA">
        <w:rPr>
          <w:lang w:val="en-GB"/>
        </w:rPr>
        <w:t xml:space="preserve"> in old age</w:t>
      </w:r>
      <w:r w:rsidR="0080134B">
        <w:rPr>
          <w:lang w:val="en-GB"/>
        </w:rPr>
        <w:t>. However,</w:t>
      </w:r>
      <w:r w:rsidRPr="00E17ACA">
        <w:rPr>
          <w:lang w:val="en-GB"/>
        </w:rPr>
        <w:t xml:space="preserve"> most studies </w:t>
      </w:r>
      <w:r w:rsidR="00612137">
        <w:rPr>
          <w:lang w:val="en-GB"/>
        </w:rPr>
        <w:t xml:space="preserve">have been </w:t>
      </w:r>
      <w:r w:rsidRPr="00E17ACA">
        <w:rPr>
          <w:lang w:val="en-GB"/>
        </w:rPr>
        <w:t xml:space="preserve">done </w:t>
      </w:r>
      <w:r w:rsidR="00612137">
        <w:rPr>
          <w:lang w:val="en-GB"/>
        </w:rPr>
        <w:t xml:space="preserve">using </w:t>
      </w:r>
      <w:r w:rsidR="0080134B">
        <w:rPr>
          <w:lang w:val="en-GB"/>
        </w:rPr>
        <w:t>self-reported</w:t>
      </w:r>
      <w:r w:rsidRPr="00E17ACA">
        <w:rPr>
          <w:lang w:val="en-GB"/>
        </w:rPr>
        <w:t xml:space="preserve"> PA</w:t>
      </w:r>
      <w:r w:rsidR="0080134B">
        <w:rPr>
          <w:lang w:val="en-GB"/>
        </w:rPr>
        <w:t xml:space="preserve">. </w:t>
      </w:r>
      <w:r w:rsidR="00612137">
        <w:rPr>
          <w:lang w:val="en-GB"/>
        </w:rPr>
        <w:t>O</w:t>
      </w:r>
      <w:r w:rsidRPr="00E17ACA">
        <w:rPr>
          <w:lang w:val="en-GB"/>
        </w:rPr>
        <w:t>ur aim was to explore the association between objectively measured PA and physical</w:t>
      </w:r>
      <w:r w:rsidR="0080134B">
        <w:rPr>
          <w:lang w:val="en-GB"/>
        </w:rPr>
        <w:t xml:space="preserve"> </w:t>
      </w:r>
      <w:r w:rsidRPr="00E17ACA">
        <w:rPr>
          <w:lang w:val="en-GB"/>
        </w:rPr>
        <w:t>performance</w:t>
      </w:r>
      <w:r w:rsidR="0080134B">
        <w:rPr>
          <w:lang w:val="en-GB"/>
        </w:rPr>
        <w:t xml:space="preserve"> in old age.</w:t>
      </w:r>
    </w:p>
    <w:p w14:paraId="44036E0A" w14:textId="7228CA10" w:rsidR="008B4E68" w:rsidRPr="00E17ACA" w:rsidRDefault="008B4E68" w:rsidP="009469DD">
      <w:pPr>
        <w:rPr>
          <w:lang w:val="en-GB"/>
        </w:rPr>
      </w:pPr>
      <w:r w:rsidRPr="00E17ACA">
        <w:rPr>
          <w:b/>
          <w:lang w:val="en-GB"/>
        </w:rPr>
        <w:t xml:space="preserve">Methods: </w:t>
      </w:r>
      <w:r w:rsidRPr="00E17ACA">
        <w:rPr>
          <w:lang w:val="en-GB"/>
        </w:rPr>
        <w:t>We studied 695 participants</w:t>
      </w:r>
      <w:r w:rsidR="000E464D">
        <w:rPr>
          <w:lang w:val="en-GB"/>
        </w:rPr>
        <w:t xml:space="preserve"> (mean age 70.7</w:t>
      </w:r>
      <w:r w:rsidR="000F0FCF">
        <w:rPr>
          <w:lang w:val="en-GB"/>
        </w:rPr>
        <w:t xml:space="preserve"> years, SD</w:t>
      </w:r>
      <w:r w:rsidR="00AA0C34">
        <w:rPr>
          <w:lang w:val="en-GB"/>
        </w:rPr>
        <w:t xml:space="preserve"> 2.7</w:t>
      </w:r>
      <w:r w:rsidR="000F0FCF">
        <w:rPr>
          <w:lang w:val="en-GB"/>
        </w:rPr>
        <w:t xml:space="preserve">) </w:t>
      </w:r>
      <w:r w:rsidRPr="00E17ACA">
        <w:rPr>
          <w:lang w:val="en-GB"/>
        </w:rPr>
        <w:t xml:space="preserve">from the Helsinki Birth Cohort Study. </w:t>
      </w:r>
      <w:r w:rsidR="00612137">
        <w:rPr>
          <w:lang w:val="en-GB"/>
        </w:rPr>
        <w:t>Physical performance</w:t>
      </w:r>
      <w:r w:rsidRPr="00E17ACA">
        <w:rPr>
          <w:lang w:val="en-GB"/>
        </w:rPr>
        <w:t xml:space="preserve"> was assessed </w:t>
      </w:r>
      <w:r w:rsidR="000F0FCF">
        <w:rPr>
          <w:lang w:val="en-GB"/>
        </w:rPr>
        <w:t>with</w:t>
      </w:r>
      <w:r w:rsidRPr="00E17ACA">
        <w:rPr>
          <w:lang w:val="en-GB"/>
        </w:rPr>
        <w:t xml:space="preserve"> the Senior Fitness Test (SFT) and </w:t>
      </w:r>
      <w:r w:rsidR="000F0FCF">
        <w:rPr>
          <w:lang w:val="en-GB"/>
        </w:rPr>
        <w:t>PA</w:t>
      </w:r>
      <w:r w:rsidRPr="00E17ACA">
        <w:rPr>
          <w:lang w:val="en-GB"/>
        </w:rPr>
        <w:t xml:space="preserve"> with a multisensory activity monitor</w:t>
      </w:r>
      <w:r w:rsidR="00612137">
        <w:rPr>
          <w:lang w:val="en-US"/>
        </w:rPr>
        <w:t xml:space="preserve"> </w:t>
      </w:r>
      <w:r w:rsidR="00612137" w:rsidRPr="00322B9B">
        <w:rPr>
          <w:lang w:val="en-US"/>
        </w:rPr>
        <w:t>Sense-Wear Pro 3 Armband</w:t>
      </w:r>
      <w:r w:rsidR="000F0FCF">
        <w:rPr>
          <w:lang w:val="en-GB"/>
        </w:rPr>
        <w:t>.</w:t>
      </w:r>
    </w:p>
    <w:p w14:paraId="52A1552A" w14:textId="7832EF60" w:rsidR="008B4E68" w:rsidRPr="00E17ACA" w:rsidRDefault="008B4E68" w:rsidP="009469DD">
      <w:pPr>
        <w:rPr>
          <w:lang w:val="en-GB"/>
        </w:rPr>
      </w:pPr>
      <w:r w:rsidRPr="00E17ACA">
        <w:rPr>
          <w:b/>
          <w:lang w:val="en-GB"/>
        </w:rPr>
        <w:t>Results:</w:t>
      </w:r>
      <w:r w:rsidRPr="00E17ACA">
        <w:rPr>
          <w:lang w:val="en-GB"/>
        </w:rPr>
        <w:t xml:space="preserve"> Total volume of PA was significantly associated with </w:t>
      </w:r>
      <w:r w:rsidR="005E2727">
        <w:rPr>
          <w:lang w:val="en-GB"/>
        </w:rPr>
        <w:t xml:space="preserve">the </w:t>
      </w:r>
      <w:r w:rsidRPr="00E17ACA">
        <w:rPr>
          <w:lang w:val="en-GB"/>
        </w:rPr>
        <w:t>overall SFT score</w:t>
      </w:r>
      <w:r w:rsidR="005E2727">
        <w:rPr>
          <w:lang w:val="en-GB"/>
        </w:rPr>
        <w:t xml:space="preserve"> (</w:t>
      </w:r>
      <w:r w:rsidR="005E2727">
        <w:rPr>
          <w:rFonts w:cs="Arial"/>
          <w:lang w:val="en-GB"/>
        </w:rPr>
        <w:t>β</w:t>
      </w:r>
      <w:r w:rsidR="005E2727">
        <w:rPr>
          <w:lang w:val="en-GB"/>
        </w:rPr>
        <w:t xml:space="preserve"> </w:t>
      </w:r>
      <w:r w:rsidR="00937C62">
        <w:rPr>
          <w:lang w:val="en-GB"/>
        </w:rPr>
        <w:t xml:space="preserve">0.08, 95% </w:t>
      </w:r>
      <w:r w:rsidR="005E2727">
        <w:rPr>
          <w:lang w:val="en-GB"/>
        </w:rPr>
        <w:t>confidence interval</w:t>
      </w:r>
      <w:r w:rsidR="00937C62">
        <w:rPr>
          <w:lang w:val="en-GB"/>
        </w:rPr>
        <w:t xml:space="preserve"> 0.07-0.10, </w:t>
      </w:r>
      <w:r w:rsidR="00937C62" w:rsidRPr="0080286C">
        <w:rPr>
          <w:i/>
          <w:lang w:val="en-GB"/>
        </w:rPr>
        <w:t>p</w:t>
      </w:r>
      <w:r w:rsidR="00937C62">
        <w:rPr>
          <w:lang w:val="en-GB"/>
        </w:rPr>
        <w:t>&lt;0.001</w:t>
      </w:r>
      <w:r w:rsidR="005E2727">
        <w:rPr>
          <w:lang w:val="en-GB"/>
        </w:rPr>
        <w:t>)</w:t>
      </w:r>
      <w:r w:rsidRPr="00E17ACA">
        <w:rPr>
          <w:lang w:val="en-GB"/>
        </w:rPr>
        <w:t>. There were no significant difference</w:t>
      </w:r>
      <w:r w:rsidR="00233D61">
        <w:rPr>
          <w:lang w:val="en-GB"/>
        </w:rPr>
        <w:t>s</w:t>
      </w:r>
      <w:r w:rsidRPr="00E17ACA">
        <w:rPr>
          <w:lang w:val="en-GB"/>
        </w:rPr>
        <w:t xml:space="preserve"> between men and women. Both light and moderate to vigorous level of PA (MVPA) w</w:t>
      </w:r>
      <w:r w:rsidR="00B26BE8">
        <w:rPr>
          <w:lang w:val="en-GB"/>
        </w:rPr>
        <w:t>ere</w:t>
      </w:r>
      <w:r w:rsidRPr="00E17ACA">
        <w:rPr>
          <w:lang w:val="en-GB"/>
        </w:rPr>
        <w:t xml:space="preserve"> positively associated with the overall SFT score while sedentary </w:t>
      </w:r>
      <w:r w:rsidR="00DC6D1F">
        <w:rPr>
          <w:lang w:val="en-GB"/>
        </w:rPr>
        <w:t>time</w:t>
      </w:r>
      <w:r w:rsidRPr="00E17ACA">
        <w:rPr>
          <w:lang w:val="en-GB"/>
        </w:rPr>
        <w:t xml:space="preserve"> was negatively associated with the overall SFT score.</w:t>
      </w:r>
    </w:p>
    <w:p w14:paraId="124D1CCE" w14:textId="2875F0CA" w:rsidR="008B4E68" w:rsidRDefault="008B4E68" w:rsidP="009469DD">
      <w:pPr>
        <w:rPr>
          <w:lang w:val="en-GB"/>
        </w:rPr>
      </w:pPr>
      <w:r w:rsidRPr="00E17ACA">
        <w:rPr>
          <w:b/>
          <w:lang w:val="en-GB"/>
        </w:rPr>
        <w:t>Conclusions:</w:t>
      </w:r>
      <w:r w:rsidRPr="00E17ACA">
        <w:rPr>
          <w:lang w:val="en-GB"/>
        </w:rPr>
        <w:t xml:space="preserve">  </w:t>
      </w:r>
      <w:r w:rsidR="006C2026" w:rsidRPr="007611E5">
        <w:rPr>
          <w:lang w:val="en-GB"/>
        </w:rPr>
        <w:t>V</w:t>
      </w:r>
      <w:r w:rsidRPr="00E17ACA">
        <w:rPr>
          <w:lang w:val="en-GB"/>
        </w:rPr>
        <w:t xml:space="preserve">olume of objectively measured </w:t>
      </w:r>
      <w:r w:rsidR="000F0FCF">
        <w:rPr>
          <w:lang w:val="en-GB"/>
        </w:rPr>
        <w:t>PA</w:t>
      </w:r>
      <w:r w:rsidRPr="00E17ACA">
        <w:rPr>
          <w:lang w:val="en-GB"/>
        </w:rPr>
        <w:t xml:space="preserve"> </w:t>
      </w:r>
      <w:r w:rsidR="00011269">
        <w:rPr>
          <w:lang w:val="en-GB"/>
        </w:rPr>
        <w:t>among old</w:t>
      </w:r>
      <w:r w:rsidR="00233D61">
        <w:rPr>
          <w:lang w:val="en-GB"/>
        </w:rPr>
        <w:t xml:space="preserve">er </w:t>
      </w:r>
      <w:r w:rsidRPr="00E17ACA">
        <w:rPr>
          <w:lang w:val="en-GB"/>
        </w:rPr>
        <w:t>people was positively associated with the physical performance measured with a validated fitness test battery.</w:t>
      </w:r>
    </w:p>
    <w:p w14:paraId="51BD1F5D" w14:textId="77777777" w:rsidR="001A0812" w:rsidRPr="00E17ACA" w:rsidRDefault="001A0812" w:rsidP="009469DD">
      <w:pPr>
        <w:rPr>
          <w:lang w:val="en-GB"/>
        </w:rPr>
      </w:pPr>
    </w:p>
    <w:p w14:paraId="20CD2060" w14:textId="6F0B5AC5" w:rsidR="008B4E68" w:rsidRDefault="008B4E68" w:rsidP="009469DD">
      <w:pPr>
        <w:rPr>
          <w:lang w:val="en-GB"/>
        </w:rPr>
      </w:pPr>
      <w:r w:rsidRPr="00E17ACA">
        <w:rPr>
          <w:b/>
          <w:lang w:val="en-GB"/>
        </w:rPr>
        <w:t>Keywords:</w:t>
      </w:r>
      <w:r w:rsidRPr="00E17ACA">
        <w:rPr>
          <w:lang w:val="en-GB"/>
        </w:rPr>
        <w:t xml:space="preserve"> Physical activity, Physical performance,</w:t>
      </w:r>
      <w:r w:rsidR="000F0FCF">
        <w:rPr>
          <w:lang w:val="en-GB"/>
        </w:rPr>
        <w:t xml:space="preserve"> Physical functioning,</w:t>
      </w:r>
      <w:r w:rsidRPr="00E17ACA">
        <w:rPr>
          <w:lang w:val="en-GB"/>
        </w:rPr>
        <w:t xml:space="preserve"> Senior Fitness Test, Aging</w:t>
      </w:r>
    </w:p>
    <w:p w14:paraId="517920A8" w14:textId="2EE6B02A" w:rsidR="0080286C" w:rsidRPr="008B4E68" w:rsidRDefault="0080286C" w:rsidP="009469DD">
      <w:pPr>
        <w:spacing w:before="0" w:after="160"/>
        <w:rPr>
          <w:rFonts w:cs="Arial"/>
          <w:lang w:val="en-GB"/>
        </w:rPr>
      </w:pPr>
      <w:r>
        <w:rPr>
          <w:rFonts w:cs="Arial"/>
          <w:lang w:val="en-GB"/>
        </w:rPr>
        <w:br w:type="page"/>
      </w:r>
    </w:p>
    <w:p w14:paraId="785FCF86" w14:textId="77777777" w:rsidR="008B4E68" w:rsidRPr="00FE0D31" w:rsidRDefault="008B4E68" w:rsidP="00E17ACA">
      <w:pPr>
        <w:pStyle w:val="Heading2"/>
      </w:pPr>
      <w:r w:rsidRPr="00FE0D31">
        <w:lastRenderedPageBreak/>
        <w:t>Introduction</w:t>
      </w:r>
    </w:p>
    <w:p w14:paraId="0E2C26F4" w14:textId="7E0A0087" w:rsidR="008B4E68" w:rsidRPr="008B4E68" w:rsidRDefault="008B4E68" w:rsidP="009469DD">
      <w:pPr>
        <w:rPr>
          <w:lang w:val="en-GB"/>
        </w:rPr>
      </w:pPr>
      <w:r>
        <w:rPr>
          <w:lang w:val="en-US"/>
        </w:rPr>
        <w:t xml:space="preserve">As </w:t>
      </w:r>
      <w:r w:rsidRPr="008B4E68">
        <w:rPr>
          <w:lang w:val="en-GB"/>
        </w:rPr>
        <w:t xml:space="preserve">life expectancy is increasing the </w:t>
      </w:r>
      <w:r w:rsidR="00B26BE8">
        <w:rPr>
          <w:lang w:val="en-GB"/>
        </w:rPr>
        <w:t>proportion</w:t>
      </w:r>
      <w:r w:rsidRPr="008B4E68">
        <w:rPr>
          <w:lang w:val="en-GB"/>
        </w:rPr>
        <w:t xml:space="preserve"> of people </w:t>
      </w:r>
      <w:r w:rsidR="00011269">
        <w:rPr>
          <w:lang w:val="en-GB"/>
        </w:rPr>
        <w:t xml:space="preserve">aged </w:t>
      </w:r>
      <w:r w:rsidRPr="008B4E68">
        <w:rPr>
          <w:lang w:val="en-GB"/>
        </w:rPr>
        <w:t>65 years</w:t>
      </w:r>
      <w:r w:rsidR="00011269">
        <w:rPr>
          <w:lang w:val="en-GB"/>
        </w:rPr>
        <w:t xml:space="preserve"> or over</w:t>
      </w:r>
      <w:r w:rsidRPr="008B4E68">
        <w:rPr>
          <w:lang w:val="en-GB"/>
        </w:rPr>
        <w:t xml:space="preserve"> is growing rapidly. Physical functioning is one of the primary determinants of quality of life in old age and plays a key role in maintaining independence and activity of daily l</w:t>
      </w:r>
      <w:r w:rsidR="00BA73FC" w:rsidRPr="007611E5">
        <w:rPr>
          <w:lang w:val="en-GB"/>
        </w:rPr>
        <w:t>ife</w:t>
      </w:r>
      <w:r w:rsidRPr="008B4E68">
        <w:rPr>
          <w:lang w:val="en-GB"/>
        </w:rPr>
        <w:t xml:space="preserve"> among </w:t>
      </w:r>
      <w:r w:rsidR="00837C47">
        <w:rPr>
          <w:lang w:val="en-GB"/>
        </w:rPr>
        <w:t>older</w:t>
      </w:r>
      <w:r w:rsidRPr="008B4E68">
        <w:rPr>
          <w:lang w:val="en-GB"/>
        </w:rPr>
        <w:t xml:space="preserve"> people</w:t>
      </w:r>
      <w:r w:rsidR="00472380">
        <w:rPr>
          <w:lang w:val="en-GB"/>
        </w:rPr>
        <w:t xml:space="preserve"> </w:t>
      </w:r>
      <w:r w:rsidR="001066EC">
        <w:rPr>
          <w:lang w:val="en-GB"/>
        </w:rPr>
        <w:fldChar w:fldCharType="begin"/>
      </w:r>
      <w:r w:rsidR="005A095F">
        <w:rPr>
          <w:lang w:val="en-GB"/>
        </w:rPr>
        <w:instrText>ADDIN RW.CITE{{100 Geirsdottir,O.G. 2012}}</w:instrText>
      </w:r>
      <w:r w:rsidR="001066EC">
        <w:rPr>
          <w:lang w:val="en-GB"/>
        </w:rPr>
        <w:fldChar w:fldCharType="separate"/>
      </w:r>
      <w:r w:rsidR="005A095F" w:rsidRPr="005A095F">
        <w:rPr>
          <w:rFonts w:cs="Arial"/>
          <w:lang w:val="en-GB"/>
        </w:rPr>
        <w:t>[1]</w:t>
      </w:r>
      <w:r w:rsidR="001066EC">
        <w:rPr>
          <w:lang w:val="en-GB"/>
        </w:rPr>
        <w:fldChar w:fldCharType="end"/>
      </w:r>
      <w:r w:rsidR="005A095F">
        <w:rPr>
          <w:lang w:val="en-GB"/>
        </w:rPr>
        <w:t xml:space="preserve">. </w:t>
      </w:r>
      <w:r w:rsidRPr="008B4E68">
        <w:rPr>
          <w:lang w:val="en-GB"/>
        </w:rPr>
        <w:t xml:space="preserve">Even modest declines in </w:t>
      </w:r>
      <w:r w:rsidR="00BA73FC" w:rsidRPr="007611E5">
        <w:rPr>
          <w:lang w:val="en-GB"/>
        </w:rPr>
        <w:t>functional</w:t>
      </w:r>
      <w:r w:rsidRPr="008B4E68">
        <w:rPr>
          <w:lang w:val="en-GB"/>
        </w:rPr>
        <w:t xml:space="preserve"> capabilities are associated with loss of independence, </w:t>
      </w:r>
      <w:r>
        <w:rPr>
          <w:lang w:val="en-US"/>
        </w:rPr>
        <w:t xml:space="preserve">institutionalization and higher </w:t>
      </w:r>
      <w:r w:rsidRPr="00D26F00">
        <w:rPr>
          <w:lang w:val="en-US"/>
        </w:rPr>
        <w:t xml:space="preserve">healthcare needs and utilization </w:t>
      </w:r>
      <w:r w:rsidR="009F7F53">
        <w:rPr>
          <w:lang w:val="en-US"/>
        </w:rPr>
        <w:fldChar w:fldCharType="begin"/>
      </w:r>
      <w:r w:rsidR="00291B26">
        <w:rPr>
          <w:lang w:val="en-US"/>
        </w:rPr>
        <w:instrText>ADDIN RW.CITE{{42 Fried,L.P. 1997}}</w:instrText>
      </w:r>
      <w:r w:rsidR="009F7F53">
        <w:rPr>
          <w:lang w:val="en-US"/>
        </w:rPr>
        <w:fldChar w:fldCharType="separate"/>
      </w:r>
      <w:r w:rsidR="005A095F" w:rsidRPr="005A095F">
        <w:rPr>
          <w:rFonts w:cs="Arial"/>
          <w:lang w:val="en-US"/>
        </w:rPr>
        <w:t>[2]</w:t>
      </w:r>
      <w:r w:rsidR="009F7F53">
        <w:rPr>
          <w:lang w:val="en-US"/>
        </w:rPr>
        <w:fldChar w:fldCharType="end"/>
      </w:r>
      <w:r w:rsidR="00EA1C40">
        <w:rPr>
          <w:lang w:val="en-GB"/>
        </w:rPr>
        <w:t xml:space="preserve">. </w:t>
      </w:r>
      <w:r w:rsidRPr="008B4E68">
        <w:rPr>
          <w:lang w:val="en-GB"/>
        </w:rPr>
        <w:t>According to the World Health Organisation</w:t>
      </w:r>
      <w:r w:rsidR="00514A8F">
        <w:rPr>
          <w:lang w:val="en-GB"/>
        </w:rPr>
        <w:t xml:space="preserve"> (WHO),</w:t>
      </w:r>
      <w:r w:rsidRPr="008B4E68">
        <w:rPr>
          <w:lang w:val="en-GB"/>
        </w:rPr>
        <w:t xml:space="preserve"> physical</w:t>
      </w:r>
      <w:r w:rsidR="007611E5">
        <w:rPr>
          <w:lang w:val="en-GB"/>
        </w:rPr>
        <w:t xml:space="preserve"> </w:t>
      </w:r>
      <w:r w:rsidRPr="008B4E68">
        <w:rPr>
          <w:lang w:val="en-GB"/>
        </w:rPr>
        <w:t>inactiv</w:t>
      </w:r>
      <w:r w:rsidR="00514A8F">
        <w:rPr>
          <w:lang w:val="en-GB"/>
        </w:rPr>
        <w:t>ity</w:t>
      </w:r>
      <w:r w:rsidRPr="008B4E68">
        <w:rPr>
          <w:lang w:val="en-GB"/>
        </w:rPr>
        <w:t xml:space="preserve"> is the fourth leading risk factor for mortality globally</w:t>
      </w:r>
      <w:r w:rsidR="003D640F">
        <w:rPr>
          <w:lang w:val="en-GB"/>
        </w:rPr>
        <w:t xml:space="preserve"> </w:t>
      </w:r>
      <w:r w:rsidR="003D640F">
        <w:rPr>
          <w:lang w:val="en-GB"/>
        </w:rPr>
        <w:fldChar w:fldCharType="begin"/>
      </w:r>
      <w:r w:rsidR="003D640F">
        <w:rPr>
          <w:lang w:val="en-GB"/>
        </w:rPr>
        <w:instrText>ADDIN RW.CITE{{138 WHO 2010}}</w:instrText>
      </w:r>
      <w:r w:rsidR="003D640F">
        <w:rPr>
          <w:lang w:val="en-GB"/>
        </w:rPr>
        <w:fldChar w:fldCharType="separate"/>
      </w:r>
      <w:r w:rsidR="005A095F" w:rsidRPr="005A095F">
        <w:rPr>
          <w:rFonts w:cs="Arial"/>
          <w:lang w:val="en-GB"/>
        </w:rPr>
        <w:t>[3]</w:t>
      </w:r>
      <w:r w:rsidR="003D640F">
        <w:rPr>
          <w:lang w:val="en-GB"/>
        </w:rPr>
        <w:fldChar w:fldCharType="end"/>
      </w:r>
      <w:r w:rsidRPr="008B4E68">
        <w:rPr>
          <w:lang w:val="en-GB"/>
        </w:rPr>
        <w:t xml:space="preserve">. </w:t>
      </w:r>
      <w:r w:rsidR="00EA1C40">
        <w:rPr>
          <w:lang w:val="en-GB"/>
        </w:rPr>
        <w:t>Several cohort studies and randomized controlled trials have shown that p</w:t>
      </w:r>
      <w:r w:rsidRPr="008B4E68">
        <w:rPr>
          <w:lang w:val="en-GB"/>
        </w:rPr>
        <w:t xml:space="preserve">hysical inactivity is associated with </w:t>
      </w:r>
      <w:r w:rsidR="00EA1C40">
        <w:rPr>
          <w:lang w:val="en-GB"/>
        </w:rPr>
        <w:t xml:space="preserve">a higher incidence of </w:t>
      </w:r>
      <w:r w:rsidRPr="008B4E68">
        <w:rPr>
          <w:lang w:val="en-GB"/>
        </w:rPr>
        <w:t>several chronic diseases including cardiovascular disease, type 2 diabetes, cancer</w:t>
      </w:r>
      <w:r w:rsidR="00EA1C40">
        <w:rPr>
          <w:lang w:val="en-GB"/>
        </w:rPr>
        <w:t xml:space="preserve"> such as </w:t>
      </w:r>
      <w:r w:rsidR="00C5377A" w:rsidRPr="00823A73">
        <w:rPr>
          <w:lang w:val="en-US"/>
        </w:rPr>
        <w:t>colon and breast cancer</w:t>
      </w:r>
      <w:r w:rsidR="00C5377A" w:rsidDel="00C5377A">
        <w:rPr>
          <w:lang w:val="en-GB"/>
        </w:rPr>
        <w:t xml:space="preserve"> </w:t>
      </w:r>
      <w:r w:rsidRPr="008B4E68">
        <w:rPr>
          <w:lang w:val="en-GB"/>
        </w:rPr>
        <w:t xml:space="preserve">and cognitive </w:t>
      </w:r>
      <w:r w:rsidR="00011269">
        <w:rPr>
          <w:lang w:val="en-GB"/>
        </w:rPr>
        <w:t>disorders</w:t>
      </w:r>
      <w:r w:rsidRPr="008B4E68">
        <w:rPr>
          <w:lang w:val="en-GB"/>
        </w:rPr>
        <w:t xml:space="preserve"> </w:t>
      </w:r>
      <w:r w:rsidR="009F7F53">
        <w:rPr>
          <w:lang w:val="en-GB"/>
        </w:rPr>
        <w:fldChar w:fldCharType="begin"/>
      </w:r>
      <w:r w:rsidR="00BE567E">
        <w:rPr>
          <w:lang w:val="en-GB"/>
        </w:rPr>
        <w:instrText>ADDIN RW.CITE{{77 Lee,I.M. 2012; 72 Hamer,M. 2012; 70 Middleton,L.E. 2010; 130 Peels,D.A. 2014}}</w:instrText>
      </w:r>
      <w:r w:rsidR="009F7F53">
        <w:rPr>
          <w:lang w:val="en-GB"/>
        </w:rPr>
        <w:fldChar w:fldCharType="separate"/>
      </w:r>
      <w:r w:rsidR="005A095F" w:rsidRPr="005A095F">
        <w:rPr>
          <w:rFonts w:cs="Arial"/>
          <w:lang w:val="en-GB"/>
        </w:rPr>
        <w:t>[4-7]</w:t>
      </w:r>
      <w:r w:rsidR="009F7F53">
        <w:rPr>
          <w:lang w:val="en-GB"/>
        </w:rPr>
        <w:fldChar w:fldCharType="end"/>
      </w:r>
      <w:r w:rsidRPr="008B4E68">
        <w:rPr>
          <w:lang w:val="en-GB"/>
        </w:rPr>
        <w:t xml:space="preserve">. </w:t>
      </w:r>
    </w:p>
    <w:p w14:paraId="3E94D9AC" w14:textId="44194954" w:rsidR="008B4E68" w:rsidRPr="00AE0B5D" w:rsidRDefault="009013BA" w:rsidP="009469DD">
      <w:pPr>
        <w:rPr>
          <w:rFonts w:eastAsia="Times New Roman"/>
          <w:lang w:val="en-GB" w:eastAsia="fi-FI"/>
        </w:rPr>
      </w:pPr>
      <w:r w:rsidRPr="00900A2F">
        <w:rPr>
          <w:rFonts w:cs="Arial"/>
          <w:lang w:val="en-GB" w:eastAsia="fi-FI"/>
        </w:rPr>
        <w:t xml:space="preserve">Healthy aging can be defined as including </w:t>
      </w:r>
      <w:r w:rsidRPr="006B08DC">
        <w:rPr>
          <w:rFonts w:eastAsia="Times New Roman" w:cs="Arial"/>
          <w:lang w:val="en-GB" w:eastAsia="fi-FI"/>
        </w:rPr>
        <w:t>three</w:t>
      </w:r>
      <w:r w:rsidRPr="00900A2F">
        <w:rPr>
          <w:rFonts w:eastAsia="Times New Roman" w:cs="Arial"/>
          <w:lang w:val="en-GB" w:eastAsia="fi-FI"/>
        </w:rPr>
        <w:t xml:space="preserve"> </w:t>
      </w:r>
      <w:r w:rsidRPr="006B08DC">
        <w:rPr>
          <w:rFonts w:eastAsia="Times New Roman" w:cs="Arial"/>
          <w:lang w:val="en-GB" w:eastAsia="fi-FI"/>
        </w:rPr>
        <w:t>main components</w:t>
      </w:r>
      <w:r w:rsidRPr="00900A2F">
        <w:rPr>
          <w:rFonts w:eastAsia="Times New Roman" w:cs="Arial"/>
          <w:lang w:val="en-GB" w:eastAsia="fi-FI"/>
        </w:rPr>
        <w:t xml:space="preserve">: low probability of disease and </w:t>
      </w:r>
      <w:r w:rsidRPr="006B08DC">
        <w:rPr>
          <w:rFonts w:eastAsia="Times New Roman" w:cs="Arial"/>
          <w:lang w:val="en-GB" w:eastAsia="fi-FI"/>
        </w:rPr>
        <w:t>disease-related disab</w:t>
      </w:r>
      <w:r w:rsidRPr="00900A2F">
        <w:rPr>
          <w:rFonts w:eastAsia="Times New Roman" w:cs="Arial"/>
          <w:lang w:val="en-GB" w:eastAsia="fi-FI"/>
        </w:rPr>
        <w:t>ility, high cognitive and physi</w:t>
      </w:r>
      <w:r w:rsidRPr="006B08DC">
        <w:rPr>
          <w:rFonts w:eastAsia="Times New Roman" w:cs="Arial"/>
          <w:lang w:val="en-GB" w:eastAsia="fi-FI"/>
        </w:rPr>
        <w:t>cal functional capacity, and active engagement with</w:t>
      </w:r>
      <w:r w:rsidRPr="00900A2F">
        <w:rPr>
          <w:rFonts w:eastAsia="Times New Roman" w:cs="Arial"/>
          <w:lang w:val="en-GB" w:eastAsia="fi-FI"/>
        </w:rPr>
        <w:t xml:space="preserve"> </w:t>
      </w:r>
      <w:r w:rsidRPr="006B08DC">
        <w:rPr>
          <w:rFonts w:eastAsia="Times New Roman" w:cs="Arial"/>
          <w:lang w:val="en-GB" w:eastAsia="fi-FI"/>
        </w:rPr>
        <w:t>life</w:t>
      </w:r>
      <w:r w:rsidRPr="009013BA">
        <w:rPr>
          <w:rFonts w:cs="Arial"/>
          <w:lang w:val="en-GB" w:eastAsia="fi-FI"/>
        </w:rPr>
        <w:t xml:space="preserve"> </w:t>
      </w:r>
      <w:r w:rsidR="006908C0">
        <w:rPr>
          <w:rFonts w:cs="Arial"/>
          <w:lang w:val="en-GB" w:eastAsia="fi-FI"/>
        </w:rPr>
        <w:fldChar w:fldCharType="begin"/>
      </w:r>
      <w:r w:rsidR="006908C0">
        <w:rPr>
          <w:rFonts w:cs="Arial"/>
          <w:lang w:val="en-GB" w:eastAsia="fi-FI"/>
        </w:rPr>
        <w:instrText>ADDIN RW.CITE{{248 Rowe,J.W. 1997}}</w:instrText>
      </w:r>
      <w:r w:rsidR="006908C0">
        <w:rPr>
          <w:rFonts w:cs="Arial"/>
          <w:lang w:val="en-GB" w:eastAsia="fi-FI"/>
        </w:rPr>
        <w:fldChar w:fldCharType="separate"/>
      </w:r>
      <w:r w:rsidR="006908C0" w:rsidRPr="006908C0">
        <w:rPr>
          <w:rFonts w:cs="Arial"/>
          <w:lang w:val="en-GB" w:eastAsia="fi-FI"/>
        </w:rPr>
        <w:t>[8]</w:t>
      </w:r>
      <w:r w:rsidR="006908C0">
        <w:rPr>
          <w:rFonts w:cs="Arial"/>
          <w:lang w:val="en-GB" w:eastAsia="fi-FI"/>
        </w:rPr>
        <w:fldChar w:fldCharType="end"/>
      </w:r>
      <w:r w:rsidR="00E95D30">
        <w:rPr>
          <w:rFonts w:cs="Arial"/>
          <w:lang w:val="en-GB" w:eastAsia="fi-FI"/>
        </w:rPr>
        <w:t xml:space="preserve">. </w:t>
      </w:r>
      <w:r w:rsidR="00786A9B">
        <w:rPr>
          <w:color w:val="231F20"/>
          <w:lang w:val="en-US"/>
        </w:rPr>
        <w:t xml:space="preserve">One key component in healthy aging is </w:t>
      </w:r>
      <w:r w:rsidR="008B4E68">
        <w:rPr>
          <w:color w:val="231F20"/>
          <w:lang w:val="en-US"/>
        </w:rPr>
        <w:t>maintain</w:t>
      </w:r>
      <w:r w:rsidR="00786A9B">
        <w:rPr>
          <w:color w:val="231F20"/>
          <w:lang w:val="en-US"/>
        </w:rPr>
        <w:t>ing</w:t>
      </w:r>
      <w:r w:rsidR="008B4E68">
        <w:rPr>
          <w:color w:val="231F20"/>
          <w:lang w:val="en-US"/>
        </w:rPr>
        <w:t xml:space="preserve"> </w:t>
      </w:r>
      <w:r w:rsidR="00240B23">
        <w:rPr>
          <w:color w:val="231F20"/>
          <w:lang w:val="en-US"/>
        </w:rPr>
        <w:t>an adequate</w:t>
      </w:r>
      <w:r w:rsidR="008B4E68">
        <w:rPr>
          <w:color w:val="231F20"/>
          <w:lang w:val="en-US"/>
        </w:rPr>
        <w:t xml:space="preserve"> </w:t>
      </w:r>
      <w:r w:rsidR="00240B23">
        <w:rPr>
          <w:color w:val="231F20"/>
          <w:lang w:val="en-US"/>
        </w:rPr>
        <w:t xml:space="preserve">level of </w:t>
      </w:r>
      <w:r w:rsidR="008B4E68">
        <w:rPr>
          <w:color w:val="231F20"/>
          <w:lang w:val="en-US"/>
        </w:rPr>
        <w:t xml:space="preserve">physical </w:t>
      </w:r>
      <w:r w:rsidR="00240B23">
        <w:rPr>
          <w:color w:val="231F20"/>
          <w:lang w:val="en-US"/>
        </w:rPr>
        <w:t>performance</w:t>
      </w:r>
      <w:r w:rsidR="008B4E68">
        <w:rPr>
          <w:color w:val="231F20"/>
          <w:lang w:val="en-US"/>
        </w:rPr>
        <w:t xml:space="preserve"> </w:t>
      </w:r>
      <w:r w:rsidR="0012228C">
        <w:rPr>
          <w:color w:val="231F20"/>
          <w:lang w:val="en-US"/>
        </w:rPr>
        <w:fldChar w:fldCharType="begin"/>
      </w:r>
      <w:r w:rsidR="007506BA">
        <w:rPr>
          <w:color w:val="231F20"/>
          <w:lang w:val="en-US"/>
        </w:rPr>
        <w:instrText>ADDIN RW.CITE{{44 Paterson,D.H. 2010}}</w:instrText>
      </w:r>
      <w:r w:rsidR="0012228C">
        <w:rPr>
          <w:color w:val="231F20"/>
          <w:lang w:val="en-US"/>
        </w:rPr>
        <w:fldChar w:fldCharType="separate"/>
      </w:r>
      <w:r w:rsidR="006908C0" w:rsidRPr="006908C0">
        <w:rPr>
          <w:rFonts w:cs="Arial"/>
          <w:color w:val="231F20"/>
          <w:lang w:val="en-US"/>
        </w:rPr>
        <w:t>[9]</w:t>
      </w:r>
      <w:r w:rsidR="0012228C">
        <w:rPr>
          <w:color w:val="231F20"/>
          <w:lang w:val="en-US"/>
        </w:rPr>
        <w:fldChar w:fldCharType="end"/>
      </w:r>
      <w:r w:rsidR="00240B23">
        <w:rPr>
          <w:color w:val="231F20"/>
          <w:lang w:val="en-US"/>
        </w:rPr>
        <w:t>, which</w:t>
      </w:r>
      <w:r w:rsidR="008B4E68" w:rsidRPr="008B4E68">
        <w:rPr>
          <w:lang w:val="en-GB"/>
        </w:rPr>
        <w:t xml:space="preserve"> is needed to be able to successfully perform </w:t>
      </w:r>
      <w:r w:rsidR="008928AD">
        <w:rPr>
          <w:lang w:val="en-GB"/>
        </w:rPr>
        <w:t xml:space="preserve">everyday </w:t>
      </w:r>
      <w:r w:rsidR="008B4E68" w:rsidRPr="008B4E68">
        <w:rPr>
          <w:lang w:val="en-GB"/>
        </w:rPr>
        <w:t xml:space="preserve">activities such as personal care, housework and shopping. </w:t>
      </w:r>
      <w:r w:rsidR="008A149F" w:rsidRPr="00900A2F">
        <w:rPr>
          <w:rFonts w:cs="Arial"/>
          <w:lang w:val="en-GB"/>
        </w:rPr>
        <w:t>Rikli and Jones have developed a validated functional fitness tes</w:t>
      </w:r>
      <w:r w:rsidR="00DC6D1F" w:rsidRPr="009D0066">
        <w:rPr>
          <w:rFonts w:cs="Arial"/>
          <w:lang w:val="en-GB"/>
        </w:rPr>
        <w:t>t battery especially for older</w:t>
      </w:r>
      <w:r w:rsidR="008A149F" w:rsidRPr="00900A2F">
        <w:rPr>
          <w:rFonts w:cs="Arial"/>
          <w:lang w:val="en-GB"/>
        </w:rPr>
        <w:t xml:space="preserve"> people, The Senior Fitness Test (SFT) (Rikli and Jones 2001). It </w:t>
      </w:r>
      <w:r w:rsidR="008A149F" w:rsidRPr="002771EF">
        <w:rPr>
          <w:rFonts w:cs="Arial"/>
          <w:color w:val="131413"/>
          <w:lang w:val="en-US"/>
        </w:rPr>
        <w:t>incorporates</w:t>
      </w:r>
      <w:r w:rsidR="008A149F">
        <w:rPr>
          <w:rFonts w:cs="Arial"/>
          <w:color w:val="131413"/>
          <w:lang w:val="en-US"/>
        </w:rPr>
        <w:t xml:space="preserve"> aspects of strength, mobility, </w:t>
      </w:r>
      <w:r w:rsidR="008A149F" w:rsidRPr="002771EF">
        <w:rPr>
          <w:rFonts w:cs="Arial"/>
          <w:color w:val="131413"/>
          <w:lang w:val="en-US"/>
        </w:rPr>
        <w:t>freedom of move</w:t>
      </w:r>
      <w:r w:rsidR="008A149F">
        <w:rPr>
          <w:rFonts w:cs="Arial"/>
          <w:color w:val="131413"/>
          <w:lang w:val="en-US"/>
        </w:rPr>
        <w:t xml:space="preserve">ment, balance and coordination </w:t>
      </w:r>
      <w:r w:rsidR="008A149F" w:rsidRPr="00900A2F">
        <w:rPr>
          <w:rFonts w:cs="Arial"/>
          <w:lang w:val="en-GB"/>
        </w:rPr>
        <w:t xml:space="preserve">which are needed to be able to perform everyday </w:t>
      </w:r>
      <w:r w:rsidR="008A149F" w:rsidRPr="00900A2F">
        <w:rPr>
          <w:rFonts w:eastAsia="Times New Roman" w:cs="Arial"/>
          <w:lang w:val="en-GB" w:eastAsia="fi-FI"/>
        </w:rPr>
        <w:t>activities.</w:t>
      </w:r>
      <w:r w:rsidR="008A149F">
        <w:rPr>
          <w:rFonts w:eastAsia="Times New Roman" w:cs="Arial"/>
          <w:lang w:val="en-GB" w:eastAsia="fi-FI"/>
        </w:rPr>
        <w:t xml:space="preserve"> </w:t>
      </w:r>
      <w:r w:rsidR="00240B23">
        <w:rPr>
          <w:lang w:val="en-GB"/>
        </w:rPr>
        <w:t xml:space="preserve">Using a </w:t>
      </w:r>
      <w:r w:rsidR="00156265">
        <w:rPr>
          <w:lang w:val="en-GB"/>
        </w:rPr>
        <w:t xml:space="preserve">fitness test battery, such as the </w:t>
      </w:r>
      <w:r w:rsidR="00156265" w:rsidRPr="008B4E68">
        <w:rPr>
          <w:lang w:val="en-GB"/>
        </w:rPr>
        <w:t>Senior Fitness Test (SFT)</w:t>
      </w:r>
      <w:r w:rsidR="00156265" w:rsidRPr="00156265">
        <w:rPr>
          <w:lang w:val="en-GB"/>
        </w:rPr>
        <w:t xml:space="preserve"> </w:t>
      </w:r>
      <w:r w:rsidR="00156265">
        <w:rPr>
          <w:lang w:val="en-GB"/>
        </w:rPr>
        <w:fldChar w:fldCharType="begin"/>
      </w:r>
      <w:r w:rsidR="00E226F8">
        <w:rPr>
          <w:lang w:val="en-GB"/>
        </w:rPr>
        <w:instrText>ADDIN RW.CITE{{142 Rikli,R.E. 1999}}</w:instrText>
      </w:r>
      <w:r w:rsidR="00156265">
        <w:rPr>
          <w:lang w:val="en-GB"/>
        </w:rPr>
        <w:fldChar w:fldCharType="separate"/>
      </w:r>
      <w:r w:rsidR="006908C0" w:rsidRPr="006908C0">
        <w:rPr>
          <w:rFonts w:cs="Arial"/>
          <w:lang w:val="en-GB"/>
        </w:rPr>
        <w:t>[10]</w:t>
      </w:r>
      <w:r w:rsidR="00156265">
        <w:rPr>
          <w:lang w:val="en-GB"/>
        </w:rPr>
        <w:fldChar w:fldCharType="end"/>
      </w:r>
      <w:r w:rsidR="00156265" w:rsidRPr="008B4E68">
        <w:rPr>
          <w:lang w:val="en-GB"/>
        </w:rPr>
        <w:t xml:space="preserve"> </w:t>
      </w:r>
      <w:r w:rsidR="00156265">
        <w:rPr>
          <w:lang w:val="en-GB"/>
        </w:rPr>
        <w:t>developed</w:t>
      </w:r>
      <w:r w:rsidR="008B4E68" w:rsidRPr="008B4E68">
        <w:rPr>
          <w:lang w:val="en-GB"/>
        </w:rPr>
        <w:t xml:space="preserve"> especially for </w:t>
      </w:r>
      <w:r w:rsidR="008928AD">
        <w:rPr>
          <w:lang w:val="en-GB"/>
        </w:rPr>
        <w:t>older</w:t>
      </w:r>
      <w:r w:rsidR="008B4E68" w:rsidRPr="008B4E68">
        <w:rPr>
          <w:lang w:val="en-GB"/>
        </w:rPr>
        <w:t xml:space="preserve"> people, </w:t>
      </w:r>
      <w:r w:rsidR="00156265">
        <w:rPr>
          <w:lang w:val="en-GB"/>
        </w:rPr>
        <w:t>will more likely capture the different domains of physical performance</w:t>
      </w:r>
      <w:r w:rsidR="008B4E68" w:rsidRPr="008B4E68">
        <w:rPr>
          <w:lang w:val="en-GB"/>
        </w:rPr>
        <w:t xml:space="preserve">. </w:t>
      </w:r>
    </w:p>
    <w:p w14:paraId="173140D9" w14:textId="4DFBC68F" w:rsidR="00AA354F" w:rsidRDefault="008B4E68" w:rsidP="009469DD">
      <w:pPr>
        <w:rPr>
          <w:lang w:val="en-GB"/>
        </w:rPr>
      </w:pPr>
      <w:r w:rsidRPr="008B4E68">
        <w:rPr>
          <w:lang w:val="en-GB"/>
        </w:rPr>
        <w:t xml:space="preserve">There is strong evidence that </w:t>
      </w:r>
      <w:r w:rsidR="00533B49">
        <w:rPr>
          <w:lang w:val="en-GB"/>
        </w:rPr>
        <w:t>physical activity (</w:t>
      </w:r>
      <w:r w:rsidR="00514A8F">
        <w:rPr>
          <w:lang w:val="en-GB"/>
        </w:rPr>
        <w:t>PA</w:t>
      </w:r>
      <w:r w:rsidR="00533B49">
        <w:rPr>
          <w:lang w:val="en-GB"/>
        </w:rPr>
        <w:t>)</w:t>
      </w:r>
      <w:r w:rsidRPr="008B4E68">
        <w:rPr>
          <w:lang w:val="en-GB"/>
        </w:rPr>
        <w:t xml:space="preserve"> is an important factor needed to maintain good physical performance </w:t>
      </w:r>
      <w:r w:rsidR="0012228C">
        <w:rPr>
          <w:lang w:val="en-GB"/>
        </w:rPr>
        <w:fldChar w:fldCharType="begin"/>
      </w:r>
      <w:r w:rsidR="00291B26">
        <w:rPr>
          <w:lang w:val="en-GB"/>
        </w:rPr>
        <w:instrText>ADDIN RW.CITE{{41 Cooper,R. 2011; 67 Patel,K.V. 2006; 66 Pluijm,S.M. 2007}}</w:instrText>
      </w:r>
      <w:r w:rsidR="0012228C">
        <w:rPr>
          <w:lang w:val="en-GB"/>
        </w:rPr>
        <w:fldChar w:fldCharType="separate"/>
      </w:r>
      <w:r w:rsidR="006908C0" w:rsidRPr="006908C0">
        <w:rPr>
          <w:rFonts w:cs="Arial"/>
          <w:lang w:val="en-GB"/>
        </w:rPr>
        <w:t>[11-13]</w:t>
      </w:r>
      <w:r w:rsidR="0012228C">
        <w:rPr>
          <w:lang w:val="en-GB"/>
        </w:rPr>
        <w:fldChar w:fldCharType="end"/>
      </w:r>
      <w:r w:rsidR="002052D7">
        <w:rPr>
          <w:lang w:val="en-GB"/>
        </w:rPr>
        <w:t xml:space="preserve"> and promote health ageing </w:t>
      </w:r>
      <w:r w:rsidR="002052D7">
        <w:rPr>
          <w:lang w:val="en-GB"/>
        </w:rPr>
        <w:fldChar w:fldCharType="begin"/>
      </w:r>
      <w:r w:rsidR="000B390A">
        <w:rPr>
          <w:lang w:val="en-GB"/>
        </w:rPr>
        <w:instrText>ADDIN RW.CITE{{47 Gulsvik,A.K. 2012}}</w:instrText>
      </w:r>
      <w:r w:rsidR="002052D7">
        <w:rPr>
          <w:lang w:val="en-GB"/>
        </w:rPr>
        <w:fldChar w:fldCharType="separate"/>
      </w:r>
      <w:r w:rsidR="006908C0" w:rsidRPr="006908C0">
        <w:rPr>
          <w:rFonts w:cs="Arial"/>
          <w:lang w:val="en-GB"/>
        </w:rPr>
        <w:t>[14]</w:t>
      </w:r>
      <w:r w:rsidR="002052D7">
        <w:rPr>
          <w:lang w:val="en-GB"/>
        </w:rPr>
        <w:fldChar w:fldCharType="end"/>
      </w:r>
      <w:r w:rsidRPr="008B4E68">
        <w:rPr>
          <w:lang w:val="en-GB"/>
        </w:rPr>
        <w:t xml:space="preserve">. </w:t>
      </w:r>
      <w:r w:rsidR="00514A8F">
        <w:rPr>
          <w:lang w:val="en-GB"/>
        </w:rPr>
        <w:t xml:space="preserve">Although </w:t>
      </w:r>
      <w:r w:rsidR="002052D7">
        <w:rPr>
          <w:lang w:val="en-GB"/>
        </w:rPr>
        <w:t xml:space="preserve">evidence on the beneficial association between PA and subsequent physical performance is accumulating, </w:t>
      </w:r>
      <w:r w:rsidR="00514A8F">
        <w:rPr>
          <w:lang w:val="en-GB"/>
        </w:rPr>
        <w:t>m</w:t>
      </w:r>
      <w:r w:rsidRPr="008B4E68">
        <w:rPr>
          <w:lang w:val="en-GB"/>
        </w:rPr>
        <w:t>ost studies have assessed</w:t>
      </w:r>
      <w:r w:rsidR="00514A8F">
        <w:rPr>
          <w:lang w:val="en-GB"/>
        </w:rPr>
        <w:t xml:space="preserve"> PA</w:t>
      </w:r>
      <w:r w:rsidRPr="008B4E68">
        <w:rPr>
          <w:lang w:val="en-GB"/>
        </w:rPr>
        <w:t xml:space="preserve"> </w:t>
      </w:r>
      <w:r w:rsidR="002052D7">
        <w:rPr>
          <w:lang w:val="en-GB"/>
        </w:rPr>
        <w:t>and/or physical functioning using</w:t>
      </w:r>
      <w:r w:rsidRPr="008B4E68">
        <w:rPr>
          <w:lang w:val="en-GB"/>
        </w:rPr>
        <w:t xml:space="preserve"> questionnaires </w:t>
      </w:r>
      <w:r w:rsidR="002052D7">
        <w:rPr>
          <w:lang w:val="en-GB"/>
        </w:rPr>
        <w:t xml:space="preserve">and </w:t>
      </w:r>
      <w:r w:rsidR="004A1354">
        <w:rPr>
          <w:lang w:val="en-GB"/>
        </w:rPr>
        <w:t xml:space="preserve">less </w:t>
      </w:r>
      <w:r w:rsidR="002052D7">
        <w:rPr>
          <w:lang w:val="en-GB"/>
        </w:rPr>
        <w:t xml:space="preserve">studies </w:t>
      </w:r>
      <w:r w:rsidR="004A1354">
        <w:rPr>
          <w:lang w:val="en-GB"/>
        </w:rPr>
        <w:t xml:space="preserve">have </w:t>
      </w:r>
      <w:r w:rsidR="002052D7">
        <w:rPr>
          <w:lang w:val="en-GB"/>
        </w:rPr>
        <w:t>us</w:t>
      </w:r>
      <w:r w:rsidR="004A1354">
        <w:rPr>
          <w:lang w:val="en-GB"/>
        </w:rPr>
        <w:t>ed</w:t>
      </w:r>
      <w:r w:rsidR="002052D7">
        <w:rPr>
          <w:lang w:val="en-GB"/>
        </w:rPr>
        <w:t xml:space="preserve"> objective </w:t>
      </w:r>
      <w:r w:rsidR="00240B23">
        <w:rPr>
          <w:lang w:val="en-GB"/>
        </w:rPr>
        <w:t xml:space="preserve">validated </w:t>
      </w:r>
      <w:r w:rsidR="002052D7">
        <w:rPr>
          <w:lang w:val="en-GB"/>
        </w:rPr>
        <w:t xml:space="preserve">measures </w:t>
      </w:r>
      <w:r w:rsidR="00240B23">
        <w:rPr>
          <w:lang w:val="en-GB"/>
        </w:rPr>
        <w:t>of</w:t>
      </w:r>
      <w:r w:rsidR="002052D7">
        <w:rPr>
          <w:lang w:val="en-GB"/>
        </w:rPr>
        <w:t xml:space="preserve"> both PA and</w:t>
      </w:r>
      <w:r w:rsidRPr="008B4E68">
        <w:rPr>
          <w:lang w:val="en-GB"/>
        </w:rPr>
        <w:t xml:space="preserve"> </w:t>
      </w:r>
      <w:r w:rsidRPr="0080286C">
        <w:rPr>
          <w:lang w:val="en-GB"/>
        </w:rPr>
        <w:t>physical performance</w:t>
      </w:r>
      <w:r w:rsidRPr="008B4E68">
        <w:rPr>
          <w:lang w:val="en-GB"/>
        </w:rPr>
        <w:t xml:space="preserve">. </w:t>
      </w:r>
      <w:r w:rsidR="00944679">
        <w:rPr>
          <w:lang w:val="en-GB"/>
        </w:rPr>
        <w:t xml:space="preserve">The PA monitor used in this study represents the next generation activity monitor and has been shown to be superior to most </w:t>
      </w:r>
      <w:r w:rsidR="00944679">
        <w:rPr>
          <w:lang w:val="en-GB"/>
        </w:rPr>
        <w:lastRenderedPageBreak/>
        <w:t xml:space="preserve">previously used monitors </w:t>
      </w:r>
      <w:r w:rsidR="00B970FA">
        <w:rPr>
          <w:lang w:val="en-GB"/>
        </w:rPr>
        <w:fldChar w:fldCharType="begin"/>
      </w:r>
      <w:r w:rsidR="00B970FA">
        <w:rPr>
          <w:lang w:val="en-GB"/>
        </w:rPr>
        <w:instrText>ADDIN RW.CITE{{88 Almeida,G.J. 2015}}</w:instrText>
      </w:r>
      <w:r w:rsidR="00B970FA">
        <w:rPr>
          <w:lang w:val="en-GB"/>
        </w:rPr>
        <w:fldChar w:fldCharType="separate"/>
      </w:r>
      <w:r w:rsidR="006908C0" w:rsidRPr="006908C0">
        <w:rPr>
          <w:rFonts w:cs="Arial"/>
          <w:lang w:val="en-GB"/>
        </w:rPr>
        <w:t>[15]</w:t>
      </w:r>
      <w:r w:rsidR="00B970FA">
        <w:rPr>
          <w:lang w:val="en-GB"/>
        </w:rPr>
        <w:fldChar w:fldCharType="end"/>
      </w:r>
      <w:r w:rsidR="00B970FA">
        <w:rPr>
          <w:lang w:val="en-GB"/>
        </w:rPr>
        <w:t xml:space="preserve">. </w:t>
      </w:r>
      <w:r w:rsidRPr="008B4E68">
        <w:rPr>
          <w:lang w:val="en-GB"/>
        </w:rPr>
        <w:t xml:space="preserve">The aim of this study was to assess how objectively measured </w:t>
      </w:r>
      <w:r w:rsidR="00514A8F">
        <w:rPr>
          <w:lang w:val="en-GB"/>
        </w:rPr>
        <w:t>PA</w:t>
      </w:r>
      <w:r w:rsidRPr="008B4E68">
        <w:rPr>
          <w:lang w:val="en-GB"/>
        </w:rPr>
        <w:t xml:space="preserve"> is associated with physical performance tested with the SFT </w:t>
      </w:r>
      <w:r w:rsidR="00240B23">
        <w:rPr>
          <w:lang w:val="en-GB"/>
        </w:rPr>
        <w:t>among older individuals</w:t>
      </w:r>
      <w:r w:rsidRPr="008B4E68">
        <w:rPr>
          <w:lang w:val="en-GB"/>
        </w:rPr>
        <w:t xml:space="preserve">. </w:t>
      </w:r>
    </w:p>
    <w:p w14:paraId="1C38336C" w14:textId="77777777" w:rsidR="0080286C" w:rsidRPr="00FE0D31" w:rsidRDefault="0080286C" w:rsidP="0080286C">
      <w:pPr>
        <w:pStyle w:val="Heading2"/>
      </w:pPr>
      <w:r w:rsidRPr="00FE0D31">
        <w:t>Methods</w:t>
      </w:r>
    </w:p>
    <w:p w14:paraId="33197912" w14:textId="77777777" w:rsidR="0080286C" w:rsidRPr="0017194F" w:rsidRDefault="0080286C" w:rsidP="0080286C">
      <w:pPr>
        <w:pStyle w:val="Heading3"/>
        <w:rPr>
          <w:lang w:val="en-US"/>
        </w:rPr>
      </w:pPr>
      <w:r w:rsidRPr="0017194F">
        <w:rPr>
          <w:lang w:val="en-US"/>
        </w:rPr>
        <w:t>Study population</w:t>
      </w:r>
      <w:r>
        <w:rPr>
          <w:lang w:val="en-US"/>
        </w:rPr>
        <w:t xml:space="preserve"> and measures</w:t>
      </w:r>
    </w:p>
    <w:p w14:paraId="145E9878" w14:textId="4EFD2F7E" w:rsidR="009E5F44" w:rsidRDefault="0080286C" w:rsidP="0080286C">
      <w:pPr>
        <w:rPr>
          <w:lang w:val="en-GB"/>
        </w:rPr>
      </w:pPr>
      <w:r w:rsidRPr="0017194F">
        <w:rPr>
          <w:lang w:val="en-US"/>
        </w:rPr>
        <w:t>This study is</w:t>
      </w:r>
      <w:r>
        <w:rPr>
          <w:lang w:val="en-US"/>
        </w:rPr>
        <w:t xml:space="preserve"> </w:t>
      </w:r>
      <w:r w:rsidRPr="0017194F">
        <w:rPr>
          <w:lang w:val="en-US"/>
        </w:rPr>
        <w:t>part of the Helsinki Birth Cohort Study (HBCS) th</w:t>
      </w:r>
      <w:r>
        <w:rPr>
          <w:lang w:val="en-US"/>
        </w:rPr>
        <w:t>at</w:t>
      </w:r>
      <w:r w:rsidRPr="0017194F">
        <w:rPr>
          <w:lang w:val="en-US"/>
        </w:rPr>
        <w:t xml:space="preserve"> includ</w:t>
      </w:r>
      <w:r w:rsidRPr="007611E5">
        <w:rPr>
          <w:lang w:val="en-GB"/>
        </w:rPr>
        <w:t>es</w:t>
      </w:r>
      <w:r>
        <w:rPr>
          <w:lang w:val="en-US"/>
        </w:rPr>
        <w:t xml:space="preserve"> </w:t>
      </w:r>
      <w:r w:rsidRPr="0017194F">
        <w:rPr>
          <w:lang w:val="en-US"/>
        </w:rPr>
        <w:t>13,345 individuals born in Helsinki between 1934 and 1944. In the year 2000, a</w:t>
      </w:r>
      <w:r>
        <w:rPr>
          <w:lang w:val="en-US"/>
        </w:rPr>
        <w:t xml:space="preserve"> </w:t>
      </w:r>
      <w:r w:rsidRPr="0017194F">
        <w:rPr>
          <w:lang w:val="en-US"/>
        </w:rPr>
        <w:t>random sample of subjects from HBCS were invited to participate in a clinical examination</w:t>
      </w:r>
      <w:r>
        <w:rPr>
          <w:lang w:val="en-US"/>
        </w:rPr>
        <w:t xml:space="preserve"> </w:t>
      </w:r>
      <w:r w:rsidRPr="0017194F">
        <w:rPr>
          <w:lang w:val="en-US"/>
        </w:rPr>
        <w:t>conducted between the years 2</w:t>
      </w:r>
      <w:r>
        <w:rPr>
          <w:lang w:val="en-US"/>
        </w:rPr>
        <w:t xml:space="preserve">001 and 2004 </w:t>
      </w:r>
      <w:r>
        <w:rPr>
          <w:lang w:val="en-US"/>
        </w:rPr>
        <w:fldChar w:fldCharType="begin"/>
      </w:r>
      <w:r w:rsidR="008C0CDD">
        <w:rPr>
          <w:lang w:val="en-US"/>
        </w:rPr>
        <w:instrText>ADDIN RW.CITE{{74 Eriksson,J.G. 2006}}</w:instrText>
      </w:r>
      <w:r>
        <w:rPr>
          <w:lang w:val="en-US"/>
        </w:rPr>
        <w:fldChar w:fldCharType="separate"/>
      </w:r>
      <w:r w:rsidR="006908C0" w:rsidRPr="006908C0">
        <w:rPr>
          <w:rFonts w:cs="Arial"/>
          <w:lang w:val="en-US"/>
        </w:rPr>
        <w:t>[16]</w:t>
      </w:r>
      <w:r>
        <w:rPr>
          <w:lang w:val="en-US"/>
        </w:rPr>
        <w:fldChar w:fldCharType="end"/>
      </w:r>
      <w:r w:rsidRPr="0017194F">
        <w:rPr>
          <w:lang w:val="en-US"/>
        </w:rPr>
        <w:t xml:space="preserve">. From </w:t>
      </w:r>
      <w:r>
        <w:rPr>
          <w:lang w:val="en-US"/>
        </w:rPr>
        <w:t>this</w:t>
      </w:r>
      <w:r w:rsidRPr="0017194F">
        <w:rPr>
          <w:lang w:val="en-US"/>
        </w:rPr>
        <w:t xml:space="preserve"> clinical study cohort (n=2003), 1404 people who were alive and living within 100 km distance from the study clinic in Helsinki were invited to participate in a new clinical follow-up in 2011. A total of 1094 participants attended the clinical examination between 2011 and </w:t>
      </w:r>
      <w:r>
        <w:rPr>
          <w:lang w:val="en-US"/>
        </w:rPr>
        <w:t>2013. Of these, 695 individuals</w:t>
      </w:r>
      <w:r w:rsidRPr="0017194F">
        <w:rPr>
          <w:lang w:val="en-US"/>
        </w:rPr>
        <w:t xml:space="preserve"> (</w:t>
      </w:r>
      <w:r>
        <w:rPr>
          <w:lang w:val="en-US"/>
        </w:rPr>
        <w:t>316 men and 379 wo</w:t>
      </w:r>
      <w:r w:rsidRPr="0017194F">
        <w:rPr>
          <w:lang w:val="en-US"/>
        </w:rPr>
        <w:t xml:space="preserve">men) had adequate information on </w:t>
      </w:r>
      <w:r>
        <w:rPr>
          <w:lang w:val="en-US"/>
        </w:rPr>
        <w:t xml:space="preserve">both </w:t>
      </w:r>
      <w:r w:rsidR="009E5F44">
        <w:rPr>
          <w:lang w:val="en-US"/>
        </w:rPr>
        <w:t>objectiv</w:t>
      </w:r>
      <w:r w:rsidR="009E5F44">
        <w:rPr>
          <w:lang w:val="en-GB"/>
        </w:rPr>
        <w:t>e</w:t>
      </w:r>
      <w:r w:rsidR="009E5F44" w:rsidRPr="007611E5">
        <w:rPr>
          <w:lang w:val="en-GB"/>
        </w:rPr>
        <w:t>ly measured</w:t>
      </w:r>
      <w:r w:rsidR="009E5F44">
        <w:rPr>
          <w:lang w:val="en-US"/>
        </w:rPr>
        <w:t xml:space="preserve"> PA and </w:t>
      </w:r>
      <w:r w:rsidRPr="0017194F">
        <w:rPr>
          <w:lang w:val="en-US"/>
        </w:rPr>
        <w:t>physical performance test (SFT)</w:t>
      </w:r>
      <w:r>
        <w:rPr>
          <w:lang w:val="en-US"/>
        </w:rPr>
        <w:t>.</w:t>
      </w:r>
      <w:r w:rsidR="009E5F44">
        <w:rPr>
          <w:lang w:val="en-US"/>
        </w:rPr>
        <w:t xml:space="preserve"> </w:t>
      </w:r>
      <w:r w:rsidR="009E5F44" w:rsidRPr="0017194F">
        <w:rPr>
          <w:lang w:val="en-US"/>
        </w:rPr>
        <w:t>The clinical stu</w:t>
      </w:r>
      <w:r w:rsidR="009E5F44">
        <w:rPr>
          <w:lang w:val="en-US"/>
        </w:rPr>
        <w:t xml:space="preserve">dy protocol was approved by the </w:t>
      </w:r>
      <w:r w:rsidR="009E5F44" w:rsidRPr="0017194F">
        <w:rPr>
          <w:lang w:val="en-US"/>
        </w:rPr>
        <w:t>Ethics Committee of Epidem</w:t>
      </w:r>
      <w:r w:rsidR="009E5F44">
        <w:rPr>
          <w:lang w:val="en-US"/>
        </w:rPr>
        <w:t xml:space="preserve">iology and Public Health of the </w:t>
      </w:r>
      <w:r w:rsidR="009E5F44" w:rsidRPr="0017194F">
        <w:rPr>
          <w:lang w:val="en-US"/>
        </w:rPr>
        <w:t>Hospital District of Helsink</w:t>
      </w:r>
      <w:r w:rsidR="009E5F44">
        <w:rPr>
          <w:lang w:val="en-US"/>
        </w:rPr>
        <w:t xml:space="preserve">i and Uusimaa. Written informed </w:t>
      </w:r>
      <w:r w:rsidR="009E5F44" w:rsidRPr="0017194F">
        <w:rPr>
          <w:lang w:val="en-US"/>
        </w:rPr>
        <w:t>consent was obtained from ea</w:t>
      </w:r>
      <w:r w:rsidR="009E5F44">
        <w:rPr>
          <w:lang w:val="en-US"/>
        </w:rPr>
        <w:t xml:space="preserve">ch participant before any study </w:t>
      </w:r>
      <w:r w:rsidR="009E5F44" w:rsidRPr="0017194F">
        <w:rPr>
          <w:lang w:val="en-US"/>
        </w:rPr>
        <w:t>procedure was initiated.</w:t>
      </w:r>
    </w:p>
    <w:p w14:paraId="4BA04A91" w14:textId="77777777" w:rsidR="009E5F44" w:rsidRPr="00036706" w:rsidRDefault="009E5F44" w:rsidP="009E5F44">
      <w:pPr>
        <w:pStyle w:val="Heading3"/>
        <w:rPr>
          <w:lang w:val="en-GB"/>
        </w:rPr>
      </w:pPr>
      <w:r w:rsidRPr="00036706">
        <w:rPr>
          <w:lang w:val="en-GB"/>
        </w:rPr>
        <w:t>Assessment of physical activity</w:t>
      </w:r>
    </w:p>
    <w:p w14:paraId="051363EA" w14:textId="6EB6F1A5" w:rsidR="009E5F44" w:rsidRDefault="009E5F44" w:rsidP="000A7483">
      <w:pPr>
        <w:rPr>
          <w:color w:val="000000"/>
          <w:lang w:val="en-US"/>
        </w:rPr>
      </w:pPr>
      <w:r>
        <w:rPr>
          <w:lang w:val="en-US"/>
        </w:rPr>
        <w:t xml:space="preserve">PA was measured </w:t>
      </w:r>
      <w:r w:rsidR="004A1354">
        <w:rPr>
          <w:lang w:val="en-US"/>
        </w:rPr>
        <w:t>between</w:t>
      </w:r>
      <w:r w:rsidR="009E385A">
        <w:rPr>
          <w:lang w:val="en-US"/>
        </w:rPr>
        <w:t xml:space="preserve"> </w:t>
      </w:r>
      <w:r w:rsidR="009D7137">
        <w:rPr>
          <w:lang w:val="en-US"/>
        </w:rPr>
        <w:t>2012</w:t>
      </w:r>
      <w:r w:rsidR="009E385A">
        <w:rPr>
          <w:lang w:val="en-US"/>
        </w:rPr>
        <w:t xml:space="preserve"> and </w:t>
      </w:r>
      <w:r w:rsidR="00C5377A">
        <w:rPr>
          <w:lang w:val="en-US"/>
        </w:rPr>
        <w:t>2013</w:t>
      </w:r>
      <w:r w:rsidR="009E385A">
        <w:rPr>
          <w:lang w:val="en-US"/>
        </w:rPr>
        <w:t xml:space="preserve"> using </w:t>
      </w:r>
      <w:r>
        <w:rPr>
          <w:lang w:val="en-US"/>
        </w:rPr>
        <w:t xml:space="preserve">the </w:t>
      </w:r>
      <w:r w:rsidRPr="00322B9B">
        <w:rPr>
          <w:lang w:val="en-US"/>
        </w:rPr>
        <w:t xml:space="preserve">Sense-Wear Pro 3 Armband </w:t>
      </w:r>
      <w:r>
        <w:rPr>
          <w:lang w:val="en-US"/>
        </w:rPr>
        <w:t xml:space="preserve">(SWA) </w:t>
      </w:r>
      <w:r w:rsidRPr="00322B9B">
        <w:rPr>
          <w:lang w:val="en-US"/>
        </w:rPr>
        <w:t>(BodyMedia, Inc., Pittsburg, PA, USA)</w:t>
      </w:r>
      <w:r>
        <w:rPr>
          <w:lang w:val="en-US"/>
        </w:rPr>
        <w:t xml:space="preserve">. </w:t>
      </w:r>
      <w:r w:rsidRPr="00322B9B">
        <w:rPr>
          <w:lang w:val="en-US"/>
        </w:rPr>
        <w:t xml:space="preserve">The </w:t>
      </w:r>
      <w:r>
        <w:rPr>
          <w:lang w:val="en-US"/>
        </w:rPr>
        <w:t xml:space="preserve">SWA is a multisensory body monitor that is </w:t>
      </w:r>
      <w:r w:rsidRPr="00322B9B">
        <w:rPr>
          <w:lang w:val="en-US"/>
        </w:rPr>
        <w:t>worn on the triceps of the right arm</w:t>
      </w:r>
      <w:r>
        <w:rPr>
          <w:lang w:val="en-US"/>
        </w:rPr>
        <w:t xml:space="preserve"> that measures </w:t>
      </w:r>
      <w:r w:rsidRPr="005E142C">
        <w:rPr>
          <w:lang w:val="en-US"/>
        </w:rPr>
        <w:t xml:space="preserve">skin temperature, near-body temperature, heat flux, galvanic skin response, and </w:t>
      </w:r>
      <w:r>
        <w:rPr>
          <w:lang w:val="en-US"/>
        </w:rPr>
        <w:t>biaxial accelerations</w:t>
      </w:r>
      <w:r w:rsidRPr="00322B9B">
        <w:rPr>
          <w:lang w:val="en-US"/>
        </w:rPr>
        <w:t>.</w:t>
      </w:r>
      <w:r>
        <w:rPr>
          <w:lang w:val="en-US"/>
        </w:rPr>
        <w:t xml:space="preserve"> Collected data was analyzed with </w:t>
      </w:r>
      <w:r w:rsidRPr="005E142C">
        <w:rPr>
          <w:lang w:val="en-US"/>
        </w:rPr>
        <w:t>Innerview Sensewear Professional Software</w:t>
      </w:r>
      <w:r>
        <w:rPr>
          <w:lang w:val="en-US"/>
        </w:rPr>
        <w:t xml:space="preserve"> </w:t>
      </w:r>
      <w:r w:rsidRPr="0082514F">
        <w:rPr>
          <w:lang w:val="en-US"/>
        </w:rPr>
        <w:t>(version 6.1)</w:t>
      </w:r>
      <w:r>
        <w:rPr>
          <w:lang w:val="en-US"/>
        </w:rPr>
        <w:t xml:space="preserve">. </w:t>
      </w:r>
      <w:r w:rsidRPr="008B4E68">
        <w:rPr>
          <w:lang w:val="en-GB"/>
        </w:rPr>
        <w:t xml:space="preserve">The SWA has been shown to be valid for assessing energy expenditure in free-living conditions </w:t>
      </w:r>
      <w:r>
        <w:rPr>
          <w:lang w:val="en-GB"/>
        </w:rPr>
        <w:fldChar w:fldCharType="begin"/>
      </w:r>
      <w:r w:rsidR="00291B26">
        <w:rPr>
          <w:lang w:val="en-GB"/>
        </w:rPr>
        <w:instrText>ADDIN RW.CITE{{49 St-Onge,M. 2007}}</w:instrText>
      </w:r>
      <w:r>
        <w:rPr>
          <w:lang w:val="en-GB"/>
        </w:rPr>
        <w:fldChar w:fldCharType="separate"/>
      </w:r>
      <w:r w:rsidR="006908C0" w:rsidRPr="006908C0">
        <w:rPr>
          <w:rFonts w:cs="Arial"/>
          <w:lang w:val="en-GB"/>
        </w:rPr>
        <w:t>[17]</w:t>
      </w:r>
      <w:r>
        <w:rPr>
          <w:lang w:val="en-GB"/>
        </w:rPr>
        <w:fldChar w:fldCharType="end"/>
      </w:r>
      <w:r w:rsidRPr="008B4E68">
        <w:rPr>
          <w:lang w:val="en-GB"/>
        </w:rPr>
        <w:t xml:space="preserve"> and the energy expenditure estimated by the SWA correlates strongly with estimates from doubly labelled water and indirect calorimetry </w:t>
      </w:r>
      <w:r w:rsidRPr="008B4E68">
        <w:rPr>
          <w:lang w:val="en-GB"/>
        </w:rPr>
        <w:lastRenderedPageBreak/>
        <w:t>also in a study</w:t>
      </w:r>
      <w:r w:rsidRPr="007611E5">
        <w:rPr>
          <w:lang w:val="en-GB"/>
        </w:rPr>
        <w:t xml:space="preserve"> performed in elderly</w:t>
      </w:r>
      <w:r w:rsidRPr="008B4E68">
        <w:rPr>
          <w:lang w:val="en-GB"/>
        </w:rPr>
        <w:t xml:space="preserve"> people </w:t>
      </w:r>
      <w:r>
        <w:rPr>
          <w:lang w:val="en-GB"/>
        </w:rPr>
        <w:t>(</w:t>
      </w:r>
      <w:r w:rsidRPr="0080286C">
        <w:rPr>
          <w:i/>
          <w:lang w:val="en-GB"/>
        </w:rPr>
        <w:t>r</w:t>
      </w:r>
      <w:r>
        <w:rPr>
          <w:lang w:val="en-GB"/>
        </w:rPr>
        <w:t xml:space="preserve"> 0.48, </w:t>
      </w:r>
      <w:r w:rsidRPr="0080286C">
        <w:rPr>
          <w:i/>
          <w:lang w:val="en-GB"/>
        </w:rPr>
        <w:t>p</w:t>
      </w:r>
      <w:r>
        <w:rPr>
          <w:lang w:val="en-GB"/>
        </w:rPr>
        <w:t xml:space="preserve">&lt;0.01) </w:t>
      </w:r>
      <w:r>
        <w:rPr>
          <w:lang w:val="en-GB"/>
        </w:rPr>
        <w:fldChar w:fldCharType="begin"/>
      </w:r>
      <w:r w:rsidR="00291B26">
        <w:rPr>
          <w:lang w:val="en-GB"/>
        </w:rPr>
        <w:instrText>ADDIN RW.CITE{{50 Colbert,L.H. 2011}}</w:instrText>
      </w:r>
      <w:r>
        <w:rPr>
          <w:lang w:val="en-GB"/>
        </w:rPr>
        <w:fldChar w:fldCharType="separate"/>
      </w:r>
      <w:r w:rsidR="006908C0" w:rsidRPr="006908C0">
        <w:rPr>
          <w:rFonts w:cs="Arial"/>
          <w:lang w:val="en-GB"/>
        </w:rPr>
        <w:t>[18]</w:t>
      </w:r>
      <w:r>
        <w:rPr>
          <w:lang w:val="en-GB"/>
        </w:rPr>
        <w:fldChar w:fldCharType="end"/>
      </w:r>
      <w:r w:rsidRPr="008B4E68">
        <w:rPr>
          <w:lang w:val="en-GB"/>
        </w:rPr>
        <w:t>.</w:t>
      </w:r>
      <w:r w:rsidR="009E385A">
        <w:rPr>
          <w:lang w:val="en-US"/>
        </w:rPr>
        <w:t xml:space="preserve"> </w:t>
      </w:r>
      <w:r>
        <w:rPr>
          <w:lang w:val="en-US"/>
        </w:rPr>
        <w:t>The study population was instructed to wear the SWA for 10 consecutive days</w:t>
      </w:r>
      <w:r w:rsidR="009013BA">
        <w:rPr>
          <w:lang w:val="en-US"/>
        </w:rPr>
        <w:t>, also when sleeping</w:t>
      </w:r>
      <w:r>
        <w:rPr>
          <w:lang w:val="en-US"/>
        </w:rPr>
        <w:t xml:space="preserve"> </w:t>
      </w:r>
      <w:r w:rsidR="009013BA">
        <w:rPr>
          <w:lang w:val="en-GB"/>
        </w:rPr>
        <w:t>and</w:t>
      </w:r>
      <w:r w:rsidR="009013BA" w:rsidRPr="00B638F7">
        <w:rPr>
          <w:lang w:val="en-GB"/>
        </w:rPr>
        <w:t xml:space="preserve"> to take off the </w:t>
      </w:r>
      <w:r w:rsidR="009013BA">
        <w:rPr>
          <w:lang w:val="en-GB"/>
        </w:rPr>
        <w:t>SWA</w:t>
      </w:r>
      <w:r w:rsidR="009013BA" w:rsidRPr="00B638F7">
        <w:rPr>
          <w:lang w:val="en-GB"/>
        </w:rPr>
        <w:t xml:space="preserve"> only wh</w:t>
      </w:r>
      <w:r w:rsidR="006908C0">
        <w:rPr>
          <w:lang w:val="en-GB"/>
        </w:rPr>
        <w:t>en showering, bathing and</w:t>
      </w:r>
      <w:r w:rsidR="009013BA" w:rsidRPr="009013BA">
        <w:rPr>
          <w:lang w:val="en-GB"/>
        </w:rPr>
        <w:t xml:space="preserve"> swimmin</w:t>
      </w:r>
      <w:r w:rsidR="009013BA">
        <w:rPr>
          <w:lang w:val="en-GB"/>
        </w:rPr>
        <w:t>g.</w:t>
      </w:r>
      <w:r>
        <w:rPr>
          <w:lang w:val="en-US"/>
        </w:rPr>
        <w:t xml:space="preserve"> </w:t>
      </w:r>
      <w:r w:rsidR="009013BA">
        <w:rPr>
          <w:lang w:val="en-US"/>
        </w:rPr>
        <w:t>P</w:t>
      </w:r>
      <w:r>
        <w:rPr>
          <w:lang w:val="en-US"/>
        </w:rPr>
        <w:t xml:space="preserve">articipants having valid data from at least four weekdays and one weekend </w:t>
      </w:r>
      <w:r w:rsidR="00464055">
        <w:rPr>
          <w:lang w:val="en-US"/>
        </w:rPr>
        <w:t xml:space="preserve">day </w:t>
      </w:r>
      <w:r w:rsidRPr="007611E5">
        <w:rPr>
          <w:lang w:val="en-GB"/>
        </w:rPr>
        <w:t>were</w:t>
      </w:r>
      <w:r>
        <w:rPr>
          <w:lang w:val="en-US"/>
        </w:rPr>
        <w:t xml:space="preserve"> included in the analysis</w:t>
      </w:r>
      <w:r>
        <w:rPr>
          <w:color w:val="000000"/>
          <w:lang w:val="en-US"/>
        </w:rPr>
        <w:t>.</w:t>
      </w:r>
      <w:r>
        <w:rPr>
          <w:lang w:val="en-US"/>
        </w:rPr>
        <w:t xml:space="preserve"> SWA based PA was expressed in the metabolic equivalents of task (MET). MET values were multiplied with time (hours) to calculate MET-hours as previously reported </w:t>
      </w:r>
      <w:r>
        <w:rPr>
          <w:lang w:val="en-US"/>
        </w:rPr>
        <w:fldChar w:fldCharType="begin"/>
      </w:r>
      <w:r w:rsidR="00291B26">
        <w:rPr>
          <w:lang w:val="en-US"/>
        </w:rPr>
        <w:instrText>ADDIN RW.CITE{{104 Wasenius,N. 2014}}</w:instrText>
      </w:r>
      <w:r>
        <w:rPr>
          <w:lang w:val="en-US"/>
        </w:rPr>
        <w:fldChar w:fldCharType="separate"/>
      </w:r>
      <w:r w:rsidR="006908C0" w:rsidRPr="006908C0">
        <w:rPr>
          <w:rFonts w:cs="Arial"/>
          <w:lang w:val="en-US"/>
        </w:rPr>
        <w:t>[19]</w:t>
      </w:r>
      <w:r>
        <w:rPr>
          <w:lang w:val="en-US"/>
        </w:rPr>
        <w:fldChar w:fldCharType="end"/>
      </w:r>
      <w:r>
        <w:rPr>
          <w:lang w:val="en-US"/>
        </w:rPr>
        <w:t>. Duration and volume of total daily PA</w:t>
      </w:r>
      <w:r w:rsidRPr="007611E5">
        <w:rPr>
          <w:lang w:val="en-GB"/>
        </w:rPr>
        <w:t xml:space="preserve"> were</w:t>
      </w:r>
      <w:r>
        <w:rPr>
          <w:lang w:val="en-US"/>
        </w:rPr>
        <w:t xml:space="preserve"> divided into three subcategories based on the intensity; </w:t>
      </w:r>
      <w:r w:rsidRPr="00322B9B">
        <w:rPr>
          <w:color w:val="000000"/>
          <w:lang w:val="en-US"/>
        </w:rPr>
        <w:t>sedentary</w:t>
      </w:r>
      <w:r>
        <w:rPr>
          <w:color w:val="000000"/>
          <w:lang w:val="en-US"/>
        </w:rPr>
        <w:t xml:space="preserve"> </w:t>
      </w:r>
      <w:r w:rsidR="00DC6D1F">
        <w:rPr>
          <w:color w:val="000000"/>
          <w:lang w:val="en-US"/>
        </w:rPr>
        <w:t xml:space="preserve">time </w:t>
      </w:r>
      <w:r>
        <w:rPr>
          <w:color w:val="000000"/>
          <w:lang w:val="en-US"/>
        </w:rPr>
        <w:t>(S</w:t>
      </w:r>
      <w:r w:rsidR="00DC6D1F">
        <w:rPr>
          <w:color w:val="000000"/>
          <w:lang w:val="en-US"/>
        </w:rPr>
        <w:t>T</w:t>
      </w:r>
      <w:r>
        <w:rPr>
          <w:color w:val="000000"/>
          <w:lang w:val="en-US"/>
        </w:rPr>
        <w:t>) time</w:t>
      </w:r>
      <w:r w:rsidRPr="00322B9B">
        <w:rPr>
          <w:color w:val="000000"/>
          <w:lang w:val="en-US"/>
        </w:rPr>
        <w:t xml:space="preserve"> (&lt; 1.5 MET), light</w:t>
      </w:r>
      <w:r>
        <w:rPr>
          <w:color w:val="000000"/>
          <w:lang w:val="en-US"/>
        </w:rPr>
        <w:t xml:space="preserve"> PA</w:t>
      </w:r>
      <w:r w:rsidRPr="00322B9B">
        <w:rPr>
          <w:color w:val="000000"/>
          <w:lang w:val="en-US"/>
        </w:rPr>
        <w:t xml:space="preserve"> (&gt; 1.5–&lt; </w:t>
      </w:r>
      <w:r>
        <w:rPr>
          <w:color w:val="000000"/>
          <w:lang w:val="en-US"/>
        </w:rPr>
        <w:t>3.0 MET) and</w:t>
      </w:r>
      <w:r w:rsidRPr="00322B9B">
        <w:rPr>
          <w:color w:val="000000"/>
          <w:lang w:val="en-US"/>
        </w:rPr>
        <w:t xml:space="preserve"> moderate </w:t>
      </w:r>
      <w:r>
        <w:rPr>
          <w:color w:val="000000"/>
          <w:lang w:val="en-US"/>
        </w:rPr>
        <w:t xml:space="preserve">to vigorous (MVPA) </w:t>
      </w:r>
      <w:r w:rsidRPr="00322B9B">
        <w:rPr>
          <w:color w:val="000000"/>
          <w:lang w:val="en-US"/>
        </w:rPr>
        <w:t>(</w:t>
      </w:r>
      <w:r>
        <w:rPr>
          <w:color w:val="000000"/>
          <w:lang w:val="en-US"/>
        </w:rPr>
        <w:t>&gt;3</w:t>
      </w:r>
      <w:r w:rsidRPr="00322B9B">
        <w:rPr>
          <w:color w:val="000000"/>
          <w:lang w:val="en-US"/>
        </w:rPr>
        <w:t xml:space="preserve"> </w:t>
      </w:r>
      <w:r>
        <w:rPr>
          <w:color w:val="000000"/>
          <w:lang w:val="en-US"/>
        </w:rPr>
        <w:t>MET)</w:t>
      </w:r>
      <w:r w:rsidR="009013BA">
        <w:rPr>
          <w:color w:val="000000"/>
          <w:lang w:val="en-US"/>
        </w:rPr>
        <w:t xml:space="preserve"> </w:t>
      </w:r>
      <w:r w:rsidR="00D12061">
        <w:rPr>
          <w:color w:val="000000"/>
          <w:lang w:val="en-US"/>
        </w:rPr>
        <w:fldChar w:fldCharType="begin"/>
      </w:r>
      <w:r w:rsidR="00D12061">
        <w:rPr>
          <w:color w:val="000000"/>
          <w:lang w:val="en-US"/>
        </w:rPr>
        <w:instrText>ADDIN RW.CITE{{249 Ainsworth,B.E. 2000}}</w:instrText>
      </w:r>
      <w:r w:rsidR="00D12061">
        <w:rPr>
          <w:color w:val="000000"/>
          <w:lang w:val="en-US"/>
        </w:rPr>
        <w:fldChar w:fldCharType="separate"/>
      </w:r>
      <w:r w:rsidR="006908C0" w:rsidRPr="006908C0">
        <w:rPr>
          <w:rFonts w:cs="Arial"/>
          <w:color w:val="000000"/>
          <w:lang w:val="en-US"/>
        </w:rPr>
        <w:t>[20]</w:t>
      </w:r>
      <w:r w:rsidR="00D12061">
        <w:rPr>
          <w:color w:val="000000"/>
          <w:lang w:val="en-US"/>
        </w:rPr>
        <w:fldChar w:fldCharType="end"/>
      </w:r>
    </w:p>
    <w:p w14:paraId="7D60B5DE" w14:textId="3417A5C7" w:rsidR="0080286C" w:rsidRPr="0080286C" w:rsidRDefault="0080286C" w:rsidP="0080286C">
      <w:pPr>
        <w:pStyle w:val="Heading3"/>
        <w:rPr>
          <w:lang w:val="en-GB"/>
        </w:rPr>
      </w:pPr>
      <w:r w:rsidRPr="0080286C">
        <w:rPr>
          <w:lang w:val="en-GB"/>
        </w:rPr>
        <w:t xml:space="preserve">Physical </w:t>
      </w:r>
      <w:r w:rsidR="009E385A">
        <w:rPr>
          <w:lang w:val="en-GB"/>
        </w:rPr>
        <w:t>performance</w:t>
      </w:r>
      <w:r w:rsidRPr="0080286C">
        <w:rPr>
          <w:lang w:val="en-GB"/>
        </w:rPr>
        <w:t xml:space="preserve">  </w:t>
      </w:r>
    </w:p>
    <w:p w14:paraId="3FDA3152" w14:textId="7B6147BD" w:rsidR="009E5F44" w:rsidRPr="007F1752" w:rsidRDefault="0080286C" w:rsidP="009E5F44">
      <w:pPr>
        <w:rPr>
          <w:lang w:val="en-US"/>
        </w:rPr>
      </w:pPr>
      <w:r>
        <w:rPr>
          <w:lang w:val="en-US"/>
        </w:rPr>
        <w:t xml:space="preserve">Physical </w:t>
      </w:r>
      <w:r w:rsidR="009E385A">
        <w:rPr>
          <w:lang w:val="en-US"/>
        </w:rPr>
        <w:t xml:space="preserve">performance </w:t>
      </w:r>
      <w:r>
        <w:rPr>
          <w:lang w:val="en-US"/>
        </w:rPr>
        <w:t xml:space="preserve">was assessed by using the validated Senior </w:t>
      </w:r>
      <w:r w:rsidRPr="00322B9B">
        <w:rPr>
          <w:lang w:val="en-US"/>
        </w:rPr>
        <w:t xml:space="preserve">Fitness Test battery (SFT) </w:t>
      </w:r>
      <w:r>
        <w:rPr>
          <w:lang w:val="en-US"/>
        </w:rPr>
        <w:fldChar w:fldCharType="begin"/>
      </w:r>
      <w:r w:rsidR="00291B26">
        <w:rPr>
          <w:lang w:val="en-US"/>
        </w:rPr>
        <w:instrText>ADDIN RW.CITE{{142 Rikli,R.E. 1999}}</w:instrText>
      </w:r>
      <w:r>
        <w:rPr>
          <w:lang w:val="en-US"/>
        </w:rPr>
        <w:fldChar w:fldCharType="separate"/>
      </w:r>
      <w:r w:rsidR="006908C0" w:rsidRPr="006908C0">
        <w:rPr>
          <w:rFonts w:cs="Arial"/>
          <w:lang w:val="en-US"/>
        </w:rPr>
        <w:t>[10]</w:t>
      </w:r>
      <w:r>
        <w:rPr>
          <w:lang w:val="en-US"/>
        </w:rPr>
        <w:fldChar w:fldCharType="end"/>
      </w:r>
      <w:r w:rsidR="007F1752">
        <w:rPr>
          <w:lang w:val="en-US"/>
        </w:rPr>
        <w:t xml:space="preserve"> </w:t>
      </w:r>
      <w:r w:rsidR="004A1354">
        <w:rPr>
          <w:lang w:val="en-US"/>
        </w:rPr>
        <w:t>between 2011 and 2013</w:t>
      </w:r>
      <w:r>
        <w:rPr>
          <w:lang w:val="en-US"/>
        </w:rPr>
        <w:t>. We used a</w:t>
      </w:r>
      <w:r w:rsidRPr="00322B9B">
        <w:rPr>
          <w:lang w:val="en-US"/>
        </w:rPr>
        <w:t xml:space="preserve"> modified test battery </w:t>
      </w:r>
      <w:r>
        <w:rPr>
          <w:lang w:val="en-US"/>
        </w:rPr>
        <w:t xml:space="preserve">consisting of five </w:t>
      </w:r>
      <w:r w:rsidR="009E385A">
        <w:rPr>
          <w:lang w:val="en-US"/>
        </w:rPr>
        <w:t>components of the SFT</w:t>
      </w:r>
      <w:r>
        <w:rPr>
          <w:lang w:val="en-US"/>
        </w:rPr>
        <w:t xml:space="preserve">: </w:t>
      </w:r>
      <w:r w:rsidR="009E385A">
        <w:rPr>
          <w:lang w:val="en-GB"/>
        </w:rPr>
        <w:t>n</w:t>
      </w:r>
      <w:r w:rsidRPr="008B4E68">
        <w:rPr>
          <w:lang w:val="en-GB"/>
        </w:rPr>
        <w:t xml:space="preserve">umber of full stands in 30 s with arms folded across chest to </w:t>
      </w:r>
      <w:r w:rsidRPr="00E86A8E">
        <w:rPr>
          <w:lang w:val="en-US"/>
        </w:rPr>
        <w:t>ass</w:t>
      </w:r>
      <w:r>
        <w:rPr>
          <w:lang w:val="en-US"/>
        </w:rPr>
        <w:t>ess lower-body strength</w:t>
      </w:r>
      <w:r w:rsidR="009E385A">
        <w:rPr>
          <w:lang w:val="en-US"/>
        </w:rPr>
        <w:t>;</w:t>
      </w:r>
      <w:r>
        <w:rPr>
          <w:lang w:val="en-US"/>
        </w:rPr>
        <w:t xml:space="preserve"> </w:t>
      </w:r>
      <w:r w:rsidRPr="008B4E68">
        <w:rPr>
          <w:lang w:val="en-GB"/>
        </w:rPr>
        <w:t>number of bicep curls in 30 s</w:t>
      </w:r>
      <w:r>
        <w:rPr>
          <w:lang w:val="en-GB"/>
        </w:rPr>
        <w:t xml:space="preserve"> while</w:t>
      </w:r>
      <w:r w:rsidRPr="008B4E68">
        <w:rPr>
          <w:lang w:val="en-GB"/>
        </w:rPr>
        <w:t xml:space="preserve"> holding</w:t>
      </w:r>
      <w:r>
        <w:rPr>
          <w:lang w:val="en-GB"/>
        </w:rPr>
        <w:t xml:space="preserve"> a</w:t>
      </w:r>
      <w:r w:rsidRPr="008B4E68">
        <w:rPr>
          <w:lang w:val="en-GB"/>
        </w:rPr>
        <w:t xml:space="preserve"> hand weight</w:t>
      </w:r>
      <w:r>
        <w:rPr>
          <w:lang w:val="en-US"/>
        </w:rPr>
        <w:t xml:space="preserve"> (3 kg for men and 2 kg for women) to assess upper-body strength</w:t>
      </w:r>
      <w:r w:rsidR="009E385A">
        <w:rPr>
          <w:lang w:val="en-US"/>
        </w:rPr>
        <w:t>;</w:t>
      </w:r>
      <w:r w:rsidRPr="00322B9B">
        <w:rPr>
          <w:lang w:val="en-US"/>
        </w:rPr>
        <w:t xml:space="preserve"> chair sit and</w:t>
      </w:r>
      <w:r>
        <w:rPr>
          <w:lang w:val="en-US"/>
        </w:rPr>
        <w:t xml:space="preserve"> reach to assess the lower-body</w:t>
      </w:r>
      <w:r w:rsidRPr="00322B9B">
        <w:rPr>
          <w:lang w:val="en-US"/>
        </w:rPr>
        <w:t xml:space="preserve"> flexibilit</w:t>
      </w:r>
      <w:r>
        <w:rPr>
          <w:lang w:val="en-US"/>
        </w:rPr>
        <w:t xml:space="preserve">y </w:t>
      </w:r>
      <w:r w:rsidRPr="00E86A8E">
        <w:rPr>
          <w:lang w:val="en-US"/>
        </w:rPr>
        <w:t>(</w:t>
      </w:r>
      <w:r w:rsidRPr="008B4E68">
        <w:rPr>
          <w:lang w:val="en-GB"/>
        </w:rPr>
        <w:t>from sitting position with leg extended at front of chair and hands reaching toward toes, number of cm (+</w:t>
      </w:r>
      <w:r>
        <w:rPr>
          <w:lang w:val="en-GB"/>
        </w:rPr>
        <w:t xml:space="preserve"> </w:t>
      </w:r>
      <w:r w:rsidRPr="008B4E68">
        <w:rPr>
          <w:lang w:val="en-GB"/>
        </w:rPr>
        <w:t>or −) from extended fingers to tip of toe</w:t>
      </w:r>
      <w:r w:rsidRPr="00E86A8E">
        <w:rPr>
          <w:lang w:val="en-US"/>
        </w:rPr>
        <w:t>)</w:t>
      </w:r>
      <w:r w:rsidR="009E385A">
        <w:rPr>
          <w:lang w:val="en-US"/>
        </w:rPr>
        <w:t>;</w:t>
      </w:r>
      <w:r>
        <w:rPr>
          <w:lang w:val="en-US"/>
        </w:rPr>
        <w:t xml:space="preserve"> </w:t>
      </w:r>
      <w:r w:rsidRPr="008B4E68">
        <w:rPr>
          <w:lang w:val="en-GB"/>
        </w:rPr>
        <w:t xml:space="preserve">number of meters walked in 6 min </w:t>
      </w:r>
      <w:r w:rsidRPr="00E86A8E">
        <w:rPr>
          <w:lang w:val="en-US"/>
        </w:rPr>
        <w:t>t</w:t>
      </w:r>
      <w:r w:rsidRPr="00322B9B">
        <w:rPr>
          <w:lang w:val="en-US"/>
        </w:rPr>
        <w:t>o measure aerobic endurance</w:t>
      </w:r>
      <w:r w:rsidR="009E385A">
        <w:rPr>
          <w:lang w:val="en-US"/>
        </w:rPr>
        <w:t>;</w:t>
      </w:r>
      <w:r>
        <w:rPr>
          <w:lang w:val="en-US"/>
        </w:rPr>
        <w:t xml:space="preserve"> and back scratch to </w:t>
      </w:r>
      <w:r w:rsidRPr="00322B9B">
        <w:rPr>
          <w:lang w:val="en-US"/>
        </w:rPr>
        <w:t>assess upper-body</w:t>
      </w:r>
      <w:r>
        <w:rPr>
          <w:lang w:val="en-US"/>
        </w:rPr>
        <w:t xml:space="preserve"> flexibility (with one hand </w:t>
      </w:r>
      <w:r w:rsidRPr="00322B9B">
        <w:rPr>
          <w:lang w:val="en-US"/>
        </w:rPr>
        <w:t>reaching over shoulder</w:t>
      </w:r>
      <w:r>
        <w:rPr>
          <w:lang w:val="en-US"/>
        </w:rPr>
        <w:t xml:space="preserve"> and the other one up middle of </w:t>
      </w:r>
      <w:r w:rsidRPr="00322B9B">
        <w:rPr>
          <w:lang w:val="en-US"/>
        </w:rPr>
        <w:t xml:space="preserve">back, distance </w:t>
      </w:r>
      <w:r>
        <w:rPr>
          <w:lang w:val="en-US"/>
        </w:rPr>
        <w:t xml:space="preserve">(cm) </w:t>
      </w:r>
      <w:r w:rsidRPr="00322B9B">
        <w:rPr>
          <w:lang w:val="en-US"/>
        </w:rPr>
        <w:t>betwee</w:t>
      </w:r>
      <w:r>
        <w:rPr>
          <w:lang w:val="en-US"/>
        </w:rPr>
        <w:t xml:space="preserve">n extended middle fingers </w:t>
      </w:r>
      <w:r w:rsidRPr="008B4E68">
        <w:rPr>
          <w:lang w:val="en-GB"/>
        </w:rPr>
        <w:t>(+</w:t>
      </w:r>
      <w:r>
        <w:rPr>
          <w:lang w:val="en-GB"/>
        </w:rPr>
        <w:t xml:space="preserve"> </w:t>
      </w:r>
      <w:r w:rsidRPr="008B4E68">
        <w:rPr>
          <w:lang w:val="en-GB"/>
        </w:rPr>
        <w:t>or</w:t>
      </w:r>
      <w:r>
        <w:rPr>
          <w:lang w:val="en-GB"/>
        </w:rPr>
        <w:t xml:space="preserve"> </w:t>
      </w:r>
      <w:r w:rsidRPr="008B4E68">
        <w:rPr>
          <w:lang w:val="en-GB"/>
        </w:rPr>
        <w:t>−</w:t>
      </w:r>
      <w:r>
        <w:rPr>
          <w:lang w:val="en-US"/>
        </w:rPr>
        <w:t xml:space="preserve">). All </w:t>
      </w:r>
      <w:r w:rsidRPr="00322B9B">
        <w:rPr>
          <w:lang w:val="en-US"/>
        </w:rPr>
        <w:t xml:space="preserve">measurements were </w:t>
      </w:r>
      <w:r w:rsidRPr="00353411">
        <w:rPr>
          <w:lang w:val="en-US"/>
        </w:rPr>
        <w:t xml:space="preserve">performed by a team of trained research assistants. The result of each test was expressed </w:t>
      </w:r>
      <w:r w:rsidRPr="008B4E68">
        <w:rPr>
          <w:rFonts w:eastAsia="Times New Roman"/>
          <w:lang w:val="en-GB" w:eastAsia="fi-FI"/>
        </w:rPr>
        <w:t xml:space="preserve">as age (for each 5-year group) and sex standardized percentile scores. </w:t>
      </w:r>
      <w:r w:rsidRPr="008B4E68">
        <w:rPr>
          <w:lang w:val="en-GB"/>
        </w:rPr>
        <w:t xml:space="preserve">An overall test score was calculated </w:t>
      </w:r>
      <w:r w:rsidR="009E385A">
        <w:rPr>
          <w:lang w:val="en-GB"/>
        </w:rPr>
        <w:t xml:space="preserve">by </w:t>
      </w:r>
      <w:r w:rsidRPr="008B4E68">
        <w:rPr>
          <w:lang w:val="en-GB"/>
        </w:rPr>
        <w:t>sum</w:t>
      </w:r>
      <w:r w:rsidR="009E385A">
        <w:rPr>
          <w:lang w:val="en-GB"/>
        </w:rPr>
        <w:t>marizing</w:t>
      </w:r>
      <w:r>
        <w:rPr>
          <w:lang w:val="en-US"/>
        </w:rPr>
        <w:t xml:space="preserve"> the normalized </w:t>
      </w:r>
      <w:r w:rsidRPr="00353411">
        <w:rPr>
          <w:lang w:val="en-US"/>
        </w:rPr>
        <w:t xml:space="preserve">scores </w:t>
      </w:r>
      <w:r w:rsidR="009E385A">
        <w:rPr>
          <w:lang w:val="en-US"/>
        </w:rPr>
        <w:t>of</w:t>
      </w:r>
      <w:r w:rsidRPr="00353411">
        <w:rPr>
          <w:lang w:val="en-US"/>
        </w:rPr>
        <w:t xml:space="preserve"> the five SFT components.</w:t>
      </w:r>
      <w:r>
        <w:rPr>
          <w:lang w:val="en-US"/>
        </w:rPr>
        <w:t xml:space="preserve"> The overall SFT score varied between 5 and 100.</w:t>
      </w:r>
      <w:r w:rsidR="009E5F44" w:rsidRPr="009E5F44">
        <w:rPr>
          <w:lang w:val="en-GB"/>
        </w:rPr>
        <w:t xml:space="preserve"> </w:t>
      </w:r>
    </w:p>
    <w:p w14:paraId="60622DF4" w14:textId="77777777" w:rsidR="009E5F44" w:rsidRDefault="009E5F44" w:rsidP="009E5F44">
      <w:pPr>
        <w:rPr>
          <w:lang w:val="en-GB"/>
        </w:rPr>
      </w:pPr>
    </w:p>
    <w:p w14:paraId="74949210" w14:textId="02B477BD" w:rsidR="009E5F44" w:rsidRPr="009E5F44" w:rsidRDefault="009E5F44" w:rsidP="009E5F44">
      <w:pPr>
        <w:rPr>
          <w:b/>
          <w:lang w:val="en-GB"/>
        </w:rPr>
      </w:pPr>
      <w:r w:rsidRPr="009E5F44">
        <w:rPr>
          <w:b/>
          <w:lang w:val="en-GB"/>
        </w:rPr>
        <w:t>Covariates</w:t>
      </w:r>
    </w:p>
    <w:p w14:paraId="2E4980AA" w14:textId="5AE2A797" w:rsidR="009E5F44" w:rsidRPr="00E17ACA" w:rsidRDefault="009E5F44" w:rsidP="009E5F44">
      <w:pPr>
        <w:rPr>
          <w:lang w:val="en-US"/>
        </w:rPr>
      </w:pPr>
      <w:r w:rsidRPr="0017194F">
        <w:rPr>
          <w:lang w:val="en-US"/>
        </w:rPr>
        <w:t>The participants were measured for weight and height</w:t>
      </w:r>
      <w:r w:rsidR="004A1354">
        <w:rPr>
          <w:lang w:val="en-US"/>
        </w:rPr>
        <w:t xml:space="preserve"> between </w:t>
      </w:r>
      <w:r w:rsidR="009D7137">
        <w:rPr>
          <w:lang w:val="en-US"/>
        </w:rPr>
        <w:t>201</w:t>
      </w:r>
      <w:r w:rsidR="004B3B5C">
        <w:rPr>
          <w:lang w:val="en-US"/>
        </w:rPr>
        <w:t>2</w:t>
      </w:r>
      <w:r w:rsidR="009A34FF">
        <w:rPr>
          <w:lang w:val="en-US"/>
        </w:rPr>
        <w:t xml:space="preserve"> </w:t>
      </w:r>
      <w:r w:rsidR="004A1354">
        <w:rPr>
          <w:lang w:val="en-US"/>
        </w:rPr>
        <w:t xml:space="preserve">and </w:t>
      </w:r>
      <w:r w:rsidR="009D7137">
        <w:rPr>
          <w:lang w:val="en-US"/>
        </w:rPr>
        <w:t>2013</w:t>
      </w:r>
      <w:r w:rsidRPr="007611E5">
        <w:rPr>
          <w:lang w:val="en-GB"/>
        </w:rPr>
        <w:t>.</w:t>
      </w:r>
      <w:r>
        <w:rPr>
          <w:lang w:val="en-US"/>
        </w:rPr>
        <w:t xml:space="preserve"> Body</w:t>
      </w:r>
      <w:r w:rsidR="004A1354">
        <w:rPr>
          <w:lang w:val="en-US"/>
        </w:rPr>
        <w:t xml:space="preserve"> </w:t>
      </w:r>
      <w:r>
        <w:rPr>
          <w:lang w:val="en-US"/>
        </w:rPr>
        <w:t>mass index (BMI) was calculated as weight in kilograms divided by square of height in meters (kg/m</w:t>
      </w:r>
      <w:r w:rsidRPr="00864263">
        <w:rPr>
          <w:vertAlign w:val="superscript"/>
          <w:lang w:val="en-US"/>
        </w:rPr>
        <w:t>2</w:t>
      </w:r>
      <w:r>
        <w:rPr>
          <w:lang w:val="en-US"/>
        </w:rPr>
        <w:t xml:space="preserve">). </w:t>
      </w:r>
      <w:r w:rsidRPr="0017194F">
        <w:rPr>
          <w:lang w:val="en-US"/>
        </w:rPr>
        <w:t xml:space="preserve">Lean </w:t>
      </w:r>
      <w:r w:rsidRPr="0017194F">
        <w:rPr>
          <w:lang w:val="en-US"/>
        </w:rPr>
        <w:lastRenderedPageBreak/>
        <w:t xml:space="preserve">body mass </w:t>
      </w:r>
      <w:r w:rsidR="00733ACB">
        <w:rPr>
          <w:lang w:val="en-US"/>
        </w:rPr>
        <w:t xml:space="preserve">(LBM) </w:t>
      </w:r>
      <w:r w:rsidR="009704CB">
        <w:rPr>
          <w:lang w:val="en-US"/>
        </w:rPr>
        <w:t xml:space="preserve">and body fat </w:t>
      </w:r>
      <w:r w:rsidRPr="0017194F">
        <w:rPr>
          <w:lang w:val="en-US"/>
        </w:rPr>
        <w:t>was assessed with bioelectrical impedance by using the InBody 3.0 eight-polar tactile electrode system (Bio</w:t>
      </w:r>
      <w:r>
        <w:rPr>
          <w:lang w:val="en-US"/>
        </w:rPr>
        <w:t xml:space="preserve">space Co., Ltd., Seoul, Korea). </w:t>
      </w:r>
      <w:r w:rsidRPr="0017194F">
        <w:rPr>
          <w:lang w:val="en-US"/>
        </w:rPr>
        <w:t>Participants’ smo</w:t>
      </w:r>
      <w:r>
        <w:rPr>
          <w:lang w:val="en-US"/>
        </w:rPr>
        <w:t xml:space="preserve">king habits </w:t>
      </w:r>
      <w:r w:rsidRPr="0017194F">
        <w:rPr>
          <w:lang w:val="en-US"/>
        </w:rPr>
        <w:t xml:space="preserve">and other </w:t>
      </w:r>
      <w:r>
        <w:rPr>
          <w:lang w:val="en-US"/>
        </w:rPr>
        <w:t xml:space="preserve">health </w:t>
      </w:r>
      <w:r w:rsidRPr="0017194F">
        <w:rPr>
          <w:lang w:val="en-US"/>
        </w:rPr>
        <w:t xml:space="preserve">characteristics were assessed </w:t>
      </w:r>
      <w:r w:rsidRPr="007611E5">
        <w:rPr>
          <w:lang w:val="en-GB"/>
        </w:rPr>
        <w:t xml:space="preserve">by </w:t>
      </w:r>
      <w:r w:rsidRPr="0017194F">
        <w:rPr>
          <w:lang w:val="en-US"/>
        </w:rPr>
        <w:t xml:space="preserve">questionnaires. </w:t>
      </w:r>
      <w:r>
        <w:rPr>
          <w:lang w:val="en-US"/>
        </w:rPr>
        <w:t xml:space="preserve">Smoking status was expressed as years of smoking. </w:t>
      </w:r>
      <w:r w:rsidR="00E95D30">
        <w:rPr>
          <w:lang w:val="en-US"/>
        </w:rPr>
        <w:t>D</w:t>
      </w:r>
      <w:r>
        <w:rPr>
          <w:lang w:val="en-US"/>
        </w:rPr>
        <w:t>ata on educational attainment (years of studying) was obtained from Statistics Finland</w:t>
      </w:r>
      <w:r w:rsidR="00DC6D1F">
        <w:rPr>
          <w:lang w:val="en-US"/>
        </w:rPr>
        <w:t xml:space="preserve"> by using the unique personal identification number assigned to all Finnish residents</w:t>
      </w:r>
      <w:r>
        <w:rPr>
          <w:lang w:val="en-US"/>
        </w:rPr>
        <w:t xml:space="preserve">. </w:t>
      </w:r>
      <w:r w:rsidRPr="0017194F">
        <w:rPr>
          <w:lang w:val="en-US"/>
        </w:rPr>
        <w:t>All measurements were done by trained study nurses.</w:t>
      </w:r>
      <w:r>
        <w:rPr>
          <w:lang w:val="en-US"/>
        </w:rPr>
        <w:t xml:space="preserve"> </w:t>
      </w:r>
    </w:p>
    <w:p w14:paraId="6D0DFA1F" w14:textId="77777777" w:rsidR="0080286C" w:rsidRDefault="0080286C" w:rsidP="0080286C">
      <w:pPr>
        <w:pStyle w:val="Heading3"/>
        <w:rPr>
          <w:lang w:val="en-US"/>
        </w:rPr>
      </w:pPr>
      <w:r w:rsidRPr="00BE1AD6">
        <w:rPr>
          <w:lang w:val="en-US"/>
        </w:rPr>
        <w:t>Statistical analyses</w:t>
      </w:r>
    </w:p>
    <w:p w14:paraId="4C415718" w14:textId="468CE8FF" w:rsidR="0080286C" w:rsidRDefault="0080286C" w:rsidP="009469DD">
      <w:pPr>
        <w:rPr>
          <w:lang w:val="en-US"/>
        </w:rPr>
      </w:pPr>
      <w:r w:rsidRPr="00BE1AD6">
        <w:rPr>
          <w:lang w:val="en-US"/>
        </w:rPr>
        <w:t xml:space="preserve">Data is expressed </w:t>
      </w:r>
      <w:r w:rsidRPr="007611E5">
        <w:rPr>
          <w:lang w:val="en-GB"/>
        </w:rPr>
        <w:t>as</w:t>
      </w:r>
      <w:r w:rsidRPr="00BE1AD6">
        <w:rPr>
          <w:lang w:val="en-US"/>
        </w:rPr>
        <w:t xml:space="preserve"> means (standard deviation). We used multiple linear regression analyses to assess the association between the volume</w:t>
      </w:r>
      <w:r>
        <w:rPr>
          <w:lang w:val="en-US"/>
        </w:rPr>
        <w:t xml:space="preserve"> (MET-hours)</w:t>
      </w:r>
      <w:r w:rsidRPr="00BE1AD6">
        <w:rPr>
          <w:lang w:val="en-US"/>
        </w:rPr>
        <w:t xml:space="preserve"> of </w:t>
      </w:r>
      <w:r>
        <w:rPr>
          <w:lang w:val="en-US"/>
        </w:rPr>
        <w:t>d</w:t>
      </w:r>
      <w:r w:rsidRPr="00BE1AD6">
        <w:rPr>
          <w:lang w:val="en-US"/>
        </w:rPr>
        <w:t xml:space="preserve">aily PA (total PA, </w:t>
      </w:r>
      <w:r>
        <w:rPr>
          <w:lang w:val="en-US"/>
        </w:rPr>
        <w:t>S</w:t>
      </w:r>
      <w:r w:rsidR="00DC6D1F">
        <w:rPr>
          <w:lang w:val="en-US"/>
        </w:rPr>
        <w:t>T</w:t>
      </w:r>
      <w:r w:rsidRPr="00BE1AD6">
        <w:rPr>
          <w:lang w:val="en-US"/>
        </w:rPr>
        <w:t xml:space="preserve">, light PA, MVPA) and SFT </w:t>
      </w:r>
      <w:r w:rsidR="00C65CD0">
        <w:rPr>
          <w:lang w:val="en-US"/>
        </w:rPr>
        <w:t>overall</w:t>
      </w:r>
      <w:r w:rsidR="000E1527">
        <w:rPr>
          <w:lang w:val="en-US"/>
        </w:rPr>
        <w:t xml:space="preserve"> </w:t>
      </w:r>
      <w:r w:rsidRPr="00BE1AD6">
        <w:rPr>
          <w:lang w:val="en-US"/>
        </w:rPr>
        <w:t>score</w:t>
      </w:r>
      <w:r w:rsidR="000E1527">
        <w:rPr>
          <w:lang w:val="en-US"/>
        </w:rPr>
        <w:t xml:space="preserve"> and SFT component score</w:t>
      </w:r>
      <w:r w:rsidRPr="00BE1AD6">
        <w:rPr>
          <w:lang w:val="en-US"/>
        </w:rPr>
        <w:t xml:space="preserve">s (chair stand, arm curl, chair sit and reach, six min walk, back scratch). </w:t>
      </w:r>
      <w:r w:rsidRPr="00036706">
        <w:rPr>
          <w:lang w:val="en-GB"/>
        </w:rPr>
        <w:t xml:space="preserve"> For the analysis</w:t>
      </w:r>
      <w:r w:rsidR="000E1527">
        <w:rPr>
          <w:lang w:val="en-GB"/>
        </w:rPr>
        <w:t>,</w:t>
      </w:r>
      <w:r w:rsidRPr="00036706">
        <w:rPr>
          <w:lang w:val="en-GB"/>
        </w:rPr>
        <w:t xml:space="preserve"> standardized </w:t>
      </w:r>
      <w:r w:rsidRPr="00BE1AD6">
        <w:rPr>
          <w:lang w:val="en-US"/>
        </w:rPr>
        <w:t>SFT scores were calculated.  The basic models were adjusted for age and sex when applicable. In model 2 further adjustments were made for smoking</w:t>
      </w:r>
      <w:r>
        <w:rPr>
          <w:lang w:val="en-US"/>
        </w:rPr>
        <w:t xml:space="preserve"> (years of smoking)</w:t>
      </w:r>
      <w:r w:rsidRPr="00BE1AD6">
        <w:rPr>
          <w:lang w:val="en-US"/>
        </w:rPr>
        <w:t xml:space="preserve"> and </w:t>
      </w:r>
      <w:r>
        <w:rPr>
          <w:lang w:val="en-US"/>
        </w:rPr>
        <w:t>educational attainment (years of studying)</w:t>
      </w:r>
      <w:r w:rsidRPr="00BE1AD6">
        <w:rPr>
          <w:lang w:val="en-US"/>
        </w:rPr>
        <w:t>. Tests of interaction</w:t>
      </w:r>
      <w:r>
        <w:rPr>
          <w:lang w:val="en-US"/>
        </w:rPr>
        <w:t xml:space="preserve"> sex x PA</w:t>
      </w:r>
      <w:r w:rsidRPr="00BE1AD6">
        <w:rPr>
          <w:lang w:val="en-US"/>
        </w:rPr>
        <w:t xml:space="preserve"> </w:t>
      </w:r>
      <w:r w:rsidR="000E1527">
        <w:rPr>
          <w:lang w:val="en-US"/>
        </w:rPr>
        <w:t xml:space="preserve">on SFT </w:t>
      </w:r>
      <w:r w:rsidRPr="00BE1AD6">
        <w:rPr>
          <w:lang w:val="en-US"/>
        </w:rPr>
        <w:t xml:space="preserve">showed that the </w:t>
      </w:r>
      <w:r>
        <w:rPr>
          <w:lang w:val="en-US"/>
        </w:rPr>
        <w:t>association between</w:t>
      </w:r>
      <w:r w:rsidRPr="00BE1AD6">
        <w:rPr>
          <w:lang w:val="en-US"/>
        </w:rPr>
        <w:t xml:space="preserve"> PA </w:t>
      </w:r>
      <w:r>
        <w:rPr>
          <w:lang w:val="en-US"/>
        </w:rPr>
        <w:t xml:space="preserve">and </w:t>
      </w:r>
      <w:r w:rsidRPr="00BE1AD6">
        <w:rPr>
          <w:lang w:val="en-US"/>
        </w:rPr>
        <w:t xml:space="preserve">SFT did not vary by gender. Therefore, when analyzing the association between PA and different SFT components we pooled gender groups together.  </w:t>
      </w:r>
      <w:r w:rsidRPr="00036706">
        <w:rPr>
          <w:lang w:val="en-GB"/>
        </w:rPr>
        <w:t xml:space="preserve">The significance level was set at </w:t>
      </w:r>
      <w:r w:rsidRPr="009F5543">
        <w:rPr>
          <w:i/>
          <w:lang w:val="en-GB"/>
        </w:rPr>
        <w:t>p</w:t>
      </w:r>
      <w:r w:rsidRPr="00036706">
        <w:rPr>
          <w:lang w:val="en-GB"/>
        </w:rPr>
        <w:t xml:space="preserve"> &lt; 0.05.</w:t>
      </w:r>
      <w:r w:rsidRPr="00BE1AD6">
        <w:rPr>
          <w:lang w:val="en-US"/>
        </w:rPr>
        <w:t xml:space="preserve"> The analyses w</w:t>
      </w:r>
      <w:r>
        <w:rPr>
          <w:lang w:val="en-US"/>
        </w:rPr>
        <w:t>ere</w:t>
      </w:r>
      <w:r w:rsidRPr="00BE1AD6">
        <w:rPr>
          <w:lang w:val="en-US"/>
        </w:rPr>
        <w:t xml:space="preserve"> carried out with SPSS (</w:t>
      </w:r>
      <w:r w:rsidRPr="00036706">
        <w:rPr>
          <w:lang w:val="en-GB"/>
        </w:rPr>
        <w:t>IBM Corp. Released 2015. IBM SPSS Statistics for Windows, Version 23.0. Armonk, NY: IBM Corp</w:t>
      </w:r>
      <w:r w:rsidRPr="00BE1AD6">
        <w:rPr>
          <w:lang w:val="en-US"/>
        </w:rPr>
        <w:t>).</w:t>
      </w:r>
    </w:p>
    <w:p w14:paraId="352E1035" w14:textId="77777777" w:rsidR="0080286C" w:rsidRPr="00BE1AD6" w:rsidRDefault="0080286C" w:rsidP="0080286C">
      <w:pPr>
        <w:pStyle w:val="Heading2"/>
      </w:pPr>
      <w:r w:rsidRPr="00BE1AD6">
        <w:t>Results</w:t>
      </w:r>
    </w:p>
    <w:p w14:paraId="3B6451C3" w14:textId="5812A1B0" w:rsidR="0080286C" w:rsidRDefault="004A1354" w:rsidP="0080286C">
      <w:pPr>
        <w:rPr>
          <w:lang w:val="en-GB"/>
        </w:rPr>
      </w:pPr>
      <w:r w:rsidRPr="008B4E68">
        <w:rPr>
          <w:lang w:val="en-GB"/>
        </w:rPr>
        <w:t xml:space="preserve">The mean age of the participants was 70.7 </w:t>
      </w:r>
      <w:r w:rsidRPr="007611E5">
        <w:rPr>
          <w:lang w:val="en-GB"/>
        </w:rPr>
        <w:t xml:space="preserve">years </w:t>
      </w:r>
      <w:r w:rsidRPr="008B4E68">
        <w:rPr>
          <w:lang w:val="en-GB"/>
        </w:rPr>
        <w:t xml:space="preserve">(range 66.9-79.1) </w:t>
      </w:r>
      <w:r>
        <w:rPr>
          <w:lang w:val="en-US"/>
        </w:rPr>
        <w:t xml:space="preserve">when the </w:t>
      </w:r>
      <w:r w:rsidR="00F5060F">
        <w:rPr>
          <w:lang w:val="en-US"/>
        </w:rPr>
        <w:t>SFT was measured</w:t>
      </w:r>
      <w:r w:rsidRPr="0017194F">
        <w:rPr>
          <w:lang w:val="en-US"/>
        </w:rPr>
        <w:t xml:space="preserve">. </w:t>
      </w:r>
      <w:r w:rsidR="0080286C" w:rsidRPr="00C470AB">
        <w:rPr>
          <w:lang w:val="en-GB"/>
        </w:rPr>
        <w:t>Wome</w:t>
      </w:r>
      <w:r w:rsidR="0080286C">
        <w:rPr>
          <w:lang w:val="en-GB"/>
        </w:rPr>
        <w:t>n performed better tha</w:t>
      </w:r>
      <w:r w:rsidR="0080286C" w:rsidRPr="007611E5">
        <w:rPr>
          <w:lang w:val="en-GB"/>
        </w:rPr>
        <w:t>n</w:t>
      </w:r>
      <w:r w:rsidR="0080286C">
        <w:rPr>
          <w:lang w:val="en-GB"/>
        </w:rPr>
        <w:t xml:space="preserve"> men </w:t>
      </w:r>
      <w:r w:rsidR="00F5060F">
        <w:rPr>
          <w:lang w:val="en-GB"/>
        </w:rPr>
        <w:t xml:space="preserve">and scored significantly better </w:t>
      </w:r>
      <w:r w:rsidR="00040CE9">
        <w:rPr>
          <w:lang w:val="en-GB"/>
        </w:rPr>
        <w:t>o</w:t>
      </w:r>
      <w:r w:rsidR="0080286C">
        <w:rPr>
          <w:lang w:val="en-GB"/>
        </w:rPr>
        <w:t xml:space="preserve">n </w:t>
      </w:r>
      <w:r w:rsidR="00F5060F">
        <w:rPr>
          <w:lang w:val="en-GB"/>
        </w:rPr>
        <w:t xml:space="preserve">the </w:t>
      </w:r>
      <w:r w:rsidR="00C65CD0">
        <w:rPr>
          <w:lang w:val="en-GB"/>
        </w:rPr>
        <w:t>overall</w:t>
      </w:r>
      <w:r w:rsidR="0080286C">
        <w:rPr>
          <w:lang w:val="en-GB"/>
        </w:rPr>
        <w:t xml:space="preserve"> SFT, c</w:t>
      </w:r>
      <w:r w:rsidR="0080286C" w:rsidRPr="00B914A9">
        <w:rPr>
          <w:lang w:val="en-GB"/>
        </w:rPr>
        <w:t>hair stand</w:t>
      </w:r>
      <w:r w:rsidR="0080286C">
        <w:rPr>
          <w:lang w:val="en-GB"/>
        </w:rPr>
        <w:t>,</w:t>
      </w:r>
      <w:r w:rsidR="0080286C" w:rsidRPr="00C470AB">
        <w:rPr>
          <w:lang w:val="en-GB"/>
        </w:rPr>
        <w:t xml:space="preserve"> </w:t>
      </w:r>
      <w:r w:rsidR="0080286C" w:rsidRPr="00B914A9">
        <w:rPr>
          <w:lang w:val="en-GB"/>
        </w:rPr>
        <w:t>a</w:t>
      </w:r>
      <w:r w:rsidR="0080286C">
        <w:rPr>
          <w:lang w:val="en-GB"/>
        </w:rPr>
        <w:t>rm c</w:t>
      </w:r>
      <w:r w:rsidR="0080286C" w:rsidRPr="00B914A9">
        <w:rPr>
          <w:lang w:val="en-GB"/>
        </w:rPr>
        <w:t>url</w:t>
      </w:r>
      <w:r w:rsidR="00E226F8">
        <w:rPr>
          <w:lang w:val="en-GB"/>
        </w:rPr>
        <w:t>,</w:t>
      </w:r>
      <w:r w:rsidR="0080286C">
        <w:rPr>
          <w:lang w:val="en-GB"/>
        </w:rPr>
        <w:t xml:space="preserve"> c</w:t>
      </w:r>
      <w:r w:rsidR="0080286C" w:rsidRPr="00B914A9">
        <w:rPr>
          <w:lang w:val="en-GB"/>
        </w:rPr>
        <w:t>hair sit and reach test</w:t>
      </w:r>
      <w:r w:rsidR="0080286C" w:rsidRPr="00C470AB">
        <w:rPr>
          <w:lang w:val="en-GB"/>
        </w:rPr>
        <w:t xml:space="preserve"> </w:t>
      </w:r>
      <w:r w:rsidR="0080286C">
        <w:rPr>
          <w:lang w:val="en-GB"/>
        </w:rPr>
        <w:t>(Table 1), but no</w:t>
      </w:r>
      <w:r w:rsidR="0080286C" w:rsidRPr="007611E5">
        <w:rPr>
          <w:lang w:val="en-GB"/>
        </w:rPr>
        <w:t xml:space="preserve"> </w:t>
      </w:r>
      <w:r w:rsidR="0080286C">
        <w:rPr>
          <w:lang w:val="en-GB"/>
        </w:rPr>
        <w:t xml:space="preserve">significant differences </w:t>
      </w:r>
      <w:r w:rsidR="0080286C" w:rsidRPr="007611E5">
        <w:rPr>
          <w:lang w:val="en-GB"/>
        </w:rPr>
        <w:t>were</w:t>
      </w:r>
      <w:r w:rsidR="0080286C">
        <w:rPr>
          <w:lang w:val="en-GB"/>
        </w:rPr>
        <w:t xml:space="preserve"> found </w:t>
      </w:r>
      <w:r w:rsidR="00040CE9">
        <w:rPr>
          <w:lang w:val="en-GB"/>
        </w:rPr>
        <w:t>for</w:t>
      </w:r>
      <w:r w:rsidR="0080286C" w:rsidRPr="007611E5">
        <w:rPr>
          <w:lang w:val="en-GB"/>
        </w:rPr>
        <w:t xml:space="preserve"> </w:t>
      </w:r>
      <w:r w:rsidR="00F5060F">
        <w:rPr>
          <w:lang w:val="en-GB"/>
        </w:rPr>
        <w:t xml:space="preserve">the </w:t>
      </w:r>
      <w:r w:rsidR="0080286C">
        <w:rPr>
          <w:lang w:val="en-GB"/>
        </w:rPr>
        <w:t>back scratch or six</w:t>
      </w:r>
      <w:r w:rsidR="00F5060F">
        <w:rPr>
          <w:lang w:val="en-GB"/>
        </w:rPr>
        <w:t>-</w:t>
      </w:r>
      <w:r w:rsidR="0080286C">
        <w:rPr>
          <w:lang w:val="en-GB"/>
        </w:rPr>
        <w:t>minute walk test.</w:t>
      </w:r>
      <w:r w:rsidR="0080286C" w:rsidRPr="00AB1BF9">
        <w:rPr>
          <w:lang w:val="en-GB"/>
        </w:rPr>
        <w:t xml:space="preserve"> </w:t>
      </w:r>
      <w:r w:rsidR="0080286C">
        <w:rPr>
          <w:lang w:val="en-GB"/>
        </w:rPr>
        <w:t xml:space="preserve">We found </w:t>
      </w:r>
      <w:r w:rsidR="0080286C" w:rsidRPr="00C470AB">
        <w:rPr>
          <w:lang w:val="en-GB"/>
        </w:rPr>
        <w:t>no significant</w:t>
      </w:r>
      <w:r w:rsidR="0080286C">
        <w:rPr>
          <w:lang w:val="en-GB"/>
        </w:rPr>
        <w:t xml:space="preserve"> gender</w:t>
      </w:r>
      <w:r w:rsidR="0080286C" w:rsidRPr="00C470AB">
        <w:rPr>
          <w:lang w:val="en-GB"/>
        </w:rPr>
        <w:t xml:space="preserve"> difference</w:t>
      </w:r>
      <w:r w:rsidR="0080286C">
        <w:rPr>
          <w:lang w:val="en-GB"/>
        </w:rPr>
        <w:t>s</w:t>
      </w:r>
      <w:r w:rsidR="0080286C" w:rsidRPr="00C470AB">
        <w:rPr>
          <w:lang w:val="en-GB"/>
        </w:rPr>
        <w:t xml:space="preserve"> in time spent </w:t>
      </w:r>
      <w:r w:rsidR="00040CE9">
        <w:rPr>
          <w:lang w:val="en-GB"/>
        </w:rPr>
        <w:t>at</w:t>
      </w:r>
      <w:r w:rsidR="0080286C" w:rsidRPr="00C470AB">
        <w:rPr>
          <w:lang w:val="en-GB"/>
        </w:rPr>
        <w:t xml:space="preserve"> sedentary level of PA, but women spent significantly more time in light level of PA compared to </w:t>
      </w:r>
      <w:r w:rsidR="0080286C" w:rsidRPr="00C470AB">
        <w:rPr>
          <w:lang w:val="en-GB"/>
        </w:rPr>
        <w:lastRenderedPageBreak/>
        <w:t>men, while men spent significantly more time in MVPA compared to women (</w:t>
      </w:r>
      <w:r w:rsidR="0080286C" w:rsidRPr="00C470AB">
        <w:rPr>
          <w:i/>
          <w:lang w:val="en-GB"/>
        </w:rPr>
        <w:t>p</w:t>
      </w:r>
      <w:r w:rsidR="0080286C" w:rsidRPr="00C470AB">
        <w:rPr>
          <w:lang w:val="en-GB"/>
        </w:rPr>
        <w:t>&lt;0.001)</w:t>
      </w:r>
      <w:r w:rsidR="0080286C">
        <w:rPr>
          <w:lang w:val="en-GB"/>
        </w:rPr>
        <w:t xml:space="preserve"> (Table 1)</w:t>
      </w:r>
      <w:r w:rsidR="0080286C" w:rsidRPr="00C470AB">
        <w:rPr>
          <w:lang w:val="en-GB"/>
        </w:rPr>
        <w:t>.</w:t>
      </w:r>
      <w:r w:rsidR="0080286C" w:rsidRPr="00AB1BF9">
        <w:rPr>
          <w:lang w:val="en-GB"/>
        </w:rPr>
        <w:t xml:space="preserve"> </w:t>
      </w:r>
      <w:r w:rsidR="001C0EA1">
        <w:rPr>
          <w:lang w:val="en-GB"/>
        </w:rPr>
        <w:t>The whole cohort spent o</w:t>
      </w:r>
      <w:r w:rsidR="0080286C" w:rsidRPr="00C470AB">
        <w:rPr>
          <w:lang w:val="en-GB"/>
        </w:rPr>
        <w:t xml:space="preserve">n average 28 % of the total volume of PA in the level of light and 16 % in the level of </w:t>
      </w:r>
      <w:r w:rsidR="0080286C">
        <w:rPr>
          <w:lang w:val="en-GB"/>
        </w:rPr>
        <w:t>MV</w:t>
      </w:r>
      <w:r w:rsidR="0080286C" w:rsidRPr="00C470AB">
        <w:rPr>
          <w:lang w:val="en-GB"/>
        </w:rPr>
        <w:t xml:space="preserve">PA. </w:t>
      </w:r>
    </w:p>
    <w:p w14:paraId="5DD1D173" w14:textId="53C5D515" w:rsidR="00A53692" w:rsidRPr="00036706" w:rsidRDefault="00A53692" w:rsidP="0080286C">
      <w:pPr>
        <w:rPr>
          <w:lang w:val="en-GB"/>
        </w:rPr>
      </w:pPr>
      <w:r>
        <w:rPr>
          <w:lang w:val="en-GB"/>
        </w:rPr>
        <w:t>From the second clinical follow up of 1094 individuals those w</w:t>
      </w:r>
      <w:r w:rsidR="00DC6D1F">
        <w:rPr>
          <w:lang w:val="en-GB"/>
        </w:rPr>
        <w:t xml:space="preserve">ho had data on PA (695) tended to be </w:t>
      </w:r>
      <w:r>
        <w:rPr>
          <w:lang w:val="en-GB"/>
        </w:rPr>
        <w:t>younger (</w:t>
      </w:r>
      <w:r w:rsidRPr="00EB6CB6">
        <w:rPr>
          <w:i/>
          <w:lang w:val="en-GB"/>
        </w:rPr>
        <w:t>p</w:t>
      </w:r>
      <w:r w:rsidR="00E95D30">
        <w:rPr>
          <w:lang w:val="en-GB"/>
        </w:rPr>
        <w:t>=0.16)</w:t>
      </w:r>
      <w:r>
        <w:rPr>
          <w:lang w:val="en-GB"/>
        </w:rPr>
        <w:t xml:space="preserve"> and their lean body mass was higher (</w:t>
      </w:r>
      <w:r w:rsidRPr="00EB6CB6">
        <w:rPr>
          <w:i/>
          <w:lang w:val="en-GB"/>
        </w:rPr>
        <w:t>p</w:t>
      </w:r>
      <w:r>
        <w:rPr>
          <w:lang w:val="en-GB"/>
        </w:rPr>
        <w:t>=0.042) compared to those who did not take part in the study. They also succeeded significantly better in overall SFT (</w:t>
      </w:r>
      <w:r w:rsidRPr="00EB6CB6">
        <w:rPr>
          <w:i/>
          <w:lang w:val="en-GB"/>
        </w:rPr>
        <w:t>p</w:t>
      </w:r>
      <w:r>
        <w:rPr>
          <w:lang w:val="en-GB"/>
        </w:rPr>
        <w:t>=0.001), chair stand (</w:t>
      </w:r>
      <w:r w:rsidRPr="00EB6CB6">
        <w:rPr>
          <w:i/>
          <w:lang w:val="en-GB"/>
        </w:rPr>
        <w:t>p</w:t>
      </w:r>
      <w:r>
        <w:rPr>
          <w:lang w:val="en-GB"/>
        </w:rPr>
        <w:t>=0.023), arm curl (</w:t>
      </w:r>
      <w:r w:rsidRPr="00EB6CB6">
        <w:rPr>
          <w:i/>
          <w:lang w:val="en-GB"/>
        </w:rPr>
        <w:t>p</w:t>
      </w:r>
      <w:r>
        <w:rPr>
          <w:lang w:val="en-GB"/>
        </w:rPr>
        <w:t>=0.025) and six-minute walk (</w:t>
      </w:r>
      <w:r w:rsidRPr="00EB6CB6">
        <w:rPr>
          <w:i/>
          <w:lang w:val="en-GB"/>
        </w:rPr>
        <w:t>p</w:t>
      </w:r>
      <w:r w:rsidR="006908C0">
        <w:rPr>
          <w:lang w:val="en-GB"/>
        </w:rPr>
        <w:t>&lt;0.001) tests.</w:t>
      </w:r>
      <w:r>
        <w:rPr>
          <w:lang w:val="en-GB"/>
        </w:rPr>
        <w:t xml:space="preserve"> </w:t>
      </w:r>
    </w:p>
    <w:p w14:paraId="12A17245" w14:textId="5C07265E" w:rsidR="0080286C" w:rsidRPr="00C470AB" w:rsidRDefault="0080286C" w:rsidP="0080286C">
      <w:pPr>
        <w:rPr>
          <w:lang w:val="en-GB"/>
        </w:rPr>
      </w:pPr>
      <w:r w:rsidRPr="00C470AB">
        <w:rPr>
          <w:lang w:val="en-GB"/>
        </w:rPr>
        <w:t>Table 2 shows the association between PA and overall SFT score</w:t>
      </w:r>
      <w:r w:rsidR="00DC6635">
        <w:rPr>
          <w:lang w:val="en-GB"/>
        </w:rPr>
        <w:t xml:space="preserve"> by gender</w:t>
      </w:r>
      <w:r w:rsidRPr="00C470AB">
        <w:rPr>
          <w:lang w:val="en-GB"/>
        </w:rPr>
        <w:t xml:space="preserve">. The total volume of </w:t>
      </w:r>
      <w:r w:rsidR="001C0EA1">
        <w:rPr>
          <w:lang w:val="en-GB"/>
        </w:rPr>
        <w:t xml:space="preserve">age-adjusted </w:t>
      </w:r>
      <w:r w:rsidRPr="00C470AB">
        <w:rPr>
          <w:lang w:val="en-GB"/>
        </w:rPr>
        <w:t>PA was significantly associated with overall SFT score both in men and in women (</w:t>
      </w:r>
      <w:r w:rsidRPr="000D6E7D">
        <w:rPr>
          <w:i/>
          <w:lang w:val="en-GB"/>
        </w:rPr>
        <w:t>p</w:t>
      </w:r>
      <w:r w:rsidRPr="00C470AB">
        <w:rPr>
          <w:lang w:val="en-GB"/>
        </w:rPr>
        <w:t xml:space="preserve">&lt;0.001). The volume of </w:t>
      </w:r>
      <w:r>
        <w:rPr>
          <w:lang w:val="en-GB"/>
        </w:rPr>
        <w:t>S</w:t>
      </w:r>
      <w:r w:rsidR="00DC6D1F">
        <w:rPr>
          <w:lang w:val="en-GB"/>
        </w:rPr>
        <w:t>T</w:t>
      </w:r>
      <w:r>
        <w:rPr>
          <w:lang w:val="en-GB"/>
        </w:rPr>
        <w:t xml:space="preserve"> was</w:t>
      </w:r>
      <w:r w:rsidRPr="00C470AB">
        <w:rPr>
          <w:lang w:val="en-GB"/>
        </w:rPr>
        <w:t xml:space="preserve"> negatively, while light PA and MVPA were positively associated with the overall SFT score. </w:t>
      </w:r>
      <w:r w:rsidR="0095403C" w:rsidRPr="00C470AB">
        <w:rPr>
          <w:lang w:val="en-GB"/>
        </w:rPr>
        <w:t>Further adjustment for smoking and education did not attenuate these findings.</w:t>
      </w:r>
      <w:r w:rsidR="0095403C">
        <w:rPr>
          <w:lang w:val="en-GB"/>
        </w:rPr>
        <w:t xml:space="preserve"> </w:t>
      </w:r>
      <w:r w:rsidRPr="00C470AB">
        <w:rPr>
          <w:lang w:val="en-GB"/>
        </w:rPr>
        <w:t>When the volume of both S</w:t>
      </w:r>
      <w:r w:rsidR="00DC6D1F">
        <w:rPr>
          <w:lang w:val="en-GB"/>
        </w:rPr>
        <w:t xml:space="preserve">T </w:t>
      </w:r>
      <w:r w:rsidRPr="00C470AB">
        <w:rPr>
          <w:lang w:val="en-GB"/>
        </w:rPr>
        <w:t>and MVPA w</w:t>
      </w:r>
      <w:r w:rsidRPr="007611E5">
        <w:rPr>
          <w:lang w:val="en-GB"/>
        </w:rPr>
        <w:t>ere</w:t>
      </w:r>
      <w:r>
        <w:rPr>
          <w:lang w:val="en-GB"/>
        </w:rPr>
        <w:t xml:space="preserve"> included</w:t>
      </w:r>
      <w:r w:rsidRPr="00C470AB">
        <w:rPr>
          <w:lang w:val="en-GB"/>
        </w:rPr>
        <w:t xml:space="preserve"> in</w:t>
      </w:r>
      <w:r>
        <w:rPr>
          <w:lang w:val="en-GB"/>
        </w:rPr>
        <w:t>to</w:t>
      </w:r>
      <w:r w:rsidRPr="00C470AB">
        <w:rPr>
          <w:lang w:val="en-GB"/>
        </w:rPr>
        <w:t xml:space="preserve"> the model, MVPA, but not S</w:t>
      </w:r>
      <w:r w:rsidR="00DC6D1F">
        <w:rPr>
          <w:lang w:val="en-GB"/>
        </w:rPr>
        <w:t>T</w:t>
      </w:r>
      <w:r w:rsidRPr="00C470AB">
        <w:rPr>
          <w:lang w:val="en-GB"/>
        </w:rPr>
        <w:t>, remained significantly associated with total SFT score</w:t>
      </w:r>
      <w:r w:rsidR="0095403C">
        <w:rPr>
          <w:lang w:val="en-GB"/>
        </w:rPr>
        <w:t xml:space="preserve"> (data not shown)</w:t>
      </w:r>
      <w:r w:rsidRPr="00C470AB">
        <w:rPr>
          <w:lang w:val="en-GB"/>
        </w:rPr>
        <w:t xml:space="preserve">. </w:t>
      </w:r>
    </w:p>
    <w:p w14:paraId="35C71FA4" w14:textId="60153AB7" w:rsidR="00DD24CD" w:rsidRPr="00E95D30" w:rsidRDefault="0080286C" w:rsidP="00DD24CD">
      <w:pPr>
        <w:rPr>
          <w:lang w:val="en-GB"/>
        </w:rPr>
      </w:pPr>
      <w:r w:rsidRPr="00C470AB">
        <w:rPr>
          <w:rFonts w:cs="Arial"/>
          <w:lang w:val="en-GB"/>
        </w:rPr>
        <w:t>Since there were no statistically significant difference</w:t>
      </w:r>
      <w:r w:rsidR="00464055">
        <w:rPr>
          <w:rFonts w:cs="Arial"/>
          <w:lang w:val="en-GB"/>
        </w:rPr>
        <w:t>s</w:t>
      </w:r>
      <w:r w:rsidRPr="00C470AB">
        <w:rPr>
          <w:rFonts w:cs="Arial"/>
          <w:lang w:val="en-GB"/>
        </w:rPr>
        <w:t xml:space="preserve"> between men and women we combined the sexes when assessing the association between the PA and the different components of SFT (Table 3). The total volume of PA was positively associated with all the SFT components. The strongest association was seen </w:t>
      </w:r>
      <w:r w:rsidR="0095403C">
        <w:rPr>
          <w:rFonts w:cs="Arial"/>
          <w:lang w:val="en-GB"/>
        </w:rPr>
        <w:t>for</w:t>
      </w:r>
      <w:r w:rsidRPr="00C470AB">
        <w:rPr>
          <w:rFonts w:cs="Arial"/>
          <w:lang w:val="en-GB"/>
        </w:rPr>
        <w:t xml:space="preserve"> distance walked in six minutes –component (</w:t>
      </w:r>
      <w:r w:rsidR="0095403C">
        <w:rPr>
          <w:rFonts w:cs="Arial"/>
          <w:lang w:val="en-GB"/>
        </w:rPr>
        <w:t xml:space="preserve">fully adjusted </w:t>
      </w:r>
      <w:r w:rsidR="00D0084B" w:rsidRPr="00380079">
        <w:rPr>
          <w:rFonts w:cs="Arial"/>
          <w:i/>
          <w:lang w:val="en-GB"/>
        </w:rPr>
        <w:t>β</w:t>
      </w:r>
      <w:r w:rsidRPr="00C470AB">
        <w:rPr>
          <w:rFonts w:cs="Arial"/>
          <w:lang w:val="en-GB"/>
        </w:rPr>
        <w:t xml:space="preserve"> 0.09, 95% </w:t>
      </w:r>
      <w:r w:rsidR="0095403C">
        <w:rPr>
          <w:rFonts w:cs="Arial"/>
          <w:lang w:val="en-GB"/>
        </w:rPr>
        <w:t xml:space="preserve">confidence interval </w:t>
      </w:r>
      <w:r w:rsidR="00D0084B">
        <w:rPr>
          <w:rFonts w:cs="Arial"/>
          <w:sz w:val="20"/>
          <w:lang w:val="en-GB"/>
        </w:rPr>
        <w:t>(</w:t>
      </w:r>
      <w:r w:rsidRPr="00C470AB">
        <w:rPr>
          <w:rFonts w:cs="Arial"/>
          <w:lang w:val="en-GB"/>
        </w:rPr>
        <w:t>CI</w:t>
      </w:r>
      <w:r w:rsidR="00D0084B">
        <w:rPr>
          <w:rFonts w:cs="Arial"/>
          <w:lang w:val="en-GB"/>
        </w:rPr>
        <w:t>)</w:t>
      </w:r>
      <w:r w:rsidRPr="00C470AB">
        <w:rPr>
          <w:rFonts w:cs="Arial"/>
          <w:lang w:val="en-GB"/>
        </w:rPr>
        <w:t xml:space="preserve"> 0.08-0</w:t>
      </w:r>
      <w:r>
        <w:rPr>
          <w:rFonts w:cs="Arial"/>
          <w:lang w:val="en-GB"/>
        </w:rPr>
        <w:t>.</w:t>
      </w:r>
      <w:r w:rsidRPr="00C470AB">
        <w:rPr>
          <w:rFonts w:cs="Arial"/>
          <w:lang w:val="en-GB"/>
        </w:rPr>
        <w:t xml:space="preserve">10, </w:t>
      </w:r>
      <w:r w:rsidRPr="00C470AB">
        <w:rPr>
          <w:rFonts w:cs="Arial"/>
          <w:i/>
          <w:lang w:val="en-GB"/>
        </w:rPr>
        <w:t>p</w:t>
      </w:r>
      <w:r w:rsidRPr="00C470AB">
        <w:rPr>
          <w:rFonts w:cs="Arial"/>
          <w:lang w:val="en-GB"/>
        </w:rPr>
        <w:t>&lt;0.001) and the weakest association</w:t>
      </w:r>
      <w:r w:rsidR="0095403C">
        <w:rPr>
          <w:rFonts w:cs="Arial"/>
          <w:lang w:val="en-GB"/>
        </w:rPr>
        <w:t xml:space="preserve"> for</w:t>
      </w:r>
      <w:r w:rsidRPr="00C470AB">
        <w:rPr>
          <w:rFonts w:cs="Arial"/>
          <w:lang w:val="en-GB"/>
        </w:rPr>
        <w:t xml:space="preserve"> the arm curl component</w:t>
      </w:r>
      <w:r w:rsidR="0095403C">
        <w:rPr>
          <w:rFonts w:cs="Arial"/>
          <w:lang w:val="en-GB"/>
        </w:rPr>
        <w:t xml:space="preserve"> (</w:t>
      </w:r>
      <w:r w:rsidR="00D0084B" w:rsidRPr="00380079">
        <w:rPr>
          <w:rFonts w:cs="Arial"/>
          <w:i/>
          <w:lang w:val="en-GB"/>
        </w:rPr>
        <w:t>β</w:t>
      </w:r>
      <w:r w:rsidR="002C5A75">
        <w:rPr>
          <w:rFonts w:cs="Arial"/>
          <w:lang w:val="en-GB"/>
        </w:rPr>
        <w:t xml:space="preserve"> 0.02</w:t>
      </w:r>
      <w:r w:rsidR="0095403C">
        <w:rPr>
          <w:rFonts w:cs="Arial"/>
          <w:lang w:val="en-GB"/>
        </w:rPr>
        <w:t xml:space="preserve">, 95% CI </w:t>
      </w:r>
      <w:r w:rsidR="002C5A75">
        <w:rPr>
          <w:rFonts w:cs="Arial"/>
          <w:lang w:val="en-GB"/>
        </w:rPr>
        <w:t>0</w:t>
      </w:r>
      <w:r w:rsidR="007758A1">
        <w:rPr>
          <w:rFonts w:cs="Arial"/>
          <w:lang w:val="en-GB"/>
        </w:rPr>
        <w:t>.</w:t>
      </w:r>
      <w:r w:rsidR="002C5A75">
        <w:rPr>
          <w:rFonts w:cs="Arial"/>
          <w:lang w:val="en-GB"/>
        </w:rPr>
        <w:t>01-0</w:t>
      </w:r>
      <w:r w:rsidR="007758A1">
        <w:rPr>
          <w:rFonts w:cs="Arial"/>
          <w:lang w:val="en-GB"/>
        </w:rPr>
        <w:t>.</w:t>
      </w:r>
      <w:r w:rsidR="002C5A75">
        <w:rPr>
          <w:rFonts w:cs="Arial"/>
          <w:lang w:val="en-GB"/>
        </w:rPr>
        <w:t xml:space="preserve">04, </w:t>
      </w:r>
      <w:r w:rsidR="0095403C" w:rsidRPr="000D6E7D">
        <w:rPr>
          <w:rFonts w:cs="Arial"/>
          <w:i/>
          <w:lang w:val="en-GB"/>
        </w:rPr>
        <w:t>p</w:t>
      </w:r>
      <w:r w:rsidR="0095403C">
        <w:rPr>
          <w:rFonts w:cs="Arial"/>
          <w:lang w:val="en-GB"/>
        </w:rPr>
        <w:t>=</w:t>
      </w:r>
      <w:r w:rsidR="002C5A75">
        <w:rPr>
          <w:rFonts w:cs="Arial"/>
          <w:lang w:val="en-GB"/>
        </w:rPr>
        <w:t xml:space="preserve"> 0.020</w:t>
      </w:r>
      <w:r w:rsidR="0095403C">
        <w:rPr>
          <w:rFonts w:cs="Arial"/>
          <w:lang w:val="en-GB"/>
        </w:rPr>
        <w:t>)</w:t>
      </w:r>
      <w:r w:rsidRPr="00C470AB">
        <w:rPr>
          <w:rFonts w:cs="Arial"/>
          <w:lang w:val="en-GB"/>
        </w:rPr>
        <w:t>. Association between the S</w:t>
      </w:r>
      <w:r w:rsidR="00DC6D1F">
        <w:rPr>
          <w:rFonts w:cs="Arial"/>
          <w:lang w:val="en-GB"/>
        </w:rPr>
        <w:t>T</w:t>
      </w:r>
      <w:r w:rsidRPr="00C470AB">
        <w:rPr>
          <w:rFonts w:cs="Arial"/>
          <w:lang w:val="en-GB"/>
        </w:rPr>
        <w:t>, light PA and MVPA and different components of SFT are presented in</w:t>
      </w:r>
      <w:r w:rsidRPr="00C470AB">
        <w:rPr>
          <w:rFonts w:cs="Arial"/>
          <w:i/>
          <w:lang w:val="en-GB"/>
        </w:rPr>
        <w:t xml:space="preserve"> </w:t>
      </w:r>
      <w:r>
        <w:rPr>
          <w:rStyle w:val="Emphasis"/>
          <w:rFonts w:cs="Arial"/>
          <w:lang w:val="en-GB"/>
        </w:rPr>
        <w:t xml:space="preserve">the table Appendix 4 </w:t>
      </w:r>
      <w:r w:rsidRPr="00C470AB">
        <w:rPr>
          <w:rStyle w:val="Emphasis"/>
          <w:rFonts w:cs="Arial"/>
          <w:lang w:val="en-GB"/>
        </w:rPr>
        <w:t xml:space="preserve">in the supplementary data on the journal website </w:t>
      </w:r>
      <w:hyperlink r:id="rId8" w:history="1">
        <w:r w:rsidRPr="00C470AB">
          <w:rPr>
            <w:rStyle w:val="Hyperlink"/>
            <w:rFonts w:cs="Arial"/>
            <w:lang w:val="en-GB"/>
          </w:rPr>
          <w:t>http://www.ageing.oxfordjournals.org/</w:t>
        </w:r>
      </w:hyperlink>
      <w:r w:rsidRPr="00C470AB">
        <w:rPr>
          <w:rStyle w:val="Emphasis"/>
          <w:rFonts w:cs="Arial"/>
          <w:lang w:val="en-GB"/>
        </w:rPr>
        <w:t>.</w:t>
      </w:r>
      <w:r>
        <w:rPr>
          <w:rStyle w:val="Emphasis"/>
          <w:rFonts w:cs="Arial"/>
          <w:lang w:val="en-GB"/>
        </w:rPr>
        <w:t xml:space="preserve"> </w:t>
      </w:r>
      <w:r>
        <w:rPr>
          <w:rStyle w:val="Emphasis"/>
          <w:rFonts w:cs="Arial"/>
          <w:i w:val="0"/>
          <w:lang w:val="en-GB"/>
        </w:rPr>
        <w:t xml:space="preserve">The associations between different levels of PA and the SFT components </w:t>
      </w:r>
      <w:r w:rsidR="0095403C">
        <w:rPr>
          <w:rStyle w:val="Emphasis"/>
          <w:rFonts w:cs="Arial"/>
          <w:i w:val="0"/>
          <w:lang w:val="en-GB"/>
        </w:rPr>
        <w:t>were parallel with those presented for the overall</w:t>
      </w:r>
      <w:r w:rsidR="00071703">
        <w:rPr>
          <w:rStyle w:val="Emphasis"/>
          <w:rFonts w:cs="Arial"/>
          <w:i w:val="0"/>
          <w:lang w:val="en-GB"/>
        </w:rPr>
        <w:t xml:space="preserve"> SFT</w:t>
      </w:r>
      <w:r w:rsidR="00071703" w:rsidRPr="00F33139">
        <w:rPr>
          <w:rStyle w:val="Emphasis"/>
          <w:rFonts w:cs="Arial"/>
          <w:i w:val="0"/>
          <w:lang w:val="en-GB"/>
        </w:rPr>
        <w:t>.</w:t>
      </w:r>
      <w:r w:rsidR="00DD24CD" w:rsidRPr="00F33139">
        <w:rPr>
          <w:rStyle w:val="Emphasis"/>
          <w:rFonts w:cs="Arial"/>
          <w:i w:val="0"/>
          <w:lang w:val="en-GB"/>
        </w:rPr>
        <w:t xml:space="preserve"> </w:t>
      </w:r>
      <w:r w:rsidR="000D6594">
        <w:rPr>
          <w:rStyle w:val="Emphasis"/>
          <w:rFonts w:cs="Arial"/>
          <w:i w:val="0"/>
          <w:lang w:val="en-GB"/>
        </w:rPr>
        <w:t xml:space="preserve">Also the association between some basic characteristics and </w:t>
      </w:r>
      <w:r w:rsidR="006908C0">
        <w:rPr>
          <w:rStyle w:val="Emphasis"/>
          <w:rFonts w:cs="Arial"/>
          <w:i w:val="0"/>
          <w:lang w:val="en-GB"/>
        </w:rPr>
        <w:t xml:space="preserve">the total </w:t>
      </w:r>
      <w:r w:rsidR="000D6594">
        <w:rPr>
          <w:rStyle w:val="Emphasis"/>
          <w:rFonts w:cs="Arial"/>
          <w:i w:val="0"/>
          <w:lang w:val="en-GB"/>
        </w:rPr>
        <w:t xml:space="preserve">volume of PA and SFT sum score can be find in </w:t>
      </w:r>
      <w:r w:rsidR="000D6594">
        <w:rPr>
          <w:rStyle w:val="Emphasis"/>
          <w:rFonts w:cs="Arial"/>
          <w:lang w:val="en-GB"/>
        </w:rPr>
        <w:t xml:space="preserve">the table Appendix 5 </w:t>
      </w:r>
      <w:r w:rsidR="000D6594" w:rsidRPr="00C470AB">
        <w:rPr>
          <w:rStyle w:val="Emphasis"/>
          <w:rFonts w:cs="Arial"/>
          <w:lang w:val="en-GB"/>
        </w:rPr>
        <w:t xml:space="preserve">in the supplementary data on the journal website </w:t>
      </w:r>
      <w:hyperlink r:id="rId9" w:history="1">
        <w:r w:rsidR="000D6594" w:rsidRPr="00C470AB">
          <w:rPr>
            <w:rStyle w:val="Hyperlink"/>
            <w:rFonts w:cs="Arial"/>
            <w:lang w:val="en-GB"/>
          </w:rPr>
          <w:t>http://www.ageing.oxfordjournals.org/</w:t>
        </w:r>
      </w:hyperlink>
      <w:r w:rsidR="000D6594">
        <w:rPr>
          <w:rStyle w:val="Hyperlink"/>
          <w:rFonts w:cs="Arial"/>
          <w:lang w:val="en-GB"/>
        </w:rPr>
        <w:t>.</w:t>
      </w:r>
      <w:r w:rsidR="000D6594" w:rsidRPr="00E95D30">
        <w:rPr>
          <w:rStyle w:val="Hyperlink"/>
          <w:rFonts w:cs="Arial"/>
          <w:u w:val="none"/>
          <w:lang w:val="en-GB"/>
        </w:rPr>
        <w:t xml:space="preserve"> </w:t>
      </w:r>
      <w:r w:rsidR="00733ACB" w:rsidRPr="00E95D30">
        <w:rPr>
          <w:rStyle w:val="Hyperlink"/>
          <w:rFonts w:cs="Arial"/>
          <w:color w:val="auto"/>
          <w:u w:val="none"/>
          <w:lang w:val="en-GB"/>
        </w:rPr>
        <w:t xml:space="preserve">Female gender and educational attainment was positively and </w:t>
      </w:r>
      <w:r w:rsidR="00E86194" w:rsidRPr="00E95D30">
        <w:rPr>
          <w:rStyle w:val="Hyperlink"/>
          <w:rFonts w:cs="Arial"/>
          <w:color w:val="auto"/>
          <w:u w:val="none"/>
          <w:lang w:val="en-GB"/>
        </w:rPr>
        <w:t>BMI, LBM</w:t>
      </w:r>
      <w:r w:rsidR="006908C0" w:rsidRPr="00E95D30">
        <w:rPr>
          <w:rStyle w:val="Hyperlink"/>
          <w:rFonts w:cs="Arial"/>
          <w:color w:val="auto"/>
          <w:u w:val="none"/>
          <w:lang w:val="en-GB"/>
        </w:rPr>
        <w:t>,</w:t>
      </w:r>
      <w:r w:rsidR="00733ACB" w:rsidRPr="00E95D30">
        <w:rPr>
          <w:rStyle w:val="Hyperlink"/>
          <w:rFonts w:cs="Arial"/>
          <w:color w:val="auto"/>
          <w:u w:val="none"/>
          <w:lang w:val="en-GB"/>
        </w:rPr>
        <w:t xml:space="preserve"> body fat percentage and </w:t>
      </w:r>
      <w:r w:rsidR="005B1752" w:rsidRPr="00E95D30">
        <w:rPr>
          <w:rStyle w:val="Hyperlink"/>
          <w:rFonts w:cs="Arial"/>
          <w:color w:val="auto"/>
          <w:u w:val="none"/>
          <w:lang w:val="en-GB"/>
        </w:rPr>
        <w:t xml:space="preserve">smoking was negatively associated with SFT </w:t>
      </w:r>
      <w:r w:rsidR="005B1752" w:rsidRPr="00E95D30">
        <w:rPr>
          <w:rStyle w:val="Hyperlink"/>
          <w:rFonts w:cs="Arial"/>
          <w:color w:val="auto"/>
          <w:u w:val="none"/>
          <w:lang w:val="en-GB"/>
        </w:rPr>
        <w:lastRenderedPageBreak/>
        <w:t xml:space="preserve">sum score. </w:t>
      </w:r>
      <w:r w:rsidR="00733ACB" w:rsidRPr="00E95D30">
        <w:rPr>
          <w:rStyle w:val="Hyperlink"/>
          <w:rFonts w:cs="Arial"/>
          <w:color w:val="auto"/>
          <w:u w:val="none"/>
          <w:lang w:val="en-GB"/>
        </w:rPr>
        <w:t xml:space="preserve">Age, male gender, BMI, LBM, body fat percentage and educational attainment </w:t>
      </w:r>
      <w:r w:rsidR="005B1752" w:rsidRPr="00E95D30">
        <w:rPr>
          <w:rStyle w:val="Hyperlink"/>
          <w:rFonts w:cs="Arial"/>
          <w:color w:val="auto"/>
          <w:u w:val="none"/>
          <w:lang w:val="en-GB"/>
        </w:rPr>
        <w:t xml:space="preserve">was positively associated with total </w:t>
      </w:r>
      <w:r w:rsidR="00E86194" w:rsidRPr="00E95D30">
        <w:rPr>
          <w:rStyle w:val="Hyperlink"/>
          <w:rFonts w:cs="Arial"/>
          <w:color w:val="auto"/>
          <w:u w:val="none"/>
          <w:lang w:val="en-GB"/>
        </w:rPr>
        <w:t>volume of PA</w:t>
      </w:r>
      <w:r w:rsidR="00733ACB" w:rsidRPr="00E95D30">
        <w:rPr>
          <w:rStyle w:val="Hyperlink"/>
          <w:rFonts w:cs="Arial"/>
          <w:color w:val="auto"/>
          <w:u w:val="none"/>
          <w:lang w:val="en-GB"/>
        </w:rPr>
        <w:t xml:space="preserve">. </w:t>
      </w:r>
    </w:p>
    <w:p w14:paraId="56A97F08" w14:textId="02E21187" w:rsidR="0080286C" w:rsidRDefault="0080286C" w:rsidP="0080286C">
      <w:pPr>
        <w:rPr>
          <w:rStyle w:val="Emphasis"/>
          <w:rFonts w:cs="Arial"/>
          <w:i w:val="0"/>
          <w:lang w:val="en-GB"/>
        </w:rPr>
      </w:pPr>
    </w:p>
    <w:p w14:paraId="199AC70E" w14:textId="77777777" w:rsidR="00DA0998" w:rsidRPr="008B4E68" w:rsidRDefault="00DA0998" w:rsidP="00DA0998">
      <w:pPr>
        <w:pStyle w:val="Heading2"/>
      </w:pPr>
      <w:r w:rsidRPr="008B4E68">
        <w:t>Discussion</w:t>
      </w:r>
    </w:p>
    <w:p w14:paraId="61D3116A" w14:textId="6ED20FD4" w:rsidR="00DA0998" w:rsidRPr="00764675" w:rsidRDefault="00DA0998" w:rsidP="00DA0998">
      <w:pPr>
        <w:rPr>
          <w:color w:val="131413"/>
          <w:highlight w:val="yellow"/>
          <w:lang w:val="en-US"/>
        </w:rPr>
      </w:pPr>
      <w:r w:rsidRPr="00217D35">
        <w:rPr>
          <w:lang w:val="en-US"/>
        </w:rPr>
        <w:t xml:space="preserve">In </w:t>
      </w:r>
      <w:r>
        <w:rPr>
          <w:lang w:val="en-US"/>
        </w:rPr>
        <w:t xml:space="preserve">this aging </w:t>
      </w:r>
      <w:r w:rsidR="005954E5">
        <w:rPr>
          <w:lang w:val="en-US"/>
        </w:rPr>
        <w:t>cohort,</w:t>
      </w:r>
      <w:r>
        <w:rPr>
          <w:lang w:val="en-US"/>
        </w:rPr>
        <w:t xml:space="preserve"> we explored the association between objectively measured PA and physical </w:t>
      </w:r>
      <w:r w:rsidR="005954E5">
        <w:rPr>
          <w:lang w:val="en-US"/>
        </w:rPr>
        <w:t>performance</w:t>
      </w:r>
      <w:r>
        <w:rPr>
          <w:lang w:val="en-US"/>
        </w:rPr>
        <w:t xml:space="preserve"> tested with SFT. We found that the volume of PA was significantly associated both with the overall SFT score and with all of the five test components. We also found that the volume of PA was most strongly associated with the six</w:t>
      </w:r>
      <w:r w:rsidR="005954E5">
        <w:rPr>
          <w:lang w:val="en-US"/>
        </w:rPr>
        <w:t>-</w:t>
      </w:r>
      <w:r>
        <w:rPr>
          <w:lang w:val="en-US"/>
        </w:rPr>
        <w:t xml:space="preserve">minute walk test, which </w:t>
      </w:r>
      <w:r w:rsidR="005954E5">
        <w:rPr>
          <w:lang w:val="en-US"/>
        </w:rPr>
        <w:t xml:space="preserve">measures </w:t>
      </w:r>
      <w:r w:rsidRPr="008B4E68">
        <w:rPr>
          <w:lang w:val="en-GB"/>
        </w:rPr>
        <w:t>aerobic endurance</w:t>
      </w:r>
      <w:r>
        <w:rPr>
          <w:lang w:val="en-GB"/>
        </w:rPr>
        <w:t>.</w:t>
      </w:r>
      <w:r>
        <w:rPr>
          <w:lang w:val="en-US"/>
        </w:rPr>
        <w:t xml:space="preserve"> Previous studies have </w:t>
      </w:r>
      <w:r w:rsidRPr="00B41809">
        <w:rPr>
          <w:lang w:val="en-US"/>
        </w:rPr>
        <w:t xml:space="preserve">shown </w:t>
      </w:r>
      <w:r>
        <w:rPr>
          <w:lang w:val="en-US"/>
        </w:rPr>
        <w:t xml:space="preserve">that </w:t>
      </w:r>
      <w:r w:rsidRPr="008B4E68">
        <w:rPr>
          <w:lang w:val="en-GB"/>
        </w:rPr>
        <w:t xml:space="preserve">slow gait speed is predictive of </w:t>
      </w:r>
      <w:r w:rsidR="005954E5">
        <w:rPr>
          <w:lang w:val="en-GB"/>
        </w:rPr>
        <w:t>premature</w:t>
      </w:r>
      <w:r w:rsidRPr="008B4E68">
        <w:rPr>
          <w:lang w:val="en-GB"/>
        </w:rPr>
        <w:t xml:space="preserve"> death</w:t>
      </w:r>
      <w:r w:rsidR="005954E5">
        <w:rPr>
          <w:lang w:val="en-GB"/>
        </w:rPr>
        <w:t xml:space="preserve"> and higher prevalence of</w:t>
      </w:r>
      <w:r w:rsidRPr="008B4E68">
        <w:rPr>
          <w:lang w:val="en-GB"/>
        </w:rPr>
        <w:t xml:space="preserve"> disability, falls and hospitalization in older people </w:t>
      </w:r>
      <w:r>
        <w:rPr>
          <w:lang w:val="en-GB"/>
        </w:rPr>
        <w:fldChar w:fldCharType="begin"/>
      </w:r>
      <w:r w:rsidR="00291B26">
        <w:rPr>
          <w:lang w:val="en-GB"/>
        </w:rPr>
        <w:instrText>ADDIN RW.CITE{{9 Pamoukdjian,F. 2015}}</w:instrText>
      </w:r>
      <w:r>
        <w:rPr>
          <w:lang w:val="en-GB"/>
        </w:rPr>
        <w:fldChar w:fldCharType="separate"/>
      </w:r>
      <w:r w:rsidR="006908C0" w:rsidRPr="006908C0">
        <w:rPr>
          <w:rFonts w:cs="Arial"/>
          <w:lang w:val="en-GB"/>
        </w:rPr>
        <w:t>[21]</w:t>
      </w:r>
      <w:r>
        <w:rPr>
          <w:lang w:val="en-GB"/>
        </w:rPr>
        <w:fldChar w:fldCharType="end"/>
      </w:r>
      <w:r w:rsidRPr="008B4E68">
        <w:rPr>
          <w:lang w:val="en-GB"/>
        </w:rPr>
        <w:t xml:space="preserve">. In our study both light and moderate to vigorous level of </w:t>
      </w:r>
      <w:r>
        <w:rPr>
          <w:lang w:val="en-GB"/>
        </w:rPr>
        <w:t>PA</w:t>
      </w:r>
      <w:r w:rsidRPr="008B4E68">
        <w:rPr>
          <w:lang w:val="en-GB"/>
        </w:rPr>
        <w:t xml:space="preserve"> was positively associated with </w:t>
      </w:r>
      <w:r w:rsidR="005954E5">
        <w:rPr>
          <w:lang w:val="en-GB"/>
        </w:rPr>
        <w:t>better</w:t>
      </w:r>
      <w:r w:rsidRPr="008B4E68">
        <w:rPr>
          <w:lang w:val="en-GB"/>
        </w:rPr>
        <w:t xml:space="preserve"> physical performance. On the other hand</w:t>
      </w:r>
      <w:r w:rsidR="005954E5">
        <w:rPr>
          <w:lang w:val="en-GB"/>
        </w:rPr>
        <w:t>,</w:t>
      </w:r>
      <w:r w:rsidRPr="007611E5">
        <w:rPr>
          <w:lang w:val="en-GB"/>
        </w:rPr>
        <w:t xml:space="preserve"> sedentary level of PA</w:t>
      </w:r>
      <w:r>
        <w:rPr>
          <w:lang w:val="en-GB"/>
        </w:rPr>
        <w:t xml:space="preserve"> </w:t>
      </w:r>
      <w:r w:rsidRPr="008B4E68">
        <w:rPr>
          <w:lang w:val="en-GB"/>
        </w:rPr>
        <w:t>was negatively associated with physical</w:t>
      </w:r>
      <w:r w:rsidRPr="007611E5">
        <w:rPr>
          <w:lang w:val="en-GB"/>
        </w:rPr>
        <w:t xml:space="preserve"> functioning</w:t>
      </w:r>
      <w:r w:rsidRPr="008B4E68">
        <w:rPr>
          <w:lang w:val="en-GB"/>
        </w:rPr>
        <w:t xml:space="preserve">. </w:t>
      </w:r>
      <w:r>
        <w:rPr>
          <w:color w:val="131413"/>
          <w:lang w:val="en-US"/>
        </w:rPr>
        <w:t>Several studies ha</w:t>
      </w:r>
      <w:r w:rsidRPr="007611E5">
        <w:rPr>
          <w:color w:val="131413"/>
          <w:lang w:val="en-GB"/>
        </w:rPr>
        <w:t>ve</w:t>
      </w:r>
      <w:r>
        <w:rPr>
          <w:color w:val="131413"/>
          <w:lang w:val="en-US"/>
        </w:rPr>
        <w:t xml:space="preserve"> shown that physical inactivity </w:t>
      </w:r>
      <w:r w:rsidR="005954E5">
        <w:rPr>
          <w:color w:val="131413"/>
          <w:lang w:val="en-US"/>
        </w:rPr>
        <w:t xml:space="preserve">is an </w:t>
      </w:r>
      <w:r>
        <w:rPr>
          <w:color w:val="131413"/>
          <w:lang w:val="en-US"/>
        </w:rPr>
        <w:t xml:space="preserve">independent risk factor for loss of physical functioning </w:t>
      </w:r>
      <w:r>
        <w:rPr>
          <w:color w:val="131413"/>
          <w:lang w:val="en-US"/>
        </w:rPr>
        <w:fldChar w:fldCharType="begin"/>
      </w:r>
      <w:r w:rsidR="00291B26">
        <w:rPr>
          <w:color w:val="131413"/>
          <w:lang w:val="en-US"/>
        </w:rPr>
        <w:instrText>ADDIN RW.CITE{{66 Pluijm,S.M. 2007}}</w:instrText>
      </w:r>
      <w:r>
        <w:rPr>
          <w:color w:val="131413"/>
          <w:lang w:val="en-US"/>
        </w:rPr>
        <w:fldChar w:fldCharType="separate"/>
      </w:r>
      <w:r w:rsidR="006908C0" w:rsidRPr="006908C0">
        <w:rPr>
          <w:rFonts w:cs="Arial"/>
          <w:color w:val="131413"/>
          <w:lang w:val="en-US"/>
        </w:rPr>
        <w:t>[13]</w:t>
      </w:r>
      <w:r>
        <w:rPr>
          <w:color w:val="131413"/>
          <w:lang w:val="en-US"/>
        </w:rPr>
        <w:fldChar w:fldCharType="end"/>
      </w:r>
      <w:r>
        <w:rPr>
          <w:color w:val="131413"/>
          <w:lang w:val="en-US"/>
        </w:rPr>
        <w:t>. Therefore, replacing even a small amount of S</w:t>
      </w:r>
      <w:r w:rsidR="009D0066">
        <w:rPr>
          <w:color w:val="131413"/>
          <w:lang w:val="en-US"/>
        </w:rPr>
        <w:t>T</w:t>
      </w:r>
      <w:r>
        <w:rPr>
          <w:color w:val="131413"/>
          <w:lang w:val="en-US"/>
        </w:rPr>
        <w:t xml:space="preserve"> with light PA or MVPA could bring</w:t>
      </w:r>
      <w:r w:rsidRPr="007611E5">
        <w:rPr>
          <w:color w:val="131413"/>
          <w:lang w:val="en-GB"/>
        </w:rPr>
        <w:t xml:space="preserve"> significant </w:t>
      </w:r>
      <w:r>
        <w:rPr>
          <w:color w:val="131413"/>
          <w:lang w:val="en-US"/>
        </w:rPr>
        <w:t xml:space="preserve">health benefits. </w:t>
      </w:r>
    </w:p>
    <w:p w14:paraId="7DE97376" w14:textId="6DD9EFA8" w:rsidR="009B4A7E" w:rsidRDefault="009B4A7E" w:rsidP="00D073F9">
      <w:pPr>
        <w:rPr>
          <w:color w:val="131413"/>
          <w:lang w:val="en-US"/>
        </w:rPr>
      </w:pPr>
      <w:r>
        <w:rPr>
          <w:color w:val="131413"/>
          <w:lang w:val="en-US"/>
        </w:rPr>
        <w:t xml:space="preserve">Healthy aging is important </w:t>
      </w:r>
      <w:r w:rsidR="002F2E0F">
        <w:rPr>
          <w:color w:val="131413"/>
          <w:lang w:val="en-US"/>
        </w:rPr>
        <w:t xml:space="preserve">from a public health point of view </w:t>
      </w:r>
      <w:r>
        <w:rPr>
          <w:color w:val="131413"/>
          <w:lang w:val="en-US"/>
        </w:rPr>
        <w:t xml:space="preserve">as the number of </w:t>
      </w:r>
      <w:r w:rsidR="002F2E0F">
        <w:rPr>
          <w:color w:val="131413"/>
          <w:lang w:val="en-US"/>
        </w:rPr>
        <w:t>older</w:t>
      </w:r>
      <w:r>
        <w:rPr>
          <w:color w:val="131413"/>
          <w:lang w:val="en-US"/>
        </w:rPr>
        <w:t xml:space="preserve"> people is growing. Physical decline </w:t>
      </w:r>
      <w:r w:rsidR="002F2E0F">
        <w:rPr>
          <w:color w:val="131413"/>
          <w:lang w:val="en-US"/>
        </w:rPr>
        <w:t xml:space="preserve">may be slowed down or hindered </w:t>
      </w:r>
      <w:r>
        <w:rPr>
          <w:color w:val="131413"/>
          <w:lang w:val="en-US"/>
        </w:rPr>
        <w:t xml:space="preserve">by </w:t>
      </w:r>
      <w:r w:rsidR="002F2E0F">
        <w:rPr>
          <w:color w:val="131413"/>
          <w:lang w:val="en-US"/>
        </w:rPr>
        <w:t xml:space="preserve">promoting </w:t>
      </w:r>
      <w:r>
        <w:rPr>
          <w:color w:val="131413"/>
          <w:lang w:val="en-US"/>
        </w:rPr>
        <w:t>PA</w:t>
      </w:r>
      <w:r w:rsidR="002F2E0F">
        <w:rPr>
          <w:color w:val="131413"/>
          <w:lang w:val="en-US"/>
        </w:rPr>
        <w:t xml:space="preserve"> among older individuals</w:t>
      </w:r>
      <w:r>
        <w:rPr>
          <w:color w:val="131413"/>
          <w:lang w:val="en-US"/>
        </w:rPr>
        <w:t xml:space="preserve"> </w:t>
      </w:r>
      <w:r>
        <w:rPr>
          <w:color w:val="131413"/>
          <w:lang w:val="en-US"/>
        </w:rPr>
        <w:fldChar w:fldCharType="begin"/>
      </w:r>
      <w:r w:rsidR="00291B26">
        <w:rPr>
          <w:color w:val="131413"/>
          <w:lang w:val="en-US"/>
        </w:rPr>
        <w:instrText>ADDIN RW.CITE{{44 Paterson,D.H. 2010}}</w:instrText>
      </w:r>
      <w:r>
        <w:rPr>
          <w:color w:val="131413"/>
          <w:lang w:val="en-US"/>
        </w:rPr>
        <w:fldChar w:fldCharType="separate"/>
      </w:r>
      <w:r w:rsidR="006908C0" w:rsidRPr="006908C0">
        <w:rPr>
          <w:rFonts w:cs="Arial"/>
          <w:color w:val="131413"/>
          <w:lang w:val="en-US"/>
        </w:rPr>
        <w:t>[9]</w:t>
      </w:r>
      <w:r>
        <w:rPr>
          <w:color w:val="131413"/>
          <w:lang w:val="en-US"/>
        </w:rPr>
        <w:fldChar w:fldCharType="end"/>
      </w:r>
      <w:r>
        <w:rPr>
          <w:color w:val="131413"/>
          <w:lang w:val="en-US"/>
        </w:rPr>
        <w:t xml:space="preserve">. There </w:t>
      </w:r>
      <w:r w:rsidRPr="007611E5">
        <w:rPr>
          <w:color w:val="131413"/>
          <w:lang w:val="en-GB"/>
        </w:rPr>
        <w:t>is</w:t>
      </w:r>
      <w:r>
        <w:rPr>
          <w:color w:val="131413"/>
          <w:lang w:val="en-GB"/>
        </w:rPr>
        <w:t xml:space="preserve"> </w:t>
      </w:r>
      <w:r>
        <w:rPr>
          <w:color w:val="131413"/>
          <w:lang w:val="en-US"/>
        </w:rPr>
        <w:t xml:space="preserve">evidence </w:t>
      </w:r>
      <w:r w:rsidRPr="007611E5">
        <w:rPr>
          <w:color w:val="131413"/>
          <w:lang w:val="en-GB"/>
        </w:rPr>
        <w:t xml:space="preserve">suggesting </w:t>
      </w:r>
      <w:r>
        <w:rPr>
          <w:color w:val="131413"/>
          <w:lang w:val="en-US"/>
        </w:rPr>
        <w:t xml:space="preserve">that PA is one of the most important lifestyle factors for maintenance good health </w:t>
      </w:r>
      <w:r>
        <w:rPr>
          <w:color w:val="131413"/>
          <w:lang w:val="en-US"/>
        </w:rPr>
        <w:fldChar w:fldCharType="begin"/>
      </w:r>
      <w:r w:rsidR="00291B26">
        <w:rPr>
          <w:color w:val="131413"/>
          <w:lang w:val="en-US"/>
        </w:rPr>
        <w:instrText>ADDIN RW.CITE{{54 Svantesson,U. 2015}}</w:instrText>
      </w:r>
      <w:r>
        <w:rPr>
          <w:color w:val="131413"/>
          <w:lang w:val="en-US"/>
        </w:rPr>
        <w:fldChar w:fldCharType="separate"/>
      </w:r>
      <w:r w:rsidR="006908C0" w:rsidRPr="006908C0">
        <w:rPr>
          <w:rFonts w:cs="Arial"/>
          <w:color w:val="131413"/>
          <w:lang w:val="en-US"/>
        </w:rPr>
        <w:t>[22]</w:t>
      </w:r>
      <w:r>
        <w:rPr>
          <w:color w:val="131413"/>
          <w:lang w:val="en-US"/>
        </w:rPr>
        <w:fldChar w:fldCharType="end"/>
      </w:r>
      <w:r>
        <w:rPr>
          <w:color w:val="131413"/>
          <w:lang w:val="en-US"/>
        </w:rPr>
        <w:t xml:space="preserve">. While </w:t>
      </w:r>
      <w:r w:rsidR="002F2E0F">
        <w:rPr>
          <w:color w:val="131413"/>
          <w:lang w:val="en-US"/>
        </w:rPr>
        <w:t xml:space="preserve">a </w:t>
      </w:r>
      <w:r>
        <w:rPr>
          <w:color w:val="131413"/>
          <w:lang w:val="en-US"/>
        </w:rPr>
        <w:t xml:space="preserve">sedentary lifestyle is </w:t>
      </w:r>
      <w:r w:rsidR="002F2E0F">
        <w:rPr>
          <w:color w:val="131413"/>
          <w:lang w:val="en-US"/>
        </w:rPr>
        <w:t>increasing</w:t>
      </w:r>
      <w:r>
        <w:rPr>
          <w:color w:val="131413"/>
          <w:lang w:val="en-US"/>
        </w:rPr>
        <w:t xml:space="preserve"> </w:t>
      </w:r>
      <w:r w:rsidR="002F2E0F">
        <w:rPr>
          <w:color w:val="131413"/>
          <w:lang w:val="en-US"/>
        </w:rPr>
        <w:t xml:space="preserve">and the physical reserve capacity is diminishing, </w:t>
      </w:r>
      <w:r>
        <w:rPr>
          <w:color w:val="131413"/>
          <w:lang w:val="en-US"/>
        </w:rPr>
        <w:t>many old people</w:t>
      </w:r>
      <w:r w:rsidRPr="007611E5">
        <w:rPr>
          <w:color w:val="131413"/>
          <w:lang w:val="en-GB"/>
        </w:rPr>
        <w:t xml:space="preserve"> are</w:t>
      </w:r>
      <w:r>
        <w:rPr>
          <w:color w:val="131413"/>
          <w:lang w:val="en-US"/>
        </w:rPr>
        <w:t xml:space="preserve"> functioning close to their maximum capacity when performing everyday activities. A recent study </w:t>
      </w:r>
      <w:r>
        <w:rPr>
          <w:color w:val="131413"/>
          <w:lang w:val="en-US"/>
        </w:rPr>
        <w:fldChar w:fldCharType="begin"/>
      </w:r>
      <w:r w:rsidR="00291B26">
        <w:rPr>
          <w:color w:val="131413"/>
          <w:lang w:val="en-US"/>
        </w:rPr>
        <w:instrText>ADDIN RW.CITE{{105 Hamer,M. 2014}}</w:instrText>
      </w:r>
      <w:r>
        <w:rPr>
          <w:color w:val="131413"/>
          <w:lang w:val="en-US"/>
        </w:rPr>
        <w:fldChar w:fldCharType="separate"/>
      </w:r>
      <w:r w:rsidR="006908C0" w:rsidRPr="006908C0">
        <w:rPr>
          <w:rFonts w:cs="Arial"/>
          <w:color w:val="131413"/>
          <w:lang w:val="en-US"/>
        </w:rPr>
        <w:t>[23]</w:t>
      </w:r>
      <w:r>
        <w:rPr>
          <w:color w:val="131413"/>
          <w:lang w:val="en-US"/>
        </w:rPr>
        <w:fldChar w:fldCharType="end"/>
      </w:r>
      <w:r w:rsidRPr="0080286C">
        <w:rPr>
          <w:color w:val="131413"/>
          <w:lang w:val="en-US"/>
        </w:rPr>
        <w:t xml:space="preserve"> showed that significant health benefits were even seen among </w:t>
      </w:r>
      <w:r w:rsidR="002F2E0F">
        <w:rPr>
          <w:color w:val="131413"/>
          <w:lang w:val="en-US"/>
        </w:rPr>
        <w:t>older</w:t>
      </w:r>
      <w:r w:rsidRPr="0080286C">
        <w:rPr>
          <w:color w:val="131413"/>
          <w:lang w:val="en-US"/>
        </w:rPr>
        <w:t xml:space="preserve"> people who became physically active relatively late in life. There have also been trials that have shown favorable effects of exercise training interventions on physical functioning</w:t>
      </w:r>
      <w:r w:rsidR="002F2E0F">
        <w:rPr>
          <w:color w:val="131413"/>
          <w:lang w:val="en-US"/>
        </w:rPr>
        <w:t xml:space="preserve"> among older persons</w:t>
      </w:r>
      <w:r w:rsidRPr="0080286C">
        <w:rPr>
          <w:color w:val="131413"/>
          <w:lang w:val="en-US"/>
        </w:rPr>
        <w:t xml:space="preserve"> </w:t>
      </w:r>
      <w:r>
        <w:rPr>
          <w:color w:val="131413"/>
          <w:lang w:val="en-US"/>
        </w:rPr>
        <w:fldChar w:fldCharType="begin"/>
      </w:r>
      <w:r w:rsidR="00291B26">
        <w:rPr>
          <w:color w:val="131413"/>
          <w:lang w:val="en-US"/>
        </w:rPr>
        <w:instrText>ADDIN RW.CITE{{92 Gudlaugsson,J. 2012}}</w:instrText>
      </w:r>
      <w:r>
        <w:rPr>
          <w:color w:val="131413"/>
          <w:lang w:val="en-US"/>
        </w:rPr>
        <w:fldChar w:fldCharType="separate"/>
      </w:r>
      <w:r w:rsidR="006908C0" w:rsidRPr="006908C0">
        <w:rPr>
          <w:rFonts w:cs="Arial"/>
          <w:color w:val="131413"/>
          <w:lang w:val="en-US"/>
        </w:rPr>
        <w:t>[24]</w:t>
      </w:r>
      <w:r>
        <w:rPr>
          <w:color w:val="131413"/>
          <w:lang w:val="en-US"/>
        </w:rPr>
        <w:fldChar w:fldCharType="end"/>
      </w:r>
      <w:r>
        <w:rPr>
          <w:color w:val="131413"/>
          <w:lang w:val="en-US"/>
        </w:rPr>
        <w:t>.</w:t>
      </w:r>
    </w:p>
    <w:p w14:paraId="7FFF8367" w14:textId="5CCBE628" w:rsidR="009B4A7E" w:rsidRDefault="009B4A7E" w:rsidP="009B4A7E">
      <w:pPr>
        <w:rPr>
          <w:color w:val="131413"/>
          <w:lang w:val="en-US"/>
        </w:rPr>
      </w:pPr>
      <w:r>
        <w:rPr>
          <w:color w:val="131413"/>
          <w:lang w:val="en-US"/>
        </w:rPr>
        <w:lastRenderedPageBreak/>
        <w:t>PA influence</w:t>
      </w:r>
      <w:r w:rsidR="002F2E0F">
        <w:rPr>
          <w:color w:val="131413"/>
          <w:lang w:val="en-US"/>
        </w:rPr>
        <w:t>s</w:t>
      </w:r>
      <w:r>
        <w:rPr>
          <w:color w:val="131413"/>
          <w:lang w:val="en-US"/>
        </w:rPr>
        <w:t xml:space="preserve"> physical functioning</w:t>
      </w:r>
      <w:r w:rsidR="002F2E0F">
        <w:rPr>
          <w:color w:val="131413"/>
          <w:lang w:val="en-US"/>
        </w:rPr>
        <w:t>/performance</w:t>
      </w:r>
      <w:r>
        <w:rPr>
          <w:color w:val="131413"/>
          <w:lang w:val="en-US"/>
        </w:rPr>
        <w:t xml:space="preserve"> </w:t>
      </w:r>
      <w:r w:rsidRPr="007611E5">
        <w:rPr>
          <w:color w:val="131413"/>
          <w:lang w:val="en-GB"/>
        </w:rPr>
        <w:t>in several</w:t>
      </w:r>
      <w:r>
        <w:rPr>
          <w:color w:val="131413"/>
          <w:lang w:val="en-GB"/>
        </w:rPr>
        <w:t xml:space="preserve"> </w:t>
      </w:r>
      <w:r>
        <w:rPr>
          <w:color w:val="131413"/>
          <w:lang w:val="en-US"/>
        </w:rPr>
        <w:t>ways. PA improves aerobic fitness, strength</w:t>
      </w:r>
      <w:r w:rsidRPr="007611E5">
        <w:rPr>
          <w:color w:val="131413"/>
          <w:lang w:val="en-GB"/>
        </w:rPr>
        <w:t>en</w:t>
      </w:r>
      <w:r>
        <w:rPr>
          <w:color w:val="131413"/>
          <w:lang w:val="en-US"/>
        </w:rPr>
        <w:t xml:space="preserve">s muscles, </w:t>
      </w:r>
      <w:r w:rsidRPr="008B4E68">
        <w:rPr>
          <w:lang w:val="en-GB"/>
        </w:rPr>
        <w:t xml:space="preserve">reduces body fat, slows </w:t>
      </w:r>
      <w:r w:rsidRPr="007611E5">
        <w:rPr>
          <w:lang w:val="en-GB"/>
        </w:rPr>
        <w:t xml:space="preserve">down </w:t>
      </w:r>
      <w:r w:rsidRPr="008B4E68">
        <w:rPr>
          <w:lang w:val="en-GB"/>
        </w:rPr>
        <w:t>the loss of bone density and improves flexibility and contributes therefore to better walking capacity, balance and decreased risk of falling and fractures. PA also reduces the risk to several diseases, such as cardiovascular disease</w:t>
      </w:r>
      <w:r>
        <w:rPr>
          <w:lang w:val="en-GB"/>
        </w:rPr>
        <w:t>s</w:t>
      </w:r>
      <w:r w:rsidRPr="008B4E68">
        <w:rPr>
          <w:lang w:val="en-GB"/>
        </w:rPr>
        <w:t xml:space="preserve">, type 2 diabetes, several cancers and the functional decline and </w:t>
      </w:r>
      <w:r w:rsidR="00460E9A">
        <w:rPr>
          <w:lang w:val="en-GB"/>
        </w:rPr>
        <w:t xml:space="preserve">related </w:t>
      </w:r>
      <w:r w:rsidRPr="008B4E68">
        <w:rPr>
          <w:lang w:val="en-GB"/>
        </w:rPr>
        <w:t>premature death</w:t>
      </w:r>
      <w:r w:rsidR="00F07DC0">
        <w:rPr>
          <w:lang w:val="en-GB"/>
        </w:rPr>
        <w:t xml:space="preserve"> </w:t>
      </w:r>
      <w:r w:rsidR="00F07DC0">
        <w:rPr>
          <w:lang w:val="en-GB"/>
        </w:rPr>
        <w:fldChar w:fldCharType="begin"/>
      </w:r>
      <w:r w:rsidR="00F07DC0">
        <w:rPr>
          <w:lang w:val="en-GB"/>
        </w:rPr>
        <w:instrText>ADDIN RW.CITE{{77 Lee,I.M. 2012; 69 Newman,A.B. 2006}}</w:instrText>
      </w:r>
      <w:r w:rsidR="00F07DC0">
        <w:rPr>
          <w:lang w:val="en-GB"/>
        </w:rPr>
        <w:fldChar w:fldCharType="separate"/>
      </w:r>
      <w:r w:rsidR="006908C0" w:rsidRPr="006908C0">
        <w:rPr>
          <w:rFonts w:cs="Arial"/>
          <w:lang w:val="en-GB"/>
        </w:rPr>
        <w:t>[4, 25]</w:t>
      </w:r>
      <w:r w:rsidR="00F07DC0">
        <w:rPr>
          <w:lang w:val="en-GB"/>
        </w:rPr>
        <w:fldChar w:fldCharType="end"/>
      </w:r>
      <w:r w:rsidRPr="008B4E68">
        <w:rPr>
          <w:lang w:val="en-GB"/>
        </w:rPr>
        <w:t xml:space="preserve">.  </w:t>
      </w:r>
      <w:r>
        <w:rPr>
          <w:lang w:val="en-GB"/>
        </w:rPr>
        <w:t>PA</w:t>
      </w:r>
      <w:r w:rsidRPr="008B4E68">
        <w:rPr>
          <w:lang w:val="en-GB"/>
        </w:rPr>
        <w:t xml:space="preserve"> also affects positively the function of neurotransmitters and cerebral morphology and reduces cognitive disorders and depression and improves self-control and self-image and these may help older people to stay active in the community</w:t>
      </w:r>
      <w:r w:rsidR="00F07DC0">
        <w:rPr>
          <w:lang w:val="en-GB"/>
        </w:rPr>
        <w:t xml:space="preserve"> </w:t>
      </w:r>
      <w:r w:rsidR="00F07DC0">
        <w:rPr>
          <w:lang w:val="en-GB"/>
        </w:rPr>
        <w:fldChar w:fldCharType="begin"/>
      </w:r>
      <w:r w:rsidR="00F07DC0">
        <w:rPr>
          <w:lang w:val="en-GB"/>
        </w:rPr>
        <w:instrText>ADDIN RW.CITE{{70 Middleton,L.E. 2010}}</w:instrText>
      </w:r>
      <w:r w:rsidR="00F07DC0">
        <w:rPr>
          <w:lang w:val="en-GB"/>
        </w:rPr>
        <w:fldChar w:fldCharType="separate"/>
      </w:r>
      <w:r w:rsidR="005A095F" w:rsidRPr="005A095F">
        <w:rPr>
          <w:rFonts w:cs="Arial"/>
          <w:lang w:val="en-GB"/>
        </w:rPr>
        <w:t>[6]</w:t>
      </w:r>
      <w:r w:rsidR="00F07DC0">
        <w:rPr>
          <w:lang w:val="en-GB"/>
        </w:rPr>
        <w:fldChar w:fldCharType="end"/>
      </w:r>
      <w:r w:rsidRPr="008B4E68">
        <w:rPr>
          <w:lang w:val="en-GB"/>
        </w:rPr>
        <w:t>.</w:t>
      </w:r>
    </w:p>
    <w:p w14:paraId="46F380DC" w14:textId="7A558019" w:rsidR="00DA0998" w:rsidRPr="008B4E68" w:rsidRDefault="00DA0998" w:rsidP="00DA0998">
      <w:pPr>
        <w:rPr>
          <w:lang w:val="en-GB"/>
        </w:rPr>
      </w:pPr>
      <w:r w:rsidRPr="008B4E68">
        <w:rPr>
          <w:lang w:val="en-GB"/>
        </w:rPr>
        <w:t>Our study ha</w:t>
      </w:r>
      <w:r w:rsidRPr="007611E5">
        <w:rPr>
          <w:lang w:val="en-GB"/>
        </w:rPr>
        <w:t>s</w:t>
      </w:r>
      <w:r w:rsidRPr="008B4E68">
        <w:rPr>
          <w:lang w:val="en-GB"/>
        </w:rPr>
        <w:t xml:space="preserve"> several strengths including a large study population consisting of both men and woman and </w:t>
      </w:r>
      <w:r w:rsidRPr="007611E5">
        <w:rPr>
          <w:lang w:val="en-GB"/>
        </w:rPr>
        <w:t xml:space="preserve">a </w:t>
      </w:r>
      <w:r w:rsidRPr="008B4E68">
        <w:rPr>
          <w:lang w:val="en-GB"/>
        </w:rPr>
        <w:t>well characterized</w:t>
      </w:r>
      <w:r w:rsidRPr="007611E5">
        <w:rPr>
          <w:lang w:val="en-GB"/>
        </w:rPr>
        <w:t xml:space="preserve"> cohort</w:t>
      </w:r>
      <w:r w:rsidRPr="008B4E68">
        <w:rPr>
          <w:lang w:val="en-GB"/>
        </w:rPr>
        <w:t>. We measured the overall physical</w:t>
      </w:r>
      <w:r>
        <w:rPr>
          <w:lang w:val="en-GB"/>
        </w:rPr>
        <w:t xml:space="preserve"> </w:t>
      </w:r>
      <w:r w:rsidR="005954E5">
        <w:rPr>
          <w:lang w:val="en-GB"/>
        </w:rPr>
        <w:t>performance</w:t>
      </w:r>
      <w:r>
        <w:rPr>
          <w:lang w:val="en-GB"/>
        </w:rPr>
        <w:t xml:space="preserve"> </w:t>
      </w:r>
      <w:r w:rsidRPr="008B4E68">
        <w:rPr>
          <w:lang w:val="en-GB"/>
        </w:rPr>
        <w:t xml:space="preserve">instead of </w:t>
      </w:r>
      <w:r w:rsidRPr="007611E5">
        <w:rPr>
          <w:lang w:val="en-GB"/>
        </w:rPr>
        <w:t>focusing upon</w:t>
      </w:r>
      <w:r w:rsidRPr="008B4E68">
        <w:rPr>
          <w:lang w:val="en-GB"/>
        </w:rPr>
        <w:t xml:space="preserve"> a single aspect of it. There have been other studies showing that </w:t>
      </w:r>
      <w:r>
        <w:rPr>
          <w:lang w:val="en-GB"/>
        </w:rPr>
        <w:t>PA</w:t>
      </w:r>
      <w:r w:rsidRPr="008B4E68">
        <w:rPr>
          <w:lang w:val="en-GB"/>
        </w:rPr>
        <w:t xml:space="preserve"> of </w:t>
      </w:r>
      <w:r>
        <w:rPr>
          <w:lang w:val="en-GB"/>
        </w:rPr>
        <w:t xml:space="preserve">older </w:t>
      </w:r>
      <w:r w:rsidRPr="008B4E68">
        <w:rPr>
          <w:lang w:val="en-GB"/>
        </w:rPr>
        <w:t xml:space="preserve">people is associated with their physical performance, but these studies </w:t>
      </w:r>
      <w:r>
        <w:rPr>
          <w:lang w:val="en-GB"/>
        </w:rPr>
        <w:t xml:space="preserve">have </w:t>
      </w:r>
      <w:r w:rsidRPr="008B4E68">
        <w:rPr>
          <w:lang w:val="en-GB"/>
        </w:rPr>
        <w:t xml:space="preserve">used a more </w:t>
      </w:r>
      <w:r w:rsidRPr="005F27C0">
        <w:rPr>
          <w:lang w:val="en-GB"/>
        </w:rPr>
        <w:t>co</w:t>
      </w:r>
      <w:r>
        <w:rPr>
          <w:lang w:val="en-GB"/>
        </w:rPr>
        <w:t xml:space="preserve">ndensed </w:t>
      </w:r>
      <w:r w:rsidRPr="008B4E68">
        <w:rPr>
          <w:lang w:val="en-GB"/>
        </w:rPr>
        <w:t>physical fitness tests (gait speed, hand grip or Short Physical Performance Battery, SPPB)</w:t>
      </w:r>
      <w:r w:rsidR="00F07DC0">
        <w:rPr>
          <w:lang w:val="en-GB"/>
        </w:rPr>
        <w:t xml:space="preserve"> </w:t>
      </w:r>
      <w:r w:rsidR="00F07DC0">
        <w:rPr>
          <w:lang w:val="en-GB"/>
        </w:rPr>
        <w:fldChar w:fldCharType="begin"/>
      </w:r>
      <w:r w:rsidR="00F07DC0">
        <w:rPr>
          <w:lang w:val="en-GB"/>
        </w:rPr>
        <w:instrText>ADDIN RW.CITE{{67 Patel,K.V. 2006}}</w:instrText>
      </w:r>
      <w:r w:rsidR="00F07DC0">
        <w:rPr>
          <w:lang w:val="en-GB"/>
        </w:rPr>
        <w:fldChar w:fldCharType="separate"/>
      </w:r>
      <w:r w:rsidR="006908C0" w:rsidRPr="006908C0">
        <w:rPr>
          <w:rFonts w:cs="Arial"/>
          <w:lang w:val="en-GB"/>
        </w:rPr>
        <w:t>[12]</w:t>
      </w:r>
      <w:r w:rsidR="00F07DC0">
        <w:rPr>
          <w:lang w:val="en-GB"/>
        </w:rPr>
        <w:fldChar w:fldCharType="end"/>
      </w:r>
      <w:r w:rsidRPr="008B4E68">
        <w:rPr>
          <w:lang w:val="en-GB"/>
        </w:rPr>
        <w:t>. SPPB has for example been claimed to have significant “ceiling” or “floor” effects being either too easy or too difficult limiting its ability to provide measurement data on a continuous scale. SFT is</w:t>
      </w:r>
      <w:r>
        <w:rPr>
          <w:lang w:val="en-US"/>
        </w:rPr>
        <w:t xml:space="preserve"> specially designed for older adults and it is a validated and reliable test that measures strength, endurance, flexibility, agility and balance that are all associated with maintaining physical independence in old age and the test </w:t>
      </w:r>
      <w:r w:rsidRPr="008B4E68">
        <w:rPr>
          <w:lang w:val="en-GB"/>
        </w:rPr>
        <w:t xml:space="preserve">measures performance on a continuous scale across a wide range of functional abilities. </w:t>
      </w:r>
      <w:r>
        <w:rPr>
          <w:lang w:val="en-US"/>
        </w:rPr>
        <w:t xml:space="preserve">A further strength of our study is that we measured PA objectively instead of using questionnaires that </w:t>
      </w:r>
      <w:r w:rsidRPr="008B4E68">
        <w:rPr>
          <w:lang w:val="en-GB"/>
        </w:rPr>
        <w:t xml:space="preserve">are commonly used in epidemiological </w:t>
      </w:r>
      <w:r w:rsidRPr="007611E5">
        <w:rPr>
          <w:lang w:val="en-GB"/>
        </w:rPr>
        <w:t>studies</w:t>
      </w:r>
      <w:r w:rsidRPr="008B4E68">
        <w:rPr>
          <w:lang w:val="en-GB"/>
        </w:rPr>
        <w:t>. Questionnaires provide convenient and low-cost estimat</w:t>
      </w:r>
      <w:r w:rsidRPr="007611E5">
        <w:rPr>
          <w:lang w:val="en-GB"/>
        </w:rPr>
        <w:t>es</w:t>
      </w:r>
      <w:r w:rsidRPr="008B4E68">
        <w:rPr>
          <w:lang w:val="en-GB"/>
        </w:rPr>
        <w:t xml:space="preserve"> of </w:t>
      </w:r>
      <w:r>
        <w:rPr>
          <w:lang w:val="en-GB"/>
        </w:rPr>
        <w:t>PA</w:t>
      </w:r>
      <w:r w:rsidRPr="008B4E68">
        <w:rPr>
          <w:lang w:val="en-GB"/>
        </w:rPr>
        <w:t xml:space="preserve"> but are prone to recall bias especially in older population</w:t>
      </w:r>
      <w:r w:rsidRPr="007611E5">
        <w:rPr>
          <w:lang w:val="en-GB"/>
        </w:rPr>
        <w:t>s</w:t>
      </w:r>
      <w:r w:rsidRPr="008B4E68">
        <w:rPr>
          <w:lang w:val="en-GB"/>
        </w:rPr>
        <w:t xml:space="preserve"> </w:t>
      </w:r>
      <w:r w:rsidR="009B4A7E">
        <w:rPr>
          <w:lang w:val="en-GB"/>
        </w:rPr>
        <w:t xml:space="preserve">e.g. </w:t>
      </w:r>
      <w:r w:rsidRPr="008B4E68">
        <w:rPr>
          <w:lang w:val="en-GB"/>
        </w:rPr>
        <w:t>due to cognitive impairment</w:t>
      </w:r>
      <w:r w:rsidR="009B4A7E">
        <w:rPr>
          <w:lang w:val="en-GB"/>
        </w:rPr>
        <w:t>s</w:t>
      </w:r>
      <w:r w:rsidRPr="008B4E68">
        <w:rPr>
          <w:lang w:val="en-GB"/>
        </w:rPr>
        <w:t xml:space="preserve">. </w:t>
      </w:r>
      <w:r>
        <w:rPr>
          <w:lang w:val="en-US"/>
        </w:rPr>
        <w:t xml:space="preserve"> </w:t>
      </w:r>
      <w:r w:rsidRPr="008B4E68">
        <w:rPr>
          <w:lang w:val="en-GB"/>
        </w:rPr>
        <w:t xml:space="preserve">With the use of body-worn monitoring devices the volume of </w:t>
      </w:r>
      <w:r>
        <w:rPr>
          <w:lang w:val="en-GB"/>
        </w:rPr>
        <w:t>PA</w:t>
      </w:r>
      <w:r w:rsidRPr="008B4E68">
        <w:rPr>
          <w:lang w:val="en-GB"/>
        </w:rPr>
        <w:t xml:space="preserve"> can be measured objectively.  Compared to the questionnaires they give more reliable information about the volume of </w:t>
      </w:r>
      <w:r>
        <w:rPr>
          <w:lang w:val="en-GB"/>
        </w:rPr>
        <w:t>PA</w:t>
      </w:r>
      <w:r w:rsidRPr="008B4E68">
        <w:rPr>
          <w:lang w:val="en-GB"/>
        </w:rPr>
        <w:t xml:space="preserve"> also in </w:t>
      </w:r>
      <w:r>
        <w:rPr>
          <w:lang w:val="en-GB"/>
        </w:rPr>
        <w:t>older</w:t>
      </w:r>
      <w:r w:rsidRPr="008B4E68">
        <w:rPr>
          <w:lang w:val="en-GB"/>
        </w:rPr>
        <w:t xml:space="preserve"> people </w:t>
      </w:r>
      <w:r>
        <w:rPr>
          <w:lang w:val="en-GB"/>
        </w:rPr>
        <w:fldChar w:fldCharType="begin"/>
      </w:r>
      <w:r w:rsidR="00291B26">
        <w:rPr>
          <w:lang w:val="en-GB"/>
        </w:rPr>
        <w:instrText>ADDIN RW.CITE{{50 Colbert,L.H. 2011}}</w:instrText>
      </w:r>
      <w:r>
        <w:rPr>
          <w:lang w:val="en-GB"/>
        </w:rPr>
        <w:fldChar w:fldCharType="separate"/>
      </w:r>
      <w:r w:rsidR="006908C0" w:rsidRPr="006908C0">
        <w:rPr>
          <w:rFonts w:cs="Arial"/>
          <w:lang w:val="en-GB"/>
        </w:rPr>
        <w:t>[18]</w:t>
      </w:r>
      <w:r>
        <w:rPr>
          <w:lang w:val="en-GB"/>
        </w:rPr>
        <w:fldChar w:fldCharType="end"/>
      </w:r>
      <w:r w:rsidRPr="008B4E68">
        <w:rPr>
          <w:lang w:val="en-GB"/>
        </w:rPr>
        <w:t xml:space="preserve">. </w:t>
      </w:r>
      <w:r>
        <w:rPr>
          <w:lang w:val="en-US"/>
        </w:rPr>
        <w:t xml:space="preserve">Older adults </w:t>
      </w:r>
      <w:r w:rsidRPr="00FA6215">
        <w:rPr>
          <w:lang w:val="en-US"/>
        </w:rPr>
        <w:t xml:space="preserve">tend to be </w:t>
      </w:r>
      <w:r>
        <w:rPr>
          <w:lang w:val="en-US"/>
        </w:rPr>
        <w:t>less physically active overall and</w:t>
      </w:r>
      <w:r w:rsidRPr="00FA6215">
        <w:rPr>
          <w:lang w:val="en-US"/>
        </w:rPr>
        <w:t xml:space="preserve"> are more likely to participate in lower-intensity activities</w:t>
      </w:r>
      <w:r w:rsidRPr="008B4E68">
        <w:rPr>
          <w:lang w:val="en-GB"/>
        </w:rPr>
        <w:t xml:space="preserve"> that are often poorly reported b</w:t>
      </w:r>
      <w:r>
        <w:rPr>
          <w:lang w:val="en-GB"/>
        </w:rPr>
        <w:t>y questionnaires. The SenseWear</w:t>
      </w:r>
      <w:r w:rsidRPr="008B4E68">
        <w:rPr>
          <w:lang w:val="en-GB"/>
        </w:rPr>
        <w:t xml:space="preserve"> Armband is one of the next generation activity monitors. It is a valid multiple sensor device that enables to assess accurately </w:t>
      </w:r>
      <w:r>
        <w:rPr>
          <w:lang w:val="en-GB"/>
        </w:rPr>
        <w:t>PA</w:t>
      </w:r>
      <w:r w:rsidRPr="008B4E68">
        <w:rPr>
          <w:lang w:val="en-GB"/>
        </w:rPr>
        <w:t xml:space="preserve"> energy </w:t>
      </w:r>
      <w:r w:rsidRPr="008B4E68">
        <w:rPr>
          <w:lang w:val="en-GB"/>
        </w:rPr>
        <w:lastRenderedPageBreak/>
        <w:t xml:space="preserve">expenditure in free-living conditions </w:t>
      </w:r>
      <w:r>
        <w:rPr>
          <w:lang w:val="en-GB"/>
        </w:rPr>
        <w:fldChar w:fldCharType="begin"/>
      </w:r>
      <w:r w:rsidR="00291B26">
        <w:rPr>
          <w:lang w:val="en-GB"/>
        </w:rPr>
        <w:instrText>ADDIN RW.CITE{{34 Fruin,M.L. 2004}}</w:instrText>
      </w:r>
      <w:r>
        <w:rPr>
          <w:lang w:val="en-GB"/>
        </w:rPr>
        <w:fldChar w:fldCharType="separate"/>
      </w:r>
      <w:r w:rsidR="006908C0" w:rsidRPr="006908C0">
        <w:rPr>
          <w:rFonts w:cs="Arial"/>
          <w:lang w:val="en-GB"/>
        </w:rPr>
        <w:t>[26]</w:t>
      </w:r>
      <w:r>
        <w:rPr>
          <w:lang w:val="en-GB"/>
        </w:rPr>
        <w:fldChar w:fldCharType="end"/>
      </w:r>
      <w:r w:rsidRPr="008B4E68">
        <w:rPr>
          <w:lang w:val="en-GB"/>
        </w:rPr>
        <w:t xml:space="preserve"> and also h</w:t>
      </w:r>
      <w:r w:rsidRPr="007611E5">
        <w:rPr>
          <w:lang w:val="en-GB"/>
        </w:rPr>
        <w:t>as</w:t>
      </w:r>
      <w:r w:rsidRPr="008B4E68">
        <w:rPr>
          <w:lang w:val="en-GB"/>
        </w:rPr>
        <w:t xml:space="preserve"> the ability to capture information about frequency, intensity and duration of activity. </w:t>
      </w:r>
    </w:p>
    <w:p w14:paraId="06A35EE1" w14:textId="3D202F7A" w:rsidR="00DA0998" w:rsidRPr="00DD5992" w:rsidRDefault="00DA0998" w:rsidP="00DA0998">
      <w:pPr>
        <w:rPr>
          <w:color w:val="131413"/>
          <w:lang w:val="en-US"/>
        </w:rPr>
      </w:pPr>
      <w:r w:rsidRPr="007611E5">
        <w:rPr>
          <w:color w:val="131413"/>
          <w:lang w:val="en-GB"/>
        </w:rPr>
        <w:t xml:space="preserve">The </w:t>
      </w:r>
      <w:r>
        <w:rPr>
          <w:color w:val="131413"/>
          <w:lang w:val="en-US"/>
        </w:rPr>
        <w:t>present study has some limitations.</w:t>
      </w:r>
      <w:r w:rsidR="00460E9A">
        <w:rPr>
          <w:color w:val="131413"/>
          <w:lang w:val="en-US"/>
        </w:rPr>
        <w:t xml:space="preserve"> Our study was cross-sectional and thus we cannot determine any direction of causality of the observed associations, i.e. it may have been possible that those who had poorer physical performance were less able to be physically active. </w:t>
      </w:r>
      <w:r>
        <w:rPr>
          <w:color w:val="131413"/>
          <w:lang w:val="en-US"/>
        </w:rPr>
        <w:t xml:space="preserve"> I</w:t>
      </w:r>
      <w:r w:rsidRPr="00C14E7E">
        <w:rPr>
          <w:color w:val="131413"/>
          <w:lang w:val="en-US"/>
        </w:rPr>
        <w:t>ndividuals who participated in the clinical</w:t>
      </w:r>
      <w:r>
        <w:rPr>
          <w:color w:val="131413"/>
          <w:lang w:val="en-US"/>
        </w:rPr>
        <w:t xml:space="preserve"> </w:t>
      </w:r>
      <w:r w:rsidRPr="00C14E7E">
        <w:rPr>
          <w:color w:val="131413"/>
          <w:lang w:val="en-US"/>
        </w:rPr>
        <w:t>examination in 2011–2013 were younger, thinner,</w:t>
      </w:r>
      <w:r>
        <w:rPr>
          <w:color w:val="131413"/>
          <w:lang w:val="en-US"/>
        </w:rPr>
        <w:t xml:space="preserve"> </w:t>
      </w:r>
      <w:r w:rsidRPr="00C14E7E">
        <w:rPr>
          <w:color w:val="131413"/>
          <w:lang w:val="en-US"/>
        </w:rPr>
        <w:t>more educated, and had a healthier diet in 2001–2004 compared with those who did not participate in</w:t>
      </w:r>
      <w:r>
        <w:rPr>
          <w:color w:val="131413"/>
          <w:lang w:val="en-US"/>
        </w:rPr>
        <w:t xml:space="preserve"> </w:t>
      </w:r>
      <w:r w:rsidRPr="00C14E7E">
        <w:rPr>
          <w:color w:val="131413"/>
          <w:lang w:val="en-US"/>
        </w:rPr>
        <w:t>the follow-up</w:t>
      </w:r>
      <w:r w:rsidR="008C0CDD">
        <w:rPr>
          <w:color w:val="131413"/>
          <w:lang w:val="en-US"/>
        </w:rPr>
        <w:t xml:space="preserve"> </w:t>
      </w:r>
      <w:r w:rsidR="008C0CDD">
        <w:rPr>
          <w:color w:val="131413"/>
          <w:lang w:val="en-US"/>
        </w:rPr>
        <w:fldChar w:fldCharType="begin"/>
      </w:r>
      <w:r w:rsidR="008C0CDD">
        <w:rPr>
          <w:color w:val="131413"/>
          <w:lang w:val="en-US"/>
        </w:rPr>
        <w:instrText>ADDIN RW.CITE{{19 Perala,M.M. 2016}}</w:instrText>
      </w:r>
      <w:r w:rsidR="008C0CDD">
        <w:rPr>
          <w:color w:val="131413"/>
          <w:lang w:val="en-US"/>
        </w:rPr>
        <w:fldChar w:fldCharType="separate"/>
      </w:r>
      <w:r w:rsidR="006908C0" w:rsidRPr="006908C0">
        <w:rPr>
          <w:rFonts w:cs="Arial"/>
          <w:color w:val="131413"/>
          <w:lang w:val="en-US"/>
        </w:rPr>
        <w:t>[27]</w:t>
      </w:r>
      <w:r w:rsidR="008C0CDD">
        <w:rPr>
          <w:color w:val="131413"/>
          <w:lang w:val="en-US"/>
        </w:rPr>
        <w:fldChar w:fldCharType="end"/>
      </w:r>
      <w:r>
        <w:rPr>
          <w:color w:val="131413"/>
          <w:lang w:val="en-US"/>
        </w:rPr>
        <w:t xml:space="preserve">. The study population </w:t>
      </w:r>
      <w:r w:rsidR="009B4A7E">
        <w:rPr>
          <w:color w:val="131413"/>
          <w:lang w:val="en-US"/>
        </w:rPr>
        <w:t xml:space="preserve">lived in </w:t>
      </w:r>
      <w:r>
        <w:rPr>
          <w:color w:val="131413"/>
          <w:lang w:val="en-US"/>
        </w:rPr>
        <w:t xml:space="preserve">a restricted geographic area </w:t>
      </w:r>
      <w:r w:rsidRPr="007611E5">
        <w:rPr>
          <w:color w:val="131413"/>
          <w:lang w:val="en-GB"/>
        </w:rPr>
        <w:t>in</w:t>
      </w:r>
      <w:r>
        <w:rPr>
          <w:color w:val="131413"/>
          <w:lang w:val="en-US"/>
        </w:rPr>
        <w:t xml:space="preserve"> Finland and therefore</w:t>
      </w:r>
      <w:r w:rsidRPr="00C14E7E">
        <w:rPr>
          <w:color w:val="131413"/>
          <w:lang w:val="en-US"/>
        </w:rPr>
        <w:t xml:space="preserve"> participants may not be</w:t>
      </w:r>
      <w:r>
        <w:rPr>
          <w:color w:val="131413"/>
          <w:lang w:val="en-US"/>
        </w:rPr>
        <w:t xml:space="preserve"> </w:t>
      </w:r>
      <w:r w:rsidRPr="00C14E7E">
        <w:rPr>
          <w:color w:val="131413"/>
          <w:lang w:val="en-US"/>
        </w:rPr>
        <w:t>fully representative of all older people living in</w:t>
      </w:r>
      <w:r>
        <w:rPr>
          <w:color w:val="131413"/>
          <w:lang w:val="en-US"/>
        </w:rPr>
        <w:t xml:space="preserve"> Finland</w:t>
      </w:r>
      <w:r w:rsidR="00464055">
        <w:rPr>
          <w:color w:val="131413"/>
          <w:lang w:val="en-US"/>
        </w:rPr>
        <w:t xml:space="preserve"> or people living elsewhere</w:t>
      </w:r>
      <w:r>
        <w:rPr>
          <w:color w:val="131413"/>
          <w:lang w:val="en-US"/>
        </w:rPr>
        <w:t xml:space="preserve">. The study </w:t>
      </w:r>
      <w:r w:rsidRPr="00C14E7E">
        <w:rPr>
          <w:color w:val="131413"/>
          <w:lang w:val="en-US"/>
        </w:rPr>
        <w:t>included Caucasians only, which</w:t>
      </w:r>
      <w:r>
        <w:rPr>
          <w:color w:val="131413"/>
          <w:lang w:val="en-US"/>
        </w:rPr>
        <w:t xml:space="preserve"> </w:t>
      </w:r>
      <w:r w:rsidRPr="00C14E7E">
        <w:rPr>
          <w:color w:val="131413"/>
          <w:lang w:val="en-US"/>
        </w:rPr>
        <w:t>might limit generalizability of our results to other</w:t>
      </w:r>
      <w:r>
        <w:rPr>
          <w:color w:val="131413"/>
          <w:lang w:val="en-US"/>
        </w:rPr>
        <w:t xml:space="preserve"> </w:t>
      </w:r>
      <w:r w:rsidRPr="00C14E7E">
        <w:rPr>
          <w:color w:val="131413"/>
          <w:lang w:val="en-US"/>
        </w:rPr>
        <w:t>ethnic groups.</w:t>
      </w:r>
      <w:r>
        <w:rPr>
          <w:color w:val="131413"/>
          <w:lang w:val="en-US"/>
        </w:rPr>
        <w:t xml:space="preserve"> Even though we were able to adjust for potential cofounders including smoking and educational attainment, we cannot exclude the possibility of residual confounding caused by other unmeasured covariates. Participating in the SFT required a certain level of physical fitness why cohort members with severe functional limitations were excluded from the study. Our study may also be limited by the “volunteer effect”, because not everyone from the original cohort was willing to use the activity monitor. Those who </w:t>
      </w:r>
      <w:r w:rsidR="009B4A7E">
        <w:rPr>
          <w:color w:val="131413"/>
          <w:lang w:val="en-US"/>
        </w:rPr>
        <w:t>participated in</w:t>
      </w:r>
      <w:r>
        <w:rPr>
          <w:color w:val="131413"/>
          <w:lang w:val="en-US"/>
        </w:rPr>
        <w:t xml:space="preserve"> the PA measure</w:t>
      </w:r>
      <w:r w:rsidR="009B4A7E">
        <w:rPr>
          <w:color w:val="131413"/>
          <w:lang w:val="en-US"/>
        </w:rPr>
        <w:t>ment</w:t>
      </w:r>
      <w:r>
        <w:rPr>
          <w:color w:val="131413"/>
          <w:lang w:val="en-US"/>
        </w:rPr>
        <w:t xml:space="preserve"> had significantly better overall SFT results and also succeeded better in other test components than chair sit and reach and back </w:t>
      </w:r>
      <w:r w:rsidRPr="00BE1AD6">
        <w:rPr>
          <w:rFonts w:cs="Arial"/>
          <w:lang w:val="en-US"/>
        </w:rPr>
        <w:t>scratch</w:t>
      </w:r>
      <w:r>
        <w:rPr>
          <w:color w:val="131413"/>
          <w:lang w:val="en-US"/>
        </w:rPr>
        <w:t xml:space="preserve"> (</w:t>
      </w:r>
      <w:r w:rsidRPr="0080286C">
        <w:rPr>
          <w:color w:val="131413"/>
          <w:lang w:val="en-US"/>
        </w:rPr>
        <w:t>data not shown</w:t>
      </w:r>
      <w:r>
        <w:rPr>
          <w:color w:val="131413"/>
          <w:lang w:val="en-US"/>
        </w:rPr>
        <w:t xml:space="preserve">). </w:t>
      </w:r>
    </w:p>
    <w:p w14:paraId="6E759467" w14:textId="595E287C" w:rsidR="00900A2F" w:rsidRPr="001C7D56" w:rsidRDefault="00806550" w:rsidP="00900A2F">
      <w:pPr>
        <w:rPr>
          <w:lang w:val="en-GB"/>
        </w:rPr>
      </w:pPr>
      <w:r>
        <w:rPr>
          <w:lang w:val="en-US"/>
        </w:rPr>
        <w:t>In conclusion, the findings of the present study showed a</w:t>
      </w:r>
      <w:r w:rsidR="009D0066">
        <w:rPr>
          <w:lang w:val="en-US"/>
        </w:rPr>
        <w:t xml:space="preserve"> strong association between</w:t>
      </w:r>
      <w:r>
        <w:rPr>
          <w:lang w:val="en-US"/>
        </w:rPr>
        <w:t xml:space="preserve"> sedentary time and total PA and different components of </w:t>
      </w:r>
      <w:r w:rsidR="009D0066">
        <w:rPr>
          <w:lang w:val="en-US"/>
        </w:rPr>
        <w:t>physical performance assessed by the senior fitness test</w:t>
      </w:r>
      <w:r>
        <w:rPr>
          <w:lang w:val="en-US"/>
        </w:rPr>
        <w:t xml:space="preserve">. These associations were </w:t>
      </w:r>
      <w:r w:rsidR="00E95D30">
        <w:rPr>
          <w:lang w:val="en-US"/>
        </w:rPr>
        <w:t>similar in men</w:t>
      </w:r>
      <w:r>
        <w:rPr>
          <w:lang w:val="en-US"/>
        </w:rPr>
        <w:t xml:space="preserve"> and women. The presented results were based on the accurate measures of both PA and </w:t>
      </w:r>
      <w:r w:rsidR="009D0066">
        <w:rPr>
          <w:lang w:val="en-US"/>
        </w:rPr>
        <w:t>physical performance</w:t>
      </w:r>
      <w:r>
        <w:rPr>
          <w:lang w:val="en-US"/>
        </w:rPr>
        <w:t>, which can be costly and time-consuming. Thus, their feasibility in large population studies and practical settings may be limited. However, we have reported a strong positive association between PA and its subcategories and physical performance among older people. Thus, it is possible that promoting PA among older people should be prioritized in future to enable independent life </w:t>
      </w:r>
      <w:r>
        <w:rPr>
          <w:lang w:val="en-GB"/>
        </w:rPr>
        <w:t xml:space="preserve">and compression of morbidity. In this cross-sectional study we were unable to define causal relationships between the PA and </w:t>
      </w:r>
      <w:r>
        <w:rPr>
          <w:lang w:val="en-GB"/>
        </w:rPr>
        <w:lastRenderedPageBreak/>
        <w:t>physical performance, however, i</w:t>
      </w:r>
      <w:r>
        <w:rPr>
          <w:lang w:val="en-US"/>
        </w:rPr>
        <w:t>t is possible that promoting PA among older people can support independent life due to the better physical fitness</w:t>
      </w:r>
      <w:r>
        <w:rPr>
          <w:lang w:val="en-GB"/>
        </w:rPr>
        <w:t>. Future prospective studies are, however, required to clarify </w:t>
      </w:r>
      <w:r w:rsidRPr="00900A2F">
        <w:rPr>
          <w:lang w:val="en-GB"/>
        </w:rPr>
        <w:t>causal relationships between the PA and physical performance among older people. </w:t>
      </w:r>
    </w:p>
    <w:p w14:paraId="5F2E4171" w14:textId="2FCB2C34" w:rsidR="00DA0998" w:rsidRPr="00104731" w:rsidRDefault="00DA0998" w:rsidP="00DA0998">
      <w:pPr>
        <w:pStyle w:val="Heading2"/>
        <w:rPr>
          <w14:textOutline w14:w="9525" w14:cap="rnd" w14:cmpd="sng" w14:algn="ctr">
            <w14:noFill/>
            <w14:prstDash w14:val="solid"/>
            <w14:bevel/>
          </w14:textOutline>
        </w:rPr>
      </w:pPr>
      <w:r w:rsidRPr="00104731">
        <w:rPr>
          <w14:textOutline w14:w="9525" w14:cap="rnd" w14:cmpd="sng" w14:algn="ctr">
            <w14:noFill/>
            <w14:prstDash w14:val="solid"/>
            <w14:bevel/>
          </w14:textOutline>
        </w:rPr>
        <w:t xml:space="preserve">Key points: </w:t>
      </w:r>
    </w:p>
    <w:p w14:paraId="0C917DB8" w14:textId="189B7BEE" w:rsidR="00DA0998" w:rsidRPr="00104731" w:rsidRDefault="00DA0998" w:rsidP="00DA0998">
      <w:pPr>
        <w:pStyle w:val="ListParagraph"/>
        <w:numPr>
          <w:ilvl w:val="0"/>
          <w:numId w:val="1"/>
        </w:numPr>
        <w:rPr>
          <w:rFonts w:cs="Arial"/>
          <w14:textOutline w14:w="9525" w14:cap="rnd" w14:cmpd="sng" w14:algn="ctr">
            <w14:noFill/>
            <w14:prstDash w14:val="solid"/>
            <w14:bevel/>
          </w14:textOutline>
        </w:rPr>
      </w:pPr>
      <w:r w:rsidRPr="00104731">
        <w:rPr>
          <w:rFonts w:cs="Arial"/>
          <w14:textOutline w14:w="9525" w14:cap="rnd" w14:cmpd="sng" w14:algn="ctr">
            <w14:noFill/>
            <w14:prstDash w14:val="solid"/>
            <w14:bevel/>
          </w14:textOutline>
        </w:rPr>
        <w:t xml:space="preserve">Objectively measured </w:t>
      </w:r>
      <w:r>
        <w:rPr>
          <w:rFonts w:cs="Arial"/>
          <w14:textOutline w14:w="9525" w14:cap="rnd" w14:cmpd="sng" w14:algn="ctr">
            <w14:noFill/>
            <w14:prstDash w14:val="solid"/>
            <w14:bevel/>
          </w14:textOutline>
        </w:rPr>
        <w:t xml:space="preserve">total daily </w:t>
      </w:r>
      <w:r w:rsidRPr="00104731">
        <w:rPr>
          <w:rFonts w:cs="Arial"/>
          <w14:textOutline w14:w="9525" w14:cap="rnd" w14:cmpd="sng" w14:algn="ctr">
            <w14:noFill/>
            <w14:prstDash w14:val="solid"/>
            <w14:bevel/>
          </w14:textOutline>
        </w:rPr>
        <w:t xml:space="preserve">physical activity </w:t>
      </w:r>
      <w:r w:rsidRPr="007611E5">
        <w:rPr>
          <w:rFonts w:cs="Arial"/>
          <w14:textOutline w14:w="9525" w14:cap="rnd" w14:cmpd="sng" w14:algn="ctr">
            <w14:noFill/>
            <w14:prstDash w14:val="solid"/>
            <w14:bevel/>
          </w14:textOutline>
        </w:rPr>
        <w:t>in</w:t>
      </w:r>
      <w:r w:rsidRPr="00104731">
        <w:rPr>
          <w:rFonts w:cs="Arial"/>
          <w14:textOutline w14:w="9525" w14:cap="rnd" w14:cmpd="sng" w14:algn="ctr">
            <w14:noFill/>
            <w14:prstDash w14:val="solid"/>
            <w14:bevel/>
          </w14:textOutline>
        </w:rPr>
        <w:t xml:space="preserve"> </w:t>
      </w:r>
      <w:r w:rsidR="002F2E0F">
        <w:rPr>
          <w:rFonts w:cs="Arial"/>
          <w14:textOutline w14:w="9525" w14:cap="rnd" w14:cmpd="sng" w14:algn="ctr">
            <w14:noFill/>
            <w14:prstDash w14:val="solid"/>
            <w14:bevel/>
          </w14:textOutline>
        </w:rPr>
        <w:t>older</w:t>
      </w:r>
      <w:r w:rsidRPr="00104731">
        <w:rPr>
          <w:rFonts w:cs="Arial"/>
          <w14:textOutline w14:w="9525" w14:cap="rnd" w14:cmpd="sng" w14:algn="ctr">
            <w14:noFill/>
            <w14:prstDash w14:val="solid"/>
            <w14:bevel/>
          </w14:textOutline>
        </w:rPr>
        <w:t xml:space="preserve"> people was positively associated with physical</w:t>
      </w:r>
      <w:r>
        <w:rPr>
          <w:rFonts w:cs="Arial"/>
          <w14:textOutline w14:w="9525" w14:cap="rnd" w14:cmpd="sng" w14:algn="ctr">
            <w14:noFill/>
            <w14:prstDash w14:val="solid"/>
            <w14:bevel/>
          </w14:textOutline>
        </w:rPr>
        <w:t xml:space="preserve"> </w:t>
      </w:r>
      <w:r w:rsidR="002F2E0F">
        <w:rPr>
          <w:rFonts w:cs="Arial"/>
          <w14:textOutline w14:w="9525" w14:cap="rnd" w14:cmpd="sng" w14:algn="ctr">
            <w14:noFill/>
            <w14:prstDash w14:val="solid"/>
            <w14:bevel/>
          </w14:textOutline>
        </w:rPr>
        <w:t>performance</w:t>
      </w:r>
      <w:r w:rsidRPr="007611E5">
        <w:rPr>
          <w:rFonts w:cs="Arial"/>
          <w14:textOutline w14:w="9525" w14:cap="rnd" w14:cmpd="sng" w14:algn="ctr">
            <w14:noFill/>
            <w14:prstDash w14:val="solid"/>
            <w14:bevel/>
          </w14:textOutline>
        </w:rPr>
        <w:t xml:space="preserve"> </w:t>
      </w:r>
      <w:r w:rsidRPr="00104731">
        <w:rPr>
          <w:rFonts w:cs="Arial"/>
          <w14:textOutline w14:w="9525" w14:cap="rnd" w14:cmpd="sng" w14:algn="ctr">
            <w14:noFill/>
            <w14:prstDash w14:val="solid"/>
            <w14:bevel/>
          </w14:textOutline>
        </w:rPr>
        <w:t>tested with SFT.</w:t>
      </w:r>
    </w:p>
    <w:p w14:paraId="4490C460" w14:textId="77777777" w:rsidR="00DA0998" w:rsidRPr="00104731" w:rsidRDefault="00DA0998" w:rsidP="00DA0998">
      <w:pPr>
        <w:pStyle w:val="ListParagraph"/>
        <w:numPr>
          <w:ilvl w:val="0"/>
          <w:numId w:val="1"/>
        </w:numPr>
        <w:rPr>
          <w:rFonts w:cs="Arial"/>
          <w14:textOutline w14:w="9525" w14:cap="rnd" w14:cmpd="sng" w14:algn="ctr">
            <w14:noFill/>
            <w14:prstDash w14:val="solid"/>
            <w14:bevel/>
          </w14:textOutline>
        </w:rPr>
      </w:pPr>
      <w:r w:rsidRPr="00104731">
        <w:rPr>
          <w:rFonts w:cs="Arial"/>
          <w14:textOutline w14:w="9525" w14:cap="rnd" w14:cmpd="sng" w14:algn="ctr">
            <w14:noFill/>
            <w14:prstDash w14:val="solid"/>
            <w14:bevel/>
          </w14:textOutline>
        </w:rPr>
        <w:t>Both light PA and MVPA were positively associated with the overall SFT score.</w:t>
      </w:r>
    </w:p>
    <w:p w14:paraId="00CA6A20" w14:textId="5A4B278F" w:rsidR="00DA0998" w:rsidRPr="00104731" w:rsidRDefault="00DA0998" w:rsidP="00DA0998">
      <w:pPr>
        <w:pStyle w:val="ListParagraph"/>
        <w:numPr>
          <w:ilvl w:val="0"/>
          <w:numId w:val="1"/>
        </w:numPr>
        <w:rPr>
          <w:rFonts w:cs="Arial"/>
          <w14:textOutline w14:w="9525" w14:cap="rnd" w14:cmpd="sng" w14:algn="ctr">
            <w14:noFill/>
            <w14:prstDash w14:val="solid"/>
            <w14:bevel/>
          </w14:textOutline>
        </w:rPr>
      </w:pPr>
      <w:r w:rsidRPr="00104731">
        <w:rPr>
          <w:rFonts w:cs="Arial"/>
          <w14:textOutline w14:w="9525" w14:cap="rnd" w14:cmpd="sng" w14:algn="ctr">
            <w14:noFill/>
            <w14:prstDash w14:val="solid"/>
            <w14:bevel/>
          </w14:textOutline>
        </w:rPr>
        <w:t>The volume of physical activity was</w:t>
      </w:r>
      <w:r>
        <w:rPr>
          <w:rFonts w:cs="Arial"/>
          <w14:textOutline w14:w="9525" w14:cap="rnd" w14:cmpd="sng" w14:algn="ctr">
            <w14:noFill/>
            <w14:prstDash w14:val="solid"/>
            <w14:bevel/>
          </w14:textOutline>
        </w:rPr>
        <w:t xml:space="preserve"> most</w:t>
      </w:r>
      <w:r w:rsidRPr="00104731">
        <w:rPr>
          <w:rFonts w:cs="Arial"/>
          <w14:textOutline w14:w="9525" w14:cap="rnd" w14:cmpd="sng" w14:algn="ctr">
            <w14:noFill/>
            <w14:prstDash w14:val="solid"/>
            <w14:bevel/>
          </w14:textOutline>
        </w:rPr>
        <w:t xml:space="preserve"> stron</w:t>
      </w:r>
      <w:r>
        <w:rPr>
          <w:rFonts w:cs="Arial"/>
          <w14:textOutline w14:w="9525" w14:cap="rnd" w14:cmpd="sng" w14:algn="ctr">
            <w14:noFill/>
            <w14:prstDash w14:val="solid"/>
            <w14:bevel/>
          </w14:textOutline>
        </w:rPr>
        <w:t>gly</w:t>
      </w:r>
      <w:r w:rsidRPr="00104731">
        <w:rPr>
          <w:rFonts w:cs="Arial"/>
          <w14:textOutline w14:w="9525" w14:cap="rnd" w14:cmpd="sng" w14:algn="ctr">
            <w14:noFill/>
            <w14:prstDash w14:val="solid"/>
            <w14:bevel/>
          </w14:textOutline>
        </w:rPr>
        <w:t xml:space="preserve"> associated with the six</w:t>
      </w:r>
      <w:r w:rsidR="002F2E0F">
        <w:rPr>
          <w:rFonts w:cs="Arial"/>
          <w14:textOutline w14:w="9525" w14:cap="rnd" w14:cmpd="sng" w14:algn="ctr">
            <w14:noFill/>
            <w14:prstDash w14:val="solid"/>
            <w14:bevel/>
          </w14:textOutline>
        </w:rPr>
        <w:t>-</w:t>
      </w:r>
      <w:r w:rsidRPr="00104731">
        <w:rPr>
          <w:rFonts w:cs="Arial"/>
          <w14:textOutline w14:w="9525" w14:cap="rnd" w14:cmpd="sng" w14:algn="ctr">
            <w14:noFill/>
            <w14:prstDash w14:val="solid"/>
            <w14:bevel/>
          </w14:textOutline>
        </w:rPr>
        <w:t xml:space="preserve">minute walk </w:t>
      </w:r>
      <w:r>
        <w:rPr>
          <w:rFonts w:cs="Arial"/>
          <w14:textOutline w14:w="9525" w14:cap="rnd" w14:cmpd="sng" w14:algn="ctr">
            <w14:noFill/>
            <w14:prstDash w14:val="solid"/>
            <w14:bevel/>
          </w14:textOutline>
        </w:rPr>
        <w:t xml:space="preserve">test </w:t>
      </w:r>
      <w:r w:rsidRPr="00104731">
        <w:rPr>
          <w:rFonts w:cs="Arial"/>
          <w14:textOutline w14:w="9525" w14:cap="rnd" w14:cmpd="sng" w14:algn="ctr">
            <w14:noFill/>
            <w14:prstDash w14:val="solid"/>
            <w14:bevel/>
          </w14:textOutline>
        </w:rPr>
        <w:t>component of SFT.</w:t>
      </w:r>
    </w:p>
    <w:p w14:paraId="084615F6" w14:textId="77777777" w:rsidR="00525AC9" w:rsidRPr="008B4E68" w:rsidRDefault="00525AC9" w:rsidP="00DA0998">
      <w:pPr>
        <w:pBdr>
          <w:bottom w:val="single" w:sz="6" w:space="1" w:color="auto"/>
        </w:pBdr>
        <w:rPr>
          <w:rFonts w:cs="Arial"/>
          <w:lang w:val="en-GB"/>
        </w:rPr>
        <w:sectPr w:rsidR="00525AC9" w:rsidRPr="008B4E68" w:rsidSect="000F25F8">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134" w:header="709" w:footer="709" w:gutter="0"/>
          <w:cols w:space="708"/>
          <w:docGrid w:linePitch="360"/>
        </w:sectPr>
      </w:pPr>
    </w:p>
    <w:p w14:paraId="2B62BD79" w14:textId="45CE42F6" w:rsidR="00DA0998" w:rsidRPr="00D07C0F" w:rsidRDefault="00DA0998">
      <w:pPr>
        <w:rPr>
          <w:color w:val="131413"/>
          <w:lang w:val="en-US"/>
        </w:rPr>
      </w:pPr>
    </w:p>
    <w:p w14:paraId="6123510B" w14:textId="77777777" w:rsidR="008646A5" w:rsidRPr="00A773F2" w:rsidRDefault="008646A5" w:rsidP="008646A5">
      <w:pPr>
        <w:pStyle w:val="NormalWeb"/>
        <w:jc w:val="center"/>
        <w:rPr>
          <w:rFonts w:ascii="Arial" w:hAnsi="Arial" w:cs="Arial"/>
          <w:sz w:val="22"/>
        </w:rPr>
      </w:pPr>
      <w:r w:rsidRPr="00A773F2">
        <w:rPr>
          <w:rFonts w:ascii="Arial" w:hAnsi="Arial" w:cs="Arial"/>
          <w:sz w:val="22"/>
        </w:rPr>
        <w:t>References</w:t>
      </w:r>
    </w:p>
    <w:p w14:paraId="22E90F01" w14:textId="77777777" w:rsidR="008646A5" w:rsidRPr="00A773F2" w:rsidRDefault="008646A5" w:rsidP="008646A5">
      <w:pPr>
        <w:pStyle w:val="NormalWeb"/>
        <w:rPr>
          <w:rFonts w:ascii="Arial" w:hAnsi="Arial" w:cs="Arial"/>
          <w:sz w:val="22"/>
        </w:rPr>
      </w:pPr>
      <w:r w:rsidRPr="00A773F2">
        <w:rPr>
          <w:rFonts w:ascii="Arial" w:hAnsi="Arial" w:cs="Arial"/>
          <w:sz w:val="22"/>
        </w:rPr>
        <w:t>1. Geirsdottir OG, Arnarson A, Briem K, Ramel A, Tomasson K, Jonsson PV, et al. Physical function predicts improvement in quality of life in elderly Icelanders after 12 weeks of resistance exercise. J Nutr Health Aging. 2012 Jan;16(1):62-6.</w:t>
      </w:r>
    </w:p>
    <w:p w14:paraId="61F16471" w14:textId="77777777" w:rsidR="008646A5" w:rsidRPr="00A773F2" w:rsidRDefault="008646A5" w:rsidP="008646A5">
      <w:pPr>
        <w:pStyle w:val="NormalWeb"/>
        <w:rPr>
          <w:rFonts w:ascii="Arial" w:hAnsi="Arial" w:cs="Arial"/>
          <w:sz w:val="22"/>
        </w:rPr>
      </w:pPr>
      <w:r w:rsidRPr="00A773F2">
        <w:rPr>
          <w:rFonts w:ascii="Arial" w:hAnsi="Arial" w:cs="Arial"/>
          <w:sz w:val="22"/>
        </w:rPr>
        <w:t>2. Fried LP, Guralnik JM. Disability in older adults: evidence regarding significance, etiology, and risk. J Am Geriatr Soc. 1997 Jan;45(1):92-100.</w:t>
      </w:r>
    </w:p>
    <w:p w14:paraId="04A71D0B" w14:textId="77777777" w:rsidR="008646A5" w:rsidRPr="00A773F2" w:rsidRDefault="008646A5" w:rsidP="008646A5">
      <w:pPr>
        <w:pStyle w:val="NormalWeb"/>
        <w:rPr>
          <w:rFonts w:ascii="Arial" w:hAnsi="Arial" w:cs="Arial"/>
          <w:sz w:val="22"/>
        </w:rPr>
      </w:pPr>
      <w:r w:rsidRPr="00A773F2">
        <w:rPr>
          <w:rFonts w:ascii="Arial" w:hAnsi="Arial" w:cs="Arial"/>
          <w:sz w:val="22"/>
        </w:rPr>
        <w:t>3. WHO. Global recommendations on physical activity for health. . 2010:7.</w:t>
      </w:r>
    </w:p>
    <w:p w14:paraId="1A11E83E" w14:textId="77777777" w:rsidR="008646A5" w:rsidRPr="00A773F2" w:rsidRDefault="008646A5" w:rsidP="008646A5">
      <w:pPr>
        <w:pStyle w:val="NormalWeb"/>
        <w:rPr>
          <w:rFonts w:ascii="Arial" w:hAnsi="Arial" w:cs="Arial"/>
          <w:sz w:val="22"/>
        </w:rPr>
      </w:pPr>
      <w:r w:rsidRPr="00A773F2">
        <w:rPr>
          <w:rFonts w:ascii="Arial" w:hAnsi="Arial" w:cs="Arial"/>
          <w:sz w:val="22"/>
        </w:rPr>
        <w:t>4. Lee IM, Shiroma EJ, Lobelo F, Puska P, Blair SN, Katzmarzyk PT, et al. Effect of physical inactivity on major non-communicable diseases worldwide: an analysis of burden of disease and life expectancy. Lancet. 2012 Jul 21;380(9838):219-29.</w:t>
      </w:r>
    </w:p>
    <w:p w14:paraId="3C0763AC" w14:textId="77777777" w:rsidR="008646A5" w:rsidRPr="00A773F2" w:rsidRDefault="008646A5" w:rsidP="008646A5">
      <w:pPr>
        <w:pStyle w:val="NormalWeb"/>
        <w:rPr>
          <w:rFonts w:ascii="Arial" w:hAnsi="Arial" w:cs="Arial"/>
          <w:sz w:val="22"/>
        </w:rPr>
      </w:pPr>
      <w:r w:rsidRPr="00A773F2">
        <w:rPr>
          <w:rFonts w:ascii="Arial" w:hAnsi="Arial" w:cs="Arial"/>
          <w:sz w:val="22"/>
        </w:rPr>
        <w:t>5. Hamer M, Stamatakis E. Low-dose physical activity attenuates cardiovascular disease mortality in men and women with clustered metabolic risk factors. Circ Cardiovasc Qual Outcomes. 2012 Jul 1;5(4):494-9.</w:t>
      </w:r>
    </w:p>
    <w:p w14:paraId="02878C76" w14:textId="77777777" w:rsidR="008646A5" w:rsidRPr="00A773F2" w:rsidRDefault="008646A5" w:rsidP="008646A5">
      <w:pPr>
        <w:pStyle w:val="NormalWeb"/>
        <w:rPr>
          <w:rFonts w:ascii="Arial" w:hAnsi="Arial" w:cs="Arial"/>
          <w:sz w:val="22"/>
        </w:rPr>
      </w:pPr>
      <w:r w:rsidRPr="00A773F2">
        <w:rPr>
          <w:rFonts w:ascii="Arial" w:hAnsi="Arial" w:cs="Arial"/>
          <w:sz w:val="22"/>
        </w:rPr>
        <w:t>6. Middleton LE, Barnes DE, Lui LY, Yaffe K. Physical activity over the life course and its association with cognitive performance and impairment in old age. J Am Geriatr Soc. 2010 Jul;58(7):1322-6.</w:t>
      </w:r>
    </w:p>
    <w:p w14:paraId="25244F94" w14:textId="77777777" w:rsidR="008646A5" w:rsidRPr="00A773F2" w:rsidRDefault="008646A5" w:rsidP="008646A5">
      <w:pPr>
        <w:pStyle w:val="NormalWeb"/>
        <w:rPr>
          <w:rFonts w:ascii="Arial" w:hAnsi="Arial" w:cs="Arial"/>
          <w:sz w:val="22"/>
        </w:rPr>
      </w:pPr>
      <w:r w:rsidRPr="00A773F2">
        <w:rPr>
          <w:rFonts w:ascii="Arial" w:hAnsi="Arial" w:cs="Arial"/>
          <w:sz w:val="22"/>
        </w:rPr>
        <w:t>7. Peels DA, Hoogenveen RR, Feenstra TL, Golsteijn RH, Bolman C, Mudde AN, et al. Long-term health outcomes and cost-effectiveness of a computer-tailored physical activity intervention among people aged over fifty: modelling the results of a randomized controlled trial. BMC Public Health. 2014 Oct 23;14:1099,2458-14-1099.</w:t>
      </w:r>
    </w:p>
    <w:p w14:paraId="7D0DA9E5" w14:textId="77777777" w:rsidR="008646A5" w:rsidRPr="00A773F2" w:rsidRDefault="008646A5" w:rsidP="008646A5">
      <w:pPr>
        <w:pStyle w:val="NormalWeb"/>
        <w:rPr>
          <w:rFonts w:ascii="Arial" w:hAnsi="Arial" w:cs="Arial"/>
          <w:sz w:val="22"/>
        </w:rPr>
      </w:pPr>
      <w:r w:rsidRPr="00A773F2">
        <w:rPr>
          <w:rFonts w:ascii="Arial" w:hAnsi="Arial" w:cs="Arial"/>
          <w:sz w:val="22"/>
        </w:rPr>
        <w:t>8. Rowe JW, Kahn RL. Successful aging. Gerontologist. 1997 Aug;37(4):433-40.</w:t>
      </w:r>
    </w:p>
    <w:p w14:paraId="103BB1D4" w14:textId="77777777" w:rsidR="008646A5" w:rsidRPr="00A773F2" w:rsidRDefault="008646A5" w:rsidP="008646A5">
      <w:pPr>
        <w:pStyle w:val="NormalWeb"/>
        <w:rPr>
          <w:rFonts w:ascii="Arial" w:hAnsi="Arial" w:cs="Arial"/>
          <w:sz w:val="22"/>
        </w:rPr>
      </w:pPr>
      <w:r w:rsidRPr="00A773F2">
        <w:rPr>
          <w:rFonts w:ascii="Arial" w:hAnsi="Arial" w:cs="Arial"/>
          <w:sz w:val="22"/>
        </w:rPr>
        <w:t>9. Paterson DH, Warburton DE. Physical activity and functional limitations in older adults: a systematic review related to Canada's Physical Activity Guidelines. Int J Behav Nutr Phys Act. 2010 May 11;7:38,5868-7-38.</w:t>
      </w:r>
    </w:p>
    <w:p w14:paraId="5D21BA67" w14:textId="77777777" w:rsidR="008646A5" w:rsidRPr="00A773F2" w:rsidRDefault="008646A5" w:rsidP="008646A5">
      <w:pPr>
        <w:pStyle w:val="NormalWeb"/>
        <w:rPr>
          <w:rFonts w:ascii="Arial" w:hAnsi="Arial" w:cs="Arial"/>
          <w:sz w:val="22"/>
        </w:rPr>
      </w:pPr>
      <w:r w:rsidRPr="00A773F2">
        <w:rPr>
          <w:rFonts w:ascii="Arial" w:hAnsi="Arial" w:cs="Arial"/>
          <w:sz w:val="22"/>
        </w:rPr>
        <w:t>10. Rikli RE, Jones JC. Development and Validation of a Functional Fitness Test for Community-Residing Older Adults. . Journal of Aging and Physical Activity. 1999;7(2):129,-161.</w:t>
      </w:r>
    </w:p>
    <w:p w14:paraId="71F8D795" w14:textId="77777777" w:rsidR="008646A5" w:rsidRPr="00A773F2" w:rsidRDefault="008646A5" w:rsidP="008646A5">
      <w:pPr>
        <w:pStyle w:val="NormalWeb"/>
        <w:rPr>
          <w:rFonts w:ascii="Arial" w:hAnsi="Arial" w:cs="Arial"/>
          <w:sz w:val="22"/>
        </w:rPr>
      </w:pPr>
      <w:r w:rsidRPr="00A773F2">
        <w:rPr>
          <w:rFonts w:ascii="Arial" w:hAnsi="Arial" w:cs="Arial"/>
          <w:sz w:val="22"/>
        </w:rPr>
        <w:t>11. Cooper R, Kuh D, Cooper C, Gale CR, Lawlor DA, Matthews F, et al. Objective measures of physical capability and subsequent health: a systematic review. Age Ageing. 2011 Jan;40(1):14-23.</w:t>
      </w:r>
    </w:p>
    <w:p w14:paraId="72736AFC" w14:textId="77777777" w:rsidR="008646A5" w:rsidRPr="00A773F2" w:rsidRDefault="008646A5" w:rsidP="008646A5">
      <w:pPr>
        <w:pStyle w:val="NormalWeb"/>
        <w:rPr>
          <w:rFonts w:ascii="Arial" w:hAnsi="Arial" w:cs="Arial"/>
          <w:sz w:val="22"/>
        </w:rPr>
      </w:pPr>
      <w:r w:rsidRPr="00A773F2">
        <w:rPr>
          <w:rFonts w:ascii="Arial" w:hAnsi="Arial" w:cs="Arial"/>
          <w:sz w:val="22"/>
        </w:rPr>
        <w:t>12. Patel KV, Coppin AK, Manini TM, Lauretani F, Bandinelli S, Ferrucci L, et al. Midlife physical activity and mobility in older age: The InCHIANTI study. Am J Prev Med. 2006 Sep;31(3):217-24.</w:t>
      </w:r>
    </w:p>
    <w:p w14:paraId="50DC2920" w14:textId="77777777" w:rsidR="008646A5" w:rsidRPr="00A773F2" w:rsidRDefault="008646A5" w:rsidP="008646A5">
      <w:pPr>
        <w:pStyle w:val="NormalWeb"/>
        <w:rPr>
          <w:rFonts w:ascii="Arial" w:hAnsi="Arial" w:cs="Arial"/>
          <w:sz w:val="22"/>
        </w:rPr>
      </w:pPr>
      <w:r w:rsidRPr="00A773F2">
        <w:rPr>
          <w:rFonts w:ascii="Arial" w:hAnsi="Arial" w:cs="Arial"/>
          <w:sz w:val="22"/>
        </w:rPr>
        <w:t>13. Pluijm SM, Visser M, Puts MT, Dik MG, Schalk BW, van Schoor NM, et al. Unhealthy lifestyles during the life course: association with physical decline in late life. Aging Clin Exp Res. 2007 Feb;19(1):75-83.</w:t>
      </w:r>
    </w:p>
    <w:p w14:paraId="292299E7" w14:textId="77777777" w:rsidR="008646A5" w:rsidRPr="00A773F2" w:rsidRDefault="008646A5" w:rsidP="008646A5">
      <w:pPr>
        <w:pStyle w:val="NormalWeb"/>
        <w:rPr>
          <w:rFonts w:ascii="Arial" w:hAnsi="Arial" w:cs="Arial"/>
          <w:sz w:val="22"/>
        </w:rPr>
      </w:pPr>
      <w:r w:rsidRPr="00A773F2">
        <w:rPr>
          <w:rFonts w:ascii="Arial" w:hAnsi="Arial" w:cs="Arial"/>
          <w:sz w:val="22"/>
        </w:rPr>
        <w:t>14. Gulsvik AK, Thelle DS, Samuelsen SO, Myrstad M, Mowe M, Wyller TB. Ageing, physical activity and mortality--a 42-year follow-up study. Int J Epidemiol. 2012 Apr;41(2):521-30.</w:t>
      </w:r>
    </w:p>
    <w:p w14:paraId="2F76EE43" w14:textId="77777777" w:rsidR="008646A5" w:rsidRPr="00A773F2" w:rsidRDefault="008646A5" w:rsidP="008646A5">
      <w:pPr>
        <w:pStyle w:val="NormalWeb"/>
        <w:rPr>
          <w:rFonts w:ascii="Arial" w:hAnsi="Arial" w:cs="Arial"/>
          <w:sz w:val="22"/>
        </w:rPr>
      </w:pPr>
      <w:r w:rsidRPr="00A773F2">
        <w:rPr>
          <w:rFonts w:ascii="Arial" w:hAnsi="Arial" w:cs="Arial"/>
          <w:sz w:val="22"/>
        </w:rPr>
        <w:lastRenderedPageBreak/>
        <w:t>15. Almeida GJ, Wert DM, Brower KS, Piva SR. Validity of physical activity measures in individuals after total knee arthroplasty. Arch Phys Med Rehabil. 2015 Mar;96(3):524-31.</w:t>
      </w:r>
    </w:p>
    <w:p w14:paraId="009F54CA" w14:textId="77777777" w:rsidR="008646A5" w:rsidRPr="00A773F2" w:rsidRDefault="008646A5" w:rsidP="008646A5">
      <w:pPr>
        <w:pStyle w:val="NormalWeb"/>
        <w:rPr>
          <w:rFonts w:ascii="Arial" w:hAnsi="Arial" w:cs="Arial"/>
          <w:sz w:val="22"/>
        </w:rPr>
      </w:pPr>
      <w:r w:rsidRPr="00A773F2">
        <w:rPr>
          <w:rFonts w:ascii="Arial" w:hAnsi="Arial" w:cs="Arial"/>
          <w:sz w:val="22"/>
        </w:rPr>
        <w:t>16. Eriksson JG, Osmond C, Kajantie E, Forsen TJ, Barker DJ. Patterns of growth among children who later develop type 2 diabetes or its risk factors. Diabetologia. 2006 Dec;49(12):2853-8.</w:t>
      </w:r>
    </w:p>
    <w:p w14:paraId="7B8471B1" w14:textId="77777777" w:rsidR="008646A5" w:rsidRPr="00A773F2" w:rsidRDefault="008646A5" w:rsidP="008646A5">
      <w:pPr>
        <w:pStyle w:val="NormalWeb"/>
        <w:rPr>
          <w:rFonts w:ascii="Arial" w:hAnsi="Arial" w:cs="Arial"/>
          <w:sz w:val="22"/>
        </w:rPr>
      </w:pPr>
      <w:r w:rsidRPr="00A773F2">
        <w:rPr>
          <w:rFonts w:ascii="Arial" w:hAnsi="Arial" w:cs="Arial"/>
          <w:sz w:val="22"/>
        </w:rPr>
        <w:t>17. St-Onge M, Mignault D, Allison DB, Rabasa-Lhoret R. Evaluation of a portable device to measure daily energy expenditure in free-living adults. Am J Clin Nutr. 2007 Mar;85(3):742-9.</w:t>
      </w:r>
    </w:p>
    <w:p w14:paraId="230A88DE" w14:textId="77777777" w:rsidR="008646A5" w:rsidRPr="00A773F2" w:rsidRDefault="008646A5" w:rsidP="008646A5">
      <w:pPr>
        <w:pStyle w:val="NormalWeb"/>
        <w:rPr>
          <w:rFonts w:ascii="Arial" w:hAnsi="Arial" w:cs="Arial"/>
          <w:sz w:val="22"/>
          <w:lang w:val="fi-FI"/>
        </w:rPr>
      </w:pPr>
      <w:r w:rsidRPr="00A773F2">
        <w:rPr>
          <w:rFonts w:ascii="Arial" w:hAnsi="Arial" w:cs="Arial"/>
          <w:sz w:val="22"/>
        </w:rPr>
        <w:t xml:space="preserve">18. Colbert LH, Matthews CE, Havighurst TC, Kim K, Schoeller DA. Comparative validity of physical activity measures in older adults. Med Sci Sports Exerc. </w:t>
      </w:r>
      <w:r w:rsidRPr="00A773F2">
        <w:rPr>
          <w:rFonts w:ascii="Arial" w:hAnsi="Arial" w:cs="Arial"/>
          <w:sz w:val="22"/>
          <w:lang w:val="fi-FI"/>
        </w:rPr>
        <w:t>2011 May;43(5):867-76.</w:t>
      </w:r>
    </w:p>
    <w:p w14:paraId="66316B83" w14:textId="77777777" w:rsidR="008646A5" w:rsidRPr="00A773F2" w:rsidRDefault="008646A5" w:rsidP="008646A5">
      <w:pPr>
        <w:pStyle w:val="NormalWeb"/>
        <w:rPr>
          <w:rFonts w:ascii="Arial" w:hAnsi="Arial" w:cs="Arial"/>
          <w:sz w:val="22"/>
        </w:rPr>
      </w:pPr>
      <w:r w:rsidRPr="00A773F2">
        <w:rPr>
          <w:rFonts w:ascii="Arial" w:hAnsi="Arial" w:cs="Arial"/>
          <w:sz w:val="22"/>
          <w:lang w:val="fi-FI"/>
        </w:rPr>
        <w:t xml:space="preserve">19. Wasenius N, Venojarvi M, Manderoos S, Surakka J, Lindholm H, Heinonen OJ, et al. </w:t>
      </w:r>
      <w:r w:rsidRPr="00A773F2">
        <w:rPr>
          <w:rFonts w:ascii="Arial" w:hAnsi="Arial" w:cs="Arial"/>
          <w:sz w:val="22"/>
        </w:rPr>
        <w:t>Unfavorable influence of structured exercise program on total leisure-time physical activity. Scand J Med Sci Sports. 2014 Apr;24(2):404-13.</w:t>
      </w:r>
    </w:p>
    <w:p w14:paraId="10F669A4" w14:textId="77777777" w:rsidR="008646A5" w:rsidRPr="00A773F2" w:rsidRDefault="008646A5" w:rsidP="008646A5">
      <w:pPr>
        <w:pStyle w:val="NormalWeb"/>
        <w:rPr>
          <w:rFonts w:ascii="Arial" w:hAnsi="Arial" w:cs="Arial"/>
          <w:sz w:val="22"/>
        </w:rPr>
      </w:pPr>
      <w:r w:rsidRPr="00A773F2">
        <w:rPr>
          <w:rFonts w:ascii="Arial" w:hAnsi="Arial" w:cs="Arial"/>
          <w:sz w:val="22"/>
        </w:rPr>
        <w:t>20. Ainsworth BE, Haskell WL, Whitt MC, Irwin ML, Swartz AM, Strath SJ, et al. Compendium of physical activities: an update of activity codes and MET intensities. Med Sci Sports Exerc. 2000 Sep;32(9 Suppl):S498-504.</w:t>
      </w:r>
    </w:p>
    <w:p w14:paraId="583F8561" w14:textId="77777777" w:rsidR="008646A5" w:rsidRPr="00A773F2" w:rsidRDefault="008646A5" w:rsidP="008646A5">
      <w:pPr>
        <w:pStyle w:val="NormalWeb"/>
        <w:rPr>
          <w:rFonts w:ascii="Arial" w:hAnsi="Arial" w:cs="Arial"/>
          <w:sz w:val="22"/>
        </w:rPr>
      </w:pPr>
      <w:r w:rsidRPr="00A773F2">
        <w:rPr>
          <w:rFonts w:ascii="Arial" w:hAnsi="Arial" w:cs="Arial"/>
          <w:sz w:val="22"/>
        </w:rPr>
        <w:t>21. Pamoukdjian F, Paillaud E, Zelek L, Laurent M, Levy V, Landre T, et al. Measurement of gait speed in older adults to identify complications associated with frailty: A systematic review. J Geriatr Oncol. 2015 Nov;6(6):484-96.</w:t>
      </w:r>
    </w:p>
    <w:p w14:paraId="17ECBB0C" w14:textId="77777777" w:rsidR="008646A5" w:rsidRPr="00A773F2" w:rsidRDefault="008646A5" w:rsidP="008646A5">
      <w:pPr>
        <w:pStyle w:val="NormalWeb"/>
        <w:rPr>
          <w:rFonts w:ascii="Arial" w:hAnsi="Arial" w:cs="Arial"/>
          <w:sz w:val="22"/>
        </w:rPr>
      </w:pPr>
      <w:r w:rsidRPr="00A773F2">
        <w:rPr>
          <w:rFonts w:ascii="Arial" w:hAnsi="Arial" w:cs="Arial"/>
          <w:sz w:val="22"/>
        </w:rPr>
        <w:t>22. Svantesson U, Jones J, Wolbert K, Alricsson M. Impact of Physical Activity on the Self-Perceived Quality of Life in Non-Frail Older Adults. J Clin Med Res. 2015 Aug;7(8):585-93.</w:t>
      </w:r>
    </w:p>
    <w:p w14:paraId="6FD088E8" w14:textId="77777777" w:rsidR="008646A5" w:rsidRPr="00A773F2" w:rsidRDefault="008646A5" w:rsidP="008646A5">
      <w:pPr>
        <w:pStyle w:val="NormalWeb"/>
        <w:rPr>
          <w:rFonts w:ascii="Arial" w:hAnsi="Arial" w:cs="Arial"/>
          <w:sz w:val="22"/>
        </w:rPr>
      </w:pPr>
      <w:r w:rsidRPr="00A773F2">
        <w:rPr>
          <w:rFonts w:ascii="Arial" w:hAnsi="Arial" w:cs="Arial"/>
          <w:sz w:val="22"/>
        </w:rPr>
        <w:t>23. Hamer M, Lavoie KL, Bacon SL. Taking up physical activity in later life and healthy ageing: the English longitudinal study of ageing. Br J Sports Med. 2014 Feb;48(3):239-43.</w:t>
      </w:r>
    </w:p>
    <w:p w14:paraId="2E212C69" w14:textId="77777777" w:rsidR="008646A5" w:rsidRPr="00A773F2" w:rsidRDefault="008646A5" w:rsidP="008646A5">
      <w:pPr>
        <w:pStyle w:val="NormalWeb"/>
        <w:rPr>
          <w:rFonts w:ascii="Arial" w:hAnsi="Arial" w:cs="Arial"/>
          <w:sz w:val="22"/>
        </w:rPr>
      </w:pPr>
      <w:r w:rsidRPr="00A773F2">
        <w:rPr>
          <w:rFonts w:ascii="Arial" w:hAnsi="Arial" w:cs="Arial"/>
          <w:sz w:val="22"/>
        </w:rPr>
        <w:t>24. Gudlaugsson J, Gudnason V, Aspelund T, Siggeirsdottir K, Olafsdottir AS, Jonsson PV, et al. Effects of a 6-month multimodal training intervention on retention of functional fitness in older adults: a randomized-controlled cross-over design. Int J Behav Nutr Phys Act. 2012 Sep 10;9:107,5868-9-107.</w:t>
      </w:r>
    </w:p>
    <w:p w14:paraId="49B182FF" w14:textId="77777777" w:rsidR="008646A5" w:rsidRPr="00A773F2" w:rsidRDefault="008646A5" w:rsidP="008646A5">
      <w:pPr>
        <w:pStyle w:val="NormalWeb"/>
        <w:rPr>
          <w:rFonts w:ascii="Arial" w:hAnsi="Arial" w:cs="Arial"/>
          <w:sz w:val="22"/>
        </w:rPr>
      </w:pPr>
      <w:r w:rsidRPr="00A773F2">
        <w:rPr>
          <w:rFonts w:ascii="Arial" w:hAnsi="Arial" w:cs="Arial"/>
          <w:sz w:val="22"/>
        </w:rPr>
        <w:t>25. Newman AB, Simonsick EM, Naydeck BL, Boudreau RM, Kritchevsky SB, Nevitt MC, et al. Association of long-distance corridor walk performance with mortality, cardiovascular disease, mobility limitation, and disability. JAMA. 2006 May 3;295(17):2018-26.</w:t>
      </w:r>
    </w:p>
    <w:p w14:paraId="39FB5C16" w14:textId="77777777" w:rsidR="008646A5" w:rsidRPr="00A773F2" w:rsidRDefault="008646A5" w:rsidP="008646A5">
      <w:pPr>
        <w:pStyle w:val="NormalWeb"/>
        <w:rPr>
          <w:rFonts w:ascii="Arial" w:hAnsi="Arial" w:cs="Arial"/>
          <w:sz w:val="22"/>
        </w:rPr>
      </w:pPr>
      <w:r w:rsidRPr="00A773F2">
        <w:rPr>
          <w:rFonts w:ascii="Arial" w:hAnsi="Arial" w:cs="Arial"/>
          <w:sz w:val="22"/>
        </w:rPr>
        <w:t>26. Fruin ML, Rankin JW. Validity of a multi-sensor armband in estimating rest and exercise energy expenditure. Med Sci Sports Exerc. 2004 Jun;36(6):1063-9.</w:t>
      </w:r>
    </w:p>
    <w:p w14:paraId="7B087D99" w14:textId="77777777" w:rsidR="008646A5" w:rsidRPr="00A773F2" w:rsidRDefault="008646A5" w:rsidP="008646A5">
      <w:pPr>
        <w:pStyle w:val="NormalWeb"/>
        <w:rPr>
          <w:rFonts w:ascii="Arial" w:hAnsi="Arial" w:cs="Arial"/>
          <w:sz w:val="22"/>
        </w:rPr>
      </w:pPr>
      <w:r w:rsidRPr="00A773F2">
        <w:rPr>
          <w:rFonts w:ascii="Arial" w:hAnsi="Arial" w:cs="Arial"/>
          <w:sz w:val="22"/>
        </w:rPr>
        <w:t>27. Perala MM, von Bonsdorff M, Mannisto S, Salonen MK, Simonen M, Kanerva N, et al. A healthy Nordic diet and physical performance in old age: findings from the longitudinal Helsinki Birth Cohort Study. Br J Nutr. 2016 Jan 20:1-9.</w:t>
      </w:r>
    </w:p>
    <w:p w14:paraId="060B972A" w14:textId="77777777" w:rsidR="00DA0998" w:rsidRPr="00D07C0F" w:rsidRDefault="00DA0998" w:rsidP="00DA0998">
      <w:pPr>
        <w:rPr>
          <w:color w:val="131413"/>
          <w:lang w:val="en-US"/>
        </w:rPr>
      </w:pPr>
      <w:r w:rsidRPr="00D07C0F">
        <w:rPr>
          <w:color w:val="131413"/>
          <w:lang w:val="en-US"/>
        </w:rPr>
        <w:br w:type="page"/>
      </w:r>
    </w:p>
    <w:p w14:paraId="015FF240" w14:textId="3633EF5D" w:rsidR="004336A7" w:rsidRPr="000D6E7D" w:rsidRDefault="004336A7" w:rsidP="009469DD">
      <w:pPr>
        <w:pStyle w:val="Taulukonalakommentit"/>
        <w:rPr>
          <w:lang w:val="en-US"/>
        </w:rPr>
      </w:pPr>
      <w:r w:rsidRPr="000D6E7D">
        <w:rPr>
          <w:b/>
          <w:lang w:val="en-US"/>
        </w:rPr>
        <w:lastRenderedPageBreak/>
        <w:t xml:space="preserve">Table </w:t>
      </w:r>
      <w:r w:rsidRPr="004F0823">
        <w:rPr>
          <w:b/>
        </w:rPr>
        <w:fldChar w:fldCharType="begin"/>
      </w:r>
      <w:r w:rsidRPr="000D6E7D">
        <w:rPr>
          <w:b/>
          <w:lang w:val="en-US"/>
        </w:rPr>
        <w:instrText xml:space="preserve"> SEQ Table \* ARABIC </w:instrText>
      </w:r>
      <w:r w:rsidRPr="004F0823">
        <w:rPr>
          <w:b/>
        </w:rPr>
        <w:fldChar w:fldCharType="separate"/>
      </w:r>
      <w:r w:rsidR="00291B26" w:rsidRPr="000D6E7D">
        <w:rPr>
          <w:b/>
          <w:noProof/>
          <w:lang w:val="en-US"/>
        </w:rPr>
        <w:t>1</w:t>
      </w:r>
      <w:r w:rsidRPr="004F0823">
        <w:rPr>
          <w:b/>
        </w:rPr>
        <w:fldChar w:fldCharType="end"/>
      </w:r>
      <w:r w:rsidRPr="000D6E7D">
        <w:rPr>
          <w:lang w:val="en-US"/>
        </w:rPr>
        <w:t xml:space="preserve"> </w:t>
      </w:r>
      <w:r w:rsidR="00DF273D" w:rsidRPr="000D6E7D">
        <w:rPr>
          <w:lang w:val="en-US"/>
        </w:rPr>
        <w:t>Subjects’ c</w:t>
      </w:r>
      <w:r w:rsidRPr="000D6E7D">
        <w:rPr>
          <w:lang w:val="en-US"/>
        </w:rPr>
        <w:t xml:space="preserve">haracteristics, </w:t>
      </w:r>
      <w:r w:rsidR="003616CA" w:rsidRPr="000D6E7D">
        <w:rPr>
          <w:lang w:val="en-US"/>
        </w:rPr>
        <w:t xml:space="preserve">SFT </w:t>
      </w:r>
      <w:r w:rsidRPr="000D6E7D">
        <w:rPr>
          <w:lang w:val="en-US"/>
        </w:rPr>
        <w:t>results and the volume and duration of</w:t>
      </w:r>
      <w:r w:rsidR="00DF273D" w:rsidRPr="000D6E7D">
        <w:rPr>
          <w:lang w:val="en-US"/>
        </w:rPr>
        <w:t xml:space="preserve"> objectively measured</w:t>
      </w:r>
      <w:r w:rsidRPr="000D6E7D">
        <w:rPr>
          <w:lang w:val="en-US"/>
        </w:rPr>
        <w:t xml:space="preserve"> physical activity</w:t>
      </w:r>
      <w:r w:rsidR="00DF273D" w:rsidRPr="000D6E7D">
        <w:rPr>
          <w:lang w:val="en-US"/>
        </w:rPr>
        <w:t>.</w:t>
      </w:r>
    </w:p>
    <w:tbl>
      <w:tblPr>
        <w:tblStyle w:val="Vriksluettelotaulukko6-korostus31"/>
        <w:tblpPr w:leftFromText="141" w:rightFromText="141" w:vertAnchor="text" w:horzAnchor="margin" w:tblpY="5"/>
        <w:tblW w:w="5000" w:type="pct"/>
        <w:tblLook w:val="04A0" w:firstRow="1" w:lastRow="0" w:firstColumn="1" w:lastColumn="0" w:noHBand="0" w:noVBand="1"/>
      </w:tblPr>
      <w:tblGrid>
        <w:gridCol w:w="3217"/>
        <w:gridCol w:w="845"/>
        <w:gridCol w:w="1019"/>
        <w:gridCol w:w="1017"/>
        <w:gridCol w:w="1017"/>
        <w:gridCol w:w="1017"/>
        <w:gridCol w:w="873"/>
        <w:gridCol w:w="849"/>
      </w:tblGrid>
      <w:tr w:rsidR="0023784E" w:rsidRPr="004F0823" w14:paraId="63ECA06F" w14:textId="77777777" w:rsidTr="007611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2" w:type="pct"/>
            <w:tcBorders>
              <w:bottom w:val="nil"/>
            </w:tcBorders>
          </w:tcPr>
          <w:p w14:paraId="58DD315A" w14:textId="77777777" w:rsidR="0023784E" w:rsidRPr="005F36E4" w:rsidRDefault="0023784E" w:rsidP="00DD5992">
            <w:pPr>
              <w:pStyle w:val="Taulukonsislt"/>
              <w:framePr w:hSpace="0" w:wrap="auto" w:vAnchor="margin" w:hAnchor="text" w:yAlign="inline"/>
            </w:pPr>
          </w:p>
        </w:tc>
        <w:tc>
          <w:tcPr>
            <w:tcW w:w="946" w:type="pct"/>
            <w:gridSpan w:val="2"/>
            <w:tcBorders>
              <w:bottom w:val="nil"/>
            </w:tcBorders>
          </w:tcPr>
          <w:p w14:paraId="38BB3B10" w14:textId="77777777" w:rsidR="0023784E" w:rsidRPr="004F0823" w:rsidRDefault="006433D1" w:rsidP="00DD5992">
            <w:pPr>
              <w:pStyle w:val="Taulukonsislt"/>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4F0823">
              <w:t>Total (</w:t>
            </w:r>
            <w:r w:rsidRPr="004F0823">
              <w:rPr>
                <w:i/>
              </w:rPr>
              <w:t>N=695</w:t>
            </w:r>
            <w:r w:rsidRPr="004F0823">
              <w:t>)</w:t>
            </w:r>
            <w:r w:rsidR="0048437E" w:rsidRPr="004F0823">
              <w:t xml:space="preserve">          </w:t>
            </w:r>
          </w:p>
        </w:tc>
        <w:tc>
          <w:tcPr>
            <w:tcW w:w="1032" w:type="pct"/>
            <w:gridSpan w:val="2"/>
            <w:tcBorders>
              <w:bottom w:val="nil"/>
            </w:tcBorders>
          </w:tcPr>
          <w:p w14:paraId="01D5B34D" w14:textId="77777777" w:rsidR="0023784E" w:rsidRPr="004F0823" w:rsidRDefault="006433D1" w:rsidP="00DD5992">
            <w:pPr>
              <w:pStyle w:val="Taulukonsislt"/>
              <w:framePr w:hSpace="0" w:wrap="auto" w:vAnchor="margin" w:hAnchor="text" w:yAlign="inline"/>
              <w:cnfStyle w:val="100000000000" w:firstRow="1" w:lastRow="0" w:firstColumn="0" w:lastColumn="0" w:oddVBand="0" w:evenVBand="0" w:oddHBand="0" w:evenHBand="0" w:firstRowFirstColumn="0" w:firstRowLastColumn="0" w:lastRowFirstColumn="0" w:lastRowLastColumn="0"/>
            </w:pPr>
            <w:r w:rsidRPr="004F0823">
              <w:t>Men (</w:t>
            </w:r>
            <w:r w:rsidRPr="004F0823">
              <w:rPr>
                <w:i/>
              </w:rPr>
              <w:t>N=316</w:t>
            </w:r>
            <w:r w:rsidRPr="004F0823">
              <w:t>)</w:t>
            </w:r>
          </w:p>
        </w:tc>
        <w:tc>
          <w:tcPr>
            <w:tcW w:w="959" w:type="pct"/>
            <w:gridSpan w:val="2"/>
            <w:tcBorders>
              <w:bottom w:val="nil"/>
            </w:tcBorders>
          </w:tcPr>
          <w:p w14:paraId="7E4C4651" w14:textId="77777777" w:rsidR="0023784E" w:rsidRPr="004F0823" w:rsidRDefault="006433D1" w:rsidP="00DD5992">
            <w:pPr>
              <w:pStyle w:val="Taulukonsisl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i/>
              </w:rPr>
            </w:pPr>
            <w:r w:rsidRPr="004F0823">
              <w:t>Women (</w:t>
            </w:r>
            <w:r w:rsidRPr="004F0823">
              <w:rPr>
                <w:i/>
              </w:rPr>
              <w:t>N=379</w:t>
            </w:r>
            <w:r w:rsidRPr="004F0823">
              <w:t>)</w:t>
            </w:r>
          </w:p>
        </w:tc>
        <w:tc>
          <w:tcPr>
            <w:tcW w:w="431" w:type="pct"/>
            <w:tcBorders>
              <w:bottom w:val="nil"/>
            </w:tcBorders>
          </w:tcPr>
          <w:p w14:paraId="4F329E38" w14:textId="77777777" w:rsidR="0023784E" w:rsidRPr="004F0823" w:rsidRDefault="0023784E" w:rsidP="00DD5992">
            <w:pPr>
              <w:pStyle w:val="Taulukonsislt"/>
              <w:framePr w:hSpace="0" w:wrap="auto" w:vAnchor="margin" w:hAnchor="text" w:yAlign="inline"/>
              <w:cnfStyle w:val="100000000000" w:firstRow="1" w:lastRow="0" w:firstColumn="0" w:lastColumn="0" w:oddVBand="0" w:evenVBand="0" w:oddHBand="0" w:evenHBand="0" w:firstRowFirstColumn="0" w:firstRowLastColumn="0" w:lastRowFirstColumn="0" w:lastRowLastColumn="0"/>
              <w:rPr>
                <w:i/>
              </w:rPr>
            </w:pPr>
          </w:p>
        </w:tc>
      </w:tr>
      <w:tr w:rsidR="0023784E" w:rsidRPr="004F0823" w14:paraId="217D77DB" w14:textId="77777777" w:rsidTr="007611E5">
        <w:tc>
          <w:tcPr>
            <w:cnfStyle w:val="001000000000" w:firstRow="0" w:lastRow="0" w:firstColumn="1" w:lastColumn="0" w:oddVBand="0" w:evenVBand="0" w:oddHBand="0" w:evenHBand="0" w:firstRowFirstColumn="0" w:firstRowLastColumn="0" w:lastRowFirstColumn="0" w:lastRowLastColumn="0"/>
            <w:tcW w:w="1632" w:type="pct"/>
            <w:tcBorders>
              <w:top w:val="nil"/>
              <w:bottom w:val="single" w:sz="4" w:space="0" w:color="auto"/>
            </w:tcBorders>
          </w:tcPr>
          <w:p w14:paraId="07D3B737" w14:textId="77777777" w:rsidR="0023784E" w:rsidRPr="004F0823" w:rsidRDefault="0023784E" w:rsidP="00DD5992">
            <w:pPr>
              <w:pStyle w:val="Taulukonsislt"/>
              <w:framePr w:hSpace="0" w:wrap="auto" w:vAnchor="margin" w:hAnchor="text" w:yAlign="inline"/>
            </w:pPr>
            <w:r w:rsidRPr="004F0823">
              <w:t>Characteristics</w:t>
            </w:r>
          </w:p>
        </w:tc>
        <w:tc>
          <w:tcPr>
            <w:tcW w:w="429" w:type="pct"/>
            <w:tcBorders>
              <w:top w:val="nil"/>
              <w:bottom w:val="single" w:sz="4" w:space="0" w:color="auto"/>
            </w:tcBorders>
          </w:tcPr>
          <w:p w14:paraId="60287A3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Mean</w:t>
            </w:r>
          </w:p>
        </w:tc>
        <w:tc>
          <w:tcPr>
            <w:tcW w:w="517" w:type="pct"/>
            <w:tcBorders>
              <w:top w:val="nil"/>
              <w:bottom w:val="single" w:sz="4" w:space="0" w:color="auto"/>
            </w:tcBorders>
          </w:tcPr>
          <w:p w14:paraId="0BE67E6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SD</w:t>
            </w:r>
          </w:p>
        </w:tc>
        <w:tc>
          <w:tcPr>
            <w:tcW w:w="516" w:type="pct"/>
            <w:tcBorders>
              <w:top w:val="nil"/>
              <w:bottom w:val="single" w:sz="4" w:space="0" w:color="auto"/>
            </w:tcBorders>
          </w:tcPr>
          <w:p w14:paraId="248B319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Mean</w:t>
            </w:r>
          </w:p>
        </w:tc>
        <w:tc>
          <w:tcPr>
            <w:tcW w:w="516" w:type="pct"/>
            <w:tcBorders>
              <w:top w:val="nil"/>
              <w:bottom w:val="single" w:sz="4" w:space="0" w:color="auto"/>
            </w:tcBorders>
          </w:tcPr>
          <w:p w14:paraId="0AFB673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SD</w:t>
            </w:r>
          </w:p>
        </w:tc>
        <w:tc>
          <w:tcPr>
            <w:tcW w:w="516" w:type="pct"/>
            <w:tcBorders>
              <w:top w:val="nil"/>
              <w:bottom w:val="single" w:sz="4" w:space="0" w:color="auto"/>
            </w:tcBorders>
          </w:tcPr>
          <w:p w14:paraId="69B2B91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Mean</w:t>
            </w:r>
          </w:p>
        </w:tc>
        <w:tc>
          <w:tcPr>
            <w:tcW w:w="443" w:type="pct"/>
            <w:tcBorders>
              <w:top w:val="nil"/>
              <w:bottom w:val="single" w:sz="4" w:space="0" w:color="auto"/>
            </w:tcBorders>
          </w:tcPr>
          <w:p w14:paraId="0874601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SD</w:t>
            </w:r>
          </w:p>
        </w:tc>
        <w:tc>
          <w:tcPr>
            <w:tcW w:w="431" w:type="pct"/>
            <w:tcBorders>
              <w:top w:val="nil"/>
              <w:bottom w:val="single" w:sz="4" w:space="0" w:color="auto"/>
            </w:tcBorders>
          </w:tcPr>
          <w:p w14:paraId="7397CC17" w14:textId="25C9FB9B" w:rsidR="0023784E" w:rsidRPr="004F0823" w:rsidRDefault="006433D1"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rPr>
                <w:i/>
              </w:rPr>
              <w:t>p</w:t>
            </w:r>
            <w:r w:rsidR="00317E52" w:rsidRPr="004F0823">
              <w:rPr>
                <w:vertAlign w:val="superscript"/>
              </w:rPr>
              <w:t>a</w:t>
            </w:r>
          </w:p>
        </w:tc>
      </w:tr>
      <w:tr w:rsidR="0023784E" w:rsidRPr="004F0823" w14:paraId="4EB6175B" w14:textId="77777777" w:rsidTr="009469DD">
        <w:tc>
          <w:tcPr>
            <w:cnfStyle w:val="001000000000" w:firstRow="0" w:lastRow="0" w:firstColumn="1" w:lastColumn="0" w:oddVBand="0" w:evenVBand="0" w:oddHBand="0" w:evenHBand="0" w:firstRowFirstColumn="0" w:firstRowLastColumn="0" w:lastRowFirstColumn="0" w:lastRowLastColumn="0"/>
            <w:tcW w:w="1632" w:type="pct"/>
            <w:tcBorders>
              <w:top w:val="single" w:sz="4" w:space="0" w:color="auto"/>
            </w:tcBorders>
            <w:vAlign w:val="center"/>
          </w:tcPr>
          <w:p w14:paraId="656BDCCE" w14:textId="77777777" w:rsidR="0023784E" w:rsidRPr="004F0823" w:rsidRDefault="0023784E" w:rsidP="00DD5992">
            <w:pPr>
              <w:pStyle w:val="Taulukonsislt"/>
              <w:framePr w:hSpace="0" w:wrap="auto" w:vAnchor="margin" w:hAnchor="text" w:yAlign="inline"/>
            </w:pPr>
            <w:r w:rsidRPr="004F0823">
              <w:t>Age (years)</w:t>
            </w:r>
          </w:p>
        </w:tc>
        <w:tc>
          <w:tcPr>
            <w:tcW w:w="429" w:type="pct"/>
            <w:tcBorders>
              <w:top w:val="single" w:sz="4" w:space="0" w:color="auto"/>
            </w:tcBorders>
            <w:vAlign w:val="center"/>
          </w:tcPr>
          <w:p w14:paraId="7602B94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70.7</w:t>
            </w:r>
          </w:p>
        </w:tc>
        <w:tc>
          <w:tcPr>
            <w:tcW w:w="517" w:type="pct"/>
            <w:tcBorders>
              <w:top w:val="single" w:sz="4" w:space="0" w:color="auto"/>
            </w:tcBorders>
            <w:vAlign w:val="center"/>
          </w:tcPr>
          <w:p w14:paraId="618ACEF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w:t>
            </w:r>
          </w:p>
        </w:tc>
        <w:tc>
          <w:tcPr>
            <w:tcW w:w="516" w:type="pct"/>
            <w:tcBorders>
              <w:top w:val="single" w:sz="4" w:space="0" w:color="auto"/>
            </w:tcBorders>
            <w:vAlign w:val="center"/>
          </w:tcPr>
          <w:p w14:paraId="253251B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70.6</w:t>
            </w:r>
          </w:p>
        </w:tc>
        <w:tc>
          <w:tcPr>
            <w:tcW w:w="516" w:type="pct"/>
            <w:tcBorders>
              <w:top w:val="single" w:sz="4" w:space="0" w:color="auto"/>
            </w:tcBorders>
            <w:vAlign w:val="center"/>
          </w:tcPr>
          <w:p w14:paraId="1675A29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2.6</w:t>
            </w:r>
          </w:p>
        </w:tc>
        <w:tc>
          <w:tcPr>
            <w:tcW w:w="516" w:type="pct"/>
            <w:tcBorders>
              <w:top w:val="single" w:sz="4" w:space="0" w:color="auto"/>
            </w:tcBorders>
            <w:vAlign w:val="center"/>
          </w:tcPr>
          <w:p w14:paraId="39EC1F4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70.8</w:t>
            </w:r>
          </w:p>
        </w:tc>
        <w:tc>
          <w:tcPr>
            <w:tcW w:w="443" w:type="pct"/>
            <w:tcBorders>
              <w:top w:val="single" w:sz="4" w:space="0" w:color="auto"/>
            </w:tcBorders>
            <w:vAlign w:val="center"/>
          </w:tcPr>
          <w:p w14:paraId="3279A4A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w:t>
            </w:r>
          </w:p>
        </w:tc>
        <w:tc>
          <w:tcPr>
            <w:tcW w:w="431" w:type="pct"/>
            <w:tcBorders>
              <w:top w:val="single" w:sz="4" w:space="0" w:color="auto"/>
            </w:tcBorders>
            <w:vAlign w:val="center"/>
          </w:tcPr>
          <w:p w14:paraId="7FADEEFB" w14:textId="77777777" w:rsidR="0023784E" w:rsidRPr="004F0823" w:rsidRDefault="00DA3705"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0.311</w:t>
            </w:r>
          </w:p>
        </w:tc>
      </w:tr>
      <w:tr w:rsidR="0023784E" w:rsidRPr="004F0823" w14:paraId="0F8AE937"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3AAAE7C8" w14:textId="77777777" w:rsidR="0023784E" w:rsidRPr="004F0823" w:rsidRDefault="0023784E" w:rsidP="00DD5992">
            <w:pPr>
              <w:pStyle w:val="Taulukonsislt"/>
              <w:framePr w:hSpace="0" w:wrap="auto" w:vAnchor="margin" w:hAnchor="text" w:yAlign="inline"/>
            </w:pPr>
            <w:r w:rsidRPr="004F0823">
              <w:t>Weight (kg)</w:t>
            </w:r>
          </w:p>
        </w:tc>
        <w:tc>
          <w:tcPr>
            <w:tcW w:w="429" w:type="pct"/>
            <w:vAlign w:val="center"/>
          </w:tcPr>
          <w:p w14:paraId="498AC8C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76.9</w:t>
            </w:r>
          </w:p>
        </w:tc>
        <w:tc>
          <w:tcPr>
            <w:tcW w:w="517" w:type="pct"/>
            <w:vAlign w:val="center"/>
          </w:tcPr>
          <w:p w14:paraId="6C468F4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14.1</w:t>
            </w:r>
          </w:p>
        </w:tc>
        <w:tc>
          <w:tcPr>
            <w:tcW w:w="516" w:type="pct"/>
            <w:vAlign w:val="center"/>
          </w:tcPr>
          <w:p w14:paraId="69F38E1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83.3</w:t>
            </w:r>
          </w:p>
        </w:tc>
        <w:tc>
          <w:tcPr>
            <w:tcW w:w="516" w:type="pct"/>
            <w:vAlign w:val="center"/>
          </w:tcPr>
          <w:p w14:paraId="3F9E75B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13.0</w:t>
            </w:r>
          </w:p>
        </w:tc>
        <w:tc>
          <w:tcPr>
            <w:tcW w:w="516" w:type="pct"/>
            <w:vAlign w:val="center"/>
          </w:tcPr>
          <w:p w14:paraId="3D16251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71.6</w:t>
            </w:r>
          </w:p>
        </w:tc>
        <w:tc>
          <w:tcPr>
            <w:tcW w:w="443" w:type="pct"/>
            <w:vAlign w:val="center"/>
          </w:tcPr>
          <w:p w14:paraId="159A1E7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12.7</w:t>
            </w:r>
          </w:p>
        </w:tc>
        <w:tc>
          <w:tcPr>
            <w:tcW w:w="431" w:type="pct"/>
            <w:vAlign w:val="center"/>
          </w:tcPr>
          <w:p w14:paraId="548F10F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40198F78"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5F21A4C4" w14:textId="77777777" w:rsidR="0023784E" w:rsidRPr="004F0823" w:rsidRDefault="0023784E" w:rsidP="00DD5992">
            <w:pPr>
              <w:pStyle w:val="Taulukonsislt"/>
              <w:framePr w:hSpace="0" w:wrap="auto" w:vAnchor="margin" w:hAnchor="text" w:yAlign="inline"/>
            </w:pPr>
            <w:r w:rsidRPr="004F0823">
              <w:t>Height (cm)</w:t>
            </w:r>
          </w:p>
        </w:tc>
        <w:tc>
          <w:tcPr>
            <w:tcW w:w="429" w:type="pct"/>
            <w:vAlign w:val="center"/>
          </w:tcPr>
          <w:p w14:paraId="28BADF7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168.7</w:t>
            </w:r>
          </w:p>
        </w:tc>
        <w:tc>
          <w:tcPr>
            <w:tcW w:w="517" w:type="pct"/>
            <w:vAlign w:val="center"/>
          </w:tcPr>
          <w:p w14:paraId="241C10D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9.1</w:t>
            </w:r>
          </w:p>
        </w:tc>
        <w:tc>
          <w:tcPr>
            <w:tcW w:w="516" w:type="pct"/>
            <w:vAlign w:val="center"/>
          </w:tcPr>
          <w:p w14:paraId="63BF6A9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176.3</w:t>
            </w:r>
          </w:p>
        </w:tc>
        <w:tc>
          <w:tcPr>
            <w:tcW w:w="516" w:type="pct"/>
            <w:vAlign w:val="center"/>
          </w:tcPr>
          <w:p w14:paraId="4169E6B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6.1</w:t>
            </w:r>
          </w:p>
        </w:tc>
        <w:tc>
          <w:tcPr>
            <w:tcW w:w="516" w:type="pct"/>
            <w:vAlign w:val="center"/>
          </w:tcPr>
          <w:p w14:paraId="16C4167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162.4</w:t>
            </w:r>
          </w:p>
        </w:tc>
        <w:tc>
          <w:tcPr>
            <w:tcW w:w="443" w:type="pct"/>
            <w:vAlign w:val="center"/>
          </w:tcPr>
          <w:p w14:paraId="7B9E272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5.7</w:t>
            </w:r>
          </w:p>
        </w:tc>
        <w:tc>
          <w:tcPr>
            <w:tcW w:w="431" w:type="pct"/>
            <w:vAlign w:val="center"/>
          </w:tcPr>
          <w:p w14:paraId="7D51A450" w14:textId="77777777" w:rsidR="0023784E" w:rsidRPr="004F0823" w:rsidRDefault="00DA3705"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39885D45"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FA1B28E" w14:textId="77777777" w:rsidR="0023784E" w:rsidRPr="004F0823" w:rsidRDefault="0023784E" w:rsidP="00DD5992">
            <w:pPr>
              <w:pStyle w:val="Taulukonsislt"/>
              <w:framePr w:hSpace="0" w:wrap="auto" w:vAnchor="margin" w:hAnchor="text" w:yAlign="inline"/>
            </w:pPr>
            <w:r w:rsidRPr="004F0823">
              <w:t>Body mass index (kg/m2)</w:t>
            </w:r>
          </w:p>
        </w:tc>
        <w:tc>
          <w:tcPr>
            <w:tcW w:w="429" w:type="pct"/>
            <w:vAlign w:val="center"/>
          </w:tcPr>
          <w:p w14:paraId="694BC1C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27.0</w:t>
            </w:r>
          </w:p>
        </w:tc>
        <w:tc>
          <w:tcPr>
            <w:tcW w:w="517" w:type="pct"/>
            <w:vAlign w:val="center"/>
          </w:tcPr>
          <w:p w14:paraId="1A5516F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4.4</w:t>
            </w:r>
          </w:p>
        </w:tc>
        <w:tc>
          <w:tcPr>
            <w:tcW w:w="516" w:type="pct"/>
            <w:vAlign w:val="center"/>
          </w:tcPr>
          <w:p w14:paraId="4D5E628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26.8</w:t>
            </w:r>
          </w:p>
        </w:tc>
        <w:tc>
          <w:tcPr>
            <w:tcW w:w="516" w:type="pct"/>
            <w:vAlign w:val="center"/>
          </w:tcPr>
          <w:p w14:paraId="38F7F29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3.8</w:t>
            </w:r>
          </w:p>
        </w:tc>
        <w:tc>
          <w:tcPr>
            <w:tcW w:w="516" w:type="pct"/>
            <w:vAlign w:val="center"/>
          </w:tcPr>
          <w:p w14:paraId="1B21B71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27.2</w:t>
            </w:r>
          </w:p>
        </w:tc>
        <w:tc>
          <w:tcPr>
            <w:tcW w:w="443" w:type="pct"/>
            <w:vAlign w:val="center"/>
          </w:tcPr>
          <w:p w14:paraId="77799DF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4.8</w:t>
            </w:r>
          </w:p>
        </w:tc>
        <w:tc>
          <w:tcPr>
            <w:tcW w:w="431" w:type="pct"/>
            <w:vAlign w:val="center"/>
          </w:tcPr>
          <w:p w14:paraId="0FAEA1F8" w14:textId="77777777" w:rsidR="0023784E" w:rsidRPr="004F0823" w:rsidRDefault="00DA3705"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0.242</w:t>
            </w:r>
          </w:p>
        </w:tc>
      </w:tr>
      <w:tr w:rsidR="0023784E" w:rsidRPr="004F0823" w14:paraId="20C8D673"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3F6EE00E" w14:textId="77777777" w:rsidR="0023784E" w:rsidRPr="004F0823" w:rsidRDefault="0023784E" w:rsidP="00DD5992">
            <w:pPr>
              <w:pStyle w:val="Taulukonsislt"/>
              <w:framePr w:hSpace="0" w:wrap="auto" w:vAnchor="margin" w:hAnchor="text" w:yAlign="inline"/>
            </w:pPr>
            <w:r w:rsidRPr="004F0823">
              <w:t>Lean body mass (kg)</w:t>
            </w:r>
          </w:p>
        </w:tc>
        <w:tc>
          <w:tcPr>
            <w:tcW w:w="429" w:type="pct"/>
            <w:vAlign w:val="center"/>
          </w:tcPr>
          <w:p w14:paraId="1B96579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54.0</w:t>
            </w:r>
          </w:p>
        </w:tc>
        <w:tc>
          <w:tcPr>
            <w:tcW w:w="517" w:type="pct"/>
            <w:vAlign w:val="center"/>
          </w:tcPr>
          <w:p w14:paraId="71AA57C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10.8</w:t>
            </w:r>
          </w:p>
        </w:tc>
        <w:tc>
          <w:tcPr>
            <w:tcW w:w="516" w:type="pct"/>
            <w:vAlign w:val="center"/>
          </w:tcPr>
          <w:p w14:paraId="2EF5472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63.5</w:t>
            </w:r>
          </w:p>
        </w:tc>
        <w:tc>
          <w:tcPr>
            <w:tcW w:w="516" w:type="pct"/>
            <w:vAlign w:val="center"/>
          </w:tcPr>
          <w:p w14:paraId="12B86EE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7.6</w:t>
            </w:r>
          </w:p>
        </w:tc>
        <w:tc>
          <w:tcPr>
            <w:tcW w:w="516" w:type="pct"/>
            <w:vAlign w:val="center"/>
          </w:tcPr>
          <w:p w14:paraId="488265E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46.1</w:t>
            </w:r>
          </w:p>
        </w:tc>
        <w:tc>
          <w:tcPr>
            <w:tcW w:w="443" w:type="pct"/>
            <w:vAlign w:val="center"/>
          </w:tcPr>
          <w:p w14:paraId="4D8D648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5.3</w:t>
            </w:r>
          </w:p>
        </w:tc>
        <w:tc>
          <w:tcPr>
            <w:tcW w:w="431" w:type="pct"/>
            <w:vAlign w:val="center"/>
          </w:tcPr>
          <w:p w14:paraId="44558B2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183016A8"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53D7CDD9" w14:textId="77777777" w:rsidR="0023784E" w:rsidRPr="004F0823" w:rsidRDefault="0023784E" w:rsidP="00DD5992">
            <w:pPr>
              <w:pStyle w:val="Taulukonsislt"/>
              <w:framePr w:hSpace="0" w:wrap="auto" w:vAnchor="margin" w:hAnchor="text" w:yAlign="inline"/>
            </w:pPr>
            <w:r w:rsidRPr="004F0823">
              <w:t>Body fat (%)</w:t>
            </w:r>
          </w:p>
        </w:tc>
        <w:tc>
          <w:tcPr>
            <w:tcW w:w="429" w:type="pct"/>
            <w:vAlign w:val="center"/>
          </w:tcPr>
          <w:p w14:paraId="1900D00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29.6</w:t>
            </w:r>
          </w:p>
        </w:tc>
        <w:tc>
          <w:tcPr>
            <w:tcW w:w="517" w:type="pct"/>
            <w:vAlign w:val="center"/>
          </w:tcPr>
          <w:p w14:paraId="4F39805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8.5</w:t>
            </w:r>
          </w:p>
        </w:tc>
        <w:tc>
          <w:tcPr>
            <w:tcW w:w="516" w:type="pct"/>
            <w:vAlign w:val="center"/>
          </w:tcPr>
          <w:p w14:paraId="6BFDAE1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23.3</w:t>
            </w:r>
          </w:p>
        </w:tc>
        <w:tc>
          <w:tcPr>
            <w:tcW w:w="516" w:type="pct"/>
            <w:vAlign w:val="center"/>
          </w:tcPr>
          <w:p w14:paraId="7E0BDD4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5.9</w:t>
            </w:r>
          </w:p>
        </w:tc>
        <w:tc>
          <w:tcPr>
            <w:tcW w:w="516" w:type="pct"/>
            <w:vAlign w:val="center"/>
          </w:tcPr>
          <w:p w14:paraId="2834C6A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34.8</w:t>
            </w:r>
          </w:p>
        </w:tc>
        <w:tc>
          <w:tcPr>
            <w:tcW w:w="443" w:type="pct"/>
            <w:vAlign w:val="center"/>
          </w:tcPr>
          <w:p w14:paraId="0BB5069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6.7</w:t>
            </w:r>
          </w:p>
        </w:tc>
        <w:tc>
          <w:tcPr>
            <w:tcW w:w="431" w:type="pct"/>
            <w:vAlign w:val="center"/>
          </w:tcPr>
          <w:p w14:paraId="3ACAFBF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7905A1FF"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07E1F72A" w14:textId="77777777" w:rsidR="0023784E" w:rsidRPr="004F0823" w:rsidRDefault="0023784E" w:rsidP="00DD5992">
            <w:pPr>
              <w:pStyle w:val="Taulukonsislt"/>
              <w:framePr w:hSpace="0" w:wrap="auto" w:vAnchor="margin" w:hAnchor="text" w:yAlign="inline"/>
            </w:pPr>
            <w:r w:rsidRPr="004F0823">
              <w:t>Smoking (years)</w:t>
            </w:r>
          </w:p>
        </w:tc>
        <w:tc>
          <w:tcPr>
            <w:tcW w:w="429" w:type="pct"/>
            <w:vAlign w:val="center"/>
          </w:tcPr>
          <w:p w14:paraId="02D3A85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11.3</w:t>
            </w:r>
          </w:p>
        </w:tc>
        <w:tc>
          <w:tcPr>
            <w:tcW w:w="517" w:type="pct"/>
            <w:vAlign w:val="center"/>
          </w:tcPr>
          <w:p w14:paraId="0CEE50F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16.5</w:t>
            </w:r>
          </w:p>
        </w:tc>
        <w:tc>
          <w:tcPr>
            <w:tcW w:w="516" w:type="pct"/>
            <w:vAlign w:val="center"/>
          </w:tcPr>
          <w:p w14:paraId="2DA536D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15.5</w:t>
            </w:r>
          </w:p>
        </w:tc>
        <w:tc>
          <w:tcPr>
            <w:tcW w:w="516" w:type="pct"/>
            <w:vAlign w:val="center"/>
          </w:tcPr>
          <w:p w14:paraId="3636243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17.7</w:t>
            </w:r>
          </w:p>
        </w:tc>
        <w:tc>
          <w:tcPr>
            <w:tcW w:w="516" w:type="pct"/>
            <w:vAlign w:val="center"/>
          </w:tcPr>
          <w:p w14:paraId="561883E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7.8</w:t>
            </w:r>
          </w:p>
        </w:tc>
        <w:tc>
          <w:tcPr>
            <w:tcW w:w="443" w:type="pct"/>
            <w:vAlign w:val="center"/>
          </w:tcPr>
          <w:p w14:paraId="0588E0F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14.6</w:t>
            </w:r>
          </w:p>
        </w:tc>
        <w:tc>
          <w:tcPr>
            <w:tcW w:w="431" w:type="pct"/>
            <w:vAlign w:val="center"/>
          </w:tcPr>
          <w:p w14:paraId="6F2BA92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53F2B66D"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6824A9A6" w14:textId="77777777" w:rsidR="0023784E" w:rsidRPr="004F0823" w:rsidRDefault="0023784E" w:rsidP="00DD5992">
            <w:pPr>
              <w:pStyle w:val="Taulukonsislt"/>
              <w:framePr w:hSpace="0" w:wrap="auto" w:vAnchor="margin" w:hAnchor="text" w:yAlign="inline"/>
            </w:pPr>
            <w:r w:rsidRPr="004F0823">
              <w:t xml:space="preserve">Years of fulltime studying </w:t>
            </w:r>
          </w:p>
        </w:tc>
        <w:tc>
          <w:tcPr>
            <w:tcW w:w="429" w:type="pct"/>
            <w:vAlign w:val="center"/>
          </w:tcPr>
          <w:p w14:paraId="618D227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12.6</w:t>
            </w:r>
          </w:p>
        </w:tc>
        <w:tc>
          <w:tcPr>
            <w:tcW w:w="517" w:type="pct"/>
            <w:vAlign w:val="center"/>
          </w:tcPr>
          <w:p w14:paraId="7E6F1A6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3.6</w:t>
            </w:r>
          </w:p>
        </w:tc>
        <w:tc>
          <w:tcPr>
            <w:tcW w:w="516" w:type="pct"/>
            <w:vAlign w:val="center"/>
          </w:tcPr>
          <w:p w14:paraId="0755851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12.9</w:t>
            </w:r>
          </w:p>
        </w:tc>
        <w:tc>
          <w:tcPr>
            <w:tcW w:w="516" w:type="pct"/>
            <w:vAlign w:val="center"/>
          </w:tcPr>
          <w:p w14:paraId="76E0885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3.8</w:t>
            </w:r>
          </w:p>
        </w:tc>
        <w:tc>
          <w:tcPr>
            <w:tcW w:w="516" w:type="pct"/>
            <w:vAlign w:val="center"/>
          </w:tcPr>
          <w:p w14:paraId="1EDA830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12.3</w:t>
            </w:r>
          </w:p>
        </w:tc>
        <w:tc>
          <w:tcPr>
            <w:tcW w:w="443" w:type="pct"/>
            <w:vAlign w:val="center"/>
          </w:tcPr>
          <w:p w14:paraId="3FE0E00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3.4</w:t>
            </w:r>
          </w:p>
        </w:tc>
        <w:tc>
          <w:tcPr>
            <w:tcW w:w="431" w:type="pct"/>
            <w:vAlign w:val="center"/>
          </w:tcPr>
          <w:p w14:paraId="30FF79D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0.024</w:t>
            </w:r>
          </w:p>
        </w:tc>
      </w:tr>
      <w:tr w:rsidR="0023784E" w:rsidRPr="004F0823" w14:paraId="5027C9FE"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14D54B5" w14:textId="77777777" w:rsidR="0023784E" w:rsidRPr="004F0823" w:rsidRDefault="0023784E" w:rsidP="00DD5992">
            <w:pPr>
              <w:pStyle w:val="Taulukonsislt"/>
              <w:framePr w:hSpace="0" w:wrap="auto" w:vAnchor="margin" w:hAnchor="text" w:yAlign="inline"/>
            </w:pPr>
            <w:r w:rsidRPr="004F0823">
              <w:t>SFT test results</w:t>
            </w:r>
          </w:p>
        </w:tc>
        <w:tc>
          <w:tcPr>
            <w:tcW w:w="429" w:type="pct"/>
            <w:vAlign w:val="center"/>
          </w:tcPr>
          <w:p w14:paraId="2EB766D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7" w:type="pct"/>
            <w:vAlign w:val="center"/>
          </w:tcPr>
          <w:p w14:paraId="4CF0293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vAlign w:val="center"/>
          </w:tcPr>
          <w:p w14:paraId="3469A27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vAlign w:val="center"/>
          </w:tcPr>
          <w:p w14:paraId="538A31E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vAlign w:val="center"/>
          </w:tcPr>
          <w:p w14:paraId="77AA3F9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43" w:type="pct"/>
            <w:vAlign w:val="center"/>
          </w:tcPr>
          <w:p w14:paraId="5957672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31" w:type="pct"/>
            <w:vAlign w:val="center"/>
          </w:tcPr>
          <w:p w14:paraId="091D9D4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747ED3B0"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17CF243" w14:textId="77777777" w:rsidR="0023784E" w:rsidRPr="004F0823" w:rsidRDefault="0023784E" w:rsidP="0080286C">
            <w:pPr>
              <w:pStyle w:val="Taulukonsislt"/>
              <w:framePr w:hSpace="0" w:wrap="auto" w:vAnchor="margin" w:hAnchor="text" w:yAlign="inline"/>
              <w:ind w:left="142"/>
            </w:pPr>
            <w:r w:rsidRPr="004F0823">
              <w:t>Sum Score (Contains 5 test)</w:t>
            </w:r>
          </w:p>
        </w:tc>
        <w:tc>
          <w:tcPr>
            <w:tcW w:w="429" w:type="pct"/>
            <w:vAlign w:val="center"/>
          </w:tcPr>
          <w:p w14:paraId="5166B7C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46.4</w:t>
            </w:r>
          </w:p>
        </w:tc>
        <w:tc>
          <w:tcPr>
            <w:tcW w:w="517" w:type="pct"/>
            <w:vAlign w:val="center"/>
          </w:tcPr>
          <w:p w14:paraId="6CA5130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17.5</w:t>
            </w:r>
          </w:p>
        </w:tc>
        <w:tc>
          <w:tcPr>
            <w:tcW w:w="516" w:type="pct"/>
            <w:vAlign w:val="center"/>
          </w:tcPr>
          <w:p w14:paraId="13D8B7B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43.7</w:t>
            </w:r>
          </w:p>
        </w:tc>
        <w:tc>
          <w:tcPr>
            <w:tcW w:w="516" w:type="pct"/>
            <w:vAlign w:val="center"/>
          </w:tcPr>
          <w:p w14:paraId="7C0B860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16.8</w:t>
            </w:r>
          </w:p>
        </w:tc>
        <w:tc>
          <w:tcPr>
            <w:tcW w:w="516" w:type="pct"/>
            <w:vAlign w:val="center"/>
          </w:tcPr>
          <w:p w14:paraId="612158A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48.7</w:t>
            </w:r>
          </w:p>
        </w:tc>
        <w:tc>
          <w:tcPr>
            <w:tcW w:w="443" w:type="pct"/>
            <w:vAlign w:val="center"/>
          </w:tcPr>
          <w:p w14:paraId="57534C7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17.8</w:t>
            </w:r>
          </w:p>
        </w:tc>
        <w:tc>
          <w:tcPr>
            <w:tcW w:w="431" w:type="pct"/>
            <w:vAlign w:val="center"/>
          </w:tcPr>
          <w:p w14:paraId="31AA7CB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71C84A71"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408C0006" w14:textId="77777777" w:rsidR="0023784E" w:rsidRPr="004F0823" w:rsidRDefault="0023784E" w:rsidP="0080286C">
            <w:pPr>
              <w:pStyle w:val="Taulukonsislt"/>
              <w:framePr w:hSpace="0" w:wrap="auto" w:vAnchor="margin" w:hAnchor="text" w:yAlign="inline"/>
              <w:ind w:left="142"/>
            </w:pPr>
            <w:r w:rsidRPr="004F0823">
              <w:t>Chair stand test result (n)</w:t>
            </w:r>
          </w:p>
        </w:tc>
        <w:tc>
          <w:tcPr>
            <w:tcW w:w="429" w:type="pct"/>
            <w:vAlign w:val="center"/>
          </w:tcPr>
          <w:p w14:paraId="55E9AE0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11.5</w:t>
            </w:r>
          </w:p>
        </w:tc>
        <w:tc>
          <w:tcPr>
            <w:tcW w:w="517" w:type="pct"/>
            <w:vAlign w:val="center"/>
          </w:tcPr>
          <w:p w14:paraId="00C6708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w:t>
            </w:r>
          </w:p>
        </w:tc>
        <w:tc>
          <w:tcPr>
            <w:tcW w:w="516" w:type="pct"/>
            <w:vAlign w:val="center"/>
          </w:tcPr>
          <w:p w14:paraId="57D7BC0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11.9</w:t>
            </w:r>
          </w:p>
        </w:tc>
        <w:tc>
          <w:tcPr>
            <w:tcW w:w="516" w:type="pct"/>
            <w:vAlign w:val="center"/>
          </w:tcPr>
          <w:p w14:paraId="0A55B30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2.2</w:t>
            </w:r>
          </w:p>
        </w:tc>
        <w:tc>
          <w:tcPr>
            <w:tcW w:w="516" w:type="pct"/>
            <w:vAlign w:val="center"/>
          </w:tcPr>
          <w:p w14:paraId="14C238B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11.1</w:t>
            </w:r>
          </w:p>
        </w:tc>
        <w:tc>
          <w:tcPr>
            <w:tcW w:w="443" w:type="pct"/>
            <w:vAlign w:val="center"/>
          </w:tcPr>
          <w:p w14:paraId="7A05784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w:t>
            </w:r>
          </w:p>
        </w:tc>
        <w:tc>
          <w:tcPr>
            <w:tcW w:w="431" w:type="pct"/>
            <w:vAlign w:val="center"/>
          </w:tcPr>
          <w:p w14:paraId="3EE4FCF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60EE2D0A"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BDCC74A" w14:textId="77777777" w:rsidR="0023784E" w:rsidRPr="004F0823" w:rsidRDefault="0023784E" w:rsidP="0080286C">
            <w:pPr>
              <w:pStyle w:val="Taulukonsislt"/>
              <w:framePr w:hSpace="0" w:wrap="auto" w:vAnchor="margin" w:hAnchor="text" w:yAlign="inline"/>
              <w:ind w:left="142"/>
            </w:pPr>
            <w:r w:rsidRPr="004F0823">
              <w:t>Chair stand percentiles</w:t>
            </w:r>
          </w:p>
        </w:tc>
        <w:tc>
          <w:tcPr>
            <w:tcW w:w="429" w:type="pct"/>
            <w:vAlign w:val="center"/>
          </w:tcPr>
          <w:p w14:paraId="4FD62DA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31.7</w:t>
            </w:r>
          </w:p>
        </w:tc>
        <w:tc>
          <w:tcPr>
            <w:tcW w:w="517" w:type="pct"/>
            <w:vAlign w:val="center"/>
          </w:tcPr>
          <w:p w14:paraId="66A1923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18.3</w:t>
            </w:r>
          </w:p>
        </w:tc>
        <w:tc>
          <w:tcPr>
            <w:tcW w:w="516" w:type="pct"/>
            <w:vAlign w:val="center"/>
          </w:tcPr>
          <w:p w14:paraId="5F7242A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29.3</w:t>
            </w:r>
          </w:p>
        </w:tc>
        <w:tc>
          <w:tcPr>
            <w:tcW w:w="516" w:type="pct"/>
            <w:vAlign w:val="center"/>
          </w:tcPr>
          <w:p w14:paraId="3D75081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15.7</w:t>
            </w:r>
          </w:p>
        </w:tc>
        <w:tc>
          <w:tcPr>
            <w:tcW w:w="516" w:type="pct"/>
            <w:vAlign w:val="center"/>
          </w:tcPr>
          <w:p w14:paraId="4DC4565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33.6</w:t>
            </w:r>
          </w:p>
        </w:tc>
        <w:tc>
          <w:tcPr>
            <w:tcW w:w="443" w:type="pct"/>
            <w:vAlign w:val="center"/>
          </w:tcPr>
          <w:p w14:paraId="0031F8D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20.1</w:t>
            </w:r>
          </w:p>
        </w:tc>
        <w:tc>
          <w:tcPr>
            <w:tcW w:w="431" w:type="pct"/>
            <w:vAlign w:val="center"/>
          </w:tcPr>
          <w:p w14:paraId="1825104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0.002</w:t>
            </w:r>
          </w:p>
        </w:tc>
      </w:tr>
      <w:tr w:rsidR="0023784E" w:rsidRPr="004F0823" w14:paraId="2C85DC75"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C42B826" w14:textId="77777777" w:rsidR="0023784E" w:rsidRPr="004F0823" w:rsidRDefault="0023784E" w:rsidP="0080286C">
            <w:pPr>
              <w:pStyle w:val="Taulukonsislt"/>
              <w:framePr w:hSpace="0" w:wrap="auto" w:vAnchor="margin" w:hAnchor="text" w:yAlign="inline"/>
              <w:ind w:left="142"/>
            </w:pPr>
            <w:r w:rsidRPr="004F0823">
              <w:t>ArmCurl test result (n)</w:t>
            </w:r>
          </w:p>
        </w:tc>
        <w:tc>
          <w:tcPr>
            <w:tcW w:w="429" w:type="pct"/>
            <w:vAlign w:val="center"/>
          </w:tcPr>
          <w:p w14:paraId="169F5BD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16.0</w:t>
            </w:r>
          </w:p>
        </w:tc>
        <w:tc>
          <w:tcPr>
            <w:tcW w:w="517" w:type="pct"/>
            <w:vAlign w:val="center"/>
          </w:tcPr>
          <w:p w14:paraId="7A93900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3.5</w:t>
            </w:r>
          </w:p>
        </w:tc>
        <w:tc>
          <w:tcPr>
            <w:tcW w:w="516" w:type="pct"/>
            <w:vAlign w:val="center"/>
          </w:tcPr>
          <w:p w14:paraId="0A0A95C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17.2</w:t>
            </w:r>
          </w:p>
        </w:tc>
        <w:tc>
          <w:tcPr>
            <w:tcW w:w="516" w:type="pct"/>
            <w:vAlign w:val="center"/>
          </w:tcPr>
          <w:p w14:paraId="532180C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3.6</w:t>
            </w:r>
          </w:p>
        </w:tc>
        <w:tc>
          <w:tcPr>
            <w:tcW w:w="516" w:type="pct"/>
            <w:vAlign w:val="center"/>
          </w:tcPr>
          <w:p w14:paraId="47576CE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15.0</w:t>
            </w:r>
          </w:p>
        </w:tc>
        <w:tc>
          <w:tcPr>
            <w:tcW w:w="443" w:type="pct"/>
            <w:vAlign w:val="center"/>
          </w:tcPr>
          <w:p w14:paraId="7FF99C6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3.1</w:t>
            </w:r>
          </w:p>
        </w:tc>
        <w:tc>
          <w:tcPr>
            <w:tcW w:w="431" w:type="pct"/>
            <w:vAlign w:val="center"/>
          </w:tcPr>
          <w:p w14:paraId="25F1138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316D3DA7"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26674EDF" w14:textId="77777777" w:rsidR="0023784E" w:rsidRPr="004F0823" w:rsidRDefault="0023784E" w:rsidP="0080286C">
            <w:pPr>
              <w:pStyle w:val="Taulukonsislt"/>
              <w:framePr w:hSpace="0" w:wrap="auto" w:vAnchor="margin" w:hAnchor="text" w:yAlign="inline"/>
              <w:ind w:left="142"/>
            </w:pPr>
            <w:r w:rsidRPr="004F0823">
              <w:t>ArmCurl percentiles</w:t>
            </w:r>
          </w:p>
        </w:tc>
        <w:tc>
          <w:tcPr>
            <w:tcW w:w="429" w:type="pct"/>
            <w:vAlign w:val="center"/>
          </w:tcPr>
          <w:p w14:paraId="644976B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50.4</w:t>
            </w:r>
          </w:p>
        </w:tc>
        <w:tc>
          <w:tcPr>
            <w:tcW w:w="517" w:type="pct"/>
            <w:vAlign w:val="center"/>
          </w:tcPr>
          <w:p w14:paraId="715CED3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23.7</w:t>
            </w:r>
          </w:p>
        </w:tc>
        <w:tc>
          <w:tcPr>
            <w:tcW w:w="516" w:type="pct"/>
            <w:vAlign w:val="center"/>
          </w:tcPr>
          <w:p w14:paraId="1504B4B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47.2</w:t>
            </w:r>
          </w:p>
        </w:tc>
        <w:tc>
          <w:tcPr>
            <w:tcW w:w="516" w:type="pct"/>
            <w:vAlign w:val="center"/>
          </w:tcPr>
          <w:p w14:paraId="7096903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23.4</w:t>
            </w:r>
          </w:p>
        </w:tc>
        <w:tc>
          <w:tcPr>
            <w:tcW w:w="516" w:type="pct"/>
            <w:vAlign w:val="center"/>
          </w:tcPr>
          <w:p w14:paraId="5B26D0B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53.1</w:t>
            </w:r>
          </w:p>
        </w:tc>
        <w:tc>
          <w:tcPr>
            <w:tcW w:w="443" w:type="pct"/>
            <w:vAlign w:val="center"/>
          </w:tcPr>
          <w:p w14:paraId="7B20D9F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23.6</w:t>
            </w:r>
          </w:p>
        </w:tc>
        <w:tc>
          <w:tcPr>
            <w:tcW w:w="431" w:type="pct"/>
            <w:vAlign w:val="center"/>
          </w:tcPr>
          <w:p w14:paraId="36568D0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669D87AB"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46E31007" w14:textId="77777777" w:rsidR="0023784E" w:rsidRPr="004F0823" w:rsidRDefault="0023784E" w:rsidP="0080286C">
            <w:pPr>
              <w:pStyle w:val="Taulukonsislt"/>
              <w:framePr w:hSpace="0" w:wrap="auto" w:vAnchor="margin" w:hAnchor="text" w:yAlign="inline"/>
              <w:ind w:left="142"/>
            </w:pPr>
            <w:r w:rsidRPr="004F0823">
              <w:t>Chair sit and reach test result (cm)</w:t>
            </w:r>
          </w:p>
        </w:tc>
        <w:tc>
          <w:tcPr>
            <w:tcW w:w="429" w:type="pct"/>
            <w:vAlign w:val="center"/>
          </w:tcPr>
          <w:p w14:paraId="0FEAA6A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0.5</w:t>
            </w:r>
          </w:p>
        </w:tc>
        <w:tc>
          <w:tcPr>
            <w:tcW w:w="517" w:type="pct"/>
            <w:vAlign w:val="center"/>
          </w:tcPr>
          <w:p w14:paraId="3807FA6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4.9</w:t>
            </w:r>
          </w:p>
        </w:tc>
        <w:tc>
          <w:tcPr>
            <w:tcW w:w="516" w:type="pct"/>
            <w:vAlign w:val="center"/>
          </w:tcPr>
          <w:p w14:paraId="251F3CC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-2.6</w:t>
            </w:r>
          </w:p>
        </w:tc>
        <w:tc>
          <w:tcPr>
            <w:tcW w:w="516" w:type="pct"/>
            <w:vAlign w:val="center"/>
          </w:tcPr>
          <w:p w14:paraId="3A6B90E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4.9</w:t>
            </w:r>
          </w:p>
        </w:tc>
        <w:tc>
          <w:tcPr>
            <w:tcW w:w="516" w:type="pct"/>
            <w:vAlign w:val="center"/>
          </w:tcPr>
          <w:p w14:paraId="4BA3F73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1.3</w:t>
            </w:r>
          </w:p>
        </w:tc>
        <w:tc>
          <w:tcPr>
            <w:tcW w:w="443" w:type="pct"/>
            <w:vAlign w:val="center"/>
          </w:tcPr>
          <w:p w14:paraId="6C4FE36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4.1</w:t>
            </w:r>
          </w:p>
        </w:tc>
        <w:tc>
          <w:tcPr>
            <w:tcW w:w="431" w:type="pct"/>
            <w:vAlign w:val="center"/>
          </w:tcPr>
          <w:p w14:paraId="4FD2D76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15E96B30"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446A8662" w14:textId="77777777" w:rsidR="0023784E" w:rsidRPr="004F0823" w:rsidRDefault="0023784E" w:rsidP="0080286C">
            <w:pPr>
              <w:pStyle w:val="Taulukonsislt"/>
              <w:framePr w:hSpace="0" w:wrap="auto" w:vAnchor="margin" w:hAnchor="text" w:yAlign="inline"/>
              <w:ind w:left="142"/>
            </w:pPr>
            <w:r w:rsidRPr="004F0823">
              <w:t>Chair sit and reach percentiles</w:t>
            </w:r>
          </w:p>
        </w:tc>
        <w:tc>
          <w:tcPr>
            <w:tcW w:w="429" w:type="pct"/>
            <w:vAlign w:val="center"/>
          </w:tcPr>
          <w:p w14:paraId="45B2409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45.2</w:t>
            </w:r>
          </w:p>
        </w:tc>
        <w:tc>
          <w:tcPr>
            <w:tcW w:w="517" w:type="pct"/>
            <w:vAlign w:val="center"/>
          </w:tcPr>
          <w:p w14:paraId="62646BF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29.8</w:t>
            </w:r>
          </w:p>
        </w:tc>
        <w:tc>
          <w:tcPr>
            <w:tcW w:w="516" w:type="pct"/>
            <w:vAlign w:val="center"/>
          </w:tcPr>
          <w:p w14:paraId="418DF84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38.1</w:t>
            </w:r>
          </w:p>
        </w:tc>
        <w:tc>
          <w:tcPr>
            <w:tcW w:w="516" w:type="pct"/>
            <w:vAlign w:val="center"/>
          </w:tcPr>
          <w:p w14:paraId="7E79D18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28.6</w:t>
            </w:r>
          </w:p>
        </w:tc>
        <w:tc>
          <w:tcPr>
            <w:tcW w:w="516" w:type="pct"/>
            <w:vAlign w:val="center"/>
          </w:tcPr>
          <w:p w14:paraId="2268ABF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51.1</w:t>
            </w:r>
          </w:p>
        </w:tc>
        <w:tc>
          <w:tcPr>
            <w:tcW w:w="443" w:type="pct"/>
            <w:vAlign w:val="center"/>
          </w:tcPr>
          <w:p w14:paraId="249A274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29.6</w:t>
            </w:r>
          </w:p>
        </w:tc>
        <w:tc>
          <w:tcPr>
            <w:tcW w:w="431" w:type="pct"/>
            <w:vAlign w:val="center"/>
          </w:tcPr>
          <w:p w14:paraId="48E1B4F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2D2439B4"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36C1CE08" w14:textId="77777777" w:rsidR="0023784E" w:rsidRPr="004F0823" w:rsidRDefault="0023784E" w:rsidP="0080286C">
            <w:pPr>
              <w:pStyle w:val="Taulukonsislt"/>
              <w:framePr w:hSpace="0" w:wrap="auto" w:vAnchor="margin" w:hAnchor="text" w:yAlign="inline"/>
              <w:ind w:left="142"/>
            </w:pPr>
            <w:r w:rsidRPr="004F0823">
              <w:t>Six min walk test result (m)</w:t>
            </w:r>
          </w:p>
        </w:tc>
        <w:tc>
          <w:tcPr>
            <w:tcW w:w="429" w:type="pct"/>
            <w:vAlign w:val="center"/>
          </w:tcPr>
          <w:p w14:paraId="4409C83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584.8</w:t>
            </w:r>
          </w:p>
        </w:tc>
        <w:tc>
          <w:tcPr>
            <w:tcW w:w="517" w:type="pct"/>
            <w:vAlign w:val="center"/>
          </w:tcPr>
          <w:p w14:paraId="4652F8D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103.6</w:t>
            </w:r>
          </w:p>
        </w:tc>
        <w:tc>
          <w:tcPr>
            <w:tcW w:w="516" w:type="pct"/>
            <w:vAlign w:val="center"/>
          </w:tcPr>
          <w:p w14:paraId="78212A8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621.5</w:t>
            </w:r>
          </w:p>
        </w:tc>
        <w:tc>
          <w:tcPr>
            <w:tcW w:w="516" w:type="pct"/>
            <w:vAlign w:val="center"/>
          </w:tcPr>
          <w:p w14:paraId="2B69F98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101.5</w:t>
            </w:r>
          </w:p>
        </w:tc>
        <w:tc>
          <w:tcPr>
            <w:tcW w:w="516" w:type="pct"/>
            <w:vAlign w:val="center"/>
          </w:tcPr>
          <w:p w14:paraId="1B97752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554.3</w:t>
            </w:r>
          </w:p>
        </w:tc>
        <w:tc>
          <w:tcPr>
            <w:tcW w:w="443" w:type="pct"/>
            <w:vAlign w:val="center"/>
          </w:tcPr>
          <w:p w14:paraId="1C765EB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95.2</w:t>
            </w:r>
          </w:p>
        </w:tc>
        <w:tc>
          <w:tcPr>
            <w:tcW w:w="431" w:type="pct"/>
            <w:vAlign w:val="center"/>
          </w:tcPr>
          <w:p w14:paraId="041B7A0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1BAFFC64"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61C670DA" w14:textId="77777777" w:rsidR="0023784E" w:rsidRPr="004F0823" w:rsidRDefault="0023784E" w:rsidP="0080286C">
            <w:pPr>
              <w:pStyle w:val="Taulukonsislt"/>
              <w:framePr w:hSpace="0" w:wrap="auto" w:vAnchor="margin" w:hAnchor="text" w:yAlign="inline"/>
              <w:ind w:left="142"/>
            </w:pPr>
            <w:r w:rsidRPr="004F0823">
              <w:t>Six min walk percentiles</w:t>
            </w:r>
          </w:p>
        </w:tc>
        <w:tc>
          <w:tcPr>
            <w:tcW w:w="429" w:type="pct"/>
            <w:vAlign w:val="center"/>
          </w:tcPr>
          <w:p w14:paraId="14E4397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54.8</w:t>
            </w:r>
          </w:p>
        </w:tc>
        <w:tc>
          <w:tcPr>
            <w:tcW w:w="517" w:type="pct"/>
            <w:vAlign w:val="center"/>
          </w:tcPr>
          <w:p w14:paraId="127D045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27.1</w:t>
            </w:r>
          </w:p>
        </w:tc>
        <w:tc>
          <w:tcPr>
            <w:tcW w:w="516" w:type="pct"/>
            <w:vAlign w:val="center"/>
          </w:tcPr>
          <w:p w14:paraId="611B3D7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55.6</w:t>
            </w:r>
          </w:p>
        </w:tc>
        <w:tc>
          <w:tcPr>
            <w:tcW w:w="516" w:type="pct"/>
            <w:vAlign w:val="center"/>
          </w:tcPr>
          <w:p w14:paraId="6D12C8B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27.6</w:t>
            </w:r>
          </w:p>
        </w:tc>
        <w:tc>
          <w:tcPr>
            <w:tcW w:w="516" w:type="pct"/>
            <w:vAlign w:val="center"/>
          </w:tcPr>
          <w:p w14:paraId="04ABDCD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54.2</w:t>
            </w:r>
          </w:p>
        </w:tc>
        <w:tc>
          <w:tcPr>
            <w:tcW w:w="443" w:type="pct"/>
            <w:vAlign w:val="center"/>
          </w:tcPr>
          <w:p w14:paraId="504315F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26.8</w:t>
            </w:r>
          </w:p>
        </w:tc>
        <w:tc>
          <w:tcPr>
            <w:tcW w:w="431" w:type="pct"/>
            <w:vAlign w:val="center"/>
          </w:tcPr>
          <w:p w14:paraId="38AE8EF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0.503</w:t>
            </w:r>
          </w:p>
        </w:tc>
      </w:tr>
      <w:tr w:rsidR="0023784E" w:rsidRPr="004F0823" w14:paraId="4BF6EF10"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49724D90" w14:textId="77777777" w:rsidR="0023784E" w:rsidRPr="004F0823" w:rsidRDefault="0023784E" w:rsidP="0080286C">
            <w:pPr>
              <w:pStyle w:val="Taulukonsislt"/>
              <w:framePr w:hSpace="0" w:wrap="auto" w:vAnchor="margin" w:hAnchor="text" w:yAlign="inline"/>
              <w:ind w:left="142"/>
            </w:pPr>
            <w:r w:rsidRPr="004F0823">
              <w:t>Back scratch test result (cm)</w:t>
            </w:r>
          </w:p>
        </w:tc>
        <w:tc>
          <w:tcPr>
            <w:tcW w:w="429" w:type="pct"/>
            <w:vAlign w:val="center"/>
          </w:tcPr>
          <w:p w14:paraId="411660D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-3.4</w:t>
            </w:r>
          </w:p>
        </w:tc>
        <w:tc>
          <w:tcPr>
            <w:tcW w:w="517" w:type="pct"/>
            <w:vAlign w:val="center"/>
          </w:tcPr>
          <w:p w14:paraId="128E9FB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4.8</w:t>
            </w:r>
          </w:p>
        </w:tc>
        <w:tc>
          <w:tcPr>
            <w:tcW w:w="516" w:type="pct"/>
            <w:vAlign w:val="center"/>
          </w:tcPr>
          <w:p w14:paraId="049196A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-5.2</w:t>
            </w:r>
          </w:p>
        </w:tc>
        <w:tc>
          <w:tcPr>
            <w:tcW w:w="516" w:type="pct"/>
            <w:vAlign w:val="center"/>
          </w:tcPr>
          <w:p w14:paraId="604E665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5.1</w:t>
            </w:r>
          </w:p>
        </w:tc>
        <w:tc>
          <w:tcPr>
            <w:tcW w:w="516" w:type="pct"/>
            <w:vAlign w:val="center"/>
          </w:tcPr>
          <w:p w14:paraId="3AB88B8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-1.9</w:t>
            </w:r>
          </w:p>
        </w:tc>
        <w:tc>
          <w:tcPr>
            <w:tcW w:w="443" w:type="pct"/>
            <w:vAlign w:val="center"/>
          </w:tcPr>
          <w:p w14:paraId="54CE23F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3.9</w:t>
            </w:r>
          </w:p>
        </w:tc>
        <w:tc>
          <w:tcPr>
            <w:tcW w:w="431" w:type="pct"/>
            <w:vAlign w:val="center"/>
          </w:tcPr>
          <w:p w14:paraId="0346BE1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2137CD97" w14:textId="77777777" w:rsidTr="009469DD">
        <w:tc>
          <w:tcPr>
            <w:cnfStyle w:val="001000000000" w:firstRow="0" w:lastRow="0" w:firstColumn="1" w:lastColumn="0" w:oddVBand="0" w:evenVBand="0" w:oddHBand="0" w:evenHBand="0" w:firstRowFirstColumn="0" w:firstRowLastColumn="0" w:lastRowFirstColumn="0" w:lastRowLastColumn="0"/>
            <w:tcW w:w="1632" w:type="pct"/>
            <w:vAlign w:val="center"/>
          </w:tcPr>
          <w:p w14:paraId="5B3E24EF" w14:textId="77777777" w:rsidR="0023784E" w:rsidRPr="004F0823" w:rsidRDefault="0023784E" w:rsidP="0080286C">
            <w:pPr>
              <w:pStyle w:val="Taulukonsislt"/>
              <w:framePr w:hSpace="0" w:wrap="auto" w:vAnchor="margin" w:hAnchor="text" w:yAlign="inline"/>
              <w:ind w:left="142"/>
            </w:pPr>
            <w:r w:rsidRPr="004F0823">
              <w:t>Back scratch percentiles</w:t>
            </w:r>
          </w:p>
        </w:tc>
        <w:tc>
          <w:tcPr>
            <w:tcW w:w="429" w:type="pct"/>
            <w:vAlign w:val="center"/>
          </w:tcPr>
          <w:p w14:paraId="7A1BD9C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50.1</w:t>
            </w:r>
          </w:p>
        </w:tc>
        <w:tc>
          <w:tcPr>
            <w:tcW w:w="517" w:type="pct"/>
            <w:vAlign w:val="center"/>
          </w:tcPr>
          <w:p w14:paraId="197EE29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29.4</w:t>
            </w:r>
          </w:p>
        </w:tc>
        <w:tc>
          <w:tcPr>
            <w:tcW w:w="516" w:type="pct"/>
            <w:vAlign w:val="center"/>
          </w:tcPr>
          <w:p w14:paraId="33C87EC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48.2</w:t>
            </w:r>
          </w:p>
        </w:tc>
        <w:tc>
          <w:tcPr>
            <w:tcW w:w="516" w:type="pct"/>
            <w:vAlign w:val="center"/>
          </w:tcPr>
          <w:p w14:paraId="2DB42E5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29.9</w:t>
            </w:r>
          </w:p>
        </w:tc>
        <w:tc>
          <w:tcPr>
            <w:tcW w:w="516" w:type="pct"/>
            <w:vAlign w:val="center"/>
          </w:tcPr>
          <w:p w14:paraId="7461E90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51.7</w:t>
            </w:r>
          </w:p>
        </w:tc>
        <w:tc>
          <w:tcPr>
            <w:tcW w:w="443" w:type="pct"/>
            <w:vAlign w:val="center"/>
          </w:tcPr>
          <w:p w14:paraId="6B36EC8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28.9</w:t>
            </w:r>
          </w:p>
        </w:tc>
        <w:tc>
          <w:tcPr>
            <w:tcW w:w="431" w:type="pct"/>
            <w:vAlign w:val="center"/>
          </w:tcPr>
          <w:p w14:paraId="351C7EC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0.118</w:t>
            </w:r>
          </w:p>
        </w:tc>
      </w:tr>
      <w:tr w:rsidR="0023784E" w:rsidRPr="00ED55D1" w14:paraId="2E0E15B5"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74D6F005" w14:textId="3E622517" w:rsidR="0023784E" w:rsidRPr="004F0823" w:rsidRDefault="0023784E" w:rsidP="00DD5992">
            <w:pPr>
              <w:pStyle w:val="Taulukonsislt"/>
              <w:framePr w:hSpace="0" w:wrap="auto" w:vAnchor="margin" w:hAnchor="text" w:yAlign="inline"/>
              <w:rPr>
                <w:rFonts w:eastAsia="Times New Roman"/>
                <w:color w:val="000000"/>
                <w:lang w:eastAsia="fi-FI"/>
              </w:rPr>
            </w:pPr>
            <w:r w:rsidRPr="004F0823">
              <w:rPr>
                <w:rFonts w:eastAsia="Times New Roman"/>
                <w:color w:val="000000"/>
                <w:lang w:eastAsia="fi-FI"/>
              </w:rPr>
              <w:t>Volume of PA</w:t>
            </w:r>
            <w:r w:rsidR="00036706">
              <w:rPr>
                <w:rFonts w:eastAsia="Times New Roman"/>
                <w:color w:val="000000"/>
                <w:lang w:eastAsia="fi-FI"/>
              </w:rPr>
              <w:t xml:space="preserve"> </w:t>
            </w:r>
            <w:r w:rsidR="00036706" w:rsidRPr="004F0823">
              <w:rPr>
                <w:rFonts w:eastAsia="Times New Roman"/>
                <w:color w:val="000000"/>
                <w:lang w:eastAsia="fi-FI"/>
              </w:rPr>
              <w:t>(METmin/d)</w:t>
            </w:r>
          </w:p>
        </w:tc>
        <w:tc>
          <w:tcPr>
            <w:tcW w:w="429" w:type="pct"/>
          </w:tcPr>
          <w:p w14:paraId="74C2EBA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7" w:type="pct"/>
          </w:tcPr>
          <w:p w14:paraId="74D8091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1EE0941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289DF1C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4E51145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43" w:type="pct"/>
          </w:tcPr>
          <w:p w14:paraId="17863E8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31" w:type="pct"/>
          </w:tcPr>
          <w:p w14:paraId="14196A4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074072B4"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6D638F47" w14:textId="2BF947D4" w:rsidR="0023784E" w:rsidRPr="004F0823" w:rsidRDefault="00036706" w:rsidP="0080286C">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Total Volume </w:t>
            </w:r>
          </w:p>
        </w:tc>
        <w:tc>
          <w:tcPr>
            <w:tcW w:w="429" w:type="pct"/>
          </w:tcPr>
          <w:p w14:paraId="1F7C7E6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1779.6</w:t>
            </w:r>
          </w:p>
        </w:tc>
        <w:tc>
          <w:tcPr>
            <w:tcW w:w="517" w:type="pct"/>
          </w:tcPr>
          <w:p w14:paraId="060AB0C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298.5</w:t>
            </w:r>
          </w:p>
        </w:tc>
        <w:tc>
          <w:tcPr>
            <w:tcW w:w="516" w:type="pct"/>
          </w:tcPr>
          <w:p w14:paraId="632D91D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1831.4</w:t>
            </w:r>
          </w:p>
        </w:tc>
        <w:tc>
          <w:tcPr>
            <w:tcW w:w="516" w:type="pct"/>
          </w:tcPr>
          <w:p w14:paraId="66400DF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266.9</w:t>
            </w:r>
          </w:p>
        </w:tc>
        <w:tc>
          <w:tcPr>
            <w:tcW w:w="516" w:type="pct"/>
          </w:tcPr>
          <w:p w14:paraId="42648D0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1736.3</w:t>
            </w:r>
          </w:p>
        </w:tc>
        <w:tc>
          <w:tcPr>
            <w:tcW w:w="443" w:type="pct"/>
          </w:tcPr>
          <w:p w14:paraId="2684212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316.4</w:t>
            </w:r>
          </w:p>
        </w:tc>
        <w:tc>
          <w:tcPr>
            <w:tcW w:w="431" w:type="pct"/>
          </w:tcPr>
          <w:p w14:paraId="35F8076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478A7FAE"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4E7D2208" w14:textId="4B444CFC" w:rsidR="0023784E" w:rsidRPr="004F0823" w:rsidRDefault="00036706" w:rsidP="00CF1F91">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Volume </w:t>
            </w:r>
            <w:r w:rsidR="00E95D30">
              <w:rPr>
                <w:rFonts w:eastAsia="Times New Roman"/>
                <w:color w:val="000000"/>
                <w:lang w:eastAsia="fi-FI"/>
              </w:rPr>
              <w:t>of ST</w:t>
            </w:r>
            <w:r>
              <w:rPr>
                <w:rFonts w:eastAsia="Times New Roman"/>
                <w:color w:val="000000"/>
                <w:lang w:eastAsia="fi-FI"/>
              </w:rPr>
              <w:t xml:space="preserve"> </w:t>
            </w:r>
          </w:p>
        </w:tc>
        <w:tc>
          <w:tcPr>
            <w:tcW w:w="429" w:type="pct"/>
          </w:tcPr>
          <w:p w14:paraId="318F610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987.3</w:t>
            </w:r>
          </w:p>
        </w:tc>
        <w:tc>
          <w:tcPr>
            <w:tcW w:w="517" w:type="pct"/>
          </w:tcPr>
          <w:p w14:paraId="648B08E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82.4</w:t>
            </w:r>
          </w:p>
        </w:tc>
        <w:tc>
          <w:tcPr>
            <w:tcW w:w="516" w:type="pct"/>
          </w:tcPr>
          <w:p w14:paraId="44E0CC2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1013.8</w:t>
            </w:r>
          </w:p>
        </w:tc>
        <w:tc>
          <w:tcPr>
            <w:tcW w:w="516" w:type="pct"/>
          </w:tcPr>
          <w:p w14:paraId="7F04A5E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76.8</w:t>
            </w:r>
          </w:p>
        </w:tc>
        <w:tc>
          <w:tcPr>
            <w:tcW w:w="516" w:type="pct"/>
          </w:tcPr>
          <w:p w14:paraId="705E199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965.2</w:t>
            </w:r>
          </w:p>
        </w:tc>
        <w:tc>
          <w:tcPr>
            <w:tcW w:w="443" w:type="pct"/>
          </w:tcPr>
          <w:p w14:paraId="65087B0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80.5</w:t>
            </w:r>
          </w:p>
        </w:tc>
        <w:tc>
          <w:tcPr>
            <w:tcW w:w="431" w:type="pct"/>
          </w:tcPr>
          <w:p w14:paraId="1164151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59E39E6C"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27510C01" w14:textId="314D6C2D" w:rsidR="0023784E" w:rsidRPr="004F0823" w:rsidRDefault="00036706" w:rsidP="00CF1F91">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Volume </w:t>
            </w:r>
            <w:r w:rsidR="00CF1F91">
              <w:rPr>
                <w:rFonts w:eastAsia="Times New Roman"/>
                <w:color w:val="000000"/>
                <w:lang w:eastAsia="fi-FI"/>
              </w:rPr>
              <w:t>of light</w:t>
            </w:r>
            <w:r>
              <w:rPr>
                <w:rFonts w:eastAsia="Times New Roman"/>
                <w:color w:val="000000"/>
                <w:lang w:eastAsia="fi-FI"/>
              </w:rPr>
              <w:t xml:space="preserve"> </w:t>
            </w:r>
            <w:r w:rsidR="000340CC">
              <w:rPr>
                <w:rFonts w:eastAsia="Times New Roman"/>
                <w:color w:val="000000"/>
                <w:lang w:eastAsia="fi-FI"/>
              </w:rPr>
              <w:t>PA</w:t>
            </w:r>
          </w:p>
        </w:tc>
        <w:tc>
          <w:tcPr>
            <w:tcW w:w="429" w:type="pct"/>
          </w:tcPr>
          <w:p w14:paraId="6B465B6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496.7</w:t>
            </w:r>
          </w:p>
        </w:tc>
        <w:tc>
          <w:tcPr>
            <w:tcW w:w="517" w:type="pct"/>
          </w:tcPr>
          <w:p w14:paraId="052C69F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181.6</w:t>
            </w:r>
          </w:p>
        </w:tc>
        <w:tc>
          <w:tcPr>
            <w:tcW w:w="516" w:type="pct"/>
          </w:tcPr>
          <w:p w14:paraId="13EAC8F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476.9</w:t>
            </w:r>
          </w:p>
        </w:tc>
        <w:tc>
          <w:tcPr>
            <w:tcW w:w="516" w:type="pct"/>
          </w:tcPr>
          <w:p w14:paraId="312D164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157.8</w:t>
            </w:r>
          </w:p>
        </w:tc>
        <w:tc>
          <w:tcPr>
            <w:tcW w:w="516" w:type="pct"/>
          </w:tcPr>
          <w:p w14:paraId="29BBA9F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513.1</w:t>
            </w:r>
          </w:p>
        </w:tc>
        <w:tc>
          <w:tcPr>
            <w:tcW w:w="443" w:type="pct"/>
          </w:tcPr>
          <w:p w14:paraId="1F74F16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198.0</w:t>
            </w:r>
          </w:p>
        </w:tc>
        <w:tc>
          <w:tcPr>
            <w:tcW w:w="431" w:type="pct"/>
          </w:tcPr>
          <w:p w14:paraId="645CDEF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0.009</w:t>
            </w:r>
          </w:p>
        </w:tc>
      </w:tr>
      <w:tr w:rsidR="0023784E" w:rsidRPr="004F0823" w14:paraId="3A0B2861"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0C418182" w14:textId="023BCF52" w:rsidR="0023784E" w:rsidRPr="004F0823" w:rsidRDefault="0023784E" w:rsidP="0080286C">
            <w:pPr>
              <w:pStyle w:val="Taulukonsislt"/>
              <w:framePr w:hSpace="0" w:wrap="auto" w:vAnchor="margin" w:hAnchor="text" w:yAlign="inline"/>
              <w:ind w:left="142"/>
              <w:rPr>
                <w:rFonts w:eastAsia="Times New Roman"/>
                <w:color w:val="000000"/>
                <w:lang w:eastAsia="fi-FI"/>
              </w:rPr>
            </w:pPr>
            <w:r w:rsidRPr="004F0823">
              <w:rPr>
                <w:rFonts w:eastAsia="Times New Roman"/>
                <w:color w:val="000000"/>
                <w:lang w:eastAsia="fi-FI"/>
              </w:rPr>
              <w:t xml:space="preserve">Volume </w:t>
            </w:r>
            <w:r w:rsidR="00CF1F91">
              <w:rPr>
                <w:rFonts w:eastAsia="Times New Roman"/>
                <w:color w:val="000000"/>
                <w:lang w:eastAsia="fi-FI"/>
              </w:rPr>
              <w:t>of MVPA</w:t>
            </w:r>
          </w:p>
        </w:tc>
        <w:tc>
          <w:tcPr>
            <w:tcW w:w="429" w:type="pct"/>
          </w:tcPr>
          <w:p w14:paraId="48121DC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295.6</w:t>
            </w:r>
          </w:p>
        </w:tc>
        <w:tc>
          <w:tcPr>
            <w:tcW w:w="517" w:type="pct"/>
          </w:tcPr>
          <w:p w14:paraId="7A0C8AE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230.0</w:t>
            </w:r>
          </w:p>
        </w:tc>
        <w:tc>
          <w:tcPr>
            <w:tcW w:w="516" w:type="pct"/>
          </w:tcPr>
          <w:p w14:paraId="4E3950D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340.7</w:t>
            </w:r>
          </w:p>
        </w:tc>
        <w:tc>
          <w:tcPr>
            <w:tcW w:w="516" w:type="pct"/>
          </w:tcPr>
          <w:p w14:paraId="07DF972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240.1</w:t>
            </w:r>
          </w:p>
        </w:tc>
        <w:tc>
          <w:tcPr>
            <w:tcW w:w="516" w:type="pct"/>
          </w:tcPr>
          <w:p w14:paraId="27B5C85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258.0</w:t>
            </w:r>
          </w:p>
        </w:tc>
        <w:tc>
          <w:tcPr>
            <w:tcW w:w="443" w:type="pct"/>
          </w:tcPr>
          <w:p w14:paraId="03D2CAE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214.5</w:t>
            </w:r>
          </w:p>
        </w:tc>
        <w:tc>
          <w:tcPr>
            <w:tcW w:w="431" w:type="pct"/>
          </w:tcPr>
          <w:p w14:paraId="48BDF27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ED55D1" w14:paraId="209F7773"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5918DBB7" w14:textId="77777777" w:rsidR="0023784E" w:rsidRPr="004F0823" w:rsidRDefault="0023784E" w:rsidP="00900A2F">
            <w:pPr>
              <w:pStyle w:val="Taulukonsislt"/>
              <w:framePr w:hSpace="0" w:wrap="auto" w:vAnchor="margin" w:hAnchor="text" w:yAlign="inline"/>
              <w:rPr>
                <w:rFonts w:eastAsia="Times New Roman"/>
                <w:color w:val="000000"/>
                <w:lang w:val="en-GB" w:eastAsia="fi-FI"/>
              </w:rPr>
            </w:pPr>
            <w:r w:rsidRPr="004F0823">
              <w:rPr>
                <w:rFonts w:eastAsia="Times New Roman"/>
                <w:color w:val="000000"/>
                <w:lang w:val="en-GB" w:eastAsia="fi-FI"/>
              </w:rPr>
              <w:t>Duration of PA  (min/d)</w:t>
            </w:r>
          </w:p>
        </w:tc>
        <w:tc>
          <w:tcPr>
            <w:tcW w:w="429" w:type="pct"/>
          </w:tcPr>
          <w:p w14:paraId="29B1EA7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7" w:type="pct"/>
          </w:tcPr>
          <w:p w14:paraId="297C17F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18B1396D"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61F4CF61"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516" w:type="pct"/>
          </w:tcPr>
          <w:p w14:paraId="07C4B2B4"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43" w:type="pct"/>
          </w:tcPr>
          <w:p w14:paraId="20085D8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c>
          <w:tcPr>
            <w:tcW w:w="431" w:type="pct"/>
          </w:tcPr>
          <w:p w14:paraId="7BF928CF"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r w:rsidR="0023784E" w:rsidRPr="004F0823" w14:paraId="60263F21"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3808A09B" w14:textId="4B8D2F84" w:rsidR="0023784E" w:rsidRPr="004F0823" w:rsidRDefault="00B80AF6" w:rsidP="0080286C">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Duration </w:t>
            </w:r>
            <w:r w:rsidR="00DC6D1F">
              <w:rPr>
                <w:rFonts w:eastAsia="Times New Roman"/>
                <w:color w:val="000000"/>
                <w:lang w:eastAsia="fi-FI"/>
              </w:rPr>
              <w:t>of ST</w:t>
            </w:r>
          </w:p>
        </w:tc>
        <w:tc>
          <w:tcPr>
            <w:tcW w:w="429" w:type="pct"/>
          </w:tcPr>
          <w:p w14:paraId="3E061B3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1137.1</w:t>
            </w:r>
          </w:p>
        </w:tc>
        <w:tc>
          <w:tcPr>
            <w:tcW w:w="517" w:type="pct"/>
          </w:tcPr>
          <w:p w14:paraId="0B4E328C"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105.1</w:t>
            </w:r>
          </w:p>
        </w:tc>
        <w:tc>
          <w:tcPr>
            <w:tcW w:w="516" w:type="pct"/>
          </w:tcPr>
          <w:p w14:paraId="51F5CF1E"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1138.9</w:t>
            </w:r>
          </w:p>
        </w:tc>
        <w:tc>
          <w:tcPr>
            <w:tcW w:w="516" w:type="pct"/>
          </w:tcPr>
          <w:p w14:paraId="5E179CD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95.9</w:t>
            </w:r>
          </w:p>
        </w:tc>
        <w:tc>
          <w:tcPr>
            <w:tcW w:w="516" w:type="pct"/>
          </w:tcPr>
          <w:p w14:paraId="4AE805D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1135.6</w:t>
            </w:r>
          </w:p>
        </w:tc>
        <w:tc>
          <w:tcPr>
            <w:tcW w:w="443" w:type="pct"/>
          </w:tcPr>
          <w:p w14:paraId="42351C5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112.4</w:t>
            </w:r>
          </w:p>
        </w:tc>
        <w:tc>
          <w:tcPr>
            <w:tcW w:w="431" w:type="pct"/>
          </w:tcPr>
          <w:p w14:paraId="0A8D0C87"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0.680</w:t>
            </w:r>
          </w:p>
        </w:tc>
      </w:tr>
      <w:tr w:rsidR="0023784E" w:rsidRPr="004F0823" w14:paraId="354BB13F"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3650B5A6" w14:textId="0264B3AD" w:rsidR="0023784E" w:rsidRPr="004F0823" w:rsidRDefault="00B80AF6" w:rsidP="0080286C">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Duration </w:t>
            </w:r>
            <w:r w:rsidR="00CF1F91">
              <w:rPr>
                <w:rFonts w:eastAsia="Times New Roman"/>
                <w:color w:val="000000"/>
                <w:lang w:eastAsia="fi-FI"/>
              </w:rPr>
              <w:t>of light</w:t>
            </w:r>
            <w:r w:rsidR="000340CC">
              <w:rPr>
                <w:rFonts w:eastAsia="Times New Roman"/>
                <w:color w:val="000000"/>
                <w:lang w:eastAsia="fi-FI"/>
              </w:rPr>
              <w:t xml:space="preserve"> PA</w:t>
            </w:r>
          </w:p>
        </w:tc>
        <w:tc>
          <w:tcPr>
            <w:tcW w:w="429" w:type="pct"/>
          </w:tcPr>
          <w:p w14:paraId="515560E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227.0</w:t>
            </w:r>
          </w:p>
        </w:tc>
        <w:tc>
          <w:tcPr>
            <w:tcW w:w="517" w:type="pct"/>
          </w:tcPr>
          <w:p w14:paraId="5373F96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76.5</w:t>
            </w:r>
          </w:p>
        </w:tc>
        <w:tc>
          <w:tcPr>
            <w:tcW w:w="516" w:type="pct"/>
          </w:tcPr>
          <w:p w14:paraId="2332C83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214.1</w:t>
            </w:r>
          </w:p>
        </w:tc>
        <w:tc>
          <w:tcPr>
            <w:tcW w:w="516" w:type="pct"/>
          </w:tcPr>
          <w:p w14:paraId="6E36E45A"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66.3</w:t>
            </w:r>
          </w:p>
        </w:tc>
        <w:tc>
          <w:tcPr>
            <w:tcW w:w="516" w:type="pct"/>
          </w:tcPr>
          <w:p w14:paraId="4AE347C2"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237.8</w:t>
            </w:r>
          </w:p>
        </w:tc>
        <w:tc>
          <w:tcPr>
            <w:tcW w:w="443" w:type="pct"/>
          </w:tcPr>
          <w:p w14:paraId="0C44A915"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82.7</w:t>
            </w:r>
          </w:p>
        </w:tc>
        <w:tc>
          <w:tcPr>
            <w:tcW w:w="431" w:type="pct"/>
          </w:tcPr>
          <w:p w14:paraId="411748AB"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23784E" w:rsidRPr="004F0823" w14:paraId="51B5D4AB"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33DB91A8" w14:textId="6C4D9A5C" w:rsidR="0023784E" w:rsidRPr="004F0823" w:rsidRDefault="00B80AF6" w:rsidP="0080286C">
            <w:pPr>
              <w:pStyle w:val="Taulukonsislt"/>
              <w:framePr w:hSpace="0" w:wrap="auto" w:vAnchor="margin" w:hAnchor="text" w:yAlign="inline"/>
              <w:ind w:left="142"/>
              <w:rPr>
                <w:rFonts w:eastAsia="Times New Roman"/>
                <w:color w:val="000000"/>
                <w:lang w:eastAsia="fi-FI"/>
              </w:rPr>
            </w:pPr>
            <w:r>
              <w:rPr>
                <w:rFonts w:eastAsia="Times New Roman"/>
                <w:color w:val="000000"/>
                <w:lang w:eastAsia="fi-FI"/>
              </w:rPr>
              <w:t xml:space="preserve">Duration </w:t>
            </w:r>
            <w:r w:rsidR="00CF1F91">
              <w:rPr>
                <w:rFonts w:eastAsia="Times New Roman"/>
                <w:color w:val="000000"/>
                <w:lang w:eastAsia="fi-FI"/>
              </w:rPr>
              <w:t>of MVPA</w:t>
            </w:r>
          </w:p>
        </w:tc>
        <w:tc>
          <w:tcPr>
            <w:tcW w:w="429" w:type="pct"/>
          </w:tcPr>
          <w:p w14:paraId="096FB6B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76.2</w:t>
            </w:r>
          </w:p>
        </w:tc>
        <w:tc>
          <w:tcPr>
            <w:tcW w:w="517" w:type="pct"/>
          </w:tcPr>
          <w:p w14:paraId="1DC17EC6"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57.3</w:t>
            </w:r>
          </w:p>
        </w:tc>
        <w:tc>
          <w:tcPr>
            <w:tcW w:w="516" w:type="pct"/>
          </w:tcPr>
          <w:p w14:paraId="232921D0"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87.2</w:t>
            </w:r>
          </w:p>
        </w:tc>
        <w:tc>
          <w:tcPr>
            <w:tcW w:w="516" w:type="pct"/>
          </w:tcPr>
          <w:p w14:paraId="7C02DEA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58.4</w:t>
            </w:r>
          </w:p>
        </w:tc>
        <w:tc>
          <w:tcPr>
            <w:tcW w:w="516" w:type="pct"/>
          </w:tcPr>
          <w:p w14:paraId="1524D8C8"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67.0</w:t>
            </w:r>
          </w:p>
        </w:tc>
        <w:tc>
          <w:tcPr>
            <w:tcW w:w="443" w:type="pct"/>
          </w:tcPr>
          <w:p w14:paraId="419D2CF9"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54.8</w:t>
            </w:r>
          </w:p>
        </w:tc>
        <w:tc>
          <w:tcPr>
            <w:tcW w:w="431" w:type="pct"/>
          </w:tcPr>
          <w:p w14:paraId="45D32EC3" w14:textId="77777777" w:rsidR="0023784E" w:rsidRPr="004F0823" w:rsidRDefault="0023784E" w:rsidP="00DD5992">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&lt;0.001</w:t>
            </w:r>
          </w:p>
        </w:tc>
      </w:tr>
      <w:tr w:rsidR="003616CA" w:rsidRPr="004F0823" w14:paraId="2C1BC83C" w14:textId="77777777" w:rsidTr="007611E5">
        <w:tc>
          <w:tcPr>
            <w:cnfStyle w:val="001000000000" w:firstRow="0" w:lastRow="0" w:firstColumn="1" w:lastColumn="0" w:oddVBand="0" w:evenVBand="0" w:oddHBand="0" w:evenHBand="0" w:firstRowFirstColumn="0" w:firstRowLastColumn="0" w:lastRowFirstColumn="0" w:lastRowLastColumn="0"/>
            <w:tcW w:w="1632" w:type="pct"/>
          </w:tcPr>
          <w:p w14:paraId="2DE6205F" w14:textId="6CD55726" w:rsidR="003616CA" w:rsidRDefault="003616CA" w:rsidP="003616CA">
            <w:pPr>
              <w:pStyle w:val="Taulukonsislt"/>
              <w:framePr w:hSpace="0" w:wrap="auto" w:vAnchor="margin" w:hAnchor="text" w:yAlign="inline"/>
              <w:rPr>
                <w:rFonts w:eastAsia="Times New Roman"/>
                <w:color w:val="000000"/>
                <w:lang w:eastAsia="fi-FI"/>
              </w:rPr>
            </w:pPr>
            <w:r w:rsidRPr="004F0823">
              <w:rPr>
                <w:rFonts w:eastAsia="Times New Roman"/>
                <w:color w:val="000000"/>
                <w:lang w:eastAsia="fi-FI"/>
              </w:rPr>
              <w:t>Average wear time</w:t>
            </w:r>
            <w:r>
              <w:rPr>
                <w:rFonts w:eastAsia="Times New Roman"/>
                <w:color w:val="000000"/>
                <w:lang w:eastAsia="fi-FI"/>
              </w:rPr>
              <w:t xml:space="preserve"> of SWA</w:t>
            </w:r>
            <w:r w:rsidRPr="004F0823">
              <w:rPr>
                <w:rFonts w:eastAsia="Times New Roman"/>
                <w:color w:val="000000"/>
                <w:lang w:eastAsia="fi-FI"/>
              </w:rPr>
              <w:t xml:space="preserve"> </w:t>
            </w:r>
            <w:r>
              <w:rPr>
                <w:rFonts w:eastAsia="Times New Roman"/>
                <w:color w:val="000000"/>
                <w:lang w:eastAsia="fi-FI"/>
              </w:rPr>
              <w:t>(min/d)</w:t>
            </w:r>
          </w:p>
        </w:tc>
        <w:tc>
          <w:tcPr>
            <w:tcW w:w="429" w:type="pct"/>
          </w:tcPr>
          <w:p w14:paraId="7074A8F0" w14:textId="1795AADD"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1436.8</w:t>
            </w:r>
          </w:p>
        </w:tc>
        <w:tc>
          <w:tcPr>
            <w:tcW w:w="517" w:type="pct"/>
          </w:tcPr>
          <w:p w14:paraId="4681E384" w14:textId="63C88C6B"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6.0</w:t>
            </w:r>
          </w:p>
        </w:tc>
        <w:tc>
          <w:tcPr>
            <w:tcW w:w="516" w:type="pct"/>
          </w:tcPr>
          <w:p w14:paraId="00022130" w14:textId="1FBFBE30"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1435.9</w:t>
            </w:r>
          </w:p>
        </w:tc>
        <w:tc>
          <w:tcPr>
            <w:tcW w:w="516" w:type="pct"/>
          </w:tcPr>
          <w:p w14:paraId="6CBFE6EE" w14:textId="19EFFEB2"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6.1</w:t>
            </w:r>
          </w:p>
        </w:tc>
        <w:tc>
          <w:tcPr>
            <w:tcW w:w="516" w:type="pct"/>
          </w:tcPr>
          <w:p w14:paraId="190B3705" w14:textId="270AC28A"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1437.6</w:t>
            </w:r>
          </w:p>
        </w:tc>
        <w:tc>
          <w:tcPr>
            <w:tcW w:w="443" w:type="pct"/>
          </w:tcPr>
          <w:p w14:paraId="5E4A7423" w14:textId="62D5F3BC"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4F0823">
              <w:t>6.0</w:t>
            </w:r>
          </w:p>
        </w:tc>
        <w:tc>
          <w:tcPr>
            <w:tcW w:w="431" w:type="pct"/>
          </w:tcPr>
          <w:p w14:paraId="69563AD4" w14:textId="77777777" w:rsidR="003616CA" w:rsidRPr="004F0823" w:rsidRDefault="003616CA" w:rsidP="003616CA">
            <w:pPr>
              <w:pStyle w:val="Taulukonsislt"/>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p>
        </w:tc>
      </w:tr>
    </w:tbl>
    <w:p w14:paraId="48BBB0E5" w14:textId="637E163C" w:rsidR="003616CA" w:rsidRDefault="00317E52" w:rsidP="0080286C">
      <w:pPr>
        <w:pStyle w:val="Taulukonalakommentit"/>
        <w:rPr>
          <w:rStyle w:val="TaulukonalakommentitChar"/>
          <w:rFonts w:cs="Arial"/>
          <w:iCs/>
        </w:rPr>
      </w:pPr>
      <w:r w:rsidRPr="004F0823">
        <w:rPr>
          <w:vertAlign w:val="superscript"/>
        </w:rPr>
        <w:t>a</w:t>
      </w:r>
      <w:r w:rsidR="008F4D43" w:rsidRPr="004F0823">
        <w:rPr>
          <w:rStyle w:val="TaulukonalakommentitChar"/>
          <w:rFonts w:cs="Arial"/>
        </w:rPr>
        <w:t>Difference bet</w:t>
      </w:r>
      <w:r w:rsidR="00912D17" w:rsidRPr="004F0823">
        <w:rPr>
          <w:rStyle w:val="TaulukonalakommentitChar"/>
          <w:rFonts w:cs="Arial"/>
        </w:rPr>
        <w:t xml:space="preserve">ween men and women </w:t>
      </w:r>
    </w:p>
    <w:p w14:paraId="761D544D" w14:textId="47A8AE68" w:rsidR="003616CA" w:rsidRDefault="003616CA" w:rsidP="0080286C">
      <w:pPr>
        <w:pStyle w:val="Taulukonalakommentit"/>
        <w:rPr>
          <w:rStyle w:val="TaulukonalakommentitChar"/>
          <w:rFonts w:cs="Arial"/>
        </w:rPr>
      </w:pPr>
      <w:r>
        <w:rPr>
          <w:rStyle w:val="TaulukonalakommentitChar"/>
          <w:rFonts w:cs="Arial"/>
        </w:rPr>
        <w:t>Abbreviations: SD, standard deviation; MET, metabolic equivalents of task</w:t>
      </w:r>
      <w:r w:rsidR="00F56D85">
        <w:rPr>
          <w:rStyle w:val="TaulukonalakommentitChar"/>
          <w:rFonts w:cs="Arial"/>
        </w:rPr>
        <w:t>;</w:t>
      </w:r>
      <w:r w:rsidR="00DC6D1F">
        <w:rPr>
          <w:rStyle w:val="TaulukonalakommentitChar"/>
          <w:rFonts w:cs="Arial"/>
        </w:rPr>
        <w:t xml:space="preserve"> ST</w:t>
      </w:r>
      <w:r w:rsidR="00F56D85">
        <w:rPr>
          <w:rStyle w:val="TaulukonalakommentitChar"/>
          <w:rFonts w:cs="Arial"/>
        </w:rPr>
        <w:t xml:space="preserve">, sedentary </w:t>
      </w:r>
      <w:r w:rsidR="00DC6D1F">
        <w:rPr>
          <w:rStyle w:val="TaulukonalakommentitChar"/>
          <w:rFonts w:cs="Arial"/>
        </w:rPr>
        <w:t>time</w:t>
      </w:r>
      <w:r w:rsidR="00F56D85">
        <w:rPr>
          <w:rStyle w:val="TaulukonalakommentitChar"/>
          <w:rFonts w:cs="Arial"/>
        </w:rPr>
        <w:t xml:space="preserve">; MVPA, </w:t>
      </w:r>
      <w:r w:rsidR="00F56D85" w:rsidRPr="00322B9B">
        <w:rPr>
          <w:color w:val="000000"/>
          <w:lang w:val="en-US"/>
        </w:rPr>
        <w:t xml:space="preserve">moderate </w:t>
      </w:r>
      <w:r w:rsidR="00F56D85">
        <w:rPr>
          <w:color w:val="000000"/>
          <w:lang w:val="en-US"/>
        </w:rPr>
        <w:t>to vigorous physical activity</w:t>
      </w:r>
    </w:p>
    <w:p w14:paraId="5FA54A65" w14:textId="6323E74C" w:rsidR="00525AC9" w:rsidRPr="009469DD" w:rsidRDefault="00525AC9" w:rsidP="009469DD">
      <w:pPr>
        <w:spacing w:before="0" w:after="160"/>
        <w:rPr>
          <w:rStyle w:val="TaulukonalakommentitChar"/>
          <w:rFonts w:cs="Arial"/>
          <w:iCs w:val="0"/>
        </w:rPr>
      </w:pPr>
      <w:r>
        <w:rPr>
          <w:rStyle w:val="TaulukonalakommentitChar"/>
          <w:rFonts w:cs="Arial"/>
        </w:rPr>
        <w:br w:type="page"/>
      </w:r>
    </w:p>
    <w:p w14:paraId="79FA9A6E" w14:textId="10396E98" w:rsidR="000C20C7" w:rsidRPr="00C470AB" w:rsidRDefault="000C20C7" w:rsidP="00DD5992">
      <w:pPr>
        <w:pStyle w:val="Taulukonotsikko"/>
        <w:rPr>
          <w:lang w:val="en-GB"/>
        </w:rPr>
      </w:pPr>
      <w:r w:rsidRPr="00C470AB">
        <w:rPr>
          <w:b/>
          <w:lang w:val="en-GB"/>
        </w:rPr>
        <w:lastRenderedPageBreak/>
        <w:t xml:space="preserve">Table </w:t>
      </w:r>
      <w:r w:rsidRPr="00DD5992">
        <w:rPr>
          <w:b/>
        </w:rPr>
        <w:fldChar w:fldCharType="begin"/>
      </w:r>
      <w:r w:rsidRPr="00C470AB">
        <w:rPr>
          <w:b/>
          <w:lang w:val="en-GB"/>
        </w:rPr>
        <w:instrText xml:space="preserve"> SEQ Table \* ARABIC </w:instrText>
      </w:r>
      <w:r w:rsidRPr="00DD5992">
        <w:rPr>
          <w:b/>
        </w:rPr>
        <w:fldChar w:fldCharType="separate"/>
      </w:r>
      <w:r w:rsidR="00291B26">
        <w:rPr>
          <w:b/>
          <w:noProof/>
          <w:lang w:val="en-GB"/>
        </w:rPr>
        <w:t>2</w:t>
      </w:r>
      <w:r w:rsidRPr="00DD5992">
        <w:rPr>
          <w:b/>
        </w:rPr>
        <w:fldChar w:fldCharType="end"/>
      </w:r>
      <w:r w:rsidRPr="00C470AB">
        <w:rPr>
          <w:lang w:val="en-GB"/>
        </w:rPr>
        <w:t xml:space="preserve"> </w:t>
      </w:r>
      <w:r w:rsidR="00DF273D">
        <w:rPr>
          <w:lang w:val="en-GB"/>
        </w:rPr>
        <w:t xml:space="preserve">The association between objectively measured total </w:t>
      </w:r>
      <w:r w:rsidR="008B3C8D">
        <w:rPr>
          <w:lang w:val="en-GB"/>
        </w:rPr>
        <w:t xml:space="preserve">volume of </w:t>
      </w:r>
      <w:r w:rsidR="00DF273D">
        <w:rPr>
          <w:lang w:val="en-GB"/>
        </w:rPr>
        <w:t>physical activity and Senior Fitness Test.</w:t>
      </w:r>
    </w:p>
    <w:tbl>
      <w:tblPr>
        <w:tblStyle w:val="Vriksluettelotaulukko6-korostus31"/>
        <w:tblW w:w="9915" w:type="dxa"/>
        <w:tblLook w:val="04A0" w:firstRow="1" w:lastRow="0" w:firstColumn="1" w:lastColumn="0" w:noHBand="0" w:noVBand="1"/>
      </w:tblPr>
      <w:tblGrid>
        <w:gridCol w:w="2660"/>
        <w:gridCol w:w="1726"/>
        <w:gridCol w:w="710"/>
        <w:gridCol w:w="1699"/>
        <w:gridCol w:w="710"/>
        <w:gridCol w:w="1700"/>
        <w:gridCol w:w="710"/>
      </w:tblGrid>
      <w:tr w:rsidR="000C20C7" w:rsidRPr="004F0823" w14:paraId="3845F4A3" w14:textId="77777777" w:rsidTr="008028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vAlign w:val="bottom"/>
          </w:tcPr>
          <w:p w14:paraId="1E037163" w14:textId="77777777" w:rsidR="000C20C7" w:rsidRPr="004F0823" w:rsidRDefault="000C20C7" w:rsidP="00C470AB">
            <w:pPr>
              <w:pStyle w:val="Taulukonsislt"/>
              <w:framePr w:wrap="around"/>
              <w:rPr>
                <w:bCs/>
              </w:rPr>
            </w:pPr>
            <w:r w:rsidRPr="004F0823">
              <w:t>The volume of PA</w:t>
            </w:r>
          </w:p>
        </w:tc>
        <w:tc>
          <w:tcPr>
            <w:tcW w:w="1726" w:type="dxa"/>
            <w:vAlign w:val="bottom"/>
          </w:tcPr>
          <w:p w14:paraId="0521AD86"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pPr>
            <w:r w:rsidRPr="004F0823">
              <w:t>Total (</w:t>
            </w:r>
            <w:r w:rsidRPr="004F0823">
              <w:rPr>
                <w:i/>
              </w:rPr>
              <w:t>N</w:t>
            </w:r>
            <w:r w:rsidRPr="004F0823">
              <w:t>=695)</w:t>
            </w:r>
          </w:p>
          <w:p w14:paraId="780A96E3"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rPr>
            </w:pPr>
            <w:r w:rsidRPr="007611E5">
              <w:rPr>
                <w:rFonts w:ascii="Symbol" w:hAnsi="Symbol"/>
                <w:i/>
              </w:rPr>
              <w:t></w:t>
            </w:r>
            <w:r w:rsidRPr="004F0823">
              <w:rPr>
                <w:i/>
              </w:rPr>
              <w:t xml:space="preserve"> </w:t>
            </w:r>
            <w:r w:rsidRPr="004F0823">
              <w:t>(95 % CI)</w:t>
            </w:r>
          </w:p>
        </w:tc>
        <w:tc>
          <w:tcPr>
            <w:tcW w:w="710" w:type="dxa"/>
            <w:vAlign w:val="bottom"/>
          </w:tcPr>
          <w:p w14:paraId="494B7EEC"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i/>
              </w:rPr>
            </w:pPr>
            <w:r w:rsidRPr="004F0823">
              <w:rPr>
                <w:i/>
              </w:rPr>
              <w:t>p</w:t>
            </w:r>
          </w:p>
        </w:tc>
        <w:tc>
          <w:tcPr>
            <w:tcW w:w="1699" w:type="dxa"/>
            <w:vAlign w:val="bottom"/>
          </w:tcPr>
          <w:p w14:paraId="7050F255"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pPr>
            <w:r w:rsidRPr="004F0823">
              <w:t>Men (</w:t>
            </w:r>
            <w:r w:rsidRPr="004F0823">
              <w:rPr>
                <w:i/>
              </w:rPr>
              <w:t>N</w:t>
            </w:r>
            <w:r w:rsidRPr="004F0823">
              <w:t>=316)</w:t>
            </w:r>
          </w:p>
          <w:p w14:paraId="6C6D9578"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rPr>
            </w:pPr>
            <w:r w:rsidRPr="007611E5">
              <w:rPr>
                <w:rFonts w:ascii="Symbol" w:hAnsi="Symbol"/>
                <w:i/>
              </w:rPr>
              <w:t></w:t>
            </w:r>
            <w:r w:rsidRPr="004F0823">
              <w:t xml:space="preserve"> (95 % CI)</w:t>
            </w:r>
          </w:p>
        </w:tc>
        <w:tc>
          <w:tcPr>
            <w:tcW w:w="710" w:type="dxa"/>
            <w:vAlign w:val="bottom"/>
          </w:tcPr>
          <w:p w14:paraId="430C20B1"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i/>
              </w:rPr>
            </w:pPr>
            <w:r w:rsidRPr="004F0823">
              <w:rPr>
                <w:i/>
              </w:rPr>
              <w:t>p</w:t>
            </w:r>
          </w:p>
        </w:tc>
        <w:tc>
          <w:tcPr>
            <w:tcW w:w="1700" w:type="dxa"/>
            <w:vAlign w:val="bottom"/>
          </w:tcPr>
          <w:p w14:paraId="434F0922"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pPr>
            <w:r w:rsidRPr="004F0823">
              <w:t>Women (</w:t>
            </w:r>
            <w:r w:rsidRPr="004F0823">
              <w:rPr>
                <w:i/>
              </w:rPr>
              <w:t>N</w:t>
            </w:r>
            <w:r w:rsidRPr="004F0823">
              <w:t>=379)</w:t>
            </w:r>
          </w:p>
          <w:p w14:paraId="4A1E273B"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rPr>
            </w:pPr>
            <w:r w:rsidRPr="007611E5">
              <w:rPr>
                <w:rFonts w:ascii="Symbol" w:hAnsi="Symbol"/>
                <w:i/>
              </w:rPr>
              <w:t></w:t>
            </w:r>
            <w:r w:rsidRPr="004F0823">
              <w:rPr>
                <w:i/>
              </w:rPr>
              <w:t xml:space="preserve"> </w:t>
            </w:r>
            <w:r w:rsidRPr="004F0823">
              <w:t>(95 % CI)</w:t>
            </w:r>
          </w:p>
        </w:tc>
        <w:tc>
          <w:tcPr>
            <w:tcW w:w="710" w:type="dxa"/>
            <w:vAlign w:val="bottom"/>
          </w:tcPr>
          <w:p w14:paraId="01D3E006" w14:textId="77777777" w:rsidR="000C20C7" w:rsidRPr="004F0823" w:rsidRDefault="000C20C7" w:rsidP="00C470AB">
            <w:pPr>
              <w:pStyle w:val="Taulukonsislt"/>
              <w:framePr w:wrap="around"/>
              <w:cnfStyle w:val="100000000000" w:firstRow="1" w:lastRow="0" w:firstColumn="0" w:lastColumn="0" w:oddVBand="0" w:evenVBand="0" w:oddHBand="0" w:evenHBand="0" w:firstRowFirstColumn="0" w:firstRowLastColumn="0" w:lastRowFirstColumn="0" w:lastRowLastColumn="0"/>
              <w:rPr>
                <w:bCs/>
                <w:i/>
              </w:rPr>
            </w:pPr>
            <w:r w:rsidRPr="004F0823">
              <w:rPr>
                <w:i/>
              </w:rPr>
              <w:t>p</w:t>
            </w:r>
          </w:p>
        </w:tc>
      </w:tr>
      <w:tr w:rsidR="000C20C7" w:rsidRPr="004F0823" w14:paraId="5E00FA1B" w14:textId="77777777" w:rsidTr="0080286C">
        <w:trPr>
          <w:gridAfter w:val="6"/>
          <w:wAfter w:w="7255" w:type="dxa"/>
        </w:trPr>
        <w:tc>
          <w:tcPr>
            <w:cnfStyle w:val="001000000000" w:firstRow="0" w:lastRow="0" w:firstColumn="1" w:lastColumn="0" w:oddVBand="0" w:evenVBand="0" w:oddHBand="0" w:evenHBand="0" w:firstRowFirstColumn="0" w:firstRowLastColumn="0" w:lastRowFirstColumn="0" w:lastRowLastColumn="0"/>
            <w:tcW w:w="2660" w:type="dxa"/>
          </w:tcPr>
          <w:p w14:paraId="6EC6DC5E" w14:textId="77777777" w:rsidR="000C20C7" w:rsidRPr="004F0823" w:rsidRDefault="000C20C7" w:rsidP="00C470AB">
            <w:pPr>
              <w:pStyle w:val="Taulukonsislt"/>
              <w:framePr w:wrap="around"/>
              <w:rPr>
                <w:vertAlign w:val="superscript"/>
              </w:rPr>
            </w:pPr>
            <w:r w:rsidRPr="004F0823">
              <w:t>Model 1</w:t>
            </w:r>
            <w:r w:rsidRPr="004F0823">
              <w:rPr>
                <w:vertAlign w:val="superscript"/>
              </w:rPr>
              <w:t>a</w:t>
            </w:r>
          </w:p>
        </w:tc>
      </w:tr>
      <w:tr w:rsidR="000C20C7" w:rsidRPr="004F0823" w14:paraId="71181E30"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6687D6AA" w14:textId="77777777" w:rsidR="000C20C7" w:rsidRPr="004F0823" w:rsidRDefault="000C20C7" w:rsidP="0080286C">
            <w:pPr>
              <w:pStyle w:val="Taulukonsislt"/>
              <w:framePr w:wrap="around"/>
              <w:ind w:left="142"/>
              <w:rPr>
                <w:bCs/>
              </w:rPr>
            </w:pPr>
            <w:r w:rsidRPr="004F0823">
              <w:t>Total volume (METh/d)</w:t>
            </w:r>
          </w:p>
        </w:tc>
        <w:tc>
          <w:tcPr>
            <w:tcW w:w="1726" w:type="dxa"/>
            <w:vAlign w:val="bottom"/>
          </w:tcPr>
          <w:p w14:paraId="04433771"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(0.07 to 0.10)</w:t>
            </w:r>
          </w:p>
        </w:tc>
        <w:tc>
          <w:tcPr>
            <w:tcW w:w="710" w:type="dxa"/>
            <w:vAlign w:val="bottom"/>
          </w:tcPr>
          <w:p w14:paraId="21B28AF2"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598935C9"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(0.06 to 0.10)</w:t>
            </w:r>
          </w:p>
        </w:tc>
        <w:tc>
          <w:tcPr>
            <w:tcW w:w="710" w:type="dxa"/>
            <w:vAlign w:val="bottom"/>
          </w:tcPr>
          <w:p w14:paraId="7FE151FB"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700" w:type="dxa"/>
            <w:vAlign w:val="bottom"/>
          </w:tcPr>
          <w:p w14:paraId="021314F4"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0.09 (0.07 to 0.10)</w:t>
            </w:r>
          </w:p>
        </w:tc>
        <w:tc>
          <w:tcPr>
            <w:tcW w:w="710" w:type="dxa"/>
            <w:vAlign w:val="bottom"/>
          </w:tcPr>
          <w:p w14:paraId="31179767"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r w:rsidR="000C20C7" w:rsidRPr="004F0823" w14:paraId="616C9A70"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454B0B20" w14:textId="7827A332" w:rsidR="000C20C7" w:rsidRPr="004F0823" w:rsidRDefault="000C20C7" w:rsidP="0080286C">
            <w:pPr>
              <w:pStyle w:val="Taulukonsislt"/>
              <w:framePr w:wrap="around"/>
              <w:ind w:left="142"/>
              <w:rPr>
                <w:bCs/>
              </w:rPr>
            </w:pPr>
            <w:r w:rsidRPr="004F0823">
              <w:t xml:space="preserve">Volume </w:t>
            </w:r>
            <w:r w:rsidR="00DC6D1F">
              <w:t>of ST</w:t>
            </w:r>
            <w:r w:rsidRPr="004F0823">
              <w:t xml:space="preserve"> (METh/d)</w:t>
            </w:r>
          </w:p>
        </w:tc>
        <w:tc>
          <w:tcPr>
            <w:tcW w:w="1726" w:type="dxa"/>
            <w:vAlign w:val="bottom"/>
          </w:tcPr>
          <w:p w14:paraId="6AF6B5D8"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-0.12 (-0.18 to -0.07)</w:t>
            </w:r>
          </w:p>
        </w:tc>
        <w:tc>
          <w:tcPr>
            <w:tcW w:w="710" w:type="dxa"/>
            <w:vAlign w:val="bottom"/>
          </w:tcPr>
          <w:p w14:paraId="15AB1CE7"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60808017"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-0.14 (-0.22 to -0.05)</w:t>
            </w:r>
          </w:p>
        </w:tc>
        <w:tc>
          <w:tcPr>
            <w:tcW w:w="710" w:type="dxa"/>
            <w:vAlign w:val="bottom"/>
          </w:tcPr>
          <w:p w14:paraId="3CBED8B5"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0.001</w:t>
            </w:r>
          </w:p>
        </w:tc>
        <w:tc>
          <w:tcPr>
            <w:tcW w:w="1700" w:type="dxa"/>
            <w:vAlign w:val="bottom"/>
          </w:tcPr>
          <w:p w14:paraId="008C763E"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-0.11 (-0.19 to -0.04)</w:t>
            </w:r>
          </w:p>
        </w:tc>
        <w:tc>
          <w:tcPr>
            <w:tcW w:w="710" w:type="dxa"/>
            <w:vAlign w:val="bottom"/>
          </w:tcPr>
          <w:p w14:paraId="27A0DDE0"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0.004</w:t>
            </w:r>
          </w:p>
        </w:tc>
      </w:tr>
      <w:tr w:rsidR="000C20C7" w:rsidRPr="004F0823" w14:paraId="0D09AFC1"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1E6DABA5" w14:textId="23ACBBF6" w:rsidR="000C20C7" w:rsidRPr="004F0823" w:rsidRDefault="000C20C7" w:rsidP="00CF1F91">
            <w:pPr>
              <w:pStyle w:val="Taulukonsislt"/>
              <w:framePr w:wrap="around"/>
              <w:ind w:left="142"/>
              <w:rPr>
                <w:bCs/>
              </w:rPr>
            </w:pPr>
            <w:r w:rsidRPr="004F0823">
              <w:t xml:space="preserve">Volume </w:t>
            </w:r>
            <w:r w:rsidR="00CF1F91">
              <w:t>of light</w:t>
            </w:r>
            <w:r w:rsidRPr="004F0823">
              <w:t xml:space="preserve"> </w:t>
            </w:r>
            <w:r w:rsidR="000340CC">
              <w:t xml:space="preserve">PA </w:t>
            </w:r>
            <w:r w:rsidRPr="004F0823">
              <w:t>(METh/d)</w:t>
            </w:r>
          </w:p>
        </w:tc>
        <w:tc>
          <w:tcPr>
            <w:tcW w:w="1726" w:type="dxa"/>
            <w:vAlign w:val="bottom"/>
          </w:tcPr>
          <w:p w14:paraId="705E98C7"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0.09 (0.07 to 0.12)</w:t>
            </w:r>
          </w:p>
        </w:tc>
        <w:tc>
          <w:tcPr>
            <w:tcW w:w="710" w:type="dxa"/>
            <w:vAlign w:val="bottom"/>
          </w:tcPr>
          <w:p w14:paraId="78180133"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4BF30BEB"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0.07 (0.03 to 0.11)</w:t>
            </w:r>
          </w:p>
        </w:tc>
        <w:tc>
          <w:tcPr>
            <w:tcW w:w="710" w:type="dxa"/>
            <w:vAlign w:val="bottom"/>
          </w:tcPr>
          <w:p w14:paraId="461D2318"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0.001</w:t>
            </w:r>
          </w:p>
        </w:tc>
        <w:tc>
          <w:tcPr>
            <w:tcW w:w="1700" w:type="dxa"/>
            <w:vAlign w:val="bottom"/>
          </w:tcPr>
          <w:p w14:paraId="66D818B2"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0.11 (0.08 to 0.14)</w:t>
            </w:r>
          </w:p>
        </w:tc>
        <w:tc>
          <w:tcPr>
            <w:tcW w:w="710" w:type="dxa"/>
            <w:vAlign w:val="bottom"/>
          </w:tcPr>
          <w:p w14:paraId="0B3861B9"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r w:rsidR="000C20C7" w:rsidRPr="004F0823" w14:paraId="2C85D91C"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47A845C5" w14:textId="34B39D84" w:rsidR="000C20C7" w:rsidRPr="004F0823" w:rsidRDefault="000C20C7" w:rsidP="00CF1F91">
            <w:pPr>
              <w:pStyle w:val="Taulukonsislt"/>
              <w:framePr w:wrap="around"/>
              <w:ind w:left="142"/>
              <w:rPr>
                <w:bCs/>
              </w:rPr>
            </w:pPr>
            <w:r w:rsidRPr="004F0823">
              <w:t xml:space="preserve">Volume </w:t>
            </w:r>
            <w:r w:rsidR="00CF1F91">
              <w:t>of MVPA</w:t>
            </w:r>
            <w:r w:rsidRPr="004F0823">
              <w:t xml:space="preserve"> (METh/d)</w:t>
            </w:r>
          </w:p>
        </w:tc>
        <w:tc>
          <w:tcPr>
            <w:tcW w:w="1726" w:type="dxa"/>
            <w:vAlign w:val="bottom"/>
          </w:tcPr>
          <w:p w14:paraId="1D897B6C"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0.10 (0.08 to 0.11)</w:t>
            </w:r>
          </w:p>
        </w:tc>
        <w:tc>
          <w:tcPr>
            <w:tcW w:w="710" w:type="dxa"/>
            <w:vAlign w:val="bottom"/>
          </w:tcPr>
          <w:p w14:paraId="3E50A471"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36C16475"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(0.06 to 0.11)</w:t>
            </w:r>
          </w:p>
        </w:tc>
        <w:tc>
          <w:tcPr>
            <w:tcW w:w="710" w:type="dxa"/>
            <w:vAlign w:val="bottom"/>
          </w:tcPr>
          <w:p w14:paraId="3437BB70"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700" w:type="dxa"/>
            <w:vAlign w:val="bottom"/>
          </w:tcPr>
          <w:p w14:paraId="591E96D8"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0.11 (0.09 to 0.14)</w:t>
            </w:r>
          </w:p>
        </w:tc>
        <w:tc>
          <w:tcPr>
            <w:tcW w:w="710" w:type="dxa"/>
            <w:vAlign w:val="bottom"/>
          </w:tcPr>
          <w:p w14:paraId="058DD089"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r w:rsidR="000C20C7" w:rsidRPr="004F0823" w14:paraId="36B5CFB8"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25E6C9A3" w14:textId="77777777" w:rsidR="000C20C7" w:rsidRPr="004F0823" w:rsidRDefault="000C20C7" w:rsidP="00C470AB">
            <w:pPr>
              <w:pStyle w:val="Taulukonsislt"/>
              <w:framePr w:wrap="around"/>
              <w:rPr>
                <w:bCs/>
                <w:vertAlign w:val="superscript"/>
              </w:rPr>
            </w:pPr>
            <w:r w:rsidRPr="004F0823">
              <w:t>Model 2</w:t>
            </w:r>
            <w:r w:rsidRPr="004F0823">
              <w:rPr>
                <w:vertAlign w:val="superscript"/>
              </w:rPr>
              <w:t>b</w:t>
            </w:r>
          </w:p>
        </w:tc>
        <w:tc>
          <w:tcPr>
            <w:tcW w:w="1726" w:type="dxa"/>
            <w:vAlign w:val="bottom"/>
          </w:tcPr>
          <w:p w14:paraId="21D22A1D"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c>
          <w:tcPr>
            <w:tcW w:w="710" w:type="dxa"/>
            <w:vAlign w:val="bottom"/>
          </w:tcPr>
          <w:p w14:paraId="16A66158"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c>
          <w:tcPr>
            <w:tcW w:w="1699" w:type="dxa"/>
            <w:vAlign w:val="bottom"/>
          </w:tcPr>
          <w:p w14:paraId="07F13966"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c>
          <w:tcPr>
            <w:tcW w:w="710" w:type="dxa"/>
            <w:vAlign w:val="bottom"/>
          </w:tcPr>
          <w:p w14:paraId="4C33BC05"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c>
          <w:tcPr>
            <w:tcW w:w="1700" w:type="dxa"/>
            <w:vAlign w:val="bottom"/>
          </w:tcPr>
          <w:p w14:paraId="77C0EDF8"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c>
          <w:tcPr>
            <w:tcW w:w="710" w:type="dxa"/>
            <w:vAlign w:val="bottom"/>
          </w:tcPr>
          <w:p w14:paraId="3F764159"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p>
        </w:tc>
      </w:tr>
      <w:tr w:rsidR="000C20C7" w:rsidRPr="004F0823" w14:paraId="6886B520"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77EE9E42" w14:textId="77777777" w:rsidR="000C20C7" w:rsidRPr="004F0823" w:rsidRDefault="000C20C7" w:rsidP="0080286C">
            <w:pPr>
              <w:pStyle w:val="Taulukonsislt"/>
              <w:framePr w:wrap="around"/>
              <w:ind w:left="142"/>
              <w:rPr>
                <w:bCs/>
              </w:rPr>
            </w:pPr>
            <w:r w:rsidRPr="004F0823">
              <w:t>Total volume (METh/d)</w:t>
            </w:r>
          </w:p>
        </w:tc>
        <w:tc>
          <w:tcPr>
            <w:tcW w:w="1726" w:type="dxa"/>
            <w:vAlign w:val="bottom"/>
          </w:tcPr>
          <w:p w14:paraId="183A30B5"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(0.06 to 0.09)</w:t>
            </w:r>
          </w:p>
        </w:tc>
        <w:tc>
          <w:tcPr>
            <w:tcW w:w="710" w:type="dxa"/>
            <w:vAlign w:val="bottom"/>
          </w:tcPr>
          <w:p w14:paraId="0B6B446F"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2D2CFE0A"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0.07 (0.05 to 0.09)</w:t>
            </w:r>
          </w:p>
        </w:tc>
        <w:tc>
          <w:tcPr>
            <w:tcW w:w="710" w:type="dxa"/>
            <w:vAlign w:val="bottom"/>
          </w:tcPr>
          <w:p w14:paraId="321A8373"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700" w:type="dxa"/>
            <w:vAlign w:val="bottom"/>
          </w:tcPr>
          <w:p w14:paraId="3E31A6FF"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(0.06 to 0.10)</w:t>
            </w:r>
          </w:p>
        </w:tc>
        <w:tc>
          <w:tcPr>
            <w:tcW w:w="710" w:type="dxa"/>
            <w:vAlign w:val="bottom"/>
          </w:tcPr>
          <w:p w14:paraId="11E064C6" w14:textId="77777777" w:rsidR="000C20C7" w:rsidRPr="004F0823" w:rsidRDefault="000C20C7"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r w:rsidR="00CF1F91" w:rsidRPr="004F0823" w14:paraId="79A1FE41"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12DF8B7B" w14:textId="69AE9FED" w:rsidR="00CF1F91" w:rsidRPr="004F0823" w:rsidRDefault="00CF1F91" w:rsidP="00CF1F91">
            <w:pPr>
              <w:pStyle w:val="Taulukonsislt"/>
              <w:framePr w:wrap="around"/>
              <w:ind w:left="142"/>
              <w:rPr>
                <w:bCs/>
              </w:rPr>
            </w:pPr>
            <w:r w:rsidRPr="004F0823">
              <w:t xml:space="preserve">Volume </w:t>
            </w:r>
            <w:r w:rsidR="00DC6D1F">
              <w:t>of ST</w:t>
            </w:r>
            <w:r w:rsidRPr="004F0823">
              <w:t xml:space="preserve"> (METh/d)</w:t>
            </w:r>
          </w:p>
        </w:tc>
        <w:tc>
          <w:tcPr>
            <w:tcW w:w="1726" w:type="dxa"/>
            <w:vAlign w:val="bottom"/>
          </w:tcPr>
          <w:p w14:paraId="24F6B504"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-0.10 (-0.16 to -0.05)</w:t>
            </w:r>
          </w:p>
        </w:tc>
        <w:tc>
          <w:tcPr>
            <w:tcW w:w="710" w:type="dxa"/>
            <w:vAlign w:val="bottom"/>
          </w:tcPr>
          <w:p w14:paraId="278B314C"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21EEF818"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-0.12 (-0.20 to -0.04)</w:t>
            </w:r>
          </w:p>
        </w:tc>
        <w:tc>
          <w:tcPr>
            <w:tcW w:w="710" w:type="dxa"/>
            <w:vAlign w:val="bottom"/>
          </w:tcPr>
          <w:p w14:paraId="67B06F22"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700" w:type="dxa"/>
            <w:vAlign w:val="bottom"/>
          </w:tcPr>
          <w:p w14:paraId="76A450F4"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(-0.16 to -0.01)</w:t>
            </w:r>
          </w:p>
        </w:tc>
        <w:tc>
          <w:tcPr>
            <w:tcW w:w="710" w:type="dxa"/>
            <w:vAlign w:val="bottom"/>
          </w:tcPr>
          <w:p w14:paraId="18C2862C"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0.037</w:t>
            </w:r>
          </w:p>
        </w:tc>
      </w:tr>
      <w:tr w:rsidR="00CF1F91" w:rsidRPr="004F0823" w14:paraId="28CD2B02"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56A3ED43" w14:textId="32A38B1E" w:rsidR="00CF1F91" w:rsidRPr="004F0823" w:rsidRDefault="00CF1F91" w:rsidP="00CF1F91">
            <w:pPr>
              <w:pStyle w:val="Taulukonsislt"/>
              <w:framePr w:wrap="around"/>
              <w:ind w:left="142"/>
              <w:rPr>
                <w:bCs/>
              </w:rPr>
            </w:pPr>
            <w:r w:rsidRPr="004F0823">
              <w:t xml:space="preserve">Volume </w:t>
            </w:r>
            <w:r>
              <w:t>of light</w:t>
            </w:r>
            <w:r w:rsidRPr="004F0823">
              <w:t xml:space="preserve"> </w:t>
            </w:r>
            <w:r w:rsidR="000340CC">
              <w:t xml:space="preserve">PA </w:t>
            </w:r>
            <w:r w:rsidRPr="004F0823">
              <w:t>(METh/d)</w:t>
            </w:r>
          </w:p>
        </w:tc>
        <w:tc>
          <w:tcPr>
            <w:tcW w:w="1726" w:type="dxa"/>
            <w:vAlign w:val="bottom"/>
          </w:tcPr>
          <w:p w14:paraId="69D201AC"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0.08 (0.06 to 0.11)</w:t>
            </w:r>
          </w:p>
        </w:tc>
        <w:tc>
          <w:tcPr>
            <w:tcW w:w="710" w:type="dxa"/>
            <w:vAlign w:val="bottom"/>
          </w:tcPr>
          <w:p w14:paraId="389717A0"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17721D6F"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0.05 (0.01 to 0.09)</w:t>
            </w:r>
          </w:p>
        </w:tc>
        <w:tc>
          <w:tcPr>
            <w:tcW w:w="710" w:type="dxa"/>
            <w:vAlign w:val="bottom"/>
          </w:tcPr>
          <w:p w14:paraId="0FDFE9AB"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0.009</w:t>
            </w:r>
          </w:p>
        </w:tc>
        <w:tc>
          <w:tcPr>
            <w:tcW w:w="1700" w:type="dxa"/>
            <w:vAlign w:val="bottom"/>
          </w:tcPr>
          <w:p w14:paraId="1C13FD65"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0.10 (0.07 to 0.13)</w:t>
            </w:r>
          </w:p>
        </w:tc>
        <w:tc>
          <w:tcPr>
            <w:tcW w:w="710" w:type="dxa"/>
            <w:vAlign w:val="bottom"/>
          </w:tcPr>
          <w:p w14:paraId="45ECCEFA"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r w:rsidR="00CF1F91" w:rsidRPr="004F0823" w14:paraId="1B5025D1" w14:textId="77777777" w:rsidTr="0080286C">
        <w:tc>
          <w:tcPr>
            <w:cnfStyle w:val="001000000000" w:firstRow="0" w:lastRow="0" w:firstColumn="1" w:lastColumn="0" w:oddVBand="0" w:evenVBand="0" w:oddHBand="0" w:evenHBand="0" w:firstRowFirstColumn="0" w:firstRowLastColumn="0" w:lastRowFirstColumn="0" w:lastRowLastColumn="0"/>
            <w:tcW w:w="2660" w:type="dxa"/>
            <w:vAlign w:val="bottom"/>
          </w:tcPr>
          <w:p w14:paraId="61F7AB90" w14:textId="471CBC2A" w:rsidR="00CF1F91" w:rsidRPr="004F0823" w:rsidRDefault="00CF1F91" w:rsidP="00CF1F91">
            <w:pPr>
              <w:pStyle w:val="Taulukonsislt"/>
              <w:framePr w:wrap="around"/>
              <w:ind w:left="142"/>
              <w:rPr>
                <w:bCs/>
              </w:rPr>
            </w:pPr>
            <w:r w:rsidRPr="004F0823">
              <w:t xml:space="preserve">Volume </w:t>
            </w:r>
            <w:r>
              <w:t>of MVPA</w:t>
            </w:r>
            <w:r w:rsidRPr="004F0823">
              <w:t xml:space="preserve"> (METh/d)</w:t>
            </w:r>
          </w:p>
        </w:tc>
        <w:tc>
          <w:tcPr>
            <w:tcW w:w="1726" w:type="dxa"/>
            <w:vAlign w:val="bottom"/>
          </w:tcPr>
          <w:p w14:paraId="757DAA39"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0.09 (0.07 to 0.11)</w:t>
            </w:r>
          </w:p>
        </w:tc>
        <w:tc>
          <w:tcPr>
            <w:tcW w:w="710" w:type="dxa"/>
            <w:vAlign w:val="bottom"/>
          </w:tcPr>
          <w:p w14:paraId="70F830A9"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699" w:type="dxa"/>
            <w:vAlign w:val="bottom"/>
          </w:tcPr>
          <w:p w14:paraId="7C6FA938"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0.07 (0.05 to 0.10)</w:t>
            </w:r>
          </w:p>
        </w:tc>
        <w:tc>
          <w:tcPr>
            <w:tcW w:w="710" w:type="dxa"/>
            <w:vAlign w:val="bottom"/>
          </w:tcPr>
          <w:p w14:paraId="62BBC3DA"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c>
          <w:tcPr>
            <w:tcW w:w="1700" w:type="dxa"/>
            <w:vAlign w:val="bottom"/>
          </w:tcPr>
          <w:p w14:paraId="58555B6F"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0.10 (0.08 to 0.13)</w:t>
            </w:r>
          </w:p>
        </w:tc>
        <w:tc>
          <w:tcPr>
            <w:tcW w:w="710" w:type="dxa"/>
            <w:vAlign w:val="bottom"/>
          </w:tcPr>
          <w:p w14:paraId="5DA197F9" w14:textId="77777777" w:rsidR="00CF1F91" w:rsidRPr="004F0823" w:rsidRDefault="00CF1F91" w:rsidP="00CF1F91">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&lt;0.001</w:t>
            </w:r>
          </w:p>
        </w:tc>
      </w:tr>
    </w:tbl>
    <w:p w14:paraId="6CC78E27" w14:textId="305D297E" w:rsidR="000C20C7" w:rsidRPr="004F0823" w:rsidRDefault="00A14508" w:rsidP="000C20C7">
      <w:pPr>
        <w:pStyle w:val="Taulukonalakommentit"/>
        <w:rPr>
          <w:rFonts w:cs="Arial"/>
        </w:rPr>
      </w:pPr>
      <w:r>
        <w:rPr>
          <w:rFonts w:cs="Arial"/>
          <w:vertAlign w:val="superscript"/>
        </w:rPr>
        <w:t>a</w:t>
      </w:r>
      <w:r w:rsidR="000C20C7" w:rsidRPr="004F0823">
        <w:rPr>
          <w:rFonts w:cs="Arial"/>
        </w:rPr>
        <w:t>Model 1</w:t>
      </w:r>
      <w:r w:rsidR="00DF273D">
        <w:rPr>
          <w:rFonts w:cs="Arial"/>
        </w:rPr>
        <w:t xml:space="preserve">: </w:t>
      </w:r>
      <w:r w:rsidR="00046F08">
        <w:rPr>
          <w:rFonts w:cs="Arial"/>
        </w:rPr>
        <w:t>M</w:t>
      </w:r>
      <w:r w:rsidR="00DF273D">
        <w:rPr>
          <w:rFonts w:cs="Arial"/>
        </w:rPr>
        <w:t xml:space="preserve">ultiple linear regression </w:t>
      </w:r>
      <w:r w:rsidR="000C20C7" w:rsidRPr="004F0823">
        <w:rPr>
          <w:rFonts w:cs="Arial"/>
        </w:rPr>
        <w:t>adjusted for age and (sex)</w:t>
      </w:r>
    </w:p>
    <w:p w14:paraId="14A2632B" w14:textId="346B6EED" w:rsidR="00DF273D" w:rsidRDefault="00A14508" w:rsidP="00DD5992">
      <w:pPr>
        <w:pStyle w:val="Taulukonalakommentit"/>
        <w:rPr>
          <w:rFonts w:cs="Arial"/>
        </w:rPr>
      </w:pPr>
      <w:r>
        <w:rPr>
          <w:rFonts w:cs="Arial"/>
          <w:vertAlign w:val="superscript"/>
        </w:rPr>
        <w:t>b</w:t>
      </w:r>
      <w:r w:rsidR="000C20C7" w:rsidRPr="004F0823">
        <w:rPr>
          <w:rFonts w:cs="Arial"/>
        </w:rPr>
        <w:t xml:space="preserve">Model 2 </w:t>
      </w:r>
      <w:r w:rsidR="00046F08">
        <w:rPr>
          <w:rFonts w:cs="Arial"/>
        </w:rPr>
        <w:t>M</w:t>
      </w:r>
      <w:r w:rsidR="00DF273D">
        <w:rPr>
          <w:rFonts w:cs="Arial"/>
        </w:rPr>
        <w:t xml:space="preserve">ultiple linear regression </w:t>
      </w:r>
      <w:r w:rsidR="000C20C7" w:rsidRPr="004F0823">
        <w:rPr>
          <w:rFonts w:cs="Arial"/>
        </w:rPr>
        <w:t>adjusted for age, (s</w:t>
      </w:r>
      <w:r w:rsidR="00DD5992">
        <w:rPr>
          <w:rFonts w:cs="Arial"/>
        </w:rPr>
        <w:t xml:space="preserve">ex), smoking and </w:t>
      </w:r>
      <w:r w:rsidR="008A149F">
        <w:rPr>
          <w:rFonts w:cs="Arial"/>
        </w:rPr>
        <w:t>educational attainment</w:t>
      </w:r>
    </w:p>
    <w:p w14:paraId="7ED6E5B9" w14:textId="16CB8931" w:rsidR="00F56D85" w:rsidRDefault="003616CA" w:rsidP="00F56D85">
      <w:pPr>
        <w:pStyle w:val="Taulukonalakommentit"/>
        <w:rPr>
          <w:rStyle w:val="TaulukonalakommentitChar"/>
          <w:rFonts w:cs="Arial"/>
        </w:rPr>
      </w:pPr>
      <w:r>
        <w:rPr>
          <w:rStyle w:val="TaulukonalakommentitChar"/>
          <w:rFonts w:cs="Arial"/>
        </w:rPr>
        <w:t xml:space="preserve">Abbreviations: </w:t>
      </w:r>
      <w:r w:rsidR="00DF3C1E">
        <w:rPr>
          <w:rStyle w:val="TaulukonalakommentitChar"/>
          <w:rFonts w:cs="Arial"/>
        </w:rPr>
        <w:t xml:space="preserve">PA, physical activity; </w:t>
      </w:r>
      <w:r w:rsidR="00DF3C1E" w:rsidRPr="007611E5">
        <w:rPr>
          <w:rFonts w:ascii="Symbol" w:hAnsi="Symbol"/>
          <w:i/>
        </w:rPr>
        <w:t></w:t>
      </w:r>
      <w:r w:rsidR="00DF3C1E">
        <w:rPr>
          <w:rFonts w:ascii="Symbol" w:hAnsi="Symbol"/>
        </w:rPr>
        <w:t></w:t>
      </w:r>
      <w:r w:rsidR="00DF3C1E">
        <w:t xml:space="preserve"> regression coefficient; </w:t>
      </w:r>
      <w:r>
        <w:rPr>
          <w:rStyle w:val="TaulukonalakommentitChar"/>
          <w:rFonts w:cs="Arial"/>
        </w:rPr>
        <w:t>CI</w:t>
      </w:r>
      <w:r w:rsidR="00DF3C1E">
        <w:rPr>
          <w:rStyle w:val="TaulukonalakommentitChar"/>
          <w:rFonts w:cs="Arial"/>
        </w:rPr>
        <w:t>, confidence interval; MET, metabolic equivalents of task</w:t>
      </w:r>
      <w:r w:rsidR="00E95D30">
        <w:rPr>
          <w:rStyle w:val="TaulukonalakommentitChar"/>
          <w:rFonts w:cs="Arial"/>
        </w:rPr>
        <w:t>; ST</w:t>
      </w:r>
      <w:r w:rsidR="00DC6D1F">
        <w:rPr>
          <w:rStyle w:val="TaulukonalakommentitChar"/>
          <w:rFonts w:cs="Arial"/>
        </w:rPr>
        <w:t>, sedentary time</w:t>
      </w:r>
      <w:r w:rsidR="00F56D85">
        <w:rPr>
          <w:rStyle w:val="TaulukonalakommentitChar"/>
          <w:rFonts w:cs="Arial"/>
        </w:rPr>
        <w:t xml:space="preserve">; MVPA, </w:t>
      </w:r>
      <w:r w:rsidR="00F56D85" w:rsidRPr="00322B9B">
        <w:rPr>
          <w:color w:val="000000"/>
          <w:lang w:val="en-US"/>
        </w:rPr>
        <w:t xml:space="preserve">moderate </w:t>
      </w:r>
      <w:r w:rsidR="00F56D85">
        <w:rPr>
          <w:color w:val="000000"/>
          <w:lang w:val="en-US"/>
        </w:rPr>
        <w:t>to vigorous physical activity</w:t>
      </w:r>
    </w:p>
    <w:p w14:paraId="19E261EE" w14:textId="29500B86" w:rsidR="003616CA" w:rsidRDefault="003616CA" w:rsidP="00DD5992">
      <w:pPr>
        <w:pStyle w:val="Taulukonalakommentit"/>
        <w:rPr>
          <w:rStyle w:val="TaulukonalakommentitChar"/>
          <w:rFonts w:cs="Arial"/>
        </w:rPr>
      </w:pPr>
    </w:p>
    <w:p w14:paraId="736D29F2" w14:textId="3DEF12DD" w:rsidR="00525AC9" w:rsidRDefault="00525AC9">
      <w:pPr>
        <w:spacing w:before="0" w:after="160"/>
        <w:rPr>
          <w:rStyle w:val="TaulukonalakommentitChar"/>
          <w:rFonts w:cs="Arial"/>
          <w:iCs w:val="0"/>
        </w:rPr>
      </w:pPr>
      <w:r>
        <w:rPr>
          <w:rStyle w:val="TaulukonalakommentitChar"/>
          <w:rFonts w:cs="Arial"/>
        </w:rPr>
        <w:br w:type="page"/>
      </w:r>
    </w:p>
    <w:p w14:paraId="4AFA33C2" w14:textId="0654884D" w:rsidR="003F2641" w:rsidRPr="004F0823" w:rsidRDefault="003F2641" w:rsidP="00DD5992">
      <w:pPr>
        <w:pStyle w:val="Taulukonotsikko"/>
        <w:rPr>
          <w:lang w:val="en-GB"/>
        </w:rPr>
      </w:pPr>
      <w:r w:rsidRPr="004F0823">
        <w:rPr>
          <w:b/>
          <w:lang w:val="en-GB"/>
        </w:rPr>
        <w:lastRenderedPageBreak/>
        <w:t xml:space="preserve">Table </w:t>
      </w:r>
      <w:r w:rsidRPr="004F0823">
        <w:rPr>
          <w:b/>
        </w:rPr>
        <w:fldChar w:fldCharType="begin"/>
      </w:r>
      <w:r w:rsidRPr="004F0823">
        <w:rPr>
          <w:b/>
          <w:lang w:val="en-GB"/>
        </w:rPr>
        <w:instrText xml:space="preserve"> SEQ Table \* ARABIC </w:instrText>
      </w:r>
      <w:r w:rsidRPr="004F0823">
        <w:rPr>
          <w:b/>
        </w:rPr>
        <w:fldChar w:fldCharType="separate"/>
      </w:r>
      <w:r w:rsidR="00291B26">
        <w:rPr>
          <w:b/>
          <w:noProof/>
          <w:lang w:val="en-GB"/>
        </w:rPr>
        <w:t>3</w:t>
      </w:r>
      <w:r w:rsidRPr="004F0823">
        <w:rPr>
          <w:b/>
        </w:rPr>
        <w:fldChar w:fldCharType="end"/>
      </w:r>
      <w:r w:rsidRPr="004F0823">
        <w:rPr>
          <w:lang w:val="en-GB"/>
        </w:rPr>
        <w:t xml:space="preserve"> </w:t>
      </w:r>
      <w:r w:rsidR="0029637D">
        <w:rPr>
          <w:lang w:val="en-GB"/>
        </w:rPr>
        <w:t xml:space="preserve">The association between the volume of total physical activity and the different components of Senior Fitness Test (SFT). </w:t>
      </w:r>
    </w:p>
    <w:tbl>
      <w:tblPr>
        <w:tblStyle w:val="Vriksluettelotaulukko6-korostus31"/>
        <w:tblW w:w="9498" w:type="dxa"/>
        <w:tblLook w:val="04A0" w:firstRow="1" w:lastRow="0" w:firstColumn="1" w:lastColumn="0" w:noHBand="0" w:noVBand="1"/>
      </w:tblPr>
      <w:tblGrid>
        <w:gridCol w:w="2694"/>
        <w:gridCol w:w="1559"/>
        <w:gridCol w:w="2126"/>
        <w:gridCol w:w="1843"/>
        <w:gridCol w:w="1276"/>
      </w:tblGrid>
      <w:tr w:rsidR="003F2641" w:rsidRPr="004F0823" w14:paraId="0E88E34A" w14:textId="77777777" w:rsidTr="00C811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E6E6E1C" w14:textId="3F4C5260" w:rsidR="008F3B11" w:rsidRDefault="008F3B11" w:rsidP="00C470AB">
            <w:pPr>
              <w:pStyle w:val="Taulukonsislt"/>
              <w:framePr w:wrap="around"/>
            </w:pPr>
            <w:r>
              <w:t xml:space="preserve">Standardized </w:t>
            </w:r>
          </w:p>
          <w:p w14:paraId="7BA083A6" w14:textId="1D830CE1" w:rsidR="003F2641" w:rsidRPr="004F0823" w:rsidRDefault="003F2641" w:rsidP="00C470AB">
            <w:pPr>
              <w:pStyle w:val="Taulukonsislt"/>
              <w:framePr w:wrap="around"/>
            </w:pPr>
            <w:r w:rsidRPr="004F0823">
              <w:t>SFT component</w:t>
            </w:r>
          </w:p>
        </w:tc>
        <w:tc>
          <w:tcPr>
            <w:tcW w:w="1559" w:type="dxa"/>
          </w:tcPr>
          <w:p w14:paraId="57E75FE7" w14:textId="77777777" w:rsidR="003F2641" w:rsidRPr="004F0823" w:rsidRDefault="003F2641" w:rsidP="00C470AB">
            <w:pPr>
              <w:pStyle w:val="Taulukonsislt"/>
              <w:framePr w:wrap="around"/>
              <w:cnfStyle w:val="100000000000" w:firstRow="1" w:lastRow="0" w:firstColumn="0" w:lastColumn="0" w:oddVBand="0" w:evenVBand="0" w:oddHBand="0" w:evenHBand="0" w:firstRowFirstColumn="0" w:firstRowLastColumn="0" w:lastRowFirstColumn="0" w:lastRowLastColumn="0"/>
              <w:rPr>
                <w:rFonts w:eastAsia="Times New Roman"/>
                <w:szCs w:val="24"/>
                <w:vertAlign w:val="superscript"/>
                <w:lang w:eastAsia="fi-FI"/>
              </w:rPr>
            </w:pPr>
            <w:r w:rsidRPr="004F0823">
              <w:rPr>
                <w:rFonts w:eastAsia="Times New Roman"/>
                <w:szCs w:val="24"/>
                <w:lang w:eastAsia="fi-FI"/>
              </w:rPr>
              <w:t>Model 1</w:t>
            </w:r>
            <w:r w:rsidR="00C81178" w:rsidRPr="004F0823">
              <w:rPr>
                <w:rFonts w:eastAsia="Times New Roman"/>
                <w:szCs w:val="24"/>
                <w:vertAlign w:val="superscript"/>
                <w:lang w:eastAsia="fi-FI"/>
              </w:rPr>
              <w:t>a</w:t>
            </w:r>
          </w:p>
          <w:p w14:paraId="625710A2" w14:textId="54F6735F" w:rsidR="003F2641" w:rsidRPr="004F0823" w:rsidRDefault="008F56F0" w:rsidP="00C470AB">
            <w:pPr>
              <w:pStyle w:val="Taulukonsislt"/>
              <w:framePr w:wrap="around"/>
              <w:cnfStyle w:val="100000000000" w:firstRow="1" w:lastRow="0" w:firstColumn="0" w:lastColumn="0" w:oddVBand="0" w:evenVBand="0" w:oddHBand="0" w:evenHBand="0" w:firstRowFirstColumn="0" w:firstRowLastColumn="0" w:lastRowFirstColumn="0" w:lastRowLastColumn="0"/>
              <w:rPr>
                <w:rFonts w:eastAsia="Times New Roman"/>
                <w:szCs w:val="24"/>
                <w:lang w:eastAsia="fi-FI"/>
              </w:rPr>
            </w:pPr>
            <w:r w:rsidRPr="007611E5">
              <w:rPr>
                <w:rFonts w:ascii="Symbol" w:hAnsi="Symbol"/>
                <w:i/>
              </w:rPr>
              <w:t></w:t>
            </w:r>
            <w:r w:rsidR="003F2641" w:rsidRPr="004F0823">
              <w:rPr>
                <w:rFonts w:eastAsia="Times New Roman"/>
                <w:i/>
                <w:szCs w:val="24"/>
                <w:lang w:eastAsia="fi-FI"/>
              </w:rPr>
              <w:t xml:space="preserve"> </w:t>
            </w:r>
            <w:r w:rsidR="003F2641" w:rsidRPr="004F0823">
              <w:rPr>
                <w:rFonts w:eastAsia="Times New Roman"/>
                <w:szCs w:val="24"/>
                <w:lang w:eastAsia="fi-FI"/>
              </w:rPr>
              <w:t>(95 %</w:t>
            </w:r>
            <w:r w:rsidR="003F2641" w:rsidRPr="004F0823">
              <w:rPr>
                <w:rFonts w:eastAsia="Times New Roman"/>
                <w:i/>
                <w:szCs w:val="24"/>
                <w:lang w:eastAsia="fi-FI"/>
              </w:rPr>
              <w:t xml:space="preserve"> </w:t>
            </w:r>
            <w:r w:rsidR="003F2641" w:rsidRPr="00F54CBE">
              <w:rPr>
                <w:rFonts w:eastAsia="Times New Roman"/>
                <w:szCs w:val="24"/>
                <w:lang w:eastAsia="fi-FI"/>
              </w:rPr>
              <w:t>CI)</w:t>
            </w:r>
          </w:p>
        </w:tc>
        <w:tc>
          <w:tcPr>
            <w:tcW w:w="2126" w:type="dxa"/>
          </w:tcPr>
          <w:p w14:paraId="45AD5E81" w14:textId="77777777" w:rsidR="009D1170" w:rsidRDefault="009D1170" w:rsidP="00C470AB">
            <w:pPr>
              <w:pStyle w:val="Taulukonsislt"/>
              <w:framePr w:wrap="around"/>
              <w:cnfStyle w:val="100000000000" w:firstRow="1" w:lastRow="0" w:firstColumn="0" w:lastColumn="0" w:oddVBand="0" w:evenVBand="0" w:oddHBand="0" w:evenHBand="0" w:firstRowFirstColumn="0" w:firstRowLastColumn="0" w:lastRowFirstColumn="0" w:lastRowLastColumn="0"/>
              <w:rPr>
                <w:i/>
              </w:rPr>
            </w:pPr>
          </w:p>
          <w:p w14:paraId="41261063" w14:textId="77777777" w:rsidR="003F2641" w:rsidRPr="004F0823" w:rsidRDefault="003F2641" w:rsidP="00C470AB">
            <w:pPr>
              <w:pStyle w:val="Taulukonsislt"/>
              <w:framePr w:wrap="around"/>
              <w:cnfStyle w:val="100000000000" w:firstRow="1" w:lastRow="0" w:firstColumn="0" w:lastColumn="0" w:oddVBand="0" w:evenVBand="0" w:oddHBand="0" w:evenHBand="0" w:firstRowFirstColumn="0" w:firstRowLastColumn="0" w:lastRowFirstColumn="0" w:lastRowLastColumn="0"/>
              <w:rPr>
                <w:i/>
              </w:rPr>
            </w:pPr>
            <w:r w:rsidRPr="004F0823">
              <w:rPr>
                <w:i/>
              </w:rPr>
              <w:t>p</w:t>
            </w:r>
          </w:p>
        </w:tc>
        <w:tc>
          <w:tcPr>
            <w:tcW w:w="1843" w:type="dxa"/>
          </w:tcPr>
          <w:p w14:paraId="6C4F7144" w14:textId="77777777" w:rsidR="003F2641" w:rsidRPr="004F0823" w:rsidRDefault="003F2641" w:rsidP="00C470AB">
            <w:pPr>
              <w:pStyle w:val="Taulukonsislt"/>
              <w:framePr w:wrap="around"/>
              <w:cnfStyle w:val="100000000000" w:firstRow="1" w:lastRow="0" w:firstColumn="0" w:lastColumn="0" w:oddVBand="0" w:evenVBand="0" w:oddHBand="0" w:evenHBand="0" w:firstRowFirstColumn="0" w:firstRowLastColumn="0" w:lastRowFirstColumn="0" w:lastRowLastColumn="0"/>
              <w:rPr>
                <w:vertAlign w:val="superscript"/>
              </w:rPr>
            </w:pPr>
            <w:r w:rsidRPr="004F0823">
              <w:t>Model 2</w:t>
            </w:r>
            <w:r w:rsidR="00C81178" w:rsidRPr="004F0823">
              <w:rPr>
                <w:vertAlign w:val="superscript"/>
              </w:rPr>
              <w:t>b</w:t>
            </w:r>
          </w:p>
          <w:p w14:paraId="3EB92C99" w14:textId="0DB4EA2B" w:rsidR="003F2641" w:rsidRPr="004F0823" w:rsidRDefault="008F56F0" w:rsidP="00C470AB">
            <w:pPr>
              <w:pStyle w:val="Taulukonsislt"/>
              <w:framePr w:wrap="around"/>
              <w:cnfStyle w:val="100000000000" w:firstRow="1" w:lastRow="0" w:firstColumn="0" w:lastColumn="0" w:oddVBand="0" w:evenVBand="0" w:oddHBand="0" w:evenHBand="0" w:firstRowFirstColumn="0" w:firstRowLastColumn="0" w:lastRowFirstColumn="0" w:lastRowLastColumn="0"/>
            </w:pPr>
            <w:r w:rsidRPr="007611E5">
              <w:rPr>
                <w:rFonts w:ascii="Symbol" w:hAnsi="Symbol"/>
                <w:i/>
              </w:rPr>
              <w:t></w:t>
            </w:r>
            <w:r w:rsidR="003F2641" w:rsidRPr="004F0823">
              <w:t xml:space="preserve"> (95 % </w:t>
            </w:r>
            <w:r w:rsidR="003F2641" w:rsidRPr="00F54CBE">
              <w:t>CI)</w:t>
            </w:r>
          </w:p>
        </w:tc>
        <w:tc>
          <w:tcPr>
            <w:tcW w:w="1276" w:type="dxa"/>
          </w:tcPr>
          <w:p w14:paraId="270F62A4" w14:textId="77777777" w:rsidR="009D1170" w:rsidRDefault="009D1170" w:rsidP="00C470AB">
            <w:pPr>
              <w:pStyle w:val="Taulukonsislt"/>
              <w:framePr w:wrap="around"/>
              <w:cnfStyle w:val="100000000000" w:firstRow="1" w:lastRow="0" w:firstColumn="0" w:lastColumn="0" w:oddVBand="0" w:evenVBand="0" w:oddHBand="0" w:evenHBand="0" w:firstRowFirstColumn="0" w:firstRowLastColumn="0" w:lastRowFirstColumn="0" w:lastRowLastColumn="0"/>
              <w:rPr>
                <w:i/>
              </w:rPr>
            </w:pPr>
          </w:p>
          <w:p w14:paraId="60F0BCD3" w14:textId="77777777" w:rsidR="003F2641" w:rsidRPr="004F0823" w:rsidRDefault="003F2641" w:rsidP="00C470AB">
            <w:pPr>
              <w:pStyle w:val="Taulukonsislt"/>
              <w:framePr w:wrap="around"/>
              <w:cnfStyle w:val="100000000000" w:firstRow="1" w:lastRow="0" w:firstColumn="0" w:lastColumn="0" w:oddVBand="0" w:evenVBand="0" w:oddHBand="0" w:evenHBand="0" w:firstRowFirstColumn="0" w:firstRowLastColumn="0" w:lastRowFirstColumn="0" w:lastRowLastColumn="0"/>
              <w:rPr>
                <w:i/>
              </w:rPr>
            </w:pPr>
            <w:r w:rsidRPr="004F0823">
              <w:rPr>
                <w:i/>
              </w:rPr>
              <w:t>p</w:t>
            </w:r>
          </w:p>
        </w:tc>
      </w:tr>
      <w:tr w:rsidR="003F2641" w:rsidRPr="004F0823" w14:paraId="4E9B1808" w14:textId="77777777" w:rsidTr="00C81178">
        <w:tc>
          <w:tcPr>
            <w:cnfStyle w:val="001000000000" w:firstRow="0" w:lastRow="0" w:firstColumn="1" w:lastColumn="0" w:oddVBand="0" w:evenVBand="0" w:oddHBand="0" w:evenHBand="0" w:firstRowFirstColumn="0" w:firstRowLastColumn="0" w:lastRowFirstColumn="0" w:lastRowLastColumn="0"/>
            <w:tcW w:w="2694" w:type="dxa"/>
          </w:tcPr>
          <w:p w14:paraId="3484524B" w14:textId="23F38E2E" w:rsidR="003F2641" w:rsidRPr="004F0823" w:rsidRDefault="003F2641" w:rsidP="00C470AB">
            <w:pPr>
              <w:pStyle w:val="Taulukonsislt"/>
              <w:framePr w:wrap="around"/>
            </w:pPr>
            <w:r w:rsidRPr="004F0823">
              <w:rPr>
                <w:rFonts w:eastAsia="Times New Roman"/>
                <w:color w:val="000000"/>
                <w:lang w:eastAsia="fi-FI"/>
              </w:rPr>
              <w:t>Chair</w:t>
            </w:r>
            <w:r w:rsidR="00834709">
              <w:rPr>
                <w:rFonts w:eastAsia="Times New Roman"/>
                <w:color w:val="000000"/>
                <w:lang w:eastAsia="fi-FI"/>
              </w:rPr>
              <w:t xml:space="preserve"> </w:t>
            </w:r>
            <w:r w:rsidRPr="004F0823">
              <w:rPr>
                <w:rFonts w:eastAsia="Times New Roman"/>
                <w:color w:val="000000"/>
                <w:lang w:eastAsia="fi-FI"/>
              </w:rPr>
              <w:t>Stand</w:t>
            </w:r>
          </w:p>
        </w:tc>
        <w:tc>
          <w:tcPr>
            <w:tcW w:w="1559" w:type="dxa"/>
          </w:tcPr>
          <w:p w14:paraId="5355DADD"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0.06 (0.05 to 0.07)</w:t>
            </w:r>
          </w:p>
        </w:tc>
        <w:tc>
          <w:tcPr>
            <w:tcW w:w="2126" w:type="dxa"/>
          </w:tcPr>
          <w:p w14:paraId="1FBA4566"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&lt;0.001</w:t>
            </w:r>
          </w:p>
        </w:tc>
        <w:tc>
          <w:tcPr>
            <w:tcW w:w="1843" w:type="dxa"/>
          </w:tcPr>
          <w:p w14:paraId="48053039"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0.05 (0.04 to 0.07)</w:t>
            </w:r>
          </w:p>
        </w:tc>
        <w:tc>
          <w:tcPr>
            <w:tcW w:w="1276" w:type="dxa"/>
          </w:tcPr>
          <w:p w14:paraId="0A17D034"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&lt;0.001</w:t>
            </w:r>
          </w:p>
        </w:tc>
      </w:tr>
      <w:tr w:rsidR="003F2641" w:rsidRPr="004F0823" w14:paraId="38EEA35A" w14:textId="77777777" w:rsidTr="00C81178">
        <w:tc>
          <w:tcPr>
            <w:cnfStyle w:val="001000000000" w:firstRow="0" w:lastRow="0" w:firstColumn="1" w:lastColumn="0" w:oddVBand="0" w:evenVBand="0" w:oddHBand="0" w:evenHBand="0" w:firstRowFirstColumn="0" w:firstRowLastColumn="0" w:lastRowFirstColumn="0" w:lastRowLastColumn="0"/>
            <w:tcW w:w="2694" w:type="dxa"/>
          </w:tcPr>
          <w:p w14:paraId="2EF5CD23" w14:textId="51A22EC9" w:rsidR="003F2641" w:rsidRPr="004F0823" w:rsidRDefault="003F2641" w:rsidP="00C470AB">
            <w:pPr>
              <w:pStyle w:val="Taulukonsislt"/>
              <w:framePr w:wrap="around"/>
            </w:pPr>
            <w:r w:rsidRPr="004F0823">
              <w:rPr>
                <w:rFonts w:eastAsia="Times New Roman"/>
                <w:color w:val="000000"/>
                <w:lang w:eastAsia="fi-FI"/>
              </w:rPr>
              <w:t>ArmCurl</w:t>
            </w:r>
          </w:p>
        </w:tc>
        <w:tc>
          <w:tcPr>
            <w:tcW w:w="1559" w:type="dxa"/>
          </w:tcPr>
          <w:p w14:paraId="26CB9693"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0.02 (0.01 to 0.04)</w:t>
            </w:r>
          </w:p>
        </w:tc>
        <w:tc>
          <w:tcPr>
            <w:tcW w:w="2126" w:type="dxa"/>
          </w:tcPr>
          <w:p w14:paraId="6B5C5D97"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0.020</w:t>
            </w:r>
          </w:p>
        </w:tc>
        <w:tc>
          <w:tcPr>
            <w:tcW w:w="1843" w:type="dxa"/>
          </w:tcPr>
          <w:p w14:paraId="517F620A"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0.02 (0.00 to 0.03)</w:t>
            </w:r>
          </w:p>
        </w:tc>
        <w:tc>
          <w:tcPr>
            <w:tcW w:w="1276" w:type="dxa"/>
          </w:tcPr>
          <w:p w14:paraId="1EE100F6"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t>0.021</w:t>
            </w:r>
          </w:p>
        </w:tc>
      </w:tr>
      <w:tr w:rsidR="003F2641" w:rsidRPr="004F0823" w14:paraId="320C137E" w14:textId="77777777" w:rsidTr="00C81178">
        <w:tc>
          <w:tcPr>
            <w:cnfStyle w:val="001000000000" w:firstRow="0" w:lastRow="0" w:firstColumn="1" w:lastColumn="0" w:oddVBand="0" w:evenVBand="0" w:oddHBand="0" w:evenHBand="0" w:firstRowFirstColumn="0" w:firstRowLastColumn="0" w:lastRowFirstColumn="0" w:lastRowLastColumn="0"/>
            <w:tcW w:w="2694" w:type="dxa"/>
          </w:tcPr>
          <w:p w14:paraId="35FD8033" w14:textId="55E9B813" w:rsidR="003F2641" w:rsidRPr="004F0823" w:rsidRDefault="003F2641" w:rsidP="00C470AB">
            <w:pPr>
              <w:pStyle w:val="Taulukonsislt"/>
              <w:framePr w:wrap="around"/>
            </w:pPr>
            <w:r w:rsidRPr="004F0823">
              <w:rPr>
                <w:rFonts w:eastAsia="Times New Roman"/>
                <w:color w:val="000000"/>
                <w:lang w:eastAsia="fi-FI"/>
              </w:rPr>
              <w:t>ChairSitandReach</w:t>
            </w:r>
          </w:p>
        </w:tc>
        <w:tc>
          <w:tcPr>
            <w:tcW w:w="1559" w:type="dxa"/>
          </w:tcPr>
          <w:p w14:paraId="592BE976"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0.03 (0.02 to 0.05)</w:t>
            </w:r>
          </w:p>
        </w:tc>
        <w:tc>
          <w:tcPr>
            <w:tcW w:w="2126" w:type="dxa"/>
          </w:tcPr>
          <w:p w14:paraId="04A831E8"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&lt;0.001</w:t>
            </w:r>
          </w:p>
        </w:tc>
        <w:tc>
          <w:tcPr>
            <w:tcW w:w="1843" w:type="dxa"/>
          </w:tcPr>
          <w:p w14:paraId="438F432F"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0.03 (0.02 to 0.05)</w:t>
            </w:r>
          </w:p>
        </w:tc>
        <w:tc>
          <w:tcPr>
            <w:tcW w:w="1276" w:type="dxa"/>
          </w:tcPr>
          <w:p w14:paraId="6A113ADD"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&lt;0.001</w:t>
            </w:r>
          </w:p>
        </w:tc>
      </w:tr>
      <w:tr w:rsidR="003F2641" w:rsidRPr="004F0823" w14:paraId="32FBD8AE" w14:textId="77777777" w:rsidTr="00C81178">
        <w:tc>
          <w:tcPr>
            <w:cnfStyle w:val="001000000000" w:firstRow="0" w:lastRow="0" w:firstColumn="1" w:lastColumn="0" w:oddVBand="0" w:evenVBand="0" w:oddHBand="0" w:evenHBand="0" w:firstRowFirstColumn="0" w:firstRowLastColumn="0" w:lastRowFirstColumn="0" w:lastRowLastColumn="0"/>
            <w:tcW w:w="2694" w:type="dxa"/>
          </w:tcPr>
          <w:p w14:paraId="14548F22" w14:textId="02478FB1" w:rsidR="003F2641" w:rsidRPr="004F0823" w:rsidRDefault="003F2641" w:rsidP="00C470AB">
            <w:pPr>
              <w:pStyle w:val="Taulukonsislt"/>
              <w:framePr w:wrap="around"/>
            </w:pPr>
            <w:r w:rsidRPr="004F0823">
              <w:rPr>
                <w:rFonts w:eastAsia="Times New Roman"/>
                <w:color w:val="000000"/>
                <w:lang w:eastAsia="fi-FI"/>
              </w:rPr>
              <w:t xml:space="preserve">SixminWalk </w:t>
            </w:r>
          </w:p>
        </w:tc>
        <w:tc>
          <w:tcPr>
            <w:tcW w:w="1559" w:type="dxa"/>
          </w:tcPr>
          <w:p w14:paraId="0B03D456"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0.09 (0.08 to 0.10)</w:t>
            </w:r>
          </w:p>
        </w:tc>
        <w:tc>
          <w:tcPr>
            <w:tcW w:w="2126" w:type="dxa"/>
          </w:tcPr>
          <w:p w14:paraId="2CF59793"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&lt;0.001</w:t>
            </w:r>
          </w:p>
        </w:tc>
        <w:tc>
          <w:tcPr>
            <w:tcW w:w="1843" w:type="dxa"/>
          </w:tcPr>
          <w:p w14:paraId="64C49BF2"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0.09 (0.08 to 0.1)</w:t>
            </w:r>
          </w:p>
        </w:tc>
        <w:tc>
          <w:tcPr>
            <w:tcW w:w="1276" w:type="dxa"/>
          </w:tcPr>
          <w:p w14:paraId="659F7FEF"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&lt;0.001</w:t>
            </w:r>
          </w:p>
        </w:tc>
      </w:tr>
      <w:tr w:rsidR="003F2641" w:rsidRPr="004F0823" w14:paraId="7A3470DA" w14:textId="77777777" w:rsidTr="00C81178">
        <w:tc>
          <w:tcPr>
            <w:cnfStyle w:val="001000000000" w:firstRow="0" w:lastRow="0" w:firstColumn="1" w:lastColumn="0" w:oddVBand="0" w:evenVBand="0" w:oddHBand="0" w:evenHBand="0" w:firstRowFirstColumn="0" w:firstRowLastColumn="0" w:lastRowFirstColumn="0" w:lastRowLastColumn="0"/>
            <w:tcW w:w="2694" w:type="dxa"/>
          </w:tcPr>
          <w:p w14:paraId="02B4516C" w14:textId="0E60242A" w:rsidR="003F2641" w:rsidRPr="004F0823" w:rsidRDefault="003F2641" w:rsidP="00C470AB">
            <w:pPr>
              <w:pStyle w:val="Taulukonsislt"/>
              <w:framePr w:wrap="around"/>
            </w:pPr>
            <w:r w:rsidRPr="004F0823">
              <w:rPr>
                <w:rFonts w:eastAsia="Times New Roman"/>
                <w:color w:val="000000"/>
                <w:lang w:eastAsia="fi-FI"/>
              </w:rPr>
              <w:t>BackScratch</w:t>
            </w:r>
          </w:p>
        </w:tc>
        <w:tc>
          <w:tcPr>
            <w:tcW w:w="1559" w:type="dxa"/>
            <w:vAlign w:val="bottom"/>
          </w:tcPr>
          <w:p w14:paraId="5AA45747"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0.05 (0.04 to 0.07)</w:t>
            </w:r>
          </w:p>
        </w:tc>
        <w:tc>
          <w:tcPr>
            <w:tcW w:w="2126" w:type="dxa"/>
          </w:tcPr>
          <w:p w14:paraId="6DB51DBA"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&lt;0.001</w:t>
            </w:r>
          </w:p>
        </w:tc>
        <w:tc>
          <w:tcPr>
            <w:tcW w:w="1843" w:type="dxa"/>
            <w:vAlign w:val="bottom"/>
          </w:tcPr>
          <w:p w14:paraId="58425EBB"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4F0823">
              <w:rPr>
                <w:rFonts w:eastAsia="Times New Roman"/>
                <w:color w:val="000000"/>
                <w:lang w:eastAsia="fi-FI"/>
              </w:rPr>
              <w:t>0.05 (0.04 to 0.07)</w:t>
            </w:r>
          </w:p>
        </w:tc>
        <w:tc>
          <w:tcPr>
            <w:tcW w:w="1276" w:type="dxa"/>
          </w:tcPr>
          <w:p w14:paraId="05391703" w14:textId="77777777" w:rsidR="003F2641" w:rsidRPr="004F0823" w:rsidRDefault="003F2641" w:rsidP="00C470AB">
            <w:pPr>
              <w:pStyle w:val="Taulukonsislt"/>
              <w:framePr w:wrap="around"/>
              <w:cnfStyle w:val="000000000000" w:firstRow="0" w:lastRow="0" w:firstColumn="0" w:lastColumn="0" w:oddVBand="0" w:evenVBand="0" w:oddHBand="0" w:evenHBand="0" w:firstRowFirstColumn="0" w:firstRowLastColumn="0" w:lastRowFirstColumn="0" w:lastRowLastColumn="0"/>
            </w:pPr>
            <w:r w:rsidRPr="004F0823">
              <w:rPr>
                <w:rFonts w:eastAsia="Times New Roman"/>
                <w:color w:val="000000"/>
                <w:lang w:eastAsia="fi-FI"/>
              </w:rPr>
              <w:t>&lt;0.001</w:t>
            </w:r>
          </w:p>
        </w:tc>
      </w:tr>
    </w:tbl>
    <w:p w14:paraId="48DA6630" w14:textId="5283BFA2" w:rsidR="00C81178" w:rsidRPr="004F0823" w:rsidRDefault="00AA7551" w:rsidP="00C81178">
      <w:pPr>
        <w:pStyle w:val="Taulukonalakommentit"/>
        <w:tabs>
          <w:tab w:val="left" w:pos="3600"/>
        </w:tabs>
        <w:rPr>
          <w:rFonts w:cs="Arial"/>
          <w:vertAlign w:val="superscript"/>
        </w:rPr>
      </w:pPr>
      <w:r>
        <w:rPr>
          <w:rFonts w:cs="Arial"/>
          <w:vertAlign w:val="superscript"/>
        </w:rPr>
        <w:t>a</w:t>
      </w:r>
      <w:r w:rsidR="00C81178" w:rsidRPr="004F0823">
        <w:rPr>
          <w:rFonts w:cs="Arial"/>
        </w:rPr>
        <w:t>Model 1</w:t>
      </w:r>
      <w:r w:rsidR="0029637D">
        <w:rPr>
          <w:rFonts w:cs="Arial"/>
        </w:rPr>
        <w:t>: Multiple linear regression</w:t>
      </w:r>
      <w:r w:rsidR="00C81178" w:rsidRPr="004F0823">
        <w:rPr>
          <w:rFonts w:cs="Arial"/>
        </w:rPr>
        <w:t xml:space="preserve"> adjusted for age and sex</w:t>
      </w:r>
    </w:p>
    <w:p w14:paraId="43003F9B" w14:textId="77777777" w:rsidR="00E95D30" w:rsidRDefault="00AA7551" w:rsidP="00DF3C1E">
      <w:pPr>
        <w:pStyle w:val="Taulukonalakommentit"/>
        <w:rPr>
          <w:rFonts w:cs="Arial"/>
        </w:rPr>
      </w:pPr>
      <w:r>
        <w:rPr>
          <w:rFonts w:cs="Arial"/>
          <w:vertAlign w:val="superscript"/>
        </w:rPr>
        <w:t>b</w:t>
      </w:r>
      <w:r w:rsidR="00C81178" w:rsidRPr="004F0823">
        <w:rPr>
          <w:rFonts w:cs="Arial"/>
        </w:rPr>
        <w:t>Model 2</w:t>
      </w:r>
      <w:r w:rsidR="0029637D">
        <w:rPr>
          <w:rFonts w:cs="Arial"/>
        </w:rPr>
        <w:t>: Multiple linea</w:t>
      </w:r>
      <w:r w:rsidR="00046F08">
        <w:rPr>
          <w:rFonts w:cs="Arial"/>
        </w:rPr>
        <w:t xml:space="preserve">r </w:t>
      </w:r>
      <w:r w:rsidR="0029637D">
        <w:rPr>
          <w:rFonts w:cs="Arial"/>
        </w:rPr>
        <w:t>regression</w:t>
      </w:r>
      <w:r w:rsidR="00C81178" w:rsidRPr="004F0823">
        <w:rPr>
          <w:rFonts w:cs="Arial"/>
        </w:rPr>
        <w:t xml:space="preserve"> adjusted for age, sex, smoking and </w:t>
      </w:r>
      <w:r w:rsidR="008A149F">
        <w:rPr>
          <w:rFonts w:cs="Arial"/>
        </w:rPr>
        <w:t>educational attainment</w:t>
      </w:r>
    </w:p>
    <w:p w14:paraId="5A34B31E" w14:textId="7B950023" w:rsidR="00DF3C1E" w:rsidRDefault="00DF3C1E" w:rsidP="00DF3C1E">
      <w:pPr>
        <w:pStyle w:val="Taulukonalakommentit"/>
        <w:rPr>
          <w:rFonts w:cs="Arial"/>
        </w:rPr>
      </w:pPr>
      <w:r>
        <w:rPr>
          <w:rStyle w:val="TaulukonalakommentitChar"/>
          <w:rFonts w:cs="Arial"/>
        </w:rPr>
        <w:t xml:space="preserve">Abbreviations: </w:t>
      </w:r>
      <w:r w:rsidRPr="007611E5">
        <w:rPr>
          <w:rFonts w:ascii="Symbol" w:hAnsi="Symbol"/>
          <w:i/>
        </w:rPr>
        <w:t></w:t>
      </w:r>
      <w:r>
        <w:rPr>
          <w:rFonts w:ascii="Symbol" w:hAnsi="Symbol"/>
        </w:rPr>
        <w:t></w:t>
      </w:r>
      <w:r>
        <w:t xml:space="preserve"> regression coefficient; </w:t>
      </w:r>
      <w:r>
        <w:rPr>
          <w:rStyle w:val="TaulukonalakommentitChar"/>
          <w:rFonts w:cs="Arial"/>
        </w:rPr>
        <w:t>CI, confidence interval</w:t>
      </w:r>
    </w:p>
    <w:p w14:paraId="6F2600D3" w14:textId="20D17C09" w:rsidR="00915A22" w:rsidRPr="00CF4885" w:rsidRDefault="00915A22" w:rsidP="009469DD">
      <w:pPr>
        <w:rPr>
          <w:lang w:val="en-GB"/>
        </w:rPr>
        <w:sectPr w:rsidR="00915A22" w:rsidRPr="00CF4885">
          <w:pgSz w:w="11906" w:h="16838"/>
          <w:pgMar w:top="1417" w:right="1134" w:bottom="1417" w:left="1134" w:header="708" w:footer="708" w:gutter="0"/>
          <w:cols w:space="708"/>
          <w:docGrid w:linePitch="360"/>
        </w:sectPr>
      </w:pPr>
    </w:p>
    <w:p w14:paraId="104ECD97" w14:textId="73FDA598" w:rsidR="003548F8" w:rsidRPr="004F0823" w:rsidRDefault="003548F8" w:rsidP="00C470AB">
      <w:pPr>
        <w:pStyle w:val="Caption"/>
        <w:keepNext/>
        <w:ind w:left="-142"/>
        <w:rPr>
          <w:rFonts w:cs="Arial"/>
          <w:lang w:val="en-GB"/>
        </w:rPr>
      </w:pPr>
      <w:r w:rsidRPr="004F0823">
        <w:rPr>
          <w:rFonts w:cs="Arial"/>
          <w:b/>
          <w:lang w:val="en-GB"/>
        </w:rPr>
        <w:lastRenderedPageBreak/>
        <w:t xml:space="preserve">Table </w:t>
      </w:r>
      <w:r w:rsidRPr="004F0823">
        <w:rPr>
          <w:rFonts w:cs="Arial"/>
          <w:b/>
        </w:rPr>
        <w:fldChar w:fldCharType="begin"/>
      </w:r>
      <w:r w:rsidRPr="004F0823">
        <w:rPr>
          <w:rFonts w:cs="Arial"/>
          <w:b/>
          <w:lang w:val="en-GB"/>
        </w:rPr>
        <w:instrText xml:space="preserve"> SEQ Table \* ARABIC </w:instrText>
      </w:r>
      <w:r w:rsidRPr="004F0823">
        <w:rPr>
          <w:rFonts w:cs="Arial"/>
          <w:b/>
        </w:rPr>
        <w:fldChar w:fldCharType="separate"/>
      </w:r>
      <w:r w:rsidR="00291B26">
        <w:rPr>
          <w:rFonts w:cs="Arial"/>
          <w:b/>
          <w:noProof/>
          <w:lang w:val="en-GB"/>
        </w:rPr>
        <w:t>4</w:t>
      </w:r>
      <w:r w:rsidRPr="004F0823">
        <w:rPr>
          <w:rFonts w:cs="Arial"/>
          <w:b/>
        </w:rPr>
        <w:fldChar w:fldCharType="end"/>
      </w:r>
      <w:r w:rsidRPr="004F0823">
        <w:rPr>
          <w:rFonts w:cs="Arial"/>
          <w:b/>
          <w:lang w:val="en-GB"/>
        </w:rPr>
        <w:t>s</w:t>
      </w:r>
      <w:r w:rsidRPr="004F0823">
        <w:rPr>
          <w:rFonts w:cs="Arial"/>
          <w:lang w:val="en-GB"/>
        </w:rPr>
        <w:t xml:space="preserve"> </w:t>
      </w:r>
      <w:r w:rsidR="00BF2C17">
        <w:rPr>
          <w:rFonts w:cs="Arial"/>
          <w:lang w:val="en-GB"/>
        </w:rPr>
        <w:t>The association between the objectively</w:t>
      </w:r>
      <w:r w:rsidR="00834709">
        <w:rPr>
          <w:rFonts w:cs="Arial"/>
          <w:lang w:val="en-GB"/>
        </w:rPr>
        <w:t xml:space="preserve"> measured</w:t>
      </w:r>
      <w:r w:rsidR="00BF2C17">
        <w:rPr>
          <w:rFonts w:cs="Arial"/>
          <w:lang w:val="en-GB"/>
        </w:rPr>
        <w:t xml:space="preserve"> total physical activity and the different components of </w:t>
      </w:r>
      <w:r w:rsidR="00834709">
        <w:rPr>
          <w:rFonts w:cs="Arial"/>
          <w:lang w:val="en-GB"/>
        </w:rPr>
        <w:t>Senior Fitness Test.</w:t>
      </w:r>
    </w:p>
    <w:tbl>
      <w:tblPr>
        <w:tblStyle w:val="Vriksluettelotaulukko6-korostus31"/>
        <w:tblW w:w="14992" w:type="dxa"/>
        <w:tblLayout w:type="fixed"/>
        <w:tblLook w:val="04A0" w:firstRow="1" w:lastRow="0" w:firstColumn="1" w:lastColumn="0" w:noHBand="0" w:noVBand="1"/>
      </w:tblPr>
      <w:tblGrid>
        <w:gridCol w:w="2410"/>
        <w:gridCol w:w="1754"/>
        <w:gridCol w:w="710"/>
        <w:gridCol w:w="1700"/>
        <w:gridCol w:w="710"/>
        <w:gridCol w:w="1755"/>
        <w:gridCol w:w="850"/>
        <w:gridCol w:w="1701"/>
        <w:gridCol w:w="851"/>
        <w:gridCol w:w="1701"/>
        <w:gridCol w:w="850"/>
      </w:tblGrid>
      <w:tr w:rsidR="003548F8" w:rsidRPr="004F0823" w14:paraId="3FD834D3" w14:textId="77777777" w:rsidTr="00946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FBC2A8D" w14:textId="77777777" w:rsidR="009D1170" w:rsidRDefault="009D1170" w:rsidP="00C470AB">
            <w:pPr>
              <w:pStyle w:val="Taulukonsislt"/>
              <w:framePr w:wrap="around" w:x="-142"/>
              <w:ind w:left="-108"/>
              <w:rPr>
                <w:lang w:eastAsia="fi-FI"/>
              </w:rPr>
            </w:pPr>
          </w:p>
          <w:p w14:paraId="3A31DB7E" w14:textId="77777777" w:rsidR="003548F8" w:rsidRPr="004F0823" w:rsidRDefault="003548F8" w:rsidP="00C470AB">
            <w:pPr>
              <w:pStyle w:val="Taulukonsislt"/>
              <w:framePr w:wrap="around" w:x="-142"/>
              <w:ind w:left="-108"/>
              <w:rPr>
                <w:lang w:eastAsia="fi-FI"/>
              </w:rPr>
            </w:pPr>
            <w:r w:rsidRPr="004F0823">
              <w:rPr>
                <w:lang w:eastAsia="fi-FI"/>
              </w:rPr>
              <w:t>The volume of PA</w:t>
            </w:r>
          </w:p>
        </w:tc>
        <w:tc>
          <w:tcPr>
            <w:tcW w:w="1754" w:type="dxa"/>
          </w:tcPr>
          <w:p w14:paraId="25BE4F1C" w14:textId="0484D14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Chair</w:t>
            </w:r>
            <w:r w:rsidR="00834709">
              <w:rPr>
                <w:color w:val="000000"/>
                <w:lang w:eastAsia="fi-FI"/>
              </w:rPr>
              <w:t xml:space="preserve"> </w:t>
            </w:r>
            <w:r w:rsidRPr="004F0823">
              <w:rPr>
                <w:color w:val="000000"/>
                <w:lang w:eastAsia="fi-FI"/>
              </w:rPr>
              <w:t>Stand</w:t>
            </w:r>
          </w:p>
          <w:p w14:paraId="10EDB2F3" w14:textId="46B7F673" w:rsidR="003548F8" w:rsidRPr="004F0823" w:rsidRDefault="008F56F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7611E5">
              <w:rPr>
                <w:rFonts w:ascii="Symbol" w:hAnsi="Symbol"/>
                <w:i/>
              </w:rPr>
              <w:t></w:t>
            </w:r>
            <w:r w:rsidR="003548F8" w:rsidRPr="004F0823">
              <w:rPr>
                <w:i/>
                <w:color w:val="000000"/>
                <w:lang w:eastAsia="fi-FI"/>
              </w:rPr>
              <w:t xml:space="preserve"> </w:t>
            </w:r>
            <w:r w:rsidR="003548F8" w:rsidRPr="004F0823">
              <w:rPr>
                <w:color w:val="000000"/>
                <w:lang w:eastAsia="fi-FI"/>
              </w:rPr>
              <w:t>(95 %</w:t>
            </w:r>
            <w:r w:rsidR="003548F8" w:rsidRPr="004F0823">
              <w:rPr>
                <w:i/>
                <w:color w:val="000000"/>
                <w:lang w:eastAsia="fi-FI"/>
              </w:rPr>
              <w:t xml:space="preserve"> </w:t>
            </w:r>
            <w:r w:rsidR="003548F8" w:rsidRPr="00F54CBE">
              <w:rPr>
                <w:color w:val="000000"/>
                <w:lang w:eastAsia="fi-FI"/>
              </w:rPr>
              <w:t>CI</w:t>
            </w:r>
            <w:r w:rsidR="003548F8" w:rsidRPr="004F0823">
              <w:rPr>
                <w:color w:val="000000"/>
                <w:lang w:eastAsia="fi-FI"/>
              </w:rPr>
              <w:t>)</w:t>
            </w:r>
          </w:p>
        </w:tc>
        <w:tc>
          <w:tcPr>
            <w:tcW w:w="710" w:type="dxa"/>
          </w:tcPr>
          <w:p w14:paraId="1447F703" w14:textId="77777777" w:rsidR="009D1170" w:rsidRDefault="009D117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p>
          <w:p w14:paraId="09F6DC96" w14:textId="7777777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4F0823">
              <w:rPr>
                <w:i/>
                <w:color w:val="000000"/>
                <w:lang w:eastAsia="fi-FI"/>
              </w:rPr>
              <w:t>p</w:t>
            </w:r>
          </w:p>
        </w:tc>
        <w:tc>
          <w:tcPr>
            <w:tcW w:w="1700" w:type="dxa"/>
          </w:tcPr>
          <w:p w14:paraId="5E7924D5" w14:textId="765D4B75" w:rsidR="003548F8" w:rsidRPr="004F0823" w:rsidRDefault="00CD0B27"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color w:val="000000"/>
                <w:lang w:eastAsia="fi-FI"/>
              </w:rPr>
            </w:pPr>
            <w:r>
              <w:rPr>
                <w:color w:val="000000"/>
                <w:lang w:eastAsia="fi-FI"/>
              </w:rPr>
              <w:t>Arm</w:t>
            </w:r>
            <w:r w:rsidR="00834709">
              <w:rPr>
                <w:color w:val="000000"/>
                <w:lang w:eastAsia="fi-FI"/>
              </w:rPr>
              <w:t xml:space="preserve"> </w:t>
            </w:r>
            <w:r>
              <w:rPr>
                <w:color w:val="000000"/>
                <w:lang w:eastAsia="fi-FI"/>
              </w:rPr>
              <w:t>Curl</w:t>
            </w:r>
          </w:p>
          <w:p w14:paraId="6886DE03" w14:textId="1A767BB6" w:rsidR="003548F8" w:rsidRPr="004F0823" w:rsidRDefault="008F56F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7611E5">
              <w:rPr>
                <w:rFonts w:ascii="Symbol" w:hAnsi="Symbol"/>
                <w:i/>
              </w:rPr>
              <w:t></w:t>
            </w:r>
            <w:r w:rsidR="003548F8" w:rsidRPr="004F0823">
              <w:rPr>
                <w:i/>
                <w:color w:val="000000"/>
                <w:lang w:eastAsia="fi-FI"/>
              </w:rPr>
              <w:t xml:space="preserve"> </w:t>
            </w:r>
            <w:r w:rsidR="003548F8" w:rsidRPr="004F0823">
              <w:rPr>
                <w:color w:val="000000"/>
                <w:lang w:eastAsia="fi-FI"/>
              </w:rPr>
              <w:t>(95 %</w:t>
            </w:r>
            <w:r w:rsidR="003548F8" w:rsidRPr="004F0823">
              <w:rPr>
                <w:i/>
                <w:color w:val="000000"/>
                <w:lang w:eastAsia="fi-FI"/>
              </w:rPr>
              <w:t xml:space="preserve"> </w:t>
            </w:r>
            <w:r w:rsidR="003548F8" w:rsidRPr="00F54CBE">
              <w:rPr>
                <w:color w:val="000000"/>
                <w:lang w:eastAsia="fi-FI"/>
              </w:rPr>
              <w:t>CI</w:t>
            </w:r>
            <w:r w:rsidR="003548F8" w:rsidRPr="004F0823">
              <w:rPr>
                <w:color w:val="000000"/>
                <w:lang w:eastAsia="fi-FI"/>
              </w:rPr>
              <w:t>)</w:t>
            </w:r>
          </w:p>
        </w:tc>
        <w:tc>
          <w:tcPr>
            <w:tcW w:w="710" w:type="dxa"/>
          </w:tcPr>
          <w:p w14:paraId="27DBE1DE" w14:textId="77777777" w:rsidR="009D1170" w:rsidRDefault="009D117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p>
          <w:p w14:paraId="190002BE" w14:textId="7777777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4F0823">
              <w:rPr>
                <w:i/>
                <w:color w:val="000000"/>
                <w:lang w:eastAsia="fi-FI"/>
              </w:rPr>
              <w:t>p</w:t>
            </w:r>
          </w:p>
        </w:tc>
        <w:tc>
          <w:tcPr>
            <w:tcW w:w="1755" w:type="dxa"/>
          </w:tcPr>
          <w:p w14:paraId="3075EAD9" w14:textId="7424D052" w:rsidR="003548F8" w:rsidRPr="004F0823" w:rsidRDefault="00CD0B27"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color w:val="000000"/>
                <w:lang w:eastAsia="fi-FI"/>
              </w:rPr>
            </w:pPr>
            <w:r>
              <w:rPr>
                <w:color w:val="000000"/>
                <w:lang w:eastAsia="fi-FI"/>
              </w:rPr>
              <w:t>Chair</w:t>
            </w:r>
            <w:r w:rsidR="00834709">
              <w:rPr>
                <w:color w:val="000000"/>
                <w:lang w:eastAsia="fi-FI"/>
              </w:rPr>
              <w:t xml:space="preserve"> </w:t>
            </w:r>
            <w:r w:rsidR="003548F8" w:rsidRPr="004F0823">
              <w:rPr>
                <w:color w:val="000000"/>
                <w:lang w:eastAsia="fi-FI"/>
              </w:rPr>
              <w:t>Sit</w:t>
            </w:r>
            <w:r w:rsidR="00834709">
              <w:rPr>
                <w:color w:val="000000"/>
                <w:lang w:eastAsia="fi-FI"/>
              </w:rPr>
              <w:t xml:space="preserve"> </w:t>
            </w:r>
            <w:r w:rsidR="003548F8" w:rsidRPr="004F0823">
              <w:rPr>
                <w:color w:val="000000"/>
                <w:lang w:eastAsia="fi-FI"/>
              </w:rPr>
              <w:t>and</w:t>
            </w:r>
            <w:r w:rsidR="00834709">
              <w:rPr>
                <w:color w:val="000000"/>
                <w:lang w:eastAsia="fi-FI"/>
              </w:rPr>
              <w:t xml:space="preserve"> </w:t>
            </w:r>
            <w:r w:rsidR="003548F8" w:rsidRPr="004F0823">
              <w:rPr>
                <w:color w:val="000000"/>
                <w:lang w:eastAsia="fi-FI"/>
              </w:rPr>
              <w:t>Reach</w:t>
            </w:r>
          </w:p>
          <w:p w14:paraId="36BF46AC" w14:textId="4E74B81A" w:rsidR="003548F8" w:rsidRPr="004F0823" w:rsidRDefault="008F56F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7611E5">
              <w:rPr>
                <w:rFonts w:ascii="Symbol" w:hAnsi="Symbol"/>
                <w:i/>
              </w:rPr>
              <w:t></w:t>
            </w:r>
            <w:r w:rsidR="003548F8" w:rsidRPr="004F0823">
              <w:rPr>
                <w:i/>
                <w:color w:val="000000"/>
                <w:lang w:eastAsia="fi-FI"/>
              </w:rPr>
              <w:t xml:space="preserve"> </w:t>
            </w:r>
            <w:r w:rsidR="003548F8" w:rsidRPr="004F0823">
              <w:rPr>
                <w:color w:val="000000"/>
                <w:lang w:eastAsia="fi-FI"/>
              </w:rPr>
              <w:t>(95 %</w:t>
            </w:r>
            <w:r w:rsidR="003548F8" w:rsidRPr="004F0823">
              <w:rPr>
                <w:i/>
                <w:color w:val="000000"/>
                <w:lang w:eastAsia="fi-FI"/>
              </w:rPr>
              <w:t xml:space="preserve"> CI</w:t>
            </w:r>
            <w:r w:rsidR="003548F8" w:rsidRPr="004F0823">
              <w:rPr>
                <w:color w:val="000000"/>
                <w:lang w:eastAsia="fi-FI"/>
              </w:rPr>
              <w:t>)</w:t>
            </w:r>
          </w:p>
        </w:tc>
        <w:tc>
          <w:tcPr>
            <w:tcW w:w="850" w:type="dxa"/>
          </w:tcPr>
          <w:p w14:paraId="3974C8D5" w14:textId="77777777" w:rsidR="009D1170" w:rsidRDefault="009D117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p>
          <w:p w14:paraId="63070508" w14:textId="7777777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4F0823">
              <w:rPr>
                <w:i/>
                <w:color w:val="000000"/>
                <w:lang w:eastAsia="fi-FI"/>
              </w:rPr>
              <w:t>p</w:t>
            </w:r>
          </w:p>
        </w:tc>
        <w:tc>
          <w:tcPr>
            <w:tcW w:w="1701" w:type="dxa"/>
          </w:tcPr>
          <w:p w14:paraId="1F58E7DD" w14:textId="40D84C3B"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Six</w:t>
            </w:r>
            <w:r w:rsidR="00834709">
              <w:rPr>
                <w:color w:val="000000"/>
                <w:lang w:eastAsia="fi-FI"/>
              </w:rPr>
              <w:t xml:space="preserve"> </w:t>
            </w:r>
            <w:r w:rsidRPr="004F0823">
              <w:rPr>
                <w:color w:val="000000"/>
                <w:lang w:eastAsia="fi-FI"/>
              </w:rPr>
              <w:t>min</w:t>
            </w:r>
            <w:r w:rsidR="00834709">
              <w:rPr>
                <w:color w:val="000000"/>
                <w:lang w:eastAsia="fi-FI"/>
              </w:rPr>
              <w:t>ute w</w:t>
            </w:r>
            <w:r w:rsidRPr="004F0823">
              <w:rPr>
                <w:color w:val="000000"/>
                <w:lang w:eastAsia="fi-FI"/>
              </w:rPr>
              <w:t>alk</w:t>
            </w:r>
            <w:r w:rsidR="00834709">
              <w:rPr>
                <w:color w:val="000000"/>
                <w:lang w:eastAsia="fi-FI"/>
              </w:rPr>
              <w:t xml:space="preserve"> test</w:t>
            </w:r>
          </w:p>
          <w:p w14:paraId="30C3C89A" w14:textId="6EC7A61E" w:rsidR="003548F8" w:rsidRPr="004F0823" w:rsidRDefault="008F56F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7611E5">
              <w:rPr>
                <w:rFonts w:ascii="Symbol" w:hAnsi="Symbol"/>
                <w:i/>
              </w:rPr>
              <w:t></w:t>
            </w:r>
            <w:r w:rsidR="003548F8" w:rsidRPr="004F0823">
              <w:rPr>
                <w:i/>
                <w:color w:val="000000"/>
                <w:lang w:eastAsia="fi-FI"/>
              </w:rPr>
              <w:t xml:space="preserve"> </w:t>
            </w:r>
            <w:r w:rsidR="003548F8" w:rsidRPr="004F0823">
              <w:rPr>
                <w:color w:val="000000"/>
                <w:lang w:eastAsia="fi-FI"/>
              </w:rPr>
              <w:t>(95 %</w:t>
            </w:r>
            <w:r w:rsidR="003548F8" w:rsidRPr="004F0823">
              <w:rPr>
                <w:i/>
                <w:color w:val="000000"/>
                <w:lang w:eastAsia="fi-FI"/>
              </w:rPr>
              <w:t xml:space="preserve"> </w:t>
            </w:r>
            <w:r w:rsidR="003548F8" w:rsidRPr="00F54CBE">
              <w:rPr>
                <w:color w:val="000000"/>
                <w:lang w:eastAsia="fi-FI"/>
              </w:rPr>
              <w:t>CI</w:t>
            </w:r>
            <w:r w:rsidR="003548F8" w:rsidRPr="004F0823">
              <w:rPr>
                <w:color w:val="000000"/>
                <w:lang w:eastAsia="fi-FI"/>
              </w:rPr>
              <w:t>)</w:t>
            </w:r>
          </w:p>
        </w:tc>
        <w:tc>
          <w:tcPr>
            <w:tcW w:w="851" w:type="dxa"/>
          </w:tcPr>
          <w:p w14:paraId="50495C49" w14:textId="77777777" w:rsidR="009D1170" w:rsidRDefault="009D117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p>
          <w:p w14:paraId="61F38214" w14:textId="7777777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4F0823">
              <w:rPr>
                <w:i/>
                <w:color w:val="000000"/>
                <w:lang w:eastAsia="fi-FI"/>
              </w:rPr>
              <w:t>p</w:t>
            </w:r>
          </w:p>
        </w:tc>
        <w:tc>
          <w:tcPr>
            <w:tcW w:w="1701" w:type="dxa"/>
          </w:tcPr>
          <w:p w14:paraId="55D213B4" w14:textId="44F1451B"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Back</w:t>
            </w:r>
            <w:r w:rsidR="00834709">
              <w:rPr>
                <w:color w:val="000000"/>
                <w:lang w:eastAsia="fi-FI"/>
              </w:rPr>
              <w:t xml:space="preserve"> </w:t>
            </w:r>
            <w:r w:rsidRPr="004F0823">
              <w:rPr>
                <w:color w:val="000000"/>
                <w:lang w:eastAsia="fi-FI"/>
              </w:rPr>
              <w:t>Scratch</w:t>
            </w:r>
          </w:p>
          <w:p w14:paraId="774AC371" w14:textId="7C3CC395" w:rsidR="003548F8" w:rsidRPr="004F0823" w:rsidRDefault="008F56F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7611E5">
              <w:rPr>
                <w:rFonts w:ascii="Symbol" w:hAnsi="Symbol"/>
                <w:i/>
              </w:rPr>
              <w:t></w:t>
            </w:r>
            <w:r w:rsidR="003548F8" w:rsidRPr="004F0823">
              <w:rPr>
                <w:i/>
                <w:color w:val="000000"/>
                <w:lang w:eastAsia="fi-FI"/>
              </w:rPr>
              <w:t xml:space="preserve"> </w:t>
            </w:r>
            <w:r w:rsidR="003548F8" w:rsidRPr="004F0823">
              <w:rPr>
                <w:color w:val="000000"/>
                <w:lang w:eastAsia="fi-FI"/>
              </w:rPr>
              <w:t>(95 %</w:t>
            </w:r>
            <w:r w:rsidR="003548F8" w:rsidRPr="004F0823">
              <w:rPr>
                <w:i/>
                <w:color w:val="000000"/>
                <w:lang w:eastAsia="fi-FI"/>
              </w:rPr>
              <w:t xml:space="preserve"> </w:t>
            </w:r>
            <w:r w:rsidR="003548F8" w:rsidRPr="00F54CBE">
              <w:rPr>
                <w:color w:val="000000"/>
                <w:lang w:eastAsia="fi-FI"/>
              </w:rPr>
              <w:t>CI)</w:t>
            </w:r>
          </w:p>
        </w:tc>
        <w:tc>
          <w:tcPr>
            <w:tcW w:w="850" w:type="dxa"/>
          </w:tcPr>
          <w:p w14:paraId="29662C3F" w14:textId="77777777" w:rsidR="009D1170" w:rsidRDefault="009D1170"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p>
          <w:p w14:paraId="0A38CB34" w14:textId="77777777" w:rsidR="003548F8" w:rsidRPr="004F0823" w:rsidRDefault="003548F8" w:rsidP="00C470AB">
            <w:pPr>
              <w:pStyle w:val="Taulukonsislt"/>
              <w:framePr w:wrap="around" w:x="-142"/>
              <w:cnfStyle w:val="100000000000" w:firstRow="1" w:lastRow="0" w:firstColumn="0" w:lastColumn="0" w:oddVBand="0" w:evenVBand="0" w:oddHBand="0" w:evenHBand="0" w:firstRowFirstColumn="0" w:firstRowLastColumn="0" w:lastRowFirstColumn="0" w:lastRowLastColumn="0"/>
              <w:rPr>
                <w:i/>
                <w:color w:val="000000"/>
                <w:lang w:eastAsia="fi-FI"/>
              </w:rPr>
            </w:pPr>
            <w:r w:rsidRPr="004F0823">
              <w:rPr>
                <w:i/>
                <w:color w:val="000000"/>
                <w:lang w:eastAsia="fi-FI"/>
              </w:rPr>
              <w:t>p</w:t>
            </w:r>
          </w:p>
        </w:tc>
      </w:tr>
      <w:tr w:rsidR="003548F8" w:rsidRPr="004F0823" w14:paraId="34C0F1B8"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646F5F90" w14:textId="77777777" w:rsidR="003548F8" w:rsidRPr="004F0823" w:rsidRDefault="003548F8" w:rsidP="00C470AB">
            <w:pPr>
              <w:pStyle w:val="Taulukonsislt"/>
              <w:framePr w:wrap="around" w:x="-142"/>
              <w:ind w:left="-108"/>
              <w:rPr>
                <w:sz w:val="18"/>
                <w:vertAlign w:val="superscript"/>
                <w:lang w:eastAsia="fi-FI"/>
              </w:rPr>
            </w:pPr>
            <w:r w:rsidRPr="004F0823">
              <w:rPr>
                <w:lang w:eastAsia="fi-FI"/>
              </w:rPr>
              <w:t>Model 1</w:t>
            </w:r>
            <w:r w:rsidRPr="004F0823">
              <w:rPr>
                <w:vertAlign w:val="superscript"/>
                <w:lang w:eastAsia="fi-FI"/>
              </w:rPr>
              <w:t>a</w:t>
            </w:r>
          </w:p>
        </w:tc>
        <w:tc>
          <w:tcPr>
            <w:tcW w:w="1754" w:type="dxa"/>
          </w:tcPr>
          <w:p w14:paraId="1FB1FA25"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710" w:type="dxa"/>
          </w:tcPr>
          <w:p w14:paraId="09D62753"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i/>
                <w:color w:val="000000"/>
                <w:lang w:eastAsia="fi-FI"/>
              </w:rPr>
            </w:pPr>
          </w:p>
        </w:tc>
        <w:tc>
          <w:tcPr>
            <w:tcW w:w="1700" w:type="dxa"/>
          </w:tcPr>
          <w:p w14:paraId="77AF525F"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710" w:type="dxa"/>
          </w:tcPr>
          <w:p w14:paraId="1BF801B2"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i/>
                <w:color w:val="000000"/>
                <w:lang w:eastAsia="fi-FI"/>
              </w:rPr>
            </w:pPr>
          </w:p>
        </w:tc>
        <w:tc>
          <w:tcPr>
            <w:tcW w:w="1755" w:type="dxa"/>
          </w:tcPr>
          <w:p w14:paraId="1465D4D2"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0" w:type="dxa"/>
          </w:tcPr>
          <w:p w14:paraId="21A236E3"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i/>
                <w:color w:val="000000"/>
                <w:lang w:eastAsia="fi-FI"/>
              </w:rPr>
            </w:pPr>
          </w:p>
        </w:tc>
        <w:tc>
          <w:tcPr>
            <w:tcW w:w="1701" w:type="dxa"/>
          </w:tcPr>
          <w:p w14:paraId="67205796"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1" w:type="dxa"/>
          </w:tcPr>
          <w:p w14:paraId="5ECD0D60"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i/>
                <w:color w:val="000000"/>
                <w:lang w:eastAsia="fi-FI"/>
              </w:rPr>
            </w:pPr>
          </w:p>
        </w:tc>
        <w:tc>
          <w:tcPr>
            <w:tcW w:w="1701" w:type="dxa"/>
          </w:tcPr>
          <w:p w14:paraId="7B870DB0"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0" w:type="dxa"/>
          </w:tcPr>
          <w:p w14:paraId="072515C6" w14:textId="77777777" w:rsidR="003548F8" w:rsidRPr="004F0823" w:rsidRDefault="003548F8" w:rsidP="00C470AB">
            <w:pPr>
              <w:pStyle w:val="Taulukonsislt"/>
              <w:framePr w:wrap="around" w:x="-142"/>
              <w:cnfStyle w:val="000000000000" w:firstRow="0" w:lastRow="0" w:firstColumn="0" w:lastColumn="0" w:oddVBand="0" w:evenVBand="0" w:oddHBand="0" w:evenHBand="0" w:firstRowFirstColumn="0" w:firstRowLastColumn="0" w:lastRowFirstColumn="0" w:lastRowLastColumn="0"/>
              <w:rPr>
                <w:i/>
                <w:color w:val="000000"/>
                <w:lang w:eastAsia="fi-FI"/>
              </w:rPr>
            </w:pPr>
          </w:p>
        </w:tc>
      </w:tr>
      <w:tr w:rsidR="00F56D85" w:rsidRPr="004F0823" w14:paraId="0B2BE3CA"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690600CC" w14:textId="5097E335" w:rsidR="00F56D85" w:rsidRPr="004F0823" w:rsidRDefault="00F56D85" w:rsidP="00F56D85">
            <w:pPr>
              <w:pStyle w:val="Taulukonsislt"/>
              <w:framePr w:wrap="around" w:x="-142"/>
              <w:rPr>
                <w:color w:val="000000"/>
                <w:lang w:eastAsia="fi-FI"/>
              </w:rPr>
            </w:pPr>
            <w:r w:rsidRPr="004F0823">
              <w:rPr>
                <w:color w:val="000000"/>
                <w:lang w:eastAsia="fi-FI"/>
              </w:rPr>
              <w:t>Total volume (METh/d)</w:t>
            </w:r>
          </w:p>
        </w:tc>
        <w:tc>
          <w:tcPr>
            <w:tcW w:w="1754" w:type="dxa"/>
          </w:tcPr>
          <w:p w14:paraId="265993F6"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0.06 (0.05 to 0.07)</w:t>
            </w:r>
          </w:p>
        </w:tc>
        <w:tc>
          <w:tcPr>
            <w:tcW w:w="710" w:type="dxa"/>
          </w:tcPr>
          <w:p w14:paraId="558E15E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46EA9748"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0.02 (0.01 to 0.04)</w:t>
            </w:r>
          </w:p>
        </w:tc>
        <w:tc>
          <w:tcPr>
            <w:tcW w:w="710" w:type="dxa"/>
          </w:tcPr>
          <w:p w14:paraId="30BA7BA0"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0.020</w:t>
            </w:r>
          </w:p>
        </w:tc>
        <w:tc>
          <w:tcPr>
            <w:tcW w:w="1755" w:type="dxa"/>
          </w:tcPr>
          <w:p w14:paraId="7D257420"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(0.02 to 0.05)</w:t>
            </w:r>
          </w:p>
        </w:tc>
        <w:tc>
          <w:tcPr>
            <w:tcW w:w="850" w:type="dxa"/>
          </w:tcPr>
          <w:p w14:paraId="20E4E90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08CBD576"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0.09 (0.08 to 0.10)</w:t>
            </w:r>
          </w:p>
        </w:tc>
        <w:tc>
          <w:tcPr>
            <w:tcW w:w="851" w:type="dxa"/>
          </w:tcPr>
          <w:p w14:paraId="0EC8BA48"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459F084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(0.04 to 0.07)</w:t>
            </w:r>
          </w:p>
        </w:tc>
        <w:tc>
          <w:tcPr>
            <w:tcW w:w="850" w:type="dxa"/>
          </w:tcPr>
          <w:p w14:paraId="010DD83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r w:rsidR="00F56D85" w:rsidRPr="004F0823" w14:paraId="6822FAD2"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2DCE65E5" w14:textId="6DF44D68" w:rsidR="00F56D85" w:rsidRPr="004F0823" w:rsidRDefault="00DC6D1F" w:rsidP="00F56D85">
            <w:pPr>
              <w:pStyle w:val="Taulukonsislt"/>
              <w:framePr w:wrap="around" w:x="-142"/>
              <w:rPr>
                <w:color w:val="000000"/>
                <w:lang w:eastAsia="fi-FI"/>
              </w:rPr>
            </w:pPr>
            <w:r>
              <w:rPr>
                <w:color w:val="000000"/>
                <w:lang w:eastAsia="fi-FI"/>
              </w:rPr>
              <w:t>Volume of ST</w:t>
            </w:r>
            <w:r w:rsidR="00F56D85" w:rsidRPr="004F0823">
              <w:rPr>
                <w:color w:val="000000"/>
                <w:lang w:eastAsia="fi-FI"/>
              </w:rPr>
              <w:t xml:space="preserve"> (METh/d)</w:t>
            </w:r>
          </w:p>
        </w:tc>
        <w:tc>
          <w:tcPr>
            <w:tcW w:w="1754" w:type="dxa"/>
          </w:tcPr>
          <w:p w14:paraId="6227D94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-0.18 (-0.23 to -0.13)</w:t>
            </w:r>
          </w:p>
        </w:tc>
        <w:tc>
          <w:tcPr>
            <w:tcW w:w="710" w:type="dxa"/>
          </w:tcPr>
          <w:p w14:paraId="2DC8054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6D801E1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-0.12 (-0.17 to -0.07)</w:t>
            </w:r>
          </w:p>
        </w:tc>
        <w:tc>
          <w:tcPr>
            <w:tcW w:w="710" w:type="dxa"/>
          </w:tcPr>
          <w:p w14:paraId="670FE86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55" w:type="dxa"/>
          </w:tcPr>
          <w:p w14:paraId="68543F6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(-0.10 to 0.01)</w:t>
            </w:r>
          </w:p>
        </w:tc>
        <w:tc>
          <w:tcPr>
            <w:tcW w:w="850" w:type="dxa"/>
          </w:tcPr>
          <w:p w14:paraId="0310B61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0.078</w:t>
            </w:r>
          </w:p>
        </w:tc>
        <w:tc>
          <w:tcPr>
            <w:tcW w:w="1701" w:type="dxa"/>
          </w:tcPr>
          <w:p w14:paraId="33269D9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-0.15 (-0.20 to -0.10)</w:t>
            </w:r>
          </w:p>
        </w:tc>
        <w:tc>
          <w:tcPr>
            <w:tcW w:w="851" w:type="dxa"/>
          </w:tcPr>
          <w:p w14:paraId="6B78B91E"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1162B022"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0.04 (-0.01 to 0.09)</w:t>
            </w:r>
          </w:p>
        </w:tc>
        <w:tc>
          <w:tcPr>
            <w:tcW w:w="850" w:type="dxa"/>
          </w:tcPr>
          <w:p w14:paraId="120BC220"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0.145</w:t>
            </w:r>
          </w:p>
        </w:tc>
      </w:tr>
      <w:tr w:rsidR="00F56D85" w:rsidRPr="004F0823" w14:paraId="2F129A02"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20FD4925" w14:textId="504A70DD" w:rsidR="00F56D85" w:rsidRPr="004F0823" w:rsidRDefault="00F56D85" w:rsidP="00F56D85">
            <w:pPr>
              <w:pStyle w:val="Taulukonsislt"/>
              <w:framePr w:wrap="around" w:x="-142"/>
              <w:rPr>
                <w:color w:val="000000"/>
                <w:lang w:eastAsia="fi-FI"/>
              </w:rPr>
            </w:pPr>
            <w:r>
              <w:rPr>
                <w:color w:val="000000"/>
                <w:lang w:eastAsia="fi-FI"/>
              </w:rPr>
              <w:t>Volume of light</w:t>
            </w:r>
            <w:r w:rsidRPr="004F0823">
              <w:rPr>
                <w:color w:val="000000"/>
                <w:lang w:eastAsia="fi-FI"/>
              </w:rPr>
              <w:t xml:space="preserve"> </w:t>
            </w:r>
            <w:r w:rsidR="000340CC">
              <w:rPr>
                <w:color w:val="000000"/>
                <w:lang w:eastAsia="fi-FI"/>
              </w:rPr>
              <w:t xml:space="preserve">PA </w:t>
            </w:r>
            <w:r w:rsidRPr="004F0823">
              <w:rPr>
                <w:color w:val="000000"/>
                <w:lang w:eastAsia="fi-FI"/>
              </w:rPr>
              <w:t>(METh/d)</w:t>
            </w:r>
          </w:p>
        </w:tc>
        <w:tc>
          <w:tcPr>
            <w:tcW w:w="1754" w:type="dxa"/>
          </w:tcPr>
          <w:p w14:paraId="2FEBD7C6"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0.09 (0.06 to 0.11)</w:t>
            </w:r>
          </w:p>
        </w:tc>
        <w:tc>
          <w:tcPr>
            <w:tcW w:w="710" w:type="dxa"/>
          </w:tcPr>
          <w:p w14:paraId="05C19DC7"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6FCE7C6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(0.00 to 0.05)</w:t>
            </w:r>
          </w:p>
        </w:tc>
        <w:tc>
          <w:tcPr>
            <w:tcW w:w="710" w:type="dxa"/>
          </w:tcPr>
          <w:p w14:paraId="5F87ACEC"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0.031</w:t>
            </w:r>
          </w:p>
        </w:tc>
        <w:tc>
          <w:tcPr>
            <w:tcW w:w="1755" w:type="dxa"/>
          </w:tcPr>
          <w:p w14:paraId="7301BF6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(0.01 to 0.06)</w:t>
            </w:r>
          </w:p>
        </w:tc>
        <w:tc>
          <w:tcPr>
            <w:tcW w:w="850" w:type="dxa"/>
          </w:tcPr>
          <w:p w14:paraId="25190BA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0.004</w:t>
            </w:r>
          </w:p>
        </w:tc>
        <w:tc>
          <w:tcPr>
            <w:tcW w:w="1701" w:type="dxa"/>
          </w:tcPr>
          <w:p w14:paraId="4CE06D0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0.11 (0.08 to 0.13)</w:t>
            </w:r>
          </w:p>
        </w:tc>
        <w:tc>
          <w:tcPr>
            <w:tcW w:w="851" w:type="dxa"/>
          </w:tcPr>
          <w:p w14:paraId="58C31582"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4F1CFB0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(0.03 to 0.08)</w:t>
            </w:r>
          </w:p>
        </w:tc>
        <w:tc>
          <w:tcPr>
            <w:tcW w:w="850" w:type="dxa"/>
          </w:tcPr>
          <w:p w14:paraId="25D67350"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r w:rsidR="00F56D85" w:rsidRPr="004F0823" w14:paraId="0DABFC2F"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77AAFF50" w14:textId="52D89F48" w:rsidR="00F56D85" w:rsidRPr="004F0823" w:rsidRDefault="00F56D85" w:rsidP="00F56D85">
            <w:pPr>
              <w:pStyle w:val="Taulukonsislt"/>
              <w:framePr w:wrap="around" w:x="-142"/>
              <w:rPr>
                <w:color w:val="000000"/>
                <w:lang w:eastAsia="fi-FI"/>
              </w:rPr>
            </w:pPr>
            <w:r>
              <w:rPr>
                <w:color w:val="000000"/>
                <w:lang w:eastAsia="fi-FI"/>
              </w:rPr>
              <w:t>Volume of MVPA</w:t>
            </w:r>
            <w:r w:rsidRPr="004F0823">
              <w:rPr>
                <w:color w:val="000000"/>
                <w:lang w:eastAsia="fi-FI"/>
              </w:rPr>
              <w:t xml:space="preserve"> (METh/d)</w:t>
            </w:r>
          </w:p>
        </w:tc>
        <w:tc>
          <w:tcPr>
            <w:tcW w:w="1754" w:type="dxa"/>
          </w:tcPr>
          <w:p w14:paraId="76118FE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0.07 (0.05 to 0.09)</w:t>
            </w:r>
          </w:p>
        </w:tc>
        <w:tc>
          <w:tcPr>
            <w:tcW w:w="710" w:type="dxa"/>
          </w:tcPr>
          <w:p w14:paraId="1ACB7EA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0BC64A0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0.04 (0.02 to 0.06)</w:t>
            </w:r>
          </w:p>
        </w:tc>
        <w:tc>
          <w:tcPr>
            <w:tcW w:w="710" w:type="dxa"/>
          </w:tcPr>
          <w:p w14:paraId="51137A7C"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55" w:type="dxa"/>
          </w:tcPr>
          <w:p w14:paraId="734ED5D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0.04 (0.02 to 0.06)</w:t>
            </w:r>
          </w:p>
        </w:tc>
        <w:tc>
          <w:tcPr>
            <w:tcW w:w="850" w:type="dxa"/>
          </w:tcPr>
          <w:p w14:paraId="326F71E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787267A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0.11 (0.09 to 0.12)</w:t>
            </w:r>
          </w:p>
        </w:tc>
        <w:tc>
          <w:tcPr>
            <w:tcW w:w="851" w:type="dxa"/>
          </w:tcPr>
          <w:p w14:paraId="57FED08C"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6593804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(0.03 to 0.07)</w:t>
            </w:r>
          </w:p>
        </w:tc>
        <w:tc>
          <w:tcPr>
            <w:tcW w:w="850" w:type="dxa"/>
          </w:tcPr>
          <w:p w14:paraId="66ACC91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r w:rsidR="00F56D85" w:rsidRPr="004F0823" w14:paraId="33F2D527"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19F655B8" w14:textId="117B5EE7" w:rsidR="00F56D85" w:rsidRPr="004F0823" w:rsidRDefault="00F56D85" w:rsidP="00F56D85">
            <w:pPr>
              <w:pStyle w:val="Taulukonsislt"/>
              <w:framePr w:wrap="around" w:x="-142"/>
              <w:ind w:left="-108"/>
              <w:rPr>
                <w:color w:val="000000"/>
                <w:vertAlign w:val="superscript"/>
                <w:lang w:eastAsia="fi-FI"/>
              </w:rPr>
            </w:pPr>
            <w:r w:rsidRPr="004F0823">
              <w:rPr>
                <w:color w:val="000000"/>
                <w:lang w:eastAsia="fi-FI"/>
              </w:rPr>
              <w:t>Model 2</w:t>
            </w:r>
            <w:r w:rsidRPr="004F0823">
              <w:rPr>
                <w:color w:val="000000"/>
                <w:vertAlign w:val="superscript"/>
                <w:lang w:eastAsia="fi-FI"/>
              </w:rPr>
              <w:t>b</w:t>
            </w:r>
          </w:p>
        </w:tc>
        <w:tc>
          <w:tcPr>
            <w:tcW w:w="1754" w:type="dxa"/>
          </w:tcPr>
          <w:p w14:paraId="1A4321A1"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710" w:type="dxa"/>
          </w:tcPr>
          <w:p w14:paraId="1C6DD04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1700" w:type="dxa"/>
          </w:tcPr>
          <w:p w14:paraId="3BDC8691"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710" w:type="dxa"/>
          </w:tcPr>
          <w:p w14:paraId="162340C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1755" w:type="dxa"/>
          </w:tcPr>
          <w:p w14:paraId="6179769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0" w:type="dxa"/>
          </w:tcPr>
          <w:p w14:paraId="0BC7B708"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1701" w:type="dxa"/>
          </w:tcPr>
          <w:p w14:paraId="07C5738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1" w:type="dxa"/>
          </w:tcPr>
          <w:p w14:paraId="3CED5EF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1701" w:type="dxa"/>
          </w:tcPr>
          <w:p w14:paraId="7961765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c>
          <w:tcPr>
            <w:tcW w:w="850" w:type="dxa"/>
          </w:tcPr>
          <w:p w14:paraId="2B068396"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p>
        </w:tc>
      </w:tr>
      <w:tr w:rsidR="00F56D85" w:rsidRPr="004F0823" w14:paraId="14DFA359"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05E813D6" w14:textId="44F48C4C" w:rsidR="00F56D85" w:rsidRPr="004F0823" w:rsidRDefault="00F56D85" w:rsidP="00F56D85">
            <w:pPr>
              <w:pStyle w:val="Taulukonsislt"/>
              <w:framePr w:wrap="around" w:x="-142"/>
              <w:rPr>
                <w:color w:val="000000"/>
                <w:lang w:eastAsia="fi-FI"/>
              </w:rPr>
            </w:pPr>
            <w:r w:rsidRPr="004F0823">
              <w:rPr>
                <w:color w:val="000000"/>
                <w:lang w:eastAsia="fi-FI"/>
              </w:rPr>
              <w:t>Total volume (METh/d)</w:t>
            </w:r>
          </w:p>
        </w:tc>
        <w:tc>
          <w:tcPr>
            <w:tcW w:w="1754" w:type="dxa"/>
          </w:tcPr>
          <w:p w14:paraId="334DA3F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(0.04 to 0.07)</w:t>
            </w:r>
          </w:p>
        </w:tc>
        <w:tc>
          <w:tcPr>
            <w:tcW w:w="710" w:type="dxa"/>
          </w:tcPr>
          <w:p w14:paraId="4498803E"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297C9CDF"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0.02 (0.00 to 0.03)</w:t>
            </w:r>
          </w:p>
        </w:tc>
        <w:tc>
          <w:tcPr>
            <w:tcW w:w="710" w:type="dxa"/>
          </w:tcPr>
          <w:p w14:paraId="2C9AE26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0.021</w:t>
            </w:r>
          </w:p>
        </w:tc>
        <w:tc>
          <w:tcPr>
            <w:tcW w:w="1755" w:type="dxa"/>
          </w:tcPr>
          <w:p w14:paraId="4CEBE5D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(0.02 to 0.05)</w:t>
            </w:r>
          </w:p>
        </w:tc>
        <w:tc>
          <w:tcPr>
            <w:tcW w:w="850" w:type="dxa"/>
          </w:tcPr>
          <w:p w14:paraId="10DCC52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0083C8B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0.09 (0.08 to 0.1)</w:t>
            </w:r>
          </w:p>
        </w:tc>
        <w:tc>
          <w:tcPr>
            <w:tcW w:w="851" w:type="dxa"/>
          </w:tcPr>
          <w:p w14:paraId="5AB8487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6AC095E1"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(0.04 to 0.07)</w:t>
            </w:r>
          </w:p>
        </w:tc>
        <w:tc>
          <w:tcPr>
            <w:tcW w:w="850" w:type="dxa"/>
          </w:tcPr>
          <w:p w14:paraId="7942DB2F"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r w:rsidR="00F56D85" w:rsidRPr="004F0823" w14:paraId="3E9636DD"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628A37D1" w14:textId="74B72B47" w:rsidR="00F56D85" w:rsidRPr="004F0823" w:rsidRDefault="00DC6D1F" w:rsidP="00F56D85">
            <w:pPr>
              <w:pStyle w:val="Taulukonsislt"/>
              <w:framePr w:wrap="around" w:x="-142"/>
              <w:rPr>
                <w:color w:val="000000"/>
                <w:lang w:eastAsia="fi-FI"/>
              </w:rPr>
            </w:pPr>
            <w:r>
              <w:rPr>
                <w:color w:val="000000"/>
                <w:lang w:eastAsia="fi-FI"/>
              </w:rPr>
              <w:t>Volume of ST</w:t>
            </w:r>
            <w:r w:rsidR="00F56D85" w:rsidRPr="004F0823">
              <w:rPr>
                <w:color w:val="000000"/>
                <w:lang w:eastAsia="fi-FI"/>
              </w:rPr>
              <w:t xml:space="preserve"> (METh/d)</w:t>
            </w:r>
          </w:p>
        </w:tc>
        <w:tc>
          <w:tcPr>
            <w:tcW w:w="1754" w:type="dxa"/>
          </w:tcPr>
          <w:p w14:paraId="6B8C266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-0.16 (-0.22 to -0.11)</w:t>
            </w:r>
          </w:p>
        </w:tc>
        <w:tc>
          <w:tcPr>
            <w:tcW w:w="710" w:type="dxa"/>
          </w:tcPr>
          <w:p w14:paraId="7AA99F8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58599F6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-0.10 (-0.16 to 0.05)</w:t>
            </w:r>
          </w:p>
        </w:tc>
        <w:tc>
          <w:tcPr>
            <w:tcW w:w="710" w:type="dxa"/>
          </w:tcPr>
          <w:p w14:paraId="01446C5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55" w:type="dxa"/>
          </w:tcPr>
          <w:p w14:paraId="38FDE5A1"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-0.04 (-0.09 to 0.01)</w:t>
            </w:r>
          </w:p>
        </w:tc>
        <w:tc>
          <w:tcPr>
            <w:tcW w:w="850" w:type="dxa"/>
          </w:tcPr>
          <w:p w14:paraId="7F5F340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0.127</w:t>
            </w:r>
          </w:p>
        </w:tc>
        <w:tc>
          <w:tcPr>
            <w:tcW w:w="1701" w:type="dxa"/>
          </w:tcPr>
          <w:p w14:paraId="025B83A7"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-0.13 (-0.18 to -0.08)</w:t>
            </w:r>
          </w:p>
        </w:tc>
        <w:tc>
          <w:tcPr>
            <w:tcW w:w="851" w:type="dxa"/>
          </w:tcPr>
          <w:p w14:paraId="0BD65D6F"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39CB34E8"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(-0.01 to 0.10)</w:t>
            </w:r>
          </w:p>
        </w:tc>
        <w:tc>
          <w:tcPr>
            <w:tcW w:w="850" w:type="dxa"/>
          </w:tcPr>
          <w:p w14:paraId="43B980F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0.086</w:t>
            </w:r>
          </w:p>
        </w:tc>
      </w:tr>
      <w:tr w:rsidR="00F56D85" w:rsidRPr="004F0823" w14:paraId="158B1B5A"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23C384AB" w14:textId="320443AC" w:rsidR="00F56D85" w:rsidRPr="004F0823" w:rsidRDefault="00F56D85" w:rsidP="00F56D85">
            <w:pPr>
              <w:pStyle w:val="Taulukonsislt"/>
              <w:framePr w:wrap="around" w:x="-142"/>
              <w:rPr>
                <w:color w:val="000000"/>
                <w:lang w:eastAsia="fi-FI"/>
              </w:rPr>
            </w:pPr>
            <w:r>
              <w:rPr>
                <w:color w:val="000000"/>
                <w:lang w:eastAsia="fi-FI"/>
              </w:rPr>
              <w:t>Volume of light</w:t>
            </w:r>
            <w:r w:rsidRPr="004F0823">
              <w:rPr>
                <w:color w:val="000000"/>
                <w:lang w:eastAsia="fi-FI"/>
              </w:rPr>
              <w:t xml:space="preserve"> </w:t>
            </w:r>
            <w:r w:rsidR="000340CC">
              <w:rPr>
                <w:color w:val="000000"/>
                <w:lang w:eastAsia="fi-FI"/>
              </w:rPr>
              <w:t xml:space="preserve">PA </w:t>
            </w:r>
            <w:r w:rsidRPr="004F0823">
              <w:rPr>
                <w:color w:val="000000"/>
                <w:lang w:eastAsia="fi-FI"/>
              </w:rPr>
              <w:t>(METh/d)</w:t>
            </w:r>
          </w:p>
        </w:tc>
        <w:tc>
          <w:tcPr>
            <w:tcW w:w="1754" w:type="dxa"/>
          </w:tcPr>
          <w:p w14:paraId="1EC5596F"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0.08 (0.06 to 0.10)</w:t>
            </w:r>
          </w:p>
        </w:tc>
        <w:tc>
          <w:tcPr>
            <w:tcW w:w="710" w:type="dxa"/>
          </w:tcPr>
          <w:p w14:paraId="1404AB7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12332AFC"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0.02 (-0.00 to 0.04)</w:t>
            </w:r>
          </w:p>
        </w:tc>
        <w:tc>
          <w:tcPr>
            <w:tcW w:w="710" w:type="dxa"/>
          </w:tcPr>
          <w:p w14:paraId="5004B9D9"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0.101</w:t>
            </w:r>
          </w:p>
        </w:tc>
        <w:tc>
          <w:tcPr>
            <w:tcW w:w="1755" w:type="dxa"/>
          </w:tcPr>
          <w:p w14:paraId="605A8B6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(0.01 to 0.05)</w:t>
            </w:r>
          </w:p>
        </w:tc>
        <w:tc>
          <w:tcPr>
            <w:tcW w:w="850" w:type="dxa"/>
          </w:tcPr>
          <w:p w14:paraId="0CA3CD6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0.011</w:t>
            </w:r>
          </w:p>
        </w:tc>
        <w:tc>
          <w:tcPr>
            <w:tcW w:w="1701" w:type="dxa"/>
          </w:tcPr>
          <w:p w14:paraId="030AFAF4"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0.10 (0.08 to 0.12)</w:t>
            </w:r>
          </w:p>
        </w:tc>
        <w:tc>
          <w:tcPr>
            <w:tcW w:w="851" w:type="dxa"/>
          </w:tcPr>
          <w:p w14:paraId="574A07A7"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4E148788"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(0.03 to 0.07)</w:t>
            </w:r>
          </w:p>
        </w:tc>
        <w:tc>
          <w:tcPr>
            <w:tcW w:w="850" w:type="dxa"/>
          </w:tcPr>
          <w:p w14:paraId="04A0528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r w:rsidR="00F56D85" w:rsidRPr="004F0823" w14:paraId="69D0DBBA" w14:textId="77777777" w:rsidTr="009469DD">
        <w:tc>
          <w:tcPr>
            <w:cnfStyle w:val="001000000000" w:firstRow="0" w:lastRow="0" w:firstColumn="1" w:lastColumn="0" w:oddVBand="0" w:evenVBand="0" w:oddHBand="0" w:evenHBand="0" w:firstRowFirstColumn="0" w:firstRowLastColumn="0" w:lastRowFirstColumn="0" w:lastRowLastColumn="0"/>
            <w:tcW w:w="2410" w:type="dxa"/>
          </w:tcPr>
          <w:p w14:paraId="14A50D69" w14:textId="68A4E124" w:rsidR="00F56D85" w:rsidRPr="004F0823" w:rsidRDefault="00F56D85" w:rsidP="00F56D85">
            <w:pPr>
              <w:pStyle w:val="Taulukonsislt"/>
              <w:framePr w:wrap="around" w:x="-142"/>
              <w:rPr>
                <w:color w:val="000000"/>
                <w:lang w:eastAsia="fi-FI"/>
              </w:rPr>
            </w:pPr>
            <w:r>
              <w:rPr>
                <w:color w:val="000000"/>
                <w:lang w:eastAsia="fi-FI"/>
              </w:rPr>
              <w:t>Volume of MVPA</w:t>
            </w:r>
            <w:r w:rsidRPr="004F0823">
              <w:rPr>
                <w:color w:val="000000"/>
                <w:lang w:eastAsia="fi-FI"/>
              </w:rPr>
              <w:t xml:space="preserve"> (METh/d)</w:t>
            </w:r>
          </w:p>
        </w:tc>
        <w:tc>
          <w:tcPr>
            <w:tcW w:w="1754" w:type="dxa"/>
          </w:tcPr>
          <w:p w14:paraId="1B003416"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0.06 (0.04 to 0.08)</w:t>
            </w:r>
          </w:p>
        </w:tc>
        <w:tc>
          <w:tcPr>
            <w:tcW w:w="710" w:type="dxa"/>
          </w:tcPr>
          <w:p w14:paraId="71DAF9A5"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0" w:type="dxa"/>
          </w:tcPr>
          <w:p w14:paraId="78A81DF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0.03 (0.01 to 0.05)</w:t>
            </w:r>
          </w:p>
        </w:tc>
        <w:tc>
          <w:tcPr>
            <w:tcW w:w="710" w:type="dxa"/>
          </w:tcPr>
          <w:p w14:paraId="64932DE0"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0.002</w:t>
            </w:r>
          </w:p>
        </w:tc>
        <w:tc>
          <w:tcPr>
            <w:tcW w:w="1755" w:type="dxa"/>
          </w:tcPr>
          <w:p w14:paraId="7D53E8C7"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0.04 (0.02 to 0.06)</w:t>
            </w:r>
          </w:p>
        </w:tc>
        <w:tc>
          <w:tcPr>
            <w:tcW w:w="850" w:type="dxa"/>
          </w:tcPr>
          <w:p w14:paraId="1716048B"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42B911DA"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0.10 (0.08 to 0.12)</w:t>
            </w:r>
          </w:p>
        </w:tc>
        <w:tc>
          <w:tcPr>
            <w:tcW w:w="851" w:type="dxa"/>
          </w:tcPr>
          <w:p w14:paraId="50EEAB5D"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c>
          <w:tcPr>
            <w:tcW w:w="1701" w:type="dxa"/>
          </w:tcPr>
          <w:p w14:paraId="6F310073"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0.05 (0.03 to 0.07)</w:t>
            </w:r>
          </w:p>
        </w:tc>
        <w:tc>
          <w:tcPr>
            <w:tcW w:w="850" w:type="dxa"/>
          </w:tcPr>
          <w:p w14:paraId="45EB2AAC" w14:textId="77777777" w:rsidR="00F56D85" w:rsidRPr="004F0823" w:rsidRDefault="00F56D85" w:rsidP="00F56D85">
            <w:pPr>
              <w:pStyle w:val="Taulukonsislt"/>
              <w:framePr w:wrap="around" w:x="-142"/>
              <w:cnfStyle w:val="000000000000" w:firstRow="0" w:lastRow="0" w:firstColumn="0" w:lastColumn="0" w:oddVBand="0" w:evenVBand="0" w:oddHBand="0" w:evenHBand="0" w:firstRowFirstColumn="0" w:firstRowLastColumn="0" w:lastRowFirstColumn="0" w:lastRowLastColumn="0"/>
              <w:rPr>
                <w:color w:val="000000"/>
                <w:lang w:eastAsia="fi-FI"/>
              </w:rPr>
            </w:pPr>
            <w:r w:rsidRPr="004F0823">
              <w:rPr>
                <w:color w:val="000000"/>
                <w:lang w:eastAsia="fi-FI"/>
              </w:rPr>
              <w:t>&lt;0.001</w:t>
            </w:r>
          </w:p>
        </w:tc>
      </w:tr>
    </w:tbl>
    <w:p w14:paraId="2C8726D7" w14:textId="4228208B" w:rsidR="00834709" w:rsidRPr="007611E5" w:rsidRDefault="00834709" w:rsidP="00C470AB">
      <w:pPr>
        <w:pStyle w:val="Taulukonalakommentit"/>
        <w:ind w:left="-142"/>
        <w:rPr>
          <w:rFonts w:cs="Arial"/>
        </w:rPr>
      </w:pPr>
      <w:r>
        <w:rPr>
          <w:rFonts w:cs="Arial"/>
        </w:rPr>
        <w:t>The component of Se</w:t>
      </w:r>
      <w:r w:rsidR="00935581">
        <w:rPr>
          <w:rFonts w:cs="Arial"/>
        </w:rPr>
        <w:t>ni</w:t>
      </w:r>
      <w:r>
        <w:rPr>
          <w:rFonts w:cs="Arial"/>
        </w:rPr>
        <w:t>or Fitness test were standardized before the analyses.</w:t>
      </w:r>
    </w:p>
    <w:p w14:paraId="0C8A6735" w14:textId="6AF1014B" w:rsidR="003548F8" w:rsidRPr="004F0823" w:rsidRDefault="003548F8" w:rsidP="00C470AB">
      <w:pPr>
        <w:pStyle w:val="Taulukonalakommentit"/>
        <w:ind w:left="-142"/>
        <w:rPr>
          <w:rFonts w:cs="Arial"/>
        </w:rPr>
      </w:pPr>
      <w:r w:rsidRPr="004F0823">
        <w:rPr>
          <w:rFonts w:cs="Arial"/>
          <w:vertAlign w:val="superscript"/>
        </w:rPr>
        <w:t>a</w:t>
      </w:r>
      <w:r w:rsidRPr="004F0823">
        <w:rPr>
          <w:rFonts w:cs="Arial"/>
        </w:rPr>
        <w:t>Model 1</w:t>
      </w:r>
      <w:r w:rsidR="00834709">
        <w:rPr>
          <w:rFonts w:cs="Arial"/>
        </w:rPr>
        <w:t>: Multiple linear regression</w:t>
      </w:r>
      <w:r w:rsidRPr="004F0823">
        <w:rPr>
          <w:rFonts w:cs="Arial"/>
        </w:rPr>
        <w:t xml:space="preserve"> adjusted for age and sex</w:t>
      </w:r>
    </w:p>
    <w:p w14:paraId="2949176B" w14:textId="77777777" w:rsidR="00E95D30" w:rsidRDefault="00C45A71" w:rsidP="00E95D30">
      <w:pPr>
        <w:pStyle w:val="Taulukonalakommentit"/>
        <w:ind w:left="-142"/>
        <w:rPr>
          <w:rFonts w:cs="Arial"/>
        </w:rPr>
      </w:pPr>
      <w:r>
        <w:rPr>
          <w:rFonts w:cs="Arial"/>
          <w:vertAlign w:val="superscript"/>
        </w:rPr>
        <w:t>b</w:t>
      </w:r>
      <w:r w:rsidR="003548F8" w:rsidRPr="004F0823">
        <w:rPr>
          <w:rFonts w:cs="Arial"/>
        </w:rPr>
        <w:t>Model 2</w:t>
      </w:r>
      <w:r w:rsidR="00834709">
        <w:rPr>
          <w:rFonts w:cs="Arial"/>
        </w:rPr>
        <w:t>: Multiple linear regression</w:t>
      </w:r>
      <w:r w:rsidR="003548F8" w:rsidRPr="004F0823">
        <w:rPr>
          <w:rFonts w:cs="Arial"/>
        </w:rPr>
        <w:t xml:space="preserve"> adjusted for age, </w:t>
      </w:r>
      <w:r w:rsidR="004F0823">
        <w:rPr>
          <w:rFonts w:cs="Arial"/>
        </w:rPr>
        <w:t xml:space="preserve">sex, smoking and </w:t>
      </w:r>
      <w:r w:rsidR="008A149F">
        <w:rPr>
          <w:rFonts w:cs="Arial"/>
        </w:rPr>
        <w:t>educational attainment</w:t>
      </w:r>
    </w:p>
    <w:p w14:paraId="7336F744" w14:textId="741426C7" w:rsidR="00F56D85" w:rsidRPr="00E95D30" w:rsidRDefault="00DF3C1E" w:rsidP="00E95D30">
      <w:pPr>
        <w:pStyle w:val="Taulukonalakommentit"/>
        <w:ind w:left="-142"/>
        <w:rPr>
          <w:rStyle w:val="TaulukonalakommentitChar"/>
          <w:rFonts w:cs="Arial"/>
          <w:iCs/>
        </w:rPr>
      </w:pPr>
      <w:r>
        <w:rPr>
          <w:rStyle w:val="TaulukonalakommentitChar"/>
          <w:rFonts w:cs="Arial"/>
        </w:rPr>
        <w:t xml:space="preserve">Abbreviations: PA, physical activity; </w:t>
      </w:r>
      <w:r w:rsidRPr="007611E5">
        <w:rPr>
          <w:rFonts w:ascii="Symbol" w:hAnsi="Symbol"/>
          <w:i/>
        </w:rPr>
        <w:t></w:t>
      </w:r>
      <w:r>
        <w:rPr>
          <w:rFonts w:ascii="Symbol" w:hAnsi="Symbol"/>
        </w:rPr>
        <w:t></w:t>
      </w:r>
      <w:r>
        <w:t xml:space="preserve"> regression coefficient; </w:t>
      </w:r>
      <w:r>
        <w:rPr>
          <w:rStyle w:val="TaulukonalakommentitChar"/>
          <w:rFonts w:cs="Arial"/>
        </w:rPr>
        <w:t>CI, confidence interval; MET, metabolic equivalents of task</w:t>
      </w:r>
      <w:r w:rsidR="00DC6D1F">
        <w:rPr>
          <w:rStyle w:val="TaulukonalakommentitChar"/>
          <w:rFonts w:cs="Arial"/>
        </w:rPr>
        <w:t>; ST, sedentary time</w:t>
      </w:r>
      <w:r w:rsidR="00F56D85">
        <w:rPr>
          <w:rStyle w:val="TaulukonalakommentitChar"/>
          <w:rFonts w:cs="Arial"/>
        </w:rPr>
        <w:t xml:space="preserve">; MVPA, </w:t>
      </w:r>
      <w:r w:rsidR="00F56D85" w:rsidRPr="00322B9B">
        <w:rPr>
          <w:color w:val="000000"/>
          <w:lang w:val="en-US"/>
        </w:rPr>
        <w:t xml:space="preserve">moderate </w:t>
      </w:r>
      <w:r w:rsidR="00F56D85">
        <w:rPr>
          <w:color w:val="000000"/>
          <w:lang w:val="en-US"/>
        </w:rPr>
        <w:t>to vigorous physical activity</w:t>
      </w:r>
    </w:p>
    <w:p w14:paraId="7BB50874" w14:textId="3DB210B0" w:rsidR="00DF3C1E" w:rsidRDefault="00DF3C1E" w:rsidP="0080286C">
      <w:pPr>
        <w:pStyle w:val="Taulukonalakommentit"/>
        <w:ind w:left="-142"/>
        <w:rPr>
          <w:rFonts w:cs="Arial"/>
        </w:rPr>
      </w:pPr>
    </w:p>
    <w:p w14:paraId="45C52883" w14:textId="77777777" w:rsidR="00AF74C5" w:rsidRDefault="00AF74C5" w:rsidP="00C470AB">
      <w:pPr>
        <w:pStyle w:val="Taulukonalakommentit"/>
        <w:ind w:left="-142"/>
        <w:rPr>
          <w:rFonts w:cs="Arial"/>
        </w:rPr>
        <w:sectPr w:rsidR="00AF74C5" w:rsidSect="00C470AB">
          <w:pgSz w:w="16838" w:h="11906" w:orient="landscape"/>
          <w:pgMar w:top="1134" w:right="1417" w:bottom="1134" w:left="1276" w:header="708" w:footer="708" w:gutter="0"/>
          <w:cols w:space="708"/>
          <w:docGrid w:linePitch="360"/>
        </w:sectPr>
      </w:pPr>
    </w:p>
    <w:p w14:paraId="00F7255F" w14:textId="77777777" w:rsidR="00AF74C5" w:rsidRPr="00952DAB" w:rsidRDefault="00AF74C5" w:rsidP="00AF74C5">
      <w:pPr>
        <w:pStyle w:val="Caption"/>
        <w:rPr>
          <w:lang w:val="en-GB"/>
        </w:rPr>
      </w:pPr>
      <w:r w:rsidRPr="00952DAB">
        <w:rPr>
          <w:b/>
          <w:lang w:val="en-GB"/>
        </w:rPr>
        <w:lastRenderedPageBreak/>
        <w:t>Table 5s</w:t>
      </w:r>
      <w:r w:rsidRPr="00952DAB">
        <w:rPr>
          <w:lang w:val="en-GB"/>
        </w:rPr>
        <w:t xml:space="preserve"> The association between basic characteristics and the volume of total physical activity and Senior Fitness Test sum score. </w:t>
      </w:r>
    </w:p>
    <w:tbl>
      <w:tblPr>
        <w:tblStyle w:val="Vriksluettelotaulukko6-korostus311"/>
        <w:tblW w:w="9498" w:type="dxa"/>
        <w:tblLook w:val="04A0" w:firstRow="1" w:lastRow="0" w:firstColumn="1" w:lastColumn="0" w:noHBand="0" w:noVBand="1"/>
      </w:tblPr>
      <w:tblGrid>
        <w:gridCol w:w="2694"/>
        <w:gridCol w:w="2126"/>
        <w:gridCol w:w="992"/>
        <w:gridCol w:w="2410"/>
        <w:gridCol w:w="1276"/>
      </w:tblGrid>
      <w:tr w:rsidR="00AF74C5" w:rsidRPr="00952DAB" w14:paraId="5114F282" w14:textId="77777777" w:rsidTr="006908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4615C58" w14:textId="77777777" w:rsidR="00AF74C5" w:rsidRPr="00952DAB" w:rsidRDefault="00AF74C5" w:rsidP="006908C0">
            <w:pPr>
              <w:pStyle w:val="Taulukonsislt"/>
              <w:framePr w:wrap="around"/>
            </w:pPr>
            <w:r w:rsidRPr="00952DAB">
              <w:t>Characteristics</w:t>
            </w:r>
          </w:p>
        </w:tc>
        <w:tc>
          <w:tcPr>
            <w:tcW w:w="2126" w:type="dxa"/>
          </w:tcPr>
          <w:p w14:paraId="4620639A"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rPr>
                <w:rFonts w:eastAsia="Times New Roman"/>
                <w:szCs w:val="24"/>
                <w:vertAlign w:val="superscript"/>
                <w:lang w:eastAsia="fi-FI"/>
              </w:rPr>
            </w:pPr>
            <w:r w:rsidRPr="00952DAB">
              <w:rPr>
                <w:rFonts w:eastAsia="Times New Roman"/>
                <w:szCs w:val="24"/>
                <w:lang w:eastAsia="fi-FI"/>
              </w:rPr>
              <w:t>Volume of total physical activity</w:t>
            </w:r>
          </w:p>
          <w:p w14:paraId="6399E2CC"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rPr>
                <w:rFonts w:eastAsia="Times New Roman"/>
                <w:szCs w:val="24"/>
                <w:lang w:eastAsia="fi-FI"/>
              </w:rPr>
            </w:pPr>
            <w:r w:rsidRPr="00952DAB">
              <w:rPr>
                <w:rFonts w:ascii="Symbol" w:hAnsi="Symbol"/>
                <w:i/>
              </w:rPr>
              <w:t></w:t>
            </w:r>
            <w:r w:rsidRPr="00952DAB">
              <w:rPr>
                <w:rFonts w:eastAsia="Times New Roman"/>
                <w:szCs w:val="24"/>
                <w:lang w:eastAsia="fi-FI"/>
              </w:rPr>
              <w:t xml:space="preserve"> (95 % CI)</w:t>
            </w:r>
          </w:p>
        </w:tc>
        <w:tc>
          <w:tcPr>
            <w:tcW w:w="992" w:type="dxa"/>
          </w:tcPr>
          <w:p w14:paraId="219E9828"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pPr>
          </w:p>
          <w:p w14:paraId="5C400D86"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rPr>
                <w:i/>
              </w:rPr>
            </w:pPr>
            <w:r w:rsidRPr="00952DAB">
              <w:rPr>
                <w:i/>
              </w:rPr>
              <w:t>p</w:t>
            </w:r>
          </w:p>
        </w:tc>
        <w:tc>
          <w:tcPr>
            <w:tcW w:w="2410" w:type="dxa"/>
          </w:tcPr>
          <w:p w14:paraId="2053A31A"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rPr>
                <w:vertAlign w:val="superscript"/>
              </w:rPr>
            </w:pPr>
            <w:r w:rsidRPr="00952DAB">
              <w:t>SFT sum score</w:t>
            </w:r>
          </w:p>
          <w:p w14:paraId="43A4D29E"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pPr>
            <w:r w:rsidRPr="00952DAB">
              <w:rPr>
                <w:rFonts w:ascii="Symbol" w:hAnsi="Symbol"/>
                <w:i/>
              </w:rPr>
              <w:t></w:t>
            </w:r>
            <w:r w:rsidRPr="00952DAB">
              <w:t xml:space="preserve"> (95 % CI)</w:t>
            </w:r>
          </w:p>
        </w:tc>
        <w:tc>
          <w:tcPr>
            <w:tcW w:w="1276" w:type="dxa"/>
          </w:tcPr>
          <w:p w14:paraId="2530DDC1"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pPr>
          </w:p>
          <w:p w14:paraId="5EB7ED3C" w14:textId="77777777" w:rsidR="00AF74C5" w:rsidRPr="00952DAB" w:rsidRDefault="00AF74C5" w:rsidP="006908C0">
            <w:pPr>
              <w:pStyle w:val="Taulukonsislt"/>
              <w:framePr w:wrap="around"/>
              <w:cnfStyle w:val="100000000000" w:firstRow="1" w:lastRow="0" w:firstColumn="0" w:lastColumn="0" w:oddVBand="0" w:evenVBand="0" w:oddHBand="0" w:evenHBand="0" w:firstRowFirstColumn="0" w:firstRowLastColumn="0" w:lastRowFirstColumn="0" w:lastRowLastColumn="0"/>
              <w:rPr>
                <w:i/>
              </w:rPr>
            </w:pPr>
            <w:r w:rsidRPr="00952DAB">
              <w:rPr>
                <w:i/>
              </w:rPr>
              <w:t>p</w:t>
            </w:r>
          </w:p>
        </w:tc>
      </w:tr>
      <w:tr w:rsidR="00AF74C5" w:rsidRPr="00952DAB" w14:paraId="765F25EA"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2BA84BA8" w14:textId="77777777" w:rsidR="00AF74C5" w:rsidRPr="00952DAB" w:rsidRDefault="00AF74C5" w:rsidP="006908C0">
            <w:pPr>
              <w:pStyle w:val="Taulukonsislt"/>
              <w:framePr w:wrap="around"/>
            </w:pPr>
            <w:r w:rsidRPr="00952DAB">
              <w:rPr>
                <w:rFonts w:eastAsia="Times New Roman"/>
                <w:color w:val="000000"/>
                <w:lang w:eastAsia="fi-FI"/>
              </w:rPr>
              <w:t>Age (years)</w:t>
            </w:r>
          </w:p>
        </w:tc>
        <w:tc>
          <w:tcPr>
            <w:tcW w:w="2126" w:type="dxa"/>
          </w:tcPr>
          <w:p w14:paraId="726B2B1E"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-0.12 (-0.37 to -0.09)</w:t>
            </w:r>
          </w:p>
        </w:tc>
        <w:tc>
          <w:tcPr>
            <w:tcW w:w="992" w:type="dxa"/>
          </w:tcPr>
          <w:p w14:paraId="14621BDB"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0.001</w:t>
            </w:r>
          </w:p>
        </w:tc>
        <w:tc>
          <w:tcPr>
            <w:tcW w:w="2410" w:type="dxa"/>
          </w:tcPr>
          <w:p w14:paraId="12D36113"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0.03 (-0.33 to 0.66)</w:t>
            </w:r>
          </w:p>
        </w:tc>
        <w:tc>
          <w:tcPr>
            <w:tcW w:w="1276" w:type="dxa"/>
          </w:tcPr>
          <w:p w14:paraId="523FD870"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0.506</w:t>
            </w:r>
          </w:p>
        </w:tc>
      </w:tr>
      <w:tr w:rsidR="00AF74C5" w:rsidRPr="00952DAB" w14:paraId="7E6115A4"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3B3E6B0F" w14:textId="77777777" w:rsidR="00AF74C5" w:rsidRPr="00952DAB" w:rsidRDefault="00AF74C5" w:rsidP="006908C0">
            <w:pPr>
              <w:pStyle w:val="Taulukonsislt"/>
              <w:framePr w:wrap="around"/>
              <w:rPr>
                <w:rFonts w:eastAsia="Times New Roman"/>
                <w:color w:val="000000"/>
                <w:lang w:eastAsia="fi-FI"/>
              </w:rPr>
            </w:pPr>
            <w:r w:rsidRPr="00952DAB">
              <w:rPr>
                <w:rFonts w:eastAsia="Times New Roman"/>
                <w:color w:val="000000"/>
                <w:lang w:eastAsia="fi-FI"/>
              </w:rPr>
              <w:t>Sex</w:t>
            </w:r>
          </w:p>
        </w:tc>
        <w:tc>
          <w:tcPr>
            <w:tcW w:w="2126" w:type="dxa"/>
          </w:tcPr>
          <w:p w14:paraId="649DEB66"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-0.16 (-2.32 to -0.85)</w:t>
            </w:r>
          </w:p>
        </w:tc>
        <w:tc>
          <w:tcPr>
            <w:tcW w:w="992" w:type="dxa"/>
          </w:tcPr>
          <w:p w14:paraId="195C96CD"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c>
          <w:tcPr>
            <w:tcW w:w="2410" w:type="dxa"/>
          </w:tcPr>
          <w:p w14:paraId="1011FBC9"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0.14 (2.41 to 7.60)</w:t>
            </w:r>
          </w:p>
        </w:tc>
        <w:tc>
          <w:tcPr>
            <w:tcW w:w="1276" w:type="dxa"/>
          </w:tcPr>
          <w:p w14:paraId="1CF5022C"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r>
      <w:tr w:rsidR="00AF74C5" w:rsidRPr="00952DAB" w14:paraId="202050D1"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6D88359A" w14:textId="77777777" w:rsidR="00AF74C5" w:rsidRPr="00952DAB" w:rsidRDefault="00AF74C5" w:rsidP="006908C0">
            <w:pPr>
              <w:pStyle w:val="Taulukonsislt"/>
              <w:framePr w:wrap="around"/>
            </w:pPr>
            <w:r w:rsidRPr="00952DAB">
              <w:rPr>
                <w:rFonts w:eastAsia="Times New Roman"/>
                <w:color w:val="000000"/>
                <w:lang w:eastAsia="fi-FI"/>
              </w:rPr>
              <w:t>Body mass index (kg/m2)</w:t>
            </w:r>
          </w:p>
        </w:tc>
        <w:tc>
          <w:tcPr>
            <w:tcW w:w="2126" w:type="dxa"/>
          </w:tcPr>
          <w:p w14:paraId="1D7D4D0F"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-0.65 (-0.81 to -0.68)</w:t>
            </w:r>
          </w:p>
        </w:tc>
        <w:tc>
          <w:tcPr>
            <w:tcW w:w="992" w:type="dxa"/>
          </w:tcPr>
          <w:p w14:paraId="6B01F28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c>
          <w:tcPr>
            <w:tcW w:w="2410" w:type="dxa"/>
          </w:tcPr>
          <w:p w14:paraId="44C1A96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-0.34 (-1.66 to -1.10)</w:t>
            </w:r>
          </w:p>
        </w:tc>
        <w:tc>
          <w:tcPr>
            <w:tcW w:w="1276" w:type="dxa"/>
          </w:tcPr>
          <w:p w14:paraId="548C297C"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&lt;0.001</w:t>
            </w:r>
          </w:p>
        </w:tc>
      </w:tr>
      <w:tr w:rsidR="00AF74C5" w:rsidRPr="00952DAB" w14:paraId="55C5A2D3"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12C92271" w14:textId="77777777" w:rsidR="00AF74C5" w:rsidRPr="00952DAB" w:rsidRDefault="00AF74C5" w:rsidP="006908C0">
            <w:pPr>
              <w:pStyle w:val="Taulukonsislt"/>
              <w:framePr w:wrap="around"/>
            </w:pPr>
            <w:r w:rsidRPr="00952DAB">
              <w:rPr>
                <w:rFonts w:eastAsia="Times New Roman"/>
                <w:color w:val="000000"/>
                <w:lang w:eastAsia="fi-FI"/>
              </w:rPr>
              <w:t>Lean body mass (kg)</w:t>
            </w:r>
          </w:p>
        </w:tc>
        <w:tc>
          <w:tcPr>
            <w:tcW w:w="2126" w:type="dxa"/>
          </w:tcPr>
          <w:p w14:paraId="493B0B96"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-0.06 (-0.06 to 0.01)</w:t>
            </w:r>
          </w:p>
        </w:tc>
        <w:tc>
          <w:tcPr>
            <w:tcW w:w="992" w:type="dxa"/>
          </w:tcPr>
          <w:p w14:paraId="79385EB8"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0.116</w:t>
            </w:r>
          </w:p>
        </w:tc>
        <w:tc>
          <w:tcPr>
            <w:tcW w:w="2410" w:type="dxa"/>
          </w:tcPr>
          <w:p w14:paraId="0296A1E6"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-0.14 (-0.35 to -0.11)</w:t>
            </w:r>
          </w:p>
        </w:tc>
        <w:tc>
          <w:tcPr>
            <w:tcW w:w="1276" w:type="dxa"/>
          </w:tcPr>
          <w:p w14:paraId="67CD9B2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pPr>
            <w:r w:rsidRPr="00952DAB">
              <w:rPr>
                <w:rFonts w:eastAsia="Times New Roman"/>
                <w:color w:val="000000"/>
                <w:lang w:eastAsia="fi-FI"/>
              </w:rPr>
              <w:t>&lt;0.001</w:t>
            </w:r>
          </w:p>
        </w:tc>
      </w:tr>
      <w:tr w:rsidR="00AF74C5" w:rsidRPr="00952DAB" w14:paraId="04C37B92"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1A0454F7" w14:textId="77777777" w:rsidR="00AF74C5" w:rsidRPr="00952DAB" w:rsidRDefault="00AF74C5" w:rsidP="006908C0">
            <w:pPr>
              <w:pStyle w:val="Taulukonsislt"/>
              <w:framePr w:wrap="around"/>
            </w:pPr>
            <w:r w:rsidRPr="00952DAB">
              <w:rPr>
                <w:rFonts w:eastAsia="Times New Roman"/>
                <w:color w:val="000000"/>
                <w:lang w:eastAsia="fi-FI"/>
              </w:rPr>
              <w:t>Body fat (%)</w:t>
            </w:r>
          </w:p>
        </w:tc>
        <w:tc>
          <w:tcPr>
            <w:tcW w:w="2126" w:type="dxa"/>
            <w:vAlign w:val="bottom"/>
          </w:tcPr>
          <w:p w14:paraId="333C592E"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-0.60 (-0.38 to -0.31)</w:t>
            </w:r>
          </w:p>
        </w:tc>
        <w:tc>
          <w:tcPr>
            <w:tcW w:w="992" w:type="dxa"/>
          </w:tcPr>
          <w:p w14:paraId="2D35FE32"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c>
          <w:tcPr>
            <w:tcW w:w="2410" w:type="dxa"/>
            <w:vAlign w:val="bottom"/>
          </w:tcPr>
          <w:p w14:paraId="0B659EC2"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-0.22 (-0.60 to -0.30)</w:t>
            </w:r>
          </w:p>
        </w:tc>
        <w:tc>
          <w:tcPr>
            <w:tcW w:w="1276" w:type="dxa"/>
          </w:tcPr>
          <w:p w14:paraId="54881CBE"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r>
      <w:tr w:rsidR="00AF74C5" w:rsidRPr="00952DAB" w14:paraId="573DF508"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5A683BA5" w14:textId="77777777" w:rsidR="00AF74C5" w:rsidRPr="00952DAB" w:rsidRDefault="00AF74C5" w:rsidP="006908C0">
            <w:pPr>
              <w:pStyle w:val="Taulukonsislt"/>
              <w:framePr w:wrap="around"/>
              <w:rPr>
                <w:rFonts w:eastAsia="Times New Roman"/>
                <w:color w:val="000000"/>
                <w:lang w:eastAsia="fi-FI"/>
              </w:rPr>
            </w:pPr>
            <w:r w:rsidRPr="00952DAB">
              <w:rPr>
                <w:rFonts w:eastAsia="Times New Roman"/>
                <w:color w:val="000000"/>
                <w:lang w:eastAsia="fi-FI"/>
              </w:rPr>
              <w:t>Smoking (years)</w:t>
            </w:r>
          </w:p>
        </w:tc>
        <w:tc>
          <w:tcPr>
            <w:tcW w:w="2126" w:type="dxa"/>
            <w:vAlign w:val="bottom"/>
          </w:tcPr>
          <w:p w14:paraId="6BC51E3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-0.03 (-0.03 to 0.01)</w:t>
            </w:r>
          </w:p>
        </w:tc>
        <w:tc>
          <w:tcPr>
            <w:tcW w:w="992" w:type="dxa"/>
          </w:tcPr>
          <w:p w14:paraId="04249500"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0.398</w:t>
            </w:r>
          </w:p>
        </w:tc>
        <w:tc>
          <w:tcPr>
            <w:tcW w:w="2410" w:type="dxa"/>
            <w:vAlign w:val="bottom"/>
          </w:tcPr>
          <w:p w14:paraId="0A74C7E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-0.21 (-0.30 to -0.14)</w:t>
            </w:r>
          </w:p>
        </w:tc>
        <w:tc>
          <w:tcPr>
            <w:tcW w:w="1276" w:type="dxa"/>
          </w:tcPr>
          <w:p w14:paraId="3D2533B8"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r>
      <w:tr w:rsidR="00AF74C5" w:rsidRPr="00952DAB" w14:paraId="3F8AD765" w14:textId="77777777" w:rsidTr="006908C0">
        <w:tc>
          <w:tcPr>
            <w:cnfStyle w:val="001000000000" w:firstRow="0" w:lastRow="0" w:firstColumn="1" w:lastColumn="0" w:oddVBand="0" w:evenVBand="0" w:oddHBand="0" w:evenHBand="0" w:firstRowFirstColumn="0" w:firstRowLastColumn="0" w:lastRowFirstColumn="0" w:lastRowLastColumn="0"/>
            <w:tcW w:w="2694" w:type="dxa"/>
          </w:tcPr>
          <w:p w14:paraId="7EEE0FEA" w14:textId="77777777" w:rsidR="00AF74C5" w:rsidRPr="00952DAB" w:rsidRDefault="00AF74C5" w:rsidP="006908C0">
            <w:pPr>
              <w:pStyle w:val="Taulukonsislt"/>
              <w:framePr w:wrap="around"/>
              <w:rPr>
                <w:rFonts w:eastAsia="Times New Roman"/>
                <w:color w:val="000000"/>
                <w:lang w:eastAsia="fi-FI"/>
              </w:rPr>
            </w:pPr>
            <w:r w:rsidRPr="00952DAB">
              <w:rPr>
                <w:rFonts w:eastAsia="Times New Roman"/>
                <w:color w:val="000000"/>
                <w:lang w:eastAsia="fi-FI"/>
              </w:rPr>
              <w:t>Years of fulltime studying</w:t>
            </w:r>
          </w:p>
        </w:tc>
        <w:tc>
          <w:tcPr>
            <w:tcW w:w="2126" w:type="dxa"/>
            <w:vAlign w:val="bottom"/>
          </w:tcPr>
          <w:p w14:paraId="0DE58650"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0.01 (0.03 to 0.23)</w:t>
            </w:r>
          </w:p>
        </w:tc>
        <w:tc>
          <w:tcPr>
            <w:tcW w:w="992" w:type="dxa"/>
          </w:tcPr>
          <w:p w14:paraId="395E59BE"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0.013</w:t>
            </w:r>
          </w:p>
        </w:tc>
        <w:tc>
          <w:tcPr>
            <w:tcW w:w="2410" w:type="dxa"/>
            <w:vAlign w:val="bottom"/>
          </w:tcPr>
          <w:p w14:paraId="73A5AE14"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0.18 (0.53 to 1.24)</w:t>
            </w:r>
          </w:p>
        </w:tc>
        <w:tc>
          <w:tcPr>
            <w:tcW w:w="1276" w:type="dxa"/>
          </w:tcPr>
          <w:p w14:paraId="36143039" w14:textId="77777777" w:rsidR="00AF74C5" w:rsidRPr="00952DAB" w:rsidRDefault="00AF74C5" w:rsidP="006908C0">
            <w:pPr>
              <w:pStyle w:val="Taulukonsislt"/>
              <w:framePr w:wrap="around"/>
              <w:cnfStyle w:val="000000000000" w:firstRow="0" w:lastRow="0" w:firstColumn="0" w:lastColumn="0" w:oddVBand="0" w:evenVBand="0" w:oddHBand="0" w:evenHBand="0" w:firstRowFirstColumn="0" w:firstRowLastColumn="0" w:lastRowFirstColumn="0" w:lastRowLastColumn="0"/>
              <w:rPr>
                <w:rFonts w:eastAsia="Times New Roman"/>
                <w:color w:val="000000"/>
                <w:lang w:eastAsia="fi-FI"/>
              </w:rPr>
            </w:pPr>
            <w:r w:rsidRPr="00952DAB">
              <w:rPr>
                <w:rFonts w:eastAsia="Times New Roman"/>
                <w:color w:val="000000"/>
                <w:lang w:eastAsia="fi-FI"/>
              </w:rPr>
              <w:t>&lt;0.001</w:t>
            </w:r>
          </w:p>
        </w:tc>
      </w:tr>
    </w:tbl>
    <w:p w14:paraId="46A8AA0A" w14:textId="77777777" w:rsidR="00AF74C5" w:rsidRPr="004F0823" w:rsidRDefault="00AF74C5" w:rsidP="00AF74C5">
      <w:pPr>
        <w:pStyle w:val="Taulukonalakommentit"/>
      </w:pPr>
      <w:r w:rsidRPr="00952DAB">
        <w:t xml:space="preserve">Abbreviations: </w:t>
      </w:r>
      <w:r w:rsidRPr="00952DAB">
        <w:rPr>
          <w:rFonts w:ascii="Symbol" w:hAnsi="Symbol"/>
          <w:i/>
        </w:rPr>
        <w:t></w:t>
      </w:r>
      <w:r w:rsidRPr="00952DAB">
        <w:rPr>
          <w:rFonts w:ascii="Symbol" w:hAnsi="Symbol"/>
        </w:rPr>
        <w:t></w:t>
      </w:r>
      <w:r w:rsidRPr="00952DAB">
        <w:t xml:space="preserve"> regression coefficient; </w:t>
      </w:r>
      <w:r>
        <w:t xml:space="preserve">CI, confidence </w:t>
      </w:r>
    </w:p>
    <w:p w14:paraId="2BEE9ACA" w14:textId="42C61FF7" w:rsidR="00DF3C1E" w:rsidRPr="004F0823" w:rsidRDefault="00DF3C1E" w:rsidP="00C470AB">
      <w:pPr>
        <w:pStyle w:val="Taulukonalakommentit"/>
        <w:ind w:left="-142"/>
        <w:rPr>
          <w:rFonts w:cs="Arial"/>
        </w:rPr>
      </w:pPr>
    </w:p>
    <w:sectPr w:rsidR="00DF3C1E" w:rsidRPr="004F0823" w:rsidSect="006908C0">
      <w:pgSz w:w="11906" w:h="16838"/>
      <w:pgMar w:top="1276"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431D4" w14:textId="77777777" w:rsidR="000607B6" w:rsidRDefault="000607B6" w:rsidP="00DB0D69">
      <w:pPr>
        <w:spacing w:before="0" w:after="0" w:line="240" w:lineRule="auto"/>
      </w:pPr>
      <w:r>
        <w:separator/>
      </w:r>
    </w:p>
  </w:endnote>
  <w:endnote w:type="continuationSeparator" w:id="0">
    <w:p w14:paraId="230C7182" w14:textId="77777777" w:rsidR="000607B6" w:rsidRDefault="000607B6" w:rsidP="00DB0D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69E08" w14:textId="77777777" w:rsidR="006F1E97" w:rsidRDefault="006F1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B9277" w14:textId="77777777" w:rsidR="006F1E97" w:rsidRDefault="006F1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705A2" w14:textId="77777777" w:rsidR="006F1E97" w:rsidRDefault="006F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83382" w14:textId="77777777" w:rsidR="000607B6" w:rsidRDefault="000607B6" w:rsidP="00DB0D69">
      <w:pPr>
        <w:spacing w:before="0" w:after="0" w:line="240" w:lineRule="auto"/>
      </w:pPr>
      <w:r>
        <w:separator/>
      </w:r>
    </w:p>
  </w:footnote>
  <w:footnote w:type="continuationSeparator" w:id="0">
    <w:p w14:paraId="3AE2D1CC" w14:textId="77777777" w:rsidR="000607B6" w:rsidRDefault="000607B6" w:rsidP="00DB0D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A6C8E" w14:textId="77777777" w:rsidR="006F1E97" w:rsidRDefault="006F1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4ACF6" w14:textId="77777777" w:rsidR="006F1E97" w:rsidRDefault="006F1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9FCA2" w14:textId="77777777" w:rsidR="006F1E97" w:rsidRDefault="006F1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2D6727"/>
    <w:multiLevelType w:val="hybridMultilevel"/>
    <w:tmpl w:val="AA8C71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304"/>
  <w:hyphenationZone w:val="425"/>
  <w:defaultTableStyle w:val="Vriksluettelotaulukko6-korostus3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88"/>
    <w:rsid w:val="000075C1"/>
    <w:rsid w:val="00011269"/>
    <w:rsid w:val="000128A1"/>
    <w:rsid w:val="000340CC"/>
    <w:rsid w:val="000341A4"/>
    <w:rsid w:val="00036706"/>
    <w:rsid w:val="00040CE9"/>
    <w:rsid w:val="00046F08"/>
    <w:rsid w:val="000607B6"/>
    <w:rsid w:val="00063927"/>
    <w:rsid w:val="00071703"/>
    <w:rsid w:val="000A2141"/>
    <w:rsid w:val="000A7483"/>
    <w:rsid w:val="000B390A"/>
    <w:rsid w:val="000C20C7"/>
    <w:rsid w:val="000D2780"/>
    <w:rsid w:val="000D6594"/>
    <w:rsid w:val="000D6E7D"/>
    <w:rsid w:val="000E10A6"/>
    <w:rsid w:val="000E1527"/>
    <w:rsid w:val="000E464D"/>
    <w:rsid w:val="000F0FCF"/>
    <w:rsid w:val="000F25F8"/>
    <w:rsid w:val="000F5135"/>
    <w:rsid w:val="00101FA7"/>
    <w:rsid w:val="00104731"/>
    <w:rsid w:val="001066EC"/>
    <w:rsid w:val="00120763"/>
    <w:rsid w:val="0012228C"/>
    <w:rsid w:val="001228E1"/>
    <w:rsid w:val="00134A3B"/>
    <w:rsid w:val="00146FDA"/>
    <w:rsid w:val="00147AC7"/>
    <w:rsid w:val="001510C7"/>
    <w:rsid w:val="001529F4"/>
    <w:rsid w:val="00156265"/>
    <w:rsid w:val="0015723C"/>
    <w:rsid w:val="00164791"/>
    <w:rsid w:val="0016484B"/>
    <w:rsid w:val="00171DED"/>
    <w:rsid w:val="001757BD"/>
    <w:rsid w:val="00190453"/>
    <w:rsid w:val="001A0812"/>
    <w:rsid w:val="001C0EA1"/>
    <w:rsid w:val="001C195E"/>
    <w:rsid w:val="001C7D56"/>
    <w:rsid w:val="001D5E4F"/>
    <w:rsid w:val="001E035B"/>
    <w:rsid w:val="001E0C4A"/>
    <w:rsid w:val="001E1E6E"/>
    <w:rsid w:val="001E478E"/>
    <w:rsid w:val="001F00BC"/>
    <w:rsid w:val="001F123F"/>
    <w:rsid w:val="00204334"/>
    <w:rsid w:val="002052D7"/>
    <w:rsid w:val="002200FD"/>
    <w:rsid w:val="00233D61"/>
    <w:rsid w:val="0023784E"/>
    <w:rsid w:val="002409D4"/>
    <w:rsid w:val="00240B23"/>
    <w:rsid w:val="002450CF"/>
    <w:rsid w:val="00250624"/>
    <w:rsid w:val="00253E69"/>
    <w:rsid w:val="00255570"/>
    <w:rsid w:val="0026491D"/>
    <w:rsid w:val="00283ED3"/>
    <w:rsid w:val="0028512C"/>
    <w:rsid w:val="00291B26"/>
    <w:rsid w:val="0029637D"/>
    <w:rsid w:val="002B3634"/>
    <w:rsid w:val="002B406A"/>
    <w:rsid w:val="002B5A4A"/>
    <w:rsid w:val="002C03AF"/>
    <w:rsid w:val="002C0F05"/>
    <w:rsid w:val="002C5A75"/>
    <w:rsid w:val="002C6E5F"/>
    <w:rsid w:val="002D2953"/>
    <w:rsid w:val="002F2E0F"/>
    <w:rsid w:val="002F4224"/>
    <w:rsid w:val="002F43F9"/>
    <w:rsid w:val="00317E52"/>
    <w:rsid w:val="00342A5F"/>
    <w:rsid w:val="003548F8"/>
    <w:rsid w:val="003558CD"/>
    <w:rsid w:val="003616CA"/>
    <w:rsid w:val="00365BCE"/>
    <w:rsid w:val="00373D9D"/>
    <w:rsid w:val="00380079"/>
    <w:rsid w:val="00386F42"/>
    <w:rsid w:val="0039106B"/>
    <w:rsid w:val="00397D86"/>
    <w:rsid w:val="003B430A"/>
    <w:rsid w:val="003C0304"/>
    <w:rsid w:val="003D3BCF"/>
    <w:rsid w:val="003D4300"/>
    <w:rsid w:val="003D640F"/>
    <w:rsid w:val="003F2641"/>
    <w:rsid w:val="003F296D"/>
    <w:rsid w:val="00402224"/>
    <w:rsid w:val="00404B57"/>
    <w:rsid w:val="00410800"/>
    <w:rsid w:val="00421875"/>
    <w:rsid w:val="00423DBA"/>
    <w:rsid w:val="00427F6B"/>
    <w:rsid w:val="00432A38"/>
    <w:rsid w:val="004336A7"/>
    <w:rsid w:val="00445FDC"/>
    <w:rsid w:val="00446CE7"/>
    <w:rsid w:val="00460E9A"/>
    <w:rsid w:val="00462360"/>
    <w:rsid w:val="00464055"/>
    <w:rsid w:val="00464BE6"/>
    <w:rsid w:val="00472380"/>
    <w:rsid w:val="00477CE9"/>
    <w:rsid w:val="0048437E"/>
    <w:rsid w:val="004868A8"/>
    <w:rsid w:val="00490698"/>
    <w:rsid w:val="004A1354"/>
    <w:rsid w:val="004B18E5"/>
    <w:rsid w:val="004B3B5C"/>
    <w:rsid w:val="004C7ED2"/>
    <w:rsid w:val="004E00A1"/>
    <w:rsid w:val="004E312A"/>
    <w:rsid w:val="004F0823"/>
    <w:rsid w:val="004F3472"/>
    <w:rsid w:val="00514A8F"/>
    <w:rsid w:val="00525AC9"/>
    <w:rsid w:val="00525B96"/>
    <w:rsid w:val="00533B49"/>
    <w:rsid w:val="005347B4"/>
    <w:rsid w:val="005536AC"/>
    <w:rsid w:val="00555CEA"/>
    <w:rsid w:val="00557ADB"/>
    <w:rsid w:val="00572EA5"/>
    <w:rsid w:val="00575548"/>
    <w:rsid w:val="0058247C"/>
    <w:rsid w:val="00583EB1"/>
    <w:rsid w:val="00584E1D"/>
    <w:rsid w:val="00591BBF"/>
    <w:rsid w:val="005954E5"/>
    <w:rsid w:val="005A095F"/>
    <w:rsid w:val="005B1752"/>
    <w:rsid w:val="005B7A27"/>
    <w:rsid w:val="005C732C"/>
    <w:rsid w:val="005D634D"/>
    <w:rsid w:val="005E2727"/>
    <w:rsid w:val="005E53FC"/>
    <w:rsid w:val="005F0340"/>
    <w:rsid w:val="005F2F7D"/>
    <w:rsid w:val="005F36E4"/>
    <w:rsid w:val="00600198"/>
    <w:rsid w:val="006048EF"/>
    <w:rsid w:val="00612137"/>
    <w:rsid w:val="00612B08"/>
    <w:rsid w:val="00613F08"/>
    <w:rsid w:val="00617047"/>
    <w:rsid w:val="00623A4A"/>
    <w:rsid w:val="00625EA9"/>
    <w:rsid w:val="006425B6"/>
    <w:rsid w:val="00642751"/>
    <w:rsid w:val="006433D1"/>
    <w:rsid w:val="00664A0C"/>
    <w:rsid w:val="00677913"/>
    <w:rsid w:val="00690319"/>
    <w:rsid w:val="006908C0"/>
    <w:rsid w:val="00697617"/>
    <w:rsid w:val="00697EA7"/>
    <w:rsid w:val="006A0EFE"/>
    <w:rsid w:val="006B01FF"/>
    <w:rsid w:val="006B7BF2"/>
    <w:rsid w:val="006C2026"/>
    <w:rsid w:val="006C5C14"/>
    <w:rsid w:val="006D54A9"/>
    <w:rsid w:val="006D57FB"/>
    <w:rsid w:val="006D58AF"/>
    <w:rsid w:val="006E687F"/>
    <w:rsid w:val="006F1555"/>
    <w:rsid w:val="006F1E97"/>
    <w:rsid w:val="006F269C"/>
    <w:rsid w:val="00703FF0"/>
    <w:rsid w:val="00704131"/>
    <w:rsid w:val="007044DE"/>
    <w:rsid w:val="007102F5"/>
    <w:rsid w:val="0071765D"/>
    <w:rsid w:val="00721B6C"/>
    <w:rsid w:val="007231EB"/>
    <w:rsid w:val="00723868"/>
    <w:rsid w:val="007319BA"/>
    <w:rsid w:val="00733ACB"/>
    <w:rsid w:val="0073468B"/>
    <w:rsid w:val="007506BA"/>
    <w:rsid w:val="007609F2"/>
    <w:rsid w:val="007611E5"/>
    <w:rsid w:val="00764675"/>
    <w:rsid w:val="0077189D"/>
    <w:rsid w:val="007758A1"/>
    <w:rsid w:val="00781264"/>
    <w:rsid w:val="0078676E"/>
    <w:rsid w:val="00786A9B"/>
    <w:rsid w:val="007A3D37"/>
    <w:rsid w:val="007A50F8"/>
    <w:rsid w:val="007B1AA9"/>
    <w:rsid w:val="007B203A"/>
    <w:rsid w:val="007B69CD"/>
    <w:rsid w:val="007C0164"/>
    <w:rsid w:val="007D4352"/>
    <w:rsid w:val="007E3C40"/>
    <w:rsid w:val="007F1752"/>
    <w:rsid w:val="007F1AE4"/>
    <w:rsid w:val="007F336B"/>
    <w:rsid w:val="007F74BC"/>
    <w:rsid w:val="0080134B"/>
    <w:rsid w:val="0080286C"/>
    <w:rsid w:val="00802E57"/>
    <w:rsid w:val="00806550"/>
    <w:rsid w:val="00816C34"/>
    <w:rsid w:val="00832C28"/>
    <w:rsid w:val="00834709"/>
    <w:rsid w:val="00837C47"/>
    <w:rsid w:val="00841B99"/>
    <w:rsid w:val="008646A5"/>
    <w:rsid w:val="00866B88"/>
    <w:rsid w:val="00872620"/>
    <w:rsid w:val="008760E1"/>
    <w:rsid w:val="00877B9C"/>
    <w:rsid w:val="008928AD"/>
    <w:rsid w:val="008A06EA"/>
    <w:rsid w:val="008A149F"/>
    <w:rsid w:val="008A33B3"/>
    <w:rsid w:val="008B3C8D"/>
    <w:rsid w:val="008B4E68"/>
    <w:rsid w:val="008B539E"/>
    <w:rsid w:val="008B53E4"/>
    <w:rsid w:val="008C0CDD"/>
    <w:rsid w:val="008C1311"/>
    <w:rsid w:val="008D59B0"/>
    <w:rsid w:val="008F3B11"/>
    <w:rsid w:val="008F4D43"/>
    <w:rsid w:val="008F56F0"/>
    <w:rsid w:val="00900A2F"/>
    <w:rsid w:val="009013BA"/>
    <w:rsid w:val="00912D17"/>
    <w:rsid w:val="00915A22"/>
    <w:rsid w:val="00935581"/>
    <w:rsid w:val="00937C62"/>
    <w:rsid w:val="009410AB"/>
    <w:rsid w:val="009438A9"/>
    <w:rsid w:val="00944679"/>
    <w:rsid w:val="0094575E"/>
    <w:rsid w:val="009469DD"/>
    <w:rsid w:val="0095403C"/>
    <w:rsid w:val="009704CB"/>
    <w:rsid w:val="009839AF"/>
    <w:rsid w:val="00994507"/>
    <w:rsid w:val="009A04E6"/>
    <w:rsid w:val="009A34FF"/>
    <w:rsid w:val="009A44C5"/>
    <w:rsid w:val="009B4A7E"/>
    <w:rsid w:val="009C5EFE"/>
    <w:rsid w:val="009D0066"/>
    <w:rsid w:val="009D1170"/>
    <w:rsid w:val="009D7137"/>
    <w:rsid w:val="009E03EF"/>
    <w:rsid w:val="009E385A"/>
    <w:rsid w:val="009E5F44"/>
    <w:rsid w:val="009F1722"/>
    <w:rsid w:val="009F5543"/>
    <w:rsid w:val="009F7F53"/>
    <w:rsid w:val="00A038D2"/>
    <w:rsid w:val="00A0658F"/>
    <w:rsid w:val="00A13FE4"/>
    <w:rsid w:val="00A14508"/>
    <w:rsid w:val="00A17923"/>
    <w:rsid w:val="00A266B4"/>
    <w:rsid w:val="00A32108"/>
    <w:rsid w:val="00A375F6"/>
    <w:rsid w:val="00A42676"/>
    <w:rsid w:val="00A53692"/>
    <w:rsid w:val="00A62620"/>
    <w:rsid w:val="00A63A0A"/>
    <w:rsid w:val="00A65ED4"/>
    <w:rsid w:val="00A82671"/>
    <w:rsid w:val="00A9551D"/>
    <w:rsid w:val="00AA0C34"/>
    <w:rsid w:val="00AA354F"/>
    <w:rsid w:val="00AA7551"/>
    <w:rsid w:val="00AA7A47"/>
    <w:rsid w:val="00AB1BF9"/>
    <w:rsid w:val="00AB767C"/>
    <w:rsid w:val="00AC0D29"/>
    <w:rsid w:val="00AC3A7B"/>
    <w:rsid w:val="00AE0B5D"/>
    <w:rsid w:val="00AE5861"/>
    <w:rsid w:val="00AF03D9"/>
    <w:rsid w:val="00AF74C5"/>
    <w:rsid w:val="00AF7F22"/>
    <w:rsid w:val="00B013CE"/>
    <w:rsid w:val="00B1431C"/>
    <w:rsid w:val="00B26BE8"/>
    <w:rsid w:val="00B271DF"/>
    <w:rsid w:val="00B32765"/>
    <w:rsid w:val="00B44C81"/>
    <w:rsid w:val="00B626A6"/>
    <w:rsid w:val="00B65541"/>
    <w:rsid w:val="00B665A3"/>
    <w:rsid w:val="00B70D48"/>
    <w:rsid w:val="00B80AF6"/>
    <w:rsid w:val="00B85E1C"/>
    <w:rsid w:val="00B914A9"/>
    <w:rsid w:val="00B970FA"/>
    <w:rsid w:val="00BA73FC"/>
    <w:rsid w:val="00BB1F59"/>
    <w:rsid w:val="00BB3E78"/>
    <w:rsid w:val="00BC1451"/>
    <w:rsid w:val="00BD302F"/>
    <w:rsid w:val="00BD7562"/>
    <w:rsid w:val="00BE45F1"/>
    <w:rsid w:val="00BE567E"/>
    <w:rsid w:val="00BF2C17"/>
    <w:rsid w:val="00C103E3"/>
    <w:rsid w:val="00C124F0"/>
    <w:rsid w:val="00C30810"/>
    <w:rsid w:val="00C329F3"/>
    <w:rsid w:val="00C4566E"/>
    <w:rsid w:val="00C45A71"/>
    <w:rsid w:val="00C470AB"/>
    <w:rsid w:val="00C5377A"/>
    <w:rsid w:val="00C60727"/>
    <w:rsid w:val="00C65CD0"/>
    <w:rsid w:val="00C705CE"/>
    <w:rsid w:val="00C72D0A"/>
    <w:rsid w:val="00C7457B"/>
    <w:rsid w:val="00C81178"/>
    <w:rsid w:val="00C9383C"/>
    <w:rsid w:val="00C97327"/>
    <w:rsid w:val="00CA76A5"/>
    <w:rsid w:val="00CB61FE"/>
    <w:rsid w:val="00CD0B27"/>
    <w:rsid w:val="00CE295E"/>
    <w:rsid w:val="00CE3858"/>
    <w:rsid w:val="00CE4C99"/>
    <w:rsid w:val="00CF1F91"/>
    <w:rsid w:val="00CF4885"/>
    <w:rsid w:val="00CF4CC9"/>
    <w:rsid w:val="00D0084B"/>
    <w:rsid w:val="00D073F9"/>
    <w:rsid w:val="00D07C0F"/>
    <w:rsid w:val="00D12061"/>
    <w:rsid w:val="00D152E8"/>
    <w:rsid w:val="00D20B85"/>
    <w:rsid w:val="00D40863"/>
    <w:rsid w:val="00D442B8"/>
    <w:rsid w:val="00D459E1"/>
    <w:rsid w:val="00D475BF"/>
    <w:rsid w:val="00D51EC4"/>
    <w:rsid w:val="00D54CD0"/>
    <w:rsid w:val="00D55775"/>
    <w:rsid w:val="00D70538"/>
    <w:rsid w:val="00D82235"/>
    <w:rsid w:val="00D82FB2"/>
    <w:rsid w:val="00D953AD"/>
    <w:rsid w:val="00DA0998"/>
    <w:rsid w:val="00DA3705"/>
    <w:rsid w:val="00DA396E"/>
    <w:rsid w:val="00DB0D69"/>
    <w:rsid w:val="00DB4725"/>
    <w:rsid w:val="00DB5295"/>
    <w:rsid w:val="00DC0949"/>
    <w:rsid w:val="00DC4DC5"/>
    <w:rsid w:val="00DC6635"/>
    <w:rsid w:val="00DC6D1F"/>
    <w:rsid w:val="00DD24CD"/>
    <w:rsid w:val="00DD557F"/>
    <w:rsid w:val="00DD5992"/>
    <w:rsid w:val="00DF1177"/>
    <w:rsid w:val="00DF273D"/>
    <w:rsid w:val="00DF3C1E"/>
    <w:rsid w:val="00DF4B03"/>
    <w:rsid w:val="00DF7EB6"/>
    <w:rsid w:val="00E07BF8"/>
    <w:rsid w:val="00E17ACA"/>
    <w:rsid w:val="00E226F8"/>
    <w:rsid w:val="00E274E1"/>
    <w:rsid w:val="00E41422"/>
    <w:rsid w:val="00E41572"/>
    <w:rsid w:val="00E56FA7"/>
    <w:rsid w:val="00E65305"/>
    <w:rsid w:val="00E758E4"/>
    <w:rsid w:val="00E75C09"/>
    <w:rsid w:val="00E85A71"/>
    <w:rsid w:val="00E86194"/>
    <w:rsid w:val="00E91099"/>
    <w:rsid w:val="00E95D30"/>
    <w:rsid w:val="00E96D73"/>
    <w:rsid w:val="00E97B31"/>
    <w:rsid w:val="00EA1C40"/>
    <w:rsid w:val="00EA79AB"/>
    <w:rsid w:val="00EC0F48"/>
    <w:rsid w:val="00EC7A20"/>
    <w:rsid w:val="00ED55D1"/>
    <w:rsid w:val="00EF4BE7"/>
    <w:rsid w:val="00EF6C14"/>
    <w:rsid w:val="00F00C10"/>
    <w:rsid w:val="00F018A6"/>
    <w:rsid w:val="00F07326"/>
    <w:rsid w:val="00F07DC0"/>
    <w:rsid w:val="00F3144E"/>
    <w:rsid w:val="00F33139"/>
    <w:rsid w:val="00F447D1"/>
    <w:rsid w:val="00F5060F"/>
    <w:rsid w:val="00F53CD6"/>
    <w:rsid w:val="00F54CBE"/>
    <w:rsid w:val="00F56D85"/>
    <w:rsid w:val="00F650E8"/>
    <w:rsid w:val="00F80456"/>
    <w:rsid w:val="00FA2170"/>
    <w:rsid w:val="00FC101B"/>
    <w:rsid w:val="00FC64A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24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D2"/>
    <w:pPr>
      <w:spacing w:before="120" w:after="120" w:line="480" w:lineRule="auto"/>
    </w:pPr>
    <w:rPr>
      <w:rFonts w:ascii="Arial" w:hAnsi="Arial"/>
    </w:rPr>
  </w:style>
  <w:style w:type="paragraph" w:styleId="Heading1">
    <w:name w:val="heading 1"/>
    <w:basedOn w:val="Normal"/>
    <w:next w:val="Normal"/>
    <w:link w:val="Heading1Char"/>
    <w:uiPriority w:val="9"/>
    <w:qFormat/>
    <w:rsid w:val="00AE0B5D"/>
    <w:pPr>
      <w:keepNext/>
      <w:keepLines/>
      <w:spacing w:before="480" w:after="48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6B7BF2"/>
    <w:pPr>
      <w:keepNext/>
      <w:keepLines/>
      <w:spacing w:before="720" w:after="0"/>
      <w:outlineLvl w:val="1"/>
    </w:pPr>
    <w:rPr>
      <w:rFonts w:eastAsiaTheme="majorEastAsia" w:cs="Arial"/>
      <w:b/>
      <w:sz w:val="26"/>
      <w:szCs w:val="26"/>
      <w:lang w:val="en-GB"/>
    </w:rPr>
  </w:style>
  <w:style w:type="paragraph" w:styleId="Heading3">
    <w:name w:val="heading 3"/>
    <w:basedOn w:val="Normal"/>
    <w:next w:val="Normal"/>
    <w:link w:val="Heading3Char"/>
    <w:uiPriority w:val="9"/>
    <w:unhideWhenUsed/>
    <w:qFormat/>
    <w:rsid w:val="006B7BF2"/>
    <w:pPr>
      <w:keepNext/>
      <w:keepLines/>
      <w:spacing w:before="4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4AD"/>
    <w:rPr>
      <w:rFonts w:ascii="Segoe UI" w:hAnsi="Segoe UI" w:cs="Segoe UI"/>
      <w:sz w:val="18"/>
      <w:szCs w:val="18"/>
    </w:rPr>
  </w:style>
  <w:style w:type="paragraph" w:styleId="Caption">
    <w:name w:val="caption"/>
    <w:basedOn w:val="Normal"/>
    <w:next w:val="Normal"/>
    <w:link w:val="CaptionChar"/>
    <w:uiPriority w:val="35"/>
    <w:unhideWhenUsed/>
    <w:qFormat/>
    <w:rsid w:val="00C81178"/>
    <w:pPr>
      <w:spacing w:before="60" w:after="200" w:line="240" w:lineRule="auto"/>
    </w:pPr>
    <w:rPr>
      <w:iCs/>
      <w:sz w:val="18"/>
      <w:szCs w:val="18"/>
    </w:rPr>
  </w:style>
  <w:style w:type="table" w:customStyle="1" w:styleId="Hannantaulukkotyyli">
    <w:name w:val="Hannan taulukkotyyli"/>
    <w:basedOn w:val="TableNormal"/>
    <w:uiPriority w:val="99"/>
    <w:rsid w:val="00A9551D"/>
    <w:pPr>
      <w:spacing w:after="0" w:line="240" w:lineRule="auto"/>
    </w:pPr>
    <w:tblPr/>
    <w:tcPr>
      <w:shd w:val="clear" w:color="auto" w:fill="auto"/>
    </w:tcPr>
    <w:tblStylePr w:type="firstRow">
      <w:tblPr/>
      <w:tcPr>
        <w:shd w:val="clear" w:color="auto" w:fill="auto"/>
      </w:tcPr>
    </w:tblStylePr>
  </w:style>
  <w:style w:type="table" w:customStyle="1" w:styleId="Yksinkertainentaulukko51">
    <w:name w:val="Yksinkertainen taulukko 51"/>
    <w:basedOn w:val="TableNormal"/>
    <w:uiPriority w:val="45"/>
    <w:rsid w:val="00A955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uudukkotaulukko3-korostus31">
    <w:name w:val="Ruudukkotaulukko 3 - korostus 31"/>
    <w:basedOn w:val="TableNormal"/>
    <w:uiPriority w:val="48"/>
    <w:rsid w:val="00A955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wordWrap/>
        <w:jc w:val="left"/>
      </w:pPr>
      <w:rPr>
        <w:b w:val="0"/>
        <w:i w:val="0"/>
        <w:iCs/>
      </w:rPr>
      <w:tblPr/>
      <w:tcPr>
        <w:tcBorders>
          <w:top w:val="nil"/>
          <w:left w:val="nil"/>
          <w:bottom w:val="nil"/>
          <w:insideH w:val="nil"/>
          <w:insideV w:val="nil"/>
        </w:tcBorders>
        <w:shd w:val="clear" w:color="auto" w:fill="FFFFFF" w:themeFill="background1"/>
      </w:tcPr>
    </w:tblStylePr>
    <w:tblStylePr w:type="lastCol">
      <w:rPr>
        <w:i w:val="0"/>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Vriksluettelotaulukko6-korostus31">
    <w:name w:val="Värikäs luettelotaulukko 6 - korostus 31"/>
    <w:basedOn w:val="TableNormal"/>
    <w:uiPriority w:val="51"/>
    <w:rsid w:val="0048437E"/>
    <w:pPr>
      <w:spacing w:before="60" w:after="60" w:line="240" w:lineRule="auto"/>
    </w:pPr>
    <w:tblPr>
      <w:tblBorders>
        <w:top w:val="single" w:sz="12" w:space="0" w:color="auto"/>
        <w:bottom w:val="single" w:sz="12" w:space="0" w:color="auto"/>
      </w:tblBorders>
    </w:tblPr>
    <w:tblStylePr w:type="firstRow">
      <w:pPr>
        <w:wordWrap/>
        <w:jc w:val="left"/>
      </w:pPr>
      <w:rPr>
        <w:b w:val="0"/>
        <w:bCs/>
        <w:i w:val="0"/>
      </w:rPr>
      <w:tblPr/>
      <w:tcPr>
        <w:tcBorders>
          <w:bottom w:val="single" w:sz="4" w:space="0" w:color="A5A5A5" w:themeColor="accent3"/>
        </w:tcBorders>
      </w:tcPr>
    </w:tblStylePr>
    <w:tblStylePr w:type="lastRow">
      <w:rPr>
        <w:b w:val="0"/>
        <w:bCs/>
      </w:rPr>
      <w:tblPr/>
      <w:tcPr>
        <w:tcBorders>
          <w:top w:val="double" w:sz="4" w:space="0" w:color="A5A5A5" w:themeColor="accent3"/>
        </w:tcBorders>
      </w:tcPr>
    </w:tblStylePr>
    <w:tblStylePr w:type="firstCol">
      <w:rPr>
        <w:b w:val="0"/>
        <w:bCs/>
      </w:rPr>
    </w:tblStylePr>
    <w:tblStylePr w:type="lastCol">
      <w:rPr>
        <w:b w:val="0"/>
        <w:bCs/>
      </w:rPr>
    </w:tblStylePr>
  </w:style>
  <w:style w:type="table" w:customStyle="1" w:styleId="Hanna">
    <w:name w:val="Hanna"/>
    <w:basedOn w:val="TableNormal"/>
    <w:uiPriority w:val="99"/>
    <w:rsid w:val="00912D17"/>
    <w:pPr>
      <w:spacing w:after="0" w:line="240" w:lineRule="auto"/>
    </w:pPr>
    <w:tblPr/>
  </w:style>
  <w:style w:type="paragraph" w:customStyle="1" w:styleId="Taulukonalakommentit">
    <w:name w:val="Taulukon alakommentit"/>
    <w:basedOn w:val="Caption"/>
    <w:link w:val="TaulukonalakommentitChar"/>
    <w:qFormat/>
    <w:rsid w:val="004C7ED2"/>
    <w:pPr>
      <w:spacing w:after="60" w:line="360" w:lineRule="auto"/>
    </w:pPr>
    <w:rPr>
      <w:lang w:val="en-GB"/>
    </w:rPr>
  </w:style>
  <w:style w:type="character" w:customStyle="1" w:styleId="Heading2Char">
    <w:name w:val="Heading 2 Char"/>
    <w:basedOn w:val="DefaultParagraphFont"/>
    <w:link w:val="Heading2"/>
    <w:uiPriority w:val="9"/>
    <w:rsid w:val="006B7BF2"/>
    <w:rPr>
      <w:rFonts w:ascii="Arial" w:eastAsiaTheme="majorEastAsia" w:hAnsi="Arial" w:cs="Arial"/>
      <w:b/>
      <w:sz w:val="26"/>
      <w:szCs w:val="26"/>
      <w:lang w:val="en-GB"/>
    </w:rPr>
  </w:style>
  <w:style w:type="character" w:customStyle="1" w:styleId="CaptionChar">
    <w:name w:val="Caption Char"/>
    <w:basedOn w:val="DefaultParagraphFont"/>
    <w:link w:val="Caption"/>
    <w:uiPriority w:val="35"/>
    <w:rsid w:val="00C81178"/>
    <w:rPr>
      <w:rFonts w:ascii="Arial" w:hAnsi="Arial"/>
      <w:iCs/>
      <w:sz w:val="18"/>
      <w:szCs w:val="18"/>
    </w:rPr>
  </w:style>
  <w:style w:type="character" w:customStyle="1" w:styleId="TaulukonalakommentitChar">
    <w:name w:val="Taulukon alakommentit Char"/>
    <w:basedOn w:val="CaptionChar"/>
    <w:link w:val="Taulukonalakommentit"/>
    <w:rsid w:val="004C7ED2"/>
    <w:rPr>
      <w:rFonts w:ascii="Arial" w:hAnsi="Arial"/>
      <w:iCs/>
      <w:sz w:val="18"/>
      <w:szCs w:val="18"/>
      <w:lang w:val="en-GB"/>
    </w:rPr>
  </w:style>
  <w:style w:type="character" w:styleId="CommentReference">
    <w:name w:val="annotation reference"/>
    <w:basedOn w:val="DefaultParagraphFont"/>
    <w:uiPriority w:val="99"/>
    <w:semiHidden/>
    <w:unhideWhenUsed/>
    <w:rsid w:val="008B4E68"/>
    <w:rPr>
      <w:sz w:val="18"/>
      <w:szCs w:val="18"/>
    </w:rPr>
  </w:style>
  <w:style w:type="paragraph" w:styleId="CommentText">
    <w:name w:val="annotation text"/>
    <w:basedOn w:val="Normal"/>
    <w:link w:val="CommentTextChar"/>
    <w:uiPriority w:val="99"/>
    <w:semiHidden/>
    <w:unhideWhenUsed/>
    <w:rsid w:val="008B4E68"/>
    <w:pPr>
      <w:spacing w:line="240" w:lineRule="auto"/>
    </w:pPr>
    <w:rPr>
      <w:sz w:val="24"/>
      <w:szCs w:val="24"/>
    </w:rPr>
  </w:style>
  <w:style w:type="character" w:customStyle="1" w:styleId="CommentTextChar">
    <w:name w:val="Comment Text Char"/>
    <w:basedOn w:val="DefaultParagraphFont"/>
    <w:link w:val="CommentText"/>
    <w:uiPriority w:val="99"/>
    <w:semiHidden/>
    <w:rsid w:val="008B4E68"/>
    <w:rPr>
      <w:sz w:val="24"/>
      <w:szCs w:val="24"/>
    </w:rPr>
  </w:style>
  <w:style w:type="paragraph" w:styleId="NormalWeb">
    <w:name w:val="Normal (Web)"/>
    <w:basedOn w:val="Normal"/>
    <w:uiPriority w:val="99"/>
    <w:unhideWhenUsed/>
    <w:rsid w:val="008B4E68"/>
    <w:pPr>
      <w:spacing w:before="100" w:beforeAutospacing="1" w:after="100" w:afterAutospacing="1" w:line="240" w:lineRule="auto"/>
    </w:pPr>
    <w:rPr>
      <w:rFonts w:ascii="Times New Roman" w:eastAsia="Times New Roman" w:hAnsi="Times New Roman" w:cs="Times New Roman"/>
      <w:sz w:val="24"/>
      <w:szCs w:val="24"/>
      <w:lang w:val="en-GB" w:eastAsia="fi-FI"/>
    </w:rPr>
  </w:style>
  <w:style w:type="character" w:styleId="Emphasis">
    <w:name w:val="Emphasis"/>
    <w:basedOn w:val="DefaultParagraphFont"/>
    <w:uiPriority w:val="20"/>
    <w:qFormat/>
    <w:rsid w:val="008B4E68"/>
    <w:rPr>
      <w:i/>
      <w:iCs/>
    </w:rPr>
  </w:style>
  <w:style w:type="character" w:styleId="Hyperlink">
    <w:name w:val="Hyperlink"/>
    <w:basedOn w:val="DefaultParagraphFont"/>
    <w:uiPriority w:val="99"/>
    <w:unhideWhenUsed/>
    <w:rsid w:val="008B4E68"/>
    <w:rPr>
      <w:color w:val="0563C1" w:themeColor="hyperlink"/>
      <w:u w:val="single"/>
    </w:rPr>
  </w:style>
  <w:style w:type="paragraph" w:styleId="ListParagraph">
    <w:name w:val="List Paragraph"/>
    <w:basedOn w:val="Normal"/>
    <w:uiPriority w:val="34"/>
    <w:qFormat/>
    <w:rsid w:val="008B4E68"/>
    <w:pPr>
      <w:ind w:left="720"/>
      <w:contextualSpacing/>
    </w:pPr>
    <w:rPr>
      <w:lang w:val="en-GB"/>
    </w:rPr>
  </w:style>
  <w:style w:type="paragraph" w:styleId="NoSpacing">
    <w:name w:val="No Spacing"/>
    <w:uiPriority w:val="1"/>
    <w:qFormat/>
    <w:rsid w:val="00E17ACA"/>
    <w:pPr>
      <w:spacing w:after="0" w:line="240" w:lineRule="auto"/>
    </w:pPr>
    <w:rPr>
      <w:rFonts w:ascii="Arial" w:hAnsi="Arial"/>
    </w:rPr>
  </w:style>
  <w:style w:type="character" w:customStyle="1" w:styleId="Heading3Char">
    <w:name w:val="Heading 3 Char"/>
    <w:basedOn w:val="DefaultParagraphFont"/>
    <w:link w:val="Heading3"/>
    <w:uiPriority w:val="9"/>
    <w:rsid w:val="006B7BF2"/>
    <w:rPr>
      <w:rFonts w:ascii="Arial" w:eastAsiaTheme="majorEastAsia" w:hAnsi="Arial" w:cstheme="majorBidi"/>
      <w:b/>
      <w:szCs w:val="24"/>
    </w:rPr>
  </w:style>
  <w:style w:type="paragraph" w:customStyle="1" w:styleId="Taulukonsislt">
    <w:name w:val="Taulukon sisältö"/>
    <w:basedOn w:val="Normal"/>
    <w:link w:val="TaulukonsisltChar"/>
    <w:qFormat/>
    <w:rsid w:val="004C7ED2"/>
    <w:pPr>
      <w:framePr w:hSpace="141" w:wrap="around" w:vAnchor="text" w:hAnchor="margin" w:y="5"/>
      <w:spacing w:before="20" w:after="20" w:line="360" w:lineRule="auto"/>
    </w:pPr>
    <w:rPr>
      <w:rFonts w:cs="Arial"/>
      <w:bCs/>
      <w:sz w:val="16"/>
      <w:szCs w:val="16"/>
      <w:lang w:val="en-US"/>
    </w:rPr>
  </w:style>
  <w:style w:type="paragraph" w:customStyle="1" w:styleId="Taulukonotsikko">
    <w:name w:val="Taulukon otsikko"/>
    <w:basedOn w:val="Caption"/>
    <w:link w:val="TaulukonotsikkoChar"/>
    <w:qFormat/>
    <w:rsid w:val="006B7BF2"/>
    <w:pPr>
      <w:spacing w:before="360" w:line="360" w:lineRule="auto"/>
    </w:pPr>
  </w:style>
  <w:style w:type="character" w:customStyle="1" w:styleId="TaulukonsisltChar">
    <w:name w:val="Taulukon sisältö Char"/>
    <w:basedOn w:val="DefaultParagraphFont"/>
    <w:link w:val="Taulukonsislt"/>
    <w:rsid w:val="004C7ED2"/>
    <w:rPr>
      <w:rFonts w:ascii="Arial" w:hAnsi="Arial" w:cs="Arial"/>
      <w:bCs/>
      <w:sz w:val="16"/>
      <w:szCs w:val="16"/>
      <w:lang w:val="en-US"/>
    </w:rPr>
  </w:style>
  <w:style w:type="character" w:customStyle="1" w:styleId="Heading1Char">
    <w:name w:val="Heading 1 Char"/>
    <w:basedOn w:val="DefaultParagraphFont"/>
    <w:link w:val="Heading1"/>
    <w:uiPriority w:val="9"/>
    <w:rsid w:val="00AE0B5D"/>
    <w:rPr>
      <w:rFonts w:ascii="Arial" w:eastAsiaTheme="majorEastAsia" w:hAnsi="Arial" w:cstheme="majorBidi"/>
      <w:b/>
      <w:sz w:val="44"/>
      <w:szCs w:val="32"/>
    </w:rPr>
  </w:style>
  <w:style w:type="character" w:customStyle="1" w:styleId="TaulukonotsikkoChar">
    <w:name w:val="Taulukon otsikko Char"/>
    <w:basedOn w:val="CaptionChar"/>
    <w:link w:val="Taulukonotsikko"/>
    <w:rsid w:val="006B7BF2"/>
    <w:rPr>
      <w:rFonts w:ascii="Arial" w:hAnsi="Arial"/>
      <w:iCs/>
      <w:sz w:val="18"/>
      <w:szCs w:val="18"/>
    </w:rPr>
  </w:style>
  <w:style w:type="paragraph" w:styleId="CommentSubject">
    <w:name w:val="annotation subject"/>
    <w:basedOn w:val="CommentText"/>
    <w:next w:val="CommentText"/>
    <w:link w:val="CommentSubjectChar"/>
    <w:uiPriority w:val="99"/>
    <w:semiHidden/>
    <w:unhideWhenUsed/>
    <w:rsid w:val="000F0FCF"/>
    <w:rPr>
      <w:b/>
      <w:bCs/>
      <w:sz w:val="20"/>
      <w:szCs w:val="20"/>
    </w:rPr>
  </w:style>
  <w:style w:type="character" w:customStyle="1" w:styleId="CommentSubjectChar">
    <w:name w:val="Comment Subject Char"/>
    <w:basedOn w:val="CommentTextChar"/>
    <w:link w:val="CommentSubject"/>
    <w:uiPriority w:val="99"/>
    <w:semiHidden/>
    <w:rsid w:val="000F0FCF"/>
    <w:rPr>
      <w:rFonts w:ascii="Arial" w:hAnsi="Arial"/>
      <w:b/>
      <w:bCs/>
      <w:sz w:val="20"/>
      <w:szCs w:val="20"/>
    </w:rPr>
  </w:style>
  <w:style w:type="paragraph" w:styleId="FootnoteText">
    <w:name w:val="footnote text"/>
    <w:basedOn w:val="Normal"/>
    <w:link w:val="FootnoteTextChar"/>
    <w:uiPriority w:val="99"/>
    <w:semiHidden/>
    <w:unhideWhenUsed/>
    <w:rsid w:val="00DB0D6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B0D69"/>
    <w:rPr>
      <w:rFonts w:ascii="Arial" w:hAnsi="Arial"/>
      <w:sz w:val="20"/>
      <w:szCs w:val="20"/>
    </w:rPr>
  </w:style>
  <w:style w:type="character" w:styleId="FootnoteReference">
    <w:name w:val="footnote reference"/>
    <w:basedOn w:val="DefaultParagraphFont"/>
    <w:uiPriority w:val="99"/>
    <w:semiHidden/>
    <w:unhideWhenUsed/>
    <w:rsid w:val="00DB0D69"/>
    <w:rPr>
      <w:vertAlign w:val="superscript"/>
    </w:rPr>
  </w:style>
  <w:style w:type="paragraph" w:styleId="EndnoteText">
    <w:name w:val="endnote text"/>
    <w:basedOn w:val="Normal"/>
    <w:link w:val="EndnoteTextChar"/>
    <w:uiPriority w:val="99"/>
    <w:semiHidden/>
    <w:unhideWhenUsed/>
    <w:rsid w:val="00DB0D6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B0D69"/>
    <w:rPr>
      <w:rFonts w:ascii="Arial" w:hAnsi="Arial"/>
      <w:sz w:val="20"/>
      <w:szCs w:val="20"/>
    </w:rPr>
  </w:style>
  <w:style w:type="character" w:styleId="EndnoteReference">
    <w:name w:val="endnote reference"/>
    <w:basedOn w:val="DefaultParagraphFont"/>
    <w:uiPriority w:val="99"/>
    <w:semiHidden/>
    <w:unhideWhenUsed/>
    <w:rsid w:val="00DB0D69"/>
    <w:rPr>
      <w:vertAlign w:val="superscript"/>
    </w:rPr>
  </w:style>
  <w:style w:type="character" w:customStyle="1" w:styleId="go">
    <w:name w:val="go"/>
    <w:basedOn w:val="DefaultParagraphFont"/>
    <w:rsid w:val="00421875"/>
  </w:style>
  <w:style w:type="paragraph" w:styleId="Revision">
    <w:name w:val="Revision"/>
    <w:hidden/>
    <w:uiPriority w:val="99"/>
    <w:semiHidden/>
    <w:rsid w:val="002F43F9"/>
    <w:pPr>
      <w:spacing w:after="0" w:line="240" w:lineRule="auto"/>
    </w:pPr>
    <w:rPr>
      <w:rFonts w:ascii="Arial" w:hAnsi="Arial"/>
    </w:rPr>
  </w:style>
  <w:style w:type="character" w:styleId="LineNumber">
    <w:name w:val="line number"/>
    <w:basedOn w:val="DefaultParagraphFont"/>
    <w:uiPriority w:val="99"/>
    <w:semiHidden/>
    <w:unhideWhenUsed/>
    <w:rsid w:val="000A7483"/>
  </w:style>
  <w:style w:type="table" w:customStyle="1" w:styleId="Vriksluettelotaulukko6-korostus311">
    <w:name w:val="Värikäs luettelotaulukko 6 - korostus 311"/>
    <w:basedOn w:val="TableNormal"/>
    <w:uiPriority w:val="51"/>
    <w:rsid w:val="00AF74C5"/>
    <w:pPr>
      <w:spacing w:before="60" w:after="60" w:line="240" w:lineRule="auto"/>
    </w:pPr>
    <w:tblPr>
      <w:tblBorders>
        <w:top w:val="single" w:sz="12" w:space="0" w:color="auto"/>
        <w:bottom w:val="single" w:sz="12" w:space="0" w:color="auto"/>
      </w:tblBorders>
    </w:tblPr>
    <w:tblStylePr w:type="firstRow">
      <w:pPr>
        <w:wordWrap/>
        <w:jc w:val="left"/>
      </w:pPr>
      <w:rPr>
        <w:b w:val="0"/>
        <w:bCs/>
        <w:i w:val="0"/>
      </w:rPr>
      <w:tblPr/>
      <w:tcPr>
        <w:tcBorders>
          <w:bottom w:val="single" w:sz="4" w:space="0" w:color="A5A5A5" w:themeColor="accent3"/>
        </w:tcBorders>
      </w:tcPr>
    </w:tblStylePr>
    <w:tblStylePr w:type="lastRow">
      <w:rPr>
        <w:b w:val="0"/>
        <w:bCs/>
      </w:rPr>
      <w:tblPr/>
      <w:tcPr>
        <w:tcBorders>
          <w:top w:val="double" w:sz="4" w:space="0" w:color="A5A5A5" w:themeColor="accent3"/>
        </w:tcBorders>
      </w:tcPr>
    </w:tblStylePr>
    <w:tblStylePr w:type="firstCol">
      <w:rPr>
        <w:b w:val="0"/>
        <w:bCs/>
      </w:rPr>
    </w:tblStylePr>
    <w:tblStylePr w:type="lastCol">
      <w:rPr>
        <w:b w:val="0"/>
        <w:bCs/>
      </w:rPr>
    </w:tblStylePr>
  </w:style>
  <w:style w:type="paragraph" w:styleId="Header">
    <w:name w:val="header"/>
    <w:basedOn w:val="Normal"/>
    <w:link w:val="HeaderChar"/>
    <w:uiPriority w:val="99"/>
    <w:unhideWhenUsed/>
    <w:rsid w:val="006F1E97"/>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6F1E97"/>
    <w:rPr>
      <w:rFonts w:ascii="Arial" w:hAnsi="Arial"/>
    </w:rPr>
  </w:style>
  <w:style w:type="paragraph" w:styleId="Footer">
    <w:name w:val="footer"/>
    <w:basedOn w:val="Normal"/>
    <w:link w:val="FooterChar"/>
    <w:uiPriority w:val="99"/>
    <w:unhideWhenUsed/>
    <w:rsid w:val="006F1E97"/>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6F1E9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D2"/>
    <w:pPr>
      <w:spacing w:before="120" w:after="120" w:line="480" w:lineRule="auto"/>
    </w:pPr>
    <w:rPr>
      <w:rFonts w:ascii="Arial" w:hAnsi="Arial"/>
    </w:rPr>
  </w:style>
  <w:style w:type="paragraph" w:styleId="Heading1">
    <w:name w:val="heading 1"/>
    <w:basedOn w:val="Normal"/>
    <w:next w:val="Normal"/>
    <w:link w:val="Heading1Char"/>
    <w:uiPriority w:val="9"/>
    <w:qFormat/>
    <w:rsid w:val="00AE0B5D"/>
    <w:pPr>
      <w:keepNext/>
      <w:keepLines/>
      <w:spacing w:before="480" w:after="48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6B7BF2"/>
    <w:pPr>
      <w:keepNext/>
      <w:keepLines/>
      <w:spacing w:before="720" w:after="0"/>
      <w:outlineLvl w:val="1"/>
    </w:pPr>
    <w:rPr>
      <w:rFonts w:eastAsiaTheme="majorEastAsia" w:cs="Arial"/>
      <w:b/>
      <w:sz w:val="26"/>
      <w:szCs w:val="26"/>
      <w:lang w:val="en-GB"/>
    </w:rPr>
  </w:style>
  <w:style w:type="paragraph" w:styleId="Heading3">
    <w:name w:val="heading 3"/>
    <w:basedOn w:val="Normal"/>
    <w:next w:val="Normal"/>
    <w:link w:val="Heading3Char"/>
    <w:uiPriority w:val="9"/>
    <w:unhideWhenUsed/>
    <w:qFormat/>
    <w:rsid w:val="006B7BF2"/>
    <w:pPr>
      <w:keepNext/>
      <w:keepLines/>
      <w:spacing w:before="4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4AD"/>
    <w:rPr>
      <w:rFonts w:ascii="Segoe UI" w:hAnsi="Segoe UI" w:cs="Segoe UI"/>
      <w:sz w:val="18"/>
      <w:szCs w:val="18"/>
    </w:rPr>
  </w:style>
  <w:style w:type="paragraph" w:styleId="Caption">
    <w:name w:val="caption"/>
    <w:basedOn w:val="Normal"/>
    <w:next w:val="Normal"/>
    <w:link w:val="CaptionChar"/>
    <w:uiPriority w:val="35"/>
    <w:unhideWhenUsed/>
    <w:qFormat/>
    <w:rsid w:val="00C81178"/>
    <w:pPr>
      <w:spacing w:before="60" w:after="200" w:line="240" w:lineRule="auto"/>
    </w:pPr>
    <w:rPr>
      <w:iCs/>
      <w:sz w:val="18"/>
      <w:szCs w:val="18"/>
    </w:rPr>
  </w:style>
  <w:style w:type="table" w:customStyle="1" w:styleId="Hannantaulukkotyyli">
    <w:name w:val="Hannan taulukkotyyli"/>
    <w:basedOn w:val="TableNormal"/>
    <w:uiPriority w:val="99"/>
    <w:rsid w:val="00A9551D"/>
    <w:pPr>
      <w:spacing w:after="0" w:line="240" w:lineRule="auto"/>
    </w:pPr>
    <w:tblPr/>
    <w:tcPr>
      <w:shd w:val="clear" w:color="auto" w:fill="auto"/>
    </w:tcPr>
    <w:tblStylePr w:type="firstRow">
      <w:tblPr/>
      <w:tcPr>
        <w:shd w:val="clear" w:color="auto" w:fill="auto"/>
      </w:tcPr>
    </w:tblStylePr>
  </w:style>
  <w:style w:type="table" w:customStyle="1" w:styleId="Yksinkertainentaulukko51">
    <w:name w:val="Yksinkertainen taulukko 51"/>
    <w:basedOn w:val="TableNormal"/>
    <w:uiPriority w:val="45"/>
    <w:rsid w:val="00A9551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uudukkotaulukko3-korostus31">
    <w:name w:val="Ruudukkotaulukko 3 - korostus 31"/>
    <w:basedOn w:val="TableNormal"/>
    <w:uiPriority w:val="48"/>
    <w:rsid w:val="00A955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wordWrap/>
        <w:jc w:val="left"/>
      </w:pPr>
      <w:rPr>
        <w:b w:val="0"/>
        <w:i w:val="0"/>
        <w:iCs/>
      </w:rPr>
      <w:tblPr/>
      <w:tcPr>
        <w:tcBorders>
          <w:top w:val="nil"/>
          <w:left w:val="nil"/>
          <w:bottom w:val="nil"/>
          <w:insideH w:val="nil"/>
          <w:insideV w:val="nil"/>
        </w:tcBorders>
        <w:shd w:val="clear" w:color="auto" w:fill="FFFFFF" w:themeFill="background1"/>
      </w:tcPr>
    </w:tblStylePr>
    <w:tblStylePr w:type="lastCol">
      <w:rPr>
        <w:i w:val="0"/>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Vriksluettelotaulukko6-korostus31">
    <w:name w:val="Värikäs luettelotaulukko 6 - korostus 31"/>
    <w:basedOn w:val="TableNormal"/>
    <w:uiPriority w:val="51"/>
    <w:rsid w:val="0048437E"/>
    <w:pPr>
      <w:spacing w:before="60" w:after="60" w:line="240" w:lineRule="auto"/>
    </w:pPr>
    <w:tblPr>
      <w:tblBorders>
        <w:top w:val="single" w:sz="12" w:space="0" w:color="auto"/>
        <w:bottom w:val="single" w:sz="12" w:space="0" w:color="auto"/>
      </w:tblBorders>
    </w:tblPr>
    <w:tblStylePr w:type="firstRow">
      <w:pPr>
        <w:wordWrap/>
        <w:jc w:val="left"/>
      </w:pPr>
      <w:rPr>
        <w:b w:val="0"/>
        <w:bCs/>
        <w:i w:val="0"/>
      </w:rPr>
      <w:tblPr/>
      <w:tcPr>
        <w:tcBorders>
          <w:bottom w:val="single" w:sz="4" w:space="0" w:color="A5A5A5" w:themeColor="accent3"/>
        </w:tcBorders>
      </w:tcPr>
    </w:tblStylePr>
    <w:tblStylePr w:type="lastRow">
      <w:rPr>
        <w:b w:val="0"/>
        <w:bCs/>
      </w:rPr>
      <w:tblPr/>
      <w:tcPr>
        <w:tcBorders>
          <w:top w:val="double" w:sz="4" w:space="0" w:color="A5A5A5" w:themeColor="accent3"/>
        </w:tcBorders>
      </w:tcPr>
    </w:tblStylePr>
    <w:tblStylePr w:type="firstCol">
      <w:rPr>
        <w:b w:val="0"/>
        <w:bCs/>
      </w:rPr>
    </w:tblStylePr>
    <w:tblStylePr w:type="lastCol">
      <w:rPr>
        <w:b w:val="0"/>
        <w:bCs/>
      </w:rPr>
    </w:tblStylePr>
  </w:style>
  <w:style w:type="table" w:customStyle="1" w:styleId="Hanna">
    <w:name w:val="Hanna"/>
    <w:basedOn w:val="TableNormal"/>
    <w:uiPriority w:val="99"/>
    <w:rsid w:val="00912D17"/>
    <w:pPr>
      <w:spacing w:after="0" w:line="240" w:lineRule="auto"/>
    </w:pPr>
    <w:tblPr/>
  </w:style>
  <w:style w:type="paragraph" w:customStyle="1" w:styleId="Taulukonalakommentit">
    <w:name w:val="Taulukon alakommentit"/>
    <w:basedOn w:val="Caption"/>
    <w:link w:val="TaulukonalakommentitChar"/>
    <w:qFormat/>
    <w:rsid w:val="004C7ED2"/>
    <w:pPr>
      <w:spacing w:after="60" w:line="360" w:lineRule="auto"/>
    </w:pPr>
    <w:rPr>
      <w:lang w:val="en-GB"/>
    </w:rPr>
  </w:style>
  <w:style w:type="character" w:customStyle="1" w:styleId="Heading2Char">
    <w:name w:val="Heading 2 Char"/>
    <w:basedOn w:val="DefaultParagraphFont"/>
    <w:link w:val="Heading2"/>
    <w:uiPriority w:val="9"/>
    <w:rsid w:val="006B7BF2"/>
    <w:rPr>
      <w:rFonts w:ascii="Arial" w:eastAsiaTheme="majorEastAsia" w:hAnsi="Arial" w:cs="Arial"/>
      <w:b/>
      <w:sz w:val="26"/>
      <w:szCs w:val="26"/>
      <w:lang w:val="en-GB"/>
    </w:rPr>
  </w:style>
  <w:style w:type="character" w:customStyle="1" w:styleId="CaptionChar">
    <w:name w:val="Caption Char"/>
    <w:basedOn w:val="DefaultParagraphFont"/>
    <w:link w:val="Caption"/>
    <w:uiPriority w:val="35"/>
    <w:rsid w:val="00C81178"/>
    <w:rPr>
      <w:rFonts w:ascii="Arial" w:hAnsi="Arial"/>
      <w:iCs/>
      <w:sz w:val="18"/>
      <w:szCs w:val="18"/>
    </w:rPr>
  </w:style>
  <w:style w:type="character" w:customStyle="1" w:styleId="TaulukonalakommentitChar">
    <w:name w:val="Taulukon alakommentit Char"/>
    <w:basedOn w:val="CaptionChar"/>
    <w:link w:val="Taulukonalakommentit"/>
    <w:rsid w:val="004C7ED2"/>
    <w:rPr>
      <w:rFonts w:ascii="Arial" w:hAnsi="Arial"/>
      <w:iCs/>
      <w:sz w:val="18"/>
      <w:szCs w:val="18"/>
      <w:lang w:val="en-GB"/>
    </w:rPr>
  </w:style>
  <w:style w:type="character" w:styleId="CommentReference">
    <w:name w:val="annotation reference"/>
    <w:basedOn w:val="DefaultParagraphFont"/>
    <w:uiPriority w:val="99"/>
    <w:semiHidden/>
    <w:unhideWhenUsed/>
    <w:rsid w:val="008B4E68"/>
    <w:rPr>
      <w:sz w:val="18"/>
      <w:szCs w:val="18"/>
    </w:rPr>
  </w:style>
  <w:style w:type="paragraph" w:styleId="CommentText">
    <w:name w:val="annotation text"/>
    <w:basedOn w:val="Normal"/>
    <w:link w:val="CommentTextChar"/>
    <w:uiPriority w:val="99"/>
    <w:semiHidden/>
    <w:unhideWhenUsed/>
    <w:rsid w:val="008B4E68"/>
    <w:pPr>
      <w:spacing w:line="240" w:lineRule="auto"/>
    </w:pPr>
    <w:rPr>
      <w:sz w:val="24"/>
      <w:szCs w:val="24"/>
    </w:rPr>
  </w:style>
  <w:style w:type="character" w:customStyle="1" w:styleId="CommentTextChar">
    <w:name w:val="Comment Text Char"/>
    <w:basedOn w:val="DefaultParagraphFont"/>
    <w:link w:val="CommentText"/>
    <w:uiPriority w:val="99"/>
    <w:semiHidden/>
    <w:rsid w:val="008B4E68"/>
    <w:rPr>
      <w:sz w:val="24"/>
      <w:szCs w:val="24"/>
    </w:rPr>
  </w:style>
  <w:style w:type="paragraph" w:styleId="NormalWeb">
    <w:name w:val="Normal (Web)"/>
    <w:basedOn w:val="Normal"/>
    <w:uiPriority w:val="99"/>
    <w:unhideWhenUsed/>
    <w:rsid w:val="008B4E68"/>
    <w:pPr>
      <w:spacing w:before="100" w:beforeAutospacing="1" w:after="100" w:afterAutospacing="1" w:line="240" w:lineRule="auto"/>
    </w:pPr>
    <w:rPr>
      <w:rFonts w:ascii="Times New Roman" w:eastAsia="Times New Roman" w:hAnsi="Times New Roman" w:cs="Times New Roman"/>
      <w:sz w:val="24"/>
      <w:szCs w:val="24"/>
      <w:lang w:val="en-GB" w:eastAsia="fi-FI"/>
    </w:rPr>
  </w:style>
  <w:style w:type="character" w:styleId="Emphasis">
    <w:name w:val="Emphasis"/>
    <w:basedOn w:val="DefaultParagraphFont"/>
    <w:uiPriority w:val="20"/>
    <w:qFormat/>
    <w:rsid w:val="008B4E68"/>
    <w:rPr>
      <w:i/>
      <w:iCs/>
    </w:rPr>
  </w:style>
  <w:style w:type="character" w:styleId="Hyperlink">
    <w:name w:val="Hyperlink"/>
    <w:basedOn w:val="DefaultParagraphFont"/>
    <w:uiPriority w:val="99"/>
    <w:unhideWhenUsed/>
    <w:rsid w:val="008B4E68"/>
    <w:rPr>
      <w:color w:val="0563C1" w:themeColor="hyperlink"/>
      <w:u w:val="single"/>
    </w:rPr>
  </w:style>
  <w:style w:type="paragraph" w:styleId="ListParagraph">
    <w:name w:val="List Paragraph"/>
    <w:basedOn w:val="Normal"/>
    <w:uiPriority w:val="34"/>
    <w:qFormat/>
    <w:rsid w:val="008B4E68"/>
    <w:pPr>
      <w:ind w:left="720"/>
      <w:contextualSpacing/>
    </w:pPr>
    <w:rPr>
      <w:lang w:val="en-GB"/>
    </w:rPr>
  </w:style>
  <w:style w:type="paragraph" w:styleId="NoSpacing">
    <w:name w:val="No Spacing"/>
    <w:uiPriority w:val="1"/>
    <w:qFormat/>
    <w:rsid w:val="00E17ACA"/>
    <w:pPr>
      <w:spacing w:after="0" w:line="240" w:lineRule="auto"/>
    </w:pPr>
    <w:rPr>
      <w:rFonts w:ascii="Arial" w:hAnsi="Arial"/>
    </w:rPr>
  </w:style>
  <w:style w:type="character" w:customStyle="1" w:styleId="Heading3Char">
    <w:name w:val="Heading 3 Char"/>
    <w:basedOn w:val="DefaultParagraphFont"/>
    <w:link w:val="Heading3"/>
    <w:uiPriority w:val="9"/>
    <w:rsid w:val="006B7BF2"/>
    <w:rPr>
      <w:rFonts w:ascii="Arial" w:eastAsiaTheme="majorEastAsia" w:hAnsi="Arial" w:cstheme="majorBidi"/>
      <w:b/>
      <w:szCs w:val="24"/>
    </w:rPr>
  </w:style>
  <w:style w:type="paragraph" w:customStyle="1" w:styleId="Taulukonsislt">
    <w:name w:val="Taulukon sisältö"/>
    <w:basedOn w:val="Normal"/>
    <w:link w:val="TaulukonsisltChar"/>
    <w:qFormat/>
    <w:rsid w:val="004C7ED2"/>
    <w:pPr>
      <w:framePr w:hSpace="141" w:wrap="around" w:vAnchor="text" w:hAnchor="margin" w:y="5"/>
      <w:spacing w:before="20" w:after="20" w:line="360" w:lineRule="auto"/>
    </w:pPr>
    <w:rPr>
      <w:rFonts w:cs="Arial"/>
      <w:bCs/>
      <w:sz w:val="16"/>
      <w:szCs w:val="16"/>
      <w:lang w:val="en-US"/>
    </w:rPr>
  </w:style>
  <w:style w:type="paragraph" w:customStyle="1" w:styleId="Taulukonotsikko">
    <w:name w:val="Taulukon otsikko"/>
    <w:basedOn w:val="Caption"/>
    <w:link w:val="TaulukonotsikkoChar"/>
    <w:qFormat/>
    <w:rsid w:val="006B7BF2"/>
    <w:pPr>
      <w:spacing w:before="360" w:line="360" w:lineRule="auto"/>
    </w:pPr>
  </w:style>
  <w:style w:type="character" w:customStyle="1" w:styleId="TaulukonsisltChar">
    <w:name w:val="Taulukon sisältö Char"/>
    <w:basedOn w:val="DefaultParagraphFont"/>
    <w:link w:val="Taulukonsislt"/>
    <w:rsid w:val="004C7ED2"/>
    <w:rPr>
      <w:rFonts w:ascii="Arial" w:hAnsi="Arial" w:cs="Arial"/>
      <w:bCs/>
      <w:sz w:val="16"/>
      <w:szCs w:val="16"/>
      <w:lang w:val="en-US"/>
    </w:rPr>
  </w:style>
  <w:style w:type="character" w:customStyle="1" w:styleId="Heading1Char">
    <w:name w:val="Heading 1 Char"/>
    <w:basedOn w:val="DefaultParagraphFont"/>
    <w:link w:val="Heading1"/>
    <w:uiPriority w:val="9"/>
    <w:rsid w:val="00AE0B5D"/>
    <w:rPr>
      <w:rFonts w:ascii="Arial" w:eastAsiaTheme="majorEastAsia" w:hAnsi="Arial" w:cstheme="majorBidi"/>
      <w:b/>
      <w:sz w:val="44"/>
      <w:szCs w:val="32"/>
    </w:rPr>
  </w:style>
  <w:style w:type="character" w:customStyle="1" w:styleId="TaulukonotsikkoChar">
    <w:name w:val="Taulukon otsikko Char"/>
    <w:basedOn w:val="CaptionChar"/>
    <w:link w:val="Taulukonotsikko"/>
    <w:rsid w:val="006B7BF2"/>
    <w:rPr>
      <w:rFonts w:ascii="Arial" w:hAnsi="Arial"/>
      <w:iCs/>
      <w:sz w:val="18"/>
      <w:szCs w:val="18"/>
    </w:rPr>
  </w:style>
  <w:style w:type="paragraph" w:styleId="CommentSubject">
    <w:name w:val="annotation subject"/>
    <w:basedOn w:val="CommentText"/>
    <w:next w:val="CommentText"/>
    <w:link w:val="CommentSubjectChar"/>
    <w:uiPriority w:val="99"/>
    <w:semiHidden/>
    <w:unhideWhenUsed/>
    <w:rsid w:val="000F0FCF"/>
    <w:rPr>
      <w:b/>
      <w:bCs/>
      <w:sz w:val="20"/>
      <w:szCs w:val="20"/>
    </w:rPr>
  </w:style>
  <w:style w:type="character" w:customStyle="1" w:styleId="CommentSubjectChar">
    <w:name w:val="Comment Subject Char"/>
    <w:basedOn w:val="CommentTextChar"/>
    <w:link w:val="CommentSubject"/>
    <w:uiPriority w:val="99"/>
    <w:semiHidden/>
    <w:rsid w:val="000F0FCF"/>
    <w:rPr>
      <w:rFonts w:ascii="Arial" w:hAnsi="Arial"/>
      <w:b/>
      <w:bCs/>
      <w:sz w:val="20"/>
      <w:szCs w:val="20"/>
    </w:rPr>
  </w:style>
  <w:style w:type="paragraph" w:styleId="FootnoteText">
    <w:name w:val="footnote text"/>
    <w:basedOn w:val="Normal"/>
    <w:link w:val="FootnoteTextChar"/>
    <w:uiPriority w:val="99"/>
    <w:semiHidden/>
    <w:unhideWhenUsed/>
    <w:rsid w:val="00DB0D6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B0D69"/>
    <w:rPr>
      <w:rFonts w:ascii="Arial" w:hAnsi="Arial"/>
      <w:sz w:val="20"/>
      <w:szCs w:val="20"/>
    </w:rPr>
  </w:style>
  <w:style w:type="character" w:styleId="FootnoteReference">
    <w:name w:val="footnote reference"/>
    <w:basedOn w:val="DefaultParagraphFont"/>
    <w:uiPriority w:val="99"/>
    <w:semiHidden/>
    <w:unhideWhenUsed/>
    <w:rsid w:val="00DB0D69"/>
    <w:rPr>
      <w:vertAlign w:val="superscript"/>
    </w:rPr>
  </w:style>
  <w:style w:type="paragraph" w:styleId="EndnoteText">
    <w:name w:val="endnote text"/>
    <w:basedOn w:val="Normal"/>
    <w:link w:val="EndnoteTextChar"/>
    <w:uiPriority w:val="99"/>
    <w:semiHidden/>
    <w:unhideWhenUsed/>
    <w:rsid w:val="00DB0D6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DB0D69"/>
    <w:rPr>
      <w:rFonts w:ascii="Arial" w:hAnsi="Arial"/>
      <w:sz w:val="20"/>
      <w:szCs w:val="20"/>
    </w:rPr>
  </w:style>
  <w:style w:type="character" w:styleId="EndnoteReference">
    <w:name w:val="endnote reference"/>
    <w:basedOn w:val="DefaultParagraphFont"/>
    <w:uiPriority w:val="99"/>
    <w:semiHidden/>
    <w:unhideWhenUsed/>
    <w:rsid w:val="00DB0D69"/>
    <w:rPr>
      <w:vertAlign w:val="superscript"/>
    </w:rPr>
  </w:style>
  <w:style w:type="character" w:customStyle="1" w:styleId="go">
    <w:name w:val="go"/>
    <w:basedOn w:val="DefaultParagraphFont"/>
    <w:rsid w:val="00421875"/>
  </w:style>
  <w:style w:type="paragraph" w:styleId="Revision">
    <w:name w:val="Revision"/>
    <w:hidden/>
    <w:uiPriority w:val="99"/>
    <w:semiHidden/>
    <w:rsid w:val="002F43F9"/>
    <w:pPr>
      <w:spacing w:after="0" w:line="240" w:lineRule="auto"/>
    </w:pPr>
    <w:rPr>
      <w:rFonts w:ascii="Arial" w:hAnsi="Arial"/>
    </w:rPr>
  </w:style>
  <w:style w:type="character" w:styleId="LineNumber">
    <w:name w:val="line number"/>
    <w:basedOn w:val="DefaultParagraphFont"/>
    <w:uiPriority w:val="99"/>
    <w:semiHidden/>
    <w:unhideWhenUsed/>
    <w:rsid w:val="000A7483"/>
  </w:style>
  <w:style w:type="table" w:customStyle="1" w:styleId="Vriksluettelotaulukko6-korostus311">
    <w:name w:val="Värikäs luettelotaulukko 6 - korostus 311"/>
    <w:basedOn w:val="TableNormal"/>
    <w:uiPriority w:val="51"/>
    <w:rsid w:val="00AF74C5"/>
    <w:pPr>
      <w:spacing w:before="60" w:after="60" w:line="240" w:lineRule="auto"/>
    </w:pPr>
    <w:tblPr>
      <w:tblBorders>
        <w:top w:val="single" w:sz="12" w:space="0" w:color="auto"/>
        <w:bottom w:val="single" w:sz="12" w:space="0" w:color="auto"/>
      </w:tblBorders>
    </w:tblPr>
    <w:tblStylePr w:type="firstRow">
      <w:pPr>
        <w:wordWrap/>
        <w:jc w:val="left"/>
      </w:pPr>
      <w:rPr>
        <w:b w:val="0"/>
        <w:bCs/>
        <w:i w:val="0"/>
      </w:rPr>
      <w:tblPr/>
      <w:tcPr>
        <w:tcBorders>
          <w:bottom w:val="single" w:sz="4" w:space="0" w:color="A5A5A5" w:themeColor="accent3"/>
        </w:tcBorders>
      </w:tcPr>
    </w:tblStylePr>
    <w:tblStylePr w:type="lastRow">
      <w:rPr>
        <w:b w:val="0"/>
        <w:bCs/>
      </w:rPr>
      <w:tblPr/>
      <w:tcPr>
        <w:tcBorders>
          <w:top w:val="double" w:sz="4" w:space="0" w:color="A5A5A5" w:themeColor="accent3"/>
        </w:tcBorders>
      </w:tcPr>
    </w:tblStylePr>
    <w:tblStylePr w:type="firstCol">
      <w:rPr>
        <w:b w:val="0"/>
        <w:bCs/>
      </w:rPr>
    </w:tblStylePr>
    <w:tblStylePr w:type="lastCol">
      <w:rPr>
        <w:b w:val="0"/>
        <w:bCs/>
      </w:rPr>
    </w:tblStylePr>
  </w:style>
  <w:style w:type="paragraph" w:styleId="Header">
    <w:name w:val="header"/>
    <w:basedOn w:val="Normal"/>
    <w:link w:val="HeaderChar"/>
    <w:uiPriority w:val="99"/>
    <w:unhideWhenUsed/>
    <w:rsid w:val="006F1E97"/>
    <w:pPr>
      <w:tabs>
        <w:tab w:val="center" w:pos="4819"/>
        <w:tab w:val="right" w:pos="9638"/>
      </w:tabs>
      <w:spacing w:before="0" w:after="0" w:line="240" w:lineRule="auto"/>
    </w:pPr>
  </w:style>
  <w:style w:type="character" w:customStyle="1" w:styleId="HeaderChar">
    <w:name w:val="Header Char"/>
    <w:basedOn w:val="DefaultParagraphFont"/>
    <w:link w:val="Header"/>
    <w:uiPriority w:val="99"/>
    <w:rsid w:val="006F1E97"/>
    <w:rPr>
      <w:rFonts w:ascii="Arial" w:hAnsi="Arial"/>
    </w:rPr>
  </w:style>
  <w:style w:type="paragraph" w:styleId="Footer">
    <w:name w:val="footer"/>
    <w:basedOn w:val="Normal"/>
    <w:link w:val="FooterChar"/>
    <w:uiPriority w:val="99"/>
    <w:unhideWhenUsed/>
    <w:rsid w:val="006F1E97"/>
    <w:pPr>
      <w:tabs>
        <w:tab w:val="center" w:pos="4819"/>
        <w:tab w:val="right" w:pos="9638"/>
      </w:tabs>
      <w:spacing w:before="0" w:after="0" w:line="240" w:lineRule="auto"/>
    </w:pPr>
  </w:style>
  <w:style w:type="character" w:customStyle="1" w:styleId="FooterChar">
    <w:name w:val="Footer Char"/>
    <w:basedOn w:val="DefaultParagraphFont"/>
    <w:link w:val="Footer"/>
    <w:uiPriority w:val="99"/>
    <w:rsid w:val="006F1E9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7699">
      <w:bodyDiv w:val="1"/>
      <w:marLeft w:val="0"/>
      <w:marRight w:val="0"/>
      <w:marTop w:val="0"/>
      <w:marBottom w:val="0"/>
      <w:divBdr>
        <w:top w:val="none" w:sz="0" w:space="0" w:color="auto"/>
        <w:left w:val="none" w:sz="0" w:space="0" w:color="auto"/>
        <w:bottom w:val="none" w:sz="0" w:space="0" w:color="auto"/>
        <w:right w:val="none" w:sz="0" w:space="0" w:color="auto"/>
      </w:divBdr>
    </w:div>
    <w:div w:id="96607683">
      <w:bodyDiv w:val="1"/>
      <w:marLeft w:val="0"/>
      <w:marRight w:val="0"/>
      <w:marTop w:val="0"/>
      <w:marBottom w:val="0"/>
      <w:divBdr>
        <w:top w:val="none" w:sz="0" w:space="0" w:color="auto"/>
        <w:left w:val="none" w:sz="0" w:space="0" w:color="auto"/>
        <w:bottom w:val="none" w:sz="0" w:space="0" w:color="auto"/>
        <w:right w:val="none" w:sz="0" w:space="0" w:color="auto"/>
      </w:divBdr>
    </w:div>
    <w:div w:id="99181223">
      <w:bodyDiv w:val="1"/>
      <w:marLeft w:val="0"/>
      <w:marRight w:val="0"/>
      <w:marTop w:val="0"/>
      <w:marBottom w:val="0"/>
      <w:divBdr>
        <w:top w:val="none" w:sz="0" w:space="0" w:color="auto"/>
        <w:left w:val="none" w:sz="0" w:space="0" w:color="auto"/>
        <w:bottom w:val="none" w:sz="0" w:space="0" w:color="auto"/>
        <w:right w:val="none" w:sz="0" w:space="0" w:color="auto"/>
      </w:divBdr>
    </w:div>
    <w:div w:id="122624592">
      <w:bodyDiv w:val="1"/>
      <w:marLeft w:val="0"/>
      <w:marRight w:val="0"/>
      <w:marTop w:val="0"/>
      <w:marBottom w:val="0"/>
      <w:divBdr>
        <w:top w:val="none" w:sz="0" w:space="0" w:color="auto"/>
        <w:left w:val="none" w:sz="0" w:space="0" w:color="auto"/>
        <w:bottom w:val="none" w:sz="0" w:space="0" w:color="auto"/>
        <w:right w:val="none" w:sz="0" w:space="0" w:color="auto"/>
      </w:divBdr>
    </w:div>
    <w:div w:id="189492670">
      <w:bodyDiv w:val="1"/>
      <w:marLeft w:val="0"/>
      <w:marRight w:val="0"/>
      <w:marTop w:val="0"/>
      <w:marBottom w:val="0"/>
      <w:divBdr>
        <w:top w:val="none" w:sz="0" w:space="0" w:color="auto"/>
        <w:left w:val="none" w:sz="0" w:space="0" w:color="auto"/>
        <w:bottom w:val="none" w:sz="0" w:space="0" w:color="auto"/>
        <w:right w:val="none" w:sz="0" w:space="0" w:color="auto"/>
      </w:divBdr>
    </w:div>
    <w:div w:id="192575775">
      <w:bodyDiv w:val="1"/>
      <w:marLeft w:val="0"/>
      <w:marRight w:val="0"/>
      <w:marTop w:val="0"/>
      <w:marBottom w:val="0"/>
      <w:divBdr>
        <w:top w:val="none" w:sz="0" w:space="0" w:color="auto"/>
        <w:left w:val="none" w:sz="0" w:space="0" w:color="auto"/>
        <w:bottom w:val="none" w:sz="0" w:space="0" w:color="auto"/>
        <w:right w:val="none" w:sz="0" w:space="0" w:color="auto"/>
      </w:divBdr>
    </w:div>
    <w:div w:id="208500366">
      <w:bodyDiv w:val="1"/>
      <w:marLeft w:val="0"/>
      <w:marRight w:val="0"/>
      <w:marTop w:val="0"/>
      <w:marBottom w:val="0"/>
      <w:divBdr>
        <w:top w:val="none" w:sz="0" w:space="0" w:color="auto"/>
        <w:left w:val="none" w:sz="0" w:space="0" w:color="auto"/>
        <w:bottom w:val="none" w:sz="0" w:space="0" w:color="auto"/>
        <w:right w:val="none" w:sz="0" w:space="0" w:color="auto"/>
      </w:divBdr>
    </w:div>
    <w:div w:id="227157520">
      <w:bodyDiv w:val="1"/>
      <w:marLeft w:val="0"/>
      <w:marRight w:val="0"/>
      <w:marTop w:val="0"/>
      <w:marBottom w:val="0"/>
      <w:divBdr>
        <w:top w:val="none" w:sz="0" w:space="0" w:color="auto"/>
        <w:left w:val="none" w:sz="0" w:space="0" w:color="auto"/>
        <w:bottom w:val="none" w:sz="0" w:space="0" w:color="auto"/>
        <w:right w:val="none" w:sz="0" w:space="0" w:color="auto"/>
      </w:divBdr>
    </w:div>
    <w:div w:id="386757569">
      <w:bodyDiv w:val="1"/>
      <w:marLeft w:val="0"/>
      <w:marRight w:val="0"/>
      <w:marTop w:val="0"/>
      <w:marBottom w:val="0"/>
      <w:divBdr>
        <w:top w:val="none" w:sz="0" w:space="0" w:color="auto"/>
        <w:left w:val="none" w:sz="0" w:space="0" w:color="auto"/>
        <w:bottom w:val="none" w:sz="0" w:space="0" w:color="auto"/>
        <w:right w:val="none" w:sz="0" w:space="0" w:color="auto"/>
      </w:divBdr>
    </w:div>
    <w:div w:id="432285744">
      <w:bodyDiv w:val="1"/>
      <w:marLeft w:val="0"/>
      <w:marRight w:val="0"/>
      <w:marTop w:val="0"/>
      <w:marBottom w:val="0"/>
      <w:divBdr>
        <w:top w:val="none" w:sz="0" w:space="0" w:color="auto"/>
        <w:left w:val="none" w:sz="0" w:space="0" w:color="auto"/>
        <w:bottom w:val="none" w:sz="0" w:space="0" w:color="auto"/>
        <w:right w:val="none" w:sz="0" w:space="0" w:color="auto"/>
      </w:divBdr>
    </w:div>
    <w:div w:id="463473172">
      <w:bodyDiv w:val="1"/>
      <w:marLeft w:val="0"/>
      <w:marRight w:val="0"/>
      <w:marTop w:val="0"/>
      <w:marBottom w:val="0"/>
      <w:divBdr>
        <w:top w:val="none" w:sz="0" w:space="0" w:color="auto"/>
        <w:left w:val="none" w:sz="0" w:space="0" w:color="auto"/>
        <w:bottom w:val="none" w:sz="0" w:space="0" w:color="auto"/>
        <w:right w:val="none" w:sz="0" w:space="0" w:color="auto"/>
      </w:divBdr>
    </w:div>
    <w:div w:id="483858592">
      <w:bodyDiv w:val="1"/>
      <w:marLeft w:val="0"/>
      <w:marRight w:val="0"/>
      <w:marTop w:val="0"/>
      <w:marBottom w:val="0"/>
      <w:divBdr>
        <w:top w:val="none" w:sz="0" w:space="0" w:color="auto"/>
        <w:left w:val="none" w:sz="0" w:space="0" w:color="auto"/>
        <w:bottom w:val="none" w:sz="0" w:space="0" w:color="auto"/>
        <w:right w:val="none" w:sz="0" w:space="0" w:color="auto"/>
      </w:divBdr>
    </w:div>
    <w:div w:id="522280408">
      <w:bodyDiv w:val="1"/>
      <w:marLeft w:val="0"/>
      <w:marRight w:val="0"/>
      <w:marTop w:val="0"/>
      <w:marBottom w:val="0"/>
      <w:divBdr>
        <w:top w:val="none" w:sz="0" w:space="0" w:color="auto"/>
        <w:left w:val="none" w:sz="0" w:space="0" w:color="auto"/>
        <w:bottom w:val="none" w:sz="0" w:space="0" w:color="auto"/>
        <w:right w:val="none" w:sz="0" w:space="0" w:color="auto"/>
      </w:divBdr>
    </w:div>
    <w:div w:id="526411880">
      <w:bodyDiv w:val="1"/>
      <w:marLeft w:val="0"/>
      <w:marRight w:val="0"/>
      <w:marTop w:val="0"/>
      <w:marBottom w:val="0"/>
      <w:divBdr>
        <w:top w:val="none" w:sz="0" w:space="0" w:color="auto"/>
        <w:left w:val="none" w:sz="0" w:space="0" w:color="auto"/>
        <w:bottom w:val="none" w:sz="0" w:space="0" w:color="auto"/>
        <w:right w:val="none" w:sz="0" w:space="0" w:color="auto"/>
      </w:divBdr>
    </w:div>
    <w:div w:id="574169594">
      <w:bodyDiv w:val="1"/>
      <w:marLeft w:val="0"/>
      <w:marRight w:val="0"/>
      <w:marTop w:val="0"/>
      <w:marBottom w:val="0"/>
      <w:divBdr>
        <w:top w:val="none" w:sz="0" w:space="0" w:color="auto"/>
        <w:left w:val="none" w:sz="0" w:space="0" w:color="auto"/>
        <w:bottom w:val="none" w:sz="0" w:space="0" w:color="auto"/>
        <w:right w:val="none" w:sz="0" w:space="0" w:color="auto"/>
      </w:divBdr>
    </w:div>
    <w:div w:id="615335857">
      <w:bodyDiv w:val="1"/>
      <w:marLeft w:val="0"/>
      <w:marRight w:val="0"/>
      <w:marTop w:val="0"/>
      <w:marBottom w:val="0"/>
      <w:divBdr>
        <w:top w:val="none" w:sz="0" w:space="0" w:color="auto"/>
        <w:left w:val="none" w:sz="0" w:space="0" w:color="auto"/>
        <w:bottom w:val="none" w:sz="0" w:space="0" w:color="auto"/>
        <w:right w:val="none" w:sz="0" w:space="0" w:color="auto"/>
      </w:divBdr>
    </w:div>
    <w:div w:id="669868335">
      <w:bodyDiv w:val="1"/>
      <w:marLeft w:val="0"/>
      <w:marRight w:val="0"/>
      <w:marTop w:val="0"/>
      <w:marBottom w:val="0"/>
      <w:divBdr>
        <w:top w:val="none" w:sz="0" w:space="0" w:color="auto"/>
        <w:left w:val="none" w:sz="0" w:space="0" w:color="auto"/>
        <w:bottom w:val="none" w:sz="0" w:space="0" w:color="auto"/>
        <w:right w:val="none" w:sz="0" w:space="0" w:color="auto"/>
      </w:divBdr>
    </w:div>
    <w:div w:id="708796974">
      <w:bodyDiv w:val="1"/>
      <w:marLeft w:val="0"/>
      <w:marRight w:val="0"/>
      <w:marTop w:val="0"/>
      <w:marBottom w:val="0"/>
      <w:divBdr>
        <w:top w:val="none" w:sz="0" w:space="0" w:color="auto"/>
        <w:left w:val="none" w:sz="0" w:space="0" w:color="auto"/>
        <w:bottom w:val="none" w:sz="0" w:space="0" w:color="auto"/>
        <w:right w:val="none" w:sz="0" w:space="0" w:color="auto"/>
      </w:divBdr>
    </w:div>
    <w:div w:id="737166980">
      <w:bodyDiv w:val="1"/>
      <w:marLeft w:val="0"/>
      <w:marRight w:val="0"/>
      <w:marTop w:val="0"/>
      <w:marBottom w:val="0"/>
      <w:divBdr>
        <w:top w:val="none" w:sz="0" w:space="0" w:color="auto"/>
        <w:left w:val="none" w:sz="0" w:space="0" w:color="auto"/>
        <w:bottom w:val="none" w:sz="0" w:space="0" w:color="auto"/>
        <w:right w:val="none" w:sz="0" w:space="0" w:color="auto"/>
      </w:divBdr>
    </w:div>
    <w:div w:id="751506036">
      <w:bodyDiv w:val="1"/>
      <w:marLeft w:val="0"/>
      <w:marRight w:val="0"/>
      <w:marTop w:val="0"/>
      <w:marBottom w:val="0"/>
      <w:divBdr>
        <w:top w:val="none" w:sz="0" w:space="0" w:color="auto"/>
        <w:left w:val="none" w:sz="0" w:space="0" w:color="auto"/>
        <w:bottom w:val="none" w:sz="0" w:space="0" w:color="auto"/>
        <w:right w:val="none" w:sz="0" w:space="0" w:color="auto"/>
      </w:divBdr>
    </w:div>
    <w:div w:id="761495006">
      <w:bodyDiv w:val="1"/>
      <w:marLeft w:val="0"/>
      <w:marRight w:val="0"/>
      <w:marTop w:val="0"/>
      <w:marBottom w:val="0"/>
      <w:divBdr>
        <w:top w:val="none" w:sz="0" w:space="0" w:color="auto"/>
        <w:left w:val="none" w:sz="0" w:space="0" w:color="auto"/>
        <w:bottom w:val="none" w:sz="0" w:space="0" w:color="auto"/>
        <w:right w:val="none" w:sz="0" w:space="0" w:color="auto"/>
      </w:divBdr>
    </w:div>
    <w:div w:id="789978571">
      <w:bodyDiv w:val="1"/>
      <w:marLeft w:val="0"/>
      <w:marRight w:val="0"/>
      <w:marTop w:val="0"/>
      <w:marBottom w:val="0"/>
      <w:divBdr>
        <w:top w:val="none" w:sz="0" w:space="0" w:color="auto"/>
        <w:left w:val="none" w:sz="0" w:space="0" w:color="auto"/>
        <w:bottom w:val="none" w:sz="0" w:space="0" w:color="auto"/>
        <w:right w:val="none" w:sz="0" w:space="0" w:color="auto"/>
      </w:divBdr>
    </w:div>
    <w:div w:id="813066360">
      <w:bodyDiv w:val="1"/>
      <w:marLeft w:val="0"/>
      <w:marRight w:val="0"/>
      <w:marTop w:val="0"/>
      <w:marBottom w:val="0"/>
      <w:divBdr>
        <w:top w:val="none" w:sz="0" w:space="0" w:color="auto"/>
        <w:left w:val="none" w:sz="0" w:space="0" w:color="auto"/>
        <w:bottom w:val="none" w:sz="0" w:space="0" w:color="auto"/>
        <w:right w:val="none" w:sz="0" w:space="0" w:color="auto"/>
      </w:divBdr>
    </w:div>
    <w:div w:id="817385783">
      <w:bodyDiv w:val="1"/>
      <w:marLeft w:val="0"/>
      <w:marRight w:val="0"/>
      <w:marTop w:val="0"/>
      <w:marBottom w:val="0"/>
      <w:divBdr>
        <w:top w:val="none" w:sz="0" w:space="0" w:color="auto"/>
        <w:left w:val="none" w:sz="0" w:space="0" w:color="auto"/>
        <w:bottom w:val="none" w:sz="0" w:space="0" w:color="auto"/>
        <w:right w:val="none" w:sz="0" w:space="0" w:color="auto"/>
      </w:divBdr>
    </w:div>
    <w:div w:id="832572732">
      <w:bodyDiv w:val="1"/>
      <w:marLeft w:val="0"/>
      <w:marRight w:val="0"/>
      <w:marTop w:val="0"/>
      <w:marBottom w:val="0"/>
      <w:divBdr>
        <w:top w:val="none" w:sz="0" w:space="0" w:color="auto"/>
        <w:left w:val="none" w:sz="0" w:space="0" w:color="auto"/>
        <w:bottom w:val="none" w:sz="0" w:space="0" w:color="auto"/>
        <w:right w:val="none" w:sz="0" w:space="0" w:color="auto"/>
      </w:divBdr>
    </w:div>
    <w:div w:id="864833692">
      <w:bodyDiv w:val="1"/>
      <w:marLeft w:val="0"/>
      <w:marRight w:val="0"/>
      <w:marTop w:val="0"/>
      <w:marBottom w:val="0"/>
      <w:divBdr>
        <w:top w:val="none" w:sz="0" w:space="0" w:color="auto"/>
        <w:left w:val="none" w:sz="0" w:space="0" w:color="auto"/>
        <w:bottom w:val="none" w:sz="0" w:space="0" w:color="auto"/>
        <w:right w:val="none" w:sz="0" w:space="0" w:color="auto"/>
      </w:divBdr>
    </w:div>
    <w:div w:id="901870880">
      <w:bodyDiv w:val="1"/>
      <w:marLeft w:val="0"/>
      <w:marRight w:val="0"/>
      <w:marTop w:val="0"/>
      <w:marBottom w:val="0"/>
      <w:divBdr>
        <w:top w:val="none" w:sz="0" w:space="0" w:color="auto"/>
        <w:left w:val="none" w:sz="0" w:space="0" w:color="auto"/>
        <w:bottom w:val="none" w:sz="0" w:space="0" w:color="auto"/>
        <w:right w:val="none" w:sz="0" w:space="0" w:color="auto"/>
      </w:divBdr>
    </w:div>
    <w:div w:id="906378805">
      <w:bodyDiv w:val="1"/>
      <w:marLeft w:val="0"/>
      <w:marRight w:val="0"/>
      <w:marTop w:val="0"/>
      <w:marBottom w:val="0"/>
      <w:divBdr>
        <w:top w:val="none" w:sz="0" w:space="0" w:color="auto"/>
        <w:left w:val="none" w:sz="0" w:space="0" w:color="auto"/>
        <w:bottom w:val="none" w:sz="0" w:space="0" w:color="auto"/>
        <w:right w:val="none" w:sz="0" w:space="0" w:color="auto"/>
      </w:divBdr>
    </w:div>
    <w:div w:id="918246988">
      <w:bodyDiv w:val="1"/>
      <w:marLeft w:val="0"/>
      <w:marRight w:val="0"/>
      <w:marTop w:val="0"/>
      <w:marBottom w:val="0"/>
      <w:divBdr>
        <w:top w:val="none" w:sz="0" w:space="0" w:color="auto"/>
        <w:left w:val="none" w:sz="0" w:space="0" w:color="auto"/>
        <w:bottom w:val="none" w:sz="0" w:space="0" w:color="auto"/>
        <w:right w:val="none" w:sz="0" w:space="0" w:color="auto"/>
      </w:divBdr>
    </w:div>
    <w:div w:id="928197004">
      <w:bodyDiv w:val="1"/>
      <w:marLeft w:val="0"/>
      <w:marRight w:val="0"/>
      <w:marTop w:val="0"/>
      <w:marBottom w:val="0"/>
      <w:divBdr>
        <w:top w:val="none" w:sz="0" w:space="0" w:color="auto"/>
        <w:left w:val="none" w:sz="0" w:space="0" w:color="auto"/>
        <w:bottom w:val="none" w:sz="0" w:space="0" w:color="auto"/>
        <w:right w:val="none" w:sz="0" w:space="0" w:color="auto"/>
      </w:divBdr>
    </w:div>
    <w:div w:id="1016734981">
      <w:bodyDiv w:val="1"/>
      <w:marLeft w:val="0"/>
      <w:marRight w:val="0"/>
      <w:marTop w:val="0"/>
      <w:marBottom w:val="0"/>
      <w:divBdr>
        <w:top w:val="none" w:sz="0" w:space="0" w:color="auto"/>
        <w:left w:val="none" w:sz="0" w:space="0" w:color="auto"/>
        <w:bottom w:val="none" w:sz="0" w:space="0" w:color="auto"/>
        <w:right w:val="none" w:sz="0" w:space="0" w:color="auto"/>
      </w:divBdr>
    </w:div>
    <w:div w:id="1028532549">
      <w:bodyDiv w:val="1"/>
      <w:marLeft w:val="0"/>
      <w:marRight w:val="0"/>
      <w:marTop w:val="0"/>
      <w:marBottom w:val="0"/>
      <w:divBdr>
        <w:top w:val="none" w:sz="0" w:space="0" w:color="auto"/>
        <w:left w:val="none" w:sz="0" w:space="0" w:color="auto"/>
        <w:bottom w:val="none" w:sz="0" w:space="0" w:color="auto"/>
        <w:right w:val="none" w:sz="0" w:space="0" w:color="auto"/>
      </w:divBdr>
    </w:div>
    <w:div w:id="1038428427">
      <w:bodyDiv w:val="1"/>
      <w:marLeft w:val="0"/>
      <w:marRight w:val="0"/>
      <w:marTop w:val="0"/>
      <w:marBottom w:val="0"/>
      <w:divBdr>
        <w:top w:val="none" w:sz="0" w:space="0" w:color="auto"/>
        <w:left w:val="none" w:sz="0" w:space="0" w:color="auto"/>
        <w:bottom w:val="none" w:sz="0" w:space="0" w:color="auto"/>
        <w:right w:val="none" w:sz="0" w:space="0" w:color="auto"/>
      </w:divBdr>
    </w:div>
    <w:div w:id="1043753934">
      <w:bodyDiv w:val="1"/>
      <w:marLeft w:val="0"/>
      <w:marRight w:val="0"/>
      <w:marTop w:val="0"/>
      <w:marBottom w:val="0"/>
      <w:divBdr>
        <w:top w:val="none" w:sz="0" w:space="0" w:color="auto"/>
        <w:left w:val="none" w:sz="0" w:space="0" w:color="auto"/>
        <w:bottom w:val="none" w:sz="0" w:space="0" w:color="auto"/>
        <w:right w:val="none" w:sz="0" w:space="0" w:color="auto"/>
      </w:divBdr>
    </w:div>
    <w:div w:id="1054236348">
      <w:bodyDiv w:val="1"/>
      <w:marLeft w:val="0"/>
      <w:marRight w:val="0"/>
      <w:marTop w:val="0"/>
      <w:marBottom w:val="0"/>
      <w:divBdr>
        <w:top w:val="none" w:sz="0" w:space="0" w:color="auto"/>
        <w:left w:val="none" w:sz="0" w:space="0" w:color="auto"/>
        <w:bottom w:val="none" w:sz="0" w:space="0" w:color="auto"/>
        <w:right w:val="none" w:sz="0" w:space="0" w:color="auto"/>
      </w:divBdr>
    </w:div>
    <w:div w:id="1063262047">
      <w:bodyDiv w:val="1"/>
      <w:marLeft w:val="0"/>
      <w:marRight w:val="0"/>
      <w:marTop w:val="0"/>
      <w:marBottom w:val="0"/>
      <w:divBdr>
        <w:top w:val="none" w:sz="0" w:space="0" w:color="auto"/>
        <w:left w:val="none" w:sz="0" w:space="0" w:color="auto"/>
        <w:bottom w:val="none" w:sz="0" w:space="0" w:color="auto"/>
        <w:right w:val="none" w:sz="0" w:space="0" w:color="auto"/>
      </w:divBdr>
    </w:div>
    <w:div w:id="1078022099">
      <w:bodyDiv w:val="1"/>
      <w:marLeft w:val="0"/>
      <w:marRight w:val="0"/>
      <w:marTop w:val="0"/>
      <w:marBottom w:val="0"/>
      <w:divBdr>
        <w:top w:val="none" w:sz="0" w:space="0" w:color="auto"/>
        <w:left w:val="none" w:sz="0" w:space="0" w:color="auto"/>
        <w:bottom w:val="none" w:sz="0" w:space="0" w:color="auto"/>
        <w:right w:val="none" w:sz="0" w:space="0" w:color="auto"/>
      </w:divBdr>
    </w:div>
    <w:div w:id="1113018751">
      <w:bodyDiv w:val="1"/>
      <w:marLeft w:val="0"/>
      <w:marRight w:val="0"/>
      <w:marTop w:val="0"/>
      <w:marBottom w:val="0"/>
      <w:divBdr>
        <w:top w:val="none" w:sz="0" w:space="0" w:color="auto"/>
        <w:left w:val="none" w:sz="0" w:space="0" w:color="auto"/>
        <w:bottom w:val="none" w:sz="0" w:space="0" w:color="auto"/>
        <w:right w:val="none" w:sz="0" w:space="0" w:color="auto"/>
      </w:divBdr>
    </w:div>
    <w:div w:id="1142968395">
      <w:bodyDiv w:val="1"/>
      <w:marLeft w:val="0"/>
      <w:marRight w:val="0"/>
      <w:marTop w:val="0"/>
      <w:marBottom w:val="0"/>
      <w:divBdr>
        <w:top w:val="none" w:sz="0" w:space="0" w:color="auto"/>
        <w:left w:val="none" w:sz="0" w:space="0" w:color="auto"/>
        <w:bottom w:val="none" w:sz="0" w:space="0" w:color="auto"/>
        <w:right w:val="none" w:sz="0" w:space="0" w:color="auto"/>
      </w:divBdr>
    </w:div>
    <w:div w:id="1144081573">
      <w:bodyDiv w:val="1"/>
      <w:marLeft w:val="0"/>
      <w:marRight w:val="0"/>
      <w:marTop w:val="0"/>
      <w:marBottom w:val="0"/>
      <w:divBdr>
        <w:top w:val="none" w:sz="0" w:space="0" w:color="auto"/>
        <w:left w:val="none" w:sz="0" w:space="0" w:color="auto"/>
        <w:bottom w:val="none" w:sz="0" w:space="0" w:color="auto"/>
        <w:right w:val="none" w:sz="0" w:space="0" w:color="auto"/>
      </w:divBdr>
    </w:div>
    <w:div w:id="1186754731">
      <w:bodyDiv w:val="1"/>
      <w:marLeft w:val="0"/>
      <w:marRight w:val="0"/>
      <w:marTop w:val="0"/>
      <w:marBottom w:val="0"/>
      <w:divBdr>
        <w:top w:val="none" w:sz="0" w:space="0" w:color="auto"/>
        <w:left w:val="none" w:sz="0" w:space="0" w:color="auto"/>
        <w:bottom w:val="none" w:sz="0" w:space="0" w:color="auto"/>
        <w:right w:val="none" w:sz="0" w:space="0" w:color="auto"/>
      </w:divBdr>
    </w:div>
    <w:div w:id="1188759696">
      <w:bodyDiv w:val="1"/>
      <w:marLeft w:val="0"/>
      <w:marRight w:val="0"/>
      <w:marTop w:val="0"/>
      <w:marBottom w:val="0"/>
      <w:divBdr>
        <w:top w:val="none" w:sz="0" w:space="0" w:color="auto"/>
        <w:left w:val="none" w:sz="0" w:space="0" w:color="auto"/>
        <w:bottom w:val="none" w:sz="0" w:space="0" w:color="auto"/>
        <w:right w:val="none" w:sz="0" w:space="0" w:color="auto"/>
      </w:divBdr>
    </w:div>
    <w:div w:id="1193885265">
      <w:bodyDiv w:val="1"/>
      <w:marLeft w:val="0"/>
      <w:marRight w:val="0"/>
      <w:marTop w:val="0"/>
      <w:marBottom w:val="0"/>
      <w:divBdr>
        <w:top w:val="none" w:sz="0" w:space="0" w:color="auto"/>
        <w:left w:val="none" w:sz="0" w:space="0" w:color="auto"/>
        <w:bottom w:val="none" w:sz="0" w:space="0" w:color="auto"/>
        <w:right w:val="none" w:sz="0" w:space="0" w:color="auto"/>
      </w:divBdr>
    </w:div>
    <w:div w:id="1208226758">
      <w:bodyDiv w:val="1"/>
      <w:marLeft w:val="0"/>
      <w:marRight w:val="0"/>
      <w:marTop w:val="0"/>
      <w:marBottom w:val="0"/>
      <w:divBdr>
        <w:top w:val="none" w:sz="0" w:space="0" w:color="auto"/>
        <w:left w:val="none" w:sz="0" w:space="0" w:color="auto"/>
        <w:bottom w:val="none" w:sz="0" w:space="0" w:color="auto"/>
        <w:right w:val="none" w:sz="0" w:space="0" w:color="auto"/>
      </w:divBdr>
    </w:div>
    <w:div w:id="1233852114">
      <w:bodyDiv w:val="1"/>
      <w:marLeft w:val="0"/>
      <w:marRight w:val="0"/>
      <w:marTop w:val="0"/>
      <w:marBottom w:val="0"/>
      <w:divBdr>
        <w:top w:val="none" w:sz="0" w:space="0" w:color="auto"/>
        <w:left w:val="none" w:sz="0" w:space="0" w:color="auto"/>
        <w:bottom w:val="none" w:sz="0" w:space="0" w:color="auto"/>
        <w:right w:val="none" w:sz="0" w:space="0" w:color="auto"/>
      </w:divBdr>
    </w:div>
    <w:div w:id="1271011311">
      <w:bodyDiv w:val="1"/>
      <w:marLeft w:val="0"/>
      <w:marRight w:val="0"/>
      <w:marTop w:val="0"/>
      <w:marBottom w:val="0"/>
      <w:divBdr>
        <w:top w:val="none" w:sz="0" w:space="0" w:color="auto"/>
        <w:left w:val="none" w:sz="0" w:space="0" w:color="auto"/>
        <w:bottom w:val="none" w:sz="0" w:space="0" w:color="auto"/>
        <w:right w:val="none" w:sz="0" w:space="0" w:color="auto"/>
      </w:divBdr>
    </w:div>
    <w:div w:id="1287194486">
      <w:bodyDiv w:val="1"/>
      <w:marLeft w:val="0"/>
      <w:marRight w:val="0"/>
      <w:marTop w:val="0"/>
      <w:marBottom w:val="0"/>
      <w:divBdr>
        <w:top w:val="none" w:sz="0" w:space="0" w:color="auto"/>
        <w:left w:val="none" w:sz="0" w:space="0" w:color="auto"/>
        <w:bottom w:val="none" w:sz="0" w:space="0" w:color="auto"/>
        <w:right w:val="none" w:sz="0" w:space="0" w:color="auto"/>
      </w:divBdr>
    </w:div>
    <w:div w:id="1294825951">
      <w:bodyDiv w:val="1"/>
      <w:marLeft w:val="0"/>
      <w:marRight w:val="0"/>
      <w:marTop w:val="0"/>
      <w:marBottom w:val="0"/>
      <w:divBdr>
        <w:top w:val="none" w:sz="0" w:space="0" w:color="auto"/>
        <w:left w:val="none" w:sz="0" w:space="0" w:color="auto"/>
        <w:bottom w:val="none" w:sz="0" w:space="0" w:color="auto"/>
        <w:right w:val="none" w:sz="0" w:space="0" w:color="auto"/>
      </w:divBdr>
    </w:div>
    <w:div w:id="1320964695">
      <w:bodyDiv w:val="1"/>
      <w:marLeft w:val="0"/>
      <w:marRight w:val="0"/>
      <w:marTop w:val="0"/>
      <w:marBottom w:val="0"/>
      <w:divBdr>
        <w:top w:val="none" w:sz="0" w:space="0" w:color="auto"/>
        <w:left w:val="none" w:sz="0" w:space="0" w:color="auto"/>
        <w:bottom w:val="none" w:sz="0" w:space="0" w:color="auto"/>
        <w:right w:val="none" w:sz="0" w:space="0" w:color="auto"/>
      </w:divBdr>
    </w:div>
    <w:div w:id="1371151409">
      <w:bodyDiv w:val="1"/>
      <w:marLeft w:val="0"/>
      <w:marRight w:val="0"/>
      <w:marTop w:val="0"/>
      <w:marBottom w:val="0"/>
      <w:divBdr>
        <w:top w:val="none" w:sz="0" w:space="0" w:color="auto"/>
        <w:left w:val="none" w:sz="0" w:space="0" w:color="auto"/>
        <w:bottom w:val="none" w:sz="0" w:space="0" w:color="auto"/>
        <w:right w:val="none" w:sz="0" w:space="0" w:color="auto"/>
      </w:divBdr>
    </w:div>
    <w:div w:id="1395473771">
      <w:bodyDiv w:val="1"/>
      <w:marLeft w:val="0"/>
      <w:marRight w:val="0"/>
      <w:marTop w:val="0"/>
      <w:marBottom w:val="0"/>
      <w:divBdr>
        <w:top w:val="none" w:sz="0" w:space="0" w:color="auto"/>
        <w:left w:val="none" w:sz="0" w:space="0" w:color="auto"/>
        <w:bottom w:val="none" w:sz="0" w:space="0" w:color="auto"/>
        <w:right w:val="none" w:sz="0" w:space="0" w:color="auto"/>
      </w:divBdr>
    </w:div>
    <w:div w:id="1500538234">
      <w:bodyDiv w:val="1"/>
      <w:marLeft w:val="0"/>
      <w:marRight w:val="0"/>
      <w:marTop w:val="0"/>
      <w:marBottom w:val="0"/>
      <w:divBdr>
        <w:top w:val="none" w:sz="0" w:space="0" w:color="auto"/>
        <w:left w:val="none" w:sz="0" w:space="0" w:color="auto"/>
        <w:bottom w:val="none" w:sz="0" w:space="0" w:color="auto"/>
        <w:right w:val="none" w:sz="0" w:space="0" w:color="auto"/>
      </w:divBdr>
    </w:div>
    <w:div w:id="1506435203">
      <w:bodyDiv w:val="1"/>
      <w:marLeft w:val="0"/>
      <w:marRight w:val="0"/>
      <w:marTop w:val="0"/>
      <w:marBottom w:val="0"/>
      <w:divBdr>
        <w:top w:val="none" w:sz="0" w:space="0" w:color="auto"/>
        <w:left w:val="none" w:sz="0" w:space="0" w:color="auto"/>
        <w:bottom w:val="none" w:sz="0" w:space="0" w:color="auto"/>
        <w:right w:val="none" w:sz="0" w:space="0" w:color="auto"/>
      </w:divBdr>
    </w:div>
    <w:div w:id="1538160407">
      <w:bodyDiv w:val="1"/>
      <w:marLeft w:val="0"/>
      <w:marRight w:val="0"/>
      <w:marTop w:val="0"/>
      <w:marBottom w:val="0"/>
      <w:divBdr>
        <w:top w:val="none" w:sz="0" w:space="0" w:color="auto"/>
        <w:left w:val="none" w:sz="0" w:space="0" w:color="auto"/>
        <w:bottom w:val="none" w:sz="0" w:space="0" w:color="auto"/>
        <w:right w:val="none" w:sz="0" w:space="0" w:color="auto"/>
      </w:divBdr>
    </w:div>
    <w:div w:id="1548103841">
      <w:bodyDiv w:val="1"/>
      <w:marLeft w:val="0"/>
      <w:marRight w:val="0"/>
      <w:marTop w:val="0"/>
      <w:marBottom w:val="0"/>
      <w:divBdr>
        <w:top w:val="none" w:sz="0" w:space="0" w:color="auto"/>
        <w:left w:val="none" w:sz="0" w:space="0" w:color="auto"/>
        <w:bottom w:val="none" w:sz="0" w:space="0" w:color="auto"/>
        <w:right w:val="none" w:sz="0" w:space="0" w:color="auto"/>
      </w:divBdr>
    </w:div>
    <w:div w:id="1573394917">
      <w:bodyDiv w:val="1"/>
      <w:marLeft w:val="0"/>
      <w:marRight w:val="0"/>
      <w:marTop w:val="0"/>
      <w:marBottom w:val="0"/>
      <w:divBdr>
        <w:top w:val="none" w:sz="0" w:space="0" w:color="auto"/>
        <w:left w:val="none" w:sz="0" w:space="0" w:color="auto"/>
        <w:bottom w:val="none" w:sz="0" w:space="0" w:color="auto"/>
        <w:right w:val="none" w:sz="0" w:space="0" w:color="auto"/>
      </w:divBdr>
    </w:div>
    <w:div w:id="1577670517">
      <w:bodyDiv w:val="1"/>
      <w:marLeft w:val="0"/>
      <w:marRight w:val="0"/>
      <w:marTop w:val="0"/>
      <w:marBottom w:val="0"/>
      <w:divBdr>
        <w:top w:val="none" w:sz="0" w:space="0" w:color="auto"/>
        <w:left w:val="none" w:sz="0" w:space="0" w:color="auto"/>
        <w:bottom w:val="none" w:sz="0" w:space="0" w:color="auto"/>
        <w:right w:val="none" w:sz="0" w:space="0" w:color="auto"/>
      </w:divBdr>
    </w:div>
    <w:div w:id="1596594204">
      <w:bodyDiv w:val="1"/>
      <w:marLeft w:val="0"/>
      <w:marRight w:val="0"/>
      <w:marTop w:val="0"/>
      <w:marBottom w:val="0"/>
      <w:divBdr>
        <w:top w:val="none" w:sz="0" w:space="0" w:color="auto"/>
        <w:left w:val="none" w:sz="0" w:space="0" w:color="auto"/>
        <w:bottom w:val="none" w:sz="0" w:space="0" w:color="auto"/>
        <w:right w:val="none" w:sz="0" w:space="0" w:color="auto"/>
      </w:divBdr>
    </w:div>
    <w:div w:id="1665082809">
      <w:bodyDiv w:val="1"/>
      <w:marLeft w:val="0"/>
      <w:marRight w:val="0"/>
      <w:marTop w:val="0"/>
      <w:marBottom w:val="0"/>
      <w:divBdr>
        <w:top w:val="none" w:sz="0" w:space="0" w:color="auto"/>
        <w:left w:val="none" w:sz="0" w:space="0" w:color="auto"/>
        <w:bottom w:val="none" w:sz="0" w:space="0" w:color="auto"/>
        <w:right w:val="none" w:sz="0" w:space="0" w:color="auto"/>
      </w:divBdr>
    </w:div>
    <w:div w:id="1724602294">
      <w:bodyDiv w:val="1"/>
      <w:marLeft w:val="0"/>
      <w:marRight w:val="0"/>
      <w:marTop w:val="0"/>
      <w:marBottom w:val="0"/>
      <w:divBdr>
        <w:top w:val="none" w:sz="0" w:space="0" w:color="auto"/>
        <w:left w:val="none" w:sz="0" w:space="0" w:color="auto"/>
        <w:bottom w:val="none" w:sz="0" w:space="0" w:color="auto"/>
        <w:right w:val="none" w:sz="0" w:space="0" w:color="auto"/>
      </w:divBdr>
    </w:div>
    <w:div w:id="1758020616">
      <w:bodyDiv w:val="1"/>
      <w:marLeft w:val="0"/>
      <w:marRight w:val="0"/>
      <w:marTop w:val="0"/>
      <w:marBottom w:val="0"/>
      <w:divBdr>
        <w:top w:val="none" w:sz="0" w:space="0" w:color="auto"/>
        <w:left w:val="none" w:sz="0" w:space="0" w:color="auto"/>
        <w:bottom w:val="none" w:sz="0" w:space="0" w:color="auto"/>
        <w:right w:val="none" w:sz="0" w:space="0" w:color="auto"/>
      </w:divBdr>
    </w:div>
    <w:div w:id="1764299983">
      <w:bodyDiv w:val="1"/>
      <w:marLeft w:val="0"/>
      <w:marRight w:val="0"/>
      <w:marTop w:val="0"/>
      <w:marBottom w:val="0"/>
      <w:divBdr>
        <w:top w:val="none" w:sz="0" w:space="0" w:color="auto"/>
        <w:left w:val="none" w:sz="0" w:space="0" w:color="auto"/>
        <w:bottom w:val="none" w:sz="0" w:space="0" w:color="auto"/>
        <w:right w:val="none" w:sz="0" w:space="0" w:color="auto"/>
      </w:divBdr>
    </w:div>
    <w:div w:id="1788506618">
      <w:bodyDiv w:val="1"/>
      <w:marLeft w:val="0"/>
      <w:marRight w:val="0"/>
      <w:marTop w:val="0"/>
      <w:marBottom w:val="0"/>
      <w:divBdr>
        <w:top w:val="none" w:sz="0" w:space="0" w:color="auto"/>
        <w:left w:val="none" w:sz="0" w:space="0" w:color="auto"/>
        <w:bottom w:val="none" w:sz="0" w:space="0" w:color="auto"/>
        <w:right w:val="none" w:sz="0" w:space="0" w:color="auto"/>
      </w:divBdr>
    </w:div>
    <w:div w:id="1824159597">
      <w:bodyDiv w:val="1"/>
      <w:marLeft w:val="0"/>
      <w:marRight w:val="0"/>
      <w:marTop w:val="0"/>
      <w:marBottom w:val="0"/>
      <w:divBdr>
        <w:top w:val="none" w:sz="0" w:space="0" w:color="auto"/>
        <w:left w:val="none" w:sz="0" w:space="0" w:color="auto"/>
        <w:bottom w:val="none" w:sz="0" w:space="0" w:color="auto"/>
        <w:right w:val="none" w:sz="0" w:space="0" w:color="auto"/>
      </w:divBdr>
    </w:div>
    <w:div w:id="1845705667">
      <w:bodyDiv w:val="1"/>
      <w:marLeft w:val="0"/>
      <w:marRight w:val="0"/>
      <w:marTop w:val="0"/>
      <w:marBottom w:val="0"/>
      <w:divBdr>
        <w:top w:val="none" w:sz="0" w:space="0" w:color="auto"/>
        <w:left w:val="none" w:sz="0" w:space="0" w:color="auto"/>
        <w:bottom w:val="none" w:sz="0" w:space="0" w:color="auto"/>
        <w:right w:val="none" w:sz="0" w:space="0" w:color="auto"/>
      </w:divBdr>
    </w:div>
    <w:div w:id="1962762829">
      <w:bodyDiv w:val="1"/>
      <w:marLeft w:val="0"/>
      <w:marRight w:val="0"/>
      <w:marTop w:val="0"/>
      <w:marBottom w:val="0"/>
      <w:divBdr>
        <w:top w:val="none" w:sz="0" w:space="0" w:color="auto"/>
        <w:left w:val="none" w:sz="0" w:space="0" w:color="auto"/>
        <w:bottom w:val="none" w:sz="0" w:space="0" w:color="auto"/>
        <w:right w:val="none" w:sz="0" w:space="0" w:color="auto"/>
      </w:divBdr>
    </w:div>
    <w:div w:id="2047442906">
      <w:bodyDiv w:val="1"/>
      <w:marLeft w:val="0"/>
      <w:marRight w:val="0"/>
      <w:marTop w:val="0"/>
      <w:marBottom w:val="0"/>
      <w:divBdr>
        <w:top w:val="none" w:sz="0" w:space="0" w:color="auto"/>
        <w:left w:val="none" w:sz="0" w:space="0" w:color="auto"/>
        <w:bottom w:val="none" w:sz="0" w:space="0" w:color="auto"/>
        <w:right w:val="none" w:sz="0" w:space="0" w:color="auto"/>
      </w:divBdr>
    </w:div>
    <w:div w:id="2098362329">
      <w:bodyDiv w:val="1"/>
      <w:marLeft w:val="0"/>
      <w:marRight w:val="0"/>
      <w:marTop w:val="0"/>
      <w:marBottom w:val="0"/>
      <w:divBdr>
        <w:top w:val="none" w:sz="0" w:space="0" w:color="auto"/>
        <w:left w:val="none" w:sz="0" w:space="0" w:color="auto"/>
        <w:bottom w:val="none" w:sz="0" w:space="0" w:color="auto"/>
        <w:right w:val="none" w:sz="0" w:space="0" w:color="auto"/>
      </w:divBdr>
    </w:div>
    <w:div w:id="2131698641">
      <w:bodyDiv w:val="1"/>
      <w:marLeft w:val="0"/>
      <w:marRight w:val="0"/>
      <w:marTop w:val="0"/>
      <w:marBottom w:val="0"/>
      <w:divBdr>
        <w:top w:val="none" w:sz="0" w:space="0" w:color="auto"/>
        <w:left w:val="none" w:sz="0" w:space="0" w:color="auto"/>
        <w:bottom w:val="none" w:sz="0" w:space="0" w:color="auto"/>
        <w:right w:val="none" w:sz="0" w:space="0" w:color="auto"/>
      </w:divBdr>
    </w:div>
    <w:div w:id="2133671150">
      <w:bodyDiv w:val="1"/>
      <w:marLeft w:val="0"/>
      <w:marRight w:val="0"/>
      <w:marTop w:val="0"/>
      <w:marBottom w:val="0"/>
      <w:divBdr>
        <w:top w:val="none" w:sz="0" w:space="0" w:color="auto"/>
        <w:left w:val="none" w:sz="0" w:space="0" w:color="auto"/>
        <w:bottom w:val="none" w:sz="0" w:space="0" w:color="auto"/>
        <w:right w:val="none" w:sz="0" w:space="0" w:color="auto"/>
      </w:divBdr>
    </w:div>
    <w:div w:id="21344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ing.oxfordjournals.or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ing.oxfordjournals.org/" TargetMode="External"/><Relationship Id="rId14" Type="http://schemas.openxmlformats.org/officeDocument/2006/relationships/header" Target="head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5190</Words>
  <Characters>29588</Characters>
  <Application>Microsoft Office Word</Application>
  <DocSecurity>4</DocSecurity>
  <Lines>246</Lines>
  <Paragraphs>69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34709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2017-05-31T15:01:00Z</dcterms:created>
  <dcterms:modified xsi:type="dcterms:W3CDTF">2017-05-31T15:01:00Z</dcterms:modified>
</cp:coreProperties>
</file>