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1B16E" w14:textId="77777777" w:rsidR="00D4483A" w:rsidRPr="00A84F8C" w:rsidRDefault="00D4483A" w:rsidP="00D4483A">
      <w:pPr>
        <w:jc w:val="center"/>
        <w:rPr>
          <w:b/>
          <w:sz w:val="28"/>
          <w:szCs w:val="28"/>
        </w:rPr>
      </w:pPr>
      <w:bookmarkStart w:id="0" w:name="_GoBack"/>
      <w:bookmarkEnd w:id="0"/>
    </w:p>
    <w:p w14:paraId="5FD087E6" w14:textId="77777777" w:rsidR="003C01D8" w:rsidRPr="00AF7A10" w:rsidRDefault="00866C87" w:rsidP="00D4483A">
      <w:pPr>
        <w:jc w:val="center"/>
        <w:rPr>
          <w:b/>
          <w:sz w:val="28"/>
          <w:szCs w:val="28"/>
          <w:lang w:val="fr-FR"/>
        </w:rPr>
      </w:pPr>
      <w:r w:rsidRPr="00AF7A10">
        <w:rPr>
          <w:b/>
          <w:sz w:val="28"/>
          <w:szCs w:val="28"/>
          <w:lang w:val="fr-FR"/>
        </w:rPr>
        <w:t>Lancet Private Sector Series</w:t>
      </w:r>
    </w:p>
    <w:p w14:paraId="5DFA7292" w14:textId="77777777" w:rsidR="00D4483A" w:rsidRPr="00162C05" w:rsidRDefault="003C01D8" w:rsidP="00D4483A">
      <w:pPr>
        <w:jc w:val="center"/>
        <w:rPr>
          <w:b/>
          <w:sz w:val="28"/>
          <w:szCs w:val="28"/>
          <w:lang w:val="fr-FR"/>
        </w:rPr>
      </w:pPr>
      <w:r w:rsidRPr="00162C05">
        <w:rPr>
          <w:b/>
          <w:sz w:val="28"/>
          <w:szCs w:val="28"/>
          <w:lang w:val="fr-FR"/>
        </w:rPr>
        <w:t xml:space="preserve">Article 1   </w:t>
      </w:r>
    </w:p>
    <w:p w14:paraId="6C0A3A15" w14:textId="77777777" w:rsidR="00571BA5" w:rsidRPr="00192EBD" w:rsidRDefault="00571BA5" w:rsidP="00571BA5">
      <w:pPr>
        <w:rPr>
          <w:b/>
          <w:sz w:val="32"/>
          <w:szCs w:val="32"/>
          <w:lang w:val="fr-FR"/>
        </w:rPr>
      </w:pPr>
    </w:p>
    <w:p w14:paraId="5F6318CF" w14:textId="77777777" w:rsidR="003C01D8" w:rsidRPr="00A84F8C" w:rsidRDefault="003C01D8" w:rsidP="00571BA5">
      <w:pPr>
        <w:rPr>
          <w:b/>
          <w:sz w:val="32"/>
          <w:szCs w:val="32"/>
        </w:rPr>
      </w:pPr>
      <w:r w:rsidRPr="00A84F8C">
        <w:rPr>
          <w:b/>
          <w:sz w:val="32"/>
          <w:szCs w:val="32"/>
        </w:rPr>
        <w:t xml:space="preserve">What is the private sector?  </w:t>
      </w:r>
      <w:r w:rsidR="00405FB8" w:rsidRPr="00A84F8C">
        <w:rPr>
          <w:b/>
          <w:sz w:val="32"/>
          <w:szCs w:val="32"/>
        </w:rPr>
        <w:t>Understanding p</w:t>
      </w:r>
      <w:r w:rsidRPr="00A84F8C">
        <w:rPr>
          <w:b/>
          <w:sz w:val="32"/>
          <w:szCs w:val="32"/>
        </w:rPr>
        <w:t xml:space="preserve">rivate </w:t>
      </w:r>
      <w:r w:rsidR="00405FB8" w:rsidRPr="00A84F8C">
        <w:rPr>
          <w:b/>
          <w:sz w:val="32"/>
          <w:szCs w:val="32"/>
        </w:rPr>
        <w:t xml:space="preserve">provision </w:t>
      </w:r>
      <w:r w:rsidRPr="00A84F8C">
        <w:rPr>
          <w:b/>
          <w:sz w:val="32"/>
          <w:szCs w:val="32"/>
        </w:rPr>
        <w:t>in low and middle income countries’ health systems</w:t>
      </w:r>
    </w:p>
    <w:p w14:paraId="77BBADAA" w14:textId="77777777" w:rsidR="00365B1B" w:rsidRPr="002568D0" w:rsidRDefault="003C01D8" w:rsidP="00571BA5">
      <w:r w:rsidRPr="00A84F8C">
        <w:t>Maureen Mackintosh</w:t>
      </w:r>
      <w:r w:rsidR="00571BA5">
        <w:t xml:space="preserve">*, </w:t>
      </w:r>
      <w:r w:rsidRPr="00A84F8C">
        <w:t>Amos Channon</w:t>
      </w:r>
      <w:r w:rsidR="00571BA5">
        <w:t>,</w:t>
      </w:r>
      <w:r w:rsidR="00516DA7">
        <w:t>**</w:t>
      </w:r>
      <w:r w:rsidR="00571BA5">
        <w:t xml:space="preserve"> </w:t>
      </w:r>
      <w:r w:rsidR="00DE7CE7" w:rsidRPr="002568D0">
        <w:t>Anup Karan</w:t>
      </w:r>
      <w:r w:rsidR="00516DA7">
        <w:t>***</w:t>
      </w:r>
      <w:r w:rsidR="00571BA5">
        <w:t xml:space="preserve">, </w:t>
      </w:r>
      <w:r w:rsidR="00DE7CE7">
        <w:t>Sakthivel Selva</w:t>
      </w:r>
      <w:r w:rsidR="00DE7CE7" w:rsidRPr="00A84F8C">
        <w:t>raj</w:t>
      </w:r>
      <w:r w:rsidR="00516DA7">
        <w:t>***</w:t>
      </w:r>
      <w:r w:rsidR="00571BA5">
        <w:t xml:space="preserve">, </w:t>
      </w:r>
      <w:r w:rsidR="00571BA5" w:rsidRPr="002568D0">
        <w:t>Hongwen Zhao</w:t>
      </w:r>
      <w:r w:rsidR="00516DA7">
        <w:t>****</w:t>
      </w:r>
      <w:r w:rsidR="00571BA5">
        <w:t>,</w:t>
      </w:r>
      <w:r w:rsidR="00571BA5" w:rsidRPr="002568D0">
        <w:t xml:space="preserve"> </w:t>
      </w:r>
      <w:r w:rsidRPr="002568D0">
        <w:t>Eleonora Cavagnero</w:t>
      </w:r>
      <w:r w:rsidR="00516DA7">
        <w:t>*****</w:t>
      </w:r>
    </w:p>
    <w:p w14:paraId="7602453F" w14:textId="77777777" w:rsidR="00365B1B" w:rsidRDefault="00571BA5" w:rsidP="00571BA5">
      <w:r>
        <w:t xml:space="preserve">*Corresponding author: Faculty of Social Sciences, The Open University, Walton Hall, Milton Keynes MK7 6AA, UK.  Tel +44 (0)1908 654424. Email </w:t>
      </w:r>
      <w:hyperlink r:id="rId8" w:history="1">
        <w:r w:rsidRPr="0026653D">
          <w:rPr>
            <w:rStyle w:val="Hyperlink"/>
          </w:rPr>
          <w:t>maureen.mackintosh@open.ac.uk</w:t>
        </w:r>
      </w:hyperlink>
      <w:r>
        <w:t xml:space="preserve"> </w:t>
      </w:r>
    </w:p>
    <w:p w14:paraId="502770B4" w14:textId="77777777" w:rsidR="00571BA5" w:rsidRDefault="00516DA7" w:rsidP="00516DA7">
      <w:pPr>
        <w:spacing w:after="0"/>
      </w:pPr>
      <w:r>
        <w:t>** University of Southampton</w:t>
      </w:r>
    </w:p>
    <w:p w14:paraId="141B9C1C" w14:textId="77777777" w:rsidR="00516DA7" w:rsidRDefault="00516DA7" w:rsidP="00516DA7">
      <w:pPr>
        <w:spacing w:after="0"/>
      </w:pPr>
      <w:r>
        <w:t>*** Public Health Foundation of India</w:t>
      </w:r>
    </w:p>
    <w:p w14:paraId="0240952C" w14:textId="77777777" w:rsidR="00516DA7" w:rsidRDefault="00516DA7" w:rsidP="00516DA7">
      <w:pPr>
        <w:spacing w:after="0"/>
      </w:pPr>
      <w:r>
        <w:t>**** World Health Organisation</w:t>
      </w:r>
    </w:p>
    <w:p w14:paraId="02A778E7" w14:textId="77777777" w:rsidR="00516DA7" w:rsidRPr="002568D0" w:rsidRDefault="00516DA7" w:rsidP="00516DA7">
      <w:pPr>
        <w:spacing w:after="0"/>
      </w:pPr>
      <w:r>
        <w:t>***** World Bank</w:t>
      </w:r>
    </w:p>
    <w:p w14:paraId="6DD5E712" w14:textId="77777777" w:rsidR="00D4483A" w:rsidRPr="002568D0" w:rsidRDefault="00D4483A" w:rsidP="003C01D8"/>
    <w:p w14:paraId="420E945F" w14:textId="77777777" w:rsidR="00D4483A" w:rsidRPr="002568D0" w:rsidRDefault="00D4483A" w:rsidP="003C01D8"/>
    <w:p w14:paraId="445ED601" w14:textId="77777777" w:rsidR="009F79A2" w:rsidRPr="00A84F8C" w:rsidRDefault="009F79A2" w:rsidP="00571BA5">
      <w:pPr>
        <w:rPr>
          <w:b/>
        </w:rPr>
      </w:pPr>
      <w:r w:rsidRPr="00A84F8C">
        <w:t>Word count</w:t>
      </w:r>
      <w:r w:rsidR="00AB2EB7">
        <w:t xml:space="preserve"> </w:t>
      </w:r>
      <w:r w:rsidR="00365B1B">
        <w:t>(text and tables) 5500</w:t>
      </w:r>
      <w:r w:rsidR="00296787">
        <w:t>.</w:t>
      </w:r>
    </w:p>
    <w:p w14:paraId="0544C7DF" w14:textId="77777777" w:rsidR="00D4483A" w:rsidRPr="00A84F8C" w:rsidRDefault="00D4483A">
      <w:pPr>
        <w:rPr>
          <w:b/>
          <w:sz w:val="28"/>
          <w:szCs w:val="28"/>
        </w:rPr>
      </w:pPr>
      <w:r w:rsidRPr="00A84F8C">
        <w:rPr>
          <w:b/>
          <w:sz w:val="28"/>
          <w:szCs w:val="28"/>
        </w:rPr>
        <w:br w:type="page"/>
      </w:r>
    </w:p>
    <w:p w14:paraId="3AB471E1" w14:textId="77777777" w:rsidR="00CA1598" w:rsidRPr="00A84F8C" w:rsidRDefault="00365B1B" w:rsidP="00CA1598">
      <w:pPr>
        <w:spacing w:after="120"/>
        <w:rPr>
          <w:b/>
          <w:sz w:val="28"/>
          <w:szCs w:val="28"/>
        </w:rPr>
      </w:pPr>
      <w:r>
        <w:rPr>
          <w:b/>
          <w:sz w:val="28"/>
          <w:szCs w:val="28"/>
        </w:rPr>
        <w:lastRenderedPageBreak/>
        <w:t>Summary</w:t>
      </w:r>
      <w:r w:rsidR="00405FB8" w:rsidRPr="00A84F8C">
        <w:rPr>
          <w:b/>
          <w:sz w:val="28"/>
          <w:szCs w:val="28"/>
        </w:rPr>
        <w:t xml:space="preserve"> </w:t>
      </w:r>
    </w:p>
    <w:p w14:paraId="3781A399" w14:textId="77777777" w:rsidR="002F00A5" w:rsidRDefault="00CA1598" w:rsidP="00274D50">
      <w:r w:rsidRPr="00A84F8C">
        <w:t xml:space="preserve">Private health care in </w:t>
      </w:r>
      <w:r w:rsidR="002F00A5">
        <w:t>low and middle income countries (</w:t>
      </w:r>
      <w:r w:rsidRPr="00A84F8C">
        <w:t>LMICs</w:t>
      </w:r>
      <w:r w:rsidR="002F00A5">
        <w:t>)</w:t>
      </w:r>
      <w:r w:rsidRPr="00A84F8C">
        <w:t xml:space="preserve"> </w:t>
      </w:r>
      <w:r w:rsidR="007C7095">
        <w:t xml:space="preserve">is </w:t>
      </w:r>
      <w:r w:rsidR="00B15F69">
        <w:t xml:space="preserve">very extensive and </w:t>
      </w:r>
      <w:r w:rsidRPr="00A84F8C">
        <w:t xml:space="preserve">wildly heterogeneous, </w:t>
      </w:r>
      <w:r w:rsidR="007C7095">
        <w:t xml:space="preserve">ranging </w:t>
      </w:r>
      <w:r w:rsidRPr="00A84F8C">
        <w:t xml:space="preserve">from itinerant medicine sellers, through millions of independent practitioners, </w:t>
      </w:r>
      <w:r w:rsidR="007C7095">
        <w:t>un</w:t>
      </w:r>
      <w:r w:rsidRPr="00A84F8C">
        <w:t xml:space="preserve">licensed and licensed, to corporate hospital chains and </w:t>
      </w:r>
      <w:r w:rsidR="00B62C5A">
        <w:t xml:space="preserve">large </w:t>
      </w:r>
      <w:r w:rsidR="00E147B5" w:rsidRPr="00A84F8C">
        <w:t>private i</w:t>
      </w:r>
      <w:r w:rsidR="009F29F1" w:rsidRPr="00A84F8C">
        <w:t xml:space="preserve">nsurers. </w:t>
      </w:r>
      <w:r w:rsidR="00B15F69">
        <w:t xml:space="preserve">Policies for universal health coverage (UHC) </w:t>
      </w:r>
      <w:r w:rsidR="007B0E0C">
        <w:t xml:space="preserve">must address this complex private sector. </w:t>
      </w:r>
      <w:r w:rsidR="009F29F1" w:rsidRPr="00A84F8C">
        <w:t xml:space="preserve"> </w:t>
      </w:r>
      <w:r w:rsidR="007B0E0C">
        <w:t>Yet t</w:t>
      </w:r>
      <w:r w:rsidR="002F00A5" w:rsidRPr="002F00A5">
        <w:t xml:space="preserve">here are no agreed measures of the scale and scope of the private health sector, and policy makers tasked with managing and </w:t>
      </w:r>
      <w:r w:rsidR="002F00A5">
        <w:t xml:space="preserve">regulating </w:t>
      </w:r>
      <w:r w:rsidR="002F00A5" w:rsidRPr="002F00A5">
        <w:t>mixed health systems struggle to identify the key features of their private sectors.</w:t>
      </w:r>
      <w:r w:rsidR="002F00A5">
        <w:t xml:space="preserve"> </w:t>
      </w:r>
      <w:r w:rsidR="002F00A5" w:rsidRPr="002F00A5">
        <w:t xml:space="preserve">This article </w:t>
      </w:r>
      <w:r w:rsidR="001307A1">
        <w:t>proposes a set of metrics</w:t>
      </w:r>
      <w:r w:rsidR="00EE29A0">
        <w:t xml:space="preserve">, </w:t>
      </w:r>
      <w:r w:rsidR="002506CB">
        <w:t xml:space="preserve">drawn </w:t>
      </w:r>
      <w:r w:rsidR="00EE29A0">
        <w:t>from</w:t>
      </w:r>
      <w:r w:rsidR="00274D50">
        <w:t xml:space="preserve"> existing data,</w:t>
      </w:r>
      <w:r w:rsidR="001307A1">
        <w:t xml:space="preserve"> that can form a starting point for policy makers to identify</w:t>
      </w:r>
      <w:r w:rsidR="001307A1" w:rsidRPr="002F00A5">
        <w:t xml:space="preserve"> the structure and dynamics of private provision in their particular mixed health systems: that is, </w:t>
      </w:r>
      <w:r w:rsidR="001307A1">
        <w:t xml:space="preserve">to identify </w:t>
      </w:r>
      <w:r w:rsidR="001307A1" w:rsidRPr="002F00A5">
        <w:t xml:space="preserve">the consequences of given structures, the drivers of change, and levers </w:t>
      </w:r>
      <w:r w:rsidR="001307A1">
        <w:t xml:space="preserve">available </w:t>
      </w:r>
      <w:r w:rsidR="001307A1" w:rsidRPr="002F00A5">
        <w:t>to improve efficiency and outcomes.</w:t>
      </w:r>
      <w:r w:rsidR="001307A1">
        <w:t xml:space="preserve">  </w:t>
      </w:r>
      <w:r w:rsidR="001307A1" w:rsidRPr="002F00A5">
        <w:t xml:space="preserve">The </w:t>
      </w:r>
      <w:r w:rsidR="00365B1B">
        <w:t xml:space="preserve">central </w:t>
      </w:r>
      <w:r w:rsidR="001307A1">
        <w:t>message</w:t>
      </w:r>
      <w:r w:rsidR="00365B1B">
        <w:t xml:space="preserve"> </w:t>
      </w:r>
      <w:r w:rsidR="001307A1" w:rsidRPr="002F00A5">
        <w:t>is that private sector</w:t>
      </w:r>
      <w:r w:rsidR="00776278">
        <w:t>s</w:t>
      </w:r>
      <w:r w:rsidR="001307A1" w:rsidRPr="002F00A5">
        <w:t xml:space="preserve"> cannot be understood except within </w:t>
      </w:r>
      <w:r w:rsidR="00776278">
        <w:t xml:space="preserve">their </w:t>
      </w:r>
      <w:r w:rsidR="001307A1" w:rsidRPr="002F00A5">
        <w:t>context of mixed health system</w:t>
      </w:r>
      <w:r w:rsidR="00776278">
        <w:t>s</w:t>
      </w:r>
      <w:r w:rsidR="00365B1B">
        <w:t xml:space="preserve"> since p</w:t>
      </w:r>
      <w:r w:rsidR="001307A1" w:rsidRPr="002F00A5">
        <w:t>riv</w:t>
      </w:r>
      <w:r w:rsidR="002506CB">
        <w:t>ate and public sectors interact. W</w:t>
      </w:r>
      <w:r w:rsidR="001307A1" w:rsidRPr="002F00A5">
        <w:t xml:space="preserve">e </w:t>
      </w:r>
      <w:r w:rsidR="00365B1B">
        <w:t xml:space="preserve">develop </w:t>
      </w:r>
      <w:r w:rsidR="001307A1" w:rsidRPr="002F00A5">
        <w:t>a</w:t>
      </w:r>
      <w:r w:rsidR="001307A1">
        <w:t xml:space="preserve">n </w:t>
      </w:r>
      <w:r w:rsidR="001307A1" w:rsidRPr="002F00A5">
        <w:t xml:space="preserve">illustrative </w:t>
      </w:r>
      <w:r w:rsidR="001307A1">
        <w:t>and partial country typology</w:t>
      </w:r>
      <w:r w:rsidR="001307A1" w:rsidRPr="002F00A5">
        <w:t xml:space="preserve">, using the metrics and other </w:t>
      </w:r>
      <w:r w:rsidR="00052A35">
        <w:t xml:space="preserve">country </w:t>
      </w:r>
      <w:r w:rsidR="001307A1" w:rsidRPr="002F00A5">
        <w:t xml:space="preserve">information, to </w:t>
      </w:r>
      <w:r w:rsidR="00EF7AEB">
        <w:t xml:space="preserve">illustrate </w:t>
      </w:r>
      <w:r w:rsidR="00066BC8">
        <w:t xml:space="preserve">how </w:t>
      </w:r>
      <w:r w:rsidR="00EF7AEB">
        <w:t xml:space="preserve">the </w:t>
      </w:r>
      <w:r w:rsidR="001307A1" w:rsidRPr="002F00A5">
        <w:t xml:space="preserve">scale and operation of the public sector </w:t>
      </w:r>
      <w:r w:rsidR="00066BC8">
        <w:t>may shape</w:t>
      </w:r>
      <w:r w:rsidR="001307A1" w:rsidRPr="002F00A5">
        <w:t xml:space="preserve"> </w:t>
      </w:r>
      <w:r w:rsidR="00066BC8">
        <w:t xml:space="preserve">the </w:t>
      </w:r>
      <w:r w:rsidR="001307A1" w:rsidRPr="002F00A5">
        <w:t>private s</w:t>
      </w:r>
      <w:r w:rsidR="002506CB">
        <w:t>ector</w:t>
      </w:r>
      <w:r w:rsidR="00066BC8">
        <w:t>’s</w:t>
      </w:r>
      <w:r w:rsidR="002506CB">
        <w:t xml:space="preserve"> structure and behaviour,</w:t>
      </w:r>
      <w:r w:rsidR="001307A1" w:rsidRPr="002F00A5">
        <w:t xml:space="preserve"> and </w:t>
      </w:r>
      <w:r w:rsidR="001307A1" w:rsidRPr="002F00A5">
        <w:rPr>
          <w:i/>
        </w:rPr>
        <w:t>vice versa</w:t>
      </w:r>
      <w:r w:rsidR="001307A1" w:rsidRPr="002F00A5">
        <w:t>.</w:t>
      </w:r>
      <w:r w:rsidR="001307A1">
        <w:t xml:space="preserve">  </w:t>
      </w:r>
    </w:p>
    <w:p w14:paraId="036DFCC7" w14:textId="77777777" w:rsidR="000D1089" w:rsidRPr="000D1089" w:rsidRDefault="000D1089" w:rsidP="00274D50">
      <w:pPr>
        <w:rPr>
          <w:b/>
        </w:rPr>
      </w:pPr>
      <w:r>
        <w:rPr>
          <w:b/>
        </w:rPr>
        <w:t>Keywords</w:t>
      </w:r>
      <w:r w:rsidRPr="000D1089">
        <w:t xml:space="preserve">: </w:t>
      </w:r>
      <w:r>
        <w:t xml:space="preserve"> p</w:t>
      </w:r>
      <w:r w:rsidRPr="000D1089">
        <w:t>rivate sector; mixed health care systems; metrics; typology; low and middle income countries</w:t>
      </w:r>
    </w:p>
    <w:p w14:paraId="2D8709C1" w14:textId="77777777" w:rsidR="003C01D8" w:rsidRPr="00A84F8C" w:rsidRDefault="003C01D8" w:rsidP="00D2419C">
      <w:pPr>
        <w:spacing w:after="120"/>
        <w:rPr>
          <w:sz w:val="28"/>
          <w:szCs w:val="28"/>
        </w:rPr>
      </w:pPr>
      <w:r w:rsidRPr="00A84F8C">
        <w:rPr>
          <w:b/>
          <w:sz w:val="28"/>
          <w:szCs w:val="28"/>
        </w:rPr>
        <w:t>Introduction</w:t>
      </w:r>
    </w:p>
    <w:p w14:paraId="308DF214" w14:textId="77777777" w:rsidR="003C01D8" w:rsidRPr="00A84F8C" w:rsidRDefault="003C01D8" w:rsidP="003C01D8">
      <w:r w:rsidRPr="00A84F8C">
        <w:t>The ‘private sector’ in this article refers to the total</w:t>
      </w:r>
      <w:r w:rsidR="00DA78C2">
        <w:t>ity</w:t>
      </w:r>
      <w:r w:rsidRPr="00A84F8C">
        <w:t xml:space="preserve"> of </w:t>
      </w:r>
      <w:r w:rsidR="00BE207C" w:rsidRPr="00A84F8C">
        <w:t xml:space="preserve">privately owned </w:t>
      </w:r>
      <w:r w:rsidRPr="00A84F8C">
        <w:t xml:space="preserve">institutions and </w:t>
      </w:r>
      <w:r w:rsidR="00BE207C" w:rsidRPr="00A84F8C">
        <w:t>individuals</w:t>
      </w:r>
      <w:r w:rsidRPr="00A84F8C">
        <w:t xml:space="preserve"> </w:t>
      </w:r>
      <w:r w:rsidR="00BE207C" w:rsidRPr="00A84F8C">
        <w:t xml:space="preserve">in the business of </w:t>
      </w:r>
      <w:r w:rsidRPr="00A84F8C">
        <w:t>providing health care</w:t>
      </w:r>
      <w:r w:rsidR="00BE207C" w:rsidRPr="00A84F8C">
        <w:t>, including private insurers</w:t>
      </w:r>
      <w:r w:rsidRPr="00A84F8C">
        <w:t xml:space="preserve">. In low and middle income countries (LMICs) the sector is </w:t>
      </w:r>
      <w:r w:rsidR="00B0768A">
        <w:t xml:space="preserve">generally </w:t>
      </w:r>
      <w:r w:rsidRPr="00A84F8C">
        <w:t>large, poorly documented, and wildly heterogeneous, ranging from itinerant drug peddlers and individual clinical practitioners to corporate hospital chains and i</w:t>
      </w:r>
      <w:r w:rsidR="003A5304">
        <w:t xml:space="preserve">nternational private insurers. </w:t>
      </w:r>
      <w:r w:rsidRPr="00A84F8C">
        <w:t xml:space="preserve">While most private health care enterprises operate for profit, there are also many non-profit enterprises avowing religious and charitable motivations. In some LMICs, private sector health care largely serves the better-off; in others, </w:t>
      </w:r>
      <w:r w:rsidR="008B08E9" w:rsidRPr="00A84F8C">
        <w:t xml:space="preserve">many of </w:t>
      </w:r>
      <w:r w:rsidRPr="00A84F8C">
        <w:t xml:space="preserve">the poor rely on private provision. This economic and social patterning of private sector organisation is partly shaped by, and interacts with, the organisation and behaviour of the </w:t>
      </w:r>
      <w:r w:rsidRPr="00A84F8C">
        <w:rPr>
          <w:i/>
        </w:rPr>
        <w:t>public</w:t>
      </w:r>
      <w:r w:rsidRPr="00A84F8C">
        <w:t xml:space="preserve"> sector in health care. The private sector therefore can be understood</w:t>
      </w:r>
      <w:r w:rsidR="008B08E9" w:rsidRPr="00A84F8C">
        <w:t>, and effectively regulated,</w:t>
      </w:r>
      <w:r w:rsidRPr="00A84F8C">
        <w:t xml:space="preserve"> only </w:t>
      </w:r>
      <w:r w:rsidR="00BE207C" w:rsidRPr="00A84F8C">
        <w:t xml:space="preserve">by understanding </w:t>
      </w:r>
      <w:r w:rsidRPr="00A84F8C">
        <w:t>the mixed</w:t>
      </w:r>
      <w:r w:rsidR="00D2419C" w:rsidRPr="00A84F8C">
        <w:t xml:space="preserve"> health</w:t>
      </w:r>
      <w:r w:rsidRPr="00A84F8C">
        <w:t xml:space="preserve"> systems of which it forms part.  </w:t>
      </w:r>
    </w:p>
    <w:p w14:paraId="508CAF3F" w14:textId="0FFA25DC" w:rsidR="008D1AC6" w:rsidRDefault="007B0E0C" w:rsidP="00FB10D4">
      <w:r>
        <w:t>P</w:t>
      </w:r>
      <w:r w:rsidR="003C01D8" w:rsidRPr="00A84F8C">
        <w:t xml:space="preserve">olicy makers </w:t>
      </w:r>
      <w:r>
        <w:t xml:space="preserve">seeking to move health systems towards universal health coverage (UHC) </w:t>
      </w:r>
      <w:r w:rsidR="00520DF6">
        <w:t>must identify and ensure appropriate roles for private providers an</w:t>
      </w:r>
      <w:r w:rsidR="004020B9">
        <w:t xml:space="preserve">d </w:t>
      </w:r>
      <w:r w:rsidR="00052A35">
        <w:t xml:space="preserve">for </w:t>
      </w:r>
      <w:r w:rsidR="004020B9">
        <w:t>health</w:t>
      </w:r>
      <w:r w:rsidR="00520DF6">
        <w:t xml:space="preserve"> markets</w:t>
      </w:r>
      <w:r w:rsidR="001F14F9">
        <w:t xml:space="preserve"> </w:t>
      </w:r>
      <w:r w:rsidR="001F14F9">
        <w:fldChar w:fldCharType="begin"/>
      </w:r>
      <w:r w:rsidR="002568D0">
        <w:instrText xml:space="preserve"> ADDIN EN.CITE &lt;EndNote&gt;&lt;Cite&gt;&lt;Author&gt;Marten&lt;/Author&gt;&lt;Year&gt;2014&lt;/Year&gt;&lt;RecNum&gt;79&lt;/RecNum&gt;&lt;DisplayText&gt;&lt;style face="superscript"&gt;1,2&lt;/style&gt;&lt;/DisplayText&gt;&lt;record&gt;&lt;rec-number&gt;79&lt;/rec-number&gt;&lt;foreign-keys&gt;&lt;key app="EN" db-id="2sp5tdttfertdledza9xaavpe5wrwzestvef"&gt;79&lt;/key&gt;&lt;/foreign-keys&gt;&lt;ref-type name="Journal Article"&gt;17&lt;/ref-type&gt;&lt;contributors&gt;&lt;authors&gt;&lt;author&gt;Marten, Robert&lt;/author&gt;&lt;author&gt;McIntyre, Diane&lt;/author&gt;&lt;author&gt;Travassos, Claudia&lt;/author&gt;&lt;author&gt;Shishkin, Sergey&lt;/author&gt;&lt;author&gt;Longde, Wang&lt;/author&gt;&lt;author&gt;Reddy, Srinath&lt;/author&gt;&lt;author&gt;Vega, Jeanette&lt;/author&gt;&lt;/authors&gt;&lt;/contributors&gt;&lt;titles&gt;&lt;title&gt;An assessment of progress towards universal health coverage in Brazil, Russia, India, China, and South Africa (BRICS)&lt;/title&gt;&lt;secondary-title&gt;The Lancet&lt;/secondary-title&gt;&lt;/titles&gt;&lt;periodical&gt;&lt;full-title&gt;The Lancet&lt;/full-title&gt;&lt;/periodical&gt;&lt;dates&gt;&lt;year&gt;2014&lt;/year&gt;&lt;/dates&gt;&lt;isbn&gt;0140-6736&lt;/isbn&gt;&lt;urls&gt;&lt;related-urls&gt;&lt;url&gt;http://linkinghub.elsevier.com/retrieve/pii/S0140673614600751&lt;/url&gt;&lt;/related-urls&gt;&lt;/urls&gt;&lt;/record&gt;&lt;/Cite&gt;&lt;Cite&gt;&lt;Author&gt;Stallworthy&lt;/Author&gt;&lt;Year&gt;2014&lt;/Year&gt;&lt;RecNum&gt;80&lt;/RecNum&gt;&lt;record&gt;&lt;rec-number&gt;80&lt;/rec-number&gt;&lt;foreign-keys&gt;&lt;key app="EN" db-id="2sp5tdttfertdledza9xaavpe5wrwzestvef"&gt;80&lt;/key&gt;&lt;/foreign-keys&gt;&lt;ref-type name="Journal Article"&gt;17&lt;/ref-type&gt;&lt;contributors&gt;&lt;authors&gt;&lt;author&gt;Stallworthy, Guy&lt;/author&gt;&lt;author&gt;Boahene, Kwasi&lt;/author&gt;&lt;author&gt;Ohiri, Kelechi&lt;/author&gt;&lt;author&gt;Pamba, Allan&lt;/author&gt;&lt;author&gt;Knezovich, Jeffrey&lt;/author&gt;&lt;/authors&gt;&lt;/contributors&gt;&lt;titles&gt;&lt;title&gt;Roundtable discussion: what is the future role of the private sector in health?&lt;/title&gt;&lt;secondary-title&gt;Globalization and Health&lt;/secondary-title&gt;&lt;/titles&gt;&lt;periodical&gt;&lt;full-title&gt;Globalization and Health&lt;/full-title&gt;&lt;/periodical&gt;&lt;pages&gt;55&lt;/pages&gt;&lt;volume&gt;10&lt;/volume&gt;&lt;number&gt;1&lt;/number&gt;&lt;dates&gt;&lt;year&gt;2014&lt;/year&gt;&lt;/dates&gt;&lt;isbn&gt;1744-8603&lt;/isbn&gt;&lt;accession-num&gt;doi:10.1186/1744-8603-10-55&lt;/accession-num&gt;&lt;urls&gt;&lt;related-urls&gt;&lt;url&gt;http://www.globalizationandhealth.com/content/10/1/55&lt;/url&gt;&lt;/related-urls&gt;&lt;/urls&gt;&lt;/record&gt;&lt;/Cite&gt;&lt;/EndNote&gt;</w:instrText>
      </w:r>
      <w:r w:rsidR="001F14F9">
        <w:fldChar w:fldCharType="separate"/>
      </w:r>
      <w:hyperlink w:anchor="_ENREF_1" w:tooltip="Marten, 2014 #79" w:history="1">
        <w:r w:rsidR="00FB10D4" w:rsidRPr="002568D0">
          <w:rPr>
            <w:noProof/>
            <w:vertAlign w:val="superscript"/>
          </w:rPr>
          <w:t>1</w:t>
        </w:r>
      </w:hyperlink>
      <w:r w:rsidR="002568D0" w:rsidRPr="002568D0">
        <w:rPr>
          <w:noProof/>
          <w:vertAlign w:val="superscript"/>
        </w:rPr>
        <w:t>,</w:t>
      </w:r>
      <w:hyperlink w:anchor="_ENREF_2" w:tooltip="Stallworthy, 2014 #80" w:history="1">
        <w:r w:rsidR="00FB10D4" w:rsidRPr="002568D0">
          <w:rPr>
            <w:noProof/>
            <w:vertAlign w:val="superscript"/>
          </w:rPr>
          <w:t>2</w:t>
        </w:r>
      </w:hyperlink>
      <w:r w:rsidR="001F14F9">
        <w:fldChar w:fldCharType="end"/>
      </w:r>
      <w:r w:rsidR="00520DF6">
        <w:t xml:space="preserve">. This in turn </w:t>
      </w:r>
      <w:r w:rsidR="003C01D8" w:rsidRPr="00A84F8C">
        <w:t>require</w:t>
      </w:r>
      <w:r w:rsidR="00520DF6">
        <w:t>s</w:t>
      </w:r>
      <w:r w:rsidR="003C01D8" w:rsidRPr="00A84F8C">
        <w:t xml:space="preserve"> a </w:t>
      </w:r>
      <w:r w:rsidR="005225A3">
        <w:t xml:space="preserve">better </w:t>
      </w:r>
      <w:r w:rsidR="003C01D8" w:rsidRPr="00A84F8C">
        <w:t xml:space="preserve">understanding </w:t>
      </w:r>
      <w:r w:rsidR="005225A3">
        <w:t xml:space="preserve">than is currently available </w:t>
      </w:r>
      <w:r w:rsidR="003C01D8" w:rsidRPr="00A84F8C">
        <w:t>of the characteristics of the private sector within particular health systems</w:t>
      </w:r>
      <w:r w:rsidR="00520DF6">
        <w:t>,</w:t>
      </w:r>
      <w:r w:rsidR="003C01D8" w:rsidRPr="00A84F8C">
        <w:t xml:space="preserve"> in order to devise effective</w:t>
      </w:r>
      <w:r w:rsidR="00C42ED9">
        <w:t xml:space="preserve"> </w:t>
      </w:r>
      <w:r w:rsidR="003C01D8" w:rsidRPr="00A84F8C">
        <w:t>interventions</w:t>
      </w:r>
      <w:hyperlink w:anchor="_ENREF_3" w:tooltip="Tung, 2014 #81" w:history="1">
        <w:r w:rsidR="00FB10D4">
          <w:fldChar w:fldCharType="begin"/>
        </w:r>
        <w:r w:rsidR="00FB10D4">
          <w:instrText xml:space="preserve"> ADDIN EN.CITE &lt;EndNote&gt;&lt;Cite&gt;&lt;Author&gt;Tung&lt;/Author&gt;&lt;Year&gt;2014&lt;/Year&gt;&lt;RecNum&gt;81&lt;/RecNum&gt;&lt;DisplayText&gt;&lt;style face="superscript"&gt;3&lt;/style&gt;&lt;/DisplayText&gt;&lt;record&gt;&lt;rec-number&gt;81&lt;/rec-number&gt;&lt;foreign-keys&gt;&lt;key app="EN" db-id="2sp5tdttfertdledza9xaavpe5wrwzestvef"&gt;81&lt;/key&gt;&lt;/foreign-keys&gt;&lt;ref-type name="Journal Article"&gt;17&lt;/ref-type&gt;&lt;contributors&gt;&lt;authors&gt;&lt;author&gt;Tung, Elizabeth&lt;/author&gt;&lt;author&gt;Bennett, Sara&lt;/author&gt;&lt;/authors&gt;&lt;/contributors&gt;&lt;titles&gt;&lt;title&gt;Private sector, for-profit health providers in low and middle income countries: can they reach the poor at scale?&lt;/title&gt;&lt;secondary-title&gt;Globalization and Health&lt;/secondary-title&gt;&lt;/titles&gt;&lt;periodical&gt;&lt;full-title&gt;Globalization and Health&lt;/full-title&gt;&lt;/periodical&gt;&lt;pages&gt;52&lt;/pages&gt;&lt;volume&gt;10&lt;/volume&gt;&lt;number&gt;1&lt;/number&gt;&lt;dates&gt;&lt;year&gt;2014&lt;/year&gt;&lt;/dates&gt;&lt;isbn&gt;1744-8603&lt;/isbn&gt;&lt;accession-num&gt;doi:10.1186/1744-8603-10-52&lt;/accession-num&gt;&lt;urls&gt;&lt;related-urls&gt;&lt;url&gt;http://www.globalizationandhealth.com/content/10/1/52&lt;/url&gt;&lt;/related-urls&gt;&lt;/urls&gt;&lt;/record&gt;&lt;/Cite&gt;&lt;/EndNote&gt;</w:instrText>
        </w:r>
        <w:r w:rsidR="00FB10D4">
          <w:fldChar w:fldCharType="separate"/>
        </w:r>
        <w:r w:rsidR="00FB10D4" w:rsidRPr="001F14F9">
          <w:rPr>
            <w:noProof/>
            <w:vertAlign w:val="superscript"/>
          </w:rPr>
          <w:t>3</w:t>
        </w:r>
        <w:r w:rsidR="00FB10D4">
          <w:fldChar w:fldCharType="end"/>
        </w:r>
      </w:hyperlink>
      <w:r w:rsidR="003C01D8" w:rsidRPr="00A84F8C">
        <w:t>. This article proposes a</w:t>
      </w:r>
      <w:r w:rsidR="009B20C3">
        <w:t xml:space="preserve"> set of metrics, from existing data, that provide a useful starting point for </w:t>
      </w:r>
      <w:r w:rsidR="003C01D8" w:rsidRPr="00A84F8C">
        <w:t>measuring</w:t>
      </w:r>
      <w:r w:rsidR="009B20C3">
        <w:t>,</w:t>
      </w:r>
      <w:r w:rsidR="003C01D8" w:rsidRPr="00A84F8C">
        <w:t xml:space="preserve"> describing </w:t>
      </w:r>
      <w:r w:rsidR="009B20C3">
        <w:t xml:space="preserve">and classifying </w:t>
      </w:r>
      <w:r w:rsidR="003C01D8" w:rsidRPr="00A84F8C">
        <w:t>the private sector in mixed health systems</w:t>
      </w:r>
      <w:r w:rsidR="009B20C3">
        <w:t xml:space="preserve">. We illustrate the usefulness of the metrics, in association with other country level data, by </w:t>
      </w:r>
      <w:r w:rsidR="00576222">
        <w:t>extracting a</w:t>
      </w:r>
      <w:r w:rsidR="0051352C">
        <w:t>n initial</w:t>
      </w:r>
      <w:r w:rsidR="00F72F0E">
        <w:t xml:space="preserve"> typology </w:t>
      </w:r>
      <w:r w:rsidR="0051352C">
        <w:t xml:space="preserve">to </w:t>
      </w:r>
      <w:r w:rsidR="00F72F0E">
        <w:t>illustrate</w:t>
      </w:r>
      <w:r w:rsidR="00576222">
        <w:t xml:space="preserve"> some key patterns of interaction between public and private sectors</w:t>
      </w:r>
      <w:r w:rsidR="00C97741">
        <w:t>.</w:t>
      </w:r>
      <w:r w:rsidR="00576222">
        <w:t xml:space="preserve"> </w:t>
      </w:r>
    </w:p>
    <w:p w14:paraId="402BF6C1" w14:textId="77777777" w:rsidR="008D1AC6" w:rsidRDefault="008D1AC6" w:rsidP="008D1AC6">
      <w:r>
        <w:br w:type="page"/>
      </w:r>
    </w:p>
    <w:p w14:paraId="71A60F0B" w14:textId="77777777" w:rsidR="003C01D8" w:rsidRPr="007400A6" w:rsidRDefault="003C01D8" w:rsidP="003C01D8">
      <w:pPr>
        <w:rPr>
          <w:b/>
          <w:sz w:val="24"/>
          <w:szCs w:val="24"/>
        </w:rPr>
      </w:pPr>
      <w:r w:rsidRPr="007400A6">
        <w:rPr>
          <w:b/>
          <w:i/>
          <w:sz w:val="24"/>
          <w:szCs w:val="24"/>
        </w:rPr>
        <w:t>Key messages</w:t>
      </w:r>
      <w:r w:rsidRPr="007400A6">
        <w:rPr>
          <w:b/>
          <w:sz w:val="24"/>
          <w:szCs w:val="24"/>
        </w:rPr>
        <w:t xml:space="preserve"> </w:t>
      </w:r>
    </w:p>
    <w:p w14:paraId="0A9C1D66" w14:textId="77777777" w:rsidR="00BE207C" w:rsidRPr="00A84F8C" w:rsidRDefault="00565F90" w:rsidP="00565F90">
      <w:pPr>
        <w:pStyle w:val="ListParagraph"/>
        <w:numPr>
          <w:ilvl w:val="0"/>
          <w:numId w:val="5"/>
        </w:numPr>
      </w:pPr>
      <w:r w:rsidRPr="00A84F8C">
        <w:t>The private sector in health is deeply influenced by, and also influences, the public sector.</w:t>
      </w:r>
    </w:p>
    <w:p w14:paraId="22208409" w14:textId="77777777" w:rsidR="00F648F3" w:rsidRPr="00A84F8C" w:rsidRDefault="00F648F3" w:rsidP="00565F90">
      <w:pPr>
        <w:pStyle w:val="ListParagraph"/>
        <w:numPr>
          <w:ilvl w:val="0"/>
          <w:numId w:val="5"/>
        </w:numPr>
      </w:pPr>
      <w:r w:rsidRPr="00A84F8C">
        <w:t xml:space="preserve">A </w:t>
      </w:r>
      <w:r w:rsidR="007C0583">
        <w:t xml:space="preserve">useful </w:t>
      </w:r>
      <w:r w:rsidRPr="00E46AF2">
        <w:t>typology</w:t>
      </w:r>
      <w:r w:rsidRPr="00A84F8C">
        <w:t xml:space="preserve"> </w:t>
      </w:r>
      <w:r w:rsidR="0016648A" w:rsidRPr="00A84F8C">
        <w:t xml:space="preserve">of types of private sector </w:t>
      </w:r>
      <w:r w:rsidR="00F16FA4">
        <w:t xml:space="preserve">in different mixed systems can </w:t>
      </w:r>
      <w:r w:rsidR="00296C42">
        <w:t>begin</w:t>
      </w:r>
      <w:r w:rsidR="00F16FA4">
        <w:t xml:space="preserve"> from </w:t>
      </w:r>
      <w:r w:rsidRPr="00A84F8C">
        <w:t xml:space="preserve">three metrics: the private share in </w:t>
      </w:r>
      <w:r w:rsidR="009C3CFD">
        <w:t xml:space="preserve">total </w:t>
      </w:r>
      <w:r w:rsidRPr="00A84F8C">
        <w:t xml:space="preserve">health expenditure; the private share in primary </w:t>
      </w:r>
      <w:r w:rsidR="007C0583">
        <w:t xml:space="preserve">and secondary </w:t>
      </w:r>
      <w:r w:rsidR="00AE1AB2">
        <w:t xml:space="preserve">care </w:t>
      </w:r>
      <w:r w:rsidR="007C0583">
        <w:t>episodes</w:t>
      </w:r>
      <w:r w:rsidRPr="00A84F8C">
        <w:t xml:space="preserve">; and the </w:t>
      </w:r>
      <w:r w:rsidR="0016648A" w:rsidRPr="00A84F8C">
        <w:t xml:space="preserve">extent of </w:t>
      </w:r>
      <w:r w:rsidRPr="00A84F8C">
        <w:t xml:space="preserve">reliance of the public sector on private fee </w:t>
      </w:r>
      <w:r w:rsidR="00D2419C" w:rsidRPr="00A84F8C">
        <w:t xml:space="preserve">payment; qualitative information is required to </w:t>
      </w:r>
      <w:r w:rsidR="00F16FA4">
        <w:t xml:space="preserve">deepen understanding </w:t>
      </w:r>
      <w:r w:rsidR="007C0583">
        <w:t xml:space="preserve">in </w:t>
      </w:r>
      <w:r w:rsidR="00D2419C" w:rsidRPr="00A84F8C">
        <w:t xml:space="preserve">each </w:t>
      </w:r>
      <w:r w:rsidR="00F16FA4">
        <w:t xml:space="preserve">specific </w:t>
      </w:r>
      <w:r w:rsidR="00D2419C" w:rsidRPr="00A84F8C">
        <w:t>case.</w:t>
      </w:r>
    </w:p>
    <w:p w14:paraId="547606AA" w14:textId="77777777" w:rsidR="00565F90" w:rsidRPr="00A84F8C" w:rsidRDefault="00CC212C" w:rsidP="00565F90">
      <w:pPr>
        <w:pStyle w:val="ListParagraph"/>
        <w:numPr>
          <w:ilvl w:val="0"/>
          <w:numId w:val="5"/>
        </w:numPr>
      </w:pPr>
      <w:r w:rsidRPr="00A84F8C">
        <w:t xml:space="preserve">Where the private sector dominates the health system, the poor struggle to access </w:t>
      </w:r>
      <w:r w:rsidR="00D2419C" w:rsidRPr="00A84F8C">
        <w:t>fee-for-</w:t>
      </w:r>
      <w:r w:rsidRPr="00A84F8C">
        <w:t>service care</w:t>
      </w:r>
      <w:r w:rsidR="00F07E7F" w:rsidRPr="00A84F8C">
        <w:t xml:space="preserve"> </w:t>
      </w:r>
      <w:r w:rsidR="00D2419C" w:rsidRPr="00A84F8C">
        <w:t>which is generally of low quality.</w:t>
      </w:r>
    </w:p>
    <w:p w14:paraId="4EEA86D7" w14:textId="77777777" w:rsidR="00F648F3" w:rsidRPr="00A84F8C" w:rsidRDefault="00B87D9B" w:rsidP="00565F90">
      <w:pPr>
        <w:pStyle w:val="ListParagraph"/>
        <w:numPr>
          <w:ilvl w:val="0"/>
          <w:numId w:val="5"/>
        </w:numPr>
      </w:pPr>
      <w:r w:rsidRPr="00A84F8C">
        <w:t xml:space="preserve">A reasonably competent and highly accessible public sector </w:t>
      </w:r>
      <w:r w:rsidR="00DE692F" w:rsidRPr="00882BEA">
        <w:t>can</w:t>
      </w:r>
      <w:r w:rsidR="00DE692F">
        <w:t xml:space="preserve"> generate</w:t>
      </w:r>
      <w:r w:rsidRPr="00A84F8C">
        <w:t xml:space="preserve"> a complementary, </w:t>
      </w:r>
      <w:r w:rsidR="0016648A" w:rsidRPr="00A84F8C">
        <w:t>reasonable</w:t>
      </w:r>
      <w:r w:rsidRPr="00A84F8C">
        <w:t>-quality private sector;</w:t>
      </w:r>
    </w:p>
    <w:p w14:paraId="1643D334" w14:textId="77777777" w:rsidR="00CC212C" w:rsidRPr="00A84F8C" w:rsidRDefault="00DE692F" w:rsidP="00565F90">
      <w:pPr>
        <w:pStyle w:val="ListParagraph"/>
        <w:numPr>
          <w:ilvl w:val="0"/>
          <w:numId w:val="5"/>
        </w:numPr>
      </w:pPr>
      <w:r w:rsidRPr="00882BEA">
        <w:t xml:space="preserve">An insurance-funded </w:t>
      </w:r>
      <w:r w:rsidR="00280AFE" w:rsidRPr="00882BEA">
        <w:t xml:space="preserve">private sector </w:t>
      </w:r>
      <w:r w:rsidRPr="00882BEA">
        <w:t>at the top of a stratified system reinforces inequality and may display</w:t>
      </w:r>
      <w:r w:rsidR="002357B8" w:rsidRPr="00882BEA">
        <w:t xml:space="preserve"> cost</w:t>
      </w:r>
      <w:r w:rsidR="002357B8">
        <w:t xml:space="preserve"> </w:t>
      </w:r>
      <w:r w:rsidR="00280AFE" w:rsidRPr="00A84F8C">
        <w:t>escalat</w:t>
      </w:r>
      <w:r w:rsidR="002357B8">
        <w:t>ion</w:t>
      </w:r>
      <w:r w:rsidR="00296C42">
        <w:t>;</w:t>
      </w:r>
    </w:p>
    <w:p w14:paraId="430A3759" w14:textId="77777777" w:rsidR="0016648A" w:rsidRPr="00A84F8C" w:rsidRDefault="009C3CFD" w:rsidP="00565F90">
      <w:pPr>
        <w:pStyle w:val="ListParagraph"/>
        <w:numPr>
          <w:ilvl w:val="0"/>
          <w:numId w:val="5"/>
        </w:numPr>
      </w:pPr>
      <w:r>
        <w:t>A dominant but</w:t>
      </w:r>
      <w:r w:rsidR="0011501A" w:rsidRPr="00A84F8C">
        <w:t xml:space="preserve"> highly commercialised public sector constrains private provision while excluding the poor</w:t>
      </w:r>
      <w:r w:rsidR="0016648A" w:rsidRPr="00A84F8C">
        <w:t>;</w:t>
      </w:r>
    </w:p>
    <w:p w14:paraId="79FA39C7" w14:textId="77777777" w:rsidR="00280AFE" w:rsidRDefault="00F16FA4" w:rsidP="00565F90">
      <w:pPr>
        <w:pStyle w:val="ListParagraph"/>
        <w:numPr>
          <w:ilvl w:val="0"/>
          <w:numId w:val="5"/>
        </w:numPr>
      </w:pPr>
      <w:r>
        <w:t xml:space="preserve">Making the </w:t>
      </w:r>
      <w:r w:rsidR="0016648A" w:rsidRPr="00A84F8C">
        <w:t xml:space="preserve">public sector </w:t>
      </w:r>
      <w:r>
        <w:t xml:space="preserve">more accessible </w:t>
      </w:r>
      <w:r w:rsidR="00DE692F" w:rsidRPr="00882BEA">
        <w:t>can reduce</w:t>
      </w:r>
      <w:r w:rsidR="0016648A" w:rsidRPr="00882BEA">
        <w:t xml:space="preserve"> </w:t>
      </w:r>
      <w:r w:rsidR="00DE692F" w:rsidRPr="00882BEA">
        <w:t>both</w:t>
      </w:r>
      <w:r w:rsidR="00DE692F">
        <w:t xml:space="preserve"> </w:t>
      </w:r>
      <w:r w:rsidR="0016648A" w:rsidRPr="00A84F8C">
        <w:t>exclusion</w:t>
      </w:r>
      <w:r w:rsidR="00D2419C" w:rsidRPr="00A84F8C">
        <w:t xml:space="preserve"> </w:t>
      </w:r>
      <w:r w:rsidR="0016648A" w:rsidRPr="00A84F8C">
        <w:t xml:space="preserve">and reliance </w:t>
      </w:r>
      <w:r w:rsidR="00DE692F">
        <w:t xml:space="preserve">by </w:t>
      </w:r>
      <w:r w:rsidR="0016648A" w:rsidRPr="00A84F8C">
        <w:t>the poor on low quality private providers</w:t>
      </w:r>
      <w:r w:rsidR="00D2419C" w:rsidRPr="00A84F8C">
        <w:t xml:space="preserve"> and medicine sellers</w:t>
      </w:r>
      <w:r w:rsidR="0011501A" w:rsidRPr="00A84F8C">
        <w:t>.</w:t>
      </w:r>
      <w:r>
        <w:t xml:space="preserve"> </w:t>
      </w:r>
    </w:p>
    <w:p w14:paraId="0F878F71" w14:textId="77777777" w:rsidR="00E46AF2" w:rsidRDefault="00E46AF2" w:rsidP="00DC2A32">
      <w:pPr>
        <w:pBdr>
          <w:top w:val="single" w:sz="12" w:space="1" w:color="auto"/>
          <w:bottom w:val="single" w:sz="12" w:space="1" w:color="auto"/>
        </w:pBdr>
        <w:spacing w:after="120"/>
      </w:pPr>
    </w:p>
    <w:p w14:paraId="5E96972C" w14:textId="77777777" w:rsidR="003C01D8" w:rsidRPr="007400A6" w:rsidRDefault="007C0583" w:rsidP="00DC2A32">
      <w:pPr>
        <w:spacing w:after="120"/>
        <w:rPr>
          <w:b/>
          <w:sz w:val="24"/>
          <w:szCs w:val="24"/>
        </w:rPr>
      </w:pPr>
      <w:r w:rsidRPr="007400A6">
        <w:rPr>
          <w:b/>
          <w:i/>
          <w:sz w:val="24"/>
          <w:szCs w:val="24"/>
        </w:rPr>
        <w:t>Panel</w:t>
      </w:r>
      <w:r w:rsidRPr="007400A6">
        <w:rPr>
          <w:b/>
          <w:sz w:val="24"/>
          <w:szCs w:val="24"/>
        </w:rPr>
        <w:t xml:space="preserve">: </w:t>
      </w:r>
      <w:r w:rsidR="003C01D8" w:rsidRPr="007400A6">
        <w:rPr>
          <w:b/>
          <w:i/>
          <w:sz w:val="24"/>
          <w:szCs w:val="24"/>
        </w:rPr>
        <w:t>S</w:t>
      </w:r>
      <w:r w:rsidR="00A342C8">
        <w:rPr>
          <w:b/>
          <w:i/>
          <w:sz w:val="24"/>
          <w:szCs w:val="24"/>
        </w:rPr>
        <w:t>earch</w:t>
      </w:r>
      <w:r w:rsidR="0051352C">
        <w:rPr>
          <w:b/>
          <w:i/>
          <w:sz w:val="24"/>
          <w:szCs w:val="24"/>
        </w:rPr>
        <w:t>es</w:t>
      </w:r>
      <w:r w:rsidR="00A342C8">
        <w:rPr>
          <w:b/>
          <w:i/>
          <w:sz w:val="24"/>
          <w:szCs w:val="24"/>
        </w:rPr>
        <w:t xml:space="preserve"> and </w:t>
      </w:r>
      <w:r w:rsidR="003C01D8" w:rsidRPr="007400A6">
        <w:rPr>
          <w:b/>
          <w:i/>
          <w:sz w:val="24"/>
          <w:szCs w:val="24"/>
        </w:rPr>
        <w:t xml:space="preserve"> </w:t>
      </w:r>
      <w:r w:rsidR="00014D54">
        <w:rPr>
          <w:b/>
          <w:i/>
          <w:sz w:val="24"/>
          <w:szCs w:val="24"/>
        </w:rPr>
        <w:t>data sources</w:t>
      </w:r>
    </w:p>
    <w:p w14:paraId="52326ADE" w14:textId="028C03FF" w:rsidR="003C01D8" w:rsidRDefault="003C01D8" w:rsidP="00FB10D4">
      <w:pPr>
        <w:pBdr>
          <w:bottom w:val="single" w:sz="12" w:space="1" w:color="auto"/>
        </w:pBdr>
      </w:pPr>
      <w:r w:rsidRPr="00A84F8C">
        <w:t>The article us</w:t>
      </w:r>
      <w:r w:rsidR="002357B8">
        <w:t xml:space="preserve">es </w:t>
      </w:r>
      <w:r w:rsidRPr="00A84F8C">
        <w:t xml:space="preserve">international datasets from </w:t>
      </w:r>
      <w:r w:rsidRPr="00882BEA">
        <w:t xml:space="preserve">WHO </w:t>
      </w:r>
      <w:r w:rsidR="009C3CFD" w:rsidRPr="00882BEA">
        <w:rPr>
          <w:i/>
        </w:rPr>
        <w:t>World Health Statistics 2015</w:t>
      </w:r>
      <w:hyperlink w:anchor="_ENREF_4" w:tooltip="World health Organisation, 2012 #722" w:history="1">
        <w:r w:rsidR="00FB10D4" w:rsidRPr="00882BEA">
          <w:rPr>
            <w:i/>
          </w:rPr>
          <w:fldChar w:fldCharType="begin"/>
        </w:r>
        <w:r w:rsidR="00FB10D4" w:rsidRPr="00882BEA">
          <w:rPr>
            <w:i/>
          </w:rPr>
          <w:instrText xml:space="preserve"> ADDIN EN.CITE &lt;EndNote&gt;&lt;Cite&gt;&lt;Author&gt;World health Organisation&lt;/Author&gt;&lt;Year&gt;2012&lt;/Year&gt;&lt;RecNum&gt;722&lt;/RecNum&gt;&lt;DisplayText&gt;&lt;style face="superscript"&gt;4&lt;/style&gt;&lt;/DisplayText&gt;&lt;record&gt;&lt;rec-number&gt;722&lt;/rec-number&gt;&lt;foreign-keys&gt;&lt;key app="EN" db-id="dzsx90z9o2szwqeeftl50f9td2vxptdd9srf" timestamp="1387190966"&gt;722&lt;/key&gt;&lt;/foreign-keys&gt;&lt;ref-type name="Report"&gt;27&lt;/ref-type&gt;&lt;contributors&gt;&lt;authors&gt;&lt;author&gt;World health Organisation,&lt;/author&gt;&lt;/authors&gt;&lt;/contributors&gt;&lt;titles&gt;&lt;title&gt;World Health Statistics &lt;/title&gt;&lt;/titles&gt;&lt;dates&gt;&lt;year&gt;2012&lt;/year&gt;&lt;/dates&gt;&lt;pub-location&gt;Geneva&lt;/pub-location&gt;&lt;urls&gt;&lt;related-urls&gt;&lt;url&gt;http://www.who.int/gho/publications/world_health_statistics/2012/en/index.html&lt;/url&gt;&lt;/related-urls&gt;&lt;/urls&gt;&lt;/record&gt;&lt;/Cite&gt;&lt;/EndNote&gt;</w:instrText>
        </w:r>
        <w:r w:rsidR="00FB10D4" w:rsidRPr="00882BEA">
          <w:rPr>
            <w:i/>
          </w:rPr>
          <w:fldChar w:fldCharType="separate"/>
        </w:r>
        <w:r w:rsidR="00FB10D4" w:rsidRPr="00882BEA">
          <w:rPr>
            <w:i/>
            <w:noProof/>
            <w:vertAlign w:val="superscript"/>
          </w:rPr>
          <w:t>4</w:t>
        </w:r>
        <w:r w:rsidR="00FB10D4" w:rsidRPr="00882BEA">
          <w:rPr>
            <w:i/>
          </w:rPr>
          <w:fldChar w:fldCharType="end"/>
        </w:r>
      </w:hyperlink>
      <w:r w:rsidRPr="00A84F8C">
        <w:rPr>
          <w:i/>
        </w:rPr>
        <w:t xml:space="preserve"> </w:t>
      </w:r>
      <w:r w:rsidRPr="00A84F8C">
        <w:t>and  World Bank comparative national income statistics</w:t>
      </w:r>
      <w:hyperlink w:anchor="_ENREF_5" w:tooltip="World Bank, 2013 #40" w:history="1">
        <w:r w:rsidR="00FB10D4" w:rsidRPr="00A84F8C">
          <w:fldChar w:fldCharType="begin"/>
        </w:r>
        <w:r w:rsidR="00FB10D4">
          <w:instrText xml:space="preserve"> ADDIN EN.CITE &lt;EndNote&gt;&lt;Cite&gt;&lt;Author&gt;World Bank&lt;/Author&gt;&lt;Year&gt;2013&lt;/Year&gt;&lt;RecNum&gt;40&lt;/RecNum&gt;&lt;DisplayText&gt;&lt;style face="superscript"&gt;5&lt;/style&gt;&lt;/DisplayText&gt;&lt;record&gt;&lt;rec-number&gt;40&lt;/rec-number&gt;&lt;foreign-keys&gt;&lt;key app="EN" db-id="2sp5tdttfertdledza9xaavpe5wrwzestvef"&gt;40&lt;/key&gt;&lt;/foreign-keys&gt;&lt;ref-type name="Online Database"&gt;45&lt;/ref-type&gt;&lt;contributors&gt;&lt;authors&gt;&lt;author&gt;World Bank,&lt;/author&gt;&lt;/authors&gt;&lt;/contributors&gt;&lt;titles&gt;&lt;title&gt;The World Bank Data Catalog&lt;/title&gt;&lt;/titles&gt;&lt;dates&gt;&lt;year&gt;2013&lt;/year&gt;&lt;/dates&gt;&lt;urls&gt;&lt;related-urls&gt;&lt;url&gt;http://datacatalog.worldbank.org/&lt;/url&gt;&lt;/related-urls&gt;&lt;/urls&gt;&lt;/record&gt;&lt;/Cite&gt;&lt;/EndNote&gt;</w:instrText>
        </w:r>
        <w:r w:rsidR="00FB10D4" w:rsidRPr="00A84F8C">
          <w:fldChar w:fldCharType="separate"/>
        </w:r>
        <w:r w:rsidR="00FB10D4" w:rsidRPr="001F14F9">
          <w:rPr>
            <w:noProof/>
            <w:vertAlign w:val="superscript"/>
          </w:rPr>
          <w:t>5</w:t>
        </w:r>
        <w:r w:rsidR="00FB10D4" w:rsidRPr="00A84F8C">
          <w:fldChar w:fldCharType="end"/>
        </w:r>
      </w:hyperlink>
      <w:r w:rsidRPr="00A84F8C">
        <w:t xml:space="preserve">; and </w:t>
      </w:r>
      <w:r w:rsidR="004310CC" w:rsidRPr="00882BEA">
        <w:t xml:space="preserve">new analysis of </w:t>
      </w:r>
      <w:r w:rsidRPr="00882BEA">
        <w:t>country level data including the Indian National Sample Survey Organisation (NSSO) survey conducted during</w:t>
      </w:r>
      <w:r w:rsidR="00F07E7F" w:rsidRPr="00882BEA">
        <w:t xml:space="preserve"> 2010-11, its 67th</w:t>
      </w:r>
      <w:r w:rsidRPr="00882BEA">
        <w:t xml:space="preserve"> round</w:t>
      </w:r>
      <w:hyperlink w:anchor="_ENREF_6" w:tooltip="Ministry of Statistics and Programme Implementation, 2015 #783" w:history="1">
        <w:r w:rsidR="00FB10D4" w:rsidRPr="00882BEA">
          <w:fldChar w:fldCharType="begin"/>
        </w:r>
        <w:r w:rsidR="00FB10D4" w:rsidRPr="00882BEA">
          <w:instrText xml:space="preserve"> ADDIN EN.CITE &lt;EndNote&gt;&lt;Cite&gt;&lt;Year&gt;2015&lt;/Year&gt;&lt;RecNum&gt;783&lt;/RecNum&gt;&lt;DisplayText&gt;&lt;style face="superscript"&gt;6&lt;/style&gt;&lt;/DisplayText&gt;&lt;record&gt;&lt;rec-number&gt;783&lt;/rec-number&gt;&lt;foreign-keys&gt;&lt;key app="EN" db-id="dzsx90z9o2szwqeeftl50f9td2vxptdd9srf" timestamp="1448834743"&gt;783&lt;/key&gt;&lt;/foreign-keys&gt;&lt;ref-type name="Web Page"&gt;12&lt;/ref-type&gt;&lt;contributors&gt;&lt;authors&gt;&lt;author&gt;Ministry of Statistics and Programme Implementation,&lt;/author&gt;&lt;/authors&gt;&lt;/contributors&gt;&lt;titles&gt;&lt;title&gt;National Sample Survey Reports&lt;/title&gt;&lt;/titles&gt;&lt;number&gt;12/09/2015&lt;/number&gt;&lt;dates&gt;&lt;year&gt;2015&lt;/year&gt;&lt;/dates&gt;&lt;urls&gt;&lt;related-urls&gt;&lt;url&gt;http://mospi.nic.in/Mospi_New/site/inner.aspx?status=3&amp;amp;menu_id=31 &lt;/url&gt;&lt;/related-urls&gt;&lt;/urls&gt;&lt;/record&gt;&lt;/Cite&gt;&lt;/EndNote&gt;</w:instrText>
        </w:r>
        <w:r w:rsidR="00FB10D4" w:rsidRPr="00882BEA">
          <w:fldChar w:fldCharType="separate"/>
        </w:r>
        <w:r w:rsidR="00FB10D4" w:rsidRPr="00882BEA">
          <w:rPr>
            <w:noProof/>
            <w:vertAlign w:val="superscript"/>
          </w:rPr>
          <w:t>6</w:t>
        </w:r>
        <w:r w:rsidR="00FB10D4" w:rsidRPr="00882BEA">
          <w:fldChar w:fldCharType="end"/>
        </w:r>
      </w:hyperlink>
      <w:r w:rsidRPr="00882BEA">
        <w:t xml:space="preserve">; </w:t>
      </w:r>
      <w:r w:rsidR="00F07E7F" w:rsidRPr="00882BEA">
        <w:t xml:space="preserve">data from successive </w:t>
      </w:r>
      <w:r w:rsidRPr="00882BEA">
        <w:t>Demographi</w:t>
      </w:r>
      <w:r w:rsidR="00DC2A32" w:rsidRPr="00882BEA">
        <w:t xml:space="preserve">c and Health Surveys </w:t>
      </w:r>
      <w:r w:rsidR="00E64B7B" w:rsidRPr="00882BEA">
        <w:t xml:space="preserve">(DHS) </w:t>
      </w:r>
      <w:r w:rsidR="00DC2A32" w:rsidRPr="00882BEA">
        <w:t>for four</w:t>
      </w:r>
      <w:r w:rsidRPr="00882BEA">
        <w:t xml:space="preserve"> </w:t>
      </w:r>
      <w:r w:rsidR="006A76AD" w:rsidRPr="00882BEA">
        <w:t>LMICs</w:t>
      </w:r>
      <w:hyperlink w:anchor="_ENREF_7" w:tooltip="ICF International, 2013 #20" w:history="1">
        <w:r w:rsidR="00FB10D4" w:rsidRPr="00882BEA">
          <w:fldChar w:fldCharType="begin"/>
        </w:r>
        <w:r w:rsidR="00FB10D4" w:rsidRPr="00882BEA">
          <w:instrText xml:space="preserve"> ADDIN EN.CITE &lt;EndNote&gt;&lt;Cite&gt;&lt;Author&gt;ICF International&lt;/Author&gt;&lt;Year&gt;2013&lt;/Year&gt;&lt;RecNum&gt;20&lt;/RecNum&gt;&lt;DisplayText&gt;&lt;style face="superscript"&gt;7&lt;/style&gt;&lt;/DisplayText&gt;&lt;record&gt;&lt;rec-number&gt;20&lt;/rec-number&gt;&lt;foreign-keys&gt;&lt;key app="EN" db-id="2sp5tdttfertdledza9xaavpe5wrwzestvef"&gt;20&lt;/key&gt;&lt;/foreign-keys&gt;&lt;ref-type name="Web Page"&gt;12&lt;/ref-type&gt;&lt;contributors&gt;&lt;authors&gt;&lt;author&gt;ICF International,&lt;/author&gt;&lt;/authors&gt;&lt;/contributors&gt;&lt;titles&gt;&lt;title&gt;Measure DHS&lt;/title&gt;&lt;/titles&gt;&lt;volume&gt;2013&lt;/volume&gt;&lt;number&gt;28/10/2013&lt;/number&gt;&lt;dates&gt;&lt;year&gt;2013&lt;/year&gt;&lt;/dates&gt;&lt;urls&gt;&lt;related-urls&gt;&lt;url&gt;http://www.measuredhs.com/&lt;/url&gt;&lt;/related-urls&gt;&lt;/urls&gt;&lt;/record&gt;&lt;/Cite&gt;&lt;/EndNote&gt;</w:instrText>
        </w:r>
        <w:r w:rsidR="00FB10D4" w:rsidRPr="00882BEA">
          <w:fldChar w:fldCharType="separate"/>
        </w:r>
        <w:r w:rsidR="00FB10D4" w:rsidRPr="00882BEA">
          <w:rPr>
            <w:noProof/>
            <w:vertAlign w:val="superscript"/>
          </w:rPr>
          <w:t>7</w:t>
        </w:r>
        <w:r w:rsidR="00FB10D4" w:rsidRPr="00882BEA">
          <w:fldChar w:fldCharType="end"/>
        </w:r>
      </w:hyperlink>
      <w:r w:rsidRPr="00882BEA">
        <w:t xml:space="preserve">; </w:t>
      </w:r>
      <w:r w:rsidR="00E64E59" w:rsidRPr="00882BEA">
        <w:t xml:space="preserve">National Health Accounts (NHAs); </w:t>
      </w:r>
      <w:r w:rsidRPr="00882BEA">
        <w:t xml:space="preserve">and a variety of </w:t>
      </w:r>
      <w:r w:rsidR="00F07E7F" w:rsidRPr="00882BEA">
        <w:t>secondary data sources</w:t>
      </w:r>
      <w:r w:rsidRPr="00363938">
        <w:t xml:space="preserve">. </w:t>
      </w:r>
      <w:r w:rsidR="007C0583" w:rsidRPr="00363938">
        <w:t xml:space="preserve"> </w:t>
      </w:r>
      <w:r w:rsidRPr="00363938">
        <w:t xml:space="preserve"> </w:t>
      </w:r>
      <w:r w:rsidR="00A342C8">
        <w:t>S</w:t>
      </w:r>
      <w:r w:rsidRPr="00363938">
        <w:t>earches of Pubmed an</w:t>
      </w:r>
      <w:r w:rsidRPr="00A84F8C">
        <w:t xml:space="preserve">d social sciences data bases </w:t>
      </w:r>
      <w:r w:rsidR="00A342C8">
        <w:t xml:space="preserve">were conducted, using </w:t>
      </w:r>
      <w:r w:rsidRPr="00A84F8C">
        <w:t>key words including private sector, commercial, business, market, public-private</w:t>
      </w:r>
      <w:r w:rsidR="00843A9B">
        <w:t>, in association with health system and health sector, restricting results to LMICs</w:t>
      </w:r>
      <w:r w:rsidRPr="00A84F8C">
        <w:t xml:space="preserve">.  </w:t>
      </w:r>
      <w:r w:rsidR="00843A9B">
        <w:t xml:space="preserve">For the individual country studies further searches were conducted including </w:t>
      </w:r>
      <w:r w:rsidRPr="00A84F8C">
        <w:t xml:space="preserve">grey literature </w:t>
      </w:r>
      <w:r w:rsidR="00843A9B">
        <w:t xml:space="preserve">to find relevant </w:t>
      </w:r>
      <w:r w:rsidRPr="00A84F8C">
        <w:t>qualitative evidence.</w:t>
      </w:r>
      <w:r w:rsidR="00A342C8">
        <w:t xml:space="preserve"> </w:t>
      </w:r>
    </w:p>
    <w:p w14:paraId="733AB876" w14:textId="77777777" w:rsidR="00E46AF2" w:rsidRPr="00A84F8C" w:rsidRDefault="00E46AF2" w:rsidP="003C01D8"/>
    <w:p w14:paraId="2EC383B3" w14:textId="77777777" w:rsidR="003C01D8" w:rsidRPr="00A84F8C" w:rsidRDefault="00F2398C" w:rsidP="003C01D8">
      <w:pPr>
        <w:rPr>
          <w:b/>
          <w:sz w:val="28"/>
          <w:szCs w:val="28"/>
        </w:rPr>
      </w:pPr>
      <w:r>
        <w:rPr>
          <w:b/>
          <w:sz w:val="28"/>
          <w:szCs w:val="28"/>
        </w:rPr>
        <w:t xml:space="preserve">Metrics for understanding </w:t>
      </w:r>
      <w:r w:rsidR="003C01D8" w:rsidRPr="00A84F8C">
        <w:rPr>
          <w:b/>
          <w:sz w:val="28"/>
          <w:szCs w:val="28"/>
        </w:rPr>
        <w:t>private sectors in mixed health systems</w:t>
      </w:r>
    </w:p>
    <w:p w14:paraId="1DA0352F" w14:textId="77777777" w:rsidR="003C01D8" w:rsidRPr="00A84F8C" w:rsidRDefault="003A4EA7" w:rsidP="003C01D8">
      <w:r>
        <w:t>Our pro</w:t>
      </w:r>
      <w:r w:rsidR="007509A7">
        <w:t xml:space="preserve">position in this series </w:t>
      </w:r>
      <w:r w:rsidR="00C906C4">
        <w:t xml:space="preserve">as a whole </w:t>
      </w:r>
      <w:r w:rsidR="00131B5F">
        <w:t xml:space="preserve">is that, despite </w:t>
      </w:r>
      <w:r w:rsidR="00C906C4">
        <w:t xml:space="preserve">apparent </w:t>
      </w:r>
      <w:r w:rsidR="007509A7">
        <w:t xml:space="preserve">extreme heterogeneity, it is </w:t>
      </w:r>
      <w:r w:rsidR="00C906C4">
        <w:t>possible to identify key patterns and dynamics to assist policy towards private health sec</w:t>
      </w:r>
      <w:r w:rsidR="009C3CFD">
        <w:t>tors.  In this article</w:t>
      </w:r>
      <w:r w:rsidR="00296C42">
        <w:t xml:space="preserve"> we propose</w:t>
      </w:r>
      <w:r w:rsidR="002357B8">
        <w:t xml:space="preserve"> </w:t>
      </w:r>
      <w:r w:rsidR="00C906C4">
        <w:t>three metrics</w:t>
      </w:r>
      <w:r w:rsidR="00296C42">
        <w:t>,</w:t>
      </w:r>
      <w:r w:rsidR="00D97049">
        <w:t xml:space="preserve"> </w:t>
      </w:r>
      <w:r w:rsidR="002357B8">
        <w:t>u</w:t>
      </w:r>
      <w:r w:rsidR="00C906C4">
        <w:t xml:space="preserve">sing existing data, that </w:t>
      </w:r>
      <w:r w:rsidR="002357B8">
        <w:t xml:space="preserve">combine to </w:t>
      </w:r>
      <w:r w:rsidR="00C906C4">
        <w:t xml:space="preserve">provide a clear starting point. The metrics </w:t>
      </w:r>
      <w:r w:rsidR="002F4609">
        <w:t>are</w:t>
      </w:r>
      <w:r w:rsidR="003C01D8" w:rsidRPr="00A84F8C">
        <w:t xml:space="preserve">: </w:t>
      </w:r>
      <w:r w:rsidR="002F4609">
        <w:t xml:space="preserve">(1) </w:t>
      </w:r>
      <w:r w:rsidR="003C01D8" w:rsidRPr="00A84F8C">
        <w:t xml:space="preserve">the extent </w:t>
      </w:r>
      <w:r w:rsidR="0064060B" w:rsidRPr="00A84F8C">
        <w:t xml:space="preserve">and pattern </w:t>
      </w:r>
      <w:r w:rsidR="003C01D8" w:rsidRPr="00A84F8C">
        <w:t>of private finance within health care expenditure as a whole</w:t>
      </w:r>
      <w:r w:rsidR="00ED45C9">
        <w:t xml:space="preserve"> (“demand</w:t>
      </w:r>
      <w:r w:rsidR="00296C42">
        <w:t xml:space="preserve"> </w:t>
      </w:r>
      <w:r w:rsidR="00ED45C9">
        <w:t>side”)</w:t>
      </w:r>
      <w:r w:rsidR="003C01D8" w:rsidRPr="00A84F8C">
        <w:t xml:space="preserve">; </w:t>
      </w:r>
      <w:r w:rsidR="002F4609">
        <w:t xml:space="preserve">(2) </w:t>
      </w:r>
      <w:r w:rsidR="003C01D8" w:rsidRPr="00A84F8C">
        <w:t xml:space="preserve">the scale and level of the private sector enterprises in health care, indicated by </w:t>
      </w:r>
      <w:r w:rsidR="0064060B" w:rsidRPr="00A84F8C">
        <w:t xml:space="preserve">their </w:t>
      </w:r>
      <w:r w:rsidR="002F4609">
        <w:t xml:space="preserve">relative weight </w:t>
      </w:r>
      <w:r w:rsidR="0064060B" w:rsidRPr="00A84F8C">
        <w:t>in</w:t>
      </w:r>
      <w:r w:rsidR="000471C8">
        <w:t xml:space="preserve"> the</w:t>
      </w:r>
      <w:r w:rsidR="0064060B" w:rsidRPr="00A84F8C">
        <w:t xml:space="preserve"> </w:t>
      </w:r>
      <w:r w:rsidR="002F4609">
        <w:t>use of</w:t>
      </w:r>
      <w:r w:rsidR="0064060B" w:rsidRPr="00A84F8C">
        <w:t xml:space="preserve"> ambulatory and primary, and clinic-based and </w:t>
      </w:r>
      <w:r w:rsidR="003C01D8" w:rsidRPr="00A84F8C">
        <w:t>secondary</w:t>
      </w:r>
      <w:r w:rsidR="00CC2D35">
        <w:t>,</w:t>
      </w:r>
      <w:r w:rsidR="003C01D8" w:rsidRPr="00A84F8C">
        <w:t xml:space="preserve"> </w:t>
      </w:r>
      <w:r w:rsidR="0064060B" w:rsidRPr="00A84F8C">
        <w:t>care</w:t>
      </w:r>
      <w:r w:rsidR="00ED45C9">
        <w:t xml:space="preserve"> (“supply side”)</w:t>
      </w:r>
      <w:r w:rsidR="003C01D8" w:rsidRPr="00A84F8C">
        <w:t xml:space="preserve">; and </w:t>
      </w:r>
      <w:r w:rsidR="002F4609">
        <w:t xml:space="preserve">(3) </w:t>
      </w:r>
      <w:r w:rsidR="003C01D8" w:rsidRPr="00A84F8C">
        <w:t xml:space="preserve">the </w:t>
      </w:r>
      <w:r w:rsidR="00CC2D35">
        <w:t xml:space="preserve">accessibility of the </w:t>
      </w:r>
      <w:r w:rsidR="003C01D8" w:rsidRPr="00A84F8C">
        <w:rPr>
          <w:i/>
        </w:rPr>
        <w:t xml:space="preserve">public </w:t>
      </w:r>
      <w:r w:rsidR="003C01D8" w:rsidRPr="00A84F8C">
        <w:t xml:space="preserve">sector, </w:t>
      </w:r>
      <w:r w:rsidR="00CC2D35">
        <w:t xml:space="preserve">proxied by the </w:t>
      </w:r>
      <w:r w:rsidR="003C01D8" w:rsidRPr="00A84F8C">
        <w:t>extent to which the public provision</w:t>
      </w:r>
      <w:r w:rsidR="005611BA">
        <w:t xml:space="preserve"> relies on fees</w:t>
      </w:r>
      <w:r w:rsidR="003C01D8" w:rsidRPr="00A84F8C">
        <w:t xml:space="preserve"> </w:t>
      </w:r>
      <w:r w:rsidR="00ED45C9">
        <w:t>(“</w:t>
      </w:r>
      <w:r w:rsidR="005611BA">
        <w:t>commercialization</w:t>
      </w:r>
      <w:r w:rsidR="00ED45C9">
        <w:t>”)</w:t>
      </w:r>
      <w:r w:rsidR="0094751E" w:rsidRPr="00A84F8C">
        <w:t>.</w:t>
      </w:r>
      <w:r w:rsidR="003C01D8" w:rsidRPr="00A84F8C">
        <w:t xml:space="preserve">  </w:t>
      </w:r>
      <w:r w:rsidR="007B3E98">
        <w:t>S</w:t>
      </w:r>
      <w:r w:rsidR="00EE750A">
        <w:t>ources and</w:t>
      </w:r>
      <w:r w:rsidR="00E64E59">
        <w:t xml:space="preserve"> brief justification</w:t>
      </w:r>
      <w:r w:rsidR="00EE750A">
        <w:t xml:space="preserve"> follow</w:t>
      </w:r>
      <w:r w:rsidR="00E64E59">
        <w:t>.</w:t>
      </w:r>
    </w:p>
    <w:p w14:paraId="262506AC" w14:textId="77777777" w:rsidR="003C01D8" w:rsidRPr="00A84F8C" w:rsidRDefault="003C01D8" w:rsidP="003C01D8">
      <w:pPr>
        <w:pStyle w:val="ListParagraph"/>
        <w:numPr>
          <w:ilvl w:val="0"/>
          <w:numId w:val="1"/>
        </w:numPr>
      </w:pPr>
      <w:r w:rsidRPr="00A84F8C">
        <w:t xml:space="preserve">The </w:t>
      </w:r>
      <w:r w:rsidR="00E334FF" w:rsidRPr="00A84F8C">
        <w:t xml:space="preserve">size and pattern of the </w:t>
      </w:r>
      <w:r w:rsidRPr="00A84F8C">
        <w:t xml:space="preserve">private share in total health expenditure.  </w:t>
      </w:r>
    </w:p>
    <w:p w14:paraId="757DA99B" w14:textId="668D40D3" w:rsidR="00515029" w:rsidRDefault="003C01D8" w:rsidP="00FB10D4">
      <w:r w:rsidRPr="00A84F8C">
        <w:t xml:space="preserve">Private expenditure </w:t>
      </w:r>
      <w:r w:rsidR="00E334FF" w:rsidRPr="00A84F8C">
        <w:t>on health care includes out-of-</w:t>
      </w:r>
      <w:r w:rsidRPr="00A84F8C">
        <w:t xml:space="preserve">pocket </w:t>
      </w:r>
      <w:r w:rsidR="00E334FF" w:rsidRPr="00A84F8C">
        <w:t xml:space="preserve">(OOP) </w:t>
      </w:r>
      <w:r w:rsidRPr="00A84F8C">
        <w:t xml:space="preserve">spending and </w:t>
      </w:r>
      <w:r w:rsidR="00E334FF" w:rsidRPr="00A84F8C">
        <w:t xml:space="preserve">also </w:t>
      </w:r>
      <w:r w:rsidRPr="00A84F8C">
        <w:t>expenditure by insurers (‘pre-paid plans’)</w:t>
      </w:r>
      <w:r w:rsidR="0094751E" w:rsidRPr="00A84F8C">
        <w:t>.</w:t>
      </w:r>
      <w:r w:rsidR="0016648A" w:rsidRPr="00A84F8C">
        <w:t xml:space="preserve"> The WHO health expenditure database</w:t>
      </w:r>
      <w:hyperlink w:anchor="_ENREF_8" w:tooltip="World Health Organisation, 2013 #1" w:history="1">
        <w:r w:rsidR="00FB10D4" w:rsidRPr="00A84F8C">
          <w:fldChar w:fldCharType="begin"/>
        </w:r>
        <w:r w:rsidR="00FB10D4">
          <w:instrText xml:space="preserve"> ADDIN EN.CITE &lt;EndNote&gt;&lt;Cite&gt;&lt;Author&gt;World Health Organisation&lt;/Author&gt;&lt;Year&gt;2013&lt;/Year&gt;&lt;RecNum&gt;1&lt;/RecNum&gt;&lt;DisplayText&gt;&lt;style face="superscript"&gt;8&lt;/style&gt;&lt;/DisplayText&gt;&lt;record&gt;&lt;rec-number&gt;1&lt;/rec-number&gt;&lt;foreign-keys&gt;&lt;key app="EN" db-id="2sp5tdttfertdledza9xaavpe5wrwzestvef"&gt;1&lt;/key&gt;&lt;/foreign-keys&gt;&lt;ref-type name="Online Database"&gt;45&lt;/ref-type&gt;&lt;contributors&gt;&lt;authors&gt;&lt;author&gt;World Health Organisation,&lt;/author&gt;&lt;/authors&gt;&lt;/contributors&gt;&lt;titles&gt;&lt;title&gt;Global Health Expenditure Database&lt;/title&gt;&lt;/titles&gt;&lt;dates&gt;&lt;year&gt;2013&lt;/year&gt;&lt;/dates&gt;&lt;pub-location&gt;Geneva&lt;/pub-location&gt;&lt;urls&gt;&lt;related-urls&gt;&lt;url&gt;http://apps.who.int/nha/database/DataExplorerRegime.aspx&lt;/url&gt;&lt;/related-urls&gt;&lt;/urls&gt;&lt;/record&gt;&lt;/Cite&gt;&lt;/EndNote&gt;</w:instrText>
        </w:r>
        <w:r w:rsidR="00FB10D4" w:rsidRPr="00A84F8C">
          <w:fldChar w:fldCharType="separate"/>
        </w:r>
        <w:r w:rsidR="00FB10D4" w:rsidRPr="00103EEE">
          <w:rPr>
            <w:noProof/>
            <w:vertAlign w:val="superscript"/>
          </w:rPr>
          <w:t>8</w:t>
        </w:r>
        <w:r w:rsidR="00FB10D4" w:rsidRPr="00A84F8C">
          <w:fldChar w:fldCharType="end"/>
        </w:r>
      </w:hyperlink>
      <w:r w:rsidR="0016648A" w:rsidRPr="00A84F8C">
        <w:t xml:space="preserve"> has reasonably comparable cross-country data despite conceptual and measurement problems</w:t>
      </w:r>
      <w:hyperlink w:anchor="_ENREF_9" w:tooltip="Rannan-Eliya, 2010 #3" w:history="1">
        <w:r w:rsidR="00FB10D4" w:rsidRPr="00A84F8C">
          <w:fldChar w:fldCharType="begin"/>
        </w:r>
        <w:r w:rsidR="00FB10D4">
          <w:instrText xml:space="preserve"> ADDIN EN.CITE &lt;EndNote&gt;&lt;Cite&gt;&lt;Author&gt;Rannan-Eliya&lt;/Author&gt;&lt;Year&gt;2010&lt;/Year&gt;&lt;RecNum&gt;3&lt;/RecNum&gt;&lt;DisplayText&gt;&lt;style face="superscript"&gt;9&lt;/style&gt;&lt;/DisplayText&gt;&lt;record&gt;&lt;rec-number&gt;3&lt;/rec-number&gt;&lt;foreign-keys&gt;&lt;key app="EN" db-id="2sp5tdttfertdledza9xaavpe5wrwzestvef"&gt;3&lt;/key&gt;&lt;/foreign-keys&gt;&lt;ref-type name="Book"&gt;6&lt;/ref-type&gt;&lt;contributors&gt;&lt;authors&gt;&lt;author&gt;Rannan-Eliya, R. P.&lt;/author&gt;&lt;author&gt;L. Lorenzoni&lt;/author&gt;&lt;/authors&gt;&lt;/contributors&gt;&lt;titles&gt;&lt;title&gt;Guidelines for Improving the Comparability and Availability of Private Health Expenditures Under the System of Health Accounts Framework&lt;/title&gt;&lt;secondary-title&gt;OECD Health Working Papers&lt;/secondary-title&gt;&lt;/titles&gt;&lt;volume&gt;No. 52&lt;/volume&gt;&lt;dates&gt;&lt;year&gt;2010&lt;/year&gt;&lt;/dates&gt;&lt;publisher&gt;OECD Publishing&lt;/publisher&gt;&lt;urls&gt;&lt;related-urls&gt;&lt;url&gt;/content/workingpaper/5kmbrcg0clvc-en&lt;/url&gt;&lt;url&gt;http://dx.doi.org/10.1787/5kmbrcg0clvc-en&lt;/url&gt;&lt;/related-urls&gt;&lt;/urls&gt;&lt;electronic-resource-num&gt; 10.1787/5kmbrcg0clvc-en&lt;/electronic-resource-num&gt;&lt;/record&gt;&lt;/Cite&gt;&lt;/EndNote&gt;</w:instrText>
        </w:r>
        <w:r w:rsidR="00FB10D4" w:rsidRPr="00A84F8C">
          <w:fldChar w:fldCharType="separate"/>
        </w:r>
        <w:r w:rsidR="00FB10D4" w:rsidRPr="00103EEE">
          <w:rPr>
            <w:noProof/>
            <w:vertAlign w:val="superscript"/>
          </w:rPr>
          <w:t>9</w:t>
        </w:r>
        <w:r w:rsidR="00FB10D4" w:rsidRPr="00A84F8C">
          <w:fldChar w:fldCharType="end"/>
        </w:r>
      </w:hyperlink>
      <w:r w:rsidR="0016648A" w:rsidRPr="00A84F8C">
        <w:t>. T</w:t>
      </w:r>
      <w:r w:rsidR="00E334FF" w:rsidRPr="00A84F8C">
        <w:t xml:space="preserve">he </w:t>
      </w:r>
      <w:r w:rsidRPr="00A84F8C">
        <w:t xml:space="preserve">extent </w:t>
      </w:r>
      <w:r w:rsidR="00E334FF" w:rsidRPr="00A84F8C">
        <w:t xml:space="preserve">of each type of private finance </w:t>
      </w:r>
      <w:r w:rsidR="001336D8">
        <w:t xml:space="preserve">is a proxy indicator of </w:t>
      </w:r>
      <w:r w:rsidR="00E334FF" w:rsidRPr="00A84F8C">
        <w:t xml:space="preserve">the </w:t>
      </w:r>
      <w:r w:rsidR="00DE2680" w:rsidRPr="00585EE0">
        <w:rPr>
          <w:i/>
        </w:rPr>
        <w:t>characteristics</w:t>
      </w:r>
      <w:r w:rsidR="00E334FF" w:rsidRPr="00A84F8C">
        <w:t xml:space="preserve"> of the </w:t>
      </w:r>
      <w:r w:rsidRPr="00A84F8C">
        <w:t xml:space="preserve">private </w:t>
      </w:r>
      <w:r w:rsidR="00E334FF" w:rsidRPr="00A84F8C">
        <w:t xml:space="preserve">supply </w:t>
      </w:r>
      <w:r w:rsidRPr="00A84F8C">
        <w:t>sector, since private insuran</w:t>
      </w:r>
      <w:r w:rsidR="00DA7B7F" w:rsidRPr="00A84F8C">
        <w:t xml:space="preserve">ce </w:t>
      </w:r>
      <w:r w:rsidR="00585EE0">
        <w:t>generally</w:t>
      </w:r>
      <w:r w:rsidR="00D3453E">
        <w:t xml:space="preserve"> fund</w:t>
      </w:r>
      <w:r w:rsidR="00585EE0">
        <w:t>s</w:t>
      </w:r>
      <w:r w:rsidR="00D3453E">
        <w:t xml:space="preserve"> </w:t>
      </w:r>
      <w:r w:rsidR="00585EE0">
        <w:t xml:space="preserve">larger </w:t>
      </w:r>
      <w:r w:rsidR="00515029">
        <w:t>licensed</w:t>
      </w:r>
      <w:r w:rsidR="00D3453E">
        <w:t xml:space="preserve"> </w:t>
      </w:r>
      <w:r w:rsidRPr="00A84F8C">
        <w:t>private providers</w:t>
      </w:r>
      <w:r w:rsidR="00E334FF" w:rsidRPr="00A84F8C">
        <w:t xml:space="preserve">, </w:t>
      </w:r>
      <w:r w:rsidR="00D3453E">
        <w:t xml:space="preserve">while much OOP spending </w:t>
      </w:r>
      <w:r w:rsidR="00515029">
        <w:t>funds smaller scale, often unlicensed provision</w:t>
      </w:r>
      <w:r w:rsidR="004136F8" w:rsidRPr="00A84F8C">
        <w:t xml:space="preserve">. </w:t>
      </w:r>
    </w:p>
    <w:p w14:paraId="70E09731" w14:textId="59C1FA0F" w:rsidR="00D97049" w:rsidRDefault="00585EE0" w:rsidP="00FB10D4">
      <w:r>
        <w:t>However OOP</w:t>
      </w:r>
      <w:r w:rsidR="003C01D8" w:rsidRPr="00A84F8C">
        <w:t xml:space="preserve"> spendi</w:t>
      </w:r>
      <w:r w:rsidR="00EE4EA3" w:rsidRPr="00A84F8C">
        <w:t xml:space="preserve">ng also includes </w:t>
      </w:r>
      <w:r w:rsidR="003C01D8" w:rsidRPr="00A84F8C">
        <w:t xml:space="preserve">fees for public services and </w:t>
      </w:r>
      <w:r w:rsidR="002E124A">
        <w:t>medicine purchases</w:t>
      </w:r>
      <w:r w:rsidR="003C01D8" w:rsidRPr="00A84F8C">
        <w:t>. As a result, on a cross-country basis, the share of private in total health expenditure</w:t>
      </w:r>
      <w:r w:rsidR="00E334FF" w:rsidRPr="00A84F8C">
        <w:t xml:space="preserve"> has been shown to be</w:t>
      </w:r>
      <w:r w:rsidR="003C01D8" w:rsidRPr="00A84F8C">
        <w:t xml:space="preserve"> uncorrelated with the (patchy) </w:t>
      </w:r>
      <w:r w:rsidR="0016648A" w:rsidRPr="00A84F8C">
        <w:t xml:space="preserve">available </w:t>
      </w:r>
      <w:r w:rsidR="003C01D8" w:rsidRPr="00A84F8C">
        <w:t xml:space="preserve">data on the share of private </w:t>
      </w:r>
      <w:r w:rsidR="00E26269">
        <w:t xml:space="preserve">beds </w:t>
      </w:r>
      <w:r w:rsidR="003C01D8" w:rsidRPr="00A84F8C">
        <w:t>in total hospital beds</w:t>
      </w:r>
      <w:r w:rsidR="002E124A">
        <w:t>,</w:t>
      </w:r>
      <w:r w:rsidR="003C01D8" w:rsidRPr="00A84F8C">
        <w:t xml:space="preserve"> or private </w:t>
      </w:r>
      <w:r w:rsidR="00E26269">
        <w:t xml:space="preserve">facilities </w:t>
      </w:r>
      <w:r w:rsidR="003C01D8" w:rsidRPr="00A84F8C">
        <w:t>in total primary facilities</w:t>
      </w:r>
      <w:r>
        <w:t>,</w:t>
      </w:r>
      <w:r w:rsidR="003C01D8" w:rsidRPr="00A84F8C">
        <w:t xml:space="preserve"> </w:t>
      </w:r>
      <w:r w:rsidR="00E334FF" w:rsidRPr="00A84F8C">
        <w:t>or the share of private providers in total medical consultations</w:t>
      </w:r>
      <w:r w:rsidR="0007630F" w:rsidRPr="00A84F8C">
        <w:fldChar w:fldCharType="begin"/>
      </w:r>
      <w:r w:rsidR="00103EEE">
        <w:instrText xml:space="preserve"> ADDIN EN.CITE &lt;EndNote&gt;&lt;Cite&gt;&lt;Author&gt;Hanson&lt;/Author&gt;&lt;Year&gt;1998&lt;/Year&gt;&lt;RecNum&gt;4&lt;/RecNum&gt;&lt;DisplayText&gt;&lt;style face="superscript"&gt;10,11&lt;/style&gt;&lt;/DisplayText&gt;&lt;record&gt;&lt;rec-number&gt;4&lt;/rec-number&gt;&lt;foreign-keys&gt;&lt;key app="EN" db-id="2sp5tdttfertdledza9xaavpe5wrwzestvef"&gt;4&lt;/key&gt;&lt;/foreign-keys&gt;&lt;ref-type name="Journal Article"&gt;17&lt;/ref-type&gt;&lt;contributors&gt;&lt;authors&gt;&lt;author&gt;Hanson, Kara&lt;/author&gt;&lt;author&gt;Berman, Peter&lt;/author&gt;&lt;/authors&gt;&lt;/contributors&gt;&lt;titles&gt;&lt;title&gt;Private Health Care Provision in Developing Countries: A Preliminary Analysis of Levels and Composition&lt;/title&gt;&lt;secondary-title&gt;Health Policy and Planning&lt;/secondary-title&gt;&lt;/titles&gt;&lt;periodical&gt;&lt;full-title&gt;Health Policy and Planning&lt;/full-title&gt;&lt;/periodical&gt;&lt;pages&gt;195-211&lt;/pages&gt;&lt;volume&gt;13&lt;/volume&gt;&lt;number&gt;3&lt;/number&gt;&lt;dates&gt;&lt;year&gt;1998&lt;/year&gt;&lt;pub-dates&gt;&lt;date&gt;January 1, 1998&lt;/date&gt;&lt;/pub-dates&gt;&lt;/dates&gt;&lt;urls&gt;&lt;related-urls&gt;&lt;url&gt;http://heapol.oxfordjournals.org/content/13/3/195.abstract&lt;/url&gt;&lt;/related-urls&gt;&lt;/urls&gt;&lt;/record&gt;&lt;/Cite&gt;&lt;Cite&gt;&lt;Author&gt;Mackintosh&lt;/Author&gt;&lt;Year&gt;2005&lt;/Year&gt;&lt;RecNum&gt;5&lt;/RecNum&gt;&lt;record&gt;&lt;rec-number&gt;5&lt;/rec-number&gt;&lt;foreign-keys&gt;&lt;key app="EN" db-id="2sp5tdttfertdledza9xaavpe5wrwzestvef"&gt;5&lt;/key&gt;&lt;/foreign-keys&gt;&lt;ref-type name="Book Section"&gt;5&lt;/ref-type&gt;&lt;contributors&gt;&lt;authors&gt;&lt;author&gt;Mackintosh, M&lt;/author&gt;&lt;author&gt;Koivusalo, M.&lt;/author&gt;&lt;/authors&gt;&lt;secondary-authors&gt;&lt;author&gt;Mackintosh, M&lt;/author&gt;&lt;author&gt;Koivusalo, M.&lt;/author&gt;&lt;/secondary-authors&gt;&lt;/contributors&gt;&lt;titles&gt;&lt;title&gt;Health systems and commercialization: in search of good sense&lt;/title&gt;&lt;secondary-title&gt;Commercialization of Health Care: Global and Local Dynamics and Policy Responses&lt;/secondary-title&gt;&lt;/titles&gt;&lt;dates&gt;&lt;year&gt;2005&lt;/year&gt;&lt;/dates&gt;&lt;pub-location&gt;Basingstoke&lt;/pub-location&gt;&lt;publisher&gt;Palgrave Macmillan&lt;/publisher&gt;&lt;urls&gt;&lt;/urls&gt;&lt;/record&gt;&lt;/Cite&gt;&lt;/EndNote&gt;</w:instrText>
      </w:r>
      <w:r w:rsidR="0007630F" w:rsidRPr="00A84F8C">
        <w:fldChar w:fldCharType="separate"/>
      </w:r>
      <w:hyperlink w:anchor="_ENREF_10" w:tooltip="Hanson, 1998 #4" w:history="1">
        <w:r w:rsidR="00FB10D4" w:rsidRPr="00103EEE">
          <w:rPr>
            <w:noProof/>
            <w:vertAlign w:val="superscript"/>
          </w:rPr>
          <w:t>10</w:t>
        </w:r>
      </w:hyperlink>
      <w:r w:rsidR="00103EEE" w:rsidRPr="00103EEE">
        <w:rPr>
          <w:noProof/>
          <w:vertAlign w:val="superscript"/>
        </w:rPr>
        <w:t>,</w:t>
      </w:r>
      <w:hyperlink w:anchor="_ENREF_11" w:tooltip="Mackintosh, 2005 #5" w:history="1">
        <w:r w:rsidR="00FB10D4" w:rsidRPr="00103EEE">
          <w:rPr>
            <w:noProof/>
            <w:vertAlign w:val="superscript"/>
          </w:rPr>
          <w:t>11</w:t>
        </w:r>
      </w:hyperlink>
      <w:r w:rsidR="0007630F" w:rsidRPr="00A84F8C">
        <w:fldChar w:fldCharType="end"/>
      </w:r>
      <w:r w:rsidR="003C01D8" w:rsidRPr="00A84F8C">
        <w:t xml:space="preserve">.  </w:t>
      </w:r>
      <w:r w:rsidR="00EE4EA3" w:rsidRPr="00A84F8C">
        <w:t>It follows that t</w:t>
      </w:r>
      <w:r w:rsidR="00E334FF" w:rsidRPr="00A84F8C">
        <w:t xml:space="preserve">he share of private in total health spending </w:t>
      </w:r>
      <w:r w:rsidR="001336D8">
        <w:t xml:space="preserve">does </w:t>
      </w:r>
      <w:r w:rsidR="001336D8" w:rsidRPr="00675A85">
        <w:rPr>
          <w:i/>
        </w:rPr>
        <w:t>not</w:t>
      </w:r>
      <w:r w:rsidR="001336D8">
        <w:t xml:space="preserve"> measure </w:t>
      </w:r>
      <w:r w:rsidR="003C01D8" w:rsidRPr="00A84F8C">
        <w:t xml:space="preserve">the </w:t>
      </w:r>
      <w:r w:rsidR="00E26269">
        <w:t xml:space="preserve">share of private </w:t>
      </w:r>
      <w:r w:rsidR="007D126D">
        <w:t xml:space="preserve">supply </w:t>
      </w:r>
      <w:r w:rsidR="00E26269">
        <w:t>in total supply</w:t>
      </w:r>
      <w:r w:rsidR="003C01D8" w:rsidRPr="00A84F8C">
        <w:t xml:space="preserve">. </w:t>
      </w:r>
      <w:r w:rsidR="00515029">
        <w:t xml:space="preserve"> </w:t>
      </w:r>
    </w:p>
    <w:p w14:paraId="7315249D" w14:textId="77777777" w:rsidR="004C32A4" w:rsidRDefault="00484260" w:rsidP="00440030">
      <w:pPr>
        <w:pStyle w:val="ListParagraph"/>
        <w:numPr>
          <w:ilvl w:val="0"/>
          <w:numId w:val="1"/>
        </w:numPr>
      </w:pPr>
      <w:r w:rsidRPr="00A84F8C">
        <w:t xml:space="preserve">The share of the private sector in </w:t>
      </w:r>
      <w:r w:rsidR="00D01713">
        <w:t xml:space="preserve">primary and secondary </w:t>
      </w:r>
      <w:r w:rsidRPr="00A84F8C">
        <w:t xml:space="preserve">health care </w:t>
      </w:r>
      <w:r w:rsidR="00D01713">
        <w:t>episodes</w:t>
      </w:r>
      <w:r w:rsidRPr="00A84F8C">
        <w:t xml:space="preserve">. </w:t>
      </w:r>
    </w:p>
    <w:p w14:paraId="0D2A97F2" w14:textId="77777777" w:rsidR="00462FD3" w:rsidRDefault="003C01D8" w:rsidP="00440030">
      <w:pPr>
        <w:tabs>
          <w:tab w:val="left" w:pos="7797"/>
        </w:tabs>
      </w:pPr>
      <w:r w:rsidRPr="00A84F8C">
        <w:t>There are no cross-country comparable data on private sector capacity</w:t>
      </w:r>
      <w:r w:rsidR="00C16476" w:rsidRPr="00A84F8C">
        <w:t xml:space="preserve"> levels and activity rates.</w:t>
      </w:r>
      <w:r w:rsidRPr="00A84F8C">
        <w:t xml:space="preserve"> </w:t>
      </w:r>
      <w:r w:rsidR="00C16476" w:rsidRPr="00A84F8C">
        <w:t xml:space="preserve">We </w:t>
      </w:r>
      <w:r w:rsidR="00D01713">
        <w:t xml:space="preserve">therefore </w:t>
      </w:r>
      <w:r w:rsidR="00C16476" w:rsidRPr="00A84F8C">
        <w:t xml:space="preserve">use </w:t>
      </w:r>
      <w:r w:rsidR="00E64B7B" w:rsidRPr="00A84F8C">
        <w:t xml:space="preserve">a </w:t>
      </w:r>
      <w:r w:rsidR="00E64B7B">
        <w:t xml:space="preserve">variety of country-level </w:t>
      </w:r>
      <w:r w:rsidR="00E64B7B" w:rsidRPr="00A84F8C">
        <w:t>DHS</w:t>
      </w:r>
      <w:r w:rsidR="00E64B7B">
        <w:t xml:space="preserve">, WHO </w:t>
      </w:r>
      <w:r w:rsidR="00E64B7B" w:rsidRPr="00E64B7B">
        <w:rPr>
          <w:i/>
        </w:rPr>
        <w:t>World Health Survey</w:t>
      </w:r>
      <w:r w:rsidR="00E64B7B">
        <w:t>,</w:t>
      </w:r>
      <w:r w:rsidR="00E64B7B" w:rsidRPr="00A84F8C">
        <w:t xml:space="preserve"> and </w:t>
      </w:r>
      <w:r w:rsidR="00E64B7B">
        <w:t xml:space="preserve">other </w:t>
      </w:r>
      <w:r w:rsidR="00E64B7B" w:rsidRPr="00A84F8C">
        <w:t>household survey</w:t>
      </w:r>
      <w:r w:rsidR="00E64B7B">
        <w:t xml:space="preserve"> data, alongside facility surveys</w:t>
      </w:r>
      <w:r w:rsidRPr="00A84F8C">
        <w:t xml:space="preserve">.  </w:t>
      </w:r>
      <w:r w:rsidR="00AB69AB">
        <w:t>U</w:t>
      </w:r>
      <w:r w:rsidR="007B6F57" w:rsidRPr="00A84F8C">
        <w:t>s</w:t>
      </w:r>
      <w:r w:rsidR="00A85978">
        <w:t>ag</w:t>
      </w:r>
      <w:r w:rsidR="007B6F57" w:rsidRPr="00A84F8C">
        <w:t>e of different types of facility provide</w:t>
      </w:r>
      <w:r w:rsidR="00AB69AB">
        <w:t>s</w:t>
      </w:r>
      <w:r w:rsidR="007B6F57" w:rsidRPr="00A84F8C">
        <w:t xml:space="preserve"> a better metric for the relative weight of the </w:t>
      </w:r>
      <w:r w:rsidR="00785D30" w:rsidRPr="00A84F8C">
        <w:t>private sector</w:t>
      </w:r>
      <w:r w:rsidR="007B6F57" w:rsidRPr="00A84F8C">
        <w:t xml:space="preserve"> than capacity measures such as numbe</w:t>
      </w:r>
      <w:r w:rsidR="00462FD3">
        <w:t>r of hospitals</w:t>
      </w:r>
      <w:r w:rsidR="00175649">
        <w:t xml:space="preserve"> and dispensaries</w:t>
      </w:r>
      <w:r w:rsidR="00EB7D60">
        <w:t>. This is because the facilities</w:t>
      </w:r>
      <w:r w:rsidR="00D01713">
        <w:t xml:space="preserve"> </w:t>
      </w:r>
      <w:r w:rsidR="00AB69AB">
        <w:t>vary in size</w:t>
      </w:r>
      <w:r w:rsidR="00175649">
        <w:t xml:space="preserve"> and </w:t>
      </w:r>
      <w:r w:rsidR="00AB69AB" w:rsidRPr="00A84F8C">
        <w:t>small scale unregistered dispensaries and shops</w:t>
      </w:r>
      <w:r w:rsidR="00AB69AB">
        <w:t xml:space="preserve"> are frequently omitted </w:t>
      </w:r>
      <w:r w:rsidR="00175649">
        <w:t>from surveys</w:t>
      </w:r>
      <w:r w:rsidR="007B6F57" w:rsidRPr="00A84F8C">
        <w:t xml:space="preserve">. </w:t>
      </w:r>
      <w:r w:rsidR="00AB69AB">
        <w:t xml:space="preserve">Different countries and surveys use very different classifications </w:t>
      </w:r>
      <w:r w:rsidR="007B6F57" w:rsidRPr="00A84F8C">
        <w:t>of types of facility and other source</w:t>
      </w:r>
      <w:r w:rsidR="00AB69AB">
        <w:t>s</w:t>
      </w:r>
      <w:r w:rsidR="007B6F57" w:rsidRPr="00A84F8C">
        <w:t xml:space="preserve"> of treatment</w:t>
      </w:r>
      <w:r w:rsidR="00175649">
        <w:t xml:space="preserve">; </w:t>
      </w:r>
      <w:r w:rsidR="007B6F57" w:rsidRPr="00A84F8C">
        <w:t>the DHS</w:t>
      </w:r>
      <w:r w:rsidR="00E64B7B">
        <w:t xml:space="preserve"> </w:t>
      </w:r>
      <w:r w:rsidR="007B6F57" w:rsidRPr="00A84F8C">
        <w:t>can provide somewhat more comparable data</w:t>
      </w:r>
      <w:r w:rsidR="00E64B7B">
        <w:t xml:space="preserve"> but</w:t>
      </w:r>
      <w:r w:rsidR="007B6F57" w:rsidRPr="00A84F8C">
        <w:t xml:space="preserve"> </w:t>
      </w:r>
      <w:r w:rsidR="00462FD3">
        <w:t xml:space="preserve">only </w:t>
      </w:r>
      <w:r w:rsidR="00A85978">
        <w:t xml:space="preserve">for </w:t>
      </w:r>
      <w:r w:rsidR="002357B8">
        <w:t>a restricted s</w:t>
      </w:r>
      <w:r w:rsidR="00C97741">
        <w:t>et of reproductive and child he</w:t>
      </w:r>
      <w:r w:rsidR="002357B8">
        <w:t>a</w:t>
      </w:r>
      <w:r w:rsidR="00C97741">
        <w:t>l</w:t>
      </w:r>
      <w:r w:rsidR="002357B8">
        <w:t xml:space="preserve">th </w:t>
      </w:r>
      <w:r w:rsidR="00A85978">
        <w:t>needs</w:t>
      </w:r>
      <w:r w:rsidR="002357B8">
        <w:t xml:space="preserve">. </w:t>
      </w:r>
      <w:r w:rsidR="00231909" w:rsidRPr="00A84F8C">
        <w:t xml:space="preserve"> </w:t>
      </w:r>
      <w:r w:rsidR="0016648A" w:rsidRPr="00A84F8C">
        <w:t xml:space="preserve"> </w:t>
      </w:r>
    </w:p>
    <w:p w14:paraId="3613CA99" w14:textId="77777777" w:rsidR="003C01D8" w:rsidRPr="00882BEA" w:rsidRDefault="003C01D8" w:rsidP="0017712F">
      <w:pPr>
        <w:pStyle w:val="ListParagraph"/>
        <w:numPr>
          <w:ilvl w:val="0"/>
          <w:numId w:val="1"/>
        </w:numPr>
        <w:tabs>
          <w:tab w:val="left" w:pos="7797"/>
        </w:tabs>
      </w:pPr>
      <w:r w:rsidRPr="00A84F8C">
        <w:t>Th</w:t>
      </w:r>
      <w:r w:rsidR="00A85978">
        <w:t xml:space="preserve">e extent </w:t>
      </w:r>
      <w:r w:rsidR="00A85978" w:rsidRPr="00882BEA">
        <w:t>to which</w:t>
      </w:r>
      <w:r w:rsidRPr="00882BEA">
        <w:t xml:space="preserve"> </w:t>
      </w:r>
      <w:r w:rsidRPr="00882BEA">
        <w:rPr>
          <w:i/>
        </w:rPr>
        <w:t xml:space="preserve">public </w:t>
      </w:r>
      <w:r w:rsidRPr="00882BEA">
        <w:t xml:space="preserve">sector </w:t>
      </w:r>
      <w:r w:rsidR="00050367" w:rsidRPr="00882BEA">
        <w:t xml:space="preserve">facilities rely </w:t>
      </w:r>
      <w:r w:rsidRPr="00882BEA">
        <w:t xml:space="preserve">on </w:t>
      </w:r>
      <w:r w:rsidR="00E64B7B" w:rsidRPr="00882BEA">
        <w:t>OOP</w:t>
      </w:r>
      <w:r w:rsidR="00050367" w:rsidRPr="00882BEA">
        <w:t xml:space="preserve"> </w:t>
      </w:r>
      <w:r w:rsidRPr="00882BEA">
        <w:t>fees and charges</w:t>
      </w:r>
    </w:p>
    <w:p w14:paraId="30502573" w14:textId="77777777" w:rsidR="00735437" w:rsidRDefault="002F2B29" w:rsidP="003C01D8">
      <w:r w:rsidRPr="00882BEA">
        <w:t xml:space="preserve">Public sector charging </w:t>
      </w:r>
      <w:r w:rsidR="000A6449" w:rsidRPr="00882BEA">
        <w:t>shapes the private sector’s market context, influencing</w:t>
      </w:r>
      <w:r w:rsidR="00735437" w:rsidRPr="00882BEA">
        <w:t xml:space="preserve"> who</w:t>
      </w:r>
      <w:r w:rsidR="00D97049" w:rsidRPr="00882BEA">
        <w:t>m</w:t>
      </w:r>
      <w:r w:rsidR="00735437" w:rsidRPr="00882BEA">
        <w:t xml:space="preserve"> the private sector serves, with what quality</w:t>
      </w:r>
      <w:r w:rsidRPr="00882BEA">
        <w:t>,</w:t>
      </w:r>
      <w:r w:rsidR="00735437" w:rsidRPr="00882BEA">
        <w:t xml:space="preserve"> and at what price. In many LMICs, public sector health care became </w:t>
      </w:r>
      <w:r w:rsidRPr="00882BEA">
        <w:t xml:space="preserve">more </w:t>
      </w:r>
      <w:r w:rsidR="00735437" w:rsidRPr="00882BEA">
        <w:t>commercialised in the 1980s and 1990s, depending increasingly on fees-for-service from OOP payments.</w:t>
      </w:r>
      <w:r w:rsidR="00675A85" w:rsidRPr="00882BEA">
        <w:t xml:space="preserve"> </w:t>
      </w:r>
      <w:r w:rsidRPr="00882BEA">
        <w:t>The p</w:t>
      </w:r>
      <w:r w:rsidR="00735437" w:rsidRPr="00882BEA">
        <w:t>ayments</w:t>
      </w:r>
      <w:r w:rsidR="00735437" w:rsidRPr="00A84F8C">
        <w:t xml:space="preserve"> for medicines</w:t>
      </w:r>
      <w:r>
        <w:t xml:space="preserve"> and tests, procedures and beds</w:t>
      </w:r>
      <w:r w:rsidR="00735437" w:rsidRPr="00A84F8C">
        <w:t xml:space="preserve"> might go to individuals or to institutions</w:t>
      </w:r>
      <w:r>
        <w:t>,</w:t>
      </w:r>
      <w:r w:rsidR="00735437" w:rsidRPr="00A84F8C">
        <w:t xml:space="preserve"> but the broad effect was to orient the public providers to</w:t>
      </w:r>
      <w:r w:rsidR="00675A85">
        <w:t xml:space="preserve"> respond to market incentives. </w:t>
      </w:r>
      <w:r>
        <w:t>Some p</w:t>
      </w:r>
      <w:r w:rsidR="00735437" w:rsidRPr="00A84F8C">
        <w:t>ublic sector</w:t>
      </w:r>
      <w:r>
        <w:t>s</w:t>
      </w:r>
      <w:r w:rsidR="00735437" w:rsidRPr="00A84F8C">
        <w:t xml:space="preserve"> thus took on a commercial character,</w:t>
      </w:r>
      <w:r w:rsidR="00735437">
        <w:t xml:space="preserve"> competing with the private sector in a health care market</w:t>
      </w:r>
      <w:r w:rsidR="00735437" w:rsidRPr="00A84F8C">
        <w:t xml:space="preserve"> while remaining publicly owned; </w:t>
      </w:r>
      <w:r>
        <w:t xml:space="preserve">globally, </w:t>
      </w:r>
      <w:r w:rsidR="00735437" w:rsidRPr="00A84F8C">
        <w:t xml:space="preserve">there is now a </w:t>
      </w:r>
      <w:r w:rsidR="00675A85">
        <w:t>partial reversal of this trend.</w:t>
      </w:r>
      <w:r w:rsidR="00735437" w:rsidRPr="00A84F8C">
        <w:t xml:space="preserve"> </w:t>
      </w:r>
      <w:r w:rsidR="00735437">
        <w:t xml:space="preserve">We measure </w:t>
      </w:r>
      <w:r>
        <w:t xml:space="preserve">public sector accessibility </w:t>
      </w:r>
      <w:r w:rsidR="00735437">
        <w:t xml:space="preserve">using country-level data on </w:t>
      </w:r>
      <w:r w:rsidR="000403DE" w:rsidRPr="00A84F8C">
        <w:t xml:space="preserve">the proportionate reliance of the public sector on </w:t>
      </w:r>
      <w:r w:rsidR="003C01D8" w:rsidRPr="00A84F8C">
        <w:t>fees and charges</w:t>
      </w:r>
      <w:r w:rsidR="000403DE" w:rsidRPr="00A84F8C">
        <w:t>, mainly estimated from in</w:t>
      </w:r>
      <w:r w:rsidR="00785D30" w:rsidRPr="00A84F8C">
        <w:t>formation in National Health Ac</w:t>
      </w:r>
      <w:r w:rsidR="000403DE" w:rsidRPr="00A84F8C">
        <w:t>counts</w:t>
      </w:r>
      <w:r>
        <w:t>.</w:t>
      </w:r>
    </w:p>
    <w:p w14:paraId="0DB98CC4" w14:textId="77777777" w:rsidR="00735437" w:rsidRDefault="00735437" w:rsidP="003C01D8">
      <w:r>
        <w:t xml:space="preserve">These </w:t>
      </w:r>
      <w:r w:rsidRPr="00882BEA">
        <w:t xml:space="preserve">three metrics locate a country’s private sector </w:t>
      </w:r>
      <w:r w:rsidR="0098413F" w:rsidRPr="00882BEA">
        <w:t>with</w:t>
      </w:r>
      <w:r w:rsidRPr="00882BEA">
        <w:t xml:space="preserve">in its mixed health system along </w:t>
      </w:r>
      <w:r w:rsidR="00F70D45" w:rsidRPr="00882BEA">
        <w:t>three dimensions, as illustrated i</w:t>
      </w:r>
      <w:r w:rsidR="002D556E" w:rsidRPr="00882BEA">
        <w:t>n Figure 1</w:t>
      </w:r>
      <w:r w:rsidR="00F70D45" w:rsidRPr="00882BEA">
        <w:t>.</w:t>
      </w:r>
      <w:r w:rsidRPr="00882BEA">
        <w:t xml:space="preserve"> </w:t>
      </w:r>
      <w:r w:rsidR="00377BA6" w:rsidRPr="00882BEA">
        <w:t xml:space="preserve"> This is to be unde</w:t>
      </w:r>
      <w:r w:rsidR="00103EEE" w:rsidRPr="00882BEA">
        <w:t xml:space="preserve">rstood, not </w:t>
      </w:r>
      <w:r w:rsidR="00675A85" w:rsidRPr="00882BEA">
        <w:t xml:space="preserve">as </w:t>
      </w:r>
      <w:r w:rsidR="00103EEE" w:rsidRPr="00882BEA">
        <w:t xml:space="preserve">a “box” diagram of </w:t>
      </w:r>
      <w:r w:rsidR="00377BA6" w:rsidRPr="00882BEA">
        <w:t>the type used to analyse moves towards UHC, but rather a 3-dimensional space in which different mixed health systems can be loc</w:t>
      </w:r>
      <w:r w:rsidR="00457BB4" w:rsidRPr="00882BEA">
        <w:t>ated.</w:t>
      </w:r>
      <w:r w:rsidR="00457BB4">
        <w:t xml:space="preserve"> </w:t>
      </w:r>
    </w:p>
    <w:p w14:paraId="2259E278" w14:textId="77777777" w:rsidR="00B40A0B" w:rsidRDefault="00B40A0B">
      <w:pPr>
        <w:rPr>
          <w:b/>
        </w:rPr>
      </w:pPr>
      <w:r>
        <w:rPr>
          <w:b/>
        </w:rPr>
        <w:br w:type="page"/>
      </w:r>
    </w:p>
    <w:p w14:paraId="6D51CFF6" w14:textId="77777777" w:rsidR="003C01D8" w:rsidRPr="00A84F8C" w:rsidRDefault="00A353BF" w:rsidP="003C01D8">
      <w:pPr>
        <w:rPr>
          <w:b/>
        </w:rPr>
      </w:pPr>
      <w:r w:rsidRPr="00A84F8C">
        <w:rPr>
          <w:b/>
        </w:rPr>
        <w:t>Figure 1</w:t>
      </w:r>
      <w:r w:rsidR="003C01D8" w:rsidRPr="00A84F8C">
        <w:rPr>
          <w:b/>
        </w:rPr>
        <w:t xml:space="preserve"> </w:t>
      </w:r>
      <w:r w:rsidR="00E24A6C" w:rsidRPr="00A84F8C">
        <w:rPr>
          <w:b/>
        </w:rPr>
        <w:t>Dimensions for classifying the private sector within health systems</w:t>
      </w:r>
    </w:p>
    <w:p w14:paraId="76A3FD4F" w14:textId="77777777" w:rsidR="00751929" w:rsidRPr="00A84F8C" w:rsidRDefault="00FE22E9" w:rsidP="00751929">
      <w:r>
        <w:rPr>
          <w:noProof/>
          <w:lang w:eastAsia="en-GB"/>
        </w:rPr>
        <mc:AlternateContent>
          <mc:Choice Requires="wps">
            <w:drawing>
              <wp:anchor distT="0" distB="0" distL="114300" distR="114300" simplePos="0" relativeHeight="251665408" behindDoc="0" locked="0" layoutInCell="1" allowOverlap="1" wp14:anchorId="12909730" wp14:editId="5004B5A6">
                <wp:simplePos x="0" y="0"/>
                <wp:positionH relativeFrom="column">
                  <wp:posOffset>2314575</wp:posOffset>
                </wp:positionH>
                <wp:positionV relativeFrom="paragraph">
                  <wp:posOffset>2313940</wp:posOffset>
                </wp:positionV>
                <wp:extent cx="990600" cy="55308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53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2E9011" w14:textId="77777777" w:rsidR="005A6843" w:rsidRPr="00BA1571" w:rsidRDefault="005A6843" w:rsidP="00751929">
                            <w:pPr>
                              <w:rPr>
                                <w:sz w:val="16"/>
                                <w:szCs w:val="16"/>
                              </w:rPr>
                            </w:pPr>
                            <w:r>
                              <w:rPr>
                                <w:sz w:val="16"/>
                                <w:szCs w:val="16"/>
                              </w:rPr>
                              <w:t>Share of private sector in visits  for treatment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909730" id="_x0000_t202" coordsize="21600,21600" o:spt="202" path="m,l,21600r21600,l21600,xe">
                <v:stroke joinstyle="miter"/>
                <v:path gradientshapeok="t" o:connecttype="rect"/>
              </v:shapetype>
              <v:shape id="Text Box 8" o:spid="_x0000_s1026" type="#_x0000_t202" style="position:absolute;margin-left:182.25pt;margin-top:182.2pt;width:78pt;height:4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" fillcolor="white [3201]" stroked="f" strokeweight=".5pt">
                <v:path arrowok="t"/>
                <v:textbox>
                  <w:txbxContent>
                    <w:p w14:paraId="6A2E9011" w14:textId="77777777" w:rsidR="005A6843" w:rsidRPr="00BA1571" w:rsidRDefault="005A6843" w:rsidP="00751929">
                      <w:pPr>
                        <w:rPr>
                          <w:sz w:val="16"/>
                          <w:szCs w:val="16"/>
                        </w:rPr>
                      </w:pPr>
                      <w:r>
                        <w:rPr>
                          <w:sz w:val="16"/>
                          <w:szCs w:val="16"/>
                        </w:rPr>
                        <w:t xml:space="preserve">Share of private sector in </w:t>
                      </w:r>
                      <w:proofErr w:type="gramStart"/>
                      <w:r>
                        <w:rPr>
                          <w:sz w:val="16"/>
                          <w:szCs w:val="16"/>
                        </w:rPr>
                        <w:t>visits  for</w:t>
                      </w:r>
                      <w:proofErr w:type="gramEnd"/>
                      <w:r>
                        <w:rPr>
                          <w:sz w:val="16"/>
                          <w:szCs w:val="16"/>
                        </w:rPr>
                        <w:t xml:space="preserve"> treatment</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5FB97765" wp14:editId="69265294">
                <wp:simplePos x="0" y="0"/>
                <wp:positionH relativeFrom="column">
                  <wp:posOffset>1771650</wp:posOffset>
                </wp:positionH>
                <wp:positionV relativeFrom="paragraph">
                  <wp:posOffset>1057275</wp:posOffset>
                </wp:positionV>
                <wp:extent cx="914400" cy="5238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AD43CE" w14:textId="77777777" w:rsidR="005A6843" w:rsidRPr="00E526B1" w:rsidRDefault="005A6843" w:rsidP="00751929">
                            <w:pPr>
                              <w:rPr>
                                <w:sz w:val="16"/>
                                <w:szCs w:val="16"/>
                              </w:rPr>
                            </w:pPr>
                            <w:r>
                              <w:rPr>
                                <w:sz w:val="16"/>
                                <w:szCs w:val="16"/>
                              </w:rPr>
                              <w:t>Public sector  % reliance on fees and charges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97765" id="Text Box 7" o:spid="_x0000_s1027" type="#_x0000_t202" style="position:absolute;margin-left:139.5pt;margin-top:83.25pt;width:1in;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" fillcolor="white [3201]" stroked="f" strokeweight=".5pt">
                <v:path arrowok="t"/>
                <v:textbox>
                  <w:txbxContent>
                    <w:p w14:paraId="6DAD43CE" w14:textId="77777777" w:rsidR="005A6843" w:rsidRPr="00E526B1" w:rsidRDefault="005A6843" w:rsidP="00751929">
                      <w:pPr>
                        <w:rPr>
                          <w:sz w:val="16"/>
                          <w:szCs w:val="16"/>
                        </w:rPr>
                      </w:pPr>
                      <w:r>
                        <w:rPr>
                          <w:sz w:val="16"/>
                          <w:szCs w:val="16"/>
                        </w:rPr>
                        <w:t xml:space="preserve">Public </w:t>
                      </w:r>
                      <w:proofErr w:type="gramStart"/>
                      <w:r>
                        <w:rPr>
                          <w:sz w:val="16"/>
                          <w:szCs w:val="16"/>
                        </w:rPr>
                        <w:t>sector  %</w:t>
                      </w:r>
                      <w:proofErr w:type="gramEnd"/>
                      <w:r>
                        <w:rPr>
                          <w:sz w:val="16"/>
                          <w:szCs w:val="16"/>
                        </w:rPr>
                        <w:t xml:space="preserve"> reliance on fees and charges</w:t>
                      </w:r>
                    </w:p>
                  </w:txbxContent>
                </v:textbox>
              </v:shape>
            </w:pict>
          </mc:Fallback>
        </mc:AlternateContent>
      </w:r>
      <w:r>
        <w:rPr>
          <w:noProof/>
          <w:lang w:eastAsia="en-GB"/>
        </w:rPr>
        <mc:AlternateContent>
          <mc:Choice Requires="wps">
            <w:drawing>
              <wp:anchor distT="0" distB="0" distL="114299" distR="114299" simplePos="0" relativeHeight="251661312" behindDoc="0" locked="0" layoutInCell="1" allowOverlap="1" wp14:anchorId="7E3ADF63" wp14:editId="3398E130">
                <wp:simplePos x="0" y="0"/>
                <wp:positionH relativeFrom="column">
                  <wp:posOffset>609599</wp:posOffset>
                </wp:positionH>
                <wp:positionV relativeFrom="paragraph">
                  <wp:posOffset>895350</wp:posOffset>
                </wp:positionV>
                <wp:extent cx="0" cy="1418590"/>
                <wp:effectExtent l="95250" t="38100" r="57150"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4185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w14:anchorId="76246CF9" id="_x0000_t32" coordsize="21600,21600" o:spt="32" o:oned="t" path="m,l21600,21600e" filled="f">
                <v:path arrowok="t" fillok="f" o:connecttype="none"/>
                <o:lock v:ext="edit" shapetype="t"/>
              </v:shapetype>
              <v:shape id="Straight Arrow Connector 4" o:spid="_x0000_s1026" type="#_x0000_t32" style="position:absolute;margin-left:48pt;margin-top:70.5pt;width:0;height:111.7pt;flip:y;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" strokecolor="#4579b8 [3044]">
                <v:stroke endarrow="open"/>
                <o:lock v:ext="edit" shapetype="f"/>
              </v:shape>
            </w:pict>
          </mc:Fallback>
        </mc:AlternateContent>
      </w:r>
      <w:r>
        <w:rPr>
          <w:noProof/>
          <w:lang w:eastAsia="en-GB"/>
        </w:rPr>
        <mc:AlternateContent>
          <mc:Choice Requires="wps">
            <w:drawing>
              <wp:anchor distT="0" distB="0" distL="114300" distR="114300" simplePos="0" relativeHeight="251663360" behindDoc="0" locked="0" layoutInCell="1" allowOverlap="1" wp14:anchorId="0B03AA9C" wp14:editId="26B4D0AE">
                <wp:simplePos x="0" y="0"/>
                <wp:positionH relativeFrom="column">
                  <wp:posOffset>152400</wp:posOffset>
                </wp:positionH>
                <wp:positionV relativeFrom="paragraph">
                  <wp:posOffset>323850</wp:posOffset>
                </wp:positionV>
                <wp:extent cx="800100" cy="5238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34D66F" w14:textId="77777777" w:rsidR="005A6843" w:rsidRPr="00E526B1" w:rsidRDefault="005A6843" w:rsidP="00751929">
                            <w:pPr>
                              <w:rPr>
                                <w:sz w:val="16"/>
                                <w:szCs w:val="16"/>
                              </w:rPr>
                            </w:pPr>
                            <w:r w:rsidRPr="00E526B1">
                              <w:rPr>
                                <w:sz w:val="16"/>
                                <w:szCs w:val="16"/>
                              </w:rPr>
                              <w:t>Private share in health spending</w:t>
                            </w:r>
                          </w:p>
                          <w:p w14:paraId="4C13519E" w14:textId="77777777" w:rsidR="005A6843" w:rsidRPr="00E526B1" w:rsidRDefault="005A6843" w:rsidP="0075192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3AA9C" id="Text Box 6" o:spid="_x0000_s1028" type="#_x0000_t202" style="position:absolute;margin-left:12pt;margin-top:25.5pt;width:63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" fillcolor="white [3201]" stroked="f" strokeweight=".5pt">
                <v:path arrowok="t"/>
                <v:textbox>
                  <w:txbxContent>
                    <w:p w14:paraId="7E34D66F" w14:textId="77777777" w:rsidR="005A6843" w:rsidRPr="00E526B1" w:rsidRDefault="005A6843" w:rsidP="00751929">
                      <w:pPr>
                        <w:rPr>
                          <w:sz w:val="16"/>
                          <w:szCs w:val="16"/>
                        </w:rPr>
                      </w:pPr>
                      <w:r w:rsidRPr="00E526B1">
                        <w:rPr>
                          <w:sz w:val="16"/>
                          <w:szCs w:val="16"/>
                        </w:rPr>
                        <w:t>Private share in health spending</w:t>
                      </w:r>
                    </w:p>
                    <w:p w14:paraId="4C13519E" w14:textId="77777777" w:rsidR="005A6843" w:rsidRPr="00E526B1" w:rsidRDefault="005A6843" w:rsidP="00751929">
                      <w:pPr>
                        <w:rPr>
                          <w:sz w:val="16"/>
                          <w:szCs w:val="16"/>
                        </w:rPr>
                      </w:pP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01B66AEC" wp14:editId="4E308CB1">
                <wp:simplePos x="0" y="0"/>
                <wp:positionH relativeFrom="column">
                  <wp:posOffset>609600</wp:posOffset>
                </wp:positionH>
                <wp:positionV relativeFrom="paragraph">
                  <wp:posOffset>1676400</wp:posOffset>
                </wp:positionV>
                <wp:extent cx="1562100" cy="638175"/>
                <wp:effectExtent l="0" t="38100" r="57150" b="285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62100" cy="638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495A87" id="Straight Arrow Connector 5" o:spid="_x0000_s1026" type="#_x0000_t32" style="position:absolute;margin-left:48pt;margin-top:132pt;width:123pt;height:50.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" strokecolor="#4579b8 [3044]">
                <v:stroke endarrow="open"/>
                <o:lock v:ext="edit" shapetype="f"/>
              </v:shape>
            </w:pict>
          </mc:Fallback>
        </mc:AlternateContent>
      </w:r>
      <w:r>
        <w:rPr>
          <w:noProof/>
          <w:lang w:eastAsia="en-GB"/>
        </w:rPr>
        <mc:AlternateContent>
          <mc:Choice Requires="wps">
            <w:drawing>
              <wp:anchor distT="0" distB="0" distL="114300" distR="114300" simplePos="0" relativeHeight="251660288" behindDoc="0" locked="0" layoutInCell="1" allowOverlap="1" wp14:anchorId="37923B8B" wp14:editId="00031ACB">
                <wp:simplePos x="0" y="0"/>
                <wp:positionH relativeFrom="column">
                  <wp:posOffset>609600</wp:posOffset>
                </wp:positionH>
                <wp:positionV relativeFrom="paragraph">
                  <wp:posOffset>2314575</wp:posOffset>
                </wp:positionV>
                <wp:extent cx="1704975" cy="552450"/>
                <wp:effectExtent l="0" t="0" r="85725" b="762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552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9F223D" id="Straight Arrow Connector 3" o:spid="_x0000_s1026" type="#_x0000_t32" style="position:absolute;margin-left:48pt;margin-top:182.25pt;width:134.2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" strokecolor="#4579b8 [3044]">
                <v:stroke endarrow="open"/>
                <o:lock v:ext="edit" shapetype="f"/>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2278250" wp14:editId="10BF031F">
                <wp:simplePos x="0" y="0"/>
                <wp:positionH relativeFrom="column">
                  <wp:posOffset>0</wp:posOffset>
                </wp:positionH>
                <wp:positionV relativeFrom="paragraph">
                  <wp:posOffset>95250</wp:posOffset>
                </wp:positionV>
                <wp:extent cx="3409950" cy="30003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9950" cy="3000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4BB1A1" w14:textId="77777777" w:rsidR="005A6843" w:rsidRDefault="005A6843" w:rsidP="007519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2278250" id="Text Box 1" o:spid="_x0000_s1029" type="#_x0000_t202" style="position:absolute;margin-left:0;margin-top:7.5pt;width:268.5pt;height:2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" fillcolor="white [3201]" strokeweight=".5pt">
                <v:path arrowok="t"/>
                <v:textbox>
                  <w:txbxContent>
                    <w:p w14:paraId="4E4BB1A1" w14:textId="77777777" w:rsidR="005A6843" w:rsidRDefault="005A6843" w:rsidP="00751929"/>
                  </w:txbxContent>
                </v:textbox>
              </v:shape>
            </w:pict>
          </mc:Fallback>
        </mc:AlternateContent>
      </w:r>
    </w:p>
    <w:p w14:paraId="0C39C41A" w14:textId="77777777" w:rsidR="003C01D8" w:rsidRPr="00A84F8C" w:rsidRDefault="003C01D8" w:rsidP="003C01D8"/>
    <w:p w14:paraId="1F24CB6D" w14:textId="77777777" w:rsidR="003C01D8" w:rsidRPr="00A84F8C" w:rsidRDefault="003C01D8" w:rsidP="003C01D8">
      <w:pPr>
        <w:rPr>
          <w:b/>
          <w:sz w:val="24"/>
          <w:szCs w:val="24"/>
        </w:rPr>
      </w:pPr>
    </w:p>
    <w:p w14:paraId="619CCDFE" w14:textId="77777777" w:rsidR="003C01D8" w:rsidRPr="00A84F8C" w:rsidRDefault="003C01D8" w:rsidP="003C01D8">
      <w:pPr>
        <w:rPr>
          <w:b/>
          <w:sz w:val="24"/>
          <w:szCs w:val="24"/>
        </w:rPr>
      </w:pPr>
      <w:r w:rsidRPr="00A84F8C">
        <w:rPr>
          <w:b/>
          <w:sz w:val="24"/>
          <w:szCs w:val="24"/>
        </w:rPr>
        <w:t>Illustrative cases</w:t>
      </w:r>
    </w:p>
    <w:p w14:paraId="5797685B" w14:textId="77777777" w:rsidR="00751929" w:rsidRPr="00A84F8C" w:rsidRDefault="00751929" w:rsidP="003C01D8">
      <w:pPr>
        <w:rPr>
          <w:b/>
          <w:sz w:val="24"/>
          <w:szCs w:val="24"/>
        </w:rPr>
      </w:pPr>
    </w:p>
    <w:p w14:paraId="668B5827" w14:textId="77777777" w:rsidR="00751929" w:rsidRPr="00A84F8C" w:rsidRDefault="00751929" w:rsidP="003C01D8">
      <w:pPr>
        <w:rPr>
          <w:b/>
          <w:sz w:val="24"/>
          <w:szCs w:val="24"/>
        </w:rPr>
      </w:pPr>
    </w:p>
    <w:p w14:paraId="0AC1BBFE" w14:textId="77777777" w:rsidR="00751929" w:rsidRPr="00A84F8C" w:rsidRDefault="00751929" w:rsidP="003C01D8">
      <w:pPr>
        <w:rPr>
          <w:b/>
          <w:sz w:val="24"/>
          <w:szCs w:val="24"/>
        </w:rPr>
      </w:pPr>
    </w:p>
    <w:p w14:paraId="4555C15C" w14:textId="77777777" w:rsidR="00751929" w:rsidRPr="00A84F8C" w:rsidRDefault="00751929" w:rsidP="003C01D8">
      <w:pPr>
        <w:rPr>
          <w:b/>
          <w:sz w:val="24"/>
          <w:szCs w:val="24"/>
        </w:rPr>
      </w:pPr>
    </w:p>
    <w:p w14:paraId="05E7C835" w14:textId="77777777" w:rsidR="00751929" w:rsidRPr="00A84F8C" w:rsidRDefault="00751929" w:rsidP="003C01D8">
      <w:pPr>
        <w:rPr>
          <w:b/>
          <w:sz w:val="24"/>
          <w:szCs w:val="24"/>
        </w:rPr>
      </w:pPr>
    </w:p>
    <w:p w14:paraId="27F84E4E" w14:textId="77777777" w:rsidR="00751929" w:rsidRPr="00A84F8C" w:rsidRDefault="00751929" w:rsidP="003C01D8">
      <w:pPr>
        <w:rPr>
          <w:b/>
          <w:sz w:val="24"/>
          <w:szCs w:val="24"/>
        </w:rPr>
      </w:pPr>
    </w:p>
    <w:p w14:paraId="7BE0D0E3" w14:textId="77777777" w:rsidR="002D556E" w:rsidRPr="002D556E" w:rsidRDefault="002D556E" w:rsidP="00751929">
      <w:pPr>
        <w:rPr>
          <w:b/>
          <w:sz w:val="28"/>
          <w:szCs w:val="28"/>
        </w:rPr>
      </w:pPr>
      <w:r>
        <w:rPr>
          <w:b/>
          <w:sz w:val="28"/>
          <w:szCs w:val="28"/>
        </w:rPr>
        <w:t>An emergent typology: five types of private sector in mixed systems</w:t>
      </w:r>
    </w:p>
    <w:p w14:paraId="7ABA8A66" w14:textId="77777777" w:rsidR="003C01D8" w:rsidRPr="00882BEA" w:rsidRDefault="003C01D8" w:rsidP="00103EEE">
      <w:pPr>
        <w:rPr>
          <w:b/>
        </w:rPr>
      </w:pPr>
      <w:r w:rsidRPr="00A84F8C">
        <w:t xml:space="preserve">We </w:t>
      </w:r>
      <w:r w:rsidR="00B81F53">
        <w:t xml:space="preserve">demonstrate the use of </w:t>
      </w:r>
      <w:r w:rsidRPr="00A84F8C">
        <w:t xml:space="preserve">this approach to </w:t>
      </w:r>
      <w:r w:rsidRPr="00882BEA">
        <w:t>measurement and classification</w:t>
      </w:r>
      <w:r w:rsidR="00751929" w:rsidRPr="00882BEA">
        <w:t xml:space="preserve"> </w:t>
      </w:r>
      <w:r w:rsidR="00B81F53" w:rsidRPr="00882BEA">
        <w:t>by generating an initial typology of five key types of private sector in mixed systems</w:t>
      </w:r>
      <w:r w:rsidR="00457BB4" w:rsidRPr="00882BEA">
        <w:t>. In the absence of global comparative data for dimensions 2 and 3, we illustrate</w:t>
      </w:r>
      <w:r w:rsidR="00B81F53" w:rsidRPr="00882BEA">
        <w:t xml:space="preserve"> each </w:t>
      </w:r>
      <w:r w:rsidR="00457BB4" w:rsidRPr="00882BEA">
        <w:t xml:space="preserve">type </w:t>
      </w:r>
      <w:r w:rsidR="00CD2739" w:rsidRPr="00882BEA">
        <w:t>with</w:t>
      </w:r>
      <w:r w:rsidR="00457BB4" w:rsidRPr="00882BEA">
        <w:t xml:space="preserve"> one </w:t>
      </w:r>
      <w:r w:rsidR="00B81F53" w:rsidRPr="00882BEA">
        <w:t>or more country cases</w:t>
      </w:r>
      <w:r w:rsidR="00CD2739" w:rsidRPr="00882BEA">
        <w:t xml:space="preserve"> using a range of data sources</w:t>
      </w:r>
      <w:r w:rsidR="007B3E98" w:rsidRPr="00882BEA">
        <w:t>. The following list refers to the data in Table 1 for the three dimensions except where stated.</w:t>
      </w:r>
    </w:p>
    <w:p w14:paraId="615C67A9" w14:textId="070C4E90" w:rsidR="003C01D8" w:rsidRPr="00882BEA" w:rsidRDefault="00F440BB" w:rsidP="003C01D8">
      <w:pPr>
        <w:pStyle w:val="ListParagraph"/>
        <w:numPr>
          <w:ilvl w:val="0"/>
          <w:numId w:val="2"/>
        </w:numPr>
        <w:spacing w:after="0"/>
      </w:pPr>
      <w:r w:rsidRPr="00882BEA">
        <w:rPr>
          <w:b/>
        </w:rPr>
        <w:t>A</w:t>
      </w:r>
      <w:r w:rsidR="00B81F53" w:rsidRPr="00882BEA">
        <w:rPr>
          <w:b/>
        </w:rPr>
        <w:t xml:space="preserve"> </w:t>
      </w:r>
      <w:r w:rsidR="003C01D8" w:rsidRPr="00882BEA">
        <w:rPr>
          <w:b/>
        </w:rPr>
        <w:t>dominant private sector: India and Nigeria</w:t>
      </w:r>
      <w:r w:rsidR="00B81F53" w:rsidRPr="00882BEA">
        <w:t xml:space="preserve"> : </w:t>
      </w:r>
      <w:r w:rsidR="003C01D8" w:rsidRPr="00882BEA">
        <w:t>globally</w:t>
      </w:r>
      <w:r w:rsidR="006630DD" w:rsidRPr="00882BEA">
        <w:t xml:space="preserve"> </w:t>
      </w:r>
      <w:r w:rsidR="00B0353C" w:rsidRPr="00882BEA">
        <w:t xml:space="preserve">very </w:t>
      </w:r>
      <w:r w:rsidR="006630DD" w:rsidRPr="00882BEA">
        <w:t xml:space="preserve">high shares of </w:t>
      </w:r>
      <w:r w:rsidR="009C5884" w:rsidRPr="00882BEA">
        <w:t>OOP</w:t>
      </w:r>
      <w:r w:rsidR="00B0353C" w:rsidRPr="00882BEA">
        <w:t xml:space="preserve"> in total </w:t>
      </w:r>
      <w:r w:rsidR="006630DD" w:rsidRPr="00882BEA">
        <w:t>health expenditure</w:t>
      </w:r>
      <w:r w:rsidR="009C5884" w:rsidRPr="00882BEA">
        <w:t xml:space="preserve">; </w:t>
      </w:r>
      <w:r w:rsidR="006630DD" w:rsidRPr="00882BEA">
        <w:t xml:space="preserve">a </w:t>
      </w:r>
      <w:r w:rsidR="003C01D8" w:rsidRPr="00882BEA">
        <w:t xml:space="preserve">private sector </w:t>
      </w:r>
      <w:r w:rsidR="006630DD" w:rsidRPr="00882BEA">
        <w:t xml:space="preserve">dominating activity in </w:t>
      </w:r>
      <w:r w:rsidR="009C5884" w:rsidRPr="00882BEA">
        <w:t xml:space="preserve">both </w:t>
      </w:r>
      <w:r w:rsidR="006630DD" w:rsidRPr="00882BEA">
        <w:t xml:space="preserve">primary and secondary care; </w:t>
      </w:r>
      <w:r w:rsidR="003C01D8" w:rsidRPr="00882BEA">
        <w:t xml:space="preserve"> </w:t>
      </w:r>
      <w:r w:rsidR="007B3E98" w:rsidRPr="00882BEA">
        <w:t xml:space="preserve">and </w:t>
      </w:r>
      <w:r w:rsidR="00D60AF4" w:rsidRPr="00882BEA">
        <w:t xml:space="preserve">deteriorated </w:t>
      </w:r>
      <w:r w:rsidR="00D82A70" w:rsidRPr="00882BEA">
        <w:t xml:space="preserve">public sectors </w:t>
      </w:r>
      <w:r w:rsidR="00D60AF4" w:rsidRPr="00882BEA">
        <w:t xml:space="preserve">(Section 1) </w:t>
      </w:r>
      <w:r w:rsidR="00D82A70" w:rsidRPr="00882BEA">
        <w:t xml:space="preserve">with </w:t>
      </w:r>
      <w:r w:rsidR="00E64B39" w:rsidRPr="00882BEA">
        <w:t>varying</w:t>
      </w:r>
      <w:r w:rsidR="007B3E98" w:rsidRPr="00882BEA">
        <w:t xml:space="preserve"> </w:t>
      </w:r>
      <w:r w:rsidR="003C01D8" w:rsidRPr="00882BEA">
        <w:t xml:space="preserve">reliance </w:t>
      </w:r>
      <w:r w:rsidR="00B81F53" w:rsidRPr="00882BEA">
        <w:t>on</w:t>
      </w:r>
      <w:r w:rsidR="003C01D8" w:rsidRPr="00882BEA">
        <w:t xml:space="preserve"> fee payment</w:t>
      </w:r>
      <w:r w:rsidR="00B81F53" w:rsidRPr="00882BEA">
        <w:t>s</w:t>
      </w:r>
      <w:r w:rsidR="003C01D8" w:rsidRPr="00882BEA">
        <w:t xml:space="preserve">. </w:t>
      </w:r>
    </w:p>
    <w:p w14:paraId="31019AEF" w14:textId="77777777" w:rsidR="006630DD" w:rsidRPr="00882BEA" w:rsidRDefault="003C01D8" w:rsidP="003C01D8">
      <w:pPr>
        <w:pStyle w:val="ListParagraph"/>
        <w:numPr>
          <w:ilvl w:val="0"/>
          <w:numId w:val="2"/>
        </w:numPr>
        <w:spacing w:after="0"/>
      </w:pPr>
      <w:r w:rsidRPr="00882BEA">
        <w:rPr>
          <w:b/>
        </w:rPr>
        <w:t xml:space="preserve">A </w:t>
      </w:r>
      <w:r w:rsidR="006630DD" w:rsidRPr="00882BEA">
        <w:rPr>
          <w:b/>
        </w:rPr>
        <w:t xml:space="preserve">non-commercialised </w:t>
      </w:r>
      <w:r w:rsidRPr="00882BEA">
        <w:rPr>
          <w:b/>
        </w:rPr>
        <w:t xml:space="preserve">public sector </w:t>
      </w:r>
      <w:r w:rsidR="002F76AF" w:rsidRPr="00882BEA">
        <w:rPr>
          <w:b/>
        </w:rPr>
        <w:t>and complementary private sector</w:t>
      </w:r>
      <w:r w:rsidRPr="00882BEA">
        <w:rPr>
          <w:b/>
        </w:rPr>
        <w:t>: Sri Lanka and Thailand</w:t>
      </w:r>
      <w:r w:rsidRPr="00882BEA">
        <w:t xml:space="preserve">: moderate to </w:t>
      </w:r>
      <w:r w:rsidR="006630DD" w:rsidRPr="00882BEA">
        <w:t xml:space="preserve">low private </w:t>
      </w:r>
      <w:r w:rsidRPr="00882BEA">
        <w:t>expenditure</w:t>
      </w:r>
      <w:r w:rsidR="00BD00B4" w:rsidRPr="00882BEA">
        <w:t xml:space="preserve"> shares</w:t>
      </w:r>
      <w:r w:rsidR="00E75975" w:rsidRPr="00882BEA">
        <w:t>, mainly OOP</w:t>
      </w:r>
      <w:r w:rsidRPr="00882BEA">
        <w:t xml:space="preserve">; </w:t>
      </w:r>
      <w:r w:rsidR="00D82A70" w:rsidRPr="00882BEA">
        <w:t xml:space="preserve">moderate private share of primary care and low private share of hospital care; </w:t>
      </w:r>
      <w:r w:rsidR="00751929" w:rsidRPr="00882BEA">
        <w:t xml:space="preserve">very </w:t>
      </w:r>
      <w:r w:rsidRPr="00882BEA">
        <w:t xml:space="preserve">low </w:t>
      </w:r>
      <w:r w:rsidR="006630DD" w:rsidRPr="00882BEA">
        <w:t xml:space="preserve">or </w:t>
      </w:r>
      <w:r w:rsidR="00A353BF" w:rsidRPr="00882BEA">
        <w:t>no</w:t>
      </w:r>
      <w:r w:rsidR="006630DD" w:rsidRPr="00882BEA">
        <w:t xml:space="preserve"> </w:t>
      </w:r>
      <w:r w:rsidR="00CC42A9" w:rsidRPr="00882BEA">
        <w:t xml:space="preserve">public sector </w:t>
      </w:r>
      <w:r w:rsidRPr="00882BEA">
        <w:t>fees</w:t>
      </w:r>
      <w:r w:rsidR="006630DD" w:rsidRPr="00882BEA">
        <w:t xml:space="preserve">. </w:t>
      </w:r>
    </w:p>
    <w:p w14:paraId="25A182D1" w14:textId="77777777" w:rsidR="00B81F53" w:rsidRPr="00882BEA" w:rsidRDefault="003C01D8" w:rsidP="003C01D8">
      <w:pPr>
        <w:pStyle w:val="ListParagraph"/>
        <w:numPr>
          <w:ilvl w:val="0"/>
          <w:numId w:val="2"/>
        </w:numPr>
        <w:spacing w:after="0"/>
      </w:pPr>
      <w:r w:rsidRPr="00882BEA">
        <w:rPr>
          <w:b/>
        </w:rPr>
        <w:t xml:space="preserve">A private sector </w:t>
      </w:r>
      <w:r w:rsidR="002F76AF" w:rsidRPr="00882BEA">
        <w:rPr>
          <w:b/>
        </w:rPr>
        <w:t>at the top of</w:t>
      </w:r>
      <w:r w:rsidRPr="00882BEA">
        <w:rPr>
          <w:b/>
        </w:rPr>
        <w:t xml:space="preserve"> a stratified system: Argentina and South Africa</w:t>
      </w:r>
      <w:r w:rsidR="00B0353C" w:rsidRPr="00882BEA">
        <w:t xml:space="preserve">: </w:t>
      </w:r>
      <w:r w:rsidR="00F440BB" w:rsidRPr="00882BEA">
        <w:t xml:space="preserve">relatively </w:t>
      </w:r>
      <w:r w:rsidR="00B0353C" w:rsidRPr="00882BEA">
        <w:t xml:space="preserve">high shares of private </w:t>
      </w:r>
      <w:r w:rsidR="00E75975" w:rsidRPr="00882BEA">
        <w:t xml:space="preserve">and social </w:t>
      </w:r>
      <w:r w:rsidR="00B0353C" w:rsidRPr="00882BEA">
        <w:t>insurance</w:t>
      </w:r>
      <w:r w:rsidR="00E75975" w:rsidRPr="00882BEA">
        <w:t xml:space="preserve"> in health spending</w:t>
      </w:r>
      <w:r w:rsidR="00B0353C" w:rsidRPr="00882BEA">
        <w:t xml:space="preserve">; </w:t>
      </w:r>
      <w:r w:rsidR="00E75975" w:rsidRPr="00882BEA">
        <w:t xml:space="preserve">substantial </w:t>
      </w:r>
      <w:r w:rsidRPr="00882BEA">
        <w:t>private sector</w:t>
      </w:r>
      <w:r w:rsidR="00E75975" w:rsidRPr="00882BEA">
        <w:t xml:space="preserve"> activity in secondary and primary care alongside</w:t>
      </w:r>
      <w:r w:rsidRPr="00882BEA">
        <w:t xml:space="preserve"> </w:t>
      </w:r>
      <w:r w:rsidR="00E75975" w:rsidRPr="00882BEA">
        <w:t xml:space="preserve">low </w:t>
      </w:r>
      <w:r w:rsidRPr="00882BEA">
        <w:t>public sector</w:t>
      </w:r>
      <w:r w:rsidR="00B0353C" w:rsidRPr="00882BEA">
        <w:t xml:space="preserve"> </w:t>
      </w:r>
      <w:r w:rsidR="00A353BF" w:rsidRPr="00882BEA">
        <w:t>reliance on charges</w:t>
      </w:r>
      <w:r w:rsidRPr="00882BEA">
        <w:t xml:space="preserve">. </w:t>
      </w:r>
    </w:p>
    <w:p w14:paraId="4024440C" w14:textId="1C225C15" w:rsidR="003C01D8" w:rsidRPr="00882BEA" w:rsidRDefault="003C01D8" w:rsidP="003C01D8">
      <w:pPr>
        <w:pStyle w:val="ListParagraph"/>
        <w:numPr>
          <w:ilvl w:val="0"/>
          <w:numId w:val="2"/>
        </w:numPr>
        <w:spacing w:after="0"/>
      </w:pPr>
      <w:r w:rsidRPr="00882BEA">
        <w:rPr>
          <w:b/>
        </w:rPr>
        <w:t>A highly commercialised public sector: China</w:t>
      </w:r>
      <w:r w:rsidR="003E6BC7" w:rsidRPr="00882BEA">
        <w:t xml:space="preserve">: </w:t>
      </w:r>
      <w:r w:rsidR="00B0353C" w:rsidRPr="00882BEA">
        <w:t xml:space="preserve"> relatively high</w:t>
      </w:r>
      <w:r w:rsidRPr="00882BEA">
        <w:t xml:space="preserve"> but</w:t>
      </w:r>
      <w:r w:rsidR="00CD2739" w:rsidRPr="00882BEA">
        <w:t xml:space="preserve"> now</w:t>
      </w:r>
      <w:r w:rsidRPr="00882BEA">
        <w:t xml:space="preserve"> </w:t>
      </w:r>
      <w:r w:rsidR="00B0353C" w:rsidRPr="00882BEA">
        <w:t xml:space="preserve">falling </w:t>
      </w:r>
      <w:r w:rsidR="000E3958" w:rsidRPr="00882BEA">
        <w:t xml:space="preserve">share </w:t>
      </w:r>
      <w:r w:rsidRPr="00882BEA">
        <w:t xml:space="preserve">of </w:t>
      </w:r>
      <w:r w:rsidR="00B0353C" w:rsidRPr="00882BEA">
        <w:t xml:space="preserve">private </w:t>
      </w:r>
      <w:r w:rsidR="003E6BC7" w:rsidRPr="00882BEA">
        <w:t xml:space="preserve">expenditure; </w:t>
      </w:r>
      <w:r w:rsidRPr="00882BEA">
        <w:t>small private sector</w:t>
      </w:r>
      <w:r w:rsidR="000E3958" w:rsidRPr="00882BEA">
        <w:t>;</w:t>
      </w:r>
      <w:r w:rsidRPr="00882BEA">
        <w:t xml:space="preserve"> a commercialised public sector </w:t>
      </w:r>
      <w:r w:rsidR="00B0353C" w:rsidRPr="00882BEA">
        <w:t>heavily reliant on fees and charges</w:t>
      </w:r>
      <w:r w:rsidR="00CA0D6C" w:rsidRPr="00882BEA">
        <w:t>,</w:t>
      </w:r>
      <w:r w:rsidR="00B0353C" w:rsidRPr="00882BEA">
        <w:t xml:space="preserve"> </w:t>
      </w:r>
      <w:r w:rsidRPr="00882BEA">
        <w:t>now being reformed</w:t>
      </w:r>
      <w:r w:rsidR="007B3E98" w:rsidRPr="00882BEA">
        <w:t xml:space="preserve"> (Section 4)</w:t>
      </w:r>
      <w:r w:rsidRPr="00882BEA">
        <w:t xml:space="preserve">. </w:t>
      </w:r>
    </w:p>
    <w:p w14:paraId="4A535C12" w14:textId="77777777" w:rsidR="006140E2" w:rsidRPr="00882BEA" w:rsidRDefault="00191049" w:rsidP="007B3E98">
      <w:pPr>
        <w:pStyle w:val="ListParagraph"/>
        <w:numPr>
          <w:ilvl w:val="0"/>
          <w:numId w:val="2"/>
        </w:numPr>
        <w:spacing w:after="0"/>
        <w:sectPr w:rsidR="006140E2" w:rsidRPr="00882BEA">
          <w:footerReference w:type="default" r:id="rId9"/>
          <w:pgSz w:w="11906" w:h="16838"/>
          <w:pgMar w:top="1440" w:right="1440" w:bottom="1440" w:left="1440" w:header="708" w:footer="708" w:gutter="0"/>
          <w:cols w:space="708"/>
          <w:docGrid w:linePitch="360"/>
        </w:sectPr>
      </w:pPr>
      <w:r w:rsidRPr="00882BEA">
        <w:rPr>
          <w:b/>
        </w:rPr>
        <w:t xml:space="preserve">Stratified private sectors shaped by </w:t>
      </w:r>
      <w:r w:rsidR="00CD2739" w:rsidRPr="00882BEA">
        <w:rPr>
          <w:b/>
        </w:rPr>
        <w:t xml:space="preserve">low incomes and </w:t>
      </w:r>
      <w:r w:rsidRPr="00882BEA">
        <w:rPr>
          <w:b/>
        </w:rPr>
        <w:t>public sector characteristics</w:t>
      </w:r>
      <w:r w:rsidR="003C01D8" w:rsidRPr="00882BEA">
        <w:t xml:space="preserve">: </w:t>
      </w:r>
      <w:r w:rsidR="00CD2739" w:rsidRPr="00882BEA">
        <w:rPr>
          <w:b/>
        </w:rPr>
        <w:t xml:space="preserve">Tanzania, Ghana, Malawi and Nepal: </w:t>
      </w:r>
      <w:r w:rsidR="00187CAB" w:rsidRPr="00882BEA">
        <w:t xml:space="preserve">high private </w:t>
      </w:r>
      <w:r w:rsidR="007E7A0D" w:rsidRPr="00882BEA">
        <w:t xml:space="preserve">expenditure </w:t>
      </w:r>
      <w:r w:rsidR="00187CAB" w:rsidRPr="00882BEA">
        <w:t xml:space="preserve">shares </w:t>
      </w:r>
      <w:r w:rsidR="00D40A5E" w:rsidRPr="00882BEA">
        <w:t>in</w:t>
      </w:r>
      <w:r w:rsidR="007E7A0D" w:rsidRPr="00882BEA">
        <w:t xml:space="preserve"> 2000, </w:t>
      </w:r>
      <w:r w:rsidR="00187CAB" w:rsidRPr="00882BEA">
        <w:t xml:space="preserve">mainly </w:t>
      </w:r>
      <w:r w:rsidR="007E7A0D" w:rsidRPr="00882BEA">
        <w:t xml:space="preserve">declining </w:t>
      </w:r>
      <w:r w:rsidR="00187CAB" w:rsidRPr="00882BEA">
        <w:t>recently; stratified</w:t>
      </w:r>
      <w:r w:rsidR="005C3B1C" w:rsidRPr="00882BEA">
        <w:t xml:space="preserve"> </w:t>
      </w:r>
      <w:r w:rsidR="005E331D" w:rsidRPr="00882BEA">
        <w:t>private sector with hospitals and clinics for the better o</w:t>
      </w:r>
      <w:r w:rsidR="009D1C39" w:rsidRPr="00882BEA">
        <w:t>ff</w:t>
      </w:r>
      <w:r w:rsidR="005E331D" w:rsidRPr="00882BEA">
        <w:t xml:space="preserve"> and </w:t>
      </w:r>
      <w:r w:rsidR="009D1C39" w:rsidRPr="00882BEA">
        <w:t xml:space="preserve">substantial </w:t>
      </w:r>
      <w:r w:rsidR="005E331D" w:rsidRPr="00882BEA">
        <w:t xml:space="preserve">use of private </w:t>
      </w:r>
      <w:r w:rsidR="00187CAB" w:rsidRPr="00882BEA">
        <w:t>shops particularly by poor</w:t>
      </w:r>
      <w:r w:rsidR="005E331D" w:rsidRPr="00882BEA">
        <w:t xml:space="preserve">; </w:t>
      </w:r>
      <w:r w:rsidR="00AC7FD4" w:rsidRPr="00882BEA">
        <w:t xml:space="preserve">varying </w:t>
      </w:r>
      <w:r w:rsidR="003C01D8" w:rsidRPr="00882BEA">
        <w:t xml:space="preserve">public sector </w:t>
      </w:r>
      <w:r w:rsidR="009505EE" w:rsidRPr="00882BEA">
        <w:t xml:space="preserve">reliance </w:t>
      </w:r>
      <w:r w:rsidR="00800A3D" w:rsidRPr="00882BEA">
        <w:t xml:space="preserve">on </w:t>
      </w:r>
      <w:r w:rsidR="003C01D8" w:rsidRPr="00882BEA">
        <w:t>fees and charges</w:t>
      </w:r>
      <w:r w:rsidR="00187CAB" w:rsidRPr="00882BEA">
        <w:t xml:space="preserve"> influencing private sector demand</w:t>
      </w:r>
      <w:r w:rsidR="007B3E98" w:rsidRPr="00882BEA">
        <w:t xml:space="preserve"> (Section 5).</w:t>
      </w:r>
    </w:p>
    <w:p w14:paraId="7B0004F6" w14:textId="77777777" w:rsidR="00AF09F0" w:rsidRPr="00A84F8C" w:rsidRDefault="00E60C66" w:rsidP="00AF09F0">
      <w:r>
        <w:rPr>
          <w:b/>
        </w:rPr>
        <w:t>Table 1:</w:t>
      </w:r>
      <w:r w:rsidR="00AF09F0" w:rsidRPr="00A84F8C">
        <w:rPr>
          <w:b/>
        </w:rPr>
        <w:t xml:space="preserve">  Key indicators for each dimension: case study countries.</w:t>
      </w:r>
    </w:p>
    <w:tbl>
      <w:tblPr>
        <w:tblStyle w:val="TableGrid"/>
        <w:tblW w:w="13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9"/>
        <w:gridCol w:w="1347"/>
        <w:gridCol w:w="1348"/>
        <w:gridCol w:w="1654"/>
        <w:gridCol w:w="1560"/>
        <w:gridCol w:w="992"/>
        <w:gridCol w:w="1276"/>
        <w:gridCol w:w="883"/>
        <w:gridCol w:w="1101"/>
        <w:gridCol w:w="709"/>
        <w:gridCol w:w="1276"/>
      </w:tblGrid>
      <w:tr w:rsidR="003D3955" w:rsidRPr="00A84F8C" w14:paraId="33646B3C" w14:textId="77777777" w:rsidTr="003D3955">
        <w:tc>
          <w:tcPr>
            <w:tcW w:w="1429" w:type="dxa"/>
            <w:tcBorders>
              <w:top w:val="single" w:sz="4" w:space="0" w:color="auto"/>
              <w:bottom w:val="single" w:sz="4" w:space="0" w:color="auto"/>
            </w:tcBorders>
          </w:tcPr>
          <w:p w14:paraId="4ACB5D2F" w14:textId="77777777" w:rsidR="003D3955" w:rsidRPr="00A84F8C" w:rsidRDefault="003D3955" w:rsidP="00AF09F0">
            <w:pPr>
              <w:rPr>
                <w:b/>
              </w:rPr>
            </w:pPr>
            <w:r w:rsidRPr="00A84F8C">
              <w:rPr>
                <w:b/>
              </w:rPr>
              <w:t>Dimension</w:t>
            </w:r>
          </w:p>
        </w:tc>
        <w:tc>
          <w:tcPr>
            <w:tcW w:w="5909" w:type="dxa"/>
            <w:gridSpan w:val="4"/>
            <w:tcBorders>
              <w:top w:val="single" w:sz="4" w:space="0" w:color="auto"/>
              <w:bottom w:val="single" w:sz="4" w:space="0" w:color="auto"/>
            </w:tcBorders>
          </w:tcPr>
          <w:p w14:paraId="76C2ABD0" w14:textId="77777777" w:rsidR="003D3955" w:rsidRPr="00A84F8C" w:rsidRDefault="003D3955" w:rsidP="00C812F9">
            <w:pPr>
              <w:jc w:val="center"/>
              <w:rPr>
                <w:b/>
              </w:rPr>
            </w:pPr>
            <w:r w:rsidRPr="00A84F8C">
              <w:rPr>
                <w:b/>
              </w:rPr>
              <w:t>Dimension 1</w:t>
            </w:r>
          </w:p>
        </w:tc>
        <w:tc>
          <w:tcPr>
            <w:tcW w:w="4252" w:type="dxa"/>
            <w:gridSpan w:val="4"/>
            <w:tcBorders>
              <w:top w:val="single" w:sz="4" w:space="0" w:color="auto"/>
              <w:bottom w:val="single" w:sz="4" w:space="0" w:color="auto"/>
            </w:tcBorders>
          </w:tcPr>
          <w:p w14:paraId="25463F4E" w14:textId="77777777" w:rsidR="003D3955" w:rsidRPr="00A84F8C" w:rsidRDefault="003D3955" w:rsidP="00C812F9">
            <w:pPr>
              <w:jc w:val="center"/>
              <w:rPr>
                <w:b/>
              </w:rPr>
            </w:pPr>
            <w:r w:rsidRPr="00A84F8C">
              <w:rPr>
                <w:b/>
              </w:rPr>
              <w:t>Dimension 2</w:t>
            </w:r>
          </w:p>
        </w:tc>
        <w:tc>
          <w:tcPr>
            <w:tcW w:w="1985" w:type="dxa"/>
            <w:gridSpan w:val="2"/>
            <w:tcBorders>
              <w:top w:val="single" w:sz="4" w:space="0" w:color="auto"/>
              <w:bottom w:val="single" w:sz="4" w:space="0" w:color="auto"/>
            </w:tcBorders>
          </w:tcPr>
          <w:p w14:paraId="12F746D1" w14:textId="77777777" w:rsidR="003D3955" w:rsidRPr="00A84F8C" w:rsidRDefault="003D3955" w:rsidP="00C812F9">
            <w:pPr>
              <w:jc w:val="center"/>
              <w:rPr>
                <w:b/>
              </w:rPr>
            </w:pPr>
            <w:r w:rsidRPr="00A84F8C">
              <w:rPr>
                <w:b/>
              </w:rPr>
              <w:t>Dimension 3</w:t>
            </w:r>
          </w:p>
        </w:tc>
      </w:tr>
      <w:tr w:rsidR="003D3955" w:rsidRPr="00A84F8C" w14:paraId="78F25630" w14:textId="77777777" w:rsidTr="003D3955">
        <w:tc>
          <w:tcPr>
            <w:tcW w:w="1429" w:type="dxa"/>
            <w:tcBorders>
              <w:top w:val="single" w:sz="4" w:space="0" w:color="auto"/>
              <w:bottom w:val="single" w:sz="4" w:space="0" w:color="auto"/>
            </w:tcBorders>
          </w:tcPr>
          <w:p w14:paraId="2E72B630" w14:textId="77777777" w:rsidR="003D3955" w:rsidRPr="00A84F8C" w:rsidRDefault="003D3955" w:rsidP="00AF09F0">
            <w:pPr>
              <w:rPr>
                <w:b/>
              </w:rPr>
            </w:pPr>
            <w:r w:rsidRPr="00A84F8C">
              <w:rPr>
                <w:b/>
              </w:rPr>
              <w:t>Column no.</w:t>
            </w:r>
          </w:p>
        </w:tc>
        <w:tc>
          <w:tcPr>
            <w:tcW w:w="1347" w:type="dxa"/>
            <w:tcBorders>
              <w:top w:val="single" w:sz="4" w:space="0" w:color="auto"/>
              <w:bottom w:val="single" w:sz="4" w:space="0" w:color="auto"/>
            </w:tcBorders>
          </w:tcPr>
          <w:p w14:paraId="01C41DAB" w14:textId="77777777" w:rsidR="003D3955" w:rsidRPr="00A84F8C" w:rsidRDefault="003D3955" w:rsidP="00C812F9">
            <w:pPr>
              <w:jc w:val="center"/>
              <w:rPr>
                <w:b/>
              </w:rPr>
            </w:pPr>
            <w:r w:rsidRPr="00A84F8C">
              <w:rPr>
                <w:b/>
              </w:rPr>
              <w:t>(1)</w:t>
            </w:r>
          </w:p>
        </w:tc>
        <w:tc>
          <w:tcPr>
            <w:tcW w:w="1348" w:type="dxa"/>
            <w:tcBorders>
              <w:top w:val="single" w:sz="4" w:space="0" w:color="auto"/>
              <w:bottom w:val="single" w:sz="4" w:space="0" w:color="auto"/>
            </w:tcBorders>
          </w:tcPr>
          <w:p w14:paraId="5BB2CE82" w14:textId="77777777" w:rsidR="003D3955" w:rsidRPr="00A84F8C" w:rsidRDefault="003D3955" w:rsidP="00C812F9">
            <w:pPr>
              <w:jc w:val="center"/>
              <w:rPr>
                <w:b/>
              </w:rPr>
            </w:pPr>
            <w:r w:rsidRPr="00A84F8C">
              <w:rPr>
                <w:b/>
              </w:rPr>
              <w:t>(2)</w:t>
            </w:r>
          </w:p>
        </w:tc>
        <w:tc>
          <w:tcPr>
            <w:tcW w:w="1654" w:type="dxa"/>
            <w:tcBorders>
              <w:top w:val="single" w:sz="4" w:space="0" w:color="auto"/>
              <w:bottom w:val="single" w:sz="4" w:space="0" w:color="auto"/>
            </w:tcBorders>
          </w:tcPr>
          <w:p w14:paraId="75A94391" w14:textId="77777777" w:rsidR="003D3955" w:rsidRPr="00A84F8C" w:rsidRDefault="003D3955" w:rsidP="00C812F9">
            <w:pPr>
              <w:jc w:val="center"/>
              <w:rPr>
                <w:b/>
              </w:rPr>
            </w:pPr>
            <w:r w:rsidRPr="00A84F8C">
              <w:rPr>
                <w:b/>
              </w:rPr>
              <w:t>(3)</w:t>
            </w:r>
          </w:p>
        </w:tc>
        <w:tc>
          <w:tcPr>
            <w:tcW w:w="1560" w:type="dxa"/>
            <w:tcBorders>
              <w:top w:val="single" w:sz="4" w:space="0" w:color="auto"/>
              <w:bottom w:val="single" w:sz="4" w:space="0" w:color="auto"/>
            </w:tcBorders>
          </w:tcPr>
          <w:p w14:paraId="7992098F" w14:textId="77777777" w:rsidR="003D3955" w:rsidRPr="00A84F8C" w:rsidRDefault="003D3955" w:rsidP="00C812F9">
            <w:pPr>
              <w:jc w:val="center"/>
              <w:rPr>
                <w:b/>
              </w:rPr>
            </w:pPr>
            <w:r w:rsidRPr="00A84F8C">
              <w:rPr>
                <w:b/>
              </w:rPr>
              <w:t>(4)</w:t>
            </w:r>
          </w:p>
        </w:tc>
        <w:tc>
          <w:tcPr>
            <w:tcW w:w="2268" w:type="dxa"/>
            <w:gridSpan w:val="2"/>
            <w:tcBorders>
              <w:top w:val="single" w:sz="4" w:space="0" w:color="auto"/>
              <w:bottom w:val="single" w:sz="4" w:space="0" w:color="auto"/>
            </w:tcBorders>
          </w:tcPr>
          <w:p w14:paraId="7285A4C3" w14:textId="77777777" w:rsidR="003D3955" w:rsidRPr="00A84F8C" w:rsidRDefault="003D3955" w:rsidP="00C812F9">
            <w:pPr>
              <w:jc w:val="center"/>
              <w:rPr>
                <w:b/>
              </w:rPr>
            </w:pPr>
            <w:r w:rsidRPr="00A84F8C">
              <w:rPr>
                <w:b/>
              </w:rPr>
              <w:t>(5)</w:t>
            </w:r>
          </w:p>
        </w:tc>
        <w:tc>
          <w:tcPr>
            <w:tcW w:w="1984" w:type="dxa"/>
            <w:gridSpan w:val="2"/>
            <w:tcBorders>
              <w:top w:val="single" w:sz="4" w:space="0" w:color="auto"/>
              <w:bottom w:val="single" w:sz="4" w:space="0" w:color="auto"/>
            </w:tcBorders>
          </w:tcPr>
          <w:p w14:paraId="0C0EC9C0" w14:textId="77777777" w:rsidR="003D3955" w:rsidRPr="00A84F8C" w:rsidRDefault="003D3955" w:rsidP="00C812F9">
            <w:pPr>
              <w:jc w:val="center"/>
              <w:rPr>
                <w:b/>
              </w:rPr>
            </w:pPr>
            <w:r w:rsidRPr="00A84F8C">
              <w:rPr>
                <w:b/>
              </w:rPr>
              <w:t>(6)</w:t>
            </w:r>
          </w:p>
        </w:tc>
        <w:tc>
          <w:tcPr>
            <w:tcW w:w="1985" w:type="dxa"/>
            <w:gridSpan w:val="2"/>
            <w:tcBorders>
              <w:top w:val="single" w:sz="4" w:space="0" w:color="auto"/>
              <w:bottom w:val="single" w:sz="4" w:space="0" w:color="auto"/>
            </w:tcBorders>
          </w:tcPr>
          <w:p w14:paraId="2E5E766F" w14:textId="77777777" w:rsidR="003D3955" w:rsidRPr="00A84F8C" w:rsidRDefault="003D3955" w:rsidP="00C812F9">
            <w:pPr>
              <w:jc w:val="center"/>
              <w:rPr>
                <w:b/>
              </w:rPr>
            </w:pPr>
            <w:r w:rsidRPr="00A84F8C">
              <w:rPr>
                <w:b/>
              </w:rPr>
              <w:t>(7)</w:t>
            </w:r>
          </w:p>
        </w:tc>
      </w:tr>
      <w:tr w:rsidR="003D3955" w:rsidRPr="00A84F8C" w14:paraId="28C11015" w14:textId="77777777" w:rsidTr="003D3955">
        <w:tc>
          <w:tcPr>
            <w:tcW w:w="1429" w:type="dxa"/>
            <w:tcBorders>
              <w:top w:val="single" w:sz="4" w:space="0" w:color="auto"/>
              <w:bottom w:val="single" w:sz="4" w:space="0" w:color="auto"/>
            </w:tcBorders>
            <w:vAlign w:val="bottom"/>
          </w:tcPr>
          <w:p w14:paraId="03E175CA" w14:textId="77777777" w:rsidR="003D3955" w:rsidRPr="00A84F8C" w:rsidRDefault="003D3955" w:rsidP="00C812F9">
            <w:pPr>
              <w:rPr>
                <w:b/>
              </w:rPr>
            </w:pPr>
            <w:r w:rsidRPr="00A84F8C">
              <w:rPr>
                <w:b/>
              </w:rPr>
              <w:t>Country</w:t>
            </w:r>
          </w:p>
        </w:tc>
        <w:tc>
          <w:tcPr>
            <w:tcW w:w="1347" w:type="dxa"/>
            <w:tcBorders>
              <w:top w:val="single" w:sz="4" w:space="0" w:color="auto"/>
              <w:bottom w:val="single" w:sz="4" w:space="0" w:color="auto"/>
            </w:tcBorders>
            <w:vAlign w:val="bottom"/>
          </w:tcPr>
          <w:p w14:paraId="7B706DB8" w14:textId="77777777" w:rsidR="003D3955" w:rsidRPr="00A84F8C" w:rsidRDefault="003D3955" w:rsidP="00C812F9">
            <w:pPr>
              <w:jc w:val="center"/>
              <w:rPr>
                <w:b/>
              </w:rPr>
            </w:pPr>
            <w:r w:rsidRPr="00A84F8C">
              <w:rPr>
                <w:b/>
              </w:rPr>
              <w:t>Private % total health expenditure (THE) 2000</w:t>
            </w:r>
          </w:p>
        </w:tc>
        <w:tc>
          <w:tcPr>
            <w:tcW w:w="1348" w:type="dxa"/>
            <w:tcBorders>
              <w:top w:val="single" w:sz="4" w:space="0" w:color="auto"/>
              <w:bottom w:val="single" w:sz="4" w:space="0" w:color="auto"/>
            </w:tcBorders>
            <w:vAlign w:val="bottom"/>
          </w:tcPr>
          <w:p w14:paraId="232E138C" w14:textId="77777777" w:rsidR="003D3955" w:rsidRPr="00A84F8C" w:rsidRDefault="003D3955" w:rsidP="00C812F9">
            <w:pPr>
              <w:jc w:val="center"/>
              <w:rPr>
                <w:b/>
              </w:rPr>
            </w:pPr>
            <w:r w:rsidRPr="00A84F8C">
              <w:rPr>
                <w:b/>
              </w:rPr>
              <w:t>Private % tot</w:t>
            </w:r>
            <w:r>
              <w:rPr>
                <w:b/>
              </w:rPr>
              <w:t>al health expenditure (THE) 2012</w:t>
            </w:r>
          </w:p>
        </w:tc>
        <w:tc>
          <w:tcPr>
            <w:tcW w:w="1654" w:type="dxa"/>
            <w:tcBorders>
              <w:top w:val="single" w:sz="4" w:space="0" w:color="auto"/>
              <w:bottom w:val="single" w:sz="4" w:space="0" w:color="auto"/>
            </w:tcBorders>
            <w:vAlign w:val="bottom"/>
          </w:tcPr>
          <w:p w14:paraId="39B0A452" w14:textId="77777777" w:rsidR="003D3955" w:rsidRPr="00A84F8C" w:rsidRDefault="003D3955" w:rsidP="00C812F9">
            <w:pPr>
              <w:jc w:val="center"/>
              <w:rPr>
                <w:b/>
              </w:rPr>
            </w:pPr>
            <w:r w:rsidRPr="00A84F8C">
              <w:rPr>
                <w:b/>
              </w:rPr>
              <w:t>OOP payments % total health expenditure</w:t>
            </w:r>
          </w:p>
          <w:p w14:paraId="489CBC0C" w14:textId="77777777" w:rsidR="003D3955" w:rsidRPr="00A84F8C" w:rsidRDefault="003D3955" w:rsidP="00C812F9">
            <w:pPr>
              <w:jc w:val="center"/>
              <w:rPr>
                <w:b/>
              </w:rPr>
            </w:pPr>
            <w:r>
              <w:rPr>
                <w:b/>
              </w:rPr>
              <w:t>(THE) 2012</w:t>
            </w:r>
          </w:p>
        </w:tc>
        <w:tc>
          <w:tcPr>
            <w:tcW w:w="1560" w:type="dxa"/>
            <w:tcBorders>
              <w:top w:val="single" w:sz="4" w:space="0" w:color="auto"/>
              <w:bottom w:val="single" w:sz="4" w:space="0" w:color="auto"/>
            </w:tcBorders>
            <w:vAlign w:val="bottom"/>
          </w:tcPr>
          <w:p w14:paraId="3FE70588" w14:textId="77777777" w:rsidR="003D3955" w:rsidRPr="00A84F8C" w:rsidRDefault="003D3955" w:rsidP="00C812F9">
            <w:pPr>
              <w:jc w:val="center"/>
              <w:rPr>
                <w:b/>
              </w:rPr>
            </w:pPr>
            <w:r w:rsidRPr="00A84F8C">
              <w:rPr>
                <w:b/>
              </w:rPr>
              <w:t>Prepaid pl</w:t>
            </w:r>
            <w:r>
              <w:rPr>
                <w:b/>
              </w:rPr>
              <w:t>ans + social security % THE 2012</w:t>
            </w:r>
          </w:p>
        </w:tc>
        <w:tc>
          <w:tcPr>
            <w:tcW w:w="2268" w:type="dxa"/>
            <w:gridSpan w:val="2"/>
            <w:tcBorders>
              <w:top w:val="single" w:sz="4" w:space="0" w:color="auto"/>
              <w:bottom w:val="single" w:sz="4" w:space="0" w:color="auto"/>
            </w:tcBorders>
            <w:vAlign w:val="bottom"/>
          </w:tcPr>
          <w:p w14:paraId="1CCBFED6" w14:textId="77777777" w:rsidR="003D3955" w:rsidRPr="00A84F8C" w:rsidRDefault="003D3955" w:rsidP="003D3955">
            <w:pPr>
              <w:jc w:val="center"/>
              <w:rPr>
                <w:b/>
              </w:rPr>
            </w:pPr>
            <w:r w:rsidRPr="00A84F8C">
              <w:rPr>
                <w:b/>
              </w:rPr>
              <w:t>Private sector % total out-patient visits/ primary care visits/ all visits</w:t>
            </w:r>
            <w:r>
              <w:rPr>
                <w:b/>
              </w:rPr>
              <w:t xml:space="preserve"> </w:t>
            </w:r>
            <w:r w:rsidRPr="00A84F8C">
              <w:rPr>
                <w:b/>
              </w:rPr>
              <w:t>(date)</w:t>
            </w:r>
          </w:p>
        </w:tc>
        <w:tc>
          <w:tcPr>
            <w:tcW w:w="1984" w:type="dxa"/>
            <w:gridSpan w:val="2"/>
            <w:tcBorders>
              <w:top w:val="single" w:sz="4" w:space="0" w:color="auto"/>
              <w:bottom w:val="single" w:sz="4" w:space="0" w:color="auto"/>
            </w:tcBorders>
            <w:vAlign w:val="bottom"/>
          </w:tcPr>
          <w:p w14:paraId="58FC15B5" w14:textId="77777777" w:rsidR="003D3955" w:rsidRPr="00A84F8C" w:rsidRDefault="003D3955" w:rsidP="00C812F9">
            <w:pPr>
              <w:jc w:val="center"/>
              <w:rPr>
                <w:b/>
              </w:rPr>
            </w:pPr>
            <w:r w:rsidRPr="00A84F8C">
              <w:rPr>
                <w:b/>
              </w:rPr>
              <w:t>Private sector % inpatient episodes / hospital visits</w:t>
            </w:r>
          </w:p>
          <w:p w14:paraId="59D9A2E9" w14:textId="77777777" w:rsidR="003D3955" w:rsidRPr="00A84F8C" w:rsidRDefault="003D3955" w:rsidP="00C812F9">
            <w:pPr>
              <w:jc w:val="center"/>
              <w:rPr>
                <w:b/>
              </w:rPr>
            </w:pPr>
            <w:r w:rsidRPr="00A84F8C">
              <w:rPr>
                <w:b/>
              </w:rPr>
              <w:t>(date)</w:t>
            </w:r>
          </w:p>
        </w:tc>
        <w:tc>
          <w:tcPr>
            <w:tcW w:w="1985" w:type="dxa"/>
            <w:gridSpan w:val="2"/>
            <w:tcBorders>
              <w:top w:val="single" w:sz="4" w:space="0" w:color="auto"/>
              <w:bottom w:val="single" w:sz="4" w:space="0" w:color="auto"/>
            </w:tcBorders>
            <w:vAlign w:val="bottom"/>
          </w:tcPr>
          <w:p w14:paraId="0D4B9C8A" w14:textId="77777777" w:rsidR="003D3955" w:rsidRPr="00A84F8C" w:rsidRDefault="003D3955" w:rsidP="00C812F9">
            <w:pPr>
              <w:jc w:val="center"/>
              <w:rPr>
                <w:b/>
              </w:rPr>
            </w:pPr>
            <w:r w:rsidRPr="00A84F8C">
              <w:rPr>
                <w:b/>
              </w:rPr>
              <w:t>OOP payments % total public facilities’ expenditure (date)</w:t>
            </w:r>
          </w:p>
        </w:tc>
      </w:tr>
      <w:tr w:rsidR="003D3955" w:rsidRPr="00A84F8C" w14:paraId="32A1A43D" w14:textId="77777777" w:rsidTr="003D3955">
        <w:tc>
          <w:tcPr>
            <w:tcW w:w="1429" w:type="dxa"/>
            <w:tcBorders>
              <w:top w:val="single" w:sz="4" w:space="0" w:color="auto"/>
            </w:tcBorders>
          </w:tcPr>
          <w:p w14:paraId="1192C714" w14:textId="77777777" w:rsidR="003D3955" w:rsidRPr="00A84F8C" w:rsidRDefault="003D3955" w:rsidP="00AF09F0">
            <w:pPr>
              <w:rPr>
                <w:b/>
              </w:rPr>
            </w:pPr>
            <w:r w:rsidRPr="00A84F8C">
              <w:rPr>
                <w:b/>
              </w:rPr>
              <w:t xml:space="preserve">India </w:t>
            </w:r>
          </w:p>
        </w:tc>
        <w:tc>
          <w:tcPr>
            <w:tcW w:w="1347" w:type="dxa"/>
            <w:tcBorders>
              <w:top w:val="single" w:sz="4" w:space="0" w:color="auto"/>
            </w:tcBorders>
          </w:tcPr>
          <w:p w14:paraId="46EC0EC0" w14:textId="77777777" w:rsidR="003D3955" w:rsidRPr="00A84F8C" w:rsidRDefault="003D3955" w:rsidP="00AF09F0">
            <w:pPr>
              <w:jc w:val="right"/>
            </w:pPr>
            <w:r w:rsidRPr="00A84F8C">
              <w:t xml:space="preserve"> 7</w:t>
            </w:r>
            <w:r>
              <w:t>3</w:t>
            </w:r>
          </w:p>
        </w:tc>
        <w:tc>
          <w:tcPr>
            <w:tcW w:w="1348" w:type="dxa"/>
            <w:tcBorders>
              <w:top w:val="single" w:sz="4" w:space="0" w:color="auto"/>
            </w:tcBorders>
          </w:tcPr>
          <w:p w14:paraId="68FEB656" w14:textId="77777777" w:rsidR="003D3955" w:rsidRPr="00A84F8C" w:rsidRDefault="003D3955" w:rsidP="00AF09F0">
            <w:pPr>
              <w:jc w:val="right"/>
            </w:pPr>
            <w:r>
              <w:t>70</w:t>
            </w:r>
          </w:p>
        </w:tc>
        <w:tc>
          <w:tcPr>
            <w:tcW w:w="1654" w:type="dxa"/>
            <w:tcBorders>
              <w:top w:val="single" w:sz="4" w:space="0" w:color="auto"/>
            </w:tcBorders>
            <w:vAlign w:val="bottom"/>
          </w:tcPr>
          <w:p w14:paraId="0EA5F23D" w14:textId="77777777" w:rsidR="003D3955" w:rsidRDefault="003D3955">
            <w:pPr>
              <w:jc w:val="right"/>
              <w:rPr>
                <w:rFonts w:ascii="Calibri" w:hAnsi="Calibri"/>
                <w:color w:val="000000"/>
              </w:rPr>
            </w:pPr>
            <w:r>
              <w:rPr>
                <w:rFonts w:ascii="Calibri" w:hAnsi="Calibri"/>
                <w:color w:val="000000"/>
              </w:rPr>
              <w:t>61</w:t>
            </w:r>
          </w:p>
        </w:tc>
        <w:tc>
          <w:tcPr>
            <w:tcW w:w="1560" w:type="dxa"/>
            <w:tcBorders>
              <w:top w:val="single" w:sz="4" w:space="0" w:color="auto"/>
            </w:tcBorders>
            <w:vAlign w:val="bottom"/>
          </w:tcPr>
          <w:p w14:paraId="0F4ABE58" w14:textId="77777777" w:rsidR="003D3955" w:rsidRDefault="003D3955">
            <w:pPr>
              <w:jc w:val="right"/>
              <w:rPr>
                <w:rFonts w:ascii="Calibri" w:hAnsi="Calibri"/>
                <w:color w:val="000000"/>
              </w:rPr>
            </w:pPr>
            <w:r>
              <w:rPr>
                <w:rFonts w:ascii="Calibri" w:hAnsi="Calibri"/>
                <w:color w:val="000000"/>
              </w:rPr>
              <w:t>4</w:t>
            </w:r>
          </w:p>
        </w:tc>
        <w:tc>
          <w:tcPr>
            <w:tcW w:w="992" w:type="dxa"/>
            <w:tcBorders>
              <w:top w:val="single" w:sz="4" w:space="0" w:color="auto"/>
            </w:tcBorders>
          </w:tcPr>
          <w:p w14:paraId="4174E194" w14:textId="77777777" w:rsidR="003D3955" w:rsidRPr="00A84F8C" w:rsidRDefault="003D3955" w:rsidP="00C812F9">
            <w:pPr>
              <w:jc w:val="right"/>
            </w:pPr>
            <w:r>
              <w:t>75</w:t>
            </w:r>
            <w:r w:rsidRPr="00A84F8C">
              <w:t xml:space="preserve"> </w:t>
            </w:r>
          </w:p>
        </w:tc>
        <w:tc>
          <w:tcPr>
            <w:tcW w:w="1276" w:type="dxa"/>
            <w:tcBorders>
              <w:top w:val="single" w:sz="4" w:space="0" w:color="auto"/>
            </w:tcBorders>
            <w:vAlign w:val="center"/>
          </w:tcPr>
          <w:p w14:paraId="3BFEB9AA" w14:textId="77777777" w:rsidR="003D3955" w:rsidRPr="00A84F8C" w:rsidRDefault="003D3955" w:rsidP="00651337">
            <w:r w:rsidRPr="00A84F8C">
              <w:t>(20</w:t>
            </w:r>
            <w:r>
              <w:t>1</w:t>
            </w:r>
            <w:r w:rsidRPr="00A84F8C">
              <w:t>4)</w:t>
            </w:r>
          </w:p>
        </w:tc>
        <w:tc>
          <w:tcPr>
            <w:tcW w:w="883" w:type="dxa"/>
            <w:tcBorders>
              <w:top w:val="single" w:sz="4" w:space="0" w:color="auto"/>
            </w:tcBorders>
          </w:tcPr>
          <w:p w14:paraId="362592DD" w14:textId="77777777" w:rsidR="003D3955" w:rsidRPr="00A84F8C" w:rsidRDefault="003D3955" w:rsidP="002F65EE">
            <w:pPr>
              <w:jc w:val="right"/>
            </w:pPr>
            <w:r w:rsidRPr="00A84F8C">
              <w:t>6</w:t>
            </w:r>
            <w:r>
              <w:t>2</w:t>
            </w:r>
            <w:r w:rsidRPr="00A84F8C">
              <w:t xml:space="preserve"> </w:t>
            </w:r>
          </w:p>
        </w:tc>
        <w:tc>
          <w:tcPr>
            <w:tcW w:w="1101" w:type="dxa"/>
            <w:tcBorders>
              <w:top w:val="single" w:sz="4" w:space="0" w:color="auto"/>
            </w:tcBorders>
            <w:vAlign w:val="center"/>
          </w:tcPr>
          <w:p w14:paraId="5A7FF589" w14:textId="77777777" w:rsidR="003D3955" w:rsidRPr="00A84F8C" w:rsidRDefault="003D3955" w:rsidP="00E60C66">
            <w:r w:rsidRPr="00A84F8C">
              <w:t>(20</w:t>
            </w:r>
            <w:r>
              <w:t>1</w:t>
            </w:r>
            <w:r w:rsidRPr="00A84F8C">
              <w:t>4)</w:t>
            </w:r>
          </w:p>
        </w:tc>
        <w:tc>
          <w:tcPr>
            <w:tcW w:w="709" w:type="dxa"/>
            <w:tcBorders>
              <w:top w:val="single" w:sz="4" w:space="0" w:color="auto"/>
            </w:tcBorders>
          </w:tcPr>
          <w:p w14:paraId="79FB6D05" w14:textId="77777777" w:rsidR="003D3955" w:rsidRPr="00A84F8C" w:rsidRDefault="003D3955" w:rsidP="00277754">
            <w:pPr>
              <w:jc w:val="right"/>
            </w:pPr>
            <w:r w:rsidRPr="00A84F8C">
              <w:t xml:space="preserve">  </w:t>
            </w:r>
            <w:r w:rsidR="00B02381">
              <w:t>2</w:t>
            </w:r>
            <w:r>
              <w:t xml:space="preserve"> </w:t>
            </w:r>
          </w:p>
        </w:tc>
        <w:tc>
          <w:tcPr>
            <w:tcW w:w="1276" w:type="dxa"/>
            <w:tcBorders>
              <w:top w:val="single" w:sz="4" w:space="0" w:color="auto"/>
            </w:tcBorders>
            <w:vAlign w:val="center"/>
          </w:tcPr>
          <w:p w14:paraId="3D925A5E" w14:textId="77777777" w:rsidR="003D3955" w:rsidRPr="00A84F8C" w:rsidRDefault="003D3955" w:rsidP="00277754">
            <w:r w:rsidRPr="00A84F8C">
              <w:t>(20</w:t>
            </w:r>
            <w:r>
              <w:t>1</w:t>
            </w:r>
            <w:r w:rsidRPr="00A84F8C">
              <w:t>4)</w:t>
            </w:r>
          </w:p>
        </w:tc>
      </w:tr>
      <w:tr w:rsidR="003D3955" w:rsidRPr="00A84F8C" w14:paraId="0036C6DA" w14:textId="77777777" w:rsidTr="003D3955">
        <w:tc>
          <w:tcPr>
            <w:tcW w:w="1429" w:type="dxa"/>
          </w:tcPr>
          <w:p w14:paraId="7E2674B3" w14:textId="77777777" w:rsidR="003D3955" w:rsidRPr="00A84F8C" w:rsidRDefault="003D3955" w:rsidP="00AF09F0">
            <w:pPr>
              <w:rPr>
                <w:b/>
              </w:rPr>
            </w:pPr>
            <w:r w:rsidRPr="00A84F8C">
              <w:rPr>
                <w:b/>
              </w:rPr>
              <w:t xml:space="preserve">Nigeria </w:t>
            </w:r>
          </w:p>
        </w:tc>
        <w:tc>
          <w:tcPr>
            <w:tcW w:w="1347" w:type="dxa"/>
          </w:tcPr>
          <w:p w14:paraId="2457EE3E" w14:textId="77777777" w:rsidR="003D3955" w:rsidRPr="00A84F8C" w:rsidRDefault="003D3955" w:rsidP="00AF09F0">
            <w:pPr>
              <w:jc w:val="right"/>
            </w:pPr>
            <w:r w:rsidRPr="00A84F8C">
              <w:t>67</w:t>
            </w:r>
          </w:p>
        </w:tc>
        <w:tc>
          <w:tcPr>
            <w:tcW w:w="1348" w:type="dxa"/>
          </w:tcPr>
          <w:p w14:paraId="5C5B73B3" w14:textId="77777777" w:rsidR="003D3955" w:rsidRPr="00A84F8C" w:rsidRDefault="003D3955" w:rsidP="00AF09F0">
            <w:pPr>
              <w:jc w:val="right"/>
            </w:pPr>
            <w:r>
              <w:t>67</w:t>
            </w:r>
          </w:p>
        </w:tc>
        <w:tc>
          <w:tcPr>
            <w:tcW w:w="1654" w:type="dxa"/>
            <w:vAlign w:val="bottom"/>
          </w:tcPr>
          <w:p w14:paraId="3B727631" w14:textId="77777777" w:rsidR="003D3955" w:rsidRDefault="003D3955">
            <w:pPr>
              <w:jc w:val="right"/>
              <w:rPr>
                <w:rFonts w:ascii="Calibri" w:hAnsi="Calibri"/>
                <w:color w:val="000000"/>
              </w:rPr>
            </w:pPr>
            <w:r>
              <w:rPr>
                <w:rFonts w:ascii="Calibri" w:hAnsi="Calibri"/>
                <w:color w:val="000000"/>
              </w:rPr>
              <w:t>64</w:t>
            </w:r>
          </w:p>
        </w:tc>
        <w:tc>
          <w:tcPr>
            <w:tcW w:w="1560" w:type="dxa"/>
            <w:vAlign w:val="bottom"/>
          </w:tcPr>
          <w:p w14:paraId="312CF950" w14:textId="77777777" w:rsidR="003D3955" w:rsidRDefault="003D3955">
            <w:pPr>
              <w:jc w:val="right"/>
              <w:rPr>
                <w:rFonts w:ascii="Calibri" w:hAnsi="Calibri"/>
                <w:color w:val="000000"/>
              </w:rPr>
            </w:pPr>
            <w:r>
              <w:rPr>
                <w:rFonts w:ascii="Calibri" w:hAnsi="Calibri"/>
                <w:color w:val="000000"/>
              </w:rPr>
              <w:t>2</w:t>
            </w:r>
          </w:p>
        </w:tc>
        <w:tc>
          <w:tcPr>
            <w:tcW w:w="992" w:type="dxa"/>
          </w:tcPr>
          <w:p w14:paraId="25653ECB" w14:textId="4613416E" w:rsidR="003D3955" w:rsidRPr="00A84F8C" w:rsidRDefault="00B84242" w:rsidP="00C812F9">
            <w:pPr>
              <w:jc w:val="right"/>
            </w:pPr>
            <w:r>
              <w:t xml:space="preserve"> </w:t>
            </w:r>
            <w:r w:rsidR="003D3955">
              <w:t>82</w:t>
            </w:r>
          </w:p>
        </w:tc>
        <w:tc>
          <w:tcPr>
            <w:tcW w:w="1276" w:type="dxa"/>
            <w:vAlign w:val="center"/>
          </w:tcPr>
          <w:p w14:paraId="3826A539" w14:textId="77777777" w:rsidR="003D3955" w:rsidRPr="00A84F8C" w:rsidRDefault="003D3955" w:rsidP="00E60C66">
            <w:r w:rsidRPr="00A84F8C">
              <w:t>(2008/9)</w:t>
            </w:r>
          </w:p>
        </w:tc>
        <w:tc>
          <w:tcPr>
            <w:tcW w:w="883" w:type="dxa"/>
          </w:tcPr>
          <w:p w14:paraId="3D9D4D61" w14:textId="7DF35757" w:rsidR="003D3955" w:rsidRPr="00A84F8C" w:rsidRDefault="00B84242" w:rsidP="00AF09F0">
            <w:pPr>
              <w:jc w:val="right"/>
            </w:pPr>
            <w:r>
              <w:t xml:space="preserve">    </w:t>
            </w:r>
            <w:r w:rsidR="003D3955" w:rsidRPr="00A84F8C">
              <w:t>n/a</w:t>
            </w:r>
          </w:p>
        </w:tc>
        <w:tc>
          <w:tcPr>
            <w:tcW w:w="1101" w:type="dxa"/>
            <w:vAlign w:val="center"/>
          </w:tcPr>
          <w:p w14:paraId="56AE5BA0" w14:textId="77777777" w:rsidR="003D3955" w:rsidRPr="00A84F8C" w:rsidRDefault="003D3955" w:rsidP="00E60C66"/>
        </w:tc>
        <w:tc>
          <w:tcPr>
            <w:tcW w:w="709" w:type="dxa"/>
          </w:tcPr>
          <w:p w14:paraId="79FDFDB6" w14:textId="77777777" w:rsidR="003D3955" w:rsidRPr="00A84F8C" w:rsidRDefault="003D3955" w:rsidP="00E60C66">
            <w:pPr>
              <w:jc w:val="right"/>
            </w:pPr>
            <w:r w:rsidRPr="00A84F8C">
              <w:t xml:space="preserve"> </w:t>
            </w:r>
            <w:r w:rsidRPr="006D3624">
              <w:t>64</w:t>
            </w:r>
            <w:r>
              <w:t xml:space="preserve"> </w:t>
            </w:r>
          </w:p>
        </w:tc>
        <w:tc>
          <w:tcPr>
            <w:tcW w:w="1276" w:type="dxa"/>
            <w:vAlign w:val="center"/>
          </w:tcPr>
          <w:p w14:paraId="1FFB213C" w14:textId="77777777" w:rsidR="003D3955" w:rsidRPr="00A84F8C" w:rsidRDefault="003D3955" w:rsidP="00E60C66">
            <w:r w:rsidRPr="00A84F8C">
              <w:t>(2005)</w:t>
            </w:r>
          </w:p>
        </w:tc>
      </w:tr>
      <w:tr w:rsidR="003D3955" w:rsidRPr="00A84F8C" w14:paraId="18E96DD2" w14:textId="77777777" w:rsidTr="003D3955">
        <w:tc>
          <w:tcPr>
            <w:tcW w:w="1429" w:type="dxa"/>
          </w:tcPr>
          <w:p w14:paraId="50775AAF" w14:textId="77777777" w:rsidR="003D3955" w:rsidRPr="00A84F8C" w:rsidRDefault="003D3955" w:rsidP="00AF09F0">
            <w:pPr>
              <w:rPr>
                <w:b/>
              </w:rPr>
            </w:pPr>
            <w:r w:rsidRPr="00A84F8C">
              <w:rPr>
                <w:b/>
              </w:rPr>
              <w:t>Sri Lanka</w:t>
            </w:r>
          </w:p>
        </w:tc>
        <w:tc>
          <w:tcPr>
            <w:tcW w:w="1347" w:type="dxa"/>
          </w:tcPr>
          <w:p w14:paraId="0DDEBBFA" w14:textId="77777777" w:rsidR="003D3955" w:rsidRPr="00A84F8C" w:rsidRDefault="003D3955" w:rsidP="00AF09F0">
            <w:pPr>
              <w:jc w:val="right"/>
            </w:pPr>
            <w:r w:rsidRPr="00A84F8C">
              <w:t>52</w:t>
            </w:r>
          </w:p>
        </w:tc>
        <w:tc>
          <w:tcPr>
            <w:tcW w:w="1348" w:type="dxa"/>
          </w:tcPr>
          <w:p w14:paraId="34DE23DD" w14:textId="77777777" w:rsidR="003D3955" w:rsidRPr="00A84F8C" w:rsidRDefault="003D3955" w:rsidP="00AF09F0">
            <w:pPr>
              <w:jc w:val="right"/>
            </w:pPr>
            <w:r>
              <w:t>61</w:t>
            </w:r>
          </w:p>
        </w:tc>
        <w:tc>
          <w:tcPr>
            <w:tcW w:w="1654" w:type="dxa"/>
            <w:vAlign w:val="bottom"/>
          </w:tcPr>
          <w:p w14:paraId="4912980C" w14:textId="77777777" w:rsidR="003D3955" w:rsidRDefault="003D3955">
            <w:pPr>
              <w:jc w:val="right"/>
              <w:rPr>
                <w:rFonts w:ascii="Calibri" w:hAnsi="Calibri"/>
                <w:color w:val="000000"/>
              </w:rPr>
            </w:pPr>
            <w:r>
              <w:rPr>
                <w:rFonts w:ascii="Calibri" w:hAnsi="Calibri"/>
                <w:color w:val="000000"/>
              </w:rPr>
              <w:t>51</w:t>
            </w:r>
          </w:p>
        </w:tc>
        <w:tc>
          <w:tcPr>
            <w:tcW w:w="1560" w:type="dxa"/>
            <w:vAlign w:val="bottom"/>
          </w:tcPr>
          <w:p w14:paraId="695FD821" w14:textId="77777777" w:rsidR="003D3955" w:rsidRDefault="003D3955">
            <w:pPr>
              <w:jc w:val="right"/>
              <w:rPr>
                <w:rFonts w:ascii="Calibri" w:hAnsi="Calibri"/>
                <w:color w:val="000000"/>
              </w:rPr>
            </w:pPr>
            <w:r>
              <w:rPr>
                <w:rFonts w:ascii="Calibri" w:hAnsi="Calibri"/>
                <w:color w:val="000000"/>
              </w:rPr>
              <w:t>3</w:t>
            </w:r>
          </w:p>
        </w:tc>
        <w:tc>
          <w:tcPr>
            <w:tcW w:w="992" w:type="dxa"/>
          </w:tcPr>
          <w:p w14:paraId="1CF346AD" w14:textId="77777777" w:rsidR="003D3955" w:rsidRPr="00E87549" w:rsidRDefault="003D3955" w:rsidP="00C812F9">
            <w:pPr>
              <w:jc w:val="right"/>
            </w:pPr>
            <w:r w:rsidRPr="00E87549">
              <w:t xml:space="preserve">50-60 </w:t>
            </w:r>
          </w:p>
        </w:tc>
        <w:tc>
          <w:tcPr>
            <w:tcW w:w="1276" w:type="dxa"/>
            <w:vAlign w:val="center"/>
          </w:tcPr>
          <w:p w14:paraId="3BEB28C6" w14:textId="77777777" w:rsidR="003D3955" w:rsidRPr="00E87549" w:rsidRDefault="003D3955" w:rsidP="00E60C66">
            <w:r w:rsidRPr="00E87549">
              <w:t>(2008)</w:t>
            </w:r>
          </w:p>
        </w:tc>
        <w:tc>
          <w:tcPr>
            <w:tcW w:w="883" w:type="dxa"/>
          </w:tcPr>
          <w:p w14:paraId="47880A2C" w14:textId="77777777" w:rsidR="003D3955" w:rsidRPr="00E87549" w:rsidRDefault="003D3955" w:rsidP="00E60C66">
            <w:pPr>
              <w:jc w:val="right"/>
            </w:pPr>
            <w:r w:rsidRPr="00E87549">
              <w:t xml:space="preserve">5-10  </w:t>
            </w:r>
          </w:p>
        </w:tc>
        <w:tc>
          <w:tcPr>
            <w:tcW w:w="1101" w:type="dxa"/>
            <w:vAlign w:val="center"/>
          </w:tcPr>
          <w:p w14:paraId="48FB1672" w14:textId="77777777" w:rsidR="003D3955" w:rsidRPr="00E87549" w:rsidRDefault="003D3955" w:rsidP="00E60C66">
            <w:r w:rsidRPr="00E87549">
              <w:t>(2008)</w:t>
            </w:r>
          </w:p>
        </w:tc>
        <w:tc>
          <w:tcPr>
            <w:tcW w:w="709" w:type="dxa"/>
          </w:tcPr>
          <w:p w14:paraId="6398F2CC" w14:textId="77777777" w:rsidR="003D3955" w:rsidRPr="00E87549" w:rsidRDefault="003D3955" w:rsidP="00E60C66">
            <w:pPr>
              <w:jc w:val="right"/>
            </w:pPr>
            <w:r w:rsidRPr="00E87549">
              <w:t xml:space="preserve">0 </w:t>
            </w:r>
          </w:p>
        </w:tc>
        <w:tc>
          <w:tcPr>
            <w:tcW w:w="1276" w:type="dxa"/>
            <w:vAlign w:val="center"/>
          </w:tcPr>
          <w:p w14:paraId="7DA75EB6" w14:textId="77777777" w:rsidR="003D3955" w:rsidRPr="00E87549" w:rsidRDefault="003D3955" w:rsidP="00E60C66">
            <w:r w:rsidRPr="00E87549">
              <w:t>(2008)</w:t>
            </w:r>
          </w:p>
        </w:tc>
      </w:tr>
      <w:tr w:rsidR="003D3955" w:rsidRPr="00A84F8C" w14:paraId="136AB206" w14:textId="77777777" w:rsidTr="003D3955">
        <w:tc>
          <w:tcPr>
            <w:tcW w:w="1429" w:type="dxa"/>
          </w:tcPr>
          <w:p w14:paraId="4E26D4F3" w14:textId="77777777" w:rsidR="003D3955" w:rsidRPr="00A84F8C" w:rsidRDefault="003D3955" w:rsidP="00AF09F0">
            <w:pPr>
              <w:rPr>
                <w:b/>
              </w:rPr>
            </w:pPr>
            <w:r w:rsidRPr="00A84F8C">
              <w:rPr>
                <w:b/>
              </w:rPr>
              <w:t>Thailand</w:t>
            </w:r>
          </w:p>
        </w:tc>
        <w:tc>
          <w:tcPr>
            <w:tcW w:w="1347" w:type="dxa"/>
          </w:tcPr>
          <w:p w14:paraId="42C448F1" w14:textId="77777777" w:rsidR="003D3955" w:rsidRPr="00A84F8C" w:rsidRDefault="003D3955" w:rsidP="00AF09F0">
            <w:pPr>
              <w:jc w:val="right"/>
            </w:pPr>
            <w:r w:rsidRPr="00A84F8C">
              <w:t>44</w:t>
            </w:r>
          </w:p>
        </w:tc>
        <w:tc>
          <w:tcPr>
            <w:tcW w:w="1348" w:type="dxa"/>
          </w:tcPr>
          <w:p w14:paraId="7F2F1725" w14:textId="77777777" w:rsidR="003D3955" w:rsidRPr="00A84F8C" w:rsidRDefault="003D3955" w:rsidP="00AF09F0">
            <w:pPr>
              <w:jc w:val="right"/>
            </w:pPr>
            <w:r>
              <w:t>21</w:t>
            </w:r>
          </w:p>
        </w:tc>
        <w:tc>
          <w:tcPr>
            <w:tcW w:w="1654" w:type="dxa"/>
            <w:vAlign w:val="bottom"/>
          </w:tcPr>
          <w:p w14:paraId="4C97DF3A" w14:textId="77777777" w:rsidR="003D3955" w:rsidRDefault="003D3955">
            <w:pPr>
              <w:jc w:val="right"/>
              <w:rPr>
                <w:rFonts w:ascii="Calibri" w:hAnsi="Calibri"/>
                <w:color w:val="000000"/>
              </w:rPr>
            </w:pPr>
            <w:r>
              <w:rPr>
                <w:rFonts w:ascii="Calibri" w:hAnsi="Calibri"/>
                <w:color w:val="000000"/>
              </w:rPr>
              <w:t>12</w:t>
            </w:r>
          </w:p>
        </w:tc>
        <w:tc>
          <w:tcPr>
            <w:tcW w:w="1560" w:type="dxa"/>
            <w:vAlign w:val="bottom"/>
          </w:tcPr>
          <w:p w14:paraId="795B866A" w14:textId="77777777" w:rsidR="003D3955" w:rsidRDefault="003D3955">
            <w:pPr>
              <w:jc w:val="right"/>
              <w:rPr>
                <w:rFonts w:ascii="Calibri" w:hAnsi="Calibri"/>
                <w:color w:val="000000"/>
              </w:rPr>
            </w:pPr>
            <w:r>
              <w:rPr>
                <w:rFonts w:ascii="Calibri" w:hAnsi="Calibri"/>
                <w:color w:val="000000"/>
              </w:rPr>
              <w:t>14</w:t>
            </w:r>
          </w:p>
        </w:tc>
        <w:tc>
          <w:tcPr>
            <w:tcW w:w="992" w:type="dxa"/>
          </w:tcPr>
          <w:p w14:paraId="47408240" w14:textId="77777777" w:rsidR="003D3955" w:rsidRPr="00A84F8C" w:rsidRDefault="003D3955" w:rsidP="00E60C66">
            <w:pPr>
              <w:jc w:val="right"/>
            </w:pPr>
            <w:r w:rsidRPr="00A84F8C">
              <w:t xml:space="preserve">34  </w:t>
            </w:r>
          </w:p>
        </w:tc>
        <w:tc>
          <w:tcPr>
            <w:tcW w:w="1276" w:type="dxa"/>
            <w:vAlign w:val="center"/>
          </w:tcPr>
          <w:p w14:paraId="10D1A0E7" w14:textId="77777777" w:rsidR="003D3955" w:rsidRPr="00A84F8C" w:rsidRDefault="003D3955" w:rsidP="00E60C66">
            <w:r w:rsidRPr="00A84F8C">
              <w:t>(2011)</w:t>
            </w:r>
          </w:p>
        </w:tc>
        <w:tc>
          <w:tcPr>
            <w:tcW w:w="883" w:type="dxa"/>
          </w:tcPr>
          <w:p w14:paraId="5516749D" w14:textId="77777777" w:rsidR="003D3955" w:rsidRPr="00A84F8C" w:rsidRDefault="003D3955" w:rsidP="00E60C66">
            <w:pPr>
              <w:jc w:val="right"/>
            </w:pPr>
            <w:r w:rsidRPr="00A84F8C">
              <w:t xml:space="preserve">10  </w:t>
            </w:r>
          </w:p>
        </w:tc>
        <w:tc>
          <w:tcPr>
            <w:tcW w:w="1101" w:type="dxa"/>
            <w:vAlign w:val="center"/>
          </w:tcPr>
          <w:p w14:paraId="59849BCD" w14:textId="77777777" w:rsidR="003D3955" w:rsidRPr="00A84F8C" w:rsidRDefault="003D3955" w:rsidP="00E60C66">
            <w:r w:rsidRPr="00A84F8C">
              <w:t>(2011)</w:t>
            </w:r>
          </w:p>
        </w:tc>
        <w:tc>
          <w:tcPr>
            <w:tcW w:w="709" w:type="dxa"/>
          </w:tcPr>
          <w:p w14:paraId="4F59EF79" w14:textId="77777777" w:rsidR="003D3955" w:rsidRPr="00A84F8C" w:rsidRDefault="003D3955" w:rsidP="00E60C66">
            <w:pPr>
              <w:jc w:val="right"/>
            </w:pPr>
            <w:r w:rsidRPr="00A84F8C">
              <w:t>10</w:t>
            </w:r>
            <w:r>
              <w:t xml:space="preserve"> </w:t>
            </w:r>
          </w:p>
        </w:tc>
        <w:tc>
          <w:tcPr>
            <w:tcW w:w="1276" w:type="dxa"/>
            <w:vAlign w:val="center"/>
          </w:tcPr>
          <w:p w14:paraId="4844D34B" w14:textId="77777777" w:rsidR="003D3955" w:rsidRPr="00A84F8C" w:rsidRDefault="003D3955" w:rsidP="00E60C66">
            <w:r w:rsidRPr="00A84F8C">
              <w:t>(2007)</w:t>
            </w:r>
          </w:p>
        </w:tc>
      </w:tr>
      <w:tr w:rsidR="003D3955" w:rsidRPr="00A84F8C" w14:paraId="6B6760D5" w14:textId="77777777" w:rsidTr="003D3955">
        <w:tc>
          <w:tcPr>
            <w:tcW w:w="1429" w:type="dxa"/>
          </w:tcPr>
          <w:p w14:paraId="7F3C587B" w14:textId="77777777" w:rsidR="003D3955" w:rsidRPr="00A84F8C" w:rsidRDefault="003D3955" w:rsidP="00AF09F0">
            <w:pPr>
              <w:rPr>
                <w:b/>
              </w:rPr>
            </w:pPr>
            <w:r w:rsidRPr="00A84F8C">
              <w:rPr>
                <w:b/>
              </w:rPr>
              <w:t>Argentina</w:t>
            </w:r>
          </w:p>
        </w:tc>
        <w:tc>
          <w:tcPr>
            <w:tcW w:w="1347" w:type="dxa"/>
          </w:tcPr>
          <w:p w14:paraId="491B71C0" w14:textId="77777777" w:rsidR="003D3955" w:rsidRPr="00A84F8C" w:rsidRDefault="003D3955" w:rsidP="00AF09F0">
            <w:pPr>
              <w:jc w:val="right"/>
            </w:pPr>
            <w:r>
              <w:t>46</w:t>
            </w:r>
          </w:p>
        </w:tc>
        <w:tc>
          <w:tcPr>
            <w:tcW w:w="1348" w:type="dxa"/>
          </w:tcPr>
          <w:p w14:paraId="3CE7B163" w14:textId="77777777" w:rsidR="003D3955" w:rsidRPr="00A84F8C" w:rsidRDefault="003D3955" w:rsidP="00AF09F0">
            <w:pPr>
              <w:jc w:val="right"/>
            </w:pPr>
            <w:r>
              <w:t>31</w:t>
            </w:r>
          </w:p>
        </w:tc>
        <w:tc>
          <w:tcPr>
            <w:tcW w:w="1654" w:type="dxa"/>
            <w:vAlign w:val="bottom"/>
          </w:tcPr>
          <w:p w14:paraId="1F8CE641" w14:textId="77777777" w:rsidR="003D3955" w:rsidRDefault="003D3955">
            <w:pPr>
              <w:jc w:val="right"/>
              <w:rPr>
                <w:rFonts w:ascii="Calibri" w:hAnsi="Calibri"/>
                <w:color w:val="000000"/>
              </w:rPr>
            </w:pPr>
            <w:r>
              <w:rPr>
                <w:rFonts w:ascii="Calibri" w:hAnsi="Calibri"/>
                <w:color w:val="000000"/>
              </w:rPr>
              <w:t>20</w:t>
            </w:r>
          </w:p>
        </w:tc>
        <w:tc>
          <w:tcPr>
            <w:tcW w:w="1560" w:type="dxa"/>
            <w:vAlign w:val="bottom"/>
          </w:tcPr>
          <w:p w14:paraId="7B6A036E" w14:textId="77777777" w:rsidR="003D3955" w:rsidRDefault="003D3955">
            <w:pPr>
              <w:jc w:val="right"/>
              <w:rPr>
                <w:rFonts w:ascii="Calibri" w:hAnsi="Calibri"/>
                <w:color w:val="000000"/>
              </w:rPr>
            </w:pPr>
            <w:r>
              <w:rPr>
                <w:rFonts w:ascii="Calibri" w:hAnsi="Calibri"/>
                <w:color w:val="000000"/>
              </w:rPr>
              <w:t>45</w:t>
            </w:r>
          </w:p>
        </w:tc>
        <w:tc>
          <w:tcPr>
            <w:tcW w:w="992" w:type="dxa"/>
            <w:shd w:val="clear" w:color="auto" w:fill="auto"/>
            <w:vAlign w:val="center"/>
          </w:tcPr>
          <w:p w14:paraId="2D129F87" w14:textId="77777777" w:rsidR="003D3955" w:rsidRPr="004F5790" w:rsidRDefault="003D3955" w:rsidP="00E60C66">
            <w:pPr>
              <w:jc w:val="right"/>
            </w:pPr>
            <w:r w:rsidRPr="004F5790">
              <w:rPr>
                <w:rFonts w:ascii="Calibri" w:hAnsi="Calibri"/>
              </w:rPr>
              <w:t xml:space="preserve">45 </w:t>
            </w:r>
          </w:p>
        </w:tc>
        <w:tc>
          <w:tcPr>
            <w:tcW w:w="1276" w:type="dxa"/>
            <w:vAlign w:val="center"/>
          </w:tcPr>
          <w:p w14:paraId="3E7ECE97" w14:textId="77777777" w:rsidR="003D3955" w:rsidRPr="004F5790" w:rsidRDefault="003D3955" w:rsidP="00E60C66">
            <w:pPr>
              <w:rPr>
                <w:rFonts w:ascii="Calibri" w:hAnsi="Calibri"/>
              </w:rPr>
            </w:pPr>
            <w:r w:rsidRPr="004F5790">
              <w:rPr>
                <w:rFonts w:ascii="Calibri" w:hAnsi="Calibri"/>
              </w:rPr>
              <w:t>(2010)</w:t>
            </w:r>
          </w:p>
        </w:tc>
        <w:tc>
          <w:tcPr>
            <w:tcW w:w="883" w:type="dxa"/>
            <w:shd w:val="clear" w:color="auto" w:fill="auto"/>
            <w:vAlign w:val="center"/>
          </w:tcPr>
          <w:p w14:paraId="21C85AD0" w14:textId="77777777" w:rsidR="003D3955" w:rsidRPr="004F5790" w:rsidRDefault="003D3955" w:rsidP="00E60C66">
            <w:pPr>
              <w:jc w:val="right"/>
            </w:pPr>
            <w:r w:rsidRPr="004F5790">
              <w:rPr>
                <w:rFonts w:ascii="Calibri" w:hAnsi="Calibri"/>
              </w:rPr>
              <w:t xml:space="preserve">47 </w:t>
            </w:r>
          </w:p>
        </w:tc>
        <w:tc>
          <w:tcPr>
            <w:tcW w:w="1101" w:type="dxa"/>
            <w:vAlign w:val="center"/>
          </w:tcPr>
          <w:p w14:paraId="1E509CE1" w14:textId="55664FC7" w:rsidR="003D3955" w:rsidRDefault="0028155D" w:rsidP="00E60C66">
            <w:r>
              <w:rPr>
                <w:rFonts w:ascii="Calibri" w:hAnsi="Calibri"/>
              </w:rPr>
              <w:t>(20</w:t>
            </w:r>
            <w:r w:rsidR="003D3955" w:rsidRPr="004F5790">
              <w:rPr>
                <w:rFonts w:ascii="Calibri" w:hAnsi="Calibri"/>
              </w:rPr>
              <w:t>1</w:t>
            </w:r>
            <w:r>
              <w:rPr>
                <w:rFonts w:ascii="Calibri" w:hAnsi="Calibri"/>
              </w:rPr>
              <w:t>0</w:t>
            </w:r>
            <w:r w:rsidR="003D3955" w:rsidRPr="004F5790">
              <w:rPr>
                <w:rFonts w:ascii="Calibri" w:hAnsi="Calibri"/>
              </w:rPr>
              <w:t>)</w:t>
            </w:r>
          </w:p>
        </w:tc>
        <w:tc>
          <w:tcPr>
            <w:tcW w:w="709" w:type="dxa"/>
            <w:shd w:val="clear" w:color="auto" w:fill="auto"/>
          </w:tcPr>
          <w:p w14:paraId="159F29E0" w14:textId="77777777" w:rsidR="003D3955" w:rsidRPr="004F5790" w:rsidRDefault="003D3955" w:rsidP="00E60C66">
            <w:pPr>
              <w:jc w:val="right"/>
            </w:pPr>
            <w:r>
              <w:t xml:space="preserve">0 </w:t>
            </w:r>
          </w:p>
        </w:tc>
        <w:tc>
          <w:tcPr>
            <w:tcW w:w="1276" w:type="dxa"/>
            <w:vAlign w:val="center"/>
          </w:tcPr>
          <w:p w14:paraId="16162A74" w14:textId="7762928E" w:rsidR="003D3955" w:rsidRDefault="000B1286" w:rsidP="00E60C66">
            <w:r>
              <w:t>(2014</w:t>
            </w:r>
            <w:r w:rsidR="003D3955" w:rsidRPr="004F5790">
              <w:t>)</w:t>
            </w:r>
          </w:p>
        </w:tc>
      </w:tr>
      <w:tr w:rsidR="003D3955" w:rsidRPr="00A84F8C" w14:paraId="33C2F8DE" w14:textId="77777777" w:rsidTr="003D3955">
        <w:tc>
          <w:tcPr>
            <w:tcW w:w="1429" w:type="dxa"/>
          </w:tcPr>
          <w:p w14:paraId="77FAAA29" w14:textId="77777777" w:rsidR="003D3955" w:rsidRPr="00A84F8C" w:rsidRDefault="003D3955" w:rsidP="00AF09F0">
            <w:pPr>
              <w:rPr>
                <w:b/>
              </w:rPr>
            </w:pPr>
            <w:r w:rsidRPr="00A84F8C">
              <w:rPr>
                <w:b/>
              </w:rPr>
              <w:t>South Africa</w:t>
            </w:r>
          </w:p>
        </w:tc>
        <w:tc>
          <w:tcPr>
            <w:tcW w:w="1347" w:type="dxa"/>
          </w:tcPr>
          <w:p w14:paraId="665EDE8E" w14:textId="77777777" w:rsidR="003D3955" w:rsidRPr="00A84F8C" w:rsidRDefault="003D3955" w:rsidP="00AF09F0">
            <w:pPr>
              <w:jc w:val="right"/>
            </w:pPr>
            <w:r>
              <w:t>59</w:t>
            </w:r>
          </w:p>
        </w:tc>
        <w:tc>
          <w:tcPr>
            <w:tcW w:w="1348" w:type="dxa"/>
          </w:tcPr>
          <w:p w14:paraId="608CCA92" w14:textId="77777777" w:rsidR="003D3955" w:rsidRPr="00A84F8C" w:rsidRDefault="003D3955" w:rsidP="00AF09F0">
            <w:pPr>
              <w:jc w:val="right"/>
            </w:pPr>
            <w:r>
              <w:t>52</w:t>
            </w:r>
          </w:p>
        </w:tc>
        <w:tc>
          <w:tcPr>
            <w:tcW w:w="1654" w:type="dxa"/>
            <w:vAlign w:val="bottom"/>
          </w:tcPr>
          <w:p w14:paraId="14442CD7" w14:textId="77777777" w:rsidR="003D3955" w:rsidRDefault="003D3955">
            <w:pPr>
              <w:jc w:val="right"/>
              <w:rPr>
                <w:rFonts w:ascii="Calibri" w:hAnsi="Calibri"/>
                <w:color w:val="000000"/>
              </w:rPr>
            </w:pPr>
            <w:r>
              <w:rPr>
                <w:rFonts w:ascii="Calibri" w:hAnsi="Calibri"/>
                <w:color w:val="000000"/>
              </w:rPr>
              <w:t>7</w:t>
            </w:r>
          </w:p>
        </w:tc>
        <w:tc>
          <w:tcPr>
            <w:tcW w:w="1560" w:type="dxa"/>
            <w:vAlign w:val="bottom"/>
          </w:tcPr>
          <w:p w14:paraId="1678F9DE" w14:textId="77777777" w:rsidR="003D3955" w:rsidRDefault="003D3955">
            <w:pPr>
              <w:jc w:val="right"/>
              <w:rPr>
                <w:rFonts w:ascii="Calibri" w:hAnsi="Calibri"/>
                <w:color w:val="000000"/>
              </w:rPr>
            </w:pPr>
            <w:r>
              <w:rPr>
                <w:rFonts w:ascii="Calibri" w:hAnsi="Calibri"/>
                <w:color w:val="000000"/>
              </w:rPr>
              <w:t>43</w:t>
            </w:r>
          </w:p>
        </w:tc>
        <w:tc>
          <w:tcPr>
            <w:tcW w:w="992" w:type="dxa"/>
          </w:tcPr>
          <w:p w14:paraId="3A16713F" w14:textId="77777777" w:rsidR="003D3955" w:rsidRPr="00A84F8C" w:rsidRDefault="003D3955" w:rsidP="00E60C66">
            <w:pPr>
              <w:jc w:val="right"/>
            </w:pPr>
            <w:r w:rsidRPr="00A84F8C">
              <w:t xml:space="preserve">29 </w:t>
            </w:r>
          </w:p>
        </w:tc>
        <w:tc>
          <w:tcPr>
            <w:tcW w:w="1276" w:type="dxa"/>
            <w:vAlign w:val="center"/>
          </w:tcPr>
          <w:p w14:paraId="0A034F30" w14:textId="77777777" w:rsidR="003D3955" w:rsidRPr="00A84F8C" w:rsidRDefault="003D3955" w:rsidP="00E60C66">
            <w:r w:rsidRPr="00A84F8C">
              <w:t>(2008)</w:t>
            </w:r>
          </w:p>
        </w:tc>
        <w:tc>
          <w:tcPr>
            <w:tcW w:w="883" w:type="dxa"/>
          </w:tcPr>
          <w:p w14:paraId="3C019AFC" w14:textId="77777777" w:rsidR="003D3955" w:rsidRPr="00A84F8C" w:rsidRDefault="003D3955" w:rsidP="00E60C66">
            <w:pPr>
              <w:jc w:val="right"/>
            </w:pPr>
            <w:r w:rsidRPr="00A84F8C">
              <w:t xml:space="preserve">18 </w:t>
            </w:r>
          </w:p>
        </w:tc>
        <w:tc>
          <w:tcPr>
            <w:tcW w:w="1101" w:type="dxa"/>
            <w:vAlign w:val="center"/>
          </w:tcPr>
          <w:p w14:paraId="24A39861" w14:textId="77777777" w:rsidR="003D3955" w:rsidRPr="00A84F8C" w:rsidRDefault="003D3955" w:rsidP="00E60C66">
            <w:r w:rsidRPr="00A84F8C">
              <w:t>(2008)</w:t>
            </w:r>
          </w:p>
        </w:tc>
        <w:tc>
          <w:tcPr>
            <w:tcW w:w="709" w:type="dxa"/>
          </w:tcPr>
          <w:p w14:paraId="33198B1E" w14:textId="77777777" w:rsidR="003D3955" w:rsidRPr="00A84F8C" w:rsidRDefault="003D3955" w:rsidP="00E60C66">
            <w:pPr>
              <w:jc w:val="right"/>
            </w:pPr>
            <w:r w:rsidRPr="00A84F8C">
              <w:t>8</w:t>
            </w:r>
            <w:r>
              <w:t xml:space="preserve"> </w:t>
            </w:r>
          </w:p>
        </w:tc>
        <w:tc>
          <w:tcPr>
            <w:tcW w:w="1276" w:type="dxa"/>
            <w:vAlign w:val="center"/>
          </w:tcPr>
          <w:p w14:paraId="75FADB7B" w14:textId="77777777" w:rsidR="003D3955" w:rsidRPr="00A84F8C" w:rsidRDefault="003D3955" w:rsidP="00E60C66">
            <w:r>
              <w:t>(</w:t>
            </w:r>
            <w:r w:rsidRPr="00A84F8C">
              <w:t>2005)</w:t>
            </w:r>
          </w:p>
        </w:tc>
      </w:tr>
      <w:tr w:rsidR="003D3955" w:rsidRPr="00A84F8C" w14:paraId="24701E4F" w14:textId="77777777" w:rsidTr="003D3955">
        <w:tc>
          <w:tcPr>
            <w:tcW w:w="1429" w:type="dxa"/>
          </w:tcPr>
          <w:p w14:paraId="59D227CD" w14:textId="77777777" w:rsidR="003D3955" w:rsidRPr="00A84F8C" w:rsidRDefault="003D3955" w:rsidP="00AF09F0">
            <w:pPr>
              <w:rPr>
                <w:b/>
              </w:rPr>
            </w:pPr>
            <w:r w:rsidRPr="00A84F8C">
              <w:rPr>
                <w:b/>
              </w:rPr>
              <w:t>China</w:t>
            </w:r>
          </w:p>
        </w:tc>
        <w:tc>
          <w:tcPr>
            <w:tcW w:w="1347" w:type="dxa"/>
          </w:tcPr>
          <w:p w14:paraId="6E4DC46D" w14:textId="77777777" w:rsidR="003D3955" w:rsidRPr="00A84F8C" w:rsidRDefault="003D3955" w:rsidP="00AF09F0">
            <w:pPr>
              <w:jc w:val="right"/>
            </w:pPr>
            <w:r>
              <w:t>62</w:t>
            </w:r>
          </w:p>
        </w:tc>
        <w:tc>
          <w:tcPr>
            <w:tcW w:w="1348" w:type="dxa"/>
          </w:tcPr>
          <w:p w14:paraId="38758B73" w14:textId="77777777" w:rsidR="003D3955" w:rsidRPr="00A84F8C" w:rsidRDefault="003D3955" w:rsidP="00AF09F0">
            <w:pPr>
              <w:jc w:val="right"/>
            </w:pPr>
            <w:r>
              <w:t>44</w:t>
            </w:r>
            <w:r w:rsidRPr="00A84F8C">
              <w:t xml:space="preserve"> </w:t>
            </w:r>
          </w:p>
        </w:tc>
        <w:tc>
          <w:tcPr>
            <w:tcW w:w="1654" w:type="dxa"/>
            <w:vAlign w:val="bottom"/>
          </w:tcPr>
          <w:p w14:paraId="10738C61" w14:textId="77777777" w:rsidR="003D3955" w:rsidRDefault="003D3955">
            <w:pPr>
              <w:jc w:val="right"/>
              <w:rPr>
                <w:rFonts w:ascii="Calibri" w:hAnsi="Calibri"/>
                <w:color w:val="000000"/>
              </w:rPr>
            </w:pPr>
            <w:r>
              <w:rPr>
                <w:rFonts w:ascii="Calibri" w:hAnsi="Calibri"/>
                <w:color w:val="000000"/>
              </w:rPr>
              <w:t>34</w:t>
            </w:r>
          </w:p>
        </w:tc>
        <w:tc>
          <w:tcPr>
            <w:tcW w:w="1560" w:type="dxa"/>
            <w:vAlign w:val="bottom"/>
          </w:tcPr>
          <w:p w14:paraId="3BDD114C" w14:textId="77777777" w:rsidR="003D3955" w:rsidRDefault="003D3955">
            <w:pPr>
              <w:jc w:val="right"/>
              <w:rPr>
                <w:rFonts w:ascii="Calibri" w:hAnsi="Calibri"/>
                <w:color w:val="000000"/>
              </w:rPr>
            </w:pPr>
            <w:r>
              <w:rPr>
                <w:rFonts w:ascii="Calibri" w:hAnsi="Calibri"/>
                <w:color w:val="000000"/>
              </w:rPr>
              <w:t>41</w:t>
            </w:r>
          </w:p>
        </w:tc>
        <w:tc>
          <w:tcPr>
            <w:tcW w:w="992" w:type="dxa"/>
            <w:shd w:val="clear" w:color="auto" w:fill="auto"/>
          </w:tcPr>
          <w:p w14:paraId="2AED62F5" w14:textId="77777777" w:rsidR="003D3955" w:rsidRPr="00FD1F5C" w:rsidRDefault="003D3955" w:rsidP="00E60C66">
            <w:pPr>
              <w:jc w:val="right"/>
            </w:pPr>
            <w:r w:rsidRPr="00FD1F5C">
              <w:t>18</w:t>
            </w:r>
          </w:p>
        </w:tc>
        <w:tc>
          <w:tcPr>
            <w:tcW w:w="1276" w:type="dxa"/>
            <w:vAlign w:val="center"/>
          </w:tcPr>
          <w:p w14:paraId="6FFA1C61" w14:textId="77777777" w:rsidR="003D3955" w:rsidRPr="00FD1F5C" w:rsidRDefault="003D3955" w:rsidP="00E60C66">
            <w:r w:rsidRPr="00FD1F5C">
              <w:t>(2003</w:t>
            </w:r>
            <w:r>
              <w:t>)</w:t>
            </w:r>
          </w:p>
        </w:tc>
        <w:tc>
          <w:tcPr>
            <w:tcW w:w="883" w:type="dxa"/>
            <w:shd w:val="clear" w:color="auto" w:fill="auto"/>
          </w:tcPr>
          <w:p w14:paraId="691FAB19" w14:textId="77777777" w:rsidR="003D3955" w:rsidRPr="00FD1F5C" w:rsidRDefault="003D3955" w:rsidP="00E60C66">
            <w:pPr>
              <w:jc w:val="right"/>
            </w:pPr>
            <w:r w:rsidRPr="00FD1F5C">
              <w:t xml:space="preserve">3 </w:t>
            </w:r>
          </w:p>
        </w:tc>
        <w:tc>
          <w:tcPr>
            <w:tcW w:w="1101" w:type="dxa"/>
            <w:vAlign w:val="center"/>
          </w:tcPr>
          <w:p w14:paraId="7EF3D3A4" w14:textId="77777777" w:rsidR="003D3955" w:rsidRDefault="003D3955" w:rsidP="00E60C66">
            <w:r w:rsidRPr="00FD1F5C">
              <w:t>(2003)</w:t>
            </w:r>
          </w:p>
        </w:tc>
        <w:tc>
          <w:tcPr>
            <w:tcW w:w="709" w:type="dxa"/>
            <w:shd w:val="clear" w:color="auto" w:fill="auto"/>
          </w:tcPr>
          <w:p w14:paraId="6B0B3A8E" w14:textId="77777777" w:rsidR="003D3955" w:rsidRPr="00A84F8C" w:rsidRDefault="003D3955" w:rsidP="00E60C66">
            <w:pPr>
              <w:jc w:val="right"/>
            </w:pPr>
            <w:r>
              <w:t xml:space="preserve">87 </w:t>
            </w:r>
          </w:p>
        </w:tc>
        <w:tc>
          <w:tcPr>
            <w:tcW w:w="1276" w:type="dxa"/>
            <w:vAlign w:val="center"/>
          </w:tcPr>
          <w:p w14:paraId="28D23CB8" w14:textId="77777777" w:rsidR="003D3955" w:rsidRDefault="003D3955" w:rsidP="00E60C66">
            <w:r>
              <w:t>(2001)</w:t>
            </w:r>
          </w:p>
        </w:tc>
      </w:tr>
      <w:tr w:rsidR="003D3955" w:rsidRPr="00A84F8C" w14:paraId="29C24A6B" w14:textId="77777777" w:rsidTr="003D3955">
        <w:tc>
          <w:tcPr>
            <w:tcW w:w="1429" w:type="dxa"/>
          </w:tcPr>
          <w:p w14:paraId="7C4790C4" w14:textId="77777777" w:rsidR="003D3955" w:rsidRPr="00A84F8C" w:rsidRDefault="003D3955" w:rsidP="00AF09F0">
            <w:pPr>
              <w:rPr>
                <w:b/>
              </w:rPr>
            </w:pPr>
            <w:r w:rsidRPr="00A84F8C">
              <w:rPr>
                <w:b/>
              </w:rPr>
              <w:t xml:space="preserve">Malawi </w:t>
            </w:r>
          </w:p>
        </w:tc>
        <w:tc>
          <w:tcPr>
            <w:tcW w:w="1347" w:type="dxa"/>
          </w:tcPr>
          <w:p w14:paraId="6089A7C3" w14:textId="77777777" w:rsidR="003D3955" w:rsidRPr="00A84F8C" w:rsidRDefault="003D3955" w:rsidP="00AF09F0">
            <w:pPr>
              <w:jc w:val="right"/>
            </w:pPr>
            <w:r>
              <w:t>54</w:t>
            </w:r>
          </w:p>
        </w:tc>
        <w:tc>
          <w:tcPr>
            <w:tcW w:w="1348" w:type="dxa"/>
          </w:tcPr>
          <w:p w14:paraId="1BF5C7B9" w14:textId="77777777" w:rsidR="003D3955" w:rsidRPr="00A84F8C" w:rsidRDefault="003D3955" w:rsidP="00AF09F0">
            <w:pPr>
              <w:jc w:val="right"/>
            </w:pPr>
            <w:r>
              <w:t>44</w:t>
            </w:r>
          </w:p>
        </w:tc>
        <w:tc>
          <w:tcPr>
            <w:tcW w:w="1654" w:type="dxa"/>
            <w:vAlign w:val="bottom"/>
          </w:tcPr>
          <w:p w14:paraId="3EFBBC8E" w14:textId="77777777" w:rsidR="003D3955" w:rsidRDefault="003D3955">
            <w:pPr>
              <w:jc w:val="right"/>
              <w:rPr>
                <w:rFonts w:ascii="Calibri" w:hAnsi="Calibri"/>
                <w:color w:val="000000"/>
              </w:rPr>
            </w:pPr>
            <w:r>
              <w:rPr>
                <w:rFonts w:ascii="Calibri" w:hAnsi="Calibri"/>
                <w:color w:val="000000"/>
              </w:rPr>
              <w:t>10</w:t>
            </w:r>
          </w:p>
        </w:tc>
        <w:tc>
          <w:tcPr>
            <w:tcW w:w="1560" w:type="dxa"/>
            <w:vAlign w:val="bottom"/>
          </w:tcPr>
          <w:p w14:paraId="5A7D5DD7" w14:textId="77777777" w:rsidR="003D3955" w:rsidRDefault="003D3955">
            <w:pPr>
              <w:jc w:val="right"/>
              <w:rPr>
                <w:rFonts w:ascii="Calibri" w:hAnsi="Calibri"/>
                <w:color w:val="000000"/>
              </w:rPr>
            </w:pPr>
            <w:r>
              <w:rPr>
                <w:rFonts w:ascii="Calibri" w:hAnsi="Calibri"/>
                <w:color w:val="000000"/>
              </w:rPr>
              <w:t>2</w:t>
            </w:r>
          </w:p>
        </w:tc>
        <w:tc>
          <w:tcPr>
            <w:tcW w:w="992" w:type="dxa"/>
          </w:tcPr>
          <w:p w14:paraId="1685DB2C" w14:textId="77777777" w:rsidR="003D3955" w:rsidRPr="00FD6EF4" w:rsidRDefault="003D3955" w:rsidP="00E60C66">
            <w:pPr>
              <w:jc w:val="right"/>
            </w:pPr>
            <w:r w:rsidRPr="00FD6EF4">
              <w:t xml:space="preserve">29 </w:t>
            </w:r>
          </w:p>
        </w:tc>
        <w:tc>
          <w:tcPr>
            <w:tcW w:w="1276" w:type="dxa"/>
            <w:vAlign w:val="center"/>
          </w:tcPr>
          <w:p w14:paraId="2835E733" w14:textId="77777777" w:rsidR="003D3955" w:rsidRPr="00FD6EF4" w:rsidRDefault="003D3955" w:rsidP="00E60C66">
            <w:r w:rsidRPr="00FD6EF4">
              <w:t>(2003)</w:t>
            </w:r>
          </w:p>
        </w:tc>
        <w:tc>
          <w:tcPr>
            <w:tcW w:w="883" w:type="dxa"/>
          </w:tcPr>
          <w:p w14:paraId="36F35C8E" w14:textId="77777777" w:rsidR="003D3955" w:rsidRPr="00FD6EF4" w:rsidRDefault="003D3955" w:rsidP="00E60C66">
            <w:pPr>
              <w:jc w:val="right"/>
            </w:pPr>
            <w:r w:rsidRPr="00FD6EF4">
              <w:t xml:space="preserve">30 </w:t>
            </w:r>
          </w:p>
        </w:tc>
        <w:tc>
          <w:tcPr>
            <w:tcW w:w="1101" w:type="dxa"/>
            <w:vAlign w:val="center"/>
          </w:tcPr>
          <w:p w14:paraId="313282F0" w14:textId="77777777" w:rsidR="003D3955" w:rsidRPr="00A84F8C" w:rsidRDefault="003D3955" w:rsidP="00E60C66">
            <w:r w:rsidRPr="00FD6EF4">
              <w:t>(2003)</w:t>
            </w:r>
          </w:p>
        </w:tc>
        <w:tc>
          <w:tcPr>
            <w:tcW w:w="709" w:type="dxa"/>
          </w:tcPr>
          <w:p w14:paraId="79D5F25F" w14:textId="77777777" w:rsidR="003D3955" w:rsidRPr="00A84F8C" w:rsidRDefault="003D3955" w:rsidP="00E60C66">
            <w:pPr>
              <w:jc w:val="right"/>
            </w:pPr>
            <w:r w:rsidRPr="00A84F8C">
              <w:t xml:space="preserve">9 </w:t>
            </w:r>
          </w:p>
        </w:tc>
        <w:tc>
          <w:tcPr>
            <w:tcW w:w="1276" w:type="dxa"/>
            <w:vAlign w:val="center"/>
          </w:tcPr>
          <w:p w14:paraId="1FC027C4" w14:textId="77777777" w:rsidR="003D3955" w:rsidRPr="00A84F8C" w:rsidRDefault="003D3955" w:rsidP="00E60C66">
            <w:r w:rsidRPr="00A84F8C">
              <w:t>(2005/6)</w:t>
            </w:r>
          </w:p>
        </w:tc>
      </w:tr>
      <w:tr w:rsidR="003D3955" w:rsidRPr="00A84F8C" w14:paraId="0E0E416E" w14:textId="77777777" w:rsidTr="003D3955">
        <w:tc>
          <w:tcPr>
            <w:tcW w:w="1429" w:type="dxa"/>
          </w:tcPr>
          <w:p w14:paraId="1DADB7E6" w14:textId="77777777" w:rsidR="003D3955" w:rsidRPr="00A84F8C" w:rsidRDefault="003D3955" w:rsidP="00AF09F0">
            <w:pPr>
              <w:rPr>
                <w:b/>
              </w:rPr>
            </w:pPr>
            <w:r w:rsidRPr="00A84F8C">
              <w:rPr>
                <w:b/>
              </w:rPr>
              <w:t>Tanzania</w:t>
            </w:r>
          </w:p>
        </w:tc>
        <w:tc>
          <w:tcPr>
            <w:tcW w:w="1347" w:type="dxa"/>
          </w:tcPr>
          <w:p w14:paraId="2C74C1E8" w14:textId="77777777" w:rsidR="003D3955" w:rsidRPr="00A84F8C" w:rsidRDefault="003D3955" w:rsidP="00AF09F0">
            <w:pPr>
              <w:jc w:val="right"/>
            </w:pPr>
            <w:r w:rsidRPr="00A84F8C">
              <w:t>57</w:t>
            </w:r>
          </w:p>
        </w:tc>
        <w:tc>
          <w:tcPr>
            <w:tcW w:w="1348" w:type="dxa"/>
          </w:tcPr>
          <w:p w14:paraId="163FA279" w14:textId="77777777" w:rsidR="003D3955" w:rsidRPr="00A84F8C" w:rsidRDefault="003D3955" w:rsidP="00AF09F0">
            <w:pPr>
              <w:jc w:val="right"/>
            </w:pPr>
            <w:r w:rsidRPr="00A84F8C">
              <w:t>61</w:t>
            </w:r>
          </w:p>
        </w:tc>
        <w:tc>
          <w:tcPr>
            <w:tcW w:w="1654" w:type="dxa"/>
            <w:vAlign w:val="bottom"/>
          </w:tcPr>
          <w:p w14:paraId="2248B07C" w14:textId="77777777" w:rsidR="003D3955" w:rsidRDefault="003D3955">
            <w:pPr>
              <w:jc w:val="right"/>
              <w:rPr>
                <w:rFonts w:ascii="Calibri" w:hAnsi="Calibri"/>
                <w:color w:val="000000"/>
              </w:rPr>
            </w:pPr>
            <w:r>
              <w:rPr>
                <w:rFonts w:ascii="Calibri" w:hAnsi="Calibri"/>
                <w:color w:val="000000"/>
              </w:rPr>
              <w:t>32</w:t>
            </w:r>
          </w:p>
        </w:tc>
        <w:tc>
          <w:tcPr>
            <w:tcW w:w="1560" w:type="dxa"/>
            <w:vAlign w:val="bottom"/>
          </w:tcPr>
          <w:p w14:paraId="59A7452F" w14:textId="77777777" w:rsidR="003D3955" w:rsidRDefault="003D3955">
            <w:pPr>
              <w:jc w:val="right"/>
              <w:rPr>
                <w:rFonts w:ascii="Calibri" w:hAnsi="Calibri"/>
                <w:color w:val="000000"/>
              </w:rPr>
            </w:pPr>
            <w:r>
              <w:rPr>
                <w:rFonts w:ascii="Calibri" w:hAnsi="Calibri"/>
                <w:color w:val="000000"/>
              </w:rPr>
              <w:t>3</w:t>
            </w:r>
          </w:p>
        </w:tc>
        <w:tc>
          <w:tcPr>
            <w:tcW w:w="992" w:type="dxa"/>
          </w:tcPr>
          <w:p w14:paraId="01160880" w14:textId="77777777" w:rsidR="003D3955" w:rsidRPr="00FD6EF4" w:rsidRDefault="003D3955" w:rsidP="00E60C66">
            <w:pPr>
              <w:jc w:val="right"/>
            </w:pPr>
            <w:r w:rsidRPr="00FD6EF4">
              <w:t xml:space="preserve">40 </w:t>
            </w:r>
          </w:p>
        </w:tc>
        <w:tc>
          <w:tcPr>
            <w:tcW w:w="1276" w:type="dxa"/>
            <w:vAlign w:val="center"/>
          </w:tcPr>
          <w:p w14:paraId="4550C39B" w14:textId="77777777" w:rsidR="003D3955" w:rsidRPr="00FD6EF4" w:rsidRDefault="003D3955" w:rsidP="00E60C66">
            <w:r w:rsidRPr="00FD6EF4">
              <w:t>(2007)</w:t>
            </w:r>
          </w:p>
        </w:tc>
        <w:tc>
          <w:tcPr>
            <w:tcW w:w="883" w:type="dxa"/>
          </w:tcPr>
          <w:p w14:paraId="466CF87C" w14:textId="77777777" w:rsidR="003D3955" w:rsidRPr="00FD6EF4" w:rsidRDefault="003D3955" w:rsidP="00E60C66">
            <w:pPr>
              <w:jc w:val="right"/>
            </w:pPr>
            <w:r w:rsidRPr="00FD6EF4">
              <w:t xml:space="preserve">22 </w:t>
            </w:r>
          </w:p>
        </w:tc>
        <w:tc>
          <w:tcPr>
            <w:tcW w:w="1101" w:type="dxa"/>
            <w:vAlign w:val="center"/>
          </w:tcPr>
          <w:p w14:paraId="5D8596EB" w14:textId="77777777" w:rsidR="003D3955" w:rsidRPr="00A84F8C" w:rsidRDefault="003D3955" w:rsidP="00E60C66">
            <w:r w:rsidRPr="00FD6EF4">
              <w:t>(2007)</w:t>
            </w:r>
          </w:p>
        </w:tc>
        <w:tc>
          <w:tcPr>
            <w:tcW w:w="709" w:type="dxa"/>
          </w:tcPr>
          <w:p w14:paraId="68FBA875" w14:textId="77777777" w:rsidR="003D3955" w:rsidRPr="00A84F8C" w:rsidRDefault="003D3955" w:rsidP="00E60C66">
            <w:pPr>
              <w:jc w:val="right"/>
            </w:pPr>
            <w:r w:rsidRPr="00A84F8C">
              <w:t xml:space="preserve">38 </w:t>
            </w:r>
          </w:p>
        </w:tc>
        <w:tc>
          <w:tcPr>
            <w:tcW w:w="1276" w:type="dxa"/>
            <w:vAlign w:val="center"/>
          </w:tcPr>
          <w:p w14:paraId="197A90B5" w14:textId="77777777" w:rsidR="003D3955" w:rsidRPr="00A84F8C" w:rsidRDefault="003D3955" w:rsidP="00E60C66">
            <w:r w:rsidRPr="00A84F8C">
              <w:t>(2009/10)</w:t>
            </w:r>
          </w:p>
        </w:tc>
      </w:tr>
      <w:tr w:rsidR="003D3955" w:rsidRPr="00A84F8C" w14:paraId="7AA59165" w14:textId="77777777" w:rsidTr="003D3955">
        <w:tc>
          <w:tcPr>
            <w:tcW w:w="1429" w:type="dxa"/>
          </w:tcPr>
          <w:p w14:paraId="53F0CBFC" w14:textId="77777777" w:rsidR="003D3955" w:rsidRPr="00A84F8C" w:rsidRDefault="003D3955" w:rsidP="00AF09F0">
            <w:pPr>
              <w:rPr>
                <w:b/>
              </w:rPr>
            </w:pPr>
            <w:r>
              <w:rPr>
                <w:b/>
              </w:rPr>
              <w:t>Nepal</w:t>
            </w:r>
            <w:r w:rsidRPr="00A84F8C">
              <w:rPr>
                <w:b/>
              </w:rPr>
              <w:t xml:space="preserve"> </w:t>
            </w:r>
          </w:p>
        </w:tc>
        <w:tc>
          <w:tcPr>
            <w:tcW w:w="1347" w:type="dxa"/>
          </w:tcPr>
          <w:p w14:paraId="57CE7722" w14:textId="77777777" w:rsidR="003D3955" w:rsidRPr="00A84F8C" w:rsidRDefault="003D3955" w:rsidP="00AF09F0">
            <w:pPr>
              <w:jc w:val="right"/>
            </w:pPr>
            <w:r>
              <w:t>75</w:t>
            </w:r>
          </w:p>
        </w:tc>
        <w:tc>
          <w:tcPr>
            <w:tcW w:w="1348" w:type="dxa"/>
          </w:tcPr>
          <w:p w14:paraId="26BD4578" w14:textId="77777777" w:rsidR="003D3955" w:rsidRPr="00A84F8C" w:rsidRDefault="003D3955" w:rsidP="00AF09F0">
            <w:pPr>
              <w:jc w:val="right"/>
            </w:pPr>
            <w:r>
              <w:t>61</w:t>
            </w:r>
          </w:p>
        </w:tc>
        <w:tc>
          <w:tcPr>
            <w:tcW w:w="1654" w:type="dxa"/>
            <w:vAlign w:val="bottom"/>
          </w:tcPr>
          <w:p w14:paraId="461ED892" w14:textId="77777777" w:rsidR="003D3955" w:rsidRDefault="003D3955">
            <w:pPr>
              <w:jc w:val="right"/>
              <w:rPr>
                <w:rFonts w:ascii="Calibri" w:hAnsi="Calibri"/>
                <w:color w:val="000000"/>
              </w:rPr>
            </w:pPr>
            <w:r>
              <w:rPr>
                <w:rFonts w:ascii="Calibri" w:hAnsi="Calibri"/>
                <w:color w:val="000000"/>
              </w:rPr>
              <w:t>49</w:t>
            </w:r>
          </w:p>
        </w:tc>
        <w:tc>
          <w:tcPr>
            <w:tcW w:w="1560" w:type="dxa"/>
            <w:vAlign w:val="bottom"/>
          </w:tcPr>
          <w:p w14:paraId="286739EC" w14:textId="77777777" w:rsidR="003D3955" w:rsidRDefault="003D3955">
            <w:pPr>
              <w:jc w:val="right"/>
              <w:rPr>
                <w:rFonts w:ascii="Calibri" w:hAnsi="Calibri"/>
                <w:color w:val="000000"/>
              </w:rPr>
            </w:pPr>
            <w:r>
              <w:rPr>
                <w:rFonts w:ascii="Calibri" w:hAnsi="Calibri"/>
                <w:color w:val="000000"/>
              </w:rPr>
              <w:t>0</w:t>
            </w:r>
          </w:p>
        </w:tc>
        <w:tc>
          <w:tcPr>
            <w:tcW w:w="992" w:type="dxa"/>
          </w:tcPr>
          <w:p w14:paraId="1B25E742" w14:textId="77777777" w:rsidR="003D3955" w:rsidRPr="00FD6EF4" w:rsidRDefault="003D3955" w:rsidP="00E60C66">
            <w:pPr>
              <w:jc w:val="right"/>
            </w:pPr>
            <w:r>
              <w:t>65</w:t>
            </w:r>
          </w:p>
        </w:tc>
        <w:tc>
          <w:tcPr>
            <w:tcW w:w="1276" w:type="dxa"/>
            <w:vAlign w:val="center"/>
          </w:tcPr>
          <w:p w14:paraId="18257E42" w14:textId="77777777" w:rsidR="003D3955" w:rsidRPr="00FD6EF4" w:rsidRDefault="003D3955" w:rsidP="00E60C66">
            <w:r w:rsidRPr="00FD6EF4">
              <w:t>(2003)</w:t>
            </w:r>
          </w:p>
        </w:tc>
        <w:tc>
          <w:tcPr>
            <w:tcW w:w="883" w:type="dxa"/>
          </w:tcPr>
          <w:p w14:paraId="7169750D" w14:textId="77777777" w:rsidR="003D3955" w:rsidRPr="00FD6EF4" w:rsidRDefault="003D3955" w:rsidP="00E60C66">
            <w:pPr>
              <w:jc w:val="right"/>
            </w:pPr>
            <w:r>
              <w:t>46</w:t>
            </w:r>
          </w:p>
        </w:tc>
        <w:tc>
          <w:tcPr>
            <w:tcW w:w="1101" w:type="dxa"/>
            <w:vAlign w:val="center"/>
          </w:tcPr>
          <w:p w14:paraId="75BC7412" w14:textId="77777777" w:rsidR="003D3955" w:rsidRPr="00A84F8C" w:rsidRDefault="003D3955" w:rsidP="00E60C66">
            <w:r w:rsidRPr="00FD6EF4">
              <w:t>(2003)</w:t>
            </w:r>
          </w:p>
        </w:tc>
        <w:tc>
          <w:tcPr>
            <w:tcW w:w="709" w:type="dxa"/>
          </w:tcPr>
          <w:p w14:paraId="59BDDC96" w14:textId="77777777" w:rsidR="003D3955" w:rsidRPr="00A84F8C" w:rsidRDefault="003D3955" w:rsidP="00E60C66">
            <w:pPr>
              <w:jc w:val="right"/>
            </w:pPr>
            <w:r>
              <w:t xml:space="preserve">7 </w:t>
            </w:r>
          </w:p>
        </w:tc>
        <w:tc>
          <w:tcPr>
            <w:tcW w:w="1276" w:type="dxa"/>
            <w:vAlign w:val="center"/>
          </w:tcPr>
          <w:p w14:paraId="63C43EAE" w14:textId="77777777" w:rsidR="003D3955" w:rsidRPr="00A84F8C" w:rsidRDefault="003D3955" w:rsidP="00E60C66">
            <w:r w:rsidRPr="00A84F8C">
              <w:t>(20</w:t>
            </w:r>
            <w:r>
              <w:t>08/9</w:t>
            </w:r>
            <w:r w:rsidRPr="00A84F8C">
              <w:t>)</w:t>
            </w:r>
          </w:p>
        </w:tc>
      </w:tr>
      <w:tr w:rsidR="003D3955" w:rsidRPr="00A84F8C" w14:paraId="71E78C65" w14:textId="77777777" w:rsidTr="003D3955">
        <w:tc>
          <w:tcPr>
            <w:tcW w:w="1429" w:type="dxa"/>
            <w:tcBorders>
              <w:bottom w:val="single" w:sz="4" w:space="0" w:color="auto"/>
            </w:tcBorders>
          </w:tcPr>
          <w:p w14:paraId="3CC7B705" w14:textId="77777777" w:rsidR="003D3955" w:rsidRPr="00A84F8C" w:rsidRDefault="003D3955" w:rsidP="00AF09F0">
            <w:pPr>
              <w:rPr>
                <w:b/>
              </w:rPr>
            </w:pPr>
            <w:r w:rsidRPr="00A84F8C">
              <w:rPr>
                <w:b/>
              </w:rPr>
              <w:t>Ghana</w:t>
            </w:r>
          </w:p>
        </w:tc>
        <w:tc>
          <w:tcPr>
            <w:tcW w:w="1347" w:type="dxa"/>
            <w:tcBorders>
              <w:bottom w:val="single" w:sz="4" w:space="0" w:color="auto"/>
            </w:tcBorders>
          </w:tcPr>
          <w:p w14:paraId="54C500E0" w14:textId="77777777" w:rsidR="003D3955" w:rsidRPr="00A84F8C" w:rsidRDefault="003D3955" w:rsidP="00AF09F0">
            <w:pPr>
              <w:jc w:val="right"/>
            </w:pPr>
            <w:r>
              <w:t>50</w:t>
            </w:r>
          </w:p>
        </w:tc>
        <w:tc>
          <w:tcPr>
            <w:tcW w:w="1348" w:type="dxa"/>
            <w:tcBorders>
              <w:bottom w:val="single" w:sz="4" w:space="0" w:color="auto"/>
            </w:tcBorders>
          </w:tcPr>
          <w:p w14:paraId="24BF64D9" w14:textId="77777777" w:rsidR="003D3955" w:rsidRPr="00A84F8C" w:rsidRDefault="003D3955" w:rsidP="00AF09F0">
            <w:pPr>
              <w:jc w:val="right"/>
            </w:pPr>
            <w:r>
              <w:t>32</w:t>
            </w:r>
          </w:p>
        </w:tc>
        <w:tc>
          <w:tcPr>
            <w:tcW w:w="1654" w:type="dxa"/>
            <w:tcBorders>
              <w:bottom w:val="single" w:sz="4" w:space="0" w:color="auto"/>
            </w:tcBorders>
            <w:vAlign w:val="bottom"/>
          </w:tcPr>
          <w:p w14:paraId="5D8C99A5" w14:textId="77777777" w:rsidR="003D3955" w:rsidRDefault="003D3955">
            <w:pPr>
              <w:jc w:val="right"/>
              <w:rPr>
                <w:rFonts w:ascii="Calibri" w:hAnsi="Calibri"/>
                <w:color w:val="000000"/>
              </w:rPr>
            </w:pPr>
            <w:r>
              <w:rPr>
                <w:rFonts w:ascii="Calibri" w:hAnsi="Calibri"/>
                <w:color w:val="000000"/>
              </w:rPr>
              <w:t>29</w:t>
            </w:r>
          </w:p>
        </w:tc>
        <w:tc>
          <w:tcPr>
            <w:tcW w:w="1560" w:type="dxa"/>
            <w:tcBorders>
              <w:bottom w:val="single" w:sz="4" w:space="0" w:color="auto"/>
            </w:tcBorders>
            <w:vAlign w:val="bottom"/>
          </w:tcPr>
          <w:p w14:paraId="75EF2D59" w14:textId="77777777" w:rsidR="003D3955" w:rsidRDefault="003D3955">
            <w:pPr>
              <w:jc w:val="right"/>
              <w:rPr>
                <w:rFonts w:ascii="Calibri" w:hAnsi="Calibri"/>
                <w:color w:val="000000"/>
              </w:rPr>
            </w:pPr>
            <w:r>
              <w:rPr>
                <w:rFonts w:ascii="Calibri" w:hAnsi="Calibri"/>
                <w:color w:val="000000"/>
              </w:rPr>
              <w:t>17</w:t>
            </w:r>
          </w:p>
        </w:tc>
        <w:tc>
          <w:tcPr>
            <w:tcW w:w="992" w:type="dxa"/>
            <w:tcBorders>
              <w:bottom w:val="single" w:sz="4" w:space="0" w:color="auto"/>
            </w:tcBorders>
          </w:tcPr>
          <w:p w14:paraId="73ABAA70" w14:textId="77777777" w:rsidR="003D3955" w:rsidRPr="00FD6EF4" w:rsidRDefault="003D3955" w:rsidP="00E60C66">
            <w:pPr>
              <w:jc w:val="right"/>
              <w:rPr>
                <w:strike/>
              </w:rPr>
            </w:pPr>
            <w:r w:rsidRPr="00FD6EF4">
              <w:t xml:space="preserve">36 </w:t>
            </w:r>
          </w:p>
        </w:tc>
        <w:tc>
          <w:tcPr>
            <w:tcW w:w="1276" w:type="dxa"/>
            <w:tcBorders>
              <w:bottom w:val="single" w:sz="4" w:space="0" w:color="auto"/>
            </w:tcBorders>
            <w:vAlign w:val="center"/>
          </w:tcPr>
          <w:p w14:paraId="1BB67550" w14:textId="77777777" w:rsidR="003D3955" w:rsidRPr="00FD6EF4" w:rsidRDefault="003D3955" w:rsidP="00E60C66">
            <w:r w:rsidRPr="00FD6EF4">
              <w:t>(2003)</w:t>
            </w:r>
          </w:p>
        </w:tc>
        <w:tc>
          <w:tcPr>
            <w:tcW w:w="883" w:type="dxa"/>
            <w:tcBorders>
              <w:bottom w:val="single" w:sz="4" w:space="0" w:color="auto"/>
            </w:tcBorders>
          </w:tcPr>
          <w:p w14:paraId="41BF43D2" w14:textId="77777777" w:rsidR="003D3955" w:rsidRPr="00FD6EF4" w:rsidRDefault="003D3955" w:rsidP="00E60C66">
            <w:pPr>
              <w:jc w:val="right"/>
            </w:pPr>
            <w:r w:rsidRPr="00FD6EF4">
              <w:t xml:space="preserve">35 </w:t>
            </w:r>
          </w:p>
        </w:tc>
        <w:tc>
          <w:tcPr>
            <w:tcW w:w="1101" w:type="dxa"/>
            <w:tcBorders>
              <w:bottom w:val="single" w:sz="4" w:space="0" w:color="auto"/>
            </w:tcBorders>
            <w:vAlign w:val="center"/>
          </w:tcPr>
          <w:p w14:paraId="6199AD3F" w14:textId="77777777" w:rsidR="003D3955" w:rsidRDefault="003D3955" w:rsidP="00E60C66">
            <w:r w:rsidRPr="00FD6EF4">
              <w:t>(2003)</w:t>
            </w:r>
          </w:p>
        </w:tc>
        <w:tc>
          <w:tcPr>
            <w:tcW w:w="709" w:type="dxa"/>
            <w:tcBorders>
              <w:bottom w:val="single" w:sz="4" w:space="0" w:color="auto"/>
            </w:tcBorders>
          </w:tcPr>
          <w:p w14:paraId="5F98418C" w14:textId="77777777" w:rsidR="003D3955" w:rsidRPr="00A84F8C" w:rsidRDefault="003D3955" w:rsidP="00E60C66">
            <w:pPr>
              <w:jc w:val="right"/>
            </w:pPr>
            <w:r>
              <w:t xml:space="preserve">25 </w:t>
            </w:r>
          </w:p>
        </w:tc>
        <w:tc>
          <w:tcPr>
            <w:tcW w:w="1276" w:type="dxa"/>
            <w:tcBorders>
              <w:bottom w:val="single" w:sz="4" w:space="0" w:color="auto"/>
            </w:tcBorders>
            <w:vAlign w:val="center"/>
          </w:tcPr>
          <w:p w14:paraId="6F1774C5" w14:textId="77777777" w:rsidR="003D3955" w:rsidRDefault="003D3955" w:rsidP="00E60C66">
            <w:r w:rsidRPr="00A84F8C">
              <w:t>(2009)</w:t>
            </w:r>
          </w:p>
        </w:tc>
      </w:tr>
    </w:tbl>
    <w:p w14:paraId="5B01EF02" w14:textId="1FFF209F" w:rsidR="00F8071D" w:rsidRPr="00882BEA" w:rsidRDefault="005353C7" w:rsidP="00FB10D4">
      <w:pPr>
        <w:spacing w:after="0" w:line="240" w:lineRule="auto"/>
        <w:rPr>
          <w:sz w:val="20"/>
        </w:rPr>
      </w:pPr>
      <w:r w:rsidRPr="00E60C66">
        <w:rPr>
          <w:sz w:val="20"/>
        </w:rPr>
        <w:t>Sources: Columns 1-4</w:t>
      </w:r>
      <w:hyperlink w:anchor="_ENREF_12" w:tooltip="World Health Organisation, 2015 #781" w:history="1">
        <w:r w:rsidR="00FB10D4">
          <w:rPr>
            <w:sz w:val="20"/>
          </w:rPr>
          <w:fldChar w:fldCharType="begin"/>
        </w:r>
        <w:r w:rsidR="00FB10D4">
          <w:rPr>
            <w:sz w:val="20"/>
          </w:rPr>
          <w:instrText xml:space="preserve"> ADDIN EN.CITE &lt;EndNote&gt;&lt;Cite&gt;&lt;Author&gt;World Health Organisation&lt;/Author&gt;&lt;Year&gt;2015&lt;/Year&gt;&lt;RecNum&gt;781&lt;/RecNum&gt;&lt;DisplayText&gt;&lt;style face="superscript"&gt;12&lt;/style&gt;&lt;/DisplayText&gt;&lt;record&gt;&lt;rec-number&gt;781&lt;/rec-number&gt;&lt;foreign-keys&gt;&lt;key app="EN" db-id="dzsx90z9o2szwqeeftl50f9td2vxptdd9srf" timestamp="1448833487"&gt;781&lt;/key&gt;&lt;/foreign-keys&gt;&lt;ref-type name="Report"&gt;27&lt;/ref-type&gt;&lt;contributors&gt;&lt;authors&gt;&lt;author&gt;World Health Organisation,&lt;/author&gt;&lt;/authors&gt;&lt;/contributors&gt;&lt;titles&gt;&lt;title&gt;World Health Statistics 2015&lt;/title&gt;&lt;/titles&gt;&lt;dates&gt;&lt;year&gt;2015&lt;/year&gt;&lt;/dates&gt;&lt;pub-location&gt;Geneva: WHO&lt;/pub-location&gt;&lt;urls&gt;&lt;/urls&gt;&lt;/record&gt;&lt;/Cite&gt;&lt;/EndNote&gt;</w:instrText>
        </w:r>
        <w:r w:rsidR="00FB10D4">
          <w:rPr>
            <w:sz w:val="20"/>
          </w:rPr>
          <w:fldChar w:fldCharType="separate"/>
        </w:r>
        <w:r w:rsidR="00FB10D4" w:rsidRPr="00103EEE">
          <w:rPr>
            <w:noProof/>
            <w:sz w:val="20"/>
            <w:vertAlign w:val="superscript"/>
          </w:rPr>
          <w:t>12</w:t>
        </w:r>
        <w:r w:rsidR="00FB10D4">
          <w:rPr>
            <w:sz w:val="20"/>
          </w:rPr>
          <w:fldChar w:fldCharType="end"/>
        </w:r>
      </w:hyperlink>
      <w:r w:rsidRPr="00E60C66">
        <w:rPr>
          <w:sz w:val="20"/>
        </w:rPr>
        <w:t>; India columns 5-6</w:t>
      </w:r>
      <w:hyperlink w:anchor="_ENREF_13" w:tooltip="Government of India, 2009 #6" w:history="1">
        <w:r w:rsidR="00FB10D4" w:rsidRPr="00E60C66">
          <w:rPr>
            <w:sz w:val="20"/>
          </w:rPr>
          <w:fldChar w:fldCharType="begin"/>
        </w:r>
        <w:r w:rsidR="00FB10D4">
          <w:rPr>
            <w:sz w:val="20"/>
          </w:rPr>
          <w:instrText xml:space="preserve"> ADDIN EN.CITE &lt;EndNote&gt;&lt;Cite&gt;&lt;Author&gt;Government of India&lt;/Author&gt;&lt;Year&gt;2009&lt;/Year&gt;&lt;RecNum&gt;6&lt;/RecNum&gt;&lt;DisplayText&gt;&lt;style face="superscript"&gt;13&lt;/style&gt;&lt;/DisplayText&gt;&lt;record&gt;&lt;rec-number&gt;6&lt;/rec-number&gt;&lt;foreign-keys&gt;&lt;key app="EN" db-id="2sp5tdttfertdledza9xaavpe5wrwzestvef"&gt;6&lt;/key&gt;&lt;/foreign-keys&gt;&lt;ref-type name="Government Document"&gt;46&lt;/ref-type&gt;&lt;contributors&gt;&lt;authors&gt;&lt;author&gt;Government of India,&lt;/author&gt;&lt;/authors&gt;&lt;secondary-authors&gt;&lt;author&gt;National Health Accounts Cell,&lt;/author&gt;&lt;author&gt;Ministry of Health and Family Welfare,&lt;/author&gt;&lt;/secondary-authors&gt;&lt;/contributors&gt;&lt;titles&gt;&lt;title&gt;National Health Accounts– India (2004–05) – with provisional estimates from 2005-06 to 2008-09&lt;/title&gt;&lt;/titles&gt;&lt;dates&gt;&lt;year&gt;2009&lt;/year&gt;&lt;/dates&gt;&lt;pub-location&gt;New Delhi&lt;/pub-location&gt;&lt;urls&gt;&lt;/urls&gt;&lt;/record&gt;&lt;/Cite&gt;&lt;/EndNote&gt;</w:instrText>
        </w:r>
        <w:r w:rsidR="00FB10D4" w:rsidRPr="00E60C66">
          <w:rPr>
            <w:sz w:val="20"/>
          </w:rPr>
          <w:fldChar w:fldCharType="separate"/>
        </w:r>
        <w:r w:rsidR="00FB10D4" w:rsidRPr="00103EEE">
          <w:rPr>
            <w:noProof/>
            <w:sz w:val="20"/>
            <w:vertAlign w:val="superscript"/>
          </w:rPr>
          <w:t>13</w:t>
        </w:r>
        <w:r w:rsidR="00FB10D4" w:rsidRPr="00E60C66">
          <w:rPr>
            <w:sz w:val="20"/>
          </w:rPr>
          <w:fldChar w:fldCharType="end"/>
        </w:r>
      </w:hyperlink>
      <w:r w:rsidRPr="00E60C66">
        <w:rPr>
          <w:sz w:val="20"/>
        </w:rPr>
        <w:t>, column 7</w:t>
      </w:r>
      <w:r w:rsidR="00B02381">
        <w:rPr>
          <w:sz w:val="20"/>
        </w:rPr>
        <w:t xml:space="preserve"> see below</w:t>
      </w:r>
      <w:hyperlink w:anchor="_ENREF_14" w:tooltip="Selvaraj, 2009 #38" w:history="1"/>
      <w:r w:rsidRPr="00E60C66">
        <w:rPr>
          <w:sz w:val="20"/>
        </w:rPr>
        <w:t>; Nigeria column 5</w:t>
      </w:r>
      <w:hyperlink w:anchor="_ENREF_14" w:tooltip="Onwujekwe, 2011 #24" w:history="1">
        <w:r w:rsidR="00FB10D4" w:rsidRPr="00E60C66">
          <w:rPr>
            <w:sz w:val="20"/>
          </w:rPr>
          <w:fldChar w:fldCharType="begin"/>
        </w:r>
        <w:r w:rsidR="00FB10D4">
          <w:rPr>
            <w:sz w:val="20"/>
          </w:rPr>
          <w:instrText xml:space="preserve"> ADDIN EN.CITE &lt;EndNote&gt;&lt;Cite&gt;&lt;Author&gt;Onwujekwe&lt;/Author&gt;&lt;Year&gt;2011&lt;/Year&gt;&lt;RecNum&gt;24&lt;/RecNum&gt;&lt;DisplayText&gt;&lt;style face="superscript"&gt;14&lt;/style&gt;&lt;/DisplayText&gt;&lt;record&gt;&lt;rec-number&gt;24&lt;/rec-number&gt;&lt;foreign-keys&gt;&lt;key app="EN" db-id="2sp5tdttfertdledza9xaavpe5wrwzestvef"&gt;24&lt;/key&gt;&lt;/foreign-keys&gt;&lt;ref-type name="Journal Article"&gt;17&lt;/ref-type&gt;&lt;contributors&gt;&lt;authors&gt;&lt;author&gt;Onwujekwe, Obinna&lt;/author&gt;&lt;author&gt;Onoka, Chima&lt;/author&gt;&lt;author&gt;Uzochukwu, Benjamin&lt;/author&gt;&lt;author&gt;Hanson, Kara&lt;/author&gt;&lt;/authors&gt;&lt;/contributors&gt;&lt;titles&gt;&lt;title&gt;Constraints to universal coverage: inequities in health service use and expenditures for different health conditions and providers&lt;/title&gt;&lt;secondary-title&gt;International Journal for Equity in Health&lt;/secondary-title&gt;&lt;/titles&gt;&lt;periodical&gt;&lt;full-title&gt;International Journal for Equity in Health&lt;/full-title&gt;&lt;/periodical&gt;&lt;pages&gt;50&lt;/pages&gt;&lt;volume&gt;10&lt;/volume&gt;&lt;number&gt;1&lt;/number&gt;&lt;dates&gt;&lt;year&gt;2011&lt;/year&gt;&lt;/dates&gt;&lt;isbn&gt;1475-9276&lt;/isbn&gt;&lt;accession-num&gt;doi:10.1186/1475-9276-10-50&lt;/accession-num&gt;&lt;urls&gt;&lt;related-urls&gt;&lt;url&gt;http://www.equityhealthj.com/content/10/1/50&lt;/url&gt;&lt;/related-urls&gt;&lt;/urls&gt;&lt;/record&gt;&lt;/Cite&gt;&lt;/EndNote&gt;</w:instrText>
        </w:r>
        <w:r w:rsidR="00FB10D4" w:rsidRPr="00E60C66">
          <w:rPr>
            <w:sz w:val="20"/>
          </w:rPr>
          <w:fldChar w:fldCharType="separate"/>
        </w:r>
        <w:r w:rsidR="00FB10D4" w:rsidRPr="00192EBD">
          <w:rPr>
            <w:noProof/>
            <w:sz w:val="20"/>
            <w:vertAlign w:val="superscript"/>
          </w:rPr>
          <w:t>14</w:t>
        </w:r>
        <w:r w:rsidR="00FB10D4" w:rsidRPr="00E60C66">
          <w:rPr>
            <w:sz w:val="20"/>
          </w:rPr>
          <w:fldChar w:fldCharType="end"/>
        </w:r>
      </w:hyperlink>
      <w:r w:rsidR="009B4799">
        <w:rPr>
          <w:sz w:val="20"/>
        </w:rPr>
        <w:t xml:space="preserve"> (*</w:t>
      </w:r>
      <w:r w:rsidRPr="00E60C66">
        <w:rPr>
          <w:sz w:val="20"/>
        </w:rPr>
        <w:t>figure is for inpatient plus outpatient), column 7</w:t>
      </w:r>
      <w:hyperlink w:anchor="_ENREF_15" w:tooltip="Soyibo, 2009 #25" w:history="1">
        <w:r w:rsidR="00FB10D4" w:rsidRPr="00E60C66">
          <w:rPr>
            <w:sz w:val="20"/>
          </w:rPr>
          <w:fldChar w:fldCharType="begin"/>
        </w:r>
        <w:r w:rsidR="00FB10D4">
          <w:rPr>
            <w:sz w:val="20"/>
          </w:rPr>
          <w:instrText xml:space="preserve"> ADDIN EN.CITE &lt;EndNote&gt;&lt;Cite&gt;&lt;Author&gt;Soyibo&lt;/Author&gt;&lt;Year&gt;2009&lt;/Year&gt;&lt;RecNum&gt;25&lt;/RecNum&gt;&lt;DisplayText&gt;&lt;style face="superscript"&gt;15&lt;/style&gt;&lt;/DisplayText&gt;&lt;record&gt;&lt;rec-number&gt;25&lt;/rec-number&gt;&lt;foreign-keys&gt;&lt;key app="EN" db-id="2sp5tdttfertdledza9xaavpe5wrwzestvef"&gt;25&lt;/key&gt;&lt;/foreign-keys&gt;&lt;ref-type name="Report"&gt;27&lt;/ref-type&gt;&lt;contributors&gt;&lt;authors&gt;&lt;author&gt;Soyibo, Adedoyin&lt;/author&gt;&lt;author&gt;Olaniyan, Olanreqaju&lt;/author&gt;&lt;author&gt;Lawanson, Akanni&lt;/author&gt;&lt;/authors&gt;&lt;/contributors&gt;&lt;titles&gt;&lt;title&gt;National Health Accounts of Nigeria, 2003 – 2005, Incorporating Sub-National Health Accounts of States Volume 1: Main Report&lt;/title&gt;&lt;/titles&gt;&lt;dates&gt;&lt;year&gt;2009&lt;/year&gt;&lt;/dates&gt;&lt;pub-location&gt;Health Policy Training and Research Programme, Department of Economics, University of Ibadan, Nigeria,&lt;/pub-location&gt;&lt;publisher&gt;Submitted to Federal Ministry of Health, Abuja&lt;/publisher&gt;&lt;urls&gt;&lt;/urls&gt;&lt;/record&gt;&lt;/Cite&gt;&lt;/EndNote&gt;</w:instrText>
        </w:r>
        <w:r w:rsidR="00FB10D4" w:rsidRPr="00E60C66">
          <w:rPr>
            <w:sz w:val="20"/>
          </w:rPr>
          <w:fldChar w:fldCharType="separate"/>
        </w:r>
        <w:r w:rsidR="00FB10D4" w:rsidRPr="00192EBD">
          <w:rPr>
            <w:noProof/>
            <w:sz w:val="20"/>
            <w:vertAlign w:val="superscript"/>
          </w:rPr>
          <w:t>15</w:t>
        </w:r>
        <w:r w:rsidR="00FB10D4" w:rsidRPr="00E60C66">
          <w:rPr>
            <w:sz w:val="20"/>
          </w:rPr>
          <w:fldChar w:fldCharType="end"/>
        </w:r>
      </w:hyperlink>
      <w:r w:rsidRPr="00192EBD">
        <w:rPr>
          <w:sz w:val="20"/>
        </w:rPr>
        <w:t>; Sri Lanka column 5</w:t>
      </w:r>
      <w:hyperlink w:anchor="_ENREF_16" w:tooltip="Govindaraj, 2013 #50" w:history="1">
        <w:r w:rsidR="00FB10D4" w:rsidRPr="00E60C66">
          <w:rPr>
            <w:sz w:val="20"/>
          </w:rPr>
          <w:fldChar w:fldCharType="begin"/>
        </w:r>
        <w:r w:rsidR="00FB10D4">
          <w:rPr>
            <w:sz w:val="20"/>
          </w:rPr>
          <w:instrText xml:space="preserve"> ADDIN EN.CITE &lt;EndNote&gt;&lt;Cite&gt;&lt;Author&gt;Govindaraj&lt;/Author&gt;&lt;Year&gt;2013&lt;/Year&gt;&lt;RecNum&gt;50&lt;/RecNum&gt;&lt;DisplayText&gt;&lt;style face="superscript"&gt;16&lt;/style&gt;&lt;/DisplayText&gt;&lt;record&gt;&lt;rec-number&gt;50&lt;/rec-number&gt;&lt;foreign-keys&gt;&lt;key app="EN" db-id="2sp5tdttfertdledza9xaavpe5wrwzestvef"&gt;50&lt;/key&gt;&lt;/foreign-keys&gt;&lt;ref-type name="Report"&gt;27&lt;/ref-type&gt;&lt;contributors&gt;&lt;authors&gt;&lt;author&gt;Govindaraj, R&lt;/author&gt;&lt;author&gt;Cavagnero, E&lt;/author&gt;&lt;author&gt;Navaratne, K&lt;/author&gt;&lt;author&gt;Gopalan, S&lt;/author&gt;&lt;/authors&gt;&lt;/contributors&gt;&lt;titles&gt;&lt;title&gt;Sri Lanka: Private Health Sector Review &lt;/title&gt;&lt;/titles&gt;&lt;dates&gt;&lt;year&gt;2013&lt;/year&gt;&lt;/dates&gt;&lt;pub-location&gt;Washington DC&lt;/pub-location&gt;&lt;publisher&gt;World Bank&lt;/publisher&gt;&lt;urls&gt;&lt;/urls&gt;&lt;/record&gt;&lt;/Cite&gt;&lt;/EndNote&gt;</w:instrText>
        </w:r>
        <w:r w:rsidR="00FB10D4" w:rsidRPr="00E60C66">
          <w:rPr>
            <w:sz w:val="20"/>
          </w:rPr>
          <w:fldChar w:fldCharType="separate"/>
        </w:r>
        <w:r w:rsidR="00FB10D4" w:rsidRPr="00192EBD">
          <w:rPr>
            <w:noProof/>
            <w:sz w:val="20"/>
            <w:vertAlign w:val="superscript"/>
          </w:rPr>
          <w:t>16</w:t>
        </w:r>
        <w:r w:rsidR="00FB10D4" w:rsidRPr="00E60C66">
          <w:rPr>
            <w:sz w:val="20"/>
          </w:rPr>
          <w:fldChar w:fldCharType="end"/>
        </w:r>
      </w:hyperlink>
      <w:r w:rsidRPr="00192EBD">
        <w:rPr>
          <w:sz w:val="20"/>
        </w:rPr>
        <w:t>, column 6</w:t>
      </w:r>
      <w:hyperlink w:anchor="_ENREF_17" w:tooltip="Fernando, 2009 #51" w:history="1">
        <w:r w:rsidR="00FB10D4" w:rsidRPr="00E60C66">
          <w:rPr>
            <w:sz w:val="20"/>
          </w:rPr>
          <w:fldChar w:fldCharType="begin"/>
        </w:r>
        <w:r w:rsidR="00FB10D4">
          <w:rPr>
            <w:sz w:val="20"/>
          </w:rPr>
          <w:instrText xml:space="preserve"> ADDIN EN.CITE &lt;EndNote&gt;&lt;Cite&gt;&lt;Author&gt;Fernando&lt;/Author&gt;&lt;Year&gt;2009&lt;/Year&gt;&lt;RecNum&gt;51&lt;/RecNum&gt;&lt;DisplayText&gt;&lt;style face="superscript"&gt;17&lt;/style&gt;&lt;/DisplayText&gt;&lt;record&gt;&lt;rec-number&gt;51&lt;/rec-number&gt;&lt;foreign-keys&gt;&lt;key app="EN" db-id="2sp5tdttfertdledza9xaavpe5wrwzestvef"&gt;51&lt;/key&gt;&lt;/foreign-keys&gt;&lt;ref-type name="Report"&gt;27&lt;/ref-type&gt;&lt;contributors&gt;&lt;authors&gt;&lt;author&gt;Fernando, T&lt;/author&gt;&lt;author&gt;Rannan-Eliya, R. P.&lt;/author&gt;&lt;author&gt;Jayasundara, J.M.H.&lt;/author&gt;&lt;/authors&gt;&lt;/contributors&gt;&lt;titles&gt;&lt;title&gt;Sri Lanka Health Accounts: National Health Expenditures 1990–2006&lt;/title&gt;&lt;secondary-title&gt;IHP Health Expenditure Series No. 1&lt;/secondary-title&gt;&lt;/titles&gt;&lt;dates&gt;&lt;year&gt;2009&lt;/year&gt;&lt;/dates&gt;&lt;pub-location&gt;Colombo&lt;/pub-location&gt;&lt;publisher&gt;Institute for Health Policy&lt;/publisher&gt;&lt;urls&gt;&lt;/urls&gt;&lt;/record&gt;&lt;/Cite&gt;&lt;/EndNote&gt;</w:instrText>
        </w:r>
        <w:r w:rsidR="00FB10D4" w:rsidRPr="00E60C66">
          <w:rPr>
            <w:sz w:val="20"/>
          </w:rPr>
          <w:fldChar w:fldCharType="separate"/>
        </w:r>
        <w:r w:rsidR="00FB10D4" w:rsidRPr="00192EBD">
          <w:rPr>
            <w:noProof/>
            <w:sz w:val="20"/>
            <w:vertAlign w:val="superscript"/>
          </w:rPr>
          <w:t>17</w:t>
        </w:r>
        <w:r w:rsidR="00FB10D4" w:rsidRPr="00E60C66">
          <w:rPr>
            <w:sz w:val="20"/>
          </w:rPr>
          <w:fldChar w:fldCharType="end"/>
        </w:r>
      </w:hyperlink>
      <w:r w:rsidRPr="00192EBD">
        <w:rPr>
          <w:sz w:val="20"/>
        </w:rPr>
        <w:t>, column 7</w:t>
      </w:r>
      <w:hyperlink w:anchor="_ENREF_18" w:tooltip="Yazbeck, 2003 #8" w:history="1">
        <w:r w:rsidR="00FB10D4" w:rsidRPr="00E60C66">
          <w:rPr>
            <w:sz w:val="20"/>
          </w:rPr>
          <w:fldChar w:fldCharType="begin"/>
        </w:r>
        <w:r w:rsidR="00FB10D4">
          <w:rPr>
            <w:sz w:val="20"/>
          </w:rPr>
          <w:instrText xml:space="preserve"> ADDIN EN.CITE &lt;EndNote&gt;&lt;Cite&gt;&lt;Author&gt;Yazbeck&lt;/Author&gt;&lt;Year&gt;2003&lt;/Year&gt;&lt;RecNum&gt;8&lt;/RecNum&gt;&lt;DisplayText&gt;&lt;style face="superscript"&gt;18&lt;/style&gt;&lt;/DisplayText&gt;&lt;record&gt;&lt;rec-number&gt;8&lt;/rec-number&gt;&lt;foreign-keys&gt;&lt;key app="EN" db-id="2sp5tdttfertdledza9xaavpe5wrwzestvef"&gt;8&lt;/key&gt;&lt;/foreign-keys&gt;&lt;ref-type name="Book"&gt;6&lt;/ref-type&gt;&lt;contributors&gt;&lt;authors&gt;&lt;author&gt;Yazbeck, Abdo&lt;/author&gt;&lt;author&gt;Peters, David&lt;/author&gt;&lt;/authors&gt;&lt;/contributors&gt;&lt;titles&gt;&lt;title&gt;Health Policy Research in South Asia: Building Capacity for Reform &lt;/title&gt;&lt;/titles&gt;&lt;dates&gt;&lt;year&gt;2003&lt;/year&gt;&lt;/dates&gt;&lt;publisher&gt;World Bank&lt;/publisher&gt;&lt;isbn&gt;978-0-8213-5531-2 &lt;/isbn&gt;&lt;urls&gt;&lt;/urls&gt;&lt;electronic-resource-num&gt;http://dx.doi.org/10.1596/0-8213-5531-7&lt;/electronic-resource-num&gt;&lt;/record&gt;&lt;/Cite&gt;&lt;/EndNote&gt;</w:instrText>
        </w:r>
        <w:r w:rsidR="00FB10D4" w:rsidRPr="00E60C66">
          <w:rPr>
            <w:sz w:val="20"/>
          </w:rPr>
          <w:fldChar w:fldCharType="separate"/>
        </w:r>
        <w:r w:rsidR="00FB10D4" w:rsidRPr="00192EBD">
          <w:rPr>
            <w:noProof/>
            <w:sz w:val="20"/>
            <w:vertAlign w:val="superscript"/>
          </w:rPr>
          <w:t>18</w:t>
        </w:r>
        <w:r w:rsidR="00FB10D4" w:rsidRPr="00E60C66">
          <w:rPr>
            <w:sz w:val="20"/>
          </w:rPr>
          <w:fldChar w:fldCharType="end"/>
        </w:r>
      </w:hyperlink>
      <w:r w:rsidRPr="00192EBD">
        <w:rPr>
          <w:sz w:val="20"/>
        </w:rPr>
        <w:t>; Thailand columns 5-6</w:t>
      </w:r>
      <w:hyperlink w:anchor="_ENREF_19" w:tooltip="Thailand National Statistical Office, 2011 #69" w:history="1">
        <w:r w:rsidR="00FB10D4">
          <w:rPr>
            <w:sz w:val="20"/>
          </w:rPr>
          <w:fldChar w:fldCharType="begin"/>
        </w:r>
        <w:r w:rsidR="00FB10D4">
          <w:rPr>
            <w:sz w:val="20"/>
          </w:rPr>
          <w:instrText xml:space="preserve"> ADDIN EN.CITE &lt;EndNote&gt;&lt;Cite&gt;&lt;Author&gt;Thailand National Statistical Office&lt;/Author&gt;&lt;Year&gt;2011&lt;/Year&gt;&lt;RecNum&gt;69&lt;/RecNum&gt;&lt;DisplayText&gt;&lt;style face="superscript"&gt;19&lt;/style&gt;&lt;/DisplayText&gt;&lt;record&gt;&lt;rec-number&gt;69&lt;/rec-number&gt;&lt;foreign-keys&gt;&lt;key app="EN" db-id="2sp5tdttfertdledza9xaavpe5wrwzestvef"&gt;69&lt;/key&gt;&lt;/foreign-keys&gt;&lt;ref-type name="Report"&gt;27&lt;/ref-type&gt;&lt;contributors&gt;&lt;authors&gt;&lt;author&gt;Thailand National Statistical Office,&lt;/author&gt;&lt;/authors&gt;&lt;/contributors&gt;&lt;titles&gt;&lt;title&gt;The 2011 Survey on Health and Welfare&lt;/title&gt;&lt;/titles&gt;&lt;dates&gt;&lt;year&gt;2011&lt;/year&gt;&lt;/dates&gt;&lt;urls&gt;&lt;related-urls&gt;&lt;url&gt;http://web.nso.go.th/en/survey/hw/data/Hw_11.pdf  &lt;/url&gt;&lt;/related-urls&gt;&lt;/urls&gt;&lt;/record&gt;&lt;/Cite&gt;&lt;/EndNote&gt;</w:instrText>
        </w:r>
        <w:r w:rsidR="00FB10D4">
          <w:rPr>
            <w:sz w:val="20"/>
          </w:rPr>
          <w:fldChar w:fldCharType="separate"/>
        </w:r>
        <w:r w:rsidR="00FB10D4" w:rsidRPr="00192EBD">
          <w:rPr>
            <w:noProof/>
            <w:sz w:val="20"/>
            <w:vertAlign w:val="superscript"/>
          </w:rPr>
          <w:t>19</w:t>
        </w:r>
        <w:r w:rsidR="00FB10D4">
          <w:rPr>
            <w:sz w:val="20"/>
          </w:rPr>
          <w:fldChar w:fldCharType="end"/>
        </w:r>
      </w:hyperlink>
      <w:r w:rsidRPr="00192EBD">
        <w:rPr>
          <w:sz w:val="20"/>
        </w:rPr>
        <w:t>, column 7</w:t>
      </w:r>
      <w:hyperlink w:anchor="_ENREF_20" w:tooltip="Ministry of Public Health, 2009 #26" w:history="1">
        <w:r w:rsidR="00FB10D4" w:rsidRPr="00E60C66">
          <w:rPr>
            <w:sz w:val="20"/>
          </w:rPr>
          <w:fldChar w:fldCharType="begin"/>
        </w:r>
        <w:r w:rsidR="00FB10D4">
          <w:rPr>
            <w:sz w:val="20"/>
          </w:rPr>
          <w:instrText xml:space="preserve"> ADDIN EN.CITE &lt;EndNote&gt;&lt;Cite&gt;&lt;Author&gt;Ministry of Public Health&lt;/Author&gt;&lt;Year&gt;2009&lt;/Year&gt;&lt;RecNum&gt;26&lt;/RecNum&gt;&lt;DisplayText&gt;&lt;style face="superscript"&gt;20&lt;/style&gt;&lt;/DisplayText&gt;&lt;record&gt;&lt;rec-number&gt;26&lt;/rec-number&gt;&lt;foreign-keys&gt;&lt;key app="EN" db-id="2sp5tdttfertdledza9xaavpe5wrwzestvef"&gt;26&lt;/key&gt;&lt;/foreign-keys&gt;&lt;ref-type name="Government Document"&gt;46&lt;/ref-type&gt;&lt;contributors&gt;&lt;authors&gt;&lt;author&gt;Ministry of Public Health,&lt;/author&gt;&lt;/authors&gt;&lt;/contributors&gt;&lt;titles&gt;&lt;title&gt;Thai National Health Accounts: sustainable updates of 2006 and 2007 and diversification &lt;/title&gt;&lt;/titles&gt;&lt;dates&gt;&lt;year&gt;2009&lt;/year&gt;&lt;/dates&gt;&lt;pub-location&gt;Thailand&lt;/pub-location&gt;&lt;urls&gt;&lt;/urls&gt;&lt;/record&gt;&lt;/Cite&gt;&lt;/EndNote&gt;</w:instrText>
        </w:r>
        <w:r w:rsidR="00FB10D4" w:rsidRPr="00E60C66">
          <w:rPr>
            <w:sz w:val="20"/>
          </w:rPr>
          <w:fldChar w:fldCharType="separate"/>
        </w:r>
        <w:r w:rsidR="00FB10D4" w:rsidRPr="00192EBD">
          <w:rPr>
            <w:noProof/>
            <w:sz w:val="20"/>
            <w:vertAlign w:val="superscript"/>
          </w:rPr>
          <w:t>20</w:t>
        </w:r>
        <w:r w:rsidR="00FB10D4" w:rsidRPr="00E60C66">
          <w:rPr>
            <w:sz w:val="20"/>
          </w:rPr>
          <w:fldChar w:fldCharType="end"/>
        </w:r>
      </w:hyperlink>
      <w:r w:rsidRPr="00192EBD">
        <w:rPr>
          <w:sz w:val="20"/>
        </w:rPr>
        <w:t>; Argentina column 5</w:t>
      </w:r>
      <w:hyperlink w:anchor="_ENREF_21" w:tooltip="Ministry of Health, 2012 #52" w:history="1">
        <w:r w:rsidR="00FB10D4" w:rsidRPr="00E60C66">
          <w:rPr>
            <w:sz w:val="20"/>
          </w:rPr>
          <w:fldChar w:fldCharType="begin"/>
        </w:r>
        <w:r w:rsidR="00FB10D4">
          <w:rPr>
            <w:sz w:val="20"/>
          </w:rPr>
          <w:instrText xml:space="preserve"> ADDIN EN.CITE &lt;EndNote&gt;&lt;Cite&gt;&lt;Author&gt;Ministry of Health&lt;/Author&gt;&lt;Year&gt;2012&lt;/Year&gt;&lt;RecNum&gt;52&lt;/RecNum&gt;&lt;DisplayText&gt;&lt;style face="superscript"&gt;21&lt;/style&gt;&lt;/DisplayText&gt;&lt;record&gt;&lt;rec-number&gt;52&lt;/rec-number&gt;&lt;foreign-keys&gt;&lt;key app="EN" db-id="2sp5tdttfertdledza9xaavpe5wrwzestvef"&gt;52&lt;/key&gt;&lt;/foreign-keys&gt;&lt;ref-type name="Report"&gt;27&lt;/ref-type&gt;&lt;contributors&gt;&lt;authors&gt;&lt;author&gt;Ministry of Health,&lt;/author&gt;&lt;/authors&gt;&lt;/contributors&gt;&lt;titles&gt;&lt;title&gt;Encuesta de Utilizacion y Gasto en Servicios de Salud Argentina – Year 2010&lt;/title&gt;&lt;/titles&gt;&lt;dates&gt;&lt;year&gt;2012&lt;/year&gt;&lt;/dates&gt;&lt;pub-location&gt;Argentina&lt;/pub-location&gt;&lt;urls&gt;&lt;/urls&gt;&lt;/record&gt;&lt;/Cite&gt;&lt;/EndNote&gt;</w:instrText>
        </w:r>
        <w:r w:rsidR="00FB10D4" w:rsidRPr="00E60C66">
          <w:rPr>
            <w:sz w:val="20"/>
          </w:rPr>
          <w:fldChar w:fldCharType="separate"/>
        </w:r>
        <w:r w:rsidR="00FB10D4" w:rsidRPr="00192EBD">
          <w:rPr>
            <w:noProof/>
            <w:sz w:val="20"/>
            <w:vertAlign w:val="superscript"/>
          </w:rPr>
          <w:t>21</w:t>
        </w:r>
        <w:r w:rsidR="00FB10D4" w:rsidRPr="00E60C66">
          <w:rPr>
            <w:sz w:val="20"/>
          </w:rPr>
          <w:fldChar w:fldCharType="end"/>
        </w:r>
      </w:hyperlink>
      <w:r w:rsidRPr="00192EBD">
        <w:rPr>
          <w:sz w:val="20"/>
        </w:rPr>
        <w:t>, column 6</w:t>
      </w:r>
      <w:hyperlink w:anchor="_ENREF_22" w:tooltip="INDEC, 2001 #53" w:history="1">
        <w:r w:rsidR="00FB10D4" w:rsidRPr="00E60C66">
          <w:rPr>
            <w:sz w:val="20"/>
          </w:rPr>
          <w:fldChar w:fldCharType="begin"/>
        </w:r>
        <w:r w:rsidR="00FB10D4">
          <w:rPr>
            <w:sz w:val="20"/>
          </w:rPr>
          <w:instrText xml:space="preserve"> ADDIN EN.CITE &lt;EndNote&gt;&lt;Cite&gt;&lt;Author&gt;INDEC&lt;/Author&gt;&lt;Year&gt;2001&lt;/Year&gt;&lt;RecNum&gt;53&lt;/RecNum&gt;&lt;DisplayText&gt;&lt;style face="superscript"&gt;22&lt;/style&gt;&lt;/DisplayText&gt;&lt;record&gt;&lt;rec-number&gt;53&lt;/rec-number&gt;&lt;foreign-keys&gt;&lt;key app="EN" db-id="2sp5tdttfertdledza9xaavpe5wrwzestvef"&gt;53&lt;/key&gt;&lt;/foreign-keys&gt;&lt;ref-type name="Report"&gt;27&lt;/ref-type&gt;&lt;contributors&gt;&lt;authors&gt;&lt;author&gt;INDEC&lt;/author&gt;&lt;/authors&gt;&lt;/contributors&gt;&lt;titles&gt;&lt;title&gt;Encuesta de Condiciones de Vida 2001&lt;/title&gt;&lt;/titles&gt;&lt;dates&gt;&lt;year&gt;2001&lt;/year&gt;&lt;/dates&gt;&lt;publisher&gt;Instituto Nacional de Estadísticas y Censos, INDEC and Sistema de Evaluación y Monitoreo de Programas Sociales, SIEMPRO&lt;/publisher&gt;&lt;urls&gt;&lt;/urls&gt;&lt;/record&gt;&lt;/Cite&gt;&lt;/EndNote&gt;</w:instrText>
        </w:r>
        <w:r w:rsidR="00FB10D4" w:rsidRPr="00E60C66">
          <w:rPr>
            <w:sz w:val="20"/>
          </w:rPr>
          <w:fldChar w:fldCharType="separate"/>
        </w:r>
        <w:r w:rsidR="00FB10D4" w:rsidRPr="00192EBD">
          <w:rPr>
            <w:noProof/>
            <w:sz w:val="20"/>
            <w:vertAlign w:val="superscript"/>
          </w:rPr>
          <w:t>22</w:t>
        </w:r>
        <w:r w:rsidR="00FB10D4" w:rsidRPr="00E60C66">
          <w:rPr>
            <w:sz w:val="20"/>
          </w:rPr>
          <w:fldChar w:fldCharType="end"/>
        </w:r>
      </w:hyperlink>
      <w:r w:rsidRPr="00192EBD">
        <w:rPr>
          <w:sz w:val="20"/>
        </w:rPr>
        <w:t>, column 7</w:t>
      </w:r>
      <w:hyperlink w:anchor="_ENREF_23" w:tooltip="Class, 2014 #138" w:history="1">
        <w:r w:rsidR="00FB10D4">
          <w:rPr>
            <w:sz w:val="20"/>
            <w:lang w:val="es-ES"/>
          </w:rPr>
          <w:fldChar w:fldCharType="begin"/>
        </w:r>
        <w:r w:rsidR="00FB10D4" w:rsidRPr="00192EBD">
          <w:rPr>
            <w:sz w:val="20"/>
          </w:rPr>
          <w:instrText xml:space="preserve"> ADDIN EN.CITE &lt;EndNote&gt;&lt;Cite&gt;&lt;Author&gt;Class&lt;/Author&gt;&lt;Year&gt;2014&lt;/Year&gt;&lt;RecNum&gt;138&lt;/RecNum&gt;&lt;DisplayText&gt;&lt;style face="superscript"&gt;23&lt;/style&gt;&lt;/DisplayText&gt;&lt;record&gt;&lt;rec-number&gt;138&lt;/rec-number&gt;&lt;foreign-keys&gt;&lt;key app="EN" db-id="zfpvwzxdm5awd1e5ps2prsfs5sa55we9efax" timestamp="1453672516"&gt;138&lt;/key&gt;&lt;/foreign-keys&gt;&lt;ref-type name="Report"&gt;27&lt;/ref-type&gt;&lt;contributors&gt;&lt;authors&gt;&lt;author&gt;Class, Deena&lt;/author&gt;&lt;author&gt;Rajkumar, A. Sunil&lt;/author&gt;&lt;author&gt;Cavagnero, Eleonora&lt;/author&gt;&lt;/authors&gt;&lt;/contributors&gt;&lt;titles&gt;&lt;title&gt;Argentina - Health Financing Profile&lt;/title&gt;&lt;/titles&gt;&lt;dates&gt;&lt;year&gt;2014&lt;/year&gt;&lt;/dates&gt;&lt;pub-location&gt;Argentina; Washington DC&lt;/pub-location&gt;&lt;publisher&gt;World Bank Group&lt;/publisher&gt;&lt;urls&gt;&lt;related-urls&gt;&lt;url&gt;http://documents.worldbank.org/curated/en/2014/01/19779856/argentina-health-financing-profile &lt;/url&gt;&lt;/related-urls&gt;&lt;/urls&gt;&lt;/record&gt;&lt;/Cite&gt;&lt;/EndNote&gt;</w:instrText>
        </w:r>
        <w:r w:rsidR="00FB10D4">
          <w:rPr>
            <w:sz w:val="20"/>
            <w:lang w:val="es-ES"/>
          </w:rPr>
          <w:fldChar w:fldCharType="separate"/>
        </w:r>
        <w:r w:rsidR="00FB10D4" w:rsidRPr="00192EBD">
          <w:rPr>
            <w:noProof/>
            <w:sz w:val="20"/>
            <w:vertAlign w:val="superscript"/>
          </w:rPr>
          <w:t>23</w:t>
        </w:r>
        <w:r w:rsidR="00FB10D4">
          <w:rPr>
            <w:sz w:val="20"/>
            <w:lang w:val="es-ES"/>
          </w:rPr>
          <w:fldChar w:fldCharType="end"/>
        </w:r>
      </w:hyperlink>
      <w:r w:rsidRPr="00192EBD">
        <w:rPr>
          <w:sz w:val="20"/>
        </w:rPr>
        <w:t>; South Africa columns 5-6</w:t>
      </w:r>
      <w:hyperlink w:anchor="_ENREF_24" w:tooltip="Alaba, 2012 #11" w:history="1">
        <w:r w:rsidR="00FB10D4" w:rsidRPr="00E60C66">
          <w:rPr>
            <w:sz w:val="20"/>
          </w:rPr>
          <w:fldChar w:fldCharType="begin"/>
        </w:r>
        <w:r w:rsidR="00FB10D4">
          <w:rPr>
            <w:sz w:val="20"/>
          </w:rPr>
          <w:instrText xml:space="preserve"> ADDIN EN.CITE &lt;EndNote&gt;&lt;Cite&gt;&lt;Author&gt;Alaba&lt;/Author&gt;&lt;Year&gt;2012&lt;/Year&gt;&lt;RecNum&gt;11&lt;/RecNum&gt;&lt;DisplayText&gt;&lt;style face="superscript"&gt;24&lt;/style&gt;&lt;/DisplayText&gt;&lt;record&gt;&lt;rec-number&gt;11&lt;/rec-number&gt;&lt;foreign-keys&gt;&lt;key app="EN" db-id="2sp5tdttfertdledza9xaavpe5wrwzestvef"&gt;11&lt;/key&gt;&lt;/foreign-keys&gt;&lt;ref-type name="Journal Article"&gt;17&lt;/ref-type&gt;&lt;contributors&gt;&lt;authors&gt;&lt;author&gt;Alaba, Olufunke A.&lt;/author&gt;&lt;author&gt;McIntyre, Di&lt;/author&gt;&lt;/authors&gt;&lt;/contributors&gt;&lt;titles&gt;&lt;title&gt;What do we know about health service utilisation in South Africa?&lt;/title&gt;&lt;secondary-title&gt;Development Southern Africa&lt;/secondary-title&gt;&lt;/titles&gt;&lt;periodical&gt;&lt;full-title&gt;Development Southern Africa&lt;/full-title&gt;&lt;/periodical&gt;&lt;pages&gt;704-724&lt;/pages&gt;&lt;volume&gt;29&lt;/volume&gt;&lt;number&gt;5&lt;/number&gt;&lt;dates&gt;&lt;year&gt;2012&lt;/year&gt;&lt;pub-dates&gt;&lt;date&gt;2012/12/01&lt;/date&gt;&lt;/pub-dates&gt;&lt;/dates&gt;&lt;publisher&gt;Routledge&lt;/publisher&gt;&lt;isbn&gt;0376-835X&lt;/isbn&gt;&lt;urls&gt;&lt;related-urls&gt;&lt;url&gt;http://dx.doi.org/10.1080/0376835X.2012.730973&lt;/url&gt;&lt;/related-urls&gt;&lt;/urls&gt;&lt;electronic-resource-num&gt;10.1080/0376835X.2012.730973&lt;/electronic-resource-num&gt;&lt;access-date&gt;2013/12/03&lt;/access-date&gt;&lt;/record&gt;&lt;/Cite&gt;&lt;/EndNote&gt;</w:instrText>
        </w:r>
        <w:r w:rsidR="00FB10D4" w:rsidRPr="00E60C66">
          <w:rPr>
            <w:sz w:val="20"/>
          </w:rPr>
          <w:fldChar w:fldCharType="separate"/>
        </w:r>
        <w:r w:rsidR="00FB10D4" w:rsidRPr="00192EBD">
          <w:rPr>
            <w:noProof/>
            <w:sz w:val="20"/>
            <w:vertAlign w:val="superscript"/>
            <w:lang w:val="es-ES"/>
          </w:rPr>
          <w:t>24</w:t>
        </w:r>
        <w:r w:rsidR="00FB10D4" w:rsidRPr="00E60C66">
          <w:rPr>
            <w:sz w:val="20"/>
          </w:rPr>
          <w:fldChar w:fldCharType="end"/>
        </w:r>
      </w:hyperlink>
      <w:r w:rsidRPr="00103EEE">
        <w:rPr>
          <w:sz w:val="20"/>
          <w:lang w:val="es-ES"/>
        </w:rPr>
        <w:t>, column 7</w:t>
      </w:r>
      <w:hyperlink w:anchor="_ENREF_25" w:tooltip="McIntyre, 2007 #68" w:history="1">
        <w:r w:rsidR="00FB10D4">
          <w:rPr>
            <w:sz w:val="20"/>
          </w:rPr>
          <w:fldChar w:fldCharType="begin"/>
        </w:r>
        <w:r w:rsidR="00FB10D4">
          <w:rPr>
            <w:sz w:val="20"/>
          </w:rPr>
          <w:instrText xml:space="preserve"> ADDIN EN.CITE &lt;EndNote&gt;&lt;Cite&gt;&lt;Author&gt;McIntyre&lt;/Author&gt;&lt;Year&gt;2007&lt;/Year&gt;&lt;RecNum&gt;68&lt;/RecNum&gt;&lt;DisplayText&gt;&lt;style face="superscript"&gt;25&lt;/style&gt;&lt;/DisplayText&gt;&lt;record&gt;&lt;rec-number&gt;68&lt;/rec-number&gt;&lt;foreign-keys&gt;&lt;key app="EN" db-id="2sp5tdttfertdledza9xaavpe5wrwzestvef"&gt;68&lt;/key&gt;&lt;/foreign-keys&gt;&lt;ref-type name="Book Section"&gt;5&lt;/ref-type&gt;&lt;contributors&gt;&lt;authors&gt;&lt;author&gt;McIntyre, Di&lt;/author&gt;&lt;author&gt;Thiede, M&lt;/author&gt;&lt;author&gt;Nkosi, M&lt;/author&gt;&lt;author&gt;Mutyambizi, V&lt;/author&gt;&lt;author&gt;Castillo-Riquelme, M&lt;/author&gt;&lt;author&gt;Gilson, Lucy&lt;/author&gt;&lt;author&gt;Erasmus, E&lt;/author&gt;&lt;/authors&gt;&lt;secondary-authors&gt;&lt;author&gt;McIntyre, Di&lt;/author&gt;&lt;author&gt;Thiede, M&lt;/author&gt;&lt;/secondary-authors&gt;&lt;/contributors&gt;&lt;titles&gt;&lt;title&gt;A Critical Analysis of the Current South African Health System&lt;/title&gt;&lt;secondary-title&gt;Health care financing and expenditure&lt;/secondary-title&gt;&lt;/titles&gt;&lt;dates&gt;&lt;year&gt;2007&lt;/year&gt;&lt;/dates&gt;&lt;pub-location&gt;Cape Town: Health Economics Unit, University of Cape Town and Centre for Health Policy,  University of the Witwatersrand&lt;/pub-location&gt;&lt;urls&gt;&lt;related-urls&gt;&lt;url&gt;http://heu-uct.org.za/research/publications/reports-and-working-papers/ &lt;/url&gt;&lt;/related-urls&gt;&lt;/urls&gt;&lt;/record&gt;&lt;/Cite&gt;&lt;/EndNote&gt;</w:instrText>
        </w:r>
        <w:r w:rsidR="00FB10D4">
          <w:rPr>
            <w:sz w:val="20"/>
          </w:rPr>
          <w:fldChar w:fldCharType="separate"/>
        </w:r>
        <w:r w:rsidR="00FB10D4" w:rsidRPr="00192EBD">
          <w:rPr>
            <w:noProof/>
            <w:sz w:val="20"/>
            <w:vertAlign w:val="superscript"/>
            <w:lang w:val="es-ES"/>
          </w:rPr>
          <w:t>25</w:t>
        </w:r>
        <w:r w:rsidR="00FB10D4">
          <w:rPr>
            <w:sz w:val="20"/>
          </w:rPr>
          <w:fldChar w:fldCharType="end"/>
        </w:r>
      </w:hyperlink>
      <w:r w:rsidRPr="00103EEE">
        <w:rPr>
          <w:sz w:val="20"/>
          <w:lang w:val="es-ES"/>
        </w:rPr>
        <w:t>; China columns 5-6</w:t>
      </w:r>
      <w:hyperlink w:anchor="_ENREF_26" w:tooltip="Saksena, 2010 #58" w:history="1">
        <w:r w:rsidR="00FB10D4" w:rsidRPr="00E60C66">
          <w:rPr>
            <w:sz w:val="20"/>
          </w:rPr>
          <w:fldChar w:fldCharType="begin"/>
        </w:r>
        <w:r w:rsidR="00FB10D4">
          <w:rPr>
            <w:sz w:val="20"/>
          </w:rPr>
          <w:instrText xml:space="preserve"> ADDIN EN.CITE &lt;EndNote&gt;&lt;Cite&gt;&lt;Author&gt;Saksena&lt;/Author&gt;&lt;Year&gt;2010&lt;/Year&gt;&lt;RecNum&gt;58&lt;/RecNum&gt;&lt;DisplayText&gt;&lt;style face="superscript"&gt;26&lt;/style&gt;&lt;/DisplayText&gt;&lt;record&gt;&lt;rec-number&gt;58&lt;/rec-number&gt;&lt;foreign-keys&gt;&lt;key app="EN" db-id="2sp5tdttfertdledza9xaavpe5wrwzestvef"&gt;58&lt;/key&gt;&lt;/foreign-keys&gt;&lt;ref-type name="Report"&gt;27&lt;/ref-type&gt;&lt;contributors&gt;&lt;authors&gt;&lt;author&gt;Saksena, Priyanka&lt;/author&gt;&lt;author&gt;Xu, Ke&lt;/author&gt;&lt;author&gt;Elovainio, Riku&lt;/author&gt;&lt;author&gt;Perrot, Jean&lt;/author&gt;&lt;/authors&gt;&lt;/contributors&gt;&lt;titles&gt;&lt;title&gt;Health services utilization and out-of-pocket expenditure at public and private facilities in low-income countries&lt;/title&gt;&lt;secondary-title&gt;World Health Report 2010 Background Paper 20&lt;/secondary-title&gt;&lt;/titles&gt;&lt;dates&gt;&lt;year&gt;2010&lt;/year&gt;&lt;/dates&gt;&lt;publisher&gt;World Health Organisation&lt;/publisher&gt;&lt;urls&gt;&lt;/urls&gt;&lt;/record&gt;&lt;/Cite&gt;&lt;/EndNote&gt;</w:instrText>
        </w:r>
        <w:r w:rsidR="00FB10D4" w:rsidRPr="00E60C66">
          <w:rPr>
            <w:sz w:val="20"/>
          </w:rPr>
          <w:fldChar w:fldCharType="separate"/>
        </w:r>
        <w:r w:rsidR="00FB10D4" w:rsidRPr="00192EBD">
          <w:rPr>
            <w:noProof/>
            <w:sz w:val="20"/>
            <w:vertAlign w:val="superscript"/>
            <w:lang w:val="es-ES"/>
          </w:rPr>
          <w:t>26</w:t>
        </w:r>
        <w:r w:rsidR="00FB10D4" w:rsidRPr="00E60C66">
          <w:rPr>
            <w:sz w:val="20"/>
          </w:rPr>
          <w:fldChar w:fldCharType="end"/>
        </w:r>
      </w:hyperlink>
      <w:r w:rsidRPr="00103EEE">
        <w:rPr>
          <w:sz w:val="20"/>
          <w:lang w:val="es-ES"/>
        </w:rPr>
        <w:t>, column 7</w:t>
      </w:r>
      <w:hyperlink w:anchor="_ENREF_27" w:tooltip="China Ministry of Health, 2009 #13" w:history="1">
        <w:r w:rsidR="00FB10D4" w:rsidRPr="00E60C66">
          <w:rPr>
            <w:sz w:val="20"/>
          </w:rPr>
          <w:fldChar w:fldCharType="begin"/>
        </w:r>
        <w:r w:rsidR="00FB10D4">
          <w:rPr>
            <w:sz w:val="20"/>
          </w:rPr>
          <w:instrText xml:space="preserve"> ADDIN EN.CITE &lt;EndNote&gt;&lt;Cite&gt;&lt;Author&gt;China Ministry of Health&lt;/Author&gt;&lt;Year&gt;2009&lt;/Year&gt;&lt;RecNum&gt;13&lt;/RecNum&gt;&lt;DisplayText&gt;&lt;style face="superscript"&gt;27&lt;/style&gt;&lt;/DisplayText&gt;&lt;record&gt;&lt;rec-number&gt;13&lt;/rec-number&gt;&lt;foreign-keys&gt;&lt;key app="EN" db-id="2sp5tdttfertdledza9xaavpe5wrwzestvef"&gt;13&lt;/key&gt;&lt;/foreign-keys&gt;&lt;ref-type name="Report"&gt;27&lt;/ref-type&gt;&lt;contributors&gt;&lt;authors&gt;&lt;author&gt;China Ministry of Health,&lt;/author&gt;&lt;/authors&gt;&lt;/contributors&gt;&lt;titles&gt;&lt;title&gt;China National Health Yearbook&lt;/title&gt;&lt;/titles&gt;&lt;dates&gt;&lt;year&gt;2009&lt;/year&gt;&lt;/dates&gt;&lt;pub-location&gt;Beijing&lt;/pub-location&gt;&lt;urls&gt;&lt;/urls&gt;&lt;/record&gt;&lt;/Cite&gt;&lt;/EndNote&gt;</w:instrText>
        </w:r>
        <w:r w:rsidR="00FB10D4" w:rsidRPr="00E60C66">
          <w:rPr>
            <w:sz w:val="20"/>
          </w:rPr>
          <w:fldChar w:fldCharType="separate"/>
        </w:r>
        <w:r w:rsidR="00FB10D4" w:rsidRPr="00192EBD">
          <w:rPr>
            <w:noProof/>
            <w:sz w:val="20"/>
            <w:vertAlign w:val="superscript"/>
            <w:lang w:val="es-ES"/>
          </w:rPr>
          <w:t>27</w:t>
        </w:r>
        <w:r w:rsidR="00FB10D4" w:rsidRPr="00E60C66">
          <w:rPr>
            <w:sz w:val="20"/>
          </w:rPr>
          <w:fldChar w:fldCharType="end"/>
        </w:r>
      </w:hyperlink>
      <w:r w:rsidRPr="00103EEE">
        <w:rPr>
          <w:sz w:val="20"/>
          <w:lang w:val="es-ES"/>
        </w:rPr>
        <w:t xml:space="preserve">; </w:t>
      </w:r>
      <w:r w:rsidRPr="00882BEA">
        <w:rPr>
          <w:sz w:val="20"/>
          <w:lang w:val="es-ES"/>
        </w:rPr>
        <w:t>Malawi columns 5-6</w:t>
      </w:r>
      <w:hyperlink w:anchor="_ENREF_26" w:tooltip="Saksena, 2010 #58" w:history="1">
        <w:r w:rsidR="00FB10D4" w:rsidRPr="00882BEA">
          <w:rPr>
            <w:sz w:val="20"/>
          </w:rPr>
          <w:fldChar w:fldCharType="begin"/>
        </w:r>
        <w:r w:rsidR="00FB10D4" w:rsidRPr="00882BEA">
          <w:rPr>
            <w:sz w:val="20"/>
          </w:rPr>
          <w:instrText xml:space="preserve"> ADDIN EN.CITE &lt;EndNote&gt;&lt;Cite&gt;&lt;Author&gt;Saksena&lt;/Author&gt;&lt;Year&gt;2010&lt;/Year&gt;&lt;RecNum&gt;58&lt;/RecNum&gt;&lt;DisplayText&gt;&lt;style face="superscript"&gt;26&lt;/style&gt;&lt;/DisplayText&gt;&lt;record&gt;&lt;rec-number&gt;58&lt;/rec-number&gt;&lt;foreign-keys&gt;&lt;key app="EN" db-id="2sp5tdttfertdledza9xaavpe5wrwzestvef"&gt;58&lt;/key&gt;&lt;/foreign-keys&gt;&lt;ref-type name="Report"&gt;27&lt;/ref-type&gt;&lt;contributors&gt;&lt;authors&gt;&lt;author&gt;Saksena, Priyanka&lt;/author&gt;&lt;author&gt;Xu, Ke&lt;/author&gt;&lt;author&gt;Elovainio, Riku&lt;/author&gt;&lt;author&gt;Perrot, Jean&lt;/author&gt;&lt;/authors&gt;&lt;/contributors&gt;&lt;titles&gt;&lt;title&gt;Health services utilization and out-of-pocket expenditure at public and private facilities in low-income countries&lt;/title&gt;&lt;secondary-title&gt;World Health Report 2010 Background Paper 20&lt;/secondary-title&gt;&lt;/titles&gt;&lt;dates&gt;&lt;year&gt;2010&lt;/year&gt;&lt;/dates&gt;&lt;publisher&gt;World Health Organisation&lt;/publisher&gt;&lt;urls&gt;&lt;/urls&gt;&lt;/record&gt;&lt;/Cite&gt;&lt;/EndNote&gt;</w:instrText>
        </w:r>
        <w:r w:rsidR="00FB10D4" w:rsidRPr="00882BEA">
          <w:rPr>
            <w:sz w:val="20"/>
          </w:rPr>
          <w:fldChar w:fldCharType="separate"/>
        </w:r>
        <w:r w:rsidR="00FB10D4" w:rsidRPr="00882BEA">
          <w:rPr>
            <w:noProof/>
            <w:sz w:val="20"/>
            <w:vertAlign w:val="superscript"/>
            <w:lang w:val="es-ES"/>
          </w:rPr>
          <w:t>26</w:t>
        </w:r>
        <w:r w:rsidR="00FB10D4" w:rsidRPr="00882BEA">
          <w:rPr>
            <w:sz w:val="20"/>
          </w:rPr>
          <w:fldChar w:fldCharType="end"/>
        </w:r>
      </w:hyperlink>
      <w:r w:rsidRPr="00882BEA">
        <w:rPr>
          <w:sz w:val="20"/>
          <w:lang w:val="es-ES"/>
        </w:rPr>
        <w:t xml:space="preserve">, column 7 </w:t>
      </w:r>
      <w:hyperlink w:anchor="_ENREF_28" w:tooltip="The Global Fund, 2008 #30" w:history="1">
        <w:r w:rsidR="00FB10D4" w:rsidRPr="00882BEA">
          <w:rPr>
            <w:sz w:val="20"/>
          </w:rPr>
          <w:fldChar w:fldCharType="begin"/>
        </w:r>
        <w:r w:rsidR="00FB10D4" w:rsidRPr="00882BEA">
          <w:rPr>
            <w:sz w:val="20"/>
          </w:rPr>
          <w:instrText xml:space="preserve"> ADDIN EN.CITE &lt;EndNote&gt;&lt;Cite&gt;&lt;Author&gt;The Global Fund&lt;/Author&gt;&lt;Year&gt;2008&lt;/Year&gt;&lt;RecNum&gt;30&lt;/RecNum&gt;&lt;DisplayText&gt;&lt;style face="superscript"&gt;28&lt;/style&gt;&lt;/DisplayText&gt;&lt;record&gt;&lt;rec-number&gt;30&lt;/rec-number&gt;&lt;foreign-keys&gt;&lt;key app="EN" db-id="2sp5tdttfertdledza9xaavpe5wrwzestvef"&gt;30&lt;/key&gt;&lt;/foreign-keys&gt;&lt;ref-type name="Report"&gt;27&lt;/ref-type&gt;&lt;contributors&gt;&lt;authors&gt;&lt;author&gt;The Global Fund,&lt;/author&gt;&lt;/authors&gt;&lt;/contributors&gt;&lt;titles&gt;&lt;title&gt;Malawi National Health Accounts, With Sub-accounts for HIV and AIDS, Tuberculosis and Malaria&lt;/title&gt;&lt;/titles&gt;&lt;dates&gt;&lt;year&gt;2008&lt;/year&gt;&lt;/dates&gt;&lt;urls&gt;&lt;/urls&gt;&lt;/record&gt;&lt;/Cite&gt;&lt;/EndNote&gt;</w:instrText>
        </w:r>
        <w:r w:rsidR="00FB10D4" w:rsidRPr="00882BEA">
          <w:rPr>
            <w:sz w:val="20"/>
          </w:rPr>
          <w:fldChar w:fldCharType="separate"/>
        </w:r>
        <w:r w:rsidR="00FB10D4" w:rsidRPr="00882BEA">
          <w:rPr>
            <w:noProof/>
            <w:sz w:val="20"/>
            <w:vertAlign w:val="superscript"/>
            <w:lang w:val="es-ES"/>
          </w:rPr>
          <w:t>28</w:t>
        </w:r>
        <w:r w:rsidR="00FB10D4" w:rsidRPr="00882BEA">
          <w:rPr>
            <w:sz w:val="20"/>
          </w:rPr>
          <w:fldChar w:fldCharType="end"/>
        </w:r>
      </w:hyperlink>
      <w:r w:rsidRPr="00882BEA">
        <w:rPr>
          <w:sz w:val="20"/>
          <w:lang w:val="es-ES"/>
        </w:rPr>
        <w:t>; Tanzania columns 5-6</w:t>
      </w:r>
      <w:hyperlink w:anchor="_ENREF_29" w:tooltip="National Bureau of Statistics, 2009 #31" w:history="1">
        <w:r w:rsidR="00FB10D4" w:rsidRPr="00882BEA">
          <w:rPr>
            <w:sz w:val="20"/>
            <w:lang w:val="es-ES"/>
          </w:rPr>
          <w:fldChar w:fldCharType="begin"/>
        </w:r>
        <w:r w:rsidR="00FB10D4" w:rsidRPr="00882BEA">
          <w:rPr>
            <w:sz w:val="20"/>
            <w:lang w:val="es-ES"/>
          </w:rPr>
          <w:instrText xml:space="preserve"> ADDIN EN.CITE &lt;EndNote&gt;&lt;Cite&gt;&lt;Author&gt;National Bureau of Statistics&lt;/Author&gt;&lt;Year&gt;2009&lt;/Year&gt;&lt;RecNum&gt;31&lt;/RecNum&gt;&lt;DisplayText&gt;&lt;style face="superscript"&gt;29&lt;/style&gt;&lt;/DisplayText&gt;&lt;record&gt;&lt;rec-number&gt;31&lt;/rec-number&gt;&lt;foreign-keys&gt;&lt;key app="EN" db-id="2sp5tdttfertdledza9xaavpe5wrwzestvef"&gt;31&lt;/key&gt;&lt;/foreign-keys&gt;&lt;ref-type name="Report"&gt;27&lt;/ref-type&gt;&lt;contributors&gt;&lt;authors&gt;&lt;author&gt;National Bureau of Statistics,&lt;/author&gt;&lt;/authors&gt;&lt;/contributors&gt;&lt;titles&gt;&lt;title&gt;Household Budget Survey 2007 Tanzania Mainland Final report &lt;/title&gt;&lt;/titles&gt;&lt;dates&gt;&lt;year&gt;2009&lt;/year&gt;&lt;/dates&gt;&lt;pub-location&gt;Dar es Salaam&lt;/pub-location&gt;&lt;urls&gt;&lt;/urls&gt;&lt;/record&gt;&lt;/Cite&gt;&lt;/EndNote&gt;</w:instrText>
        </w:r>
        <w:r w:rsidR="00FB10D4" w:rsidRPr="00882BEA">
          <w:rPr>
            <w:sz w:val="20"/>
            <w:lang w:val="es-ES"/>
          </w:rPr>
          <w:fldChar w:fldCharType="separate"/>
        </w:r>
        <w:r w:rsidR="00FB10D4" w:rsidRPr="00882BEA">
          <w:rPr>
            <w:noProof/>
            <w:sz w:val="20"/>
            <w:vertAlign w:val="superscript"/>
            <w:lang w:val="es-ES"/>
          </w:rPr>
          <w:t>29</w:t>
        </w:r>
        <w:r w:rsidR="00FB10D4" w:rsidRPr="00882BEA">
          <w:rPr>
            <w:sz w:val="20"/>
            <w:lang w:val="es-ES"/>
          </w:rPr>
          <w:fldChar w:fldCharType="end"/>
        </w:r>
      </w:hyperlink>
      <w:r w:rsidRPr="00882BEA">
        <w:rPr>
          <w:sz w:val="20"/>
          <w:lang w:val="es-ES"/>
        </w:rPr>
        <w:t>, column 7</w:t>
      </w:r>
      <w:hyperlink w:anchor="_ENREF_30" w:tooltip="Ministry of Health and Social Welfare, 2012 #32" w:history="1">
        <w:r w:rsidR="00FB10D4" w:rsidRPr="00882BEA">
          <w:rPr>
            <w:sz w:val="20"/>
            <w:lang w:val="es-ES"/>
          </w:rPr>
          <w:fldChar w:fldCharType="begin"/>
        </w:r>
        <w:r w:rsidR="00FB10D4" w:rsidRPr="00882BEA">
          <w:rPr>
            <w:sz w:val="20"/>
            <w:lang w:val="es-ES"/>
          </w:rPr>
          <w:instrText xml:space="preserve"> ADDIN EN.CITE &lt;EndNote&gt;&lt;Cite&gt;&lt;Author&gt;Ministry of Health and Social Welfare&lt;/Author&gt;&lt;Year&gt;2012&lt;/Year&gt;&lt;RecNum&gt;32&lt;/RecNum&gt;&lt;DisplayText&gt;&lt;style face="superscript"&gt;30&lt;/style&gt;&lt;/DisplayText&gt;&lt;record&gt;&lt;rec-number&gt;32&lt;/rec-number&gt;&lt;foreign-keys&gt;&lt;key app="EN" db-id="2sp5tdttfertdledza9xaavpe5wrwzestvef"&gt;32&lt;/key&gt;&lt;/foreign-keys&gt;&lt;ref-type name="Report"&gt;27&lt;/ref-type&gt;&lt;contributors&gt;&lt;authors&gt;&lt;author&gt;Ministry of Health and Social Welfare, &lt;/author&gt;&lt;/authors&gt;&lt;/contributors&gt;&lt;titles&gt;&lt;title&gt;National Health Accounts Year 2010 with sub accounts for Malaria, HIV/AIDs and TB &lt;/title&gt;&lt;/titles&gt;&lt;dates&gt;&lt;year&gt;2012&lt;/year&gt;&lt;/dates&gt;&lt;pub-location&gt;Dar es Salaam&lt;/pub-location&gt;&lt;urls&gt;&lt;/urls&gt;&lt;/record&gt;&lt;/Cite&gt;&lt;/EndNote&gt;</w:instrText>
        </w:r>
        <w:r w:rsidR="00FB10D4" w:rsidRPr="00882BEA">
          <w:rPr>
            <w:sz w:val="20"/>
            <w:lang w:val="es-ES"/>
          </w:rPr>
          <w:fldChar w:fldCharType="separate"/>
        </w:r>
        <w:r w:rsidR="00FB10D4" w:rsidRPr="00882BEA">
          <w:rPr>
            <w:noProof/>
            <w:sz w:val="20"/>
            <w:vertAlign w:val="superscript"/>
            <w:lang w:val="es-ES"/>
          </w:rPr>
          <w:t>30</w:t>
        </w:r>
        <w:r w:rsidR="00FB10D4" w:rsidRPr="00882BEA">
          <w:rPr>
            <w:sz w:val="20"/>
            <w:lang w:val="es-ES"/>
          </w:rPr>
          <w:fldChar w:fldCharType="end"/>
        </w:r>
      </w:hyperlink>
      <w:r w:rsidRPr="00882BEA">
        <w:rPr>
          <w:sz w:val="20"/>
          <w:lang w:val="es-ES"/>
        </w:rPr>
        <w:t>; Nepal columns 5-6</w:t>
      </w:r>
      <w:hyperlink w:anchor="_ENREF_26" w:tooltip="Saksena, 2010 #58" w:history="1">
        <w:r w:rsidR="00FB10D4" w:rsidRPr="00882BEA">
          <w:rPr>
            <w:sz w:val="20"/>
          </w:rPr>
          <w:fldChar w:fldCharType="begin"/>
        </w:r>
        <w:r w:rsidR="00FB10D4" w:rsidRPr="00882BEA">
          <w:rPr>
            <w:sz w:val="20"/>
          </w:rPr>
          <w:instrText xml:space="preserve"> ADDIN EN.CITE &lt;EndNote&gt;&lt;Cite&gt;&lt;Author&gt;Saksena&lt;/Author&gt;&lt;Year&gt;2010&lt;/Year&gt;&lt;RecNum&gt;58&lt;/RecNum&gt;&lt;DisplayText&gt;&lt;style face="superscript"&gt;26&lt;/style&gt;&lt;/DisplayText&gt;&lt;record&gt;&lt;rec-number&gt;58&lt;/rec-number&gt;&lt;foreign-keys&gt;&lt;key app="EN" db-id="2sp5tdttfertdledza9xaavpe5wrwzestvef"&gt;58&lt;/key&gt;&lt;/foreign-keys&gt;&lt;ref-type name="Report"&gt;27&lt;/ref-type&gt;&lt;contributors&gt;&lt;authors&gt;&lt;author&gt;Saksena, Priyanka&lt;/author&gt;&lt;author&gt;Xu, Ke&lt;/author&gt;&lt;author&gt;Elovainio, Riku&lt;/author&gt;&lt;author&gt;Perrot, Jean&lt;/author&gt;&lt;/authors&gt;&lt;/contributors&gt;&lt;titles&gt;&lt;title&gt;Health services utilization and out-of-pocket expenditure at public and private facilities in low-income countries&lt;/title&gt;&lt;secondary-title&gt;World Health Report 2010 Background Paper 20&lt;/secondary-title&gt;&lt;/titles&gt;&lt;dates&gt;&lt;year&gt;2010&lt;/year&gt;&lt;/dates&gt;&lt;publisher&gt;World Health Organisation&lt;/publisher&gt;&lt;urls&gt;&lt;/urls&gt;&lt;/record&gt;&lt;/Cite&gt;&lt;/EndNote&gt;</w:instrText>
        </w:r>
        <w:r w:rsidR="00FB10D4" w:rsidRPr="00882BEA">
          <w:rPr>
            <w:sz w:val="20"/>
          </w:rPr>
          <w:fldChar w:fldCharType="separate"/>
        </w:r>
        <w:r w:rsidR="00FB10D4" w:rsidRPr="00882BEA">
          <w:rPr>
            <w:noProof/>
            <w:sz w:val="20"/>
            <w:vertAlign w:val="superscript"/>
            <w:lang w:val="es-ES"/>
          </w:rPr>
          <w:t>26</w:t>
        </w:r>
        <w:r w:rsidR="00FB10D4" w:rsidRPr="00882BEA">
          <w:rPr>
            <w:sz w:val="20"/>
          </w:rPr>
          <w:fldChar w:fldCharType="end"/>
        </w:r>
      </w:hyperlink>
      <w:r w:rsidRPr="00882BEA">
        <w:rPr>
          <w:sz w:val="20"/>
          <w:lang w:val="es-ES"/>
        </w:rPr>
        <w:t>, column 7</w:t>
      </w:r>
      <w:hyperlink w:anchor="_ENREF_31" w:tooltip="Shrestha, 2012 #70" w:history="1">
        <w:r w:rsidR="00FB10D4" w:rsidRPr="00882BEA">
          <w:rPr>
            <w:sz w:val="20"/>
          </w:rPr>
          <w:fldChar w:fldCharType="begin"/>
        </w:r>
        <w:r w:rsidR="00FB10D4" w:rsidRPr="00882BEA">
          <w:rPr>
            <w:sz w:val="20"/>
          </w:rPr>
          <w:instrText xml:space="preserve"> ADDIN EN.CITE &lt;EndNote&gt;&lt;Cite&gt;&lt;Author&gt;Shrestha&lt;/Author&gt;&lt;Year&gt;2012&lt;/Year&gt;&lt;RecNum&gt;70&lt;/RecNum&gt;&lt;DisplayText&gt;&lt;style face="superscript"&gt;31&lt;/style&gt;&lt;/DisplayText&gt;&lt;record&gt;&lt;rec-number&gt;70&lt;/rec-number&gt;&lt;foreign-keys&gt;&lt;key app="EN" db-id="2sp5tdttfertdledza9xaavpe5wrwzestvef"&gt;70&lt;/key&gt;&lt;/foreign-keys&gt;&lt;ref-type name="Report"&gt;27&lt;/ref-type&gt;&lt;contributors&gt;&lt;authors&gt;&lt;author&gt;Shrestha, BR&lt;/author&gt;&lt;author&gt;Gauchan, Y&lt;/author&gt;&lt;author&gt;Gautam, GS&lt;/author&gt;&lt;author&gt;Baral, P&lt;/author&gt;&lt;/authors&gt;&lt;/contributors&gt;&lt;titles&gt;&lt;title&gt;Nepal National Health Accounts, 2006/7-2008/9&lt;/title&gt;&lt;/titles&gt;&lt;dates&gt;&lt;year&gt;2012&lt;/year&gt;&lt;/dates&gt;&lt;publisher&gt;Health Economics and Financing Unit, Ministry of Health and Population, Government of Nepal, Kathmandu&lt;/publisher&gt;&lt;urls&gt;&lt;/urls&gt;&lt;/record&gt;&lt;/Cite&gt;&lt;/EndNote&gt;</w:instrText>
        </w:r>
        <w:r w:rsidR="00FB10D4" w:rsidRPr="00882BEA">
          <w:rPr>
            <w:sz w:val="20"/>
          </w:rPr>
          <w:fldChar w:fldCharType="separate"/>
        </w:r>
        <w:r w:rsidR="00FB10D4" w:rsidRPr="00882BEA">
          <w:rPr>
            <w:noProof/>
            <w:sz w:val="20"/>
            <w:vertAlign w:val="superscript"/>
            <w:lang w:val="es-ES"/>
          </w:rPr>
          <w:t>31</w:t>
        </w:r>
        <w:r w:rsidR="00FB10D4" w:rsidRPr="00882BEA">
          <w:rPr>
            <w:sz w:val="20"/>
          </w:rPr>
          <w:fldChar w:fldCharType="end"/>
        </w:r>
      </w:hyperlink>
      <w:hyperlink w:anchor="_ENREF_29" w:tooltip="Ministry of Health, 2009 #33" w:history="1"/>
      <w:r w:rsidRPr="00882BEA">
        <w:rPr>
          <w:sz w:val="20"/>
          <w:lang w:val="es-ES"/>
        </w:rPr>
        <w:t>; Ghana columns 5-6</w:t>
      </w:r>
      <w:hyperlink w:anchor="_ENREF_26" w:tooltip="Saksena, 2010 #58" w:history="1">
        <w:r w:rsidR="00FB10D4" w:rsidRPr="00882BEA">
          <w:rPr>
            <w:sz w:val="20"/>
          </w:rPr>
          <w:fldChar w:fldCharType="begin"/>
        </w:r>
        <w:r w:rsidR="00FB10D4" w:rsidRPr="00882BEA">
          <w:rPr>
            <w:sz w:val="20"/>
          </w:rPr>
          <w:instrText xml:space="preserve"> ADDIN EN.CITE &lt;EndNote&gt;&lt;Cite&gt;&lt;Author&gt;Saksena&lt;/Author&gt;&lt;Year&gt;2010&lt;/Year&gt;&lt;RecNum&gt;58&lt;/RecNum&gt;&lt;DisplayText&gt;&lt;style face="superscript"&gt;26&lt;/style&gt;&lt;/DisplayText&gt;&lt;record&gt;&lt;rec-number&gt;58&lt;/rec-number&gt;&lt;foreign-keys&gt;&lt;key app="EN" db-id="2sp5tdttfertdledza9xaavpe5wrwzestvef"&gt;58&lt;/key&gt;&lt;/foreign-keys&gt;&lt;ref-type name="Report"&gt;27&lt;/ref-type&gt;&lt;contributors&gt;&lt;authors&gt;&lt;author&gt;Saksena, Priyanka&lt;/author&gt;&lt;author&gt;Xu, Ke&lt;/author&gt;&lt;author&gt;Elovainio, Riku&lt;/author&gt;&lt;author&gt;Perrot, Jean&lt;/author&gt;&lt;/authors&gt;&lt;/contributors&gt;&lt;titles&gt;&lt;title&gt;Health services utilization and out-of-pocket expenditure at public and private facilities in low-income countries&lt;/title&gt;&lt;secondary-title&gt;World Health Report 2010 Background Paper 20&lt;/secondary-title&gt;&lt;/titles&gt;&lt;dates&gt;&lt;year&gt;2010&lt;/year&gt;&lt;/dates&gt;&lt;publisher&gt;World Health Organisation&lt;/publisher&gt;&lt;urls&gt;&lt;/urls&gt;&lt;/record&gt;&lt;/Cite&gt;&lt;/EndNote&gt;</w:instrText>
        </w:r>
        <w:r w:rsidR="00FB10D4" w:rsidRPr="00882BEA">
          <w:rPr>
            <w:sz w:val="20"/>
          </w:rPr>
          <w:fldChar w:fldCharType="separate"/>
        </w:r>
        <w:r w:rsidR="00FB10D4" w:rsidRPr="00882BEA">
          <w:rPr>
            <w:noProof/>
            <w:sz w:val="20"/>
            <w:vertAlign w:val="superscript"/>
            <w:lang w:val="es-ES"/>
          </w:rPr>
          <w:t>26</w:t>
        </w:r>
        <w:r w:rsidR="00FB10D4" w:rsidRPr="00882BEA">
          <w:rPr>
            <w:sz w:val="20"/>
          </w:rPr>
          <w:fldChar w:fldCharType="end"/>
        </w:r>
      </w:hyperlink>
      <w:r w:rsidRPr="00882BEA">
        <w:rPr>
          <w:sz w:val="20"/>
          <w:lang w:val="es-ES"/>
        </w:rPr>
        <w:t>, column 7</w:t>
      </w:r>
      <w:hyperlink w:anchor="_ENREF_32" w:tooltip="Schieber, 2012 #28" w:history="1">
        <w:r w:rsidR="00FB10D4" w:rsidRPr="00882BEA">
          <w:rPr>
            <w:sz w:val="20"/>
          </w:rPr>
          <w:fldChar w:fldCharType="begin"/>
        </w:r>
        <w:r w:rsidR="00FB10D4" w:rsidRPr="00882BEA">
          <w:rPr>
            <w:sz w:val="20"/>
          </w:rPr>
          <w:instrText xml:space="preserve"> ADDIN EN.CITE &lt;EndNote&gt;&lt;Cite&gt;&lt;Author&gt;Schieber&lt;/Author&gt;&lt;Year&gt;2012&lt;/Year&gt;&lt;RecNum&gt;28&lt;/RecNum&gt;&lt;DisplayText&gt;&lt;style face="superscript"&gt;32&lt;/style&gt;&lt;/DisplayText&gt;&lt;record&gt;&lt;rec-number&gt;28&lt;/rec-number&gt;&lt;foreign-keys&gt;&lt;key app="EN" db-id="2sp5tdttfertdledza9xaavpe5wrwzestvef"&gt;28&lt;/key&gt;&lt;/foreign-keys&gt;&lt;ref-type name="Report"&gt;27&lt;/ref-type&gt;&lt;contributors&gt;&lt;authors&gt;&lt;author&gt;Schieber, George&lt;/author&gt;&lt;author&gt;Cashin, Cheryl&lt;/author&gt;&lt;author&gt;Saleh, Karima&lt;/author&gt;&lt;author&gt;Lavado, Rouselle&lt;/author&gt;&lt;/authors&gt;&lt;/contributors&gt;&lt;titles&gt;&lt;title&gt;Health Financing in Ghana &lt;/title&gt;&lt;/titles&gt;&lt;dates&gt;&lt;year&gt;2012&lt;/year&gt;&lt;/dates&gt;&lt;pub-location&gt;Washington&lt;/pub-location&gt;&lt;publisher&gt;World Bank,&lt;/publisher&gt;&lt;urls&gt;&lt;/urls&gt;&lt;/record&gt;&lt;/Cite&gt;&lt;/EndNote&gt;</w:instrText>
        </w:r>
        <w:r w:rsidR="00FB10D4" w:rsidRPr="00882BEA">
          <w:rPr>
            <w:sz w:val="20"/>
          </w:rPr>
          <w:fldChar w:fldCharType="separate"/>
        </w:r>
        <w:r w:rsidR="00FB10D4" w:rsidRPr="00882BEA">
          <w:rPr>
            <w:noProof/>
            <w:sz w:val="20"/>
            <w:vertAlign w:val="superscript"/>
            <w:lang w:val="es-ES"/>
          </w:rPr>
          <w:t>32</w:t>
        </w:r>
        <w:r w:rsidR="00FB10D4" w:rsidRPr="00882BEA">
          <w:rPr>
            <w:sz w:val="20"/>
          </w:rPr>
          <w:fldChar w:fldCharType="end"/>
        </w:r>
      </w:hyperlink>
    </w:p>
    <w:p w14:paraId="1722EEBA" w14:textId="77777777" w:rsidR="00AF09F0" w:rsidRPr="00882BEA" w:rsidRDefault="00AF09F0" w:rsidP="00AF09F0">
      <w:pPr>
        <w:spacing w:after="0" w:line="240" w:lineRule="auto"/>
        <w:rPr>
          <w:sz w:val="18"/>
        </w:rPr>
      </w:pPr>
      <w:r w:rsidRPr="00882BEA">
        <w:rPr>
          <w:sz w:val="18"/>
        </w:rPr>
        <w:t xml:space="preserve">Notes: </w:t>
      </w:r>
    </w:p>
    <w:p w14:paraId="322D1D21" w14:textId="288DBA96" w:rsidR="00AF09F0" w:rsidRPr="00882BEA" w:rsidRDefault="00AF09F0" w:rsidP="00FB10D4">
      <w:pPr>
        <w:spacing w:after="0" w:line="240" w:lineRule="auto"/>
        <w:rPr>
          <w:sz w:val="18"/>
        </w:rPr>
      </w:pPr>
      <w:r w:rsidRPr="00882BEA">
        <w:rPr>
          <w:sz w:val="18"/>
        </w:rPr>
        <w:t>India:</w:t>
      </w:r>
      <w:r w:rsidR="008D191C" w:rsidRPr="00882BEA">
        <w:rPr>
          <w:sz w:val="18"/>
        </w:rPr>
        <w:t xml:space="preserve"> </w:t>
      </w:r>
      <w:r w:rsidR="001261CF" w:rsidRPr="00882BEA">
        <w:rPr>
          <w:sz w:val="18"/>
        </w:rPr>
        <w:t xml:space="preserve">Column 7 </w:t>
      </w:r>
      <w:r w:rsidR="00BF031E" w:rsidRPr="00882BEA">
        <w:rPr>
          <w:sz w:val="18"/>
        </w:rPr>
        <w:t>Calculated as the ratio of receipt</w:t>
      </w:r>
      <w:r w:rsidR="008D191C" w:rsidRPr="00882BEA">
        <w:rPr>
          <w:sz w:val="18"/>
        </w:rPr>
        <w:t>s</w:t>
      </w:r>
      <w:r w:rsidR="00BF031E" w:rsidRPr="00882BEA">
        <w:rPr>
          <w:sz w:val="18"/>
        </w:rPr>
        <w:t xml:space="preserve"> from use</w:t>
      </w:r>
      <w:r w:rsidR="008D191C" w:rsidRPr="00882BEA">
        <w:rPr>
          <w:sz w:val="18"/>
        </w:rPr>
        <w:t>r</w:t>
      </w:r>
      <w:r w:rsidR="00385322" w:rsidRPr="00882BEA">
        <w:rPr>
          <w:sz w:val="18"/>
        </w:rPr>
        <w:t xml:space="preserve"> fees and other charges to patients (codes 020-01, 020-02 and 020-03) to total govern</w:t>
      </w:r>
      <w:r w:rsidR="00192EBD" w:rsidRPr="00882BEA">
        <w:rPr>
          <w:sz w:val="18"/>
        </w:rPr>
        <w:t>m</w:t>
      </w:r>
      <w:r w:rsidR="00385322" w:rsidRPr="00882BEA">
        <w:rPr>
          <w:sz w:val="18"/>
        </w:rPr>
        <w:t>e</w:t>
      </w:r>
      <w:r w:rsidR="00192EBD" w:rsidRPr="00882BEA">
        <w:rPr>
          <w:sz w:val="18"/>
        </w:rPr>
        <w:t>n</w:t>
      </w:r>
      <w:r w:rsidR="00385322" w:rsidRPr="00882BEA">
        <w:rPr>
          <w:sz w:val="18"/>
        </w:rPr>
        <w:t xml:space="preserve">t expenditure at facility level </w:t>
      </w:r>
      <w:r w:rsidR="00B84242" w:rsidRPr="00882BEA">
        <w:rPr>
          <w:sz w:val="18"/>
        </w:rPr>
        <w:t>from state and central governme</w:t>
      </w:r>
      <w:r w:rsidR="00385322" w:rsidRPr="00882BEA">
        <w:rPr>
          <w:sz w:val="18"/>
        </w:rPr>
        <w:t>n</w:t>
      </w:r>
      <w:r w:rsidR="00B84242" w:rsidRPr="00882BEA">
        <w:rPr>
          <w:sz w:val="18"/>
        </w:rPr>
        <w:t>t</w:t>
      </w:r>
      <w:r w:rsidR="00385322" w:rsidRPr="00882BEA">
        <w:rPr>
          <w:sz w:val="18"/>
        </w:rPr>
        <w:t xml:space="preserve"> budgets for 20 major states, 2013-14 (Actual).  </w:t>
      </w:r>
    </w:p>
    <w:p w14:paraId="07C34060" w14:textId="0318738E" w:rsidR="00AF09F0" w:rsidRPr="00882BEA" w:rsidRDefault="00AF09F0" w:rsidP="00FB10D4">
      <w:pPr>
        <w:spacing w:after="0" w:line="240" w:lineRule="auto"/>
        <w:rPr>
          <w:sz w:val="18"/>
        </w:rPr>
      </w:pPr>
      <w:r w:rsidRPr="00882BEA">
        <w:rPr>
          <w:sz w:val="18"/>
        </w:rPr>
        <w:t xml:space="preserve">Nigeria:  Column 5 percentages of all visits including medicines sellers but not herbalists or home treatment; Column (7) calculated from </w:t>
      </w:r>
      <w:r w:rsidR="00F513F4" w:rsidRPr="00882BEA">
        <w:rPr>
          <w:sz w:val="18"/>
        </w:rPr>
        <w:t>Table 3.8 p. 14</w:t>
      </w:r>
      <w:hyperlink w:anchor="_ENREF_15" w:tooltip="Soyibo, 2009 #25" w:history="1">
        <w:r w:rsidR="00FB10D4" w:rsidRPr="00882BEA">
          <w:rPr>
            <w:sz w:val="18"/>
          </w:rPr>
          <w:fldChar w:fldCharType="begin"/>
        </w:r>
        <w:r w:rsidR="00FB10D4" w:rsidRPr="00882BEA">
          <w:rPr>
            <w:sz w:val="18"/>
          </w:rPr>
          <w:instrText xml:space="preserve"> ADDIN EN.CITE &lt;EndNote&gt;&lt;Cite&gt;&lt;Author&gt;Soyibo&lt;/Author&gt;&lt;Year&gt;2009&lt;/Year&gt;&lt;RecNum&gt;25&lt;/RecNum&gt;&lt;DisplayText&gt;&lt;style face="superscript"&gt;15&lt;/style&gt;&lt;/DisplayText&gt;&lt;record&gt;&lt;rec-number&gt;25&lt;/rec-number&gt;&lt;foreign-keys&gt;&lt;key app="EN" db-id="2sp5tdttfertdledza9xaavpe5wrwzestvef"&gt;25&lt;/key&gt;&lt;/foreign-keys&gt;&lt;ref-type name="Report"&gt;27&lt;/ref-type&gt;&lt;contributors&gt;&lt;authors&gt;&lt;author&gt;Soyibo, Adedoyin&lt;/author&gt;&lt;author&gt;Olaniyan, Olanreqaju&lt;/author&gt;&lt;author&gt;Lawanson, Akanni&lt;/author&gt;&lt;/authors&gt;&lt;/contributors&gt;&lt;titles&gt;&lt;title&gt;National Health Accounts of Nigeria, 2003 – 2005, Incorporating Sub-National Health Accounts of States Volume 1: Main Report&lt;/title&gt;&lt;/titles&gt;&lt;dates&gt;&lt;year&gt;2009&lt;/year&gt;&lt;/dates&gt;&lt;pub-location&gt;Health Policy Training and Research Programme, Department of Economics, University of Ibadan, Nigeria,&lt;/pub-location&gt;&lt;publisher&gt;Submitted to Federal Ministry of Health, Abuja&lt;/publisher&gt;&lt;urls&gt;&lt;/urls&gt;&lt;/record&gt;&lt;/Cite&gt;&lt;/EndNote&gt;</w:instrText>
        </w:r>
        <w:r w:rsidR="00FB10D4" w:rsidRPr="00882BEA">
          <w:rPr>
            <w:sz w:val="18"/>
          </w:rPr>
          <w:fldChar w:fldCharType="separate"/>
        </w:r>
        <w:r w:rsidR="00FB10D4" w:rsidRPr="00882BEA">
          <w:rPr>
            <w:noProof/>
            <w:sz w:val="18"/>
            <w:vertAlign w:val="superscript"/>
          </w:rPr>
          <w:t>15</w:t>
        </w:r>
        <w:r w:rsidR="00FB10D4" w:rsidRPr="00882BEA">
          <w:rPr>
            <w:sz w:val="18"/>
          </w:rPr>
          <w:fldChar w:fldCharType="end"/>
        </w:r>
      </w:hyperlink>
    </w:p>
    <w:p w14:paraId="68895DFE" w14:textId="77777777" w:rsidR="00E97428" w:rsidRPr="00882BEA" w:rsidRDefault="00AF09F0" w:rsidP="00AF09F0">
      <w:pPr>
        <w:spacing w:after="0" w:line="240" w:lineRule="auto"/>
        <w:rPr>
          <w:sz w:val="18"/>
        </w:rPr>
      </w:pPr>
      <w:r w:rsidRPr="00882BEA">
        <w:rPr>
          <w:sz w:val="18"/>
        </w:rPr>
        <w:t>Thailand: Columns 5 and 6 calculated from data for all visits to a facility for illness in last month</w:t>
      </w:r>
      <w:r w:rsidR="005353C7" w:rsidRPr="00882BEA">
        <w:rPr>
          <w:sz w:val="18"/>
        </w:rPr>
        <w:t xml:space="preserve">; </w:t>
      </w:r>
    </w:p>
    <w:p w14:paraId="78E7BF2C" w14:textId="1D1544B9" w:rsidR="00AF09F0" w:rsidRPr="00882BEA" w:rsidRDefault="00AF09F0" w:rsidP="00FB10D4">
      <w:pPr>
        <w:spacing w:after="0" w:line="240" w:lineRule="auto"/>
        <w:rPr>
          <w:sz w:val="18"/>
        </w:rPr>
      </w:pPr>
      <w:r w:rsidRPr="00882BEA">
        <w:rPr>
          <w:sz w:val="18"/>
        </w:rPr>
        <w:t>South Africa: Columns 5 and 6 refer to outpatient and in-patient visits</w:t>
      </w:r>
      <w:r w:rsidR="00FD1F5C" w:rsidRPr="00882BEA">
        <w:rPr>
          <w:sz w:val="18"/>
        </w:rPr>
        <w:t xml:space="preserve">; Column </w:t>
      </w:r>
      <w:r w:rsidRPr="00882BEA">
        <w:rPr>
          <w:sz w:val="18"/>
        </w:rPr>
        <w:t>7 calculated from data based on some extrapolations from 1990s NHA; the authors comment that OOP is probably underestimated in their data</w:t>
      </w:r>
      <w:hyperlink w:anchor="_ENREF_25" w:tooltip="McIntyre, 2007 #68" w:history="1">
        <w:r w:rsidR="00FB10D4" w:rsidRPr="00882BEA">
          <w:rPr>
            <w:sz w:val="18"/>
          </w:rPr>
          <w:fldChar w:fldCharType="begin"/>
        </w:r>
        <w:r w:rsidR="00FB10D4" w:rsidRPr="00882BEA">
          <w:rPr>
            <w:sz w:val="18"/>
          </w:rPr>
          <w:instrText xml:space="preserve"> ADDIN EN.CITE &lt;EndNote&gt;&lt;Cite&gt;&lt;Author&gt;McIntyre&lt;/Author&gt;&lt;Year&gt;2007&lt;/Year&gt;&lt;RecNum&gt;68&lt;/RecNum&gt;&lt;DisplayText&gt;&lt;style face="superscript"&gt;25&lt;/style&gt;&lt;/DisplayText&gt;&lt;record&gt;&lt;rec-number&gt;68&lt;/rec-number&gt;&lt;foreign-keys&gt;&lt;key app="EN" db-id="2sp5tdttfertdledza9xaavpe5wrwzestvef"&gt;68&lt;/key&gt;&lt;/foreign-keys&gt;&lt;ref-type name="Book Section"&gt;5&lt;/ref-type&gt;&lt;contributors&gt;&lt;authors&gt;&lt;author&gt;McIntyre, Di&lt;/author&gt;&lt;author&gt;Thiede, M&lt;/author&gt;&lt;author&gt;Nkosi, M&lt;/author&gt;&lt;author&gt;Mutyambizi, V&lt;/author&gt;&lt;author&gt;Castillo-Riquelme, M&lt;/author&gt;&lt;author&gt;Gilson, Lucy&lt;/author&gt;&lt;author&gt;Erasmus, E&lt;/author&gt;&lt;/authors&gt;&lt;secondary-authors&gt;&lt;author&gt;McIntyre, Di&lt;/author&gt;&lt;author&gt;Thiede, M&lt;/author&gt;&lt;/secondary-authors&gt;&lt;/contributors&gt;&lt;titles&gt;&lt;title&gt;A Critical Analysis of the Current South African Health System&lt;/title&gt;&lt;secondary-title&gt;Health care financing and expenditure&lt;/secondary-title&gt;&lt;/titles&gt;&lt;dates&gt;&lt;year&gt;2007&lt;/year&gt;&lt;/dates&gt;&lt;pub-location&gt;Cape Town: Health Economics Unit, University of Cape Town and Centre for Health Policy,  University of the Witwatersrand&lt;/pub-location&gt;&lt;urls&gt;&lt;related-urls&gt;&lt;url&gt;http://heu-uct.org.za/research/publications/reports-and-working-papers/ &lt;/url&gt;&lt;/related-urls&gt;&lt;/urls&gt;&lt;/record&gt;&lt;/Cite&gt;&lt;/EndNote&gt;</w:instrText>
        </w:r>
        <w:r w:rsidR="00FB10D4" w:rsidRPr="00882BEA">
          <w:rPr>
            <w:sz w:val="18"/>
          </w:rPr>
          <w:fldChar w:fldCharType="separate"/>
        </w:r>
        <w:r w:rsidR="00FB10D4" w:rsidRPr="00882BEA">
          <w:rPr>
            <w:noProof/>
            <w:sz w:val="18"/>
            <w:vertAlign w:val="superscript"/>
          </w:rPr>
          <w:t>25</w:t>
        </w:r>
        <w:r w:rsidR="00FB10D4" w:rsidRPr="00882BEA">
          <w:rPr>
            <w:sz w:val="18"/>
          </w:rPr>
          <w:fldChar w:fldCharType="end"/>
        </w:r>
      </w:hyperlink>
      <w:r w:rsidRPr="00882BEA">
        <w:rPr>
          <w:sz w:val="18"/>
        </w:rPr>
        <w:t xml:space="preserve">.  </w:t>
      </w:r>
    </w:p>
    <w:p w14:paraId="6D9DFC62" w14:textId="77777777" w:rsidR="00AF09F0" w:rsidRPr="00882BEA" w:rsidRDefault="00AF09F0" w:rsidP="00AF09F0">
      <w:pPr>
        <w:spacing w:after="0" w:line="240" w:lineRule="auto"/>
        <w:rPr>
          <w:sz w:val="18"/>
        </w:rPr>
      </w:pPr>
      <w:r w:rsidRPr="00882BEA">
        <w:rPr>
          <w:sz w:val="18"/>
        </w:rPr>
        <w:t xml:space="preserve">China: </w:t>
      </w:r>
      <w:r w:rsidR="00D40A5E" w:rsidRPr="00882BEA">
        <w:rPr>
          <w:sz w:val="18"/>
        </w:rPr>
        <w:t xml:space="preserve">Column 7 the data are for rural health centres only, 2001, do not include urban facilities. </w:t>
      </w:r>
    </w:p>
    <w:p w14:paraId="60E8301D" w14:textId="77777777" w:rsidR="00AF09F0" w:rsidRPr="00882BEA" w:rsidRDefault="00AF09F0" w:rsidP="00AF09F0">
      <w:pPr>
        <w:spacing w:after="0" w:line="240" w:lineRule="auto"/>
        <w:rPr>
          <w:sz w:val="18"/>
        </w:rPr>
      </w:pPr>
      <w:r w:rsidRPr="00882BEA">
        <w:rPr>
          <w:sz w:val="18"/>
        </w:rPr>
        <w:t>Malawi: Column 7 percentage is for hospitals only,</w:t>
      </w:r>
      <w:r w:rsidR="00FD6EF4" w:rsidRPr="00882BEA">
        <w:rPr>
          <w:sz w:val="18"/>
        </w:rPr>
        <w:t xml:space="preserve"> as source does</w:t>
      </w:r>
      <w:r w:rsidRPr="00882BEA">
        <w:rPr>
          <w:sz w:val="18"/>
        </w:rPr>
        <w:t xml:space="preserve"> do not break down ambulatory care expenditure by public/private providers. </w:t>
      </w:r>
    </w:p>
    <w:p w14:paraId="468AB3C2" w14:textId="77777777" w:rsidR="0047596B" w:rsidRPr="00882BEA" w:rsidRDefault="00AF09F0" w:rsidP="00AF09F0">
      <w:pPr>
        <w:spacing w:after="0" w:line="240" w:lineRule="auto"/>
        <w:rPr>
          <w:sz w:val="18"/>
        </w:rPr>
      </w:pPr>
      <w:r w:rsidRPr="00882BEA">
        <w:rPr>
          <w:sz w:val="18"/>
        </w:rPr>
        <w:t xml:space="preserve">Tanzania: Column 5 </w:t>
      </w:r>
      <w:r w:rsidR="00FD6EF4" w:rsidRPr="00882BEA">
        <w:rPr>
          <w:sz w:val="18"/>
        </w:rPr>
        <w:t>p</w:t>
      </w:r>
      <w:r w:rsidRPr="00882BEA">
        <w:rPr>
          <w:sz w:val="18"/>
        </w:rPr>
        <w:t xml:space="preserve">ercentages of visits to primary providers (dispensaries, </w:t>
      </w:r>
      <w:r w:rsidR="000B4B34" w:rsidRPr="00882BEA">
        <w:rPr>
          <w:sz w:val="18"/>
        </w:rPr>
        <w:t>individual doctors, pharmacies)</w:t>
      </w:r>
      <w:r w:rsidRPr="00882BEA">
        <w:rPr>
          <w:sz w:val="18"/>
        </w:rPr>
        <w:t xml:space="preserve">; Column 6 </w:t>
      </w:r>
      <w:r w:rsidR="00FD6EF4" w:rsidRPr="00882BEA">
        <w:rPr>
          <w:sz w:val="18"/>
        </w:rPr>
        <w:t>p</w:t>
      </w:r>
      <w:r w:rsidRPr="00882BEA">
        <w:rPr>
          <w:sz w:val="18"/>
        </w:rPr>
        <w:t>ercentages of visits to hospitals and health centres</w:t>
      </w:r>
      <w:r w:rsidR="000B4B34" w:rsidRPr="00882BEA">
        <w:rPr>
          <w:sz w:val="18"/>
        </w:rPr>
        <w:t xml:space="preserve"> </w:t>
      </w:r>
    </w:p>
    <w:p w14:paraId="521EF08B" w14:textId="77777777" w:rsidR="007A6AEA" w:rsidRPr="00A84F8C" w:rsidRDefault="00F66ACD" w:rsidP="00E60C66">
      <w:pPr>
        <w:spacing w:after="0" w:line="240" w:lineRule="auto"/>
      </w:pPr>
      <w:r w:rsidRPr="00882BEA">
        <w:rPr>
          <w:sz w:val="18"/>
        </w:rPr>
        <w:t>Nepal: Column 7 refers to government ho</w:t>
      </w:r>
      <w:r w:rsidR="00FE22E9" w:rsidRPr="00882BEA">
        <w:rPr>
          <w:sz w:val="18"/>
        </w:rPr>
        <w:t xml:space="preserve">spitals and other facilities; data </w:t>
      </w:r>
      <w:r w:rsidR="00FE22E9" w:rsidRPr="00882BEA">
        <w:rPr>
          <w:sz w:val="18"/>
          <w:szCs w:val="18"/>
        </w:rPr>
        <w:t>taken from the NHA, which states that Total Government Health Expenditure 2008/9 was NPR16729, while NPR1151 was out of</w:t>
      </w:r>
      <w:r w:rsidR="00FE22E9" w:rsidRPr="00FE22E9">
        <w:rPr>
          <w:sz w:val="18"/>
          <w:szCs w:val="18"/>
        </w:rPr>
        <w:t xml:space="preserve"> pocket costs in government hospitals/facilities.</w:t>
      </w:r>
      <w:r w:rsidR="007A6AEA" w:rsidRPr="00A84F8C">
        <w:br w:type="page"/>
      </w:r>
    </w:p>
    <w:p w14:paraId="07FEE0E3" w14:textId="77777777" w:rsidR="007A6AEA" w:rsidRPr="00A84F8C" w:rsidRDefault="007A6AEA">
      <w:pPr>
        <w:sectPr w:rsidR="007A6AEA" w:rsidRPr="00A84F8C" w:rsidSect="001265CD">
          <w:pgSz w:w="16838" w:h="11906" w:orient="landscape"/>
          <w:pgMar w:top="1440" w:right="1440" w:bottom="1440" w:left="1440" w:header="709" w:footer="709" w:gutter="0"/>
          <w:cols w:space="708"/>
          <w:docGrid w:linePitch="360"/>
        </w:sectPr>
      </w:pPr>
    </w:p>
    <w:p w14:paraId="58061684" w14:textId="77777777" w:rsidR="00EB74F1" w:rsidRPr="00C94E37" w:rsidRDefault="00EB74F1" w:rsidP="00EB74F1">
      <w:pPr>
        <w:pStyle w:val="ListParagraph"/>
        <w:numPr>
          <w:ilvl w:val="0"/>
          <w:numId w:val="4"/>
        </w:numPr>
        <w:spacing w:after="0"/>
        <w:rPr>
          <w:sz w:val="24"/>
          <w:szCs w:val="24"/>
        </w:rPr>
      </w:pPr>
      <w:r w:rsidRPr="00A84F8C">
        <w:rPr>
          <w:b/>
          <w:sz w:val="24"/>
          <w:szCs w:val="24"/>
        </w:rPr>
        <w:t>A dominant private sector:</w:t>
      </w:r>
      <w:r w:rsidR="00B479DE">
        <w:rPr>
          <w:b/>
          <w:sz w:val="24"/>
          <w:szCs w:val="24"/>
        </w:rPr>
        <w:t xml:space="preserve"> </w:t>
      </w:r>
      <w:r w:rsidRPr="00A84F8C">
        <w:rPr>
          <w:b/>
          <w:sz w:val="24"/>
          <w:szCs w:val="24"/>
        </w:rPr>
        <w:t>India</w:t>
      </w:r>
      <w:r w:rsidR="001C51A7" w:rsidRPr="00A84F8C">
        <w:rPr>
          <w:b/>
          <w:sz w:val="24"/>
          <w:szCs w:val="24"/>
        </w:rPr>
        <w:t xml:space="preserve"> and Nigeria</w:t>
      </w:r>
    </w:p>
    <w:p w14:paraId="7C9AACAD" w14:textId="77777777" w:rsidR="00C94E37" w:rsidRPr="00C94E37" w:rsidRDefault="00C94E37" w:rsidP="00C94E37">
      <w:pPr>
        <w:spacing w:after="0"/>
        <w:rPr>
          <w:sz w:val="24"/>
          <w:szCs w:val="24"/>
        </w:rPr>
      </w:pPr>
    </w:p>
    <w:p w14:paraId="54DF6A2C" w14:textId="27DD5066" w:rsidR="005A1720" w:rsidRPr="00600C00" w:rsidRDefault="005A1720" w:rsidP="00956BDE">
      <w:pPr>
        <w:tabs>
          <w:tab w:val="num" w:pos="720"/>
        </w:tabs>
        <w:spacing w:after="120"/>
        <w:rPr>
          <w:i/>
        </w:rPr>
      </w:pPr>
      <w:r w:rsidRPr="00A84F8C">
        <w:t>India and Nigeria share</w:t>
      </w:r>
      <w:r w:rsidR="00EB74F1" w:rsidRPr="00A84F8C">
        <w:t xml:space="preserve"> </w:t>
      </w:r>
      <w:r w:rsidR="00847422" w:rsidRPr="00A84F8C">
        <w:t xml:space="preserve">three </w:t>
      </w:r>
      <w:r w:rsidR="00EB74F1" w:rsidRPr="00A84F8C">
        <w:t>i</w:t>
      </w:r>
      <w:r w:rsidR="00847422" w:rsidRPr="00A84F8C">
        <w:t xml:space="preserve">nteracting characteristics: </w:t>
      </w:r>
      <w:r w:rsidR="00EB74F1" w:rsidRPr="00A84F8C">
        <w:t>a globally high private</w:t>
      </w:r>
      <w:r w:rsidR="00DC5C72">
        <w:t xml:space="preserve"> share of total health expenditure</w:t>
      </w:r>
      <w:r w:rsidR="004B3B78">
        <w:t xml:space="preserve"> </w:t>
      </w:r>
      <w:r w:rsidR="00EB74F1" w:rsidRPr="00A84F8C">
        <w:t xml:space="preserve">and low ratio of public health expenditure to GDP; a private sector – including unlicensed sole </w:t>
      </w:r>
      <w:r w:rsidR="00EB74F1" w:rsidRPr="00882BEA">
        <w:t>practitioner</w:t>
      </w:r>
      <w:r w:rsidR="0081689F" w:rsidRPr="00882BEA">
        <w:t xml:space="preserve">s, shops and medicines vendors – that </w:t>
      </w:r>
      <w:r w:rsidR="00EB74F1" w:rsidRPr="00882BEA">
        <w:t>domin</w:t>
      </w:r>
      <w:r w:rsidR="0081689F" w:rsidRPr="00882BEA">
        <w:t xml:space="preserve">ates health care </w:t>
      </w:r>
      <w:r w:rsidR="00DC5C72" w:rsidRPr="00882BEA">
        <w:t xml:space="preserve">provision </w:t>
      </w:r>
      <w:r w:rsidR="0081689F" w:rsidRPr="00882BEA">
        <w:t>at</w:t>
      </w:r>
      <w:r w:rsidR="00EB74F1" w:rsidRPr="00882BEA">
        <w:t xml:space="preserve"> all levels and incomes; and </w:t>
      </w:r>
      <w:r w:rsidR="00553FCE" w:rsidRPr="00882BEA">
        <w:t xml:space="preserve">highly deteriorated </w:t>
      </w:r>
      <w:r w:rsidR="00DC5C72" w:rsidRPr="00882BEA">
        <w:t xml:space="preserve">public </w:t>
      </w:r>
      <w:r w:rsidR="009D220B" w:rsidRPr="00882BEA">
        <w:t xml:space="preserve">health </w:t>
      </w:r>
      <w:r w:rsidR="00DC5C72" w:rsidRPr="00882BEA">
        <w:t>sector</w:t>
      </w:r>
      <w:r w:rsidR="00E1442C" w:rsidRPr="00882BEA">
        <w:t xml:space="preserve">s </w:t>
      </w:r>
      <w:r w:rsidR="00553FCE" w:rsidRPr="00882BEA">
        <w:t>in which, in Nigeria’s case, fees and charges create</w:t>
      </w:r>
      <w:r w:rsidR="00EB74F1" w:rsidRPr="00882BEA">
        <w:t xml:space="preserve"> a</w:t>
      </w:r>
      <w:r w:rsidR="00553FCE" w:rsidRPr="00882BEA">
        <w:t>n additional</w:t>
      </w:r>
      <w:r w:rsidR="00EB74F1" w:rsidRPr="00882BEA">
        <w:t xml:space="preserve"> barrier to</w:t>
      </w:r>
      <w:r w:rsidRPr="00882BEA">
        <w:t xml:space="preserve"> care</w:t>
      </w:r>
      <w:r w:rsidR="00553FCE" w:rsidRPr="00882BEA">
        <w:t xml:space="preserve"> (Table 1), and in both countries, lack of public sector availability forces patients to turn elsewhere</w:t>
      </w:r>
      <w:r w:rsidR="00EB74F1" w:rsidRPr="00882BEA">
        <w:t xml:space="preserve">.  In both countries this </w:t>
      </w:r>
      <w:r w:rsidRPr="00882BEA">
        <w:t xml:space="preserve">pattern </w:t>
      </w:r>
      <w:r w:rsidR="0081689F" w:rsidRPr="00882BEA">
        <w:t xml:space="preserve">has been </w:t>
      </w:r>
      <w:r w:rsidRPr="00882BEA">
        <w:t xml:space="preserve">associated with </w:t>
      </w:r>
      <w:r w:rsidR="00EB74F1" w:rsidRPr="00882BEA">
        <w:t>accelerated private sector growth;</w:t>
      </w:r>
      <w:r w:rsidRPr="00882BEA">
        <w:t xml:space="preserve"> </w:t>
      </w:r>
      <w:r w:rsidR="00EB74F1" w:rsidRPr="00882BEA">
        <w:t>low quality private provision for the low income population;</w:t>
      </w:r>
      <w:r w:rsidRPr="00882BEA">
        <w:t xml:space="preserve"> </w:t>
      </w:r>
      <w:r w:rsidR="00EB74F1" w:rsidRPr="00882BEA">
        <w:t>high levels of out</w:t>
      </w:r>
      <w:r w:rsidR="00EB74F1" w:rsidRPr="00A84F8C">
        <w:t>-of-pocket health spending;</w:t>
      </w:r>
      <w:r w:rsidRPr="00A84F8C">
        <w:t xml:space="preserve"> </w:t>
      </w:r>
      <w:r w:rsidR="00B0486D" w:rsidRPr="00A84F8C">
        <w:t xml:space="preserve">and </w:t>
      </w:r>
      <w:r w:rsidR="00EB74F1" w:rsidRPr="00A84F8C">
        <w:t xml:space="preserve">a lack of </w:t>
      </w:r>
      <w:r w:rsidR="00DC5C72">
        <w:t xml:space="preserve">safety net </w:t>
      </w:r>
      <w:r w:rsidR="00EB74F1" w:rsidRPr="00A84F8C">
        <w:t>access for the poor to accessible and competent public provision.</w:t>
      </w:r>
      <w:r w:rsidRPr="00A84F8C">
        <w:t xml:space="preserve"> The pattern </w:t>
      </w:r>
      <w:r w:rsidR="00B0486D" w:rsidRPr="00A84F8C">
        <w:t xml:space="preserve">and its consequences </w:t>
      </w:r>
      <w:r w:rsidRPr="00A84F8C">
        <w:t xml:space="preserve">is illustrated </w:t>
      </w:r>
      <w:r w:rsidR="0081689F">
        <w:t xml:space="preserve">here </w:t>
      </w:r>
      <w:r w:rsidRPr="00A84F8C">
        <w:t>by the Indian case</w:t>
      </w:r>
      <w:r w:rsidR="00436053">
        <w:t>.</w:t>
      </w:r>
    </w:p>
    <w:p w14:paraId="19F9079B" w14:textId="20752946" w:rsidR="00CC1441" w:rsidRDefault="00930A32" w:rsidP="00FB10D4">
      <w:pPr>
        <w:spacing w:after="120"/>
      </w:pPr>
      <w:r w:rsidRPr="00A84F8C">
        <w:t xml:space="preserve">India has long </w:t>
      </w:r>
      <w:r w:rsidR="00CC1441">
        <w:t>been</w:t>
      </w:r>
      <w:r w:rsidR="00EF2676">
        <w:t xml:space="preserve"> </w:t>
      </w:r>
      <w:r w:rsidR="007B6702">
        <w:t xml:space="preserve">one of </w:t>
      </w:r>
      <w:r w:rsidR="008B6C4F">
        <w:t xml:space="preserve">the </w:t>
      </w:r>
      <w:r w:rsidR="00EF2676">
        <w:t xml:space="preserve">nations with the </w:t>
      </w:r>
      <w:r w:rsidR="008B6C4F">
        <w:t>lowest level</w:t>
      </w:r>
      <w:r w:rsidR="007B6702">
        <w:t>s</w:t>
      </w:r>
      <w:r w:rsidR="008B6C4F">
        <w:t xml:space="preserve"> of </w:t>
      </w:r>
      <w:r w:rsidRPr="00A84F8C">
        <w:t>public health spe</w:t>
      </w:r>
      <w:r w:rsidR="00B7577A" w:rsidRPr="00A84F8C">
        <w:t>nding</w:t>
      </w:r>
      <w:hyperlink w:anchor="_ENREF_13" w:tooltip="Government of India, 2009 #6" w:history="1">
        <w:r w:rsidR="00FB10D4" w:rsidRPr="00A84F8C">
          <w:fldChar w:fldCharType="begin"/>
        </w:r>
        <w:r w:rsidR="00FB10D4">
          <w:instrText xml:space="preserve"> ADDIN EN.CITE &lt;EndNote&gt;&lt;Cite&gt;&lt;Author&gt;Government of India&lt;/Author&gt;&lt;Year&gt;2009&lt;/Year&gt;&lt;RecNum&gt;6&lt;/RecNum&gt;&lt;DisplayText&gt;&lt;style face="superscript"&gt;13&lt;/style&gt;&lt;/DisplayText&gt;&lt;record&gt;&lt;rec-number&gt;6&lt;/rec-number&gt;&lt;foreign-keys&gt;&lt;key app="EN" db-id="2sp5tdttfertdledza9xaavpe5wrwzestvef"&gt;6&lt;/key&gt;&lt;/foreign-keys&gt;&lt;ref-type name="Government Document"&gt;46&lt;/ref-type&gt;&lt;contributors&gt;&lt;authors&gt;&lt;author&gt;Government of India,&lt;/author&gt;&lt;/authors&gt;&lt;secondary-authors&gt;&lt;author&gt;National Health Accounts Cell,&lt;/author&gt;&lt;author&gt;Ministry of Health and Family Welfare,&lt;/author&gt;&lt;/secondary-authors&gt;&lt;/contributors&gt;&lt;titles&gt;&lt;title&gt;National Health Accounts– India (2004–05) – with provisional estimates from 2005-06 to 2008-09&lt;/title&gt;&lt;/titles&gt;&lt;dates&gt;&lt;year&gt;2009&lt;/year&gt;&lt;/dates&gt;&lt;pub-location&gt;New Delhi&lt;/pub-location&gt;&lt;urls&gt;&lt;/urls&gt;&lt;/record&gt;&lt;/Cite&gt;&lt;/EndNote&gt;</w:instrText>
        </w:r>
        <w:r w:rsidR="00FB10D4" w:rsidRPr="00A84F8C">
          <w:fldChar w:fldCharType="separate"/>
        </w:r>
        <w:r w:rsidR="00FB10D4" w:rsidRPr="00103EEE">
          <w:rPr>
            <w:noProof/>
            <w:vertAlign w:val="superscript"/>
          </w:rPr>
          <w:t>13</w:t>
        </w:r>
        <w:r w:rsidR="00FB10D4" w:rsidRPr="00A84F8C">
          <w:fldChar w:fldCharType="end"/>
        </w:r>
      </w:hyperlink>
      <w:r w:rsidRPr="00A84F8C">
        <w:t>. As a percentage of GDP, the Indian government spent just 1.1% on health care in 20</w:t>
      </w:r>
      <w:r w:rsidR="00EE5481">
        <w:t>08-09</w:t>
      </w:r>
      <w:hyperlink w:anchor="_ENREF_33" w:tooltip="Planning Commission, 2012 #7" w:history="1">
        <w:r w:rsidR="00FB10D4" w:rsidRPr="00A84F8C">
          <w:fldChar w:fldCharType="begin"/>
        </w:r>
        <w:r w:rsidR="00FB10D4">
          <w:instrText xml:space="preserve"> ADDIN EN.CITE &lt;EndNote&gt;&lt;Cite&gt;&lt;Author&gt;Planning Commission&lt;/Author&gt;&lt;Year&gt;2012&lt;/Year&gt;&lt;RecNum&gt;7&lt;/RecNum&gt;&lt;DisplayText&gt;&lt;style face="superscript"&gt;33&lt;/style&gt;&lt;/DisplayText&gt;&lt;record&gt;&lt;rec-number&gt;7&lt;/rec-number&gt;&lt;foreign-keys&gt;&lt;key app="EN" db-id="2sp5tdttfertdledza9xaavpe5wrwzestvef"&gt;7&lt;/key&gt;&lt;/foreign-keys&gt;&lt;ref-type name="Report"&gt;27&lt;/ref-type&gt;&lt;contributors&gt;&lt;authors&gt;&lt;author&gt;Planning Commission,&lt;/author&gt;&lt;/authors&gt;&lt;/contributors&gt;&lt;titles&gt;&lt;title&gt;Report to the Steering Committee on Health for the 12th Five Year Plan&lt;/title&gt;&lt;/titles&gt;&lt;dates&gt;&lt;year&gt;2012&lt;/year&gt;&lt;/dates&gt;&lt;pub-location&gt;New Delhi&lt;/pub-location&gt;&lt;publisher&gt;Health Division, Planning Commission, Government of India&lt;/publisher&gt;&lt;urls&gt;&lt;/urls&gt;&lt;/record&gt;&lt;/Cite&gt;&lt;/EndNote&gt;</w:instrText>
        </w:r>
        <w:r w:rsidR="00FB10D4" w:rsidRPr="00A84F8C">
          <w:fldChar w:fldCharType="separate"/>
        </w:r>
        <w:r w:rsidR="00FB10D4" w:rsidRPr="00FB10D4">
          <w:rPr>
            <w:noProof/>
            <w:vertAlign w:val="superscript"/>
          </w:rPr>
          <w:t>33</w:t>
        </w:r>
        <w:r w:rsidR="00FB10D4" w:rsidRPr="00A84F8C">
          <w:fldChar w:fldCharType="end"/>
        </w:r>
      </w:hyperlink>
      <w:r w:rsidR="00EE5481">
        <w:t xml:space="preserve">. </w:t>
      </w:r>
      <w:r w:rsidRPr="00A84F8C">
        <w:t xml:space="preserve">Inadequate government financing and utter neglect of public provision of health services </w:t>
      </w:r>
      <w:r w:rsidR="00023830">
        <w:t xml:space="preserve">has </w:t>
      </w:r>
      <w:r w:rsidRPr="00A84F8C">
        <w:t>led to extreme dominance of</w:t>
      </w:r>
      <w:r w:rsidR="00DC5C72">
        <w:t xml:space="preserve"> the</w:t>
      </w:r>
      <w:r w:rsidRPr="00A84F8C">
        <w:t xml:space="preserve"> private sector. Nationally representative large-scale household surveys show a sharp increase in the role of private healthcare provision in the last two decades. Dominance of outpatient care (allopathy and non-allopathy providers) by private general practitioners and pharmacists consolidated at nearly 80</w:t>
      </w:r>
      <w:r w:rsidR="00E60C66">
        <w:t>%</w:t>
      </w:r>
      <w:r w:rsidRPr="00A84F8C">
        <w:t xml:space="preserve"> of visits</w:t>
      </w:r>
      <w:r w:rsidR="007B6702">
        <w:t xml:space="preserve"> in both rural and urban areas, while p</w:t>
      </w:r>
      <w:r w:rsidRPr="00A84F8C">
        <w:t>rivate inpatient care also rose sharply</w:t>
      </w:r>
      <w:r w:rsidR="007B6702">
        <w:t xml:space="preserve">, to about </w:t>
      </w:r>
      <w:r w:rsidRPr="00A84F8C">
        <w:t xml:space="preserve">60 per cent of total episodes, </w:t>
      </w:r>
      <w:r w:rsidR="00CC1441">
        <w:t xml:space="preserve">from </w:t>
      </w:r>
      <w:r w:rsidRPr="00A84F8C">
        <w:t xml:space="preserve">1986-87 </w:t>
      </w:r>
      <w:r w:rsidR="00EF2676">
        <w:t xml:space="preserve">to </w:t>
      </w:r>
      <w:r w:rsidRPr="00A84F8C">
        <w:t>20</w:t>
      </w:r>
      <w:r w:rsidR="009F503E">
        <w:t>1</w:t>
      </w:r>
      <w:r w:rsidRPr="00A84F8C">
        <w:t>4</w:t>
      </w:r>
      <w:r w:rsidR="007B6702">
        <w:t xml:space="preserve"> </w:t>
      </w:r>
      <w:r w:rsidR="007B6702" w:rsidRPr="00A84F8C">
        <w:t xml:space="preserve"> (Table 2)</w:t>
      </w:r>
      <w:r w:rsidRPr="00A84F8C">
        <w:t>.</w:t>
      </w:r>
    </w:p>
    <w:p w14:paraId="01A59530" w14:textId="77777777" w:rsidR="00023830" w:rsidRPr="00A84F8C" w:rsidRDefault="00023830" w:rsidP="00023830">
      <w:pPr>
        <w:spacing w:after="120"/>
        <w:rPr>
          <w:rFonts w:ascii="Arial" w:hAnsi="Arial" w:cs="Arial"/>
          <w:b/>
          <w:sz w:val="20"/>
          <w:szCs w:val="20"/>
        </w:rPr>
      </w:pPr>
      <w:r w:rsidRPr="00A84F8C">
        <w:rPr>
          <w:rFonts w:ascii="Arial" w:hAnsi="Arial" w:cs="Arial"/>
          <w:b/>
          <w:sz w:val="20"/>
          <w:szCs w:val="20"/>
        </w:rPr>
        <w:t>Table 2 India: Perce</w:t>
      </w:r>
      <w:r>
        <w:rPr>
          <w:rFonts w:ascii="Arial" w:hAnsi="Arial" w:cs="Arial"/>
          <w:b/>
          <w:sz w:val="20"/>
          <w:szCs w:val="20"/>
        </w:rPr>
        <w:t xml:space="preserve">ntage share of </w:t>
      </w:r>
      <w:r w:rsidRPr="00A84F8C">
        <w:rPr>
          <w:rFonts w:ascii="Arial" w:hAnsi="Arial" w:cs="Arial"/>
          <w:b/>
          <w:sz w:val="20"/>
          <w:szCs w:val="20"/>
        </w:rPr>
        <w:t>private providers in episodes of hospitalisation and outpatient care 1986-87 and 20</w:t>
      </w:r>
      <w:r w:rsidR="009F503E">
        <w:rPr>
          <w:rFonts w:ascii="Arial" w:hAnsi="Arial" w:cs="Arial"/>
          <w:b/>
          <w:sz w:val="20"/>
          <w:szCs w:val="20"/>
        </w:rPr>
        <w:t>1</w:t>
      </w:r>
      <w:r w:rsidRPr="00A84F8C">
        <w:rPr>
          <w:rFonts w:ascii="Arial" w:hAnsi="Arial" w:cs="Arial"/>
          <w:b/>
          <w:sz w:val="20"/>
          <w:szCs w:val="20"/>
        </w:rPr>
        <w:t>4</w:t>
      </w:r>
    </w:p>
    <w:tbl>
      <w:tblPr>
        <w:tblW w:w="0" w:type="auto"/>
        <w:tblLook w:val="01E0" w:firstRow="1" w:lastRow="1" w:firstColumn="1" w:lastColumn="1" w:noHBand="0" w:noVBand="0"/>
      </w:tblPr>
      <w:tblGrid>
        <w:gridCol w:w="783"/>
        <w:gridCol w:w="1211"/>
        <w:gridCol w:w="842"/>
        <w:gridCol w:w="994"/>
        <w:gridCol w:w="691"/>
      </w:tblGrid>
      <w:tr w:rsidR="00023830" w:rsidRPr="00EE5481" w14:paraId="337B6EDC" w14:textId="77777777" w:rsidTr="00A11C9E">
        <w:tc>
          <w:tcPr>
            <w:tcW w:w="0" w:type="auto"/>
            <w:vMerge w:val="restart"/>
            <w:tcBorders>
              <w:top w:val="single" w:sz="4" w:space="0" w:color="auto"/>
            </w:tcBorders>
            <w:hideMark/>
          </w:tcPr>
          <w:p w14:paraId="4858F7AD" w14:textId="77777777" w:rsidR="00023830" w:rsidRPr="00E60C66" w:rsidRDefault="00023830" w:rsidP="00023830">
            <w:pPr>
              <w:spacing w:after="0"/>
              <w:rPr>
                <w:rFonts w:cstheme="minorHAnsi"/>
              </w:rPr>
            </w:pPr>
          </w:p>
        </w:tc>
        <w:tc>
          <w:tcPr>
            <w:tcW w:w="0" w:type="auto"/>
            <w:gridSpan w:val="2"/>
            <w:tcBorders>
              <w:top w:val="single" w:sz="4" w:space="0" w:color="auto"/>
              <w:bottom w:val="single" w:sz="4" w:space="0" w:color="auto"/>
            </w:tcBorders>
            <w:vAlign w:val="center"/>
            <w:hideMark/>
          </w:tcPr>
          <w:p w14:paraId="18228C41" w14:textId="77777777" w:rsidR="00023830" w:rsidRPr="00EE5481" w:rsidRDefault="00023830" w:rsidP="00023830">
            <w:pPr>
              <w:spacing w:after="0"/>
              <w:jc w:val="center"/>
              <w:rPr>
                <w:rFonts w:cstheme="minorHAnsi"/>
                <w:b/>
              </w:rPr>
            </w:pPr>
            <w:r w:rsidRPr="00EE5481">
              <w:rPr>
                <w:rFonts w:cstheme="minorHAnsi"/>
                <w:b/>
              </w:rPr>
              <w:t>Hospitalisation Care</w:t>
            </w:r>
          </w:p>
        </w:tc>
        <w:tc>
          <w:tcPr>
            <w:tcW w:w="0" w:type="auto"/>
            <w:gridSpan w:val="2"/>
            <w:tcBorders>
              <w:top w:val="single" w:sz="4" w:space="0" w:color="auto"/>
              <w:bottom w:val="single" w:sz="4" w:space="0" w:color="auto"/>
            </w:tcBorders>
            <w:vAlign w:val="center"/>
            <w:hideMark/>
          </w:tcPr>
          <w:p w14:paraId="006B67D8" w14:textId="77777777" w:rsidR="00023830" w:rsidRPr="00EE5481" w:rsidRDefault="00023830" w:rsidP="00023830">
            <w:pPr>
              <w:spacing w:after="0"/>
              <w:jc w:val="center"/>
              <w:rPr>
                <w:rFonts w:cstheme="minorHAnsi"/>
                <w:b/>
              </w:rPr>
            </w:pPr>
            <w:r w:rsidRPr="00EE5481">
              <w:rPr>
                <w:rFonts w:cstheme="minorHAnsi"/>
                <w:b/>
              </w:rPr>
              <w:t>Outpatient Care</w:t>
            </w:r>
          </w:p>
        </w:tc>
      </w:tr>
      <w:tr w:rsidR="00023830" w:rsidRPr="00EE5481" w14:paraId="2931AD0A" w14:textId="77777777" w:rsidTr="00A11C9E">
        <w:tc>
          <w:tcPr>
            <w:tcW w:w="0" w:type="auto"/>
            <w:vMerge/>
            <w:tcBorders>
              <w:bottom w:val="single" w:sz="4" w:space="0" w:color="auto"/>
            </w:tcBorders>
            <w:vAlign w:val="center"/>
            <w:hideMark/>
          </w:tcPr>
          <w:p w14:paraId="2158B9E7" w14:textId="77777777" w:rsidR="00023830" w:rsidRPr="00E60C66" w:rsidRDefault="00023830" w:rsidP="00A11C9E">
            <w:pPr>
              <w:spacing w:after="0"/>
              <w:rPr>
                <w:rFonts w:cstheme="minorHAnsi"/>
              </w:rPr>
            </w:pPr>
          </w:p>
        </w:tc>
        <w:tc>
          <w:tcPr>
            <w:tcW w:w="0" w:type="auto"/>
            <w:tcBorders>
              <w:top w:val="single" w:sz="4" w:space="0" w:color="auto"/>
              <w:bottom w:val="single" w:sz="4" w:space="0" w:color="auto"/>
            </w:tcBorders>
            <w:vAlign w:val="center"/>
            <w:hideMark/>
          </w:tcPr>
          <w:p w14:paraId="63E098F0" w14:textId="77777777" w:rsidR="00023830" w:rsidRPr="00EE5481" w:rsidRDefault="00023830" w:rsidP="00A11C9E">
            <w:pPr>
              <w:spacing w:after="0"/>
              <w:jc w:val="center"/>
              <w:rPr>
                <w:rFonts w:cstheme="minorHAnsi"/>
                <w:b/>
              </w:rPr>
            </w:pPr>
            <w:r w:rsidRPr="00EE5481">
              <w:rPr>
                <w:rFonts w:cstheme="minorHAnsi"/>
                <w:b/>
              </w:rPr>
              <w:t>1986-87</w:t>
            </w:r>
          </w:p>
        </w:tc>
        <w:tc>
          <w:tcPr>
            <w:tcW w:w="0" w:type="auto"/>
            <w:tcBorders>
              <w:top w:val="single" w:sz="4" w:space="0" w:color="auto"/>
              <w:bottom w:val="single" w:sz="4" w:space="0" w:color="auto"/>
            </w:tcBorders>
            <w:vAlign w:val="center"/>
            <w:hideMark/>
          </w:tcPr>
          <w:p w14:paraId="3A58125B" w14:textId="77777777" w:rsidR="00023830" w:rsidRPr="00EE5481" w:rsidRDefault="00023830" w:rsidP="006D766C">
            <w:pPr>
              <w:spacing w:after="0"/>
              <w:jc w:val="center"/>
              <w:rPr>
                <w:rFonts w:cstheme="minorHAnsi"/>
                <w:b/>
              </w:rPr>
            </w:pPr>
            <w:r w:rsidRPr="00EE5481">
              <w:rPr>
                <w:rFonts w:cstheme="minorHAnsi"/>
                <w:b/>
              </w:rPr>
              <w:t>20</w:t>
            </w:r>
            <w:r w:rsidR="006D766C">
              <w:rPr>
                <w:rFonts w:cstheme="minorHAnsi"/>
                <w:b/>
              </w:rPr>
              <w:t>1</w:t>
            </w:r>
            <w:r w:rsidRPr="00EE5481">
              <w:rPr>
                <w:rFonts w:cstheme="minorHAnsi"/>
                <w:b/>
              </w:rPr>
              <w:t>4</w:t>
            </w:r>
          </w:p>
        </w:tc>
        <w:tc>
          <w:tcPr>
            <w:tcW w:w="0" w:type="auto"/>
            <w:tcBorders>
              <w:top w:val="single" w:sz="4" w:space="0" w:color="auto"/>
              <w:bottom w:val="single" w:sz="4" w:space="0" w:color="auto"/>
            </w:tcBorders>
            <w:vAlign w:val="center"/>
            <w:hideMark/>
          </w:tcPr>
          <w:p w14:paraId="5FC50313" w14:textId="77777777" w:rsidR="00023830" w:rsidRPr="00EE5481" w:rsidRDefault="00023830" w:rsidP="00A11C9E">
            <w:pPr>
              <w:spacing w:after="0"/>
              <w:jc w:val="center"/>
              <w:rPr>
                <w:rFonts w:cstheme="minorHAnsi"/>
                <w:b/>
              </w:rPr>
            </w:pPr>
            <w:r w:rsidRPr="00EE5481">
              <w:rPr>
                <w:rFonts w:cstheme="minorHAnsi"/>
                <w:b/>
              </w:rPr>
              <w:t>1986-87</w:t>
            </w:r>
          </w:p>
        </w:tc>
        <w:tc>
          <w:tcPr>
            <w:tcW w:w="0" w:type="auto"/>
            <w:tcBorders>
              <w:top w:val="single" w:sz="4" w:space="0" w:color="auto"/>
              <w:bottom w:val="single" w:sz="4" w:space="0" w:color="auto"/>
            </w:tcBorders>
            <w:vAlign w:val="center"/>
            <w:hideMark/>
          </w:tcPr>
          <w:p w14:paraId="2413DDD3" w14:textId="77777777" w:rsidR="00023830" w:rsidRPr="00EE5481" w:rsidRDefault="00023830" w:rsidP="006D766C">
            <w:pPr>
              <w:spacing w:after="0"/>
              <w:jc w:val="center"/>
              <w:rPr>
                <w:rFonts w:cstheme="minorHAnsi"/>
                <w:b/>
              </w:rPr>
            </w:pPr>
            <w:r w:rsidRPr="00EE5481">
              <w:rPr>
                <w:rFonts w:cstheme="minorHAnsi"/>
                <w:b/>
              </w:rPr>
              <w:t>20</w:t>
            </w:r>
            <w:r w:rsidR="006D766C">
              <w:rPr>
                <w:rFonts w:cstheme="minorHAnsi"/>
                <w:b/>
              </w:rPr>
              <w:t>1</w:t>
            </w:r>
            <w:r w:rsidRPr="00EE5481">
              <w:rPr>
                <w:rFonts w:cstheme="minorHAnsi"/>
                <w:b/>
              </w:rPr>
              <w:t>4</w:t>
            </w:r>
          </w:p>
        </w:tc>
      </w:tr>
      <w:tr w:rsidR="00023830" w:rsidRPr="00EE5481" w14:paraId="4C3A6375" w14:textId="77777777" w:rsidTr="00A11C9E">
        <w:trPr>
          <w:trHeight w:val="249"/>
        </w:trPr>
        <w:tc>
          <w:tcPr>
            <w:tcW w:w="0" w:type="auto"/>
            <w:tcBorders>
              <w:top w:val="single" w:sz="4" w:space="0" w:color="auto"/>
              <w:bottom w:val="single" w:sz="4" w:space="0" w:color="auto"/>
            </w:tcBorders>
            <w:hideMark/>
          </w:tcPr>
          <w:p w14:paraId="71C813C0" w14:textId="77777777" w:rsidR="00023830" w:rsidRPr="00E60C66" w:rsidRDefault="00023830" w:rsidP="00A11C9E">
            <w:pPr>
              <w:spacing w:after="0"/>
              <w:rPr>
                <w:rFonts w:cstheme="minorHAnsi"/>
              </w:rPr>
            </w:pPr>
            <w:r w:rsidRPr="00EE5481">
              <w:rPr>
                <w:rFonts w:cstheme="minorHAnsi"/>
                <w:b/>
              </w:rPr>
              <w:t>Rural</w:t>
            </w:r>
          </w:p>
        </w:tc>
        <w:tc>
          <w:tcPr>
            <w:tcW w:w="0" w:type="auto"/>
            <w:tcBorders>
              <w:top w:val="single" w:sz="4" w:space="0" w:color="auto"/>
              <w:bottom w:val="single" w:sz="4" w:space="0" w:color="auto"/>
            </w:tcBorders>
            <w:hideMark/>
          </w:tcPr>
          <w:p w14:paraId="23AA92A8" w14:textId="77777777" w:rsidR="00023830" w:rsidRPr="00EE5481" w:rsidRDefault="00023830" w:rsidP="00A11C9E">
            <w:pPr>
              <w:spacing w:after="0"/>
              <w:jc w:val="center"/>
              <w:rPr>
                <w:rFonts w:cstheme="minorHAnsi"/>
              </w:rPr>
            </w:pPr>
            <w:r w:rsidRPr="00EE5481">
              <w:rPr>
                <w:rFonts w:cstheme="minorHAnsi"/>
              </w:rPr>
              <w:t>40.0</w:t>
            </w:r>
          </w:p>
        </w:tc>
        <w:tc>
          <w:tcPr>
            <w:tcW w:w="0" w:type="auto"/>
            <w:tcBorders>
              <w:top w:val="single" w:sz="4" w:space="0" w:color="auto"/>
              <w:bottom w:val="single" w:sz="4" w:space="0" w:color="auto"/>
            </w:tcBorders>
            <w:hideMark/>
          </w:tcPr>
          <w:p w14:paraId="61C8EBB4" w14:textId="77777777" w:rsidR="00023830" w:rsidRPr="00EE5481" w:rsidRDefault="00023830" w:rsidP="009F503E">
            <w:pPr>
              <w:spacing w:after="0"/>
              <w:jc w:val="center"/>
              <w:rPr>
                <w:rFonts w:cstheme="minorHAnsi"/>
              </w:rPr>
            </w:pPr>
            <w:r w:rsidRPr="00EE5481">
              <w:rPr>
                <w:rFonts w:cstheme="minorHAnsi"/>
              </w:rPr>
              <w:t>58.</w:t>
            </w:r>
            <w:r w:rsidR="009F503E">
              <w:rPr>
                <w:rFonts w:cstheme="minorHAnsi"/>
              </w:rPr>
              <w:t>1</w:t>
            </w:r>
          </w:p>
        </w:tc>
        <w:tc>
          <w:tcPr>
            <w:tcW w:w="0" w:type="auto"/>
            <w:tcBorders>
              <w:top w:val="single" w:sz="4" w:space="0" w:color="auto"/>
              <w:bottom w:val="single" w:sz="4" w:space="0" w:color="auto"/>
            </w:tcBorders>
            <w:hideMark/>
          </w:tcPr>
          <w:p w14:paraId="74074CD4" w14:textId="77777777" w:rsidR="00023830" w:rsidRPr="00EE5481" w:rsidRDefault="00023830" w:rsidP="00A11C9E">
            <w:pPr>
              <w:spacing w:after="0"/>
              <w:jc w:val="center"/>
              <w:rPr>
                <w:rFonts w:cstheme="minorHAnsi"/>
              </w:rPr>
            </w:pPr>
            <w:r w:rsidRPr="00EE5481">
              <w:rPr>
                <w:rFonts w:cstheme="minorHAnsi"/>
              </w:rPr>
              <w:t>74.3</w:t>
            </w:r>
          </w:p>
        </w:tc>
        <w:tc>
          <w:tcPr>
            <w:tcW w:w="0" w:type="auto"/>
            <w:tcBorders>
              <w:top w:val="single" w:sz="4" w:space="0" w:color="auto"/>
              <w:bottom w:val="single" w:sz="4" w:space="0" w:color="auto"/>
            </w:tcBorders>
            <w:hideMark/>
          </w:tcPr>
          <w:p w14:paraId="571B4532" w14:textId="77777777" w:rsidR="00023830" w:rsidRPr="00EE5481" w:rsidRDefault="00023830" w:rsidP="009F503E">
            <w:pPr>
              <w:spacing w:after="0"/>
              <w:jc w:val="center"/>
              <w:rPr>
                <w:rFonts w:cstheme="minorHAnsi"/>
              </w:rPr>
            </w:pPr>
            <w:r w:rsidRPr="00EE5481">
              <w:rPr>
                <w:rFonts w:cstheme="minorHAnsi"/>
              </w:rPr>
              <w:t>7</w:t>
            </w:r>
            <w:r w:rsidR="009F503E">
              <w:rPr>
                <w:rFonts w:cstheme="minorHAnsi"/>
              </w:rPr>
              <w:t>1</w:t>
            </w:r>
            <w:r w:rsidRPr="00EE5481">
              <w:rPr>
                <w:rFonts w:cstheme="minorHAnsi"/>
              </w:rPr>
              <w:t>.7</w:t>
            </w:r>
          </w:p>
        </w:tc>
      </w:tr>
      <w:tr w:rsidR="00023830" w:rsidRPr="00EE5481" w14:paraId="5BA9DE1D" w14:textId="77777777" w:rsidTr="00A11C9E">
        <w:trPr>
          <w:trHeight w:val="170"/>
        </w:trPr>
        <w:tc>
          <w:tcPr>
            <w:tcW w:w="0" w:type="auto"/>
            <w:tcBorders>
              <w:top w:val="single" w:sz="4" w:space="0" w:color="auto"/>
              <w:bottom w:val="single" w:sz="4" w:space="0" w:color="auto"/>
            </w:tcBorders>
            <w:hideMark/>
          </w:tcPr>
          <w:p w14:paraId="7706669A" w14:textId="77777777" w:rsidR="00023830" w:rsidRPr="00E60C66" w:rsidRDefault="00023830" w:rsidP="00A11C9E">
            <w:pPr>
              <w:spacing w:after="0"/>
              <w:rPr>
                <w:rFonts w:cstheme="minorHAnsi"/>
              </w:rPr>
            </w:pPr>
            <w:r w:rsidRPr="00EE5481">
              <w:rPr>
                <w:rFonts w:cstheme="minorHAnsi"/>
                <w:b/>
              </w:rPr>
              <w:t>Urban</w:t>
            </w:r>
          </w:p>
        </w:tc>
        <w:tc>
          <w:tcPr>
            <w:tcW w:w="0" w:type="auto"/>
            <w:tcBorders>
              <w:top w:val="single" w:sz="4" w:space="0" w:color="auto"/>
              <w:bottom w:val="single" w:sz="4" w:space="0" w:color="auto"/>
            </w:tcBorders>
            <w:hideMark/>
          </w:tcPr>
          <w:p w14:paraId="4B9B1FC0" w14:textId="77777777" w:rsidR="00023830" w:rsidRPr="00EE5481" w:rsidRDefault="00023830" w:rsidP="00A11C9E">
            <w:pPr>
              <w:spacing w:after="0"/>
              <w:jc w:val="center"/>
              <w:rPr>
                <w:rFonts w:cstheme="minorHAnsi"/>
              </w:rPr>
            </w:pPr>
            <w:r w:rsidRPr="00EE5481">
              <w:rPr>
                <w:rFonts w:cstheme="minorHAnsi"/>
              </w:rPr>
              <w:t>39.6</w:t>
            </w:r>
          </w:p>
        </w:tc>
        <w:tc>
          <w:tcPr>
            <w:tcW w:w="0" w:type="auto"/>
            <w:tcBorders>
              <w:top w:val="single" w:sz="4" w:space="0" w:color="auto"/>
              <w:bottom w:val="single" w:sz="4" w:space="0" w:color="auto"/>
            </w:tcBorders>
            <w:hideMark/>
          </w:tcPr>
          <w:p w14:paraId="191DE1B1" w14:textId="77777777" w:rsidR="00023830" w:rsidRPr="00EE5481" w:rsidRDefault="00023830" w:rsidP="009F503E">
            <w:pPr>
              <w:spacing w:after="0"/>
              <w:jc w:val="center"/>
              <w:rPr>
                <w:rFonts w:cstheme="minorHAnsi"/>
              </w:rPr>
            </w:pPr>
            <w:r w:rsidRPr="00EE5481">
              <w:rPr>
                <w:rFonts w:cstheme="minorHAnsi"/>
              </w:rPr>
              <w:t>6</w:t>
            </w:r>
            <w:r w:rsidR="009F503E">
              <w:rPr>
                <w:rFonts w:cstheme="minorHAnsi"/>
              </w:rPr>
              <w:t>8</w:t>
            </w:r>
            <w:r w:rsidRPr="00EE5481">
              <w:rPr>
                <w:rFonts w:cstheme="minorHAnsi"/>
              </w:rPr>
              <w:t>.</w:t>
            </w:r>
            <w:r w:rsidR="009F503E">
              <w:rPr>
                <w:rFonts w:cstheme="minorHAnsi"/>
              </w:rPr>
              <w:t>0</w:t>
            </w:r>
          </w:p>
        </w:tc>
        <w:tc>
          <w:tcPr>
            <w:tcW w:w="0" w:type="auto"/>
            <w:tcBorders>
              <w:top w:val="single" w:sz="4" w:space="0" w:color="auto"/>
              <w:bottom w:val="single" w:sz="4" w:space="0" w:color="auto"/>
            </w:tcBorders>
            <w:hideMark/>
          </w:tcPr>
          <w:p w14:paraId="2A680E15" w14:textId="77777777" w:rsidR="00023830" w:rsidRPr="00EE5481" w:rsidRDefault="00023830" w:rsidP="00A11C9E">
            <w:pPr>
              <w:spacing w:after="0"/>
              <w:jc w:val="center"/>
              <w:rPr>
                <w:rFonts w:cstheme="minorHAnsi"/>
              </w:rPr>
            </w:pPr>
            <w:r w:rsidRPr="00EE5481">
              <w:rPr>
                <w:rFonts w:cstheme="minorHAnsi"/>
              </w:rPr>
              <w:t>72.8</w:t>
            </w:r>
          </w:p>
        </w:tc>
        <w:tc>
          <w:tcPr>
            <w:tcW w:w="0" w:type="auto"/>
            <w:tcBorders>
              <w:top w:val="single" w:sz="4" w:space="0" w:color="auto"/>
              <w:bottom w:val="single" w:sz="4" w:space="0" w:color="auto"/>
            </w:tcBorders>
            <w:hideMark/>
          </w:tcPr>
          <w:p w14:paraId="74F0F9BE" w14:textId="77777777" w:rsidR="00023830" w:rsidRPr="00EE5481" w:rsidRDefault="009F503E" w:rsidP="009F503E">
            <w:pPr>
              <w:spacing w:after="0"/>
              <w:jc w:val="center"/>
              <w:rPr>
                <w:rFonts w:cstheme="minorHAnsi"/>
              </w:rPr>
            </w:pPr>
            <w:r>
              <w:rPr>
                <w:rFonts w:cstheme="minorHAnsi"/>
              </w:rPr>
              <w:t>7</w:t>
            </w:r>
            <w:r w:rsidR="00023830" w:rsidRPr="00EE5481">
              <w:rPr>
                <w:rFonts w:cstheme="minorHAnsi"/>
              </w:rPr>
              <w:t>8.8</w:t>
            </w:r>
          </w:p>
        </w:tc>
      </w:tr>
    </w:tbl>
    <w:p w14:paraId="1EBAF48D" w14:textId="1367B35B" w:rsidR="00023830" w:rsidRPr="00A84F8C" w:rsidRDefault="00023830" w:rsidP="00FB10D4">
      <w:pPr>
        <w:spacing w:after="120"/>
        <w:rPr>
          <w:rFonts w:cstheme="minorHAnsi"/>
          <w:sz w:val="20"/>
          <w:szCs w:val="20"/>
        </w:rPr>
      </w:pPr>
      <w:r w:rsidRPr="00A84F8C">
        <w:rPr>
          <w:rFonts w:cstheme="minorHAnsi"/>
          <w:sz w:val="20"/>
          <w:szCs w:val="20"/>
        </w:rPr>
        <w:t xml:space="preserve">Source:  Estimates by Karan and Selveraj </w:t>
      </w:r>
      <w:r>
        <w:rPr>
          <w:rFonts w:cstheme="minorHAnsi"/>
          <w:sz w:val="20"/>
          <w:szCs w:val="20"/>
        </w:rPr>
        <w:t xml:space="preserve">calculated </w:t>
      </w:r>
      <w:r w:rsidRPr="00A84F8C">
        <w:rPr>
          <w:rFonts w:cstheme="minorHAnsi"/>
          <w:sz w:val="20"/>
          <w:szCs w:val="20"/>
        </w:rPr>
        <w:t>from household level data of NSSO</w:t>
      </w:r>
      <w:hyperlink w:anchor="_ENREF_34" w:tooltip="Ministry of Statistics and Programme Implementation, 2013 #57" w:history="1">
        <w:r w:rsidR="00FB10D4">
          <w:rPr>
            <w:rFonts w:cstheme="minorHAnsi"/>
            <w:sz w:val="20"/>
            <w:szCs w:val="20"/>
          </w:rPr>
          <w:fldChar w:fldCharType="begin"/>
        </w:r>
        <w:r w:rsidR="00FB10D4">
          <w:rPr>
            <w:rFonts w:cstheme="minorHAnsi"/>
            <w:sz w:val="20"/>
            <w:szCs w:val="20"/>
          </w:rPr>
          <w:instrText xml:space="preserve"> ADDIN EN.CITE &lt;EndNote&gt;&lt;Cite&gt;&lt;Author&gt;Ministry of Statistics and Programme Implementation&lt;/Author&gt;&lt;Year&gt;2013&lt;/Year&gt;&lt;RecNum&gt;57&lt;/RecNum&gt;&lt;DisplayText&gt;&lt;style face="superscript"&gt;34&lt;/style&gt;&lt;/DisplayText&gt;&lt;record&gt;&lt;rec-number&gt;57&lt;/rec-number&gt;&lt;foreign-keys&gt;&lt;key app="EN" db-id="2sp5tdttfertdledza9xaavpe5wrwzestvef"&gt;57&lt;/key&gt;&lt;/foreign-keys&gt;&lt;ref-type name="Web Page"&gt;12&lt;/ref-type&gt;&lt;contributors&gt;&lt;authors&gt;&lt;author&gt;Ministry of Statistics and Programme Implementation,&lt;/author&gt;&lt;/authors&gt;&lt;/contributors&gt;&lt;titles&gt;&lt;title&gt;National Sample Survey Reports&lt;/title&gt;&lt;/titles&gt;&lt;volume&gt;2013&lt;/volume&gt;&lt;number&gt;30th December&lt;/number&gt;&lt;dates&gt;&lt;year&gt;2013&lt;/year&gt;&lt;/dates&gt;&lt;urls&gt;&lt;related-urls&gt;&lt;url&gt;http://mospi.nic.in/Mospi_New/site/inner.aspx?status=3&amp;amp;menu_id=31&lt;/url&gt;&lt;/related-urls&gt;&lt;/urls&gt;&lt;/record&gt;&lt;/Cite&gt;&lt;/EndNote&gt;</w:instrText>
        </w:r>
        <w:r w:rsidR="00FB10D4">
          <w:rPr>
            <w:rFonts w:cstheme="minorHAnsi"/>
            <w:sz w:val="20"/>
            <w:szCs w:val="20"/>
          </w:rPr>
          <w:fldChar w:fldCharType="separate"/>
        </w:r>
        <w:r w:rsidR="00FB10D4" w:rsidRPr="00FB10D4">
          <w:rPr>
            <w:rFonts w:cstheme="minorHAnsi"/>
            <w:noProof/>
            <w:sz w:val="20"/>
            <w:szCs w:val="20"/>
            <w:vertAlign w:val="superscript"/>
          </w:rPr>
          <w:t>34</w:t>
        </w:r>
        <w:r w:rsidR="00FB10D4">
          <w:rPr>
            <w:rFonts w:cstheme="minorHAnsi"/>
            <w:sz w:val="20"/>
            <w:szCs w:val="20"/>
          </w:rPr>
          <w:fldChar w:fldCharType="end"/>
        </w:r>
      </w:hyperlink>
      <w:r w:rsidRPr="00A84F8C">
        <w:rPr>
          <w:rFonts w:cstheme="minorHAnsi"/>
          <w:sz w:val="20"/>
          <w:szCs w:val="20"/>
        </w:rPr>
        <w:t>, respective surveys.</w:t>
      </w:r>
    </w:p>
    <w:p w14:paraId="05447BED" w14:textId="2D66581D" w:rsidR="00023830" w:rsidRDefault="00023830" w:rsidP="00FB10D4">
      <w:pPr>
        <w:pBdr>
          <w:bottom w:val="single" w:sz="12" w:space="0" w:color="auto"/>
        </w:pBdr>
        <w:spacing w:after="120"/>
      </w:pPr>
      <w:r>
        <w:t>F</w:t>
      </w:r>
      <w:r w:rsidRPr="00A84F8C">
        <w:t xml:space="preserve">urthermore, within a plethora of publicly-funded health insurance schemes, such as </w:t>
      </w:r>
      <w:r w:rsidRPr="00A84F8C">
        <w:rPr>
          <w:i/>
        </w:rPr>
        <w:t>Rastriya Swasthiya Bima Yojana</w:t>
      </w:r>
      <w:r w:rsidR="0074143A">
        <w:t xml:space="preserve">  (RSBY)</w:t>
      </w:r>
      <w:r w:rsidRPr="00A84F8C">
        <w:t xml:space="preserve"> and several state government-sponsored insurance models, launched during the last 5-7 years, the private sector receives more than 80% of the total reimbursement claims</w:t>
      </w:r>
      <w:hyperlink w:anchor="_ENREF_35" w:tooltip="Public Health Foundation of India, 2011 #55" w:history="1">
        <w:r w:rsidR="00FB10D4">
          <w:fldChar w:fldCharType="begin"/>
        </w:r>
        <w:r w:rsidR="00FB10D4">
          <w:instrText xml:space="preserve"> ADDIN EN.CITE &lt;EndNote&gt;&lt;Cite&gt;&lt;Author&gt;Public Health Foundation of India&lt;/Author&gt;&lt;Year&gt;2011&lt;/Year&gt;&lt;RecNum&gt;55&lt;/RecNum&gt;&lt;DisplayText&gt;&lt;style face="superscript"&gt;35&lt;/style&gt;&lt;/DisplayText&gt;&lt;record&gt;&lt;rec-number&gt;55&lt;/rec-number&gt;&lt;foreign-keys&gt;&lt;key app="EN" db-id="2sp5tdttfertdledza9xaavpe5wrwzestvef"&gt;55&lt;/key&gt;&lt;/foreign-keys&gt;&lt;ref-type name="Report"&gt;27&lt;/ref-type&gt;&lt;contributors&gt;&lt;authors&gt;&lt;author&gt;Public Health Foundation of India,&lt;/author&gt;&lt;/authors&gt;&lt;/contributors&gt;&lt;titles&gt;&lt;title&gt;A critical assessment of the existing health insurance models in India. A Research Study submitted by the Public Health Foundation of India to the Planning Commission, Government of India&lt;/title&gt;&lt;/titles&gt;&lt;dates&gt;&lt;year&gt;2011&lt;/year&gt;&lt;/dates&gt;&lt;urls&gt;&lt;/urls&gt;&lt;/record&gt;&lt;/Cite&gt;&lt;/EndNote&gt;</w:instrText>
        </w:r>
        <w:r w:rsidR="00FB10D4">
          <w:fldChar w:fldCharType="separate"/>
        </w:r>
        <w:r w:rsidR="00FB10D4" w:rsidRPr="00FB10D4">
          <w:rPr>
            <w:noProof/>
            <w:vertAlign w:val="superscript"/>
          </w:rPr>
          <w:t>35</w:t>
        </w:r>
        <w:r w:rsidR="00FB10D4">
          <w:fldChar w:fldCharType="end"/>
        </w:r>
      </w:hyperlink>
      <w:r w:rsidRPr="00A84F8C">
        <w:t>.</w:t>
      </w:r>
    </w:p>
    <w:p w14:paraId="2F52D724" w14:textId="77777777" w:rsidR="00C94E37" w:rsidRPr="00A84F8C" w:rsidRDefault="00C94E37" w:rsidP="00EB3B58">
      <w:pPr>
        <w:pBdr>
          <w:bottom w:val="single" w:sz="12" w:space="0" w:color="auto"/>
        </w:pBdr>
        <w:spacing w:after="120"/>
      </w:pPr>
      <w:r w:rsidRPr="00A84F8C">
        <w:t xml:space="preserve">  </w:t>
      </w:r>
    </w:p>
    <w:p w14:paraId="181441B8" w14:textId="77777777" w:rsidR="00930A32" w:rsidRPr="00E46AF2" w:rsidRDefault="00E46AF2" w:rsidP="008C2630">
      <w:pPr>
        <w:spacing w:after="120"/>
        <w:rPr>
          <w:sz w:val="24"/>
          <w:szCs w:val="24"/>
        </w:rPr>
      </w:pPr>
      <w:r w:rsidRPr="00E46AF2">
        <w:rPr>
          <w:b/>
          <w:i/>
          <w:sz w:val="24"/>
          <w:szCs w:val="24"/>
        </w:rPr>
        <w:t>Panel</w:t>
      </w:r>
      <w:r w:rsidR="009828AD">
        <w:rPr>
          <w:b/>
          <w:i/>
          <w:sz w:val="24"/>
          <w:szCs w:val="24"/>
        </w:rPr>
        <w:t xml:space="preserve"> 1</w:t>
      </w:r>
      <w:r w:rsidRPr="002B563C">
        <w:rPr>
          <w:b/>
          <w:i/>
          <w:sz w:val="24"/>
          <w:szCs w:val="24"/>
        </w:rPr>
        <w:t xml:space="preserve">: </w:t>
      </w:r>
      <w:r w:rsidR="009828AD">
        <w:rPr>
          <w:b/>
          <w:i/>
          <w:sz w:val="24"/>
          <w:szCs w:val="24"/>
        </w:rPr>
        <w:t>H</w:t>
      </w:r>
      <w:r w:rsidR="002B563C" w:rsidRPr="002B563C">
        <w:rPr>
          <w:b/>
          <w:i/>
          <w:sz w:val="24"/>
          <w:szCs w:val="24"/>
        </w:rPr>
        <w:t xml:space="preserve">eterogeneity of </w:t>
      </w:r>
      <w:r>
        <w:rPr>
          <w:b/>
          <w:i/>
          <w:sz w:val="24"/>
          <w:szCs w:val="24"/>
        </w:rPr>
        <w:t xml:space="preserve">India’s private health sector </w:t>
      </w:r>
      <w:r w:rsidRPr="00E46AF2">
        <w:rPr>
          <w:sz w:val="24"/>
          <w:szCs w:val="24"/>
        </w:rPr>
        <w:t xml:space="preserve"> </w:t>
      </w:r>
      <w:r w:rsidR="00930A32" w:rsidRPr="00E46AF2">
        <w:rPr>
          <w:sz w:val="24"/>
          <w:szCs w:val="24"/>
        </w:rPr>
        <w:t xml:space="preserve">  </w:t>
      </w:r>
    </w:p>
    <w:p w14:paraId="5C29E7D0" w14:textId="5C459684" w:rsidR="0074143A" w:rsidRDefault="002B563C" w:rsidP="00FB10D4">
      <w:pPr>
        <w:spacing w:after="120"/>
      </w:pPr>
      <w:r>
        <w:t>T</w:t>
      </w:r>
      <w:r w:rsidRPr="00A84F8C">
        <w:t>he heterogeneity of India’s private sector is extreme: from fledgling super-speciality groups listed on stock exchanges to general practitioners and a variety of quacks and traditional healers</w:t>
      </w:r>
      <w:hyperlink w:anchor="_ENREF_36" w:tooltip="Baru, 1998 #34" w:history="1">
        <w:r w:rsidR="00FB10D4" w:rsidRPr="00A84F8C">
          <w:fldChar w:fldCharType="begin">
            <w:fldData xml:space="preserve">PEVuZE5vdGU+PENpdGU+PEF1dGhvcj5CYXJ1PC9BdXRob3I+PFllYXI+MTk5ODwvWWVhcj48UmVj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</w:fldData>
          </w:fldChar>
        </w:r>
        <w:r w:rsidR="00FB10D4">
          <w:instrText xml:space="preserve"> ADDIN EN.CITE </w:instrText>
        </w:r>
        <w:r w:rsidR="00FB10D4">
          <w:fldChar w:fldCharType="begin">
            <w:fldData xml:space="preserve">PEVuZE5vdGU+PENpdGU+PEF1dGhvcj5CYXJ1PC9BdXRob3I+PFllYXI+MTk5ODwvWWVhcj48UmVj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</w:fldData>
          </w:fldChar>
        </w:r>
        <w:r w:rsidR="00FB10D4">
          <w:instrText xml:space="preserve"> ADDIN EN.CITE.DATA </w:instrText>
        </w:r>
        <w:r w:rsidR="00FB10D4">
          <w:fldChar w:fldCharType="end"/>
        </w:r>
        <w:r w:rsidR="00FB10D4" w:rsidRPr="00A84F8C">
          <w:fldChar w:fldCharType="separate"/>
        </w:r>
        <w:r w:rsidR="00FB10D4" w:rsidRPr="00FB10D4">
          <w:rPr>
            <w:noProof/>
            <w:vertAlign w:val="superscript"/>
          </w:rPr>
          <w:t>36-39</w:t>
        </w:r>
        <w:r w:rsidR="00FB10D4" w:rsidRPr="00A84F8C">
          <w:fldChar w:fldCharType="end"/>
        </w:r>
      </w:hyperlink>
      <w:r w:rsidRPr="00A84F8C">
        <w:t xml:space="preserve">. Enterprise surveys by the National Sample Survey Organisation (NSSO) </w:t>
      </w:r>
      <w:r w:rsidR="00EF2676">
        <w:t>track this heterogeneity, estimating</w:t>
      </w:r>
      <w:r w:rsidRPr="00A84F8C">
        <w:t xml:space="preserve"> just over one million private health care enterprises</w:t>
      </w:r>
      <w:r w:rsidR="00EF2676">
        <w:t>,</w:t>
      </w:r>
      <w:r>
        <w:t xml:space="preserve"> of which 75% are</w:t>
      </w:r>
      <w:r w:rsidRPr="00A84F8C">
        <w:t xml:space="preserve"> micro-enterprises</w:t>
      </w:r>
      <w:r w:rsidR="00EF2676">
        <w:t xml:space="preserve"> (OAEs)</w:t>
      </w:r>
      <w:r w:rsidRPr="00A84F8C">
        <w:t xml:space="preserve">; the rest are medium </w:t>
      </w:r>
      <w:r w:rsidR="0074143A">
        <w:t>to large medical establishments</w:t>
      </w:r>
      <w:r w:rsidR="00CC1441">
        <w:t xml:space="preserve">. The share of allopathic enterprises, and of </w:t>
      </w:r>
      <w:r w:rsidR="00EF2676">
        <w:t>hospitals</w:t>
      </w:r>
      <w:r w:rsidR="00CC1441">
        <w:t>,</w:t>
      </w:r>
      <w:r w:rsidR="00EF2676">
        <w:t xml:space="preserve"> has risen</w:t>
      </w:r>
      <w:r w:rsidRPr="00A84F8C">
        <w:t xml:space="preserve"> (Table 3).</w:t>
      </w:r>
      <w:r>
        <w:t xml:space="preserve"> </w:t>
      </w:r>
      <w:r w:rsidRPr="00A84F8C">
        <w:t>The mode of ownership is overwhelmingly (98</w:t>
      </w:r>
      <w:r>
        <w:t>%</w:t>
      </w:r>
      <w:r w:rsidRPr="00A84F8C">
        <w:t>) sole proprietorship</w:t>
      </w:r>
      <w:r w:rsidR="00EF2676">
        <w:t>.  O</w:t>
      </w:r>
      <w:r w:rsidRPr="00A84F8C">
        <w:t xml:space="preserve">nly 66% of the medical facilities are registered under any act or society. </w:t>
      </w:r>
    </w:p>
    <w:p w14:paraId="4EAF0AB3" w14:textId="77777777" w:rsidR="00EF2676" w:rsidRDefault="00EF2676" w:rsidP="0074143A">
      <w:pPr>
        <w:spacing w:after="120"/>
      </w:pPr>
    </w:p>
    <w:p w14:paraId="2C3A63B3" w14:textId="77777777" w:rsidR="00D11460" w:rsidRDefault="00D11460" w:rsidP="0074143A">
      <w:pPr>
        <w:spacing w:after="120"/>
      </w:pPr>
    </w:p>
    <w:p w14:paraId="570F885E" w14:textId="77777777" w:rsidR="0074143A" w:rsidRPr="00A84F8C" w:rsidRDefault="0074143A" w:rsidP="0074143A">
      <w:pPr>
        <w:spacing w:after="120"/>
      </w:pPr>
      <w:r w:rsidRPr="00A84F8C">
        <w:rPr>
          <w:b/>
        </w:rPr>
        <w:t>Table 3: Percentage share of different enterprise types</w:t>
      </w:r>
      <w:r>
        <w:rPr>
          <w:b/>
        </w:rPr>
        <w:t>,</w:t>
      </w:r>
      <w:r w:rsidRPr="00A84F8C">
        <w:rPr>
          <w:b/>
        </w:rPr>
        <w:t xml:space="preserve"> 2000-01, 2006-07 and 2010-11</w:t>
      </w:r>
      <w:r w:rsidRPr="00A84F8C">
        <w:t>.</w:t>
      </w:r>
    </w:p>
    <w:tbl>
      <w:tblPr>
        <w:tblW w:w="9256" w:type="dxa"/>
        <w:jc w:val="center"/>
        <w:tblLook w:val="04A0" w:firstRow="1" w:lastRow="0" w:firstColumn="1" w:lastColumn="0" w:noHBand="0" w:noVBand="1"/>
      </w:tblPr>
      <w:tblGrid>
        <w:gridCol w:w="3316"/>
        <w:gridCol w:w="1036"/>
        <w:gridCol w:w="1035"/>
        <w:gridCol w:w="1035"/>
        <w:gridCol w:w="222"/>
        <w:gridCol w:w="1012"/>
        <w:gridCol w:w="1012"/>
        <w:gridCol w:w="1012"/>
      </w:tblGrid>
      <w:tr w:rsidR="0074143A" w:rsidRPr="00A84F8C" w14:paraId="6777C6DD" w14:textId="77777777" w:rsidTr="00A11C9E">
        <w:trPr>
          <w:trHeight w:val="315"/>
          <w:jc w:val="center"/>
        </w:trPr>
        <w:tc>
          <w:tcPr>
            <w:tcW w:w="3316" w:type="dxa"/>
            <w:vMerge w:val="restart"/>
            <w:tcBorders>
              <w:top w:val="single" w:sz="4" w:space="0" w:color="auto"/>
            </w:tcBorders>
            <w:noWrap/>
            <w:vAlign w:val="bottom"/>
            <w:hideMark/>
          </w:tcPr>
          <w:p w14:paraId="09EF5CC9" w14:textId="77777777" w:rsidR="0074143A" w:rsidRPr="00A84F8C" w:rsidRDefault="0074143A" w:rsidP="00A11C9E">
            <w:pPr>
              <w:spacing w:after="0" w:line="240" w:lineRule="auto"/>
            </w:pPr>
            <w:r w:rsidRPr="00A84F8C">
              <w:t>Enterprise type</w:t>
            </w:r>
          </w:p>
        </w:tc>
        <w:tc>
          <w:tcPr>
            <w:tcW w:w="0" w:type="auto"/>
            <w:gridSpan w:val="3"/>
            <w:tcBorders>
              <w:top w:val="single" w:sz="4" w:space="0" w:color="auto"/>
              <w:bottom w:val="single" w:sz="4" w:space="0" w:color="auto"/>
            </w:tcBorders>
            <w:noWrap/>
            <w:vAlign w:val="center"/>
            <w:hideMark/>
          </w:tcPr>
          <w:p w14:paraId="3EC74E4E" w14:textId="77777777" w:rsidR="0074143A" w:rsidRPr="00A84F8C" w:rsidRDefault="0074143A" w:rsidP="00EF2676">
            <w:pPr>
              <w:spacing w:after="0" w:line="240" w:lineRule="auto"/>
            </w:pPr>
            <w:r>
              <w:t>Own account enterprises</w:t>
            </w:r>
            <w:r w:rsidR="00EF2676">
              <w:t xml:space="preserve"> (OAEs)</w:t>
            </w:r>
          </w:p>
        </w:tc>
        <w:tc>
          <w:tcPr>
            <w:tcW w:w="0" w:type="auto"/>
            <w:tcBorders>
              <w:top w:val="single" w:sz="4" w:space="0" w:color="auto"/>
            </w:tcBorders>
            <w:vAlign w:val="center"/>
          </w:tcPr>
          <w:p w14:paraId="7F13E484" w14:textId="77777777" w:rsidR="0074143A" w:rsidRPr="00A84F8C" w:rsidRDefault="0074143A" w:rsidP="00A11C9E">
            <w:pPr>
              <w:spacing w:after="0" w:line="240" w:lineRule="auto"/>
              <w:jc w:val="right"/>
            </w:pPr>
          </w:p>
        </w:tc>
        <w:tc>
          <w:tcPr>
            <w:tcW w:w="0" w:type="auto"/>
            <w:gridSpan w:val="3"/>
            <w:tcBorders>
              <w:top w:val="single" w:sz="4" w:space="0" w:color="auto"/>
              <w:bottom w:val="single" w:sz="4" w:space="0" w:color="auto"/>
            </w:tcBorders>
            <w:noWrap/>
            <w:vAlign w:val="center"/>
            <w:hideMark/>
          </w:tcPr>
          <w:p w14:paraId="3932A885" w14:textId="77777777" w:rsidR="0074143A" w:rsidRPr="00A84F8C" w:rsidRDefault="00D11460" w:rsidP="00A11C9E">
            <w:pPr>
              <w:spacing w:after="0" w:line="240" w:lineRule="auto"/>
              <w:jc w:val="center"/>
            </w:pPr>
            <w:r>
              <w:t>E</w:t>
            </w:r>
            <w:r w:rsidR="0074143A" w:rsidRPr="00A84F8C">
              <w:t>stablishments</w:t>
            </w:r>
            <w:r>
              <w:t xml:space="preserve"> with employees</w:t>
            </w:r>
          </w:p>
        </w:tc>
      </w:tr>
      <w:tr w:rsidR="0074143A" w:rsidRPr="00A84F8C" w14:paraId="6ED8BDB0" w14:textId="77777777" w:rsidTr="00A11C9E">
        <w:trPr>
          <w:trHeight w:val="300"/>
          <w:jc w:val="center"/>
        </w:trPr>
        <w:tc>
          <w:tcPr>
            <w:tcW w:w="3316" w:type="dxa"/>
            <w:vMerge/>
            <w:tcBorders>
              <w:bottom w:val="single" w:sz="4" w:space="0" w:color="auto"/>
            </w:tcBorders>
            <w:vAlign w:val="center"/>
            <w:hideMark/>
          </w:tcPr>
          <w:p w14:paraId="7914F03D" w14:textId="77777777" w:rsidR="0074143A" w:rsidRPr="00A84F8C" w:rsidRDefault="0074143A" w:rsidP="00A11C9E">
            <w:pPr>
              <w:spacing w:after="0" w:line="240" w:lineRule="auto"/>
            </w:pPr>
          </w:p>
        </w:tc>
        <w:tc>
          <w:tcPr>
            <w:tcW w:w="0" w:type="auto"/>
            <w:tcBorders>
              <w:top w:val="single" w:sz="4" w:space="0" w:color="auto"/>
              <w:bottom w:val="single" w:sz="4" w:space="0" w:color="auto"/>
            </w:tcBorders>
            <w:noWrap/>
            <w:vAlign w:val="center"/>
            <w:hideMark/>
          </w:tcPr>
          <w:p w14:paraId="335139D7" w14:textId="77777777" w:rsidR="0074143A" w:rsidRPr="00A84F8C" w:rsidRDefault="0074143A" w:rsidP="00EF2676">
            <w:pPr>
              <w:spacing w:after="0" w:line="240" w:lineRule="auto"/>
              <w:jc w:val="center"/>
            </w:pPr>
            <w:r w:rsidRPr="00A84F8C">
              <w:t>2000-01</w:t>
            </w:r>
          </w:p>
        </w:tc>
        <w:tc>
          <w:tcPr>
            <w:tcW w:w="0" w:type="auto"/>
            <w:tcBorders>
              <w:top w:val="single" w:sz="4" w:space="0" w:color="auto"/>
              <w:bottom w:val="single" w:sz="4" w:space="0" w:color="auto"/>
            </w:tcBorders>
            <w:noWrap/>
            <w:vAlign w:val="center"/>
            <w:hideMark/>
          </w:tcPr>
          <w:p w14:paraId="4E24B350" w14:textId="77777777" w:rsidR="0074143A" w:rsidRPr="00A84F8C" w:rsidRDefault="0074143A" w:rsidP="00EF2676">
            <w:pPr>
              <w:spacing w:after="0" w:line="240" w:lineRule="auto"/>
              <w:jc w:val="center"/>
            </w:pPr>
            <w:r w:rsidRPr="00A84F8C">
              <w:t>2006-07</w:t>
            </w:r>
          </w:p>
        </w:tc>
        <w:tc>
          <w:tcPr>
            <w:tcW w:w="0" w:type="auto"/>
            <w:tcBorders>
              <w:top w:val="single" w:sz="4" w:space="0" w:color="auto"/>
              <w:bottom w:val="single" w:sz="4" w:space="0" w:color="auto"/>
            </w:tcBorders>
            <w:noWrap/>
            <w:vAlign w:val="center"/>
            <w:hideMark/>
          </w:tcPr>
          <w:p w14:paraId="70FFE577" w14:textId="77777777" w:rsidR="0074143A" w:rsidRPr="00A84F8C" w:rsidRDefault="0074143A" w:rsidP="00EF2676">
            <w:pPr>
              <w:spacing w:after="0" w:line="240" w:lineRule="auto"/>
              <w:jc w:val="center"/>
            </w:pPr>
            <w:r w:rsidRPr="00A84F8C">
              <w:t>2010-11</w:t>
            </w:r>
          </w:p>
        </w:tc>
        <w:tc>
          <w:tcPr>
            <w:tcW w:w="0" w:type="auto"/>
            <w:tcBorders>
              <w:bottom w:val="single" w:sz="4" w:space="0" w:color="auto"/>
            </w:tcBorders>
            <w:vAlign w:val="center"/>
          </w:tcPr>
          <w:p w14:paraId="24130B88" w14:textId="77777777" w:rsidR="0074143A" w:rsidRPr="00A84F8C" w:rsidRDefault="0074143A" w:rsidP="00A11C9E">
            <w:pPr>
              <w:spacing w:after="0" w:line="240" w:lineRule="auto"/>
              <w:jc w:val="right"/>
            </w:pPr>
          </w:p>
        </w:tc>
        <w:tc>
          <w:tcPr>
            <w:tcW w:w="0" w:type="auto"/>
            <w:tcBorders>
              <w:top w:val="single" w:sz="4" w:space="0" w:color="auto"/>
              <w:bottom w:val="single" w:sz="4" w:space="0" w:color="auto"/>
            </w:tcBorders>
            <w:noWrap/>
            <w:vAlign w:val="center"/>
            <w:hideMark/>
          </w:tcPr>
          <w:p w14:paraId="09AE1948" w14:textId="77777777" w:rsidR="0074143A" w:rsidRPr="00A84F8C" w:rsidRDefault="0074143A" w:rsidP="00EF2676">
            <w:pPr>
              <w:spacing w:after="0" w:line="240" w:lineRule="auto"/>
              <w:jc w:val="center"/>
            </w:pPr>
            <w:r w:rsidRPr="00A84F8C">
              <w:t>2000-01</w:t>
            </w:r>
          </w:p>
        </w:tc>
        <w:tc>
          <w:tcPr>
            <w:tcW w:w="0" w:type="auto"/>
            <w:tcBorders>
              <w:top w:val="single" w:sz="4" w:space="0" w:color="auto"/>
              <w:bottom w:val="single" w:sz="4" w:space="0" w:color="auto"/>
            </w:tcBorders>
            <w:noWrap/>
            <w:vAlign w:val="center"/>
            <w:hideMark/>
          </w:tcPr>
          <w:p w14:paraId="770C8D75" w14:textId="77777777" w:rsidR="0074143A" w:rsidRPr="00A84F8C" w:rsidRDefault="0074143A" w:rsidP="00A11C9E">
            <w:pPr>
              <w:spacing w:after="0" w:line="240" w:lineRule="auto"/>
              <w:jc w:val="right"/>
            </w:pPr>
            <w:r w:rsidRPr="00A84F8C">
              <w:t>2006-07</w:t>
            </w:r>
          </w:p>
        </w:tc>
        <w:tc>
          <w:tcPr>
            <w:tcW w:w="0" w:type="auto"/>
            <w:tcBorders>
              <w:top w:val="single" w:sz="4" w:space="0" w:color="auto"/>
              <w:bottom w:val="single" w:sz="4" w:space="0" w:color="auto"/>
            </w:tcBorders>
            <w:noWrap/>
            <w:vAlign w:val="center"/>
            <w:hideMark/>
          </w:tcPr>
          <w:p w14:paraId="379BCB73" w14:textId="77777777" w:rsidR="0074143A" w:rsidRPr="00A84F8C" w:rsidRDefault="0074143A" w:rsidP="0000055A">
            <w:pPr>
              <w:spacing w:after="0" w:line="240" w:lineRule="auto"/>
            </w:pPr>
            <w:r w:rsidRPr="00A84F8C">
              <w:t>2010-11</w:t>
            </w:r>
          </w:p>
        </w:tc>
      </w:tr>
      <w:tr w:rsidR="0074143A" w:rsidRPr="00A84F8C" w14:paraId="76D14C16" w14:textId="77777777" w:rsidTr="00A11C9E">
        <w:trPr>
          <w:trHeight w:val="300"/>
          <w:jc w:val="center"/>
        </w:trPr>
        <w:tc>
          <w:tcPr>
            <w:tcW w:w="3316" w:type="dxa"/>
            <w:tcBorders>
              <w:top w:val="single" w:sz="4" w:space="0" w:color="auto"/>
            </w:tcBorders>
            <w:noWrap/>
            <w:vAlign w:val="center"/>
            <w:hideMark/>
          </w:tcPr>
          <w:p w14:paraId="0BF1EAA6" w14:textId="77777777" w:rsidR="0074143A" w:rsidRPr="00A84F8C" w:rsidRDefault="0074143A" w:rsidP="00A11C9E">
            <w:pPr>
              <w:spacing w:after="0" w:line="240" w:lineRule="auto"/>
            </w:pPr>
            <w:r w:rsidRPr="00A84F8C">
              <w:t>Hospital service</w:t>
            </w:r>
          </w:p>
        </w:tc>
        <w:tc>
          <w:tcPr>
            <w:tcW w:w="0" w:type="auto"/>
            <w:tcBorders>
              <w:top w:val="single" w:sz="4" w:space="0" w:color="auto"/>
            </w:tcBorders>
            <w:noWrap/>
            <w:vAlign w:val="center"/>
            <w:hideMark/>
          </w:tcPr>
          <w:p w14:paraId="5AC39062" w14:textId="77777777" w:rsidR="0074143A" w:rsidRPr="00A84F8C" w:rsidRDefault="0074143A" w:rsidP="00EF2676">
            <w:pPr>
              <w:spacing w:after="0" w:line="240" w:lineRule="auto"/>
              <w:jc w:val="center"/>
            </w:pPr>
            <w:r>
              <w:t>0.7</w:t>
            </w:r>
          </w:p>
        </w:tc>
        <w:tc>
          <w:tcPr>
            <w:tcW w:w="0" w:type="auto"/>
            <w:tcBorders>
              <w:top w:val="single" w:sz="4" w:space="0" w:color="auto"/>
            </w:tcBorders>
            <w:noWrap/>
            <w:vAlign w:val="center"/>
            <w:hideMark/>
          </w:tcPr>
          <w:p w14:paraId="1B86F4A4" w14:textId="77777777" w:rsidR="0074143A" w:rsidRPr="00A84F8C" w:rsidRDefault="0074143A" w:rsidP="00EF2676">
            <w:pPr>
              <w:spacing w:after="0" w:line="240" w:lineRule="auto"/>
              <w:jc w:val="center"/>
            </w:pPr>
            <w:r>
              <w:t>1.2</w:t>
            </w:r>
          </w:p>
        </w:tc>
        <w:tc>
          <w:tcPr>
            <w:tcW w:w="0" w:type="auto"/>
            <w:tcBorders>
              <w:top w:val="single" w:sz="4" w:space="0" w:color="auto"/>
            </w:tcBorders>
            <w:noWrap/>
            <w:vAlign w:val="center"/>
            <w:hideMark/>
          </w:tcPr>
          <w:p w14:paraId="236406C8" w14:textId="77777777" w:rsidR="0074143A" w:rsidRPr="00A84F8C" w:rsidRDefault="0074143A" w:rsidP="00EF2676">
            <w:pPr>
              <w:spacing w:after="0" w:line="240" w:lineRule="auto"/>
              <w:jc w:val="center"/>
            </w:pPr>
            <w:r>
              <w:t>3.6</w:t>
            </w:r>
          </w:p>
        </w:tc>
        <w:tc>
          <w:tcPr>
            <w:tcW w:w="0" w:type="auto"/>
            <w:tcBorders>
              <w:top w:val="single" w:sz="4" w:space="0" w:color="auto"/>
            </w:tcBorders>
            <w:vAlign w:val="center"/>
          </w:tcPr>
          <w:p w14:paraId="4F64D9E8" w14:textId="77777777" w:rsidR="0074143A" w:rsidRPr="00A84F8C" w:rsidRDefault="0074143A" w:rsidP="00A11C9E">
            <w:pPr>
              <w:spacing w:after="0" w:line="240" w:lineRule="auto"/>
              <w:jc w:val="right"/>
            </w:pPr>
          </w:p>
        </w:tc>
        <w:tc>
          <w:tcPr>
            <w:tcW w:w="0" w:type="auto"/>
            <w:tcBorders>
              <w:top w:val="single" w:sz="4" w:space="0" w:color="auto"/>
            </w:tcBorders>
            <w:noWrap/>
            <w:vAlign w:val="center"/>
            <w:hideMark/>
          </w:tcPr>
          <w:p w14:paraId="6B087C69" w14:textId="77777777" w:rsidR="0074143A" w:rsidRPr="00A84F8C" w:rsidRDefault="0074143A" w:rsidP="0000055A">
            <w:pPr>
              <w:spacing w:after="0" w:line="240" w:lineRule="auto"/>
              <w:jc w:val="center"/>
            </w:pPr>
            <w:r>
              <w:t>15.4</w:t>
            </w:r>
          </w:p>
        </w:tc>
        <w:tc>
          <w:tcPr>
            <w:tcW w:w="0" w:type="auto"/>
            <w:tcBorders>
              <w:top w:val="single" w:sz="4" w:space="0" w:color="auto"/>
            </w:tcBorders>
            <w:noWrap/>
            <w:vAlign w:val="center"/>
            <w:hideMark/>
          </w:tcPr>
          <w:p w14:paraId="3F99ADE6" w14:textId="77777777" w:rsidR="0074143A" w:rsidRPr="00A84F8C" w:rsidRDefault="0074143A" w:rsidP="0000055A">
            <w:pPr>
              <w:spacing w:after="0" w:line="240" w:lineRule="auto"/>
              <w:jc w:val="center"/>
            </w:pPr>
            <w:r>
              <w:t>14.9</w:t>
            </w:r>
          </w:p>
        </w:tc>
        <w:tc>
          <w:tcPr>
            <w:tcW w:w="0" w:type="auto"/>
            <w:tcBorders>
              <w:top w:val="single" w:sz="4" w:space="0" w:color="auto"/>
            </w:tcBorders>
            <w:noWrap/>
            <w:vAlign w:val="center"/>
            <w:hideMark/>
          </w:tcPr>
          <w:p w14:paraId="05B11DCF" w14:textId="77777777" w:rsidR="0074143A" w:rsidRPr="00A84F8C" w:rsidRDefault="0074143A" w:rsidP="0000055A">
            <w:pPr>
              <w:spacing w:after="0" w:line="240" w:lineRule="auto"/>
              <w:jc w:val="center"/>
            </w:pPr>
            <w:r>
              <w:t>25.7</w:t>
            </w:r>
          </w:p>
        </w:tc>
      </w:tr>
      <w:tr w:rsidR="0074143A" w:rsidRPr="00A84F8C" w14:paraId="3C273B0B" w14:textId="77777777" w:rsidTr="00A11C9E">
        <w:trPr>
          <w:trHeight w:val="300"/>
          <w:jc w:val="center"/>
        </w:trPr>
        <w:tc>
          <w:tcPr>
            <w:tcW w:w="3316" w:type="dxa"/>
            <w:noWrap/>
            <w:vAlign w:val="center"/>
            <w:hideMark/>
          </w:tcPr>
          <w:p w14:paraId="5660E98B" w14:textId="77777777" w:rsidR="0074143A" w:rsidRPr="00A84F8C" w:rsidRDefault="0074143A" w:rsidP="00A11C9E">
            <w:pPr>
              <w:spacing w:after="0" w:line="240" w:lineRule="auto"/>
            </w:pPr>
            <w:r w:rsidRPr="00A84F8C">
              <w:t>Medical and Dental practices</w:t>
            </w:r>
          </w:p>
        </w:tc>
        <w:tc>
          <w:tcPr>
            <w:tcW w:w="0" w:type="auto"/>
            <w:noWrap/>
            <w:vAlign w:val="center"/>
            <w:hideMark/>
          </w:tcPr>
          <w:p w14:paraId="5EEC5595" w14:textId="77777777" w:rsidR="0074143A" w:rsidRPr="00A84F8C" w:rsidRDefault="0074143A" w:rsidP="00EF2676">
            <w:pPr>
              <w:spacing w:after="0" w:line="240" w:lineRule="auto"/>
              <w:jc w:val="center"/>
            </w:pPr>
            <w:r>
              <w:t>52.1</w:t>
            </w:r>
          </w:p>
        </w:tc>
        <w:tc>
          <w:tcPr>
            <w:tcW w:w="0" w:type="auto"/>
            <w:noWrap/>
            <w:vAlign w:val="center"/>
            <w:hideMark/>
          </w:tcPr>
          <w:p w14:paraId="2B9C1809" w14:textId="77777777" w:rsidR="0074143A" w:rsidRPr="00A84F8C" w:rsidRDefault="0074143A" w:rsidP="00EF2676">
            <w:pPr>
              <w:spacing w:after="0" w:line="240" w:lineRule="auto"/>
              <w:jc w:val="center"/>
            </w:pPr>
            <w:r>
              <w:t>55.5</w:t>
            </w:r>
          </w:p>
        </w:tc>
        <w:tc>
          <w:tcPr>
            <w:tcW w:w="0" w:type="auto"/>
            <w:noWrap/>
            <w:vAlign w:val="center"/>
            <w:hideMark/>
          </w:tcPr>
          <w:p w14:paraId="1E52E21F" w14:textId="77777777" w:rsidR="0074143A" w:rsidRPr="00A84F8C" w:rsidRDefault="0074143A" w:rsidP="00EF2676">
            <w:pPr>
              <w:spacing w:after="0" w:line="240" w:lineRule="auto"/>
              <w:jc w:val="center"/>
            </w:pPr>
            <w:r>
              <w:t>63.3</w:t>
            </w:r>
          </w:p>
        </w:tc>
        <w:tc>
          <w:tcPr>
            <w:tcW w:w="0" w:type="auto"/>
            <w:vAlign w:val="center"/>
          </w:tcPr>
          <w:p w14:paraId="6CB9725C" w14:textId="77777777" w:rsidR="0074143A" w:rsidRPr="00A84F8C" w:rsidRDefault="0074143A" w:rsidP="00A11C9E">
            <w:pPr>
              <w:spacing w:after="0" w:line="240" w:lineRule="auto"/>
              <w:jc w:val="right"/>
            </w:pPr>
          </w:p>
        </w:tc>
        <w:tc>
          <w:tcPr>
            <w:tcW w:w="0" w:type="auto"/>
            <w:noWrap/>
            <w:vAlign w:val="center"/>
            <w:hideMark/>
          </w:tcPr>
          <w:p w14:paraId="21652EFB" w14:textId="77777777" w:rsidR="0074143A" w:rsidRPr="00A84F8C" w:rsidRDefault="0074143A" w:rsidP="0000055A">
            <w:pPr>
              <w:spacing w:after="0" w:line="240" w:lineRule="auto"/>
              <w:jc w:val="center"/>
            </w:pPr>
            <w:r>
              <w:t>58.4</w:t>
            </w:r>
          </w:p>
        </w:tc>
        <w:tc>
          <w:tcPr>
            <w:tcW w:w="0" w:type="auto"/>
            <w:noWrap/>
            <w:vAlign w:val="center"/>
            <w:hideMark/>
          </w:tcPr>
          <w:p w14:paraId="41C81AE4" w14:textId="77777777" w:rsidR="0074143A" w:rsidRPr="00A84F8C" w:rsidRDefault="0074143A" w:rsidP="0000055A">
            <w:pPr>
              <w:spacing w:after="0" w:line="240" w:lineRule="auto"/>
              <w:jc w:val="center"/>
            </w:pPr>
            <w:r>
              <w:t>47.1</w:t>
            </w:r>
          </w:p>
        </w:tc>
        <w:tc>
          <w:tcPr>
            <w:tcW w:w="0" w:type="auto"/>
            <w:noWrap/>
            <w:vAlign w:val="center"/>
            <w:hideMark/>
          </w:tcPr>
          <w:p w14:paraId="34BC7026" w14:textId="77777777" w:rsidR="0074143A" w:rsidRPr="00A84F8C" w:rsidRDefault="0074143A" w:rsidP="0000055A">
            <w:pPr>
              <w:spacing w:after="0" w:line="240" w:lineRule="auto"/>
              <w:jc w:val="center"/>
            </w:pPr>
            <w:r>
              <w:t>48.9</w:t>
            </w:r>
          </w:p>
        </w:tc>
      </w:tr>
      <w:tr w:rsidR="0074143A" w:rsidRPr="00A84F8C" w14:paraId="4949DFCF" w14:textId="77777777" w:rsidTr="00A11C9E">
        <w:trPr>
          <w:trHeight w:val="300"/>
          <w:jc w:val="center"/>
        </w:trPr>
        <w:tc>
          <w:tcPr>
            <w:tcW w:w="3316" w:type="dxa"/>
            <w:noWrap/>
            <w:vAlign w:val="center"/>
            <w:hideMark/>
          </w:tcPr>
          <w:p w14:paraId="4810FBA6" w14:textId="77777777" w:rsidR="0074143A" w:rsidRPr="00A84F8C" w:rsidRDefault="0074143A" w:rsidP="00D11460">
            <w:pPr>
              <w:spacing w:after="0" w:line="240" w:lineRule="auto"/>
            </w:pPr>
            <w:r w:rsidRPr="00A84F8C">
              <w:t>I</w:t>
            </w:r>
            <w:r w:rsidR="00D11460">
              <w:t xml:space="preserve">ndian </w:t>
            </w:r>
            <w:r w:rsidRPr="00A84F8C">
              <w:t>S</w:t>
            </w:r>
            <w:r w:rsidR="00D11460">
              <w:t xml:space="preserve">ystems of </w:t>
            </w:r>
            <w:r w:rsidRPr="00A84F8C">
              <w:t>M</w:t>
            </w:r>
            <w:r w:rsidR="00D11460">
              <w:t>edicine</w:t>
            </w:r>
            <w:r w:rsidRPr="00A84F8C">
              <w:t xml:space="preserve"> </w:t>
            </w:r>
          </w:p>
        </w:tc>
        <w:tc>
          <w:tcPr>
            <w:tcW w:w="0" w:type="auto"/>
            <w:noWrap/>
            <w:vAlign w:val="center"/>
            <w:hideMark/>
          </w:tcPr>
          <w:p w14:paraId="4E92E34C" w14:textId="77777777" w:rsidR="0074143A" w:rsidRPr="00A84F8C" w:rsidRDefault="0074143A" w:rsidP="00EF2676">
            <w:pPr>
              <w:spacing w:after="0" w:line="240" w:lineRule="auto"/>
              <w:jc w:val="center"/>
            </w:pPr>
            <w:r>
              <w:t>28.7</w:t>
            </w:r>
          </w:p>
        </w:tc>
        <w:tc>
          <w:tcPr>
            <w:tcW w:w="0" w:type="auto"/>
            <w:noWrap/>
            <w:vAlign w:val="center"/>
            <w:hideMark/>
          </w:tcPr>
          <w:p w14:paraId="7426CC33" w14:textId="77777777" w:rsidR="0074143A" w:rsidRPr="00A84F8C" w:rsidRDefault="0074143A" w:rsidP="00EF2676">
            <w:pPr>
              <w:spacing w:after="0" w:line="240" w:lineRule="auto"/>
              <w:jc w:val="center"/>
            </w:pPr>
            <w:r>
              <w:t>24.2</w:t>
            </w:r>
          </w:p>
        </w:tc>
        <w:tc>
          <w:tcPr>
            <w:tcW w:w="0" w:type="auto"/>
            <w:noWrap/>
            <w:vAlign w:val="center"/>
            <w:hideMark/>
          </w:tcPr>
          <w:p w14:paraId="0F74A875" w14:textId="77777777" w:rsidR="0074143A" w:rsidRPr="00A84F8C" w:rsidRDefault="0074143A" w:rsidP="00EF2676">
            <w:pPr>
              <w:spacing w:after="0" w:line="240" w:lineRule="auto"/>
              <w:jc w:val="center"/>
            </w:pPr>
            <w:r>
              <w:t>23.0</w:t>
            </w:r>
          </w:p>
        </w:tc>
        <w:tc>
          <w:tcPr>
            <w:tcW w:w="0" w:type="auto"/>
            <w:vAlign w:val="center"/>
          </w:tcPr>
          <w:p w14:paraId="096F4196" w14:textId="77777777" w:rsidR="0074143A" w:rsidRPr="00A84F8C" w:rsidRDefault="0074143A" w:rsidP="00A11C9E">
            <w:pPr>
              <w:spacing w:after="0" w:line="240" w:lineRule="auto"/>
              <w:jc w:val="right"/>
            </w:pPr>
          </w:p>
        </w:tc>
        <w:tc>
          <w:tcPr>
            <w:tcW w:w="0" w:type="auto"/>
            <w:noWrap/>
            <w:vAlign w:val="center"/>
            <w:hideMark/>
          </w:tcPr>
          <w:p w14:paraId="0C33C9FF" w14:textId="77777777" w:rsidR="0074143A" w:rsidRPr="00A84F8C" w:rsidRDefault="0074143A" w:rsidP="0000055A">
            <w:pPr>
              <w:spacing w:after="0" w:line="240" w:lineRule="auto"/>
              <w:jc w:val="center"/>
            </w:pPr>
            <w:r>
              <w:t>13.2</w:t>
            </w:r>
          </w:p>
        </w:tc>
        <w:tc>
          <w:tcPr>
            <w:tcW w:w="0" w:type="auto"/>
            <w:noWrap/>
            <w:vAlign w:val="center"/>
            <w:hideMark/>
          </w:tcPr>
          <w:p w14:paraId="39D8FF73" w14:textId="77777777" w:rsidR="0074143A" w:rsidRPr="00A84F8C" w:rsidRDefault="0074143A" w:rsidP="0000055A">
            <w:pPr>
              <w:spacing w:after="0" w:line="240" w:lineRule="auto"/>
              <w:jc w:val="center"/>
            </w:pPr>
            <w:r>
              <w:t>18.1</w:t>
            </w:r>
          </w:p>
        </w:tc>
        <w:tc>
          <w:tcPr>
            <w:tcW w:w="0" w:type="auto"/>
            <w:noWrap/>
            <w:vAlign w:val="center"/>
            <w:hideMark/>
          </w:tcPr>
          <w:p w14:paraId="54CCA103" w14:textId="77777777" w:rsidR="0074143A" w:rsidRPr="00A84F8C" w:rsidRDefault="0074143A" w:rsidP="0000055A">
            <w:pPr>
              <w:spacing w:after="0" w:line="240" w:lineRule="auto"/>
              <w:jc w:val="center"/>
            </w:pPr>
            <w:r>
              <w:t>12.9</w:t>
            </w:r>
          </w:p>
        </w:tc>
      </w:tr>
      <w:tr w:rsidR="0074143A" w:rsidRPr="00A84F8C" w14:paraId="4B7A78B5" w14:textId="77777777" w:rsidTr="00A11C9E">
        <w:trPr>
          <w:trHeight w:val="300"/>
          <w:jc w:val="center"/>
        </w:trPr>
        <w:tc>
          <w:tcPr>
            <w:tcW w:w="3316" w:type="dxa"/>
            <w:noWrap/>
            <w:vAlign w:val="center"/>
            <w:hideMark/>
          </w:tcPr>
          <w:p w14:paraId="321BDB5F" w14:textId="77777777" w:rsidR="0074143A" w:rsidRPr="00A84F8C" w:rsidRDefault="00D11460" w:rsidP="00A11C9E">
            <w:pPr>
              <w:spacing w:after="0" w:line="240" w:lineRule="auto"/>
            </w:pPr>
            <w:r>
              <w:t>Nursing and physio</w:t>
            </w:r>
            <w:r w:rsidR="0074143A" w:rsidRPr="00A84F8C">
              <w:t>therapy</w:t>
            </w:r>
          </w:p>
        </w:tc>
        <w:tc>
          <w:tcPr>
            <w:tcW w:w="0" w:type="auto"/>
            <w:noWrap/>
            <w:vAlign w:val="center"/>
            <w:hideMark/>
          </w:tcPr>
          <w:p w14:paraId="71BB96D0" w14:textId="77777777" w:rsidR="0074143A" w:rsidRPr="00A84F8C" w:rsidRDefault="0074143A" w:rsidP="00EF2676">
            <w:pPr>
              <w:spacing w:after="0" w:line="240" w:lineRule="auto"/>
              <w:jc w:val="center"/>
            </w:pPr>
            <w:r>
              <w:t>15.3</w:t>
            </w:r>
          </w:p>
        </w:tc>
        <w:tc>
          <w:tcPr>
            <w:tcW w:w="0" w:type="auto"/>
            <w:noWrap/>
            <w:vAlign w:val="center"/>
            <w:hideMark/>
          </w:tcPr>
          <w:p w14:paraId="44959875" w14:textId="77777777" w:rsidR="0074143A" w:rsidRPr="00A84F8C" w:rsidRDefault="0074143A" w:rsidP="00EF2676">
            <w:pPr>
              <w:spacing w:after="0" w:line="240" w:lineRule="auto"/>
              <w:jc w:val="center"/>
            </w:pPr>
            <w:r>
              <w:t>14.4</w:t>
            </w:r>
          </w:p>
        </w:tc>
        <w:tc>
          <w:tcPr>
            <w:tcW w:w="0" w:type="auto"/>
            <w:noWrap/>
            <w:vAlign w:val="center"/>
            <w:hideMark/>
          </w:tcPr>
          <w:p w14:paraId="3A0693C0" w14:textId="77777777" w:rsidR="0074143A" w:rsidRPr="00A84F8C" w:rsidRDefault="0074143A" w:rsidP="00EF2676">
            <w:pPr>
              <w:spacing w:after="0" w:line="240" w:lineRule="auto"/>
              <w:jc w:val="center"/>
            </w:pPr>
            <w:r>
              <w:t>5.2</w:t>
            </w:r>
          </w:p>
        </w:tc>
        <w:tc>
          <w:tcPr>
            <w:tcW w:w="0" w:type="auto"/>
            <w:vAlign w:val="center"/>
          </w:tcPr>
          <w:p w14:paraId="295EFF06" w14:textId="77777777" w:rsidR="0074143A" w:rsidRPr="00A84F8C" w:rsidRDefault="0074143A" w:rsidP="00A11C9E">
            <w:pPr>
              <w:spacing w:after="0" w:line="240" w:lineRule="auto"/>
              <w:jc w:val="right"/>
            </w:pPr>
          </w:p>
        </w:tc>
        <w:tc>
          <w:tcPr>
            <w:tcW w:w="0" w:type="auto"/>
            <w:noWrap/>
            <w:vAlign w:val="center"/>
            <w:hideMark/>
          </w:tcPr>
          <w:p w14:paraId="3C6A4D97" w14:textId="77777777" w:rsidR="0074143A" w:rsidRPr="00A84F8C" w:rsidRDefault="0074143A" w:rsidP="0000055A">
            <w:pPr>
              <w:spacing w:after="0" w:line="240" w:lineRule="auto"/>
              <w:jc w:val="center"/>
            </w:pPr>
            <w:r>
              <w:t>1.5</w:t>
            </w:r>
          </w:p>
        </w:tc>
        <w:tc>
          <w:tcPr>
            <w:tcW w:w="0" w:type="auto"/>
            <w:noWrap/>
            <w:vAlign w:val="center"/>
            <w:hideMark/>
          </w:tcPr>
          <w:p w14:paraId="552F6D79" w14:textId="77777777" w:rsidR="0074143A" w:rsidRPr="00A84F8C" w:rsidRDefault="0074143A" w:rsidP="0000055A">
            <w:pPr>
              <w:spacing w:after="0" w:line="240" w:lineRule="auto"/>
              <w:jc w:val="center"/>
            </w:pPr>
            <w:r>
              <w:t>7.3</w:t>
            </w:r>
          </w:p>
        </w:tc>
        <w:tc>
          <w:tcPr>
            <w:tcW w:w="0" w:type="auto"/>
            <w:noWrap/>
            <w:vAlign w:val="center"/>
            <w:hideMark/>
          </w:tcPr>
          <w:p w14:paraId="1787B013" w14:textId="77777777" w:rsidR="0074143A" w:rsidRPr="00A84F8C" w:rsidRDefault="0074143A" w:rsidP="0000055A">
            <w:pPr>
              <w:spacing w:after="0" w:line="240" w:lineRule="auto"/>
              <w:jc w:val="center"/>
            </w:pPr>
            <w:r>
              <w:t>1.9</w:t>
            </w:r>
          </w:p>
        </w:tc>
      </w:tr>
      <w:tr w:rsidR="0074143A" w:rsidRPr="00A84F8C" w14:paraId="2E9EBF70" w14:textId="77777777" w:rsidTr="00A11C9E">
        <w:trPr>
          <w:trHeight w:val="300"/>
          <w:jc w:val="center"/>
        </w:trPr>
        <w:tc>
          <w:tcPr>
            <w:tcW w:w="3316" w:type="dxa"/>
            <w:noWrap/>
            <w:vAlign w:val="center"/>
            <w:hideMark/>
          </w:tcPr>
          <w:p w14:paraId="34758D40" w14:textId="77777777" w:rsidR="0074143A" w:rsidRPr="00A84F8C" w:rsidRDefault="0074143A" w:rsidP="00A11C9E">
            <w:pPr>
              <w:spacing w:after="0" w:line="240" w:lineRule="auto"/>
            </w:pPr>
            <w:r w:rsidRPr="00A84F8C">
              <w:t>Diagnostics/ pathology</w:t>
            </w:r>
          </w:p>
        </w:tc>
        <w:tc>
          <w:tcPr>
            <w:tcW w:w="0" w:type="auto"/>
            <w:noWrap/>
            <w:vAlign w:val="center"/>
            <w:hideMark/>
          </w:tcPr>
          <w:p w14:paraId="1CB88D65" w14:textId="77777777" w:rsidR="0074143A" w:rsidRPr="00A84F8C" w:rsidRDefault="0074143A" w:rsidP="00EF2676">
            <w:pPr>
              <w:spacing w:after="0" w:line="240" w:lineRule="auto"/>
              <w:jc w:val="center"/>
            </w:pPr>
            <w:r>
              <w:t>1.4</w:t>
            </w:r>
          </w:p>
        </w:tc>
        <w:tc>
          <w:tcPr>
            <w:tcW w:w="0" w:type="auto"/>
            <w:noWrap/>
            <w:vAlign w:val="center"/>
            <w:hideMark/>
          </w:tcPr>
          <w:p w14:paraId="6F15178E" w14:textId="77777777" w:rsidR="0074143A" w:rsidRPr="00A84F8C" w:rsidRDefault="0074143A" w:rsidP="00EF2676">
            <w:pPr>
              <w:spacing w:after="0" w:line="240" w:lineRule="auto"/>
              <w:jc w:val="center"/>
            </w:pPr>
            <w:r>
              <w:t>2.3</w:t>
            </w:r>
          </w:p>
        </w:tc>
        <w:tc>
          <w:tcPr>
            <w:tcW w:w="0" w:type="auto"/>
            <w:noWrap/>
            <w:vAlign w:val="center"/>
            <w:hideMark/>
          </w:tcPr>
          <w:p w14:paraId="1735A7D0" w14:textId="77777777" w:rsidR="0074143A" w:rsidRPr="00A84F8C" w:rsidRDefault="0074143A" w:rsidP="00EF2676">
            <w:pPr>
              <w:spacing w:after="0" w:line="240" w:lineRule="auto"/>
              <w:jc w:val="center"/>
            </w:pPr>
            <w:r>
              <w:t>2.4</w:t>
            </w:r>
          </w:p>
        </w:tc>
        <w:tc>
          <w:tcPr>
            <w:tcW w:w="0" w:type="auto"/>
            <w:vAlign w:val="center"/>
          </w:tcPr>
          <w:p w14:paraId="0073888B" w14:textId="77777777" w:rsidR="0074143A" w:rsidRPr="00A84F8C" w:rsidRDefault="0074143A" w:rsidP="00A11C9E">
            <w:pPr>
              <w:spacing w:after="0" w:line="240" w:lineRule="auto"/>
              <w:jc w:val="right"/>
            </w:pPr>
          </w:p>
        </w:tc>
        <w:tc>
          <w:tcPr>
            <w:tcW w:w="0" w:type="auto"/>
            <w:noWrap/>
            <w:vAlign w:val="center"/>
            <w:hideMark/>
          </w:tcPr>
          <w:p w14:paraId="6B49F5E4" w14:textId="77777777" w:rsidR="0074143A" w:rsidRPr="00A84F8C" w:rsidRDefault="0074143A" w:rsidP="0000055A">
            <w:pPr>
              <w:spacing w:after="0" w:line="240" w:lineRule="auto"/>
              <w:jc w:val="center"/>
            </w:pPr>
            <w:r>
              <w:t>9.2</w:t>
            </w:r>
          </w:p>
        </w:tc>
        <w:tc>
          <w:tcPr>
            <w:tcW w:w="0" w:type="auto"/>
            <w:noWrap/>
            <w:vAlign w:val="center"/>
            <w:hideMark/>
          </w:tcPr>
          <w:p w14:paraId="0F6B0AEB" w14:textId="77777777" w:rsidR="0074143A" w:rsidRPr="00A84F8C" w:rsidRDefault="0074143A" w:rsidP="0000055A">
            <w:pPr>
              <w:spacing w:after="0" w:line="240" w:lineRule="auto"/>
              <w:jc w:val="center"/>
            </w:pPr>
            <w:r>
              <w:t>11.3</w:t>
            </w:r>
          </w:p>
        </w:tc>
        <w:tc>
          <w:tcPr>
            <w:tcW w:w="0" w:type="auto"/>
            <w:noWrap/>
            <w:vAlign w:val="center"/>
            <w:hideMark/>
          </w:tcPr>
          <w:p w14:paraId="188E855B" w14:textId="77777777" w:rsidR="0074143A" w:rsidRPr="00A84F8C" w:rsidRDefault="0074143A" w:rsidP="0000055A">
            <w:pPr>
              <w:spacing w:after="0" w:line="240" w:lineRule="auto"/>
              <w:jc w:val="center"/>
            </w:pPr>
            <w:r>
              <w:t>9.0</w:t>
            </w:r>
          </w:p>
        </w:tc>
      </w:tr>
      <w:tr w:rsidR="0074143A" w:rsidRPr="00A84F8C" w14:paraId="2E96463A" w14:textId="77777777" w:rsidTr="00A11C9E">
        <w:trPr>
          <w:trHeight w:val="300"/>
          <w:jc w:val="center"/>
        </w:trPr>
        <w:tc>
          <w:tcPr>
            <w:tcW w:w="3316" w:type="dxa"/>
            <w:tcBorders>
              <w:bottom w:val="single" w:sz="4" w:space="0" w:color="auto"/>
            </w:tcBorders>
            <w:noWrap/>
            <w:vAlign w:val="center"/>
            <w:hideMark/>
          </w:tcPr>
          <w:p w14:paraId="1B22FB30" w14:textId="77777777" w:rsidR="0074143A" w:rsidRPr="00A84F8C" w:rsidRDefault="0074143A" w:rsidP="00A11C9E">
            <w:pPr>
              <w:spacing w:after="0" w:line="240" w:lineRule="auto"/>
            </w:pPr>
            <w:r w:rsidRPr="00A84F8C">
              <w:t>Others</w:t>
            </w:r>
          </w:p>
        </w:tc>
        <w:tc>
          <w:tcPr>
            <w:tcW w:w="0" w:type="auto"/>
            <w:tcBorders>
              <w:bottom w:val="single" w:sz="4" w:space="0" w:color="auto"/>
            </w:tcBorders>
            <w:noWrap/>
            <w:vAlign w:val="center"/>
            <w:hideMark/>
          </w:tcPr>
          <w:p w14:paraId="280B2F90" w14:textId="77777777" w:rsidR="0074143A" w:rsidRPr="00A84F8C" w:rsidRDefault="0074143A" w:rsidP="00EF2676">
            <w:pPr>
              <w:spacing w:after="0" w:line="240" w:lineRule="auto"/>
              <w:jc w:val="center"/>
            </w:pPr>
            <w:r>
              <w:t>1.8</w:t>
            </w:r>
          </w:p>
        </w:tc>
        <w:tc>
          <w:tcPr>
            <w:tcW w:w="0" w:type="auto"/>
            <w:tcBorders>
              <w:bottom w:val="single" w:sz="4" w:space="0" w:color="auto"/>
            </w:tcBorders>
            <w:noWrap/>
            <w:vAlign w:val="center"/>
            <w:hideMark/>
          </w:tcPr>
          <w:p w14:paraId="502C79F5" w14:textId="77777777" w:rsidR="0074143A" w:rsidRPr="00A84F8C" w:rsidRDefault="0074143A" w:rsidP="00EF2676">
            <w:pPr>
              <w:spacing w:after="0" w:line="240" w:lineRule="auto"/>
              <w:jc w:val="center"/>
            </w:pPr>
            <w:r>
              <w:t>2.4</w:t>
            </w:r>
          </w:p>
        </w:tc>
        <w:tc>
          <w:tcPr>
            <w:tcW w:w="0" w:type="auto"/>
            <w:tcBorders>
              <w:bottom w:val="single" w:sz="4" w:space="0" w:color="auto"/>
            </w:tcBorders>
            <w:noWrap/>
            <w:vAlign w:val="center"/>
            <w:hideMark/>
          </w:tcPr>
          <w:p w14:paraId="554F9341" w14:textId="77777777" w:rsidR="0074143A" w:rsidRPr="00A84F8C" w:rsidRDefault="0074143A" w:rsidP="00EF2676">
            <w:pPr>
              <w:spacing w:after="0" w:line="240" w:lineRule="auto"/>
              <w:jc w:val="center"/>
            </w:pPr>
            <w:r>
              <w:t>2.5</w:t>
            </w:r>
          </w:p>
        </w:tc>
        <w:tc>
          <w:tcPr>
            <w:tcW w:w="0" w:type="auto"/>
            <w:tcBorders>
              <w:bottom w:val="single" w:sz="4" w:space="0" w:color="auto"/>
            </w:tcBorders>
            <w:vAlign w:val="center"/>
          </w:tcPr>
          <w:p w14:paraId="68D109FD" w14:textId="77777777" w:rsidR="0074143A" w:rsidRPr="00A84F8C" w:rsidRDefault="0074143A" w:rsidP="00A11C9E">
            <w:pPr>
              <w:spacing w:after="0" w:line="240" w:lineRule="auto"/>
              <w:jc w:val="right"/>
            </w:pPr>
          </w:p>
        </w:tc>
        <w:tc>
          <w:tcPr>
            <w:tcW w:w="0" w:type="auto"/>
            <w:tcBorders>
              <w:bottom w:val="single" w:sz="4" w:space="0" w:color="auto"/>
            </w:tcBorders>
            <w:noWrap/>
            <w:vAlign w:val="center"/>
            <w:hideMark/>
          </w:tcPr>
          <w:p w14:paraId="367925E6" w14:textId="77777777" w:rsidR="0074143A" w:rsidRPr="00A84F8C" w:rsidRDefault="0074143A" w:rsidP="0000055A">
            <w:pPr>
              <w:spacing w:after="0" w:line="240" w:lineRule="auto"/>
              <w:jc w:val="center"/>
            </w:pPr>
            <w:r>
              <w:t>2.3</w:t>
            </w:r>
          </w:p>
        </w:tc>
        <w:tc>
          <w:tcPr>
            <w:tcW w:w="0" w:type="auto"/>
            <w:tcBorders>
              <w:bottom w:val="single" w:sz="4" w:space="0" w:color="auto"/>
            </w:tcBorders>
            <w:noWrap/>
            <w:vAlign w:val="center"/>
            <w:hideMark/>
          </w:tcPr>
          <w:p w14:paraId="60AFAD1D" w14:textId="77777777" w:rsidR="0074143A" w:rsidRPr="00A84F8C" w:rsidRDefault="0074143A" w:rsidP="0000055A">
            <w:pPr>
              <w:spacing w:after="0" w:line="240" w:lineRule="auto"/>
              <w:jc w:val="center"/>
            </w:pPr>
            <w:r>
              <w:t>1.4</w:t>
            </w:r>
          </w:p>
        </w:tc>
        <w:tc>
          <w:tcPr>
            <w:tcW w:w="0" w:type="auto"/>
            <w:tcBorders>
              <w:bottom w:val="single" w:sz="4" w:space="0" w:color="auto"/>
            </w:tcBorders>
            <w:noWrap/>
            <w:vAlign w:val="center"/>
            <w:hideMark/>
          </w:tcPr>
          <w:p w14:paraId="4E911317" w14:textId="77777777" w:rsidR="0074143A" w:rsidRPr="00A84F8C" w:rsidRDefault="0074143A" w:rsidP="0000055A">
            <w:pPr>
              <w:spacing w:after="0" w:line="240" w:lineRule="auto"/>
              <w:jc w:val="center"/>
            </w:pPr>
            <w:r>
              <w:t>1.7</w:t>
            </w:r>
          </w:p>
        </w:tc>
      </w:tr>
      <w:tr w:rsidR="0074143A" w:rsidRPr="00A84F8C" w14:paraId="6A95E4D8" w14:textId="77777777" w:rsidTr="00A11C9E">
        <w:trPr>
          <w:trHeight w:val="315"/>
          <w:jc w:val="center"/>
        </w:trPr>
        <w:tc>
          <w:tcPr>
            <w:tcW w:w="3316" w:type="dxa"/>
            <w:tcBorders>
              <w:top w:val="single" w:sz="4" w:space="0" w:color="auto"/>
              <w:bottom w:val="single" w:sz="4" w:space="0" w:color="auto"/>
            </w:tcBorders>
            <w:noWrap/>
            <w:vAlign w:val="center"/>
            <w:hideMark/>
          </w:tcPr>
          <w:p w14:paraId="5610F5FC" w14:textId="77777777" w:rsidR="0074143A" w:rsidRPr="00A84F8C" w:rsidRDefault="0074143A" w:rsidP="00A11C9E">
            <w:pPr>
              <w:spacing w:after="0" w:line="240" w:lineRule="auto"/>
            </w:pPr>
            <w:r w:rsidRPr="00A84F8C">
              <w:t>All</w:t>
            </w:r>
          </w:p>
        </w:tc>
        <w:tc>
          <w:tcPr>
            <w:tcW w:w="0" w:type="auto"/>
            <w:tcBorders>
              <w:top w:val="single" w:sz="4" w:space="0" w:color="auto"/>
              <w:bottom w:val="single" w:sz="4" w:space="0" w:color="auto"/>
            </w:tcBorders>
            <w:noWrap/>
            <w:vAlign w:val="center"/>
            <w:hideMark/>
          </w:tcPr>
          <w:p w14:paraId="63B9B95C" w14:textId="77777777" w:rsidR="0074143A" w:rsidRPr="00A84F8C" w:rsidRDefault="0074143A" w:rsidP="00EF2676">
            <w:pPr>
              <w:spacing w:after="0" w:line="240" w:lineRule="auto"/>
              <w:jc w:val="center"/>
            </w:pPr>
            <w:r w:rsidRPr="00A84F8C">
              <w:t>100</w:t>
            </w:r>
          </w:p>
        </w:tc>
        <w:tc>
          <w:tcPr>
            <w:tcW w:w="0" w:type="auto"/>
            <w:tcBorders>
              <w:top w:val="single" w:sz="4" w:space="0" w:color="auto"/>
              <w:bottom w:val="single" w:sz="4" w:space="0" w:color="auto"/>
            </w:tcBorders>
            <w:noWrap/>
            <w:vAlign w:val="center"/>
            <w:hideMark/>
          </w:tcPr>
          <w:p w14:paraId="6708DF14" w14:textId="77777777" w:rsidR="0074143A" w:rsidRPr="00A84F8C" w:rsidRDefault="0074143A" w:rsidP="00EF2676">
            <w:pPr>
              <w:spacing w:after="0" w:line="240" w:lineRule="auto"/>
              <w:jc w:val="center"/>
            </w:pPr>
            <w:r w:rsidRPr="00A84F8C">
              <w:t>100</w:t>
            </w:r>
          </w:p>
        </w:tc>
        <w:tc>
          <w:tcPr>
            <w:tcW w:w="0" w:type="auto"/>
            <w:tcBorders>
              <w:top w:val="single" w:sz="4" w:space="0" w:color="auto"/>
              <w:bottom w:val="single" w:sz="4" w:space="0" w:color="auto"/>
            </w:tcBorders>
            <w:noWrap/>
            <w:vAlign w:val="center"/>
            <w:hideMark/>
          </w:tcPr>
          <w:p w14:paraId="5A62E83E" w14:textId="77777777" w:rsidR="0074143A" w:rsidRPr="00A84F8C" w:rsidRDefault="0074143A" w:rsidP="00EF2676">
            <w:pPr>
              <w:spacing w:after="0" w:line="240" w:lineRule="auto"/>
              <w:jc w:val="center"/>
            </w:pPr>
            <w:r w:rsidRPr="00A84F8C">
              <w:t>100</w:t>
            </w:r>
          </w:p>
        </w:tc>
        <w:tc>
          <w:tcPr>
            <w:tcW w:w="0" w:type="auto"/>
            <w:tcBorders>
              <w:top w:val="single" w:sz="4" w:space="0" w:color="auto"/>
              <w:bottom w:val="single" w:sz="4" w:space="0" w:color="auto"/>
            </w:tcBorders>
            <w:vAlign w:val="center"/>
          </w:tcPr>
          <w:p w14:paraId="1F747488" w14:textId="77777777" w:rsidR="0074143A" w:rsidRPr="00A84F8C" w:rsidRDefault="0074143A" w:rsidP="00A11C9E">
            <w:pPr>
              <w:spacing w:after="0" w:line="240" w:lineRule="auto"/>
              <w:jc w:val="right"/>
            </w:pPr>
          </w:p>
        </w:tc>
        <w:tc>
          <w:tcPr>
            <w:tcW w:w="0" w:type="auto"/>
            <w:tcBorders>
              <w:top w:val="single" w:sz="4" w:space="0" w:color="auto"/>
              <w:bottom w:val="single" w:sz="4" w:space="0" w:color="auto"/>
            </w:tcBorders>
            <w:noWrap/>
            <w:vAlign w:val="center"/>
            <w:hideMark/>
          </w:tcPr>
          <w:p w14:paraId="51A74F5C" w14:textId="77777777" w:rsidR="0074143A" w:rsidRPr="00A84F8C" w:rsidRDefault="0074143A" w:rsidP="0000055A">
            <w:pPr>
              <w:spacing w:after="0" w:line="240" w:lineRule="auto"/>
              <w:jc w:val="center"/>
            </w:pPr>
            <w:r w:rsidRPr="00A84F8C">
              <w:t>100</w:t>
            </w:r>
          </w:p>
        </w:tc>
        <w:tc>
          <w:tcPr>
            <w:tcW w:w="0" w:type="auto"/>
            <w:tcBorders>
              <w:top w:val="single" w:sz="4" w:space="0" w:color="auto"/>
              <w:bottom w:val="single" w:sz="4" w:space="0" w:color="auto"/>
            </w:tcBorders>
            <w:noWrap/>
            <w:vAlign w:val="center"/>
            <w:hideMark/>
          </w:tcPr>
          <w:p w14:paraId="1A9C60FA" w14:textId="77777777" w:rsidR="0074143A" w:rsidRPr="00A84F8C" w:rsidRDefault="0074143A" w:rsidP="0000055A">
            <w:pPr>
              <w:spacing w:after="0" w:line="240" w:lineRule="auto"/>
              <w:jc w:val="center"/>
            </w:pPr>
            <w:r w:rsidRPr="00A84F8C">
              <w:t>100</w:t>
            </w:r>
          </w:p>
        </w:tc>
        <w:tc>
          <w:tcPr>
            <w:tcW w:w="0" w:type="auto"/>
            <w:tcBorders>
              <w:top w:val="single" w:sz="4" w:space="0" w:color="auto"/>
              <w:bottom w:val="single" w:sz="4" w:space="0" w:color="auto"/>
            </w:tcBorders>
            <w:noWrap/>
            <w:vAlign w:val="center"/>
            <w:hideMark/>
          </w:tcPr>
          <w:p w14:paraId="7C412784" w14:textId="77777777" w:rsidR="0074143A" w:rsidRPr="00A84F8C" w:rsidRDefault="0074143A" w:rsidP="0000055A">
            <w:pPr>
              <w:spacing w:after="0" w:line="240" w:lineRule="auto"/>
              <w:jc w:val="center"/>
            </w:pPr>
            <w:r w:rsidRPr="00A84F8C">
              <w:t>100</w:t>
            </w:r>
          </w:p>
        </w:tc>
      </w:tr>
      <w:tr w:rsidR="0074143A" w:rsidRPr="00A84F8C" w14:paraId="39704068" w14:textId="77777777" w:rsidTr="00A11C9E">
        <w:trPr>
          <w:trHeight w:val="300"/>
          <w:jc w:val="center"/>
        </w:trPr>
        <w:tc>
          <w:tcPr>
            <w:tcW w:w="3316" w:type="dxa"/>
            <w:tcBorders>
              <w:top w:val="single" w:sz="4" w:space="0" w:color="auto"/>
              <w:bottom w:val="single" w:sz="4" w:space="0" w:color="auto"/>
            </w:tcBorders>
            <w:noWrap/>
            <w:vAlign w:val="center"/>
            <w:hideMark/>
          </w:tcPr>
          <w:p w14:paraId="13790FE8" w14:textId="77777777" w:rsidR="0074143A" w:rsidRPr="00A84F8C" w:rsidRDefault="0074143A" w:rsidP="00A11C9E">
            <w:pPr>
              <w:spacing w:after="0" w:line="240" w:lineRule="auto"/>
            </w:pPr>
            <w:r w:rsidRPr="00A84F8C">
              <w:t>Total number of enterprise</w:t>
            </w:r>
            <w:r w:rsidR="0000055A">
              <w:t>s</w:t>
            </w:r>
            <w:r w:rsidRPr="00A84F8C">
              <w:t xml:space="preserve"> (‘000)</w:t>
            </w:r>
          </w:p>
        </w:tc>
        <w:tc>
          <w:tcPr>
            <w:tcW w:w="0" w:type="auto"/>
            <w:tcBorders>
              <w:top w:val="single" w:sz="4" w:space="0" w:color="auto"/>
              <w:bottom w:val="single" w:sz="4" w:space="0" w:color="auto"/>
            </w:tcBorders>
            <w:noWrap/>
            <w:vAlign w:val="center"/>
            <w:hideMark/>
          </w:tcPr>
          <w:p w14:paraId="2663FE2A" w14:textId="77777777" w:rsidR="0074143A" w:rsidRPr="00A84F8C" w:rsidRDefault="0074143A" w:rsidP="00EF2676">
            <w:pPr>
              <w:spacing w:after="0" w:line="240" w:lineRule="auto"/>
              <w:jc w:val="center"/>
            </w:pPr>
            <w:r w:rsidRPr="00A84F8C">
              <w:t>1075</w:t>
            </w:r>
          </w:p>
        </w:tc>
        <w:tc>
          <w:tcPr>
            <w:tcW w:w="0" w:type="auto"/>
            <w:tcBorders>
              <w:top w:val="single" w:sz="4" w:space="0" w:color="auto"/>
              <w:bottom w:val="single" w:sz="4" w:space="0" w:color="auto"/>
            </w:tcBorders>
            <w:noWrap/>
            <w:vAlign w:val="center"/>
            <w:hideMark/>
          </w:tcPr>
          <w:p w14:paraId="651A64A7" w14:textId="77777777" w:rsidR="0074143A" w:rsidRPr="00A84F8C" w:rsidRDefault="0074143A" w:rsidP="00EF2676">
            <w:pPr>
              <w:spacing w:after="0" w:line="240" w:lineRule="auto"/>
              <w:jc w:val="center"/>
            </w:pPr>
            <w:r w:rsidRPr="00A84F8C">
              <w:t>785</w:t>
            </w:r>
          </w:p>
        </w:tc>
        <w:tc>
          <w:tcPr>
            <w:tcW w:w="0" w:type="auto"/>
            <w:tcBorders>
              <w:top w:val="single" w:sz="4" w:space="0" w:color="auto"/>
              <w:bottom w:val="single" w:sz="4" w:space="0" w:color="auto"/>
            </w:tcBorders>
            <w:noWrap/>
            <w:vAlign w:val="center"/>
            <w:hideMark/>
          </w:tcPr>
          <w:p w14:paraId="40943AE0" w14:textId="77777777" w:rsidR="0074143A" w:rsidRPr="00A84F8C" w:rsidRDefault="0074143A" w:rsidP="00EF2676">
            <w:pPr>
              <w:spacing w:after="0" w:line="240" w:lineRule="auto"/>
              <w:jc w:val="center"/>
            </w:pPr>
            <w:r w:rsidRPr="00A84F8C">
              <w:t>736</w:t>
            </w:r>
          </w:p>
        </w:tc>
        <w:tc>
          <w:tcPr>
            <w:tcW w:w="0" w:type="auto"/>
            <w:tcBorders>
              <w:top w:val="single" w:sz="4" w:space="0" w:color="auto"/>
              <w:bottom w:val="single" w:sz="4" w:space="0" w:color="auto"/>
            </w:tcBorders>
            <w:vAlign w:val="center"/>
          </w:tcPr>
          <w:p w14:paraId="11A385E9" w14:textId="77777777" w:rsidR="0074143A" w:rsidRPr="00A84F8C" w:rsidRDefault="0074143A" w:rsidP="00A11C9E">
            <w:pPr>
              <w:spacing w:after="0" w:line="240" w:lineRule="auto"/>
              <w:jc w:val="right"/>
            </w:pPr>
          </w:p>
        </w:tc>
        <w:tc>
          <w:tcPr>
            <w:tcW w:w="0" w:type="auto"/>
            <w:tcBorders>
              <w:top w:val="single" w:sz="4" w:space="0" w:color="auto"/>
              <w:bottom w:val="single" w:sz="4" w:space="0" w:color="auto"/>
            </w:tcBorders>
            <w:noWrap/>
            <w:vAlign w:val="center"/>
            <w:hideMark/>
          </w:tcPr>
          <w:p w14:paraId="4954E9A6" w14:textId="77777777" w:rsidR="0074143A" w:rsidRPr="00A84F8C" w:rsidRDefault="0074143A" w:rsidP="0000055A">
            <w:pPr>
              <w:spacing w:after="0" w:line="240" w:lineRule="auto"/>
              <w:jc w:val="center"/>
            </w:pPr>
            <w:r w:rsidRPr="00A84F8C">
              <w:t>229</w:t>
            </w:r>
          </w:p>
        </w:tc>
        <w:tc>
          <w:tcPr>
            <w:tcW w:w="0" w:type="auto"/>
            <w:tcBorders>
              <w:top w:val="single" w:sz="4" w:space="0" w:color="auto"/>
              <w:bottom w:val="single" w:sz="4" w:space="0" w:color="auto"/>
            </w:tcBorders>
            <w:noWrap/>
            <w:vAlign w:val="center"/>
            <w:hideMark/>
          </w:tcPr>
          <w:p w14:paraId="59947360" w14:textId="77777777" w:rsidR="0074143A" w:rsidRPr="00A84F8C" w:rsidRDefault="0074143A" w:rsidP="0000055A">
            <w:pPr>
              <w:spacing w:after="0" w:line="240" w:lineRule="auto"/>
              <w:jc w:val="center"/>
            </w:pPr>
            <w:r w:rsidRPr="00A84F8C">
              <w:t>268</w:t>
            </w:r>
          </w:p>
        </w:tc>
        <w:tc>
          <w:tcPr>
            <w:tcW w:w="0" w:type="auto"/>
            <w:tcBorders>
              <w:top w:val="single" w:sz="4" w:space="0" w:color="auto"/>
              <w:bottom w:val="single" w:sz="4" w:space="0" w:color="auto"/>
            </w:tcBorders>
            <w:noWrap/>
            <w:vAlign w:val="center"/>
            <w:hideMark/>
          </w:tcPr>
          <w:p w14:paraId="2F1AFD32" w14:textId="77777777" w:rsidR="0074143A" w:rsidRPr="00A84F8C" w:rsidRDefault="0074143A" w:rsidP="0000055A">
            <w:pPr>
              <w:spacing w:after="0" w:line="240" w:lineRule="auto"/>
              <w:jc w:val="center"/>
            </w:pPr>
            <w:r w:rsidRPr="00A84F8C">
              <w:t>285</w:t>
            </w:r>
          </w:p>
        </w:tc>
      </w:tr>
    </w:tbl>
    <w:p w14:paraId="22639612" w14:textId="77777777" w:rsidR="0074143A" w:rsidRDefault="0074143A" w:rsidP="0074143A">
      <w:pPr>
        <w:pBdr>
          <w:bottom w:val="single" w:sz="12" w:space="1" w:color="auto"/>
        </w:pBdr>
      </w:pPr>
      <w:r w:rsidRPr="00A84F8C">
        <w:t>Source: Authors</w:t>
      </w:r>
      <w:r>
        <w:t>’ estimates from NSSO, respective</w:t>
      </w:r>
      <w:r w:rsidRPr="00A84F8C">
        <w:t xml:space="preserve"> years</w:t>
      </w:r>
    </w:p>
    <w:p w14:paraId="61810488" w14:textId="77777777" w:rsidR="00EF2676" w:rsidRPr="00A84F8C" w:rsidRDefault="00EF2676" w:rsidP="0074143A">
      <w:pPr>
        <w:pBdr>
          <w:bottom w:val="single" w:sz="12" w:space="1" w:color="auto"/>
        </w:pBdr>
      </w:pPr>
    </w:p>
    <w:p w14:paraId="2D97C700" w14:textId="2C277907" w:rsidR="00D11460" w:rsidRDefault="00D11460" w:rsidP="00FB10D4">
      <w:pPr>
        <w:spacing w:after="120"/>
      </w:pPr>
      <w:r w:rsidRPr="00A84F8C">
        <w:t xml:space="preserve">The </w:t>
      </w:r>
      <w:r w:rsidR="00CC1441">
        <w:t xml:space="preserve">private sector </w:t>
      </w:r>
      <w:r w:rsidRPr="00A84F8C">
        <w:t xml:space="preserve">payment mechanism is overwhelmingly fee-for-service and the real (inflation adjusted) price of hospitalisation has doubled, </w:t>
      </w:r>
      <w:r w:rsidR="00CC1441">
        <w:t xml:space="preserve">rising </w:t>
      </w:r>
      <w:r w:rsidRPr="00A84F8C">
        <w:t>much faster than in the government sector</w:t>
      </w:r>
      <w:r w:rsidR="00CC1441">
        <w:t>,</w:t>
      </w:r>
      <w:r w:rsidRPr="00A84F8C">
        <w:t xml:space="preserve"> during the last decade and a half</w:t>
      </w:r>
      <w:hyperlink w:anchor="_ENREF_40" w:tooltip="Selvaraj, 2009 #38" w:history="1">
        <w:r w:rsidR="00FB10D4" w:rsidRPr="00A84F8C">
          <w:fldChar w:fldCharType="begin"/>
        </w:r>
        <w:r w:rsidR="00FB10D4">
          <w:instrText xml:space="preserve"> ADDIN EN.CITE &lt;EndNote&gt;&lt;Cite&gt;&lt;Author&gt;Selvaraj&lt;/Author&gt;&lt;Year&gt;2009&lt;/Year&gt;&lt;RecNum&gt;38&lt;/RecNum&gt;&lt;DisplayText&gt;&lt;style face="superscript"&gt;40&lt;/style&gt;&lt;/DisplayText&gt;&lt;record&gt;&lt;rec-number&gt;38&lt;/rec-number&gt;&lt;foreign-keys&gt;&lt;key app="EN" db-id="2sp5tdttfertdledza9xaavpe5wrwzestvef"&gt;38&lt;/key&gt;&lt;/foreign-keys&gt;&lt;ref-type name="Journal Article"&gt;17&lt;/ref-type&gt;&lt;contributors&gt;&lt;authors&gt;&lt;author&gt;Selvaraj, Sakthivel&lt;/author&gt;&lt;author&gt;Karan, Anup K.&lt;/author&gt;&lt;/authors&gt;&lt;/contributors&gt;&lt;titles&gt;&lt;title&gt;Deepening Health Insecurity in India: Evidence from National Sample Surveys since 1980s&lt;/title&gt;&lt;secondary-title&gt;Economic and Political Weekly&lt;/secondary-title&gt;&lt;/titles&gt;&lt;periodical&gt;&lt;full-title&gt;Economic and Political Weekly&lt;/full-title&gt;&lt;/periodical&gt;&lt;pages&gt;55-60&lt;/pages&gt;&lt;volume&gt;44&lt;/volume&gt;&lt;number&gt;40&lt;/number&gt;&lt;dates&gt;&lt;year&gt;2009&lt;/year&gt;&lt;/dates&gt;&lt;publisher&gt;Economic and Political Weekly&lt;/publisher&gt;&lt;isbn&gt;00129976&lt;/isbn&gt;&lt;urls&gt;&lt;related-urls&gt;&lt;url&gt;http://www.jstor.org/stable/25663657&lt;/url&gt;&lt;/related-urls&gt;&lt;/urls&gt;&lt;electronic-resource-num&gt;10.2307/25663657&lt;/electronic-resource-num&gt;&lt;/record&gt;&lt;/Cite&gt;&lt;/EndNote&gt;</w:instrText>
        </w:r>
        <w:r w:rsidR="00FB10D4" w:rsidRPr="00A84F8C">
          <w:fldChar w:fldCharType="separate"/>
        </w:r>
        <w:r w:rsidR="00FB10D4" w:rsidRPr="00FB10D4">
          <w:rPr>
            <w:noProof/>
            <w:vertAlign w:val="superscript"/>
          </w:rPr>
          <w:t>40</w:t>
        </w:r>
        <w:r w:rsidR="00FB10D4" w:rsidRPr="00A84F8C">
          <w:fldChar w:fldCharType="end"/>
        </w:r>
      </w:hyperlink>
      <w:r w:rsidRPr="00A84F8C">
        <w:t>.</w:t>
      </w:r>
      <w:r>
        <w:t xml:space="preserve">  T</w:t>
      </w:r>
      <w:r w:rsidR="00930A32" w:rsidRPr="00A84F8C">
        <w:t>he financial burden of health care on Indian households is high and rising.  Out-of-pocket health expenditure (OOP) was estimated at 6.8 per</w:t>
      </w:r>
      <w:r w:rsidR="00B7577A" w:rsidRPr="00A84F8C">
        <w:t xml:space="preserve"> </w:t>
      </w:r>
      <w:r w:rsidR="00930A32" w:rsidRPr="00A84F8C">
        <w:t>cent of household resources and 12.10 per</w:t>
      </w:r>
      <w:r w:rsidR="002B28B6" w:rsidRPr="00A84F8C">
        <w:t xml:space="preserve"> </w:t>
      </w:r>
      <w:r w:rsidR="00930A32" w:rsidRPr="00A84F8C">
        <w:t>cent of non-food expenditure in 2011-12.</w:t>
      </w:r>
      <w:r w:rsidR="00420FA9" w:rsidRPr="00A84F8C">
        <w:t xml:space="preserve"> </w:t>
      </w:r>
      <w:r w:rsidR="006A4558" w:rsidRPr="00A84F8C">
        <w:t>Catastrophic OOP payments increasingly lead to impoverishment through sale of valuable assets, running down savings, and borrowing at usurious interest rates from private money lenders</w:t>
      </w:r>
      <w:hyperlink w:anchor="_ENREF_40" w:tooltip="Selvaraj, 2009 #38" w:history="1">
        <w:r w:rsidR="00FB10D4">
          <w:fldChar w:fldCharType="begin"/>
        </w:r>
        <w:r w:rsidR="00FB10D4">
          <w:instrText xml:space="preserve"> ADDIN EN.CITE &lt;EndNote&gt;&lt;Cite&gt;&lt;Author&gt;Selvaraj&lt;/Author&gt;&lt;Year&gt;2009&lt;/Year&gt;&lt;RecNum&gt;38&lt;/RecNum&gt;&lt;DisplayText&gt;&lt;style face="superscript"&gt;40&lt;/style&gt;&lt;/DisplayText&gt;&lt;record&gt;&lt;rec-number&gt;38&lt;/rec-number&gt;&lt;foreign-keys&gt;&lt;key app="EN" db-id="2sp5tdttfertdledza9xaavpe5wrwzestvef"&gt;38&lt;/key&gt;&lt;/foreign-keys&gt;&lt;ref-type name="Journal Article"&gt;17&lt;/ref-type&gt;&lt;contributors&gt;&lt;authors&gt;&lt;author&gt;Selvaraj, Sakthivel&lt;/author&gt;&lt;author&gt;Karan, Anup K.&lt;/author&gt;&lt;/authors&gt;&lt;/contributors&gt;&lt;titles&gt;&lt;title&gt;Deepening Health Insecurity in India: Evidence from National Sample Surveys since 1980s&lt;/title&gt;&lt;secondary-title&gt;Economic and Political Weekly&lt;/secondary-title&gt;&lt;/titles&gt;&lt;periodical&gt;&lt;full-title&gt;Economic and Political Weekly&lt;/full-title&gt;&lt;/periodical&gt;&lt;pages&gt;55-60&lt;/pages&gt;&lt;volume&gt;44&lt;/volume&gt;&lt;number&gt;40&lt;/number&gt;&lt;dates&gt;&lt;year&gt;2009&lt;/year&gt;&lt;/dates&gt;&lt;publisher&gt;Economic and Political Weekly&lt;/publisher&gt;&lt;isbn&gt;00129976&lt;/isbn&gt;&lt;urls&gt;&lt;related-urls&gt;&lt;url&gt;http://www.jstor.org/stable/25663657&lt;/url&gt;&lt;/related-urls&gt;&lt;/urls&gt;&lt;electronic-resource-num&gt;10.2307/25663657&lt;/electronic-resource-num&gt;&lt;/record&gt;&lt;/Cite&gt;&lt;/EndNote&gt;</w:instrText>
        </w:r>
        <w:r w:rsidR="00FB10D4">
          <w:fldChar w:fldCharType="separate"/>
        </w:r>
        <w:r w:rsidR="00FB10D4" w:rsidRPr="00FB10D4">
          <w:rPr>
            <w:noProof/>
            <w:vertAlign w:val="superscript"/>
          </w:rPr>
          <w:t>40</w:t>
        </w:r>
        <w:r w:rsidR="00FB10D4">
          <w:fldChar w:fldCharType="end"/>
        </w:r>
      </w:hyperlink>
      <w:r w:rsidR="006A4558" w:rsidRPr="00A84F8C">
        <w:t>.</w:t>
      </w:r>
    </w:p>
    <w:p w14:paraId="32BA0C90" w14:textId="77777777" w:rsidR="00EB74F1" w:rsidRPr="00A84F8C" w:rsidRDefault="00EB74F1" w:rsidP="00EB74F1">
      <w:pPr>
        <w:pStyle w:val="ListParagraph"/>
        <w:numPr>
          <w:ilvl w:val="0"/>
          <w:numId w:val="4"/>
        </w:numPr>
        <w:spacing w:after="0"/>
        <w:rPr>
          <w:b/>
          <w:sz w:val="24"/>
          <w:szCs w:val="24"/>
        </w:rPr>
      </w:pPr>
      <w:r w:rsidRPr="00A84F8C">
        <w:rPr>
          <w:b/>
          <w:sz w:val="24"/>
          <w:szCs w:val="24"/>
        </w:rPr>
        <w:t xml:space="preserve">A private sector complementing a universalist public sector : Sri Lanka and Thailand </w:t>
      </w:r>
    </w:p>
    <w:p w14:paraId="2680C7AE" w14:textId="3190D918" w:rsidR="00B2593E" w:rsidRPr="00A84F8C" w:rsidRDefault="00EB74F1" w:rsidP="00FB10D4">
      <w:r w:rsidRPr="00A84F8C">
        <w:t>These two countries’ health systems differ</w:t>
      </w:r>
      <w:r w:rsidR="00B2593E" w:rsidRPr="00A84F8C">
        <w:t xml:space="preserve"> considerably</w:t>
      </w:r>
      <w:r w:rsidRPr="00A84F8C">
        <w:t xml:space="preserve">, but </w:t>
      </w:r>
      <w:r w:rsidR="00B2593E" w:rsidRPr="00A84F8C">
        <w:t xml:space="preserve">they </w:t>
      </w:r>
      <w:r w:rsidRPr="00A84F8C">
        <w:t xml:space="preserve">share a key characteristic: public spending supports an accessible </w:t>
      </w:r>
      <w:r w:rsidR="00656EE7">
        <w:t xml:space="preserve">and universalist </w:t>
      </w:r>
      <w:r w:rsidRPr="00A84F8C">
        <w:t>public sector</w:t>
      </w:r>
      <w:r w:rsidR="00656EE7">
        <w:t xml:space="preserve"> </w:t>
      </w:r>
      <w:r w:rsidRPr="00A84F8C">
        <w:t>who</w:t>
      </w:r>
      <w:r w:rsidR="00B2593E" w:rsidRPr="00A84F8C">
        <w:t xml:space="preserve">se role and limitations </w:t>
      </w:r>
      <w:r w:rsidRPr="00A84F8C">
        <w:t>shape private sector investment into complementary roles</w:t>
      </w:r>
      <w:r w:rsidR="00B2593E" w:rsidRPr="00A84F8C">
        <w:t xml:space="preserve"> within the health system</w:t>
      </w:r>
      <w:r w:rsidRPr="00A84F8C">
        <w:t xml:space="preserve">.  Both obtain good health </w:t>
      </w:r>
      <w:r w:rsidR="00CF452C">
        <w:t>outcomes from this pattern</w:t>
      </w:r>
      <w:r w:rsidR="0007630F">
        <w:fldChar w:fldCharType="begin"/>
      </w:r>
      <w:r w:rsidR="00FB10D4">
        <w:instrText xml:space="preserve"> ADDIN EN.CITE &lt;EndNote&gt;&lt;Cite&gt;&lt;Author&gt;Govindaraj&lt;/Author&gt;&lt;Year&gt;2013&lt;/Year&gt;&lt;RecNum&gt;50&lt;/RecNum&gt;&lt;DisplayText&gt;&lt;style face="superscript"&gt;16,41&lt;/style&gt;&lt;/DisplayText&gt;&lt;record&gt;&lt;rec-number&gt;50&lt;/rec-number&gt;&lt;foreign-keys&gt;&lt;key app="EN" db-id="2sp5tdttfertdledza9xaavpe5wrwzestvef"&gt;50&lt;/key&gt;&lt;/foreign-keys&gt;&lt;ref-type name="Report"&gt;27&lt;/ref-type&gt;&lt;contributors&gt;&lt;authors&gt;&lt;author&gt;Govindaraj, R&lt;/author&gt;&lt;author&gt;Cavagnero, E&lt;/author&gt;&lt;author&gt;Navaratne, K&lt;/author&gt;&lt;author&gt;Gopalan, S&lt;/author&gt;&lt;/authors&gt;&lt;/contributors&gt;&lt;titles&gt;&lt;title&gt;Sri Lanka: Private Health Sector Review &lt;/title&gt;&lt;/titles&gt;&lt;dates&gt;&lt;year&gt;2013&lt;/year&gt;&lt;/dates&gt;&lt;pub-location&gt;Washington DC&lt;/pub-location&gt;&lt;publisher&gt;World Bank&lt;/publisher&gt;&lt;urls&gt;&lt;/urls&gt;&lt;/record&gt;&lt;/Cite&gt;&lt;Cite&gt;&lt;Author&gt;Balabanova&lt;/Author&gt;&lt;Year&gt;2011&lt;/Year&gt;&lt;RecNum&gt;56&lt;/RecNum&gt;&lt;record&gt;&lt;rec-number&gt;56&lt;/rec-number&gt;&lt;foreign-keys&gt;&lt;key app="EN" db-id="2sp5tdttfertdledza9xaavpe5wrwzestvef"&gt;56&lt;/key&gt;&lt;/foreign-keys&gt;&lt;ref-type name="Book"&gt;6&lt;/ref-type&gt;&lt;contributors&gt;&lt;authors&gt;&lt;author&gt;Balabanova, D.&lt;/author&gt;&lt;author&gt;McKee, M.&lt;/author&gt;&lt;author&gt;Mills, Anne&lt;/author&gt;&lt;/authors&gt;&lt;/contributors&gt;&lt;titles&gt;&lt;title&gt;Good Health at Low Cost’ 20 Years On: What makes a successful health system? &lt;/title&gt;&lt;/titles&gt;&lt;dates&gt;&lt;year&gt;2011&lt;/year&gt;&lt;/dates&gt;&lt;pub-location&gt;London&lt;/pub-location&gt;&lt;publisher&gt;London School of Hygiene and Tropical Medicine&lt;/publisher&gt;&lt;urls&gt;&lt;/urls&gt;&lt;/record&gt;&lt;/Cite&gt;&lt;/EndNote&gt;</w:instrText>
      </w:r>
      <w:r w:rsidR="0007630F">
        <w:fldChar w:fldCharType="separate"/>
      </w:r>
      <w:hyperlink w:anchor="_ENREF_16" w:tooltip="Govindaraj, 2013 #50" w:history="1">
        <w:r w:rsidR="00FB10D4" w:rsidRPr="00FB10D4">
          <w:rPr>
            <w:noProof/>
            <w:vertAlign w:val="superscript"/>
          </w:rPr>
          <w:t>16</w:t>
        </w:r>
      </w:hyperlink>
      <w:r w:rsidR="00FB10D4" w:rsidRPr="00FB10D4">
        <w:rPr>
          <w:noProof/>
          <w:vertAlign w:val="superscript"/>
        </w:rPr>
        <w:t>,</w:t>
      </w:r>
      <w:hyperlink w:anchor="_ENREF_41" w:tooltip="Balabanova, 2011 #56" w:history="1">
        <w:r w:rsidR="00FB10D4" w:rsidRPr="00FB10D4">
          <w:rPr>
            <w:noProof/>
            <w:vertAlign w:val="superscript"/>
          </w:rPr>
          <w:t>41</w:t>
        </w:r>
      </w:hyperlink>
      <w:r w:rsidR="0007630F">
        <w:fldChar w:fldCharType="end"/>
      </w:r>
      <w:r w:rsidR="00B0366F">
        <w:t xml:space="preserve"> </w:t>
      </w:r>
      <w:r w:rsidRPr="00A84F8C">
        <w:t>.</w:t>
      </w:r>
      <w:r w:rsidR="00B2593E" w:rsidRPr="00A84F8C">
        <w:t xml:space="preserve"> We illustrate </w:t>
      </w:r>
      <w:r w:rsidR="008626ED" w:rsidRPr="00A84F8C">
        <w:t>this pattern with data from Sri Lanka.</w:t>
      </w:r>
    </w:p>
    <w:p w14:paraId="3579301C" w14:textId="7BA41733" w:rsidR="00926B21" w:rsidRDefault="00926B21" w:rsidP="00FB10D4">
      <w:r>
        <w:t>In Sri Lanka, the private/public expenditure ratio has been fairly stable since the mid-1990s, at around 55% private/ 45% public, with private expenditure largely out of pocket (OOP) (82%)</w:t>
      </w:r>
      <w:hyperlink w:anchor="_ENREF_17" w:tooltip="Fernando, 2009 #51" w:history="1">
        <w:r w:rsidR="00FB10D4">
          <w:fldChar w:fldCharType="begin"/>
        </w:r>
        <w:r w:rsidR="00FB10D4">
          <w:instrText xml:space="preserve"> ADDIN EN.CITE &lt;EndNote&gt;&lt;Cite&gt;&lt;Author&gt;Fernando&lt;/Author&gt;&lt;Year&gt;2009&lt;/Year&gt;&lt;RecNum&gt;51&lt;/RecNum&gt;&lt;DisplayText&gt;&lt;style face="superscript"&gt;17&lt;/style&gt;&lt;/DisplayText&gt;&lt;record&gt;&lt;rec-number&gt;51&lt;/rec-number&gt;&lt;foreign-keys&gt;&lt;key app="EN" db-id="2sp5tdttfertdledza9xaavpe5wrwzestvef"&gt;51&lt;/key&gt;&lt;/foreign-keys&gt;&lt;ref-type name="Report"&gt;27&lt;/ref-type&gt;&lt;contributors&gt;&lt;authors&gt;&lt;author&gt;Fernando, T&lt;/author&gt;&lt;author&gt;Rannan-Eliya, R. P.&lt;/author&gt;&lt;author&gt;Jayasundara, J.M.H.&lt;/author&gt;&lt;/authors&gt;&lt;/contributors&gt;&lt;titles&gt;&lt;title&gt;Sri Lanka Health Accounts: National Health Expenditures 1990–2006&lt;/title&gt;&lt;secondary-title&gt;IHP Health Expenditure Series No. 1&lt;/secondary-title&gt;&lt;/titles&gt;&lt;dates&gt;&lt;year&gt;2009&lt;/year&gt;&lt;/dates&gt;&lt;pub-location&gt;Colombo&lt;/pub-location&gt;&lt;publisher&gt;Institute for Health Policy&lt;/publisher&gt;&lt;urls&gt;&lt;/urls&gt;&lt;/record&gt;&lt;/Cite&gt;&lt;/EndNote&gt;</w:instrText>
        </w:r>
        <w:r w:rsidR="00FB10D4">
          <w:fldChar w:fldCharType="separate"/>
        </w:r>
        <w:r w:rsidR="00FB10D4" w:rsidRPr="00192EBD">
          <w:rPr>
            <w:noProof/>
            <w:vertAlign w:val="superscript"/>
          </w:rPr>
          <w:t>17</w:t>
        </w:r>
        <w:r w:rsidR="00FB10D4">
          <w:fldChar w:fldCharType="end"/>
        </w:r>
      </w:hyperlink>
      <w:r>
        <w:t xml:space="preserve">.  Most out of pocket spending </w:t>
      </w:r>
      <w:r w:rsidR="00DC5C72">
        <w:t xml:space="preserve">on health </w:t>
      </w:r>
      <w:r>
        <w:t xml:space="preserve">goes on private practitioners’ fees (70% in </w:t>
      </w:r>
      <w:r w:rsidR="00E430DE">
        <w:t xml:space="preserve">the </w:t>
      </w:r>
      <w:r>
        <w:t>poorest quintile), except in the top income quintile where a third is spent on private hospital care (Figure 2). An internationally low percentage spent on drugs can probably be attributed to widespread availability of low cost or free drugs through the public system.</w:t>
      </w:r>
    </w:p>
    <w:p w14:paraId="05376A1B" w14:textId="77777777" w:rsidR="001309CC" w:rsidRDefault="001309CC">
      <w:pPr>
        <w:rPr>
          <w:b/>
        </w:rPr>
      </w:pPr>
      <w:r>
        <w:rPr>
          <w:b/>
        </w:rPr>
        <w:br w:type="page"/>
      </w:r>
    </w:p>
    <w:p w14:paraId="39EE4FAC" w14:textId="77777777" w:rsidR="00926B21" w:rsidRPr="002D5770" w:rsidRDefault="00E430DE" w:rsidP="00926B21">
      <w:pPr>
        <w:rPr>
          <w:b/>
        </w:rPr>
      </w:pPr>
      <w:r>
        <w:rPr>
          <w:b/>
        </w:rPr>
        <w:t>F</w:t>
      </w:r>
      <w:r w:rsidR="00926B21">
        <w:rPr>
          <w:b/>
        </w:rPr>
        <w:t>igure 2</w:t>
      </w:r>
      <w:r w:rsidR="00926B21" w:rsidRPr="002D5770">
        <w:rPr>
          <w:b/>
        </w:rPr>
        <w:t xml:space="preserve">: Structure of Out-of-Pocket Health Payments by income quintile, </w:t>
      </w:r>
      <w:r w:rsidR="00926B21">
        <w:rPr>
          <w:b/>
        </w:rPr>
        <w:t xml:space="preserve">Sri Lanka </w:t>
      </w:r>
      <w:r w:rsidR="00926B21" w:rsidRPr="002D5770">
        <w:rPr>
          <w:b/>
        </w:rPr>
        <w:t>2009-10</w:t>
      </w:r>
    </w:p>
    <w:p w14:paraId="0673465D" w14:textId="77777777" w:rsidR="00926B21" w:rsidRDefault="00926B21" w:rsidP="00896F47">
      <w:pPr>
        <w:jc w:val="center"/>
      </w:pPr>
      <w:r>
        <w:rPr>
          <w:noProof/>
          <w:lang w:eastAsia="en-GB"/>
        </w:rPr>
        <w:drawing>
          <wp:inline distT="0" distB="0" distL="0" distR="0" wp14:anchorId="0AE76537" wp14:editId="6A229980">
            <wp:extent cx="4226560" cy="2190750"/>
            <wp:effectExtent l="0" t="0" r="2159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F5F1F33" w14:textId="77777777" w:rsidR="00CE164E" w:rsidRPr="00E60C66" w:rsidRDefault="00CE164E" w:rsidP="00926B21">
      <w:pPr>
        <w:rPr>
          <w:sz w:val="20"/>
        </w:rPr>
      </w:pPr>
      <w:r w:rsidRPr="00E60C66">
        <w:rPr>
          <w:sz w:val="20"/>
        </w:rPr>
        <w:t xml:space="preserve">Legend: prvpract: private practitioners’ fees; specialist: specialists’ fees; test: payments for tests; Prv Hospital: private hospital charges; Pharma: payments for medicines. </w:t>
      </w:r>
    </w:p>
    <w:p w14:paraId="4F3CB0F5" w14:textId="05C876E2" w:rsidR="00926B21" w:rsidRPr="00E60C66" w:rsidRDefault="00926B21" w:rsidP="00FB10D4">
      <w:pPr>
        <w:rPr>
          <w:sz w:val="20"/>
        </w:rPr>
      </w:pPr>
      <w:r w:rsidRPr="00E60C66">
        <w:rPr>
          <w:sz w:val="20"/>
        </w:rPr>
        <w:t xml:space="preserve">Source: </w:t>
      </w:r>
      <w:r w:rsidR="00CE164E" w:rsidRPr="00E60C66">
        <w:rPr>
          <w:sz w:val="20"/>
        </w:rPr>
        <w:t xml:space="preserve"> Calculated from the </w:t>
      </w:r>
      <w:r w:rsidRPr="00E60C66">
        <w:rPr>
          <w:sz w:val="20"/>
        </w:rPr>
        <w:t xml:space="preserve">Sri Lanka </w:t>
      </w:r>
      <w:r w:rsidRPr="00E60C66">
        <w:rPr>
          <w:i/>
          <w:sz w:val="20"/>
        </w:rPr>
        <w:t>Household Income and Expenditure Survey</w:t>
      </w:r>
      <w:r w:rsidR="00CE164E" w:rsidRPr="00E60C66">
        <w:rPr>
          <w:sz w:val="20"/>
        </w:rPr>
        <w:t xml:space="preserve"> data</w:t>
      </w:r>
      <w:r w:rsidRPr="00E60C66">
        <w:rPr>
          <w:sz w:val="20"/>
        </w:rPr>
        <w:t xml:space="preserve"> </w:t>
      </w:r>
      <w:r w:rsidR="00CD0066" w:rsidRPr="00E60C66">
        <w:rPr>
          <w:sz w:val="20"/>
        </w:rPr>
        <w:t>(2009/</w:t>
      </w:r>
      <w:r w:rsidRPr="00E60C66">
        <w:rPr>
          <w:sz w:val="20"/>
        </w:rPr>
        <w:t>1</w:t>
      </w:r>
      <w:r w:rsidR="00CE164E" w:rsidRPr="00E60C66">
        <w:rPr>
          <w:sz w:val="20"/>
        </w:rPr>
        <w:t>0</w:t>
      </w:r>
      <w:r w:rsidR="00CD0066" w:rsidRPr="00E60C66">
        <w:rPr>
          <w:sz w:val="20"/>
        </w:rPr>
        <w:t>)</w:t>
      </w:r>
      <w:hyperlink w:anchor="_ENREF_42" w:tooltip="Department of Census and Statistics, 2011 #60" w:history="1">
        <w:r w:rsidR="00FB10D4" w:rsidRPr="00E60C66">
          <w:rPr>
            <w:sz w:val="20"/>
          </w:rPr>
          <w:fldChar w:fldCharType="begin"/>
        </w:r>
        <w:r w:rsidR="00FB10D4">
          <w:rPr>
            <w:sz w:val="20"/>
          </w:rPr>
          <w:instrText xml:space="preserve"> ADDIN EN.CITE &lt;EndNote&gt;&lt;Cite&gt;&lt;Author&gt;Department of Census and Statistics&lt;/Author&gt;&lt;Year&gt;2011&lt;/Year&gt;&lt;RecNum&gt;60&lt;/RecNum&gt;&lt;DisplayText&gt;&lt;style face="superscript"&gt;42&lt;/style&gt;&lt;/DisplayText&gt;&lt;record&gt;&lt;rec-number&gt;60&lt;/rec-number&gt;&lt;foreign-keys&gt;&lt;key app="EN" db-id="2sp5tdttfertdledza9xaavpe5wrwzestvef"&gt;60&lt;/key&gt;&lt;/foreign-keys&gt;&lt;ref-type name="Report"&gt;27&lt;/ref-type&gt;&lt;contributors&gt;&lt;authors&gt;&lt;author&gt;Department of Census and Statistics,&lt;/author&gt;&lt;/authors&gt;&lt;/contributors&gt;&lt;titles&gt;&lt;title&gt;Household Income and Expenditure Survey – 2009/10&lt;/title&gt;&lt;/titles&gt;&lt;dates&gt;&lt;year&gt;2011&lt;/year&gt;&lt;/dates&gt;&lt;pub-location&gt;Sri Lanka&lt;/pub-location&gt;&lt;publisher&gt;Ministry of Finance and Planning&lt;/publisher&gt;&lt;urls&gt;&lt;related-urls&gt;&lt;url&gt;http://www.statistics.gov.lk/page.asp?page=Income%20and%20Expenditure&lt;/url&gt;&lt;/related-urls&gt;&lt;/urls&gt;&lt;/record&gt;&lt;/Cite&gt;&lt;/EndNote&gt;</w:instrText>
        </w:r>
        <w:r w:rsidR="00FB10D4" w:rsidRPr="00E60C66">
          <w:rPr>
            <w:sz w:val="20"/>
          </w:rPr>
          <w:fldChar w:fldCharType="separate"/>
        </w:r>
        <w:r w:rsidR="00FB10D4" w:rsidRPr="00FB10D4">
          <w:rPr>
            <w:noProof/>
            <w:sz w:val="20"/>
            <w:vertAlign w:val="superscript"/>
          </w:rPr>
          <w:t>42</w:t>
        </w:r>
        <w:r w:rsidR="00FB10D4" w:rsidRPr="00E60C66">
          <w:rPr>
            <w:sz w:val="20"/>
          </w:rPr>
          <w:fldChar w:fldCharType="end"/>
        </w:r>
      </w:hyperlink>
      <w:r w:rsidRPr="00E60C66">
        <w:rPr>
          <w:sz w:val="20"/>
        </w:rPr>
        <w:t xml:space="preserve"> </w:t>
      </w:r>
    </w:p>
    <w:p w14:paraId="665D8124" w14:textId="77777777" w:rsidR="00926B21" w:rsidRPr="00431C66" w:rsidRDefault="001478B7" w:rsidP="00926B21">
      <w:pPr>
        <w:rPr>
          <w:rFonts w:eastAsia="Calibri" w:cstheme="minorHAnsi"/>
          <w:b/>
        </w:rPr>
      </w:pPr>
      <w:r>
        <w:t>In Sri L</w:t>
      </w:r>
      <w:r w:rsidR="00926B21">
        <w:t>anka most physician</w:t>
      </w:r>
      <w:r w:rsidR="00E430DE">
        <w:t>s</w:t>
      </w:r>
      <w:r w:rsidR="00926B21">
        <w:t xml:space="preserve"> working in private practice also work in the public system, and private providers offer over half the primary care; however most in-patient care remains in the pu</w:t>
      </w:r>
      <w:r w:rsidR="00E430DE">
        <w:t>blic sector</w:t>
      </w:r>
      <w:r w:rsidR="00896F47">
        <w:t xml:space="preserve"> </w:t>
      </w:r>
      <w:r w:rsidR="00926B21">
        <w:t xml:space="preserve">(Table 4). </w:t>
      </w:r>
    </w:p>
    <w:p w14:paraId="2C302FA0" w14:textId="77777777" w:rsidR="00926B21" w:rsidRPr="00D24E75" w:rsidRDefault="00926B21" w:rsidP="007B4FFC">
      <w:pPr>
        <w:pStyle w:val="ListParagraph"/>
        <w:ind w:left="0"/>
        <w:jc w:val="both"/>
        <w:rPr>
          <w:rFonts w:eastAsia="Calibri" w:cstheme="minorHAnsi"/>
          <w:b/>
        </w:rPr>
      </w:pPr>
      <w:r>
        <w:rPr>
          <w:rFonts w:eastAsia="Calibri" w:cstheme="minorHAnsi"/>
          <w:b/>
        </w:rPr>
        <w:t>Table 4</w:t>
      </w:r>
      <w:r w:rsidRPr="00D24E75">
        <w:rPr>
          <w:rFonts w:eastAsia="Calibri" w:cstheme="minorHAnsi"/>
          <w:b/>
        </w:rPr>
        <w:t>: Health services provided by different sectors in Sri Lanka (% of total)</w:t>
      </w:r>
    </w:p>
    <w:tbl>
      <w:tblPr>
        <w:tblStyle w:val="TableGrid"/>
        <w:tblW w:w="0" w:type="auto"/>
        <w:tblInd w:w="108" w:type="dxa"/>
        <w:tblBorders>
          <w:left w:val="none" w:sz="0" w:space="0" w:color="auto"/>
          <w:right w:val="none" w:sz="0" w:space="0" w:color="auto"/>
          <w:insideV w:val="none" w:sz="0" w:space="0" w:color="auto"/>
        </w:tblBorders>
        <w:tblLook w:val="01E0" w:firstRow="1" w:lastRow="1" w:firstColumn="1" w:lastColumn="1" w:noHBand="0" w:noVBand="0"/>
      </w:tblPr>
      <w:tblGrid>
        <w:gridCol w:w="3425"/>
        <w:gridCol w:w="2216"/>
        <w:gridCol w:w="3277"/>
      </w:tblGrid>
      <w:tr w:rsidR="00926B21" w14:paraId="58F3E899" w14:textId="77777777" w:rsidTr="00E60C66">
        <w:tc>
          <w:tcPr>
            <w:tcW w:w="3511" w:type="dxa"/>
            <w:tcBorders>
              <w:bottom w:val="single" w:sz="4" w:space="0" w:color="auto"/>
            </w:tcBorders>
            <w:vAlign w:val="bottom"/>
            <w:hideMark/>
          </w:tcPr>
          <w:p w14:paraId="4F9FD608" w14:textId="77777777" w:rsidR="00926B21" w:rsidRDefault="00926B21" w:rsidP="00E60C66">
            <w:pPr>
              <w:tabs>
                <w:tab w:val="left" w:pos="720"/>
              </w:tabs>
              <w:ind w:right="360"/>
              <w:rPr>
                <w:rFonts w:cstheme="minorHAnsi"/>
                <w:b/>
                <w:bCs/>
              </w:rPr>
            </w:pPr>
            <w:r>
              <w:rPr>
                <w:rFonts w:cstheme="minorHAnsi"/>
                <w:b/>
                <w:bCs/>
              </w:rPr>
              <w:t>Type of care</w:t>
            </w:r>
          </w:p>
        </w:tc>
        <w:tc>
          <w:tcPr>
            <w:tcW w:w="2251" w:type="dxa"/>
            <w:tcBorders>
              <w:bottom w:val="single" w:sz="4" w:space="0" w:color="auto"/>
            </w:tcBorders>
            <w:vAlign w:val="bottom"/>
            <w:hideMark/>
          </w:tcPr>
          <w:p w14:paraId="41E2C0A1" w14:textId="77777777" w:rsidR="00926B21" w:rsidRDefault="00926B21" w:rsidP="00E60C66">
            <w:pPr>
              <w:tabs>
                <w:tab w:val="left" w:pos="720"/>
              </w:tabs>
              <w:ind w:right="360"/>
              <w:jc w:val="center"/>
              <w:rPr>
                <w:rFonts w:cstheme="minorHAnsi"/>
                <w:b/>
                <w:bCs/>
              </w:rPr>
            </w:pPr>
            <w:r>
              <w:rPr>
                <w:rFonts w:cstheme="minorHAnsi"/>
                <w:b/>
                <w:bCs/>
              </w:rPr>
              <w:t>Private Providers</w:t>
            </w:r>
          </w:p>
        </w:tc>
        <w:tc>
          <w:tcPr>
            <w:tcW w:w="3341" w:type="dxa"/>
            <w:tcBorders>
              <w:bottom w:val="single" w:sz="4" w:space="0" w:color="auto"/>
            </w:tcBorders>
            <w:hideMark/>
          </w:tcPr>
          <w:p w14:paraId="3304C485" w14:textId="77777777" w:rsidR="00926B21" w:rsidRDefault="00926B21" w:rsidP="00CF5C56">
            <w:pPr>
              <w:tabs>
                <w:tab w:val="left" w:pos="720"/>
              </w:tabs>
              <w:ind w:right="360"/>
              <w:jc w:val="center"/>
              <w:rPr>
                <w:rFonts w:cstheme="minorHAnsi"/>
                <w:b/>
                <w:bCs/>
              </w:rPr>
            </w:pPr>
            <w:r>
              <w:rPr>
                <w:rFonts w:cstheme="minorHAnsi"/>
                <w:b/>
                <w:bCs/>
              </w:rPr>
              <w:t>Public Providers (Government)</w:t>
            </w:r>
          </w:p>
        </w:tc>
      </w:tr>
      <w:tr w:rsidR="00926B21" w14:paraId="00FDB00D" w14:textId="77777777" w:rsidTr="00E60C66">
        <w:tc>
          <w:tcPr>
            <w:tcW w:w="3511" w:type="dxa"/>
            <w:tcBorders>
              <w:bottom w:val="nil"/>
            </w:tcBorders>
            <w:hideMark/>
          </w:tcPr>
          <w:p w14:paraId="202F1DF6" w14:textId="77777777" w:rsidR="00926B21" w:rsidRDefault="00926B21" w:rsidP="00CF5C56">
            <w:pPr>
              <w:tabs>
                <w:tab w:val="left" w:pos="720"/>
              </w:tabs>
              <w:ind w:right="360"/>
              <w:rPr>
                <w:rFonts w:cstheme="minorHAnsi"/>
              </w:rPr>
            </w:pPr>
            <w:r>
              <w:rPr>
                <w:rFonts w:cstheme="minorHAnsi"/>
              </w:rPr>
              <w:t>Preventive Care</w:t>
            </w:r>
          </w:p>
        </w:tc>
        <w:tc>
          <w:tcPr>
            <w:tcW w:w="2251" w:type="dxa"/>
            <w:tcBorders>
              <w:bottom w:val="nil"/>
            </w:tcBorders>
            <w:vAlign w:val="bottom"/>
            <w:hideMark/>
          </w:tcPr>
          <w:p w14:paraId="4A9D1AD1" w14:textId="77777777" w:rsidR="00926B21" w:rsidRDefault="00926B21" w:rsidP="00E60C66">
            <w:pPr>
              <w:tabs>
                <w:tab w:val="left" w:pos="720"/>
              </w:tabs>
              <w:ind w:right="360"/>
              <w:jc w:val="center"/>
              <w:rPr>
                <w:rFonts w:cstheme="minorHAnsi"/>
              </w:rPr>
            </w:pPr>
            <w:r>
              <w:rPr>
                <w:rFonts w:cstheme="minorHAnsi"/>
              </w:rPr>
              <w:t>Minimal</w:t>
            </w:r>
          </w:p>
        </w:tc>
        <w:tc>
          <w:tcPr>
            <w:tcW w:w="3341" w:type="dxa"/>
            <w:tcBorders>
              <w:bottom w:val="nil"/>
            </w:tcBorders>
            <w:hideMark/>
          </w:tcPr>
          <w:p w14:paraId="081AA377" w14:textId="77777777" w:rsidR="00926B21" w:rsidRDefault="00926B21" w:rsidP="00CF5C56">
            <w:pPr>
              <w:tabs>
                <w:tab w:val="left" w:pos="720"/>
              </w:tabs>
              <w:ind w:right="360"/>
              <w:jc w:val="center"/>
              <w:rPr>
                <w:rFonts w:cstheme="minorHAnsi"/>
              </w:rPr>
            </w:pPr>
            <w:r>
              <w:rPr>
                <w:rFonts w:cstheme="minorHAnsi"/>
              </w:rPr>
              <w:t>Nearly 100</w:t>
            </w:r>
          </w:p>
        </w:tc>
      </w:tr>
      <w:tr w:rsidR="00926B21" w14:paraId="69290C9B" w14:textId="77777777" w:rsidTr="00E60C66">
        <w:tc>
          <w:tcPr>
            <w:tcW w:w="3511" w:type="dxa"/>
            <w:tcBorders>
              <w:top w:val="nil"/>
              <w:bottom w:val="nil"/>
            </w:tcBorders>
            <w:hideMark/>
          </w:tcPr>
          <w:p w14:paraId="1F578F75" w14:textId="77777777" w:rsidR="00926B21" w:rsidRDefault="00926B21" w:rsidP="00CF5C56">
            <w:pPr>
              <w:tabs>
                <w:tab w:val="left" w:pos="720"/>
              </w:tabs>
              <w:ind w:right="360"/>
              <w:rPr>
                <w:rFonts w:cstheme="minorHAnsi"/>
              </w:rPr>
            </w:pPr>
            <w:r>
              <w:rPr>
                <w:rFonts w:cstheme="minorHAnsi"/>
              </w:rPr>
              <w:t>Curative care – out patient care</w:t>
            </w:r>
          </w:p>
        </w:tc>
        <w:tc>
          <w:tcPr>
            <w:tcW w:w="2251" w:type="dxa"/>
            <w:tcBorders>
              <w:top w:val="nil"/>
              <w:bottom w:val="nil"/>
            </w:tcBorders>
            <w:vAlign w:val="bottom"/>
            <w:hideMark/>
          </w:tcPr>
          <w:p w14:paraId="7D273FD6" w14:textId="77777777" w:rsidR="00926B21" w:rsidRDefault="00926B21" w:rsidP="00E60C66">
            <w:pPr>
              <w:tabs>
                <w:tab w:val="left" w:pos="720"/>
              </w:tabs>
              <w:ind w:right="360"/>
              <w:jc w:val="center"/>
              <w:rPr>
                <w:rFonts w:cstheme="minorHAnsi"/>
              </w:rPr>
            </w:pPr>
            <w:r>
              <w:rPr>
                <w:rFonts w:cstheme="minorHAnsi"/>
              </w:rPr>
              <w:t>50 – 60</w:t>
            </w:r>
          </w:p>
        </w:tc>
        <w:tc>
          <w:tcPr>
            <w:tcW w:w="3341" w:type="dxa"/>
            <w:tcBorders>
              <w:top w:val="nil"/>
              <w:bottom w:val="nil"/>
            </w:tcBorders>
            <w:hideMark/>
          </w:tcPr>
          <w:p w14:paraId="65C8F342" w14:textId="77777777" w:rsidR="00926B21" w:rsidRDefault="00926B21" w:rsidP="00CF5C56">
            <w:pPr>
              <w:tabs>
                <w:tab w:val="left" w:pos="720"/>
              </w:tabs>
              <w:ind w:right="360"/>
              <w:jc w:val="center"/>
              <w:rPr>
                <w:rFonts w:cstheme="minorHAnsi"/>
              </w:rPr>
            </w:pPr>
            <w:r>
              <w:rPr>
                <w:rFonts w:cstheme="minorHAnsi"/>
              </w:rPr>
              <w:t>50 – 40</w:t>
            </w:r>
          </w:p>
        </w:tc>
      </w:tr>
      <w:tr w:rsidR="00926B21" w14:paraId="47B8D2B4" w14:textId="77777777" w:rsidTr="00E60C66">
        <w:tc>
          <w:tcPr>
            <w:tcW w:w="3511" w:type="dxa"/>
            <w:tcBorders>
              <w:top w:val="nil"/>
            </w:tcBorders>
            <w:hideMark/>
          </w:tcPr>
          <w:p w14:paraId="66D58A25" w14:textId="77777777" w:rsidR="00926B21" w:rsidRDefault="00926B21" w:rsidP="00CF5C56">
            <w:pPr>
              <w:tabs>
                <w:tab w:val="left" w:pos="720"/>
              </w:tabs>
              <w:ind w:right="360"/>
              <w:rPr>
                <w:rFonts w:cstheme="minorHAnsi"/>
              </w:rPr>
            </w:pPr>
            <w:r>
              <w:rPr>
                <w:rFonts w:cstheme="minorHAnsi"/>
              </w:rPr>
              <w:t>Curative care – in patient care</w:t>
            </w:r>
          </w:p>
        </w:tc>
        <w:tc>
          <w:tcPr>
            <w:tcW w:w="2251" w:type="dxa"/>
            <w:tcBorders>
              <w:top w:val="nil"/>
            </w:tcBorders>
            <w:vAlign w:val="bottom"/>
            <w:hideMark/>
          </w:tcPr>
          <w:p w14:paraId="2921A69A" w14:textId="77777777" w:rsidR="00926B21" w:rsidRDefault="00926B21" w:rsidP="00E60C66">
            <w:pPr>
              <w:tabs>
                <w:tab w:val="left" w:pos="720"/>
              </w:tabs>
              <w:ind w:right="360"/>
              <w:jc w:val="center"/>
              <w:rPr>
                <w:rFonts w:cstheme="minorHAnsi"/>
              </w:rPr>
            </w:pPr>
            <w:r>
              <w:rPr>
                <w:rFonts w:cstheme="minorHAnsi"/>
              </w:rPr>
              <w:t>5- 10</w:t>
            </w:r>
          </w:p>
        </w:tc>
        <w:tc>
          <w:tcPr>
            <w:tcW w:w="3341" w:type="dxa"/>
            <w:tcBorders>
              <w:top w:val="nil"/>
            </w:tcBorders>
            <w:hideMark/>
          </w:tcPr>
          <w:p w14:paraId="0B0130C6" w14:textId="77777777" w:rsidR="00926B21" w:rsidRDefault="00926B21" w:rsidP="00CF5C56">
            <w:pPr>
              <w:tabs>
                <w:tab w:val="left" w:pos="720"/>
              </w:tabs>
              <w:ind w:right="360"/>
              <w:jc w:val="center"/>
              <w:rPr>
                <w:rFonts w:cstheme="minorHAnsi"/>
              </w:rPr>
            </w:pPr>
            <w:r>
              <w:rPr>
                <w:rFonts w:cstheme="minorHAnsi"/>
              </w:rPr>
              <w:t>90 -95</w:t>
            </w:r>
          </w:p>
        </w:tc>
      </w:tr>
    </w:tbl>
    <w:p w14:paraId="187814C4" w14:textId="3B5C3287" w:rsidR="00926B21" w:rsidRPr="00E60C66" w:rsidRDefault="00926B21" w:rsidP="00FB10D4">
      <w:pPr>
        <w:tabs>
          <w:tab w:val="left" w:pos="720"/>
        </w:tabs>
        <w:spacing w:after="0" w:line="240" w:lineRule="auto"/>
        <w:ind w:right="360"/>
        <w:jc w:val="both"/>
        <w:rPr>
          <w:rFonts w:cstheme="minorHAnsi"/>
          <w:sz w:val="20"/>
          <w:lang w:val="en-US"/>
        </w:rPr>
      </w:pPr>
      <w:r w:rsidRPr="00E60C66">
        <w:rPr>
          <w:rFonts w:eastAsia="Calibri" w:cstheme="minorHAnsi"/>
          <w:sz w:val="20"/>
        </w:rPr>
        <w:tab/>
        <w:t xml:space="preserve">Source: </w:t>
      </w:r>
      <w:r w:rsidRPr="00E60C66">
        <w:rPr>
          <w:rFonts w:eastAsia="Calibri" w:cstheme="minorHAnsi"/>
          <w:i/>
          <w:sz w:val="20"/>
        </w:rPr>
        <w:t>Annual Health Bulletin</w:t>
      </w:r>
      <w:r w:rsidRPr="00E60C66">
        <w:rPr>
          <w:rFonts w:eastAsia="Calibri" w:cstheme="minorHAnsi"/>
          <w:sz w:val="20"/>
        </w:rPr>
        <w:t>, Ministry of Health, Sri Lanka, 200</w:t>
      </w:r>
      <w:r w:rsidRPr="00E60C66">
        <w:rPr>
          <w:rFonts w:cstheme="minorHAnsi"/>
          <w:sz w:val="20"/>
        </w:rPr>
        <w:t>8</w:t>
      </w:r>
      <w:hyperlink w:anchor="_ENREF_43" w:tooltip="Ministry of Health, 2008 #41" w:history="1">
        <w:r w:rsidR="00FB10D4" w:rsidRPr="00E60C66">
          <w:rPr>
            <w:rFonts w:cstheme="minorHAnsi"/>
            <w:sz w:val="20"/>
          </w:rPr>
          <w:fldChar w:fldCharType="begin"/>
        </w:r>
        <w:r w:rsidR="00FB10D4">
          <w:rPr>
            <w:rFonts w:cstheme="minorHAnsi"/>
            <w:sz w:val="20"/>
          </w:rPr>
          <w:instrText xml:space="preserve"> ADDIN EN.CITE &lt;EndNote&gt;&lt;Cite&gt;&lt;Author&gt;Ministry of Health&lt;/Author&gt;&lt;Year&gt;2008&lt;/Year&gt;&lt;RecNum&gt;41&lt;/RecNum&gt;&lt;DisplayText&gt;&lt;style face="superscript"&gt;43&lt;/style&gt;&lt;/DisplayText&gt;&lt;record&gt;&lt;rec-number&gt;41&lt;/rec-number&gt;&lt;foreign-keys&gt;&lt;key app="EN" db-id="2sp5tdttfertdledza9xaavpe5wrwzestvef"&gt;41&lt;/key&gt;&lt;/foreign-keys&gt;&lt;ref-type name="Web Page"&gt;12&lt;/ref-type&gt;&lt;contributors&gt;&lt;authors&gt;&lt;author&gt;Ministry of Health,&lt;/author&gt;&lt;/authors&gt;&lt;/contributors&gt;&lt;titles&gt;&lt;title&gt;Annual Health Bulletin&lt;/title&gt;&lt;/titles&gt;&lt;dates&gt;&lt;year&gt;2008&lt;/year&gt;&lt;/dates&gt;&lt;pub-location&gt;Sri Lanka&lt;/pub-location&gt;&lt;isbn&gt;978-955-577-739-1&lt;/isbn&gt;&lt;urls&gt;&lt;/urls&gt;&lt;/record&gt;&lt;/Cite&gt;&lt;/EndNote&gt;</w:instrText>
        </w:r>
        <w:r w:rsidR="00FB10D4" w:rsidRPr="00E60C66">
          <w:rPr>
            <w:rFonts w:cstheme="minorHAnsi"/>
            <w:sz w:val="20"/>
          </w:rPr>
          <w:fldChar w:fldCharType="separate"/>
        </w:r>
        <w:r w:rsidR="00FB10D4" w:rsidRPr="00FB10D4">
          <w:rPr>
            <w:rFonts w:cstheme="minorHAnsi"/>
            <w:noProof/>
            <w:sz w:val="20"/>
            <w:vertAlign w:val="superscript"/>
          </w:rPr>
          <w:t>43</w:t>
        </w:r>
        <w:r w:rsidR="00FB10D4" w:rsidRPr="00E60C66">
          <w:rPr>
            <w:rFonts w:cstheme="minorHAnsi"/>
            <w:sz w:val="20"/>
          </w:rPr>
          <w:fldChar w:fldCharType="end"/>
        </w:r>
      </w:hyperlink>
    </w:p>
    <w:p w14:paraId="51C160B8" w14:textId="77777777" w:rsidR="00926B21" w:rsidRDefault="00926B21" w:rsidP="00926B21">
      <w:pPr>
        <w:spacing w:after="0"/>
      </w:pPr>
    </w:p>
    <w:p w14:paraId="02A8518F" w14:textId="63066E64" w:rsidR="00926B21" w:rsidRDefault="00926B21" w:rsidP="00FB10D4">
      <w:pPr>
        <w:spacing w:after="120"/>
      </w:pPr>
      <w:r>
        <w:t>There has been a surge in private investment in health care</w:t>
      </w:r>
      <w:r w:rsidR="00563B5B">
        <w:t xml:space="preserve"> in Sri Lanka</w:t>
      </w:r>
      <w:r>
        <w:t xml:space="preserve"> since the 1980s, though the large majority of capital formation in health care remains public. Nearly 74% of priva</w:t>
      </w:r>
      <w:r w:rsidR="00E430DE">
        <w:t>te health facilities have sole</w:t>
      </w:r>
      <w:r>
        <w:t xml:space="preserve"> owners; 88% of the small (less than 5 employees) clinics and 60% to 65% of the medium and larger hospitals and laboratories were owned by a single individual.  As much as 75% of private out-patient care is provided by a sole proprietor, some of whom contract one or more practitioners as employees</w:t>
      </w:r>
      <w:hyperlink w:anchor="_ENREF_18" w:tooltip="Yazbeck, 2003 #8" w:history="1">
        <w:r w:rsidR="00FB10D4">
          <w:fldChar w:fldCharType="begin"/>
        </w:r>
        <w:r w:rsidR="00FB10D4">
          <w:instrText xml:space="preserve"> ADDIN EN.CITE &lt;EndNote&gt;&lt;Cite&gt;&lt;Author&gt;Yazbeck&lt;/Author&gt;&lt;Year&gt;2003&lt;/Year&gt;&lt;RecNum&gt;8&lt;/RecNum&gt;&lt;DisplayText&gt;&lt;style face="superscript"&gt;18&lt;/style&gt;&lt;/DisplayText&gt;&lt;record&gt;&lt;rec-number&gt;8&lt;/rec-number&gt;&lt;foreign-keys&gt;&lt;key app="EN" db-id="2sp5tdttfertdledza9xaavpe5wrwzestvef"&gt;8&lt;/key&gt;&lt;/foreign-keys&gt;&lt;ref-type name="Book"&gt;6&lt;/ref-type&gt;&lt;contributors&gt;&lt;authors&gt;&lt;author&gt;Yazbeck, Abdo&lt;/author&gt;&lt;author&gt;Peters, David&lt;/author&gt;&lt;/authors&gt;&lt;/contributors&gt;&lt;titles&gt;&lt;title&gt;Health Policy Research in South Asia: Building Capacity for Reform &lt;/title&gt;&lt;/titles&gt;&lt;dates&gt;&lt;year&gt;2003&lt;/year&gt;&lt;/dates&gt;&lt;publisher&gt;World Bank&lt;/publisher&gt;&lt;isbn&gt;978-0-8213-5531-2 &lt;/isbn&gt;&lt;urls&gt;&lt;/urls&gt;&lt;electronic-resource-num&gt;http://dx.doi.org/10.1596/0-8213-5531-7&lt;/electronic-resource-num&gt;&lt;/record&gt;&lt;/Cite&gt;&lt;/EndNote&gt;</w:instrText>
        </w:r>
        <w:r w:rsidR="00FB10D4">
          <w:fldChar w:fldCharType="separate"/>
        </w:r>
        <w:r w:rsidR="00FB10D4" w:rsidRPr="00192EBD">
          <w:rPr>
            <w:noProof/>
            <w:vertAlign w:val="superscript"/>
          </w:rPr>
          <w:t>18</w:t>
        </w:r>
        <w:r w:rsidR="00FB10D4">
          <w:fldChar w:fldCharType="end"/>
        </w:r>
      </w:hyperlink>
      <w:r>
        <w:t>.  About half of private beds are in Colombo, and private in-patient facilitie</w:t>
      </w:r>
      <w:r w:rsidR="00563B5B">
        <w:t>s tend to be small (20-30 beds), while</w:t>
      </w:r>
      <w:r>
        <w:t xml:space="preserve"> 72% of private facilities have at least one theatre.  The private sector also provides pharmacies, laboratories and imaging facilities. Only the few large facilities rely to any extent on insurance payments</w:t>
      </w:r>
      <w:hyperlink w:anchor="_ENREF_16" w:tooltip="Govindaraj, 2013 #50" w:history="1">
        <w:r w:rsidR="00FB10D4">
          <w:fldChar w:fldCharType="begin"/>
        </w:r>
        <w:r w:rsidR="00FB10D4">
          <w:instrText xml:space="preserve"> ADDIN EN.CITE &lt;EndNote&gt;&lt;Cite&gt;&lt;Author&gt;Govindaraj&lt;/Author&gt;&lt;Year&gt;2013&lt;/Year&gt;&lt;RecNum&gt;50&lt;/RecNum&gt;&lt;DisplayText&gt;&lt;style face="superscript"&gt;16&lt;/style&gt;&lt;/DisplayText&gt;&lt;record&gt;&lt;rec-number&gt;50&lt;/rec-number&gt;&lt;foreign-keys&gt;&lt;key app="EN" db-id="2sp5tdttfertdledza9xaavpe5wrwzestvef"&gt;50&lt;/key&gt;&lt;/foreign-keys&gt;&lt;ref-type name="Report"&gt;27&lt;/ref-type&gt;&lt;contributors&gt;&lt;authors&gt;&lt;author&gt;Govindaraj, R&lt;/author&gt;&lt;author&gt;Cavagnero, E&lt;/author&gt;&lt;author&gt;Navaratne, K&lt;/author&gt;&lt;author&gt;Gopalan, S&lt;/author&gt;&lt;/authors&gt;&lt;/contributors&gt;&lt;titles&gt;&lt;title&gt;Sri Lanka: Private Health Sector Review &lt;/title&gt;&lt;/titles&gt;&lt;dates&gt;&lt;year&gt;2013&lt;/year&gt;&lt;/dates&gt;&lt;pub-location&gt;Washington DC&lt;/pub-location&gt;&lt;publisher&gt;World Bank&lt;/publisher&gt;&lt;urls&gt;&lt;/urls&gt;&lt;/record&gt;&lt;/Cite&gt;&lt;/EndNote&gt;</w:instrText>
        </w:r>
        <w:r w:rsidR="00FB10D4">
          <w:fldChar w:fldCharType="separate"/>
        </w:r>
        <w:r w:rsidR="00FB10D4" w:rsidRPr="00192EBD">
          <w:rPr>
            <w:noProof/>
            <w:vertAlign w:val="superscript"/>
          </w:rPr>
          <w:t>16</w:t>
        </w:r>
        <w:r w:rsidR="00FB10D4">
          <w:fldChar w:fldCharType="end"/>
        </w:r>
      </w:hyperlink>
      <w:r>
        <w:t>.</w:t>
      </w:r>
    </w:p>
    <w:p w14:paraId="0E4D7ED8" w14:textId="5E2BCE96" w:rsidR="00926B21" w:rsidRDefault="00926B21" w:rsidP="00FB10D4">
      <w:pPr>
        <w:spacing w:after="120"/>
      </w:pPr>
      <w:r w:rsidRPr="00E655B6">
        <w:t>The public sector continues to provide accessible care.   While those on lower incomes use primary care less than the better off – sug</w:t>
      </w:r>
      <w:r>
        <w:t xml:space="preserve">gesting cost and other barriers </w:t>
      </w:r>
      <w:r w:rsidR="00563B5B">
        <w:t>–</w:t>
      </w:r>
      <w:r>
        <w:t xml:space="preserve"> </w:t>
      </w:r>
      <w:r w:rsidR="00563B5B">
        <w:t xml:space="preserve">the </w:t>
      </w:r>
      <w:r w:rsidRPr="00E655B6">
        <w:t xml:space="preserve">burden of </w:t>
      </w:r>
      <w:r>
        <w:t>OOP</w:t>
      </w:r>
      <w:r w:rsidRPr="00E655B6">
        <w:t xml:space="preserve"> as a proportion of non-food expenditure (proxy </w:t>
      </w:r>
      <w:r w:rsidR="00563B5B">
        <w:t xml:space="preserve">for </w:t>
      </w:r>
      <w:r w:rsidRPr="00E655B6">
        <w:t xml:space="preserve">disposable income) has remained stable. This is consistent with evidence from </w:t>
      </w:r>
      <w:r w:rsidR="00E430DE">
        <w:t xml:space="preserve">other Asian countries in </w:t>
      </w:r>
      <w:r w:rsidRPr="00E655B6">
        <w:t>the late 90’s</w:t>
      </w:r>
      <w:r w:rsidR="0007630F">
        <w:fldChar w:fldCharType="begin">
          <w:fldData xml:space="preserve">PEVuZE5vdGU+PENpdGU+PEF1dGhvcj52YW4gRG9vcnNsYWVyPC9BdXRob3I+PFllYXI+MjAwNTwv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</w:fldData>
        </w:fldChar>
      </w:r>
      <w:r w:rsidR="00FB10D4">
        <w:instrText xml:space="preserve"> ADDIN EN.CITE </w:instrText>
      </w:r>
      <w:r w:rsidR="00FB10D4">
        <w:fldChar w:fldCharType="begin">
          <w:fldData xml:space="preserve">PEVuZE5vdGU+PENpdGU+PEF1dGhvcj52YW4gRG9vcnNsYWVyPC9BdXRob3I+PFllYXI+MjAwNTwv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</w:fldData>
        </w:fldChar>
      </w:r>
      <w:r w:rsidR="00FB10D4">
        <w:instrText xml:space="preserve"> ADDIN EN.CITE.DATA </w:instrText>
      </w:r>
      <w:r w:rsidR="00FB10D4">
        <w:fldChar w:fldCharType="end"/>
      </w:r>
      <w:r w:rsidR="0007630F">
        <w:fldChar w:fldCharType="separate"/>
      </w:r>
      <w:hyperlink w:anchor="_ENREF_44" w:tooltip="van Doorslaer, 2005 #10" w:history="1">
        <w:r w:rsidR="00FB10D4" w:rsidRPr="00FB10D4">
          <w:rPr>
            <w:noProof/>
            <w:vertAlign w:val="superscript"/>
          </w:rPr>
          <w:t>44</w:t>
        </w:r>
      </w:hyperlink>
      <w:r w:rsidR="00FB10D4" w:rsidRPr="00FB10D4">
        <w:rPr>
          <w:noProof/>
          <w:vertAlign w:val="superscript"/>
        </w:rPr>
        <w:t>,</w:t>
      </w:r>
      <w:hyperlink w:anchor="_ENREF_45" w:tooltip="van Doorslaer, 2007 #9" w:history="1">
        <w:r w:rsidR="00FB10D4" w:rsidRPr="00FB10D4">
          <w:rPr>
            <w:noProof/>
            <w:vertAlign w:val="superscript"/>
          </w:rPr>
          <w:t>45</w:t>
        </w:r>
      </w:hyperlink>
      <w:r w:rsidR="0007630F">
        <w:fldChar w:fldCharType="end"/>
      </w:r>
      <w:r>
        <w:t xml:space="preserve"> that (1) mean OOP</w:t>
      </w:r>
      <w:r w:rsidRPr="00E655B6">
        <w:t xml:space="preserve"> </w:t>
      </w:r>
      <w:r w:rsidR="00E430DE">
        <w:t xml:space="preserve">budget share </w:t>
      </w:r>
      <w:r w:rsidR="008D285F">
        <w:t xml:space="preserve">in Sri Lanka </w:t>
      </w:r>
      <w:r w:rsidR="00E430DE">
        <w:t>was</w:t>
      </w:r>
      <w:r>
        <w:t xml:space="preserve"> relatively low </w:t>
      </w:r>
      <w:r w:rsidRPr="00E655B6">
        <w:t xml:space="preserve">in comparison with other </w:t>
      </w:r>
      <w:r w:rsidR="00E430DE">
        <w:t xml:space="preserve">Asian </w:t>
      </w:r>
      <w:r w:rsidRPr="00E655B6">
        <w:t>countr</w:t>
      </w:r>
      <w:r>
        <w:t>ies at comparable income levels</w:t>
      </w:r>
      <w:r w:rsidR="00E430DE">
        <w:t>; and (2) the better off spent</w:t>
      </w:r>
      <w:r w:rsidRPr="00E655B6">
        <w:t xml:space="preserve"> a larger fraction of their resources </w:t>
      </w:r>
      <w:r w:rsidR="00E430DE">
        <w:t xml:space="preserve">than the poorer population </w:t>
      </w:r>
      <w:r w:rsidRPr="00E655B6">
        <w:t xml:space="preserve">on health care </w:t>
      </w:r>
      <w:r>
        <w:t xml:space="preserve">sought in the private sector.   </w:t>
      </w:r>
    </w:p>
    <w:p w14:paraId="4E07D82C" w14:textId="77777777" w:rsidR="00EB74F1" w:rsidRPr="00A84F8C" w:rsidRDefault="00420C77" w:rsidP="00FF52A3">
      <w:pPr>
        <w:pStyle w:val="ListParagraph"/>
        <w:numPr>
          <w:ilvl w:val="0"/>
          <w:numId w:val="4"/>
        </w:numPr>
        <w:spacing w:after="120"/>
        <w:ind w:left="714" w:hanging="357"/>
        <w:rPr>
          <w:b/>
          <w:sz w:val="24"/>
          <w:szCs w:val="24"/>
        </w:rPr>
      </w:pPr>
      <w:r w:rsidRPr="00A84F8C">
        <w:rPr>
          <w:b/>
          <w:sz w:val="24"/>
          <w:szCs w:val="24"/>
        </w:rPr>
        <w:t xml:space="preserve">A </w:t>
      </w:r>
      <w:r w:rsidR="001D283D">
        <w:rPr>
          <w:b/>
          <w:sz w:val="24"/>
          <w:szCs w:val="24"/>
        </w:rPr>
        <w:t xml:space="preserve">high cost </w:t>
      </w:r>
      <w:r w:rsidRPr="00A84F8C">
        <w:rPr>
          <w:b/>
          <w:sz w:val="24"/>
          <w:szCs w:val="24"/>
        </w:rPr>
        <w:t>p</w:t>
      </w:r>
      <w:r w:rsidR="001D283D">
        <w:rPr>
          <w:b/>
          <w:sz w:val="24"/>
          <w:szCs w:val="24"/>
        </w:rPr>
        <w:t xml:space="preserve">rivate sector heading </w:t>
      </w:r>
      <w:r w:rsidR="00EB74F1" w:rsidRPr="00A84F8C">
        <w:rPr>
          <w:b/>
          <w:sz w:val="24"/>
          <w:szCs w:val="24"/>
        </w:rPr>
        <w:t xml:space="preserve">a stratified system: Argentina and South Africa </w:t>
      </w:r>
    </w:p>
    <w:p w14:paraId="1DFCE734" w14:textId="20469DC0" w:rsidR="008B0351" w:rsidRDefault="008B0351" w:rsidP="00FB10D4">
      <w:pPr>
        <w:spacing w:after="120"/>
      </w:pPr>
      <w:r>
        <w:t xml:space="preserve">South Africa and Argentina </w:t>
      </w:r>
      <w:r w:rsidR="00091A28">
        <w:t>are two</w:t>
      </w:r>
      <w:r>
        <w:t xml:space="preserve"> middle income countries in which the share of private plus social insurance in total health s</w:t>
      </w:r>
      <w:r w:rsidR="008D0DC0">
        <w:t>pending is over 40% (Table 1). This h</w:t>
      </w:r>
      <w:r>
        <w:t>ealth insurance finances a private sector of hospitals and clinics serving the higher income groups.  In the two countries, the private sector thus forms what Latin American health analysts call a</w:t>
      </w:r>
      <w:r w:rsidR="005F7C1D">
        <w:t xml:space="preserve"> private</w:t>
      </w:r>
      <w:r>
        <w:t xml:space="preserve"> ‘sub-system’</w:t>
      </w:r>
      <w:hyperlink w:anchor="_ENREF_46" w:tooltip="Cavagnero, 2008 #46" w:history="1">
        <w:r w:rsidR="00FB10D4">
          <w:fldChar w:fldCharType="begin"/>
        </w:r>
        <w:r w:rsidR="00FB10D4">
          <w:instrText xml:space="preserve"> ADDIN EN.CITE &lt;EndNote&gt;&lt;Cite&gt;&lt;Author&gt;Cavagnero&lt;/Author&gt;&lt;Year&gt;2008&lt;/Year&gt;&lt;RecNum&gt;62&lt;/RecNum&gt;&lt;DisplayText&gt;&lt;style face="superscript"&gt;46&lt;/style&gt;&lt;/DisplayText&gt;&lt;record&gt;&lt;rec-number&gt;62&lt;/rec-number&gt;&lt;foreign-keys&gt;&lt;key app="EN" db-id="2sp5tdttfertdledza9xaavpe5wrwzestvef"&gt;62&lt;/key&gt;&lt;/foreign-keys&gt;&lt;ref-type name="Journal Article"&gt;17&lt;/ref-type&gt;&lt;contributors&gt;&lt;authors&gt;&lt;author&gt;Cavagnero, Eleonora&lt;/author&gt;&lt;/authors&gt;&lt;/contributors&gt;&lt;titles&gt;&lt;title&gt;Health sector reforms in Argentina and the performance of the health financing system&lt;/title&gt;&lt;secondary-title&gt;Health Policy&lt;/secondary-title&gt;&lt;/titles&gt;&lt;periodical&gt;&lt;full-title&gt;Health Policy&lt;/full-title&gt;&lt;/periodical&gt;&lt;pages&gt;88-99&lt;/pages&gt;&lt;volume&gt;88&lt;/volume&gt;&lt;number&gt;1&lt;/number&gt;&lt;keywords&gt;&lt;keyword&gt;Argentina&lt;/keyword&gt;&lt;keyword&gt;Health care reform&lt;/keyword&gt;&lt;keyword&gt;Health financing&lt;/keyword&gt;&lt;keyword&gt;Pooling&lt;/keyword&gt;&lt;keyword&gt;Purchasing&lt;/keyword&gt;&lt;/keywords&gt;&lt;dates&gt;&lt;year&gt;2008&lt;/year&gt;&lt;pub-dates&gt;&lt;date&gt;10//&lt;/date&gt;&lt;/pub-dates&gt;&lt;/dates&gt;&lt;isbn&gt;0168-8510&lt;/isbn&gt;&lt;urls&gt;&lt;related-urls&gt;&lt;url&gt;http://www.sciencedirect.com/science/article/pii/S0168851008000432&lt;/url&gt;&lt;/related-urls&gt;&lt;/urls&gt;&lt;electronic-resource-num&gt;http://dx.doi.org/10.1016/j.healthpol.2008.02.009&lt;/electronic-resource-num&gt;&lt;/record&gt;&lt;/Cite&gt;&lt;/EndNote&gt;</w:instrText>
        </w:r>
        <w:r w:rsidR="00FB10D4">
          <w:fldChar w:fldCharType="separate"/>
        </w:r>
        <w:r w:rsidR="00FB10D4" w:rsidRPr="00FB10D4">
          <w:rPr>
            <w:noProof/>
            <w:vertAlign w:val="superscript"/>
          </w:rPr>
          <w:t>46</w:t>
        </w:r>
        <w:r w:rsidR="00FB10D4">
          <w:fldChar w:fldCharType="end"/>
        </w:r>
      </w:hyperlink>
      <w:r w:rsidR="009828AD">
        <w:t xml:space="preserve"> </w:t>
      </w:r>
      <w:r w:rsidR="009C1512">
        <w:t xml:space="preserve">providing high quality care </w:t>
      </w:r>
      <w:r>
        <w:t>at the top of a stratified health syst</w:t>
      </w:r>
      <w:r w:rsidR="005F7C1D">
        <w:t>em where the poor rely on generally lower</w:t>
      </w:r>
      <w:r>
        <w:t xml:space="preserve"> quality public provision</w:t>
      </w:r>
      <w:hyperlink w:anchor="_ENREF_47" w:tooltip="Atun, 2015 #784" w:history="1">
        <w:r w:rsidR="00FB10D4">
          <w:fldChar w:fldCharType="begin"/>
        </w:r>
        <w:r w:rsidR="00FB10D4">
          <w:instrText xml:space="preserve"> ADDIN EN.CITE &lt;EndNote&gt;&lt;Cite&gt;&lt;Author&gt;Atun&lt;/Author&gt;&lt;Year&gt;2015&lt;/Year&gt;&lt;RecNum&gt;784&lt;/RecNum&gt;&lt;DisplayText&gt;&lt;style face="superscript"&gt;47&lt;/style&gt;&lt;/DisplayText&gt;&lt;record&gt;&lt;rec-number&gt;784&lt;/rec-number&gt;&lt;foreign-keys&gt;&lt;key app="EN" db-id="dzsx90z9o2szwqeeftl50f9td2vxptdd9srf" timestamp="1448836986"&gt;784&lt;/key&gt;&lt;/foreign-keys&gt;&lt;ref-type name="Journal Article"&gt;17&lt;/ref-type&gt;&lt;contributors&gt;&lt;authors&gt;&lt;author&gt;Atun, Rifat&lt;/author&gt;&lt;author&gt;de Andrade, Luiz Odorico Monteiro &lt;/author&gt;&lt;author&gt;Almeida, Gisele &lt;/author&gt;&lt;author&gt;Cotlear, Daniel &lt;/author&gt;&lt;author&gt;Dmytraczenko, T &lt;/author&gt;&lt;author&gt;Frenz, Patricia &lt;/author&gt;&lt;author&gt;Garcia, Patrícia &lt;/author&gt;&lt;author&gt;Gómez-Dantés, Octavio &lt;/author&gt;&lt;author&gt;Knaul, Felicia M &lt;/author&gt;&lt;author&gt;Muntaner, Carles &lt;/author&gt;&lt;author&gt;de Paula, Juliana Braga &lt;/author&gt;&lt;author&gt;Rígoli, Felix &lt;/author&gt;&lt;author&gt;Castell-Florit Serrate, Pastor &lt;/author&gt;&lt;author&gt;Wagstaff, Adam&lt;/author&gt;&lt;/authors&gt;&lt;/contributors&gt;&lt;titles&gt;&lt;title&gt;Health-system reform and universal health coverage in Latin America&lt;/title&gt;&lt;secondary-title&gt;The Lancet&lt;/secondary-title&gt;&lt;/titles&gt;&lt;periodical&gt;&lt;full-title&gt;The Lancet&lt;/full-title&gt;&lt;/periodical&gt;&lt;pages&gt;1230-47&lt;/pages&gt;&lt;volume&gt;385&lt;/volume&gt;&lt;dates&gt;&lt;year&gt;2015&lt;/year&gt;&lt;/dates&gt;&lt;urls&gt;&lt;/urls&gt;&lt;/record&gt;&lt;/Cite&gt;&lt;/EndNote&gt;</w:instrText>
        </w:r>
        <w:r w:rsidR="00FB10D4">
          <w:fldChar w:fldCharType="separate"/>
        </w:r>
        <w:r w:rsidR="00FB10D4" w:rsidRPr="00FB10D4">
          <w:rPr>
            <w:noProof/>
            <w:vertAlign w:val="superscript"/>
          </w:rPr>
          <w:t>47</w:t>
        </w:r>
        <w:r w:rsidR="00FB10D4">
          <w:fldChar w:fldCharType="end"/>
        </w:r>
      </w:hyperlink>
      <w:r>
        <w:t>. In both countries, the public sector formally imposes low or no charges</w:t>
      </w:r>
      <w:r w:rsidR="005F7C1D">
        <w:t>.</w:t>
      </w:r>
      <w:r>
        <w:t xml:space="preserve"> </w:t>
      </w:r>
      <w:r w:rsidR="005F7C1D">
        <w:t>T</w:t>
      </w:r>
      <w:r>
        <w:t>he OOP payments in South Africa are made largely in the private sector by the better off who have catastrophic illness insurance cover only, paying ou</w:t>
      </w:r>
      <w:r w:rsidR="005F7C1D">
        <w:t>t of pocket for ambulatory care.</w:t>
      </w:r>
      <w:r>
        <w:t xml:space="preserve"> In Argentina the richest quintile spend </w:t>
      </w:r>
      <w:r w:rsidR="005F7C1D">
        <w:t xml:space="preserve">36% of their total payments for health care on insurance </w:t>
      </w:r>
      <w:r w:rsidR="00253D43">
        <w:t>premiums</w:t>
      </w:r>
      <w:r w:rsidR="009C1512">
        <w:t>:</w:t>
      </w:r>
      <w:r w:rsidR="005F7C1D">
        <w:t xml:space="preserve"> most insurance is bought by the top two quintiles who also make most of the OOP payments for outpatient visits.  Conversely, the </w:t>
      </w:r>
      <w:r>
        <w:t xml:space="preserve">poorest </w:t>
      </w:r>
      <w:r w:rsidR="005F7C1D">
        <w:t xml:space="preserve">two </w:t>
      </w:r>
      <w:r>
        <w:t xml:space="preserve">quintiles spend </w:t>
      </w:r>
      <w:r w:rsidR="005F7C1D">
        <w:t>OOP mainly</w:t>
      </w:r>
      <w:r>
        <w:t xml:space="preserve"> </w:t>
      </w:r>
      <w:r w:rsidR="005F7C1D">
        <w:t>(61%) to</w:t>
      </w:r>
      <w:r>
        <w:t xml:space="preserve"> </w:t>
      </w:r>
      <w:r w:rsidR="005F7C1D">
        <w:t xml:space="preserve">buy </w:t>
      </w:r>
      <w:r>
        <w:t>drugs</w:t>
      </w:r>
      <w:hyperlink w:anchor="_ENREF_46" w:tooltip="Cavagnero, 2008 #46" w:history="1">
        <w:r w:rsidR="00FB10D4">
          <w:fldChar w:fldCharType="begin"/>
        </w:r>
        <w:r w:rsidR="00FB10D4">
          <w:instrText xml:space="preserve"> ADDIN EN.CITE &lt;EndNote&gt;&lt;Cite&gt;&lt;Author&gt;Cavagnero&lt;/Author&gt;&lt;Year&gt;2008&lt;/Year&gt;&lt;RecNum&gt;46&lt;/RecNum&gt;&lt;DisplayText&gt;&lt;style face="superscript"&gt;46&lt;/style&gt;&lt;/DisplayText&gt;&lt;record&gt;&lt;rec-number&gt;46&lt;/rec-number&gt;&lt;foreign-keys&gt;&lt;key app="EN" db-id="5tezxvsfhv5ff4ex2fjxa9x5tvtftzr2vxet" timestamp="1453672611"&gt;46&lt;/key&gt;&lt;/foreign-keys&gt;&lt;ref-type name="Journal Article"&gt;17&lt;/ref-type&gt;&lt;contributors&gt;&lt;authors&gt;&lt;author&gt;Cavagnero, Eleonora&lt;/author&gt;&lt;/authors&gt;&lt;/contributors&gt;&lt;titles&gt;&lt;title&gt;Health sector reforms in Argentina and the performance of the health financing system&lt;/title&gt;&lt;secondary-title&gt;Health Policy&lt;/secondary-title&gt;&lt;/titles&gt;&lt;pages&gt;88-99&lt;/pages&gt;&lt;volume&gt;88&lt;/volume&gt;&lt;number&gt;1&lt;/number&gt;&lt;keywords&gt;&lt;keyword&gt;Argentina&lt;/keyword&gt;&lt;keyword&gt;Health care reform&lt;/keyword&gt;&lt;keyword&gt;Health financing&lt;/keyword&gt;&lt;keyword&gt;Pooling&lt;/keyword&gt;&lt;keyword&gt;Purchasing&lt;/keyword&gt;&lt;/keywords&gt;&lt;dates&gt;&lt;year&gt;2008&lt;/year&gt;&lt;pub-dates&gt;&lt;date&gt;10//&lt;/date&gt;&lt;/pub-dates&gt;&lt;/dates&gt;&lt;isbn&gt;0168-8510&lt;/isbn&gt;&lt;urls&gt;&lt;related-urls&gt;&lt;url&gt;http://www.sciencedirect.com/science/article/pii/S0168851008000432&lt;/url&gt;&lt;/related-urls&gt;&lt;/urls&gt;&lt;electronic-resource-num&gt;http://dx.doi.org/10.1016/j.healthpol.2008.02.009&lt;/electronic-resource-num&gt;&lt;/record&gt;&lt;/Cite&gt;&lt;/EndNote&gt;</w:instrText>
        </w:r>
        <w:r w:rsidR="00FB10D4">
          <w:fldChar w:fldCharType="separate"/>
        </w:r>
        <w:r w:rsidR="00FB10D4" w:rsidRPr="00FB10D4">
          <w:rPr>
            <w:noProof/>
            <w:vertAlign w:val="superscript"/>
          </w:rPr>
          <w:t>46</w:t>
        </w:r>
        <w:r w:rsidR="00FB10D4">
          <w:fldChar w:fldCharType="end"/>
        </w:r>
      </w:hyperlink>
      <w:r>
        <w:t xml:space="preserve">.  </w:t>
      </w:r>
    </w:p>
    <w:p w14:paraId="0A3E79DB" w14:textId="3470C026" w:rsidR="008B0351" w:rsidRDefault="008B0351" w:rsidP="00FB10D4">
      <w:pPr>
        <w:spacing w:after="120"/>
      </w:pPr>
      <w:r>
        <w:t xml:space="preserve">Despite their different culture and history, the private sectors of South Africa and Argentina share several institutional characteristics.  Both countries </w:t>
      </w:r>
      <w:r w:rsidR="00291063">
        <w:t>display</w:t>
      </w:r>
      <w:r>
        <w:t xml:space="preserve"> </w:t>
      </w:r>
      <w:r w:rsidR="009C1512">
        <w:t>high</w:t>
      </w:r>
      <w:r>
        <w:t xml:space="preserve"> social and economic inequalities reinforced by stratified </w:t>
      </w:r>
      <w:r w:rsidR="009C1512">
        <w:t xml:space="preserve">health care, </w:t>
      </w:r>
      <w:r w:rsidR="00291063">
        <w:t>and</w:t>
      </w:r>
      <w:r w:rsidR="009C1512">
        <w:t xml:space="preserve"> private care </w:t>
      </w:r>
      <w:r w:rsidR="00291063">
        <w:t xml:space="preserve">is </w:t>
      </w:r>
      <w:r w:rsidR="009C1512">
        <w:t>also geographically concentrated where incomes are highest</w:t>
      </w:r>
      <w:r>
        <w:t>.</w:t>
      </w:r>
      <w:r w:rsidR="00996C35" w:rsidRPr="00A84F8C">
        <w:t xml:space="preserve"> In South Africa, a 2008 survey found 72% of health care visits by the richest quintile and 89% of visits by those with medical insurance were to the private sector; the percentages for the poorest quintile</w:t>
      </w:r>
      <w:r w:rsidR="00291063">
        <w:t xml:space="preserve"> and the uninsured</w:t>
      </w:r>
      <w:r w:rsidR="00996C35" w:rsidRPr="00A84F8C">
        <w:t xml:space="preserve"> were 13% and 19% respectively</w:t>
      </w:r>
      <w:hyperlink w:anchor="_ENREF_24" w:tooltip="Alaba, 2012 #11" w:history="1">
        <w:r w:rsidR="00FB10D4" w:rsidRPr="00A84F8C">
          <w:fldChar w:fldCharType="begin"/>
        </w:r>
        <w:r w:rsidR="00FB10D4">
          <w:instrText xml:space="preserve"> ADDIN EN.CITE &lt;EndNote&gt;&lt;Cite&gt;&lt;Author&gt;Alaba&lt;/Author&gt;&lt;Year&gt;2012&lt;/Year&gt;&lt;RecNum&gt;11&lt;/RecNum&gt;&lt;DisplayText&gt;&lt;style face="superscript"&gt;24&lt;/style&gt;&lt;/DisplayText&gt;&lt;record&gt;&lt;rec-number&gt;11&lt;/rec-number&gt;&lt;foreign-keys&gt;&lt;key app="EN" db-id="2sp5tdttfertdledza9xaavpe5wrwzestvef"&gt;11&lt;/key&gt;&lt;/foreign-keys&gt;&lt;ref-type name="Journal Article"&gt;17&lt;/ref-type&gt;&lt;contributors&gt;&lt;authors&gt;&lt;author&gt;Alaba, Olufunke A.&lt;/author&gt;&lt;author&gt;McIntyre, Di&lt;/author&gt;&lt;/authors&gt;&lt;/contributors&gt;&lt;titles&gt;&lt;title&gt;What do we know about health service utilisation in South Africa?&lt;/title&gt;&lt;secondary-title&gt;Development Southern Africa&lt;/secondary-title&gt;&lt;/titles&gt;&lt;periodical&gt;&lt;full-title&gt;Development Southern Africa&lt;/full-title&gt;&lt;/periodical&gt;&lt;pages&gt;704-724&lt;/pages&gt;&lt;volume&gt;29&lt;/volume&gt;&lt;number&gt;5&lt;/number&gt;&lt;dates&gt;&lt;year&gt;2012&lt;/year&gt;&lt;pub-dates&gt;&lt;date&gt;2012/12/01&lt;/date&gt;&lt;/pub-dates&gt;&lt;/dates&gt;&lt;publisher&gt;Routledge&lt;/publisher&gt;&lt;isbn&gt;0376-835X&lt;/isbn&gt;&lt;urls&gt;&lt;related-urls&gt;&lt;url&gt;http://dx.doi.org/10.1080/0376835X.2012.730973&lt;/url&gt;&lt;/related-urls&gt;&lt;/urls&gt;&lt;electronic-resource-num&gt;10.1080/0376835X.2012.730973&lt;/electronic-resource-num&gt;&lt;access-date&gt;2013/12/03&lt;/access-date&gt;&lt;/record&gt;&lt;/Cite&gt;&lt;/EndNote&gt;</w:instrText>
        </w:r>
        <w:r w:rsidR="00FB10D4" w:rsidRPr="00A84F8C">
          <w:fldChar w:fldCharType="separate"/>
        </w:r>
        <w:r w:rsidR="00FB10D4" w:rsidRPr="00192EBD">
          <w:rPr>
            <w:noProof/>
            <w:vertAlign w:val="superscript"/>
          </w:rPr>
          <w:t>24</w:t>
        </w:r>
        <w:r w:rsidR="00FB10D4" w:rsidRPr="00A84F8C">
          <w:fldChar w:fldCharType="end"/>
        </w:r>
      </w:hyperlink>
      <w:r w:rsidR="00996C35" w:rsidRPr="00A84F8C">
        <w:t>. South African private medical schemes began under apartheid as occupational schemes with income</w:t>
      </w:r>
      <w:r w:rsidR="00291063">
        <w:t>-</w:t>
      </w:r>
      <w:r w:rsidR="00996C35" w:rsidRPr="00A84F8C">
        <w:t>related payments; deregulation from the 1980s shifted the sector to risk-rated commercial insurance. The insurers consolidated in the 1990s into three dominant firms, while private hospital ownership shifted from doctor-owned to corporate</w:t>
      </w:r>
      <w:hyperlink w:anchor="_ENREF_48" w:tooltip="van den Heever, 2012 #12" w:history="1">
        <w:r w:rsidR="00FB10D4" w:rsidRPr="00A84F8C">
          <w:fldChar w:fldCharType="begin"/>
        </w:r>
        <w:r w:rsidR="00FB10D4">
          <w:instrText xml:space="preserve"> ADDIN EN.CITE &lt;EndNote&gt;&lt;Cite&gt;&lt;Author&gt;van den Heever&lt;/Author&gt;&lt;Year&gt;2012&lt;/Year&gt;&lt;RecNum&gt;12&lt;/RecNum&gt;&lt;DisplayText&gt;&lt;style face="superscript"&gt;48&lt;/style&gt;&lt;/DisplayText&gt;&lt;record&gt;&lt;rec-number&gt;12&lt;/rec-number&gt;&lt;foreign-keys&gt;&lt;key app="EN" db-id="2sp5tdttfertdledza9xaavpe5wrwzestvef"&gt;12&lt;/key&gt;&lt;/foreign-keys&gt;&lt;ref-type name="Journal Article"&gt;17&lt;/ref-type&gt;&lt;contributors&gt;&lt;authors&gt;&lt;author&gt;van den Heever, Alex&lt;/author&gt;&lt;/authors&gt;&lt;/contributors&gt;&lt;titles&gt;&lt;title&gt;The role of insurance in the achievement of universal coverage within a developing country context: South Africa as a case study&lt;/title&gt;&lt;secondary-title&gt;BMC Public Health&lt;/secondary-title&gt;&lt;/titles&gt;&lt;periodical&gt;&lt;full-title&gt;BMC Public Health&lt;/full-title&gt;&lt;/periodical&gt;&lt;pages&gt;S5&lt;/pages&gt;&lt;volume&gt;12&lt;/volume&gt;&lt;number&gt;Suppl 1&lt;/number&gt;&lt;dates&gt;&lt;year&gt;2012&lt;/year&gt;&lt;/dates&gt;&lt;isbn&gt;1471-2458&lt;/isbn&gt;&lt;accession-num&gt;doi:10.1186/1471-2458-12-S1-S5&lt;/accession-num&gt;&lt;urls&gt;&lt;related-urls&gt;&lt;url&gt;http://www.biomedcentral.com/1471-2458/12/S1/S5&lt;/url&gt;&lt;/related-urls&gt;&lt;/urls&gt;&lt;/record&gt;&lt;/Cite&gt;&lt;/EndNote&gt;</w:instrText>
        </w:r>
        <w:r w:rsidR="00FB10D4" w:rsidRPr="00A84F8C">
          <w:fldChar w:fldCharType="separate"/>
        </w:r>
        <w:r w:rsidR="00FB10D4" w:rsidRPr="00FB10D4">
          <w:rPr>
            <w:noProof/>
            <w:vertAlign w:val="superscript"/>
          </w:rPr>
          <w:t>48</w:t>
        </w:r>
        <w:r w:rsidR="00FB10D4" w:rsidRPr="00A84F8C">
          <w:fldChar w:fldCharType="end"/>
        </w:r>
      </w:hyperlink>
      <w:r w:rsidR="00996C35" w:rsidRPr="00A84F8C">
        <w:t>.</w:t>
      </w:r>
      <w:r>
        <w:t xml:space="preserve"> </w:t>
      </w:r>
    </w:p>
    <w:p w14:paraId="19D5705F" w14:textId="64E17890" w:rsidR="00D30452" w:rsidRDefault="008B0351" w:rsidP="00FB10D4">
      <w:pPr>
        <w:spacing w:after="120"/>
      </w:pPr>
      <w:r>
        <w:t xml:space="preserve"> In Argentina, a social health insurance (SHI) sector owned and managed by trades unions was opened to risk-rated commercial insurance in the 1990s, allowing private insurers to compete to insure employees, and encouraging SHIs to buy care from private facilities. The 1990s reforms </w:t>
      </w:r>
      <w:r w:rsidRPr="000B5175">
        <w:t xml:space="preserve">divided </w:t>
      </w:r>
      <w:r>
        <w:t xml:space="preserve">the SHI market </w:t>
      </w:r>
      <w:r w:rsidRPr="000B5175">
        <w:t>in</w:t>
      </w:r>
      <w:r w:rsidR="00227A80">
        <w:t>to</w:t>
      </w:r>
      <w:r w:rsidRPr="000B5175">
        <w:t xml:space="preserve"> management-level employees and the rest</w:t>
      </w:r>
      <w:r w:rsidR="003725DC">
        <w:t>, and</w:t>
      </w:r>
      <w:r>
        <w:t xml:space="preserve"> </w:t>
      </w:r>
      <w:r w:rsidRPr="000B5175">
        <w:t>SHI for management-level employees mostly purchase</w:t>
      </w:r>
      <w:r w:rsidR="00227A80">
        <w:t>d</w:t>
      </w:r>
      <w:r w:rsidRPr="000B5175">
        <w:t xml:space="preserve"> services from the privat</w:t>
      </w:r>
      <w:r w:rsidRPr="00CC76BB">
        <w:t xml:space="preserve">e sector. Thus, the system switched from </w:t>
      </w:r>
      <w:r w:rsidR="00D30452" w:rsidRPr="00CC76BB">
        <w:t xml:space="preserve">one </w:t>
      </w:r>
      <w:r w:rsidRPr="00CC76BB">
        <w:t xml:space="preserve">fragmented </w:t>
      </w:r>
      <w:r w:rsidR="00D30452" w:rsidRPr="00CC76BB">
        <w:t xml:space="preserve">by </w:t>
      </w:r>
      <w:r w:rsidRPr="00CC76BB">
        <w:t xml:space="preserve">lines of business (or trade unions) to </w:t>
      </w:r>
      <w:r w:rsidR="00C97741" w:rsidRPr="00CC76BB">
        <w:t xml:space="preserve">one stratified </w:t>
      </w:r>
      <w:r w:rsidR="00656EE7" w:rsidRPr="00CC76BB">
        <w:t>by socioeconomic status</w:t>
      </w:r>
      <w:r w:rsidRPr="00CC76BB">
        <w:t>, separating white-collar workers from the rest of the in</w:t>
      </w:r>
      <w:r w:rsidRPr="000B5175">
        <w:t>sured population.</w:t>
      </w:r>
      <w:r>
        <w:t xml:space="preserve"> </w:t>
      </w:r>
      <w:r w:rsidRPr="008E16CD">
        <w:t xml:space="preserve">In </w:t>
      </w:r>
      <w:r>
        <w:t>Argentina</w:t>
      </w:r>
      <w:r w:rsidR="00D30452">
        <w:t xml:space="preserve"> in 2010,</w:t>
      </w:r>
      <w:r>
        <w:t xml:space="preserve"> 63</w:t>
      </w:r>
      <w:r w:rsidRPr="008E16CD">
        <w:t>% of health care visits by the richest quintile were to the private sector</w:t>
      </w:r>
      <w:r>
        <w:t xml:space="preserve"> </w:t>
      </w:r>
      <w:r w:rsidR="00D30452">
        <w:t>while the percentage</w:t>
      </w:r>
      <w:r w:rsidRPr="008E16CD">
        <w:t xml:space="preserve"> for the poorest quintile </w:t>
      </w:r>
      <w:r>
        <w:t>was 28%</w:t>
      </w:r>
      <w:hyperlink w:anchor="_ENREF_23" w:tooltip="Class, 2014 #138" w:history="1">
        <w:r w:rsidR="00FB10D4">
          <w:fldChar w:fldCharType="begin"/>
        </w:r>
        <w:r w:rsidR="00FB10D4">
          <w:instrText xml:space="preserve"> ADDIN EN.CITE &lt;EndNote&gt;&lt;Cite&gt;&lt;Author&gt;Class&lt;/Author&gt;&lt;Year&gt;2014&lt;/Year&gt;&lt;RecNum&gt;138&lt;/RecNum&gt;&lt;DisplayText&gt;&lt;style face="superscript"&gt;23&lt;/style&gt;&lt;/DisplayText&gt;&lt;record&gt;&lt;rec-number&gt;138&lt;/rec-number&gt;&lt;foreign-keys&gt;&lt;key app="EN" db-id="zfpvwzxdm5awd1e5ps2prsfs5sa55we9efax" timestamp="1453672516"&gt;138&lt;/key&gt;&lt;/foreign-keys&gt;&lt;ref-type name="Report"&gt;27&lt;/ref-type&gt;&lt;contributors&gt;&lt;authors&gt;&lt;author&gt;Class, Deena&lt;/author&gt;&lt;author&gt;Rajkumar, A. Sunil&lt;/author&gt;&lt;author&gt;Cavagnero, Eleonora&lt;/author&gt;&lt;/authors&gt;&lt;/contributors&gt;&lt;titles&gt;&lt;title&gt;Argentina - Health Financing Profile&lt;/title&gt;&lt;/titles&gt;&lt;dates&gt;&lt;year&gt;2014&lt;/year&gt;&lt;/dates&gt;&lt;pub-location&gt;Argentina; Washington DC&lt;/pub-location&gt;&lt;publisher&gt;World Bank Group&lt;/publisher&gt;&lt;urls&gt;&lt;related-urls&gt;&lt;url&gt;http://documents.worldbank.org/curated/en/2014/01/19779856/argentina-health-financing-profile &lt;/url&gt;&lt;/related-urls&gt;&lt;/urls&gt;&lt;/record&gt;&lt;/Cite&gt;&lt;/EndNote&gt;</w:instrText>
        </w:r>
        <w:r w:rsidR="00FB10D4">
          <w:fldChar w:fldCharType="separate"/>
        </w:r>
        <w:r w:rsidR="00FB10D4" w:rsidRPr="00192EBD">
          <w:rPr>
            <w:noProof/>
            <w:vertAlign w:val="superscript"/>
          </w:rPr>
          <w:t>23</w:t>
        </w:r>
        <w:r w:rsidR="00FB10D4">
          <w:fldChar w:fldCharType="end"/>
        </w:r>
      </w:hyperlink>
      <w:r>
        <w:t xml:space="preserve">. </w:t>
      </w:r>
      <w:r w:rsidRPr="00420C77">
        <w:t xml:space="preserve">Between 1969 and 1995 private health facilities </w:t>
      </w:r>
      <w:r>
        <w:t xml:space="preserve">numbers </w:t>
      </w:r>
      <w:r w:rsidR="00D30452">
        <w:t>nearly quadrupled</w:t>
      </w:r>
      <w:hyperlink w:anchor="_ENREF_49" w:tooltip="Acuña, 2002 #63" w:history="1">
        <w:r w:rsidR="00FB10D4">
          <w:fldChar w:fldCharType="begin"/>
        </w:r>
        <w:r w:rsidR="00FB10D4">
          <w:instrText xml:space="preserve"> ADDIN EN.CITE &lt;EndNote&gt;&lt;Cite&gt;&lt;Author&gt;Acuña&lt;/Author&gt;&lt;Year&gt;2002&lt;/Year&gt;&lt;RecNum&gt;63&lt;/RecNum&gt;&lt;DisplayText&gt;&lt;style face="superscript"&gt;49&lt;/style&gt;&lt;/DisplayText&gt;&lt;record&gt;&lt;rec-number&gt;63&lt;/rec-number&gt;&lt;foreign-keys&gt;&lt;key app="EN" db-id="2sp5tdttfertdledza9xaavpe5wrwzestvef"&gt;63&lt;/key&gt;&lt;/foreign-keys&gt;&lt;ref-type name="Report"&gt;27&lt;/ref-type&gt;&lt;contributors&gt;&lt;authors&gt;&lt;author&gt;Acuña, C&lt;/author&gt;&lt;author&gt;Chudnovsky, M&lt;/author&gt;&lt;/authors&gt;&lt;/contributors&gt;&lt;titles&gt;&lt;title&gt;El sistema de salud en Argentina&lt;/title&gt;&lt;/titles&gt;&lt;dates&gt;&lt;year&gt;2002&lt;/year&gt;&lt;/dates&gt;&lt;pub-location&gt;Buenos Aires&lt;/pub-location&gt;&lt;publisher&gt;Universidad de San Andrés and Fundación Gobierno y Sociedad, Centro de Estudios para el Desarrollo Institucional&lt;/publisher&gt;&lt;urls&gt;&lt;/urls&gt;&lt;/record&gt;&lt;/Cite&gt;&lt;/EndNote&gt;</w:instrText>
        </w:r>
        <w:r w:rsidR="00FB10D4">
          <w:fldChar w:fldCharType="separate"/>
        </w:r>
        <w:r w:rsidR="00FB10D4" w:rsidRPr="00FB10D4">
          <w:rPr>
            <w:noProof/>
            <w:vertAlign w:val="superscript"/>
          </w:rPr>
          <w:t>49</w:t>
        </w:r>
        <w:r w:rsidR="00FB10D4">
          <w:fldChar w:fldCharType="end"/>
        </w:r>
      </w:hyperlink>
      <w:r w:rsidRPr="00420C77">
        <w:t xml:space="preserve">, increasing from around one third to more than 50% of the total. In the early 2000s, international companies </w:t>
      </w:r>
      <w:r w:rsidR="00DC5C72">
        <w:t xml:space="preserve">from Switzerland, America and other Latin American countries </w:t>
      </w:r>
      <w:r w:rsidRPr="00420C77">
        <w:t xml:space="preserve"> entered the </w:t>
      </w:r>
      <w:r>
        <w:t xml:space="preserve">Argentinean </w:t>
      </w:r>
      <w:r w:rsidRPr="00420C77">
        <w:t>PHI market, greatly increasing c</w:t>
      </w:r>
      <w:r w:rsidR="00D30452">
        <w:t>oncentration</w:t>
      </w:r>
      <w:hyperlink w:anchor="_ENREF_50" w:tooltip="Lloyd-Sherlock, 2005 #64" w:history="1">
        <w:r w:rsidR="00FB10D4">
          <w:fldChar w:fldCharType="begin"/>
        </w:r>
        <w:r w:rsidR="00FB10D4">
          <w:instrText xml:space="preserve"> ADDIN EN.CITE &lt;EndNote&gt;&lt;Cite&gt;&lt;Author&gt;Lloyd-Sherlock&lt;/Author&gt;&lt;Year&gt;2005&lt;/Year&gt;&lt;RecNum&gt;64&lt;/RecNum&gt;&lt;DisplayText&gt;&lt;style face="superscript"&gt;50&lt;/style&gt;&lt;/DisplayText&gt;&lt;record&gt;&lt;rec-number&gt;64&lt;/rec-number&gt;&lt;foreign-keys&gt;&lt;key app="EN" db-id="2sp5tdttfertdledza9xaavpe5wrwzestvef"&gt;64&lt;/key&gt;&lt;/foreign-keys&gt;&lt;ref-type name="Journal Article"&gt;17&lt;/ref-type&gt;&lt;contributors&gt;&lt;authors&gt;&lt;author&gt;Lloyd-Sherlock, Peter&lt;/author&gt;&lt;/authors&gt;&lt;/contributors&gt;&lt;titles&gt;&lt;title&gt;Health sector reform in Argentina: a cautionary tale&lt;/title&gt;&lt;secondary-title&gt;Social Science &amp;amp; Medicine&lt;/secondary-title&gt;&lt;/titles&gt;&lt;periodical&gt;&lt;full-title&gt;Social Science &amp;amp; Medicine&lt;/full-title&gt;&lt;/periodical&gt;&lt;pages&gt;1893-1903&lt;/pages&gt;&lt;volume&gt;60&lt;/volume&gt;&lt;number&gt;8&lt;/number&gt;&lt;keywords&gt;&lt;keyword&gt;Argentina&lt;/keyword&gt;&lt;keyword&gt;Health sector reform&lt;/keyword&gt;&lt;keyword&gt;World Bank&lt;/keyword&gt;&lt;/keywords&gt;&lt;dates&gt;&lt;year&gt;2005&lt;/year&gt;&lt;pub-dates&gt;&lt;date&gt;4//&lt;/date&gt;&lt;/pub-dates&gt;&lt;/dates&gt;&lt;isbn&gt;0277-9536&lt;/isbn&gt;&lt;urls&gt;&lt;related-urls&gt;&lt;url&gt;http://www.sciencedirect.com/science/article/pii/S0277953604004253&lt;/url&gt;&lt;/related-urls&gt;&lt;/urls&gt;&lt;electronic-resource-num&gt;http://dx.doi.org/10.1016/j.socscimed.2004.08.032&lt;/electronic-resource-num&gt;&lt;/record&gt;&lt;/Cite&gt;&lt;/EndNote&gt;</w:instrText>
        </w:r>
        <w:r w:rsidR="00FB10D4">
          <w:fldChar w:fldCharType="separate"/>
        </w:r>
        <w:r w:rsidR="00FB10D4" w:rsidRPr="00FB10D4">
          <w:rPr>
            <w:noProof/>
            <w:vertAlign w:val="superscript"/>
          </w:rPr>
          <w:t>50</w:t>
        </w:r>
        <w:r w:rsidR="00FB10D4">
          <w:fldChar w:fldCharType="end"/>
        </w:r>
      </w:hyperlink>
      <w:r w:rsidR="00D30452">
        <w:t xml:space="preserve">. </w:t>
      </w:r>
      <w:r w:rsidRPr="00420C77">
        <w:t xml:space="preserve">By 2006, the </w:t>
      </w:r>
      <w:r>
        <w:t xml:space="preserve">three </w:t>
      </w:r>
      <w:r w:rsidRPr="00420C77">
        <w:t xml:space="preserve">largest private insurers </w:t>
      </w:r>
      <w:r w:rsidR="00DC5C72">
        <w:t xml:space="preserve">accounted for </w:t>
      </w:r>
      <w:r w:rsidRPr="00420C77">
        <w:t xml:space="preserve"> about 65% of revenues and 60</w:t>
      </w:r>
      <w:r>
        <w:t>%</w:t>
      </w:r>
      <w:r w:rsidRPr="00420C77">
        <w:t xml:space="preserve"> of affiliates</w:t>
      </w:r>
      <w:r>
        <w:t xml:space="preserve"> in the private insurance sector</w:t>
      </w:r>
      <w:hyperlink w:anchor="_ENREF_51" w:tooltip="Hurtado, 2007 #65" w:history="1">
        <w:r w:rsidR="00FB10D4">
          <w:fldChar w:fldCharType="begin"/>
        </w:r>
        <w:r w:rsidR="00FB10D4">
          <w:instrText xml:space="preserve"> ADDIN EN.CITE &lt;EndNote&gt;&lt;Cite&gt;&lt;Author&gt;Hurtado&lt;/Author&gt;&lt;Year&gt;2007&lt;/Year&gt;&lt;RecNum&gt;65&lt;/RecNum&gt;&lt;DisplayText&gt;&lt;style face="superscript"&gt;51&lt;/style&gt;&lt;/DisplayText&gt;&lt;record&gt;&lt;rec-number&gt;65&lt;/rec-number&gt;&lt;foreign-keys&gt;&lt;key app="EN" db-id="2sp5tdttfertdledza9xaavpe5wrwzestvef"&gt;65&lt;/key&gt;&lt;/foreign-keys&gt;&lt;ref-type name="Web Page"&gt;12&lt;/ref-type&gt;&lt;contributors&gt;&lt;authors&gt;&lt;author&gt;Hurtado, Jaime&lt;/author&gt;&lt;/authors&gt;&lt;/contributors&gt;&lt;titles&gt;&lt;title&gt;Argentina: Medicina Prepaga&lt;/title&gt;&lt;secondary-title&gt;Cooperativas de Salud &lt;/secondary-title&gt;&lt;/titles&gt;&lt;volume&gt;2013&lt;/volume&gt;&lt;number&gt;30th December&lt;/number&gt;&lt;dates&gt;&lt;year&gt;2007&lt;/year&gt;&lt;/dates&gt;&lt;urls&gt;&lt;related-urls&gt;&lt;url&gt;http://coopsalud.blogspot.co.uk/2007/04/argentina-medicina-prepaga.html&lt;/url&gt;&lt;/related-urls&gt;&lt;/urls&gt;&lt;/record&gt;&lt;/Cite&gt;&lt;/EndNote&gt;</w:instrText>
        </w:r>
        <w:r w:rsidR="00FB10D4">
          <w:fldChar w:fldCharType="separate"/>
        </w:r>
        <w:r w:rsidR="00FB10D4" w:rsidRPr="00FB10D4">
          <w:rPr>
            <w:noProof/>
            <w:vertAlign w:val="superscript"/>
          </w:rPr>
          <w:t>51</w:t>
        </w:r>
        <w:r w:rsidR="00FB10D4">
          <w:fldChar w:fldCharType="end"/>
        </w:r>
      </w:hyperlink>
      <w:r w:rsidR="00D30452">
        <w:t xml:space="preserve">. </w:t>
      </w:r>
    </w:p>
    <w:p w14:paraId="2C44ADA0" w14:textId="6C5D9A65" w:rsidR="00291063" w:rsidRDefault="00D30452" w:rsidP="00FB10D4">
      <w:pPr>
        <w:spacing w:after="120"/>
      </w:pPr>
      <w:r>
        <w:t>T</w:t>
      </w:r>
      <w:r w:rsidR="008B0351">
        <w:t>his stratified system,</w:t>
      </w:r>
      <w:r w:rsidR="00291063">
        <w:t xml:space="preserve"> when</w:t>
      </w:r>
      <w:r w:rsidR="008B0351">
        <w:t xml:space="preserve"> deregulated for a lengthy period in </w:t>
      </w:r>
      <w:r w:rsidR="00291063">
        <w:t>each country</w:t>
      </w:r>
      <w:r w:rsidR="008B0351">
        <w:t xml:space="preserve">, produced rapid escalation in private insurance premiums and private sector costs.  </w:t>
      </w:r>
      <w:r w:rsidR="00996C35" w:rsidRPr="00A84F8C">
        <w:t>The cost drivers were a mix of monopoly power on the part of private suppliers, individual risk-rating driving out lower income and lower risk individuals, and competition on high technology and specialist care</w:t>
      </w:r>
      <w:hyperlink w:anchor="_ENREF_48" w:tooltip="van den Heever, 2012 #12" w:history="1">
        <w:r w:rsidR="00FB10D4" w:rsidRPr="00A84F8C">
          <w:fldChar w:fldCharType="begin"/>
        </w:r>
        <w:r w:rsidR="00FB10D4">
          <w:instrText xml:space="preserve"> ADDIN EN.CITE &lt;EndNote&gt;&lt;Cite&gt;&lt;Author&gt;van den Heever&lt;/Author&gt;&lt;Year&gt;2012&lt;/Year&gt;&lt;RecNum&gt;12&lt;/RecNum&gt;&lt;DisplayText&gt;&lt;style face="superscript"&gt;48&lt;/style&gt;&lt;/DisplayText&gt;&lt;record&gt;&lt;rec-number&gt;12&lt;/rec-number&gt;&lt;foreign-keys&gt;&lt;key app="EN" db-id="2sp5tdttfertdledza9xaavpe5wrwzestvef"&gt;12&lt;/key&gt;&lt;/foreign-keys&gt;&lt;ref-type name="Journal Article"&gt;17&lt;/ref-type&gt;&lt;contributors&gt;&lt;authors&gt;&lt;author&gt;van den Heever, Alex&lt;/author&gt;&lt;/authors&gt;&lt;/contributors&gt;&lt;titles&gt;&lt;title&gt;The role of insurance in the achievement of universal coverage within a developing country context: South Africa as a case study&lt;/title&gt;&lt;secondary-title&gt;BMC Public Health&lt;/secondary-title&gt;&lt;/titles&gt;&lt;periodical&gt;&lt;full-title&gt;BMC Public Health&lt;/full-title&gt;&lt;/periodical&gt;&lt;pages&gt;S5&lt;/pages&gt;&lt;volume&gt;12&lt;/volume&gt;&lt;number&gt;Suppl 1&lt;/number&gt;&lt;dates&gt;&lt;year&gt;2012&lt;/year&gt;&lt;/dates&gt;&lt;isbn&gt;1471-2458&lt;/isbn&gt;&lt;accession-num&gt;doi:10.1186/1471-2458-12-S1-S5&lt;/accession-num&gt;&lt;urls&gt;&lt;related-urls&gt;&lt;url&gt;http://www.biomedcentral.com/1471-2458/12/S1/S5&lt;/url&gt;&lt;/related-urls&gt;&lt;/urls&gt;&lt;/record&gt;&lt;/Cite&gt;&lt;/EndNote&gt;</w:instrText>
        </w:r>
        <w:r w:rsidR="00FB10D4" w:rsidRPr="00A84F8C">
          <w:fldChar w:fldCharType="separate"/>
        </w:r>
        <w:r w:rsidR="00FB10D4" w:rsidRPr="00FB10D4">
          <w:rPr>
            <w:noProof/>
            <w:vertAlign w:val="superscript"/>
          </w:rPr>
          <w:t>48</w:t>
        </w:r>
        <w:r w:rsidR="00FB10D4" w:rsidRPr="00A84F8C">
          <w:fldChar w:fldCharType="end"/>
        </w:r>
      </w:hyperlink>
      <w:r w:rsidR="008B0351">
        <w:t>.  In South Africa the deregulation of the 1990s produced a sharp upward shift in trend increases in costs; after 2000, reregulation slowed the continuing rise.  In Argentina, the reform</w:t>
      </w:r>
      <w:r w:rsidR="00996C35">
        <w:t>s</w:t>
      </w:r>
      <w:r w:rsidR="008B0351">
        <w:t xml:space="preserve"> in the 1990s increased private health insurance expenditure </w:t>
      </w:r>
      <w:r w:rsidR="008B0351" w:rsidRPr="007B5420">
        <w:t>th</w:t>
      </w:r>
      <w:r w:rsidR="008B0351">
        <w:t>r</w:t>
      </w:r>
      <w:r w:rsidR="008B0351" w:rsidRPr="007B5420">
        <w:t>ough the deregulation of social health insurance</w:t>
      </w:r>
      <w:r w:rsidR="008B0351">
        <w:t xml:space="preserve"> – with little increase in coverage. </w:t>
      </w:r>
      <w:r w:rsidR="003725DC">
        <w:t xml:space="preserve"> H</w:t>
      </w:r>
      <w:r w:rsidR="008B0351">
        <w:t>ealth spending increase</w:t>
      </w:r>
      <w:r w:rsidR="003725DC">
        <w:t>d</w:t>
      </w:r>
      <w:r w:rsidR="008B0351">
        <w:t xml:space="preserve"> from 8.2 to 9 </w:t>
      </w:r>
      <w:r w:rsidR="008B0351" w:rsidRPr="00EB4C1F">
        <w:rPr>
          <w:lang w:val="en-US"/>
        </w:rPr>
        <w:t>percent</w:t>
      </w:r>
      <w:r w:rsidR="008B0351">
        <w:t xml:space="preserve"> of the GDP between 1995 and 2000,</w:t>
      </w:r>
      <w:r w:rsidR="00996C35">
        <w:t xml:space="preserve"> </w:t>
      </w:r>
      <w:r w:rsidR="003725DC">
        <w:t xml:space="preserve">private </w:t>
      </w:r>
      <w:r w:rsidR="008B0351" w:rsidRPr="00996C35">
        <w:t xml:space="preserve">insurance </w:t>
      </w:r>
      <w:r w:rsidR="003725DC">
        <w:t xml:space="preserve">rose </w:t>
      </w:r>
      <w:r w:rsidR="008B0351" w:rsidRPr="00996C35">
        <w:t>from 0.9 to 1.3 and OOP expenditure from 2.3 to 2.7 as % of GDP during this period</w:t>
      </w:r>
      <w:r w:rsidR="003725DC">
        <w:t xml:space="preserve">, </w:t>
      </w:r>
      <w:r w:rsidR="008B0351" w:rsidRPr="00996C35">
        <w:t xml:space="preserve">mainly due to </w:t>
      </w:r>
      <w:r w:rsidR="003725DC">
        <w:t xml:space="preserve">SHI </w:t>
      </w:r>
      <w:r w:rsidR="008B0351" w:rsidRPr="00996C35">
        <w:t xml:space="preserve">deregulation </w:t>
      </w:r>
      <w:r w:rsidR="00246C72">
        <w:t xml:space="preserve">and </w:t>
      </w:r>
      <w:r w:rsidR="008B0351" w:rsidRPr="00996C35">
        <w:t xml:space="preserve">contracting </w:t>
      </w:r>
      <w:r w:rsidR="00246C72">
        <w:t xml:space="preserve">with </w:t>
      </w:r>
      <w:r w:rsidR="008B0351" w:rsidRPr="00996C35">
        <w:t xml:space="preserve">private providers. </w:t>
      </w:r>
    </w:p>
    <w:p w14:paraId="61C5A70B" w14:textId="77777777" w:rsidR="00F865A7" w:rsidRPr="00A84F8C" w:rsidRDefault="00F865A7" w:rsidP="009A2A18">
      <w:pPr>
        <w:pStyle w:val="ListParagraph"/>
        <w:numPr>
          <w:ilvl w:val="0"/>
          <w:numId w:val="4"/>
        </w:numPr>
        <w:spacing w:after="120"/>
        <w:ind w:left="714" w:hanging="357"/>
        <w:rPr>
          <w:b/>
          <w:sz w:val="24"/>
          <w:szCs w:val="24"/>
        </w:rPr>
      </w:pPr>
      <w:r w:rsidRPr="00A84F8C">
        <w:rPr>
          <w:b/>
          <w:sz w:val="24"/>
          <w:szCs w:val="24"/>
        </w:rPr>
        <w:t xml:space="preserve">A </w:t>
      </w:r>
      <w:r w:rsidR="00F11AC5" w:rsidRPr="00A84F8C">
        <w:rPr>
          <w:b/>
          <w:sz w:val="24"/>
          <w:szCs w:val="24"/>
        </w:rPr>
        <w:t xml:space="preserve">highly commercialised </w:t>
      </w:r>
      <w:r w:rsidR="009A2A18" w:rsidRPr="00A84F8C">
        <w:rPr>
          <w:b/>
          <w:sz w:val="24"/>
          <w:szCs w:val="24"/>
        </w:rPr>
        <w:t>public sector</w:t>
      </w:r>
      <w:r w:rsidR="00F11AC5" w:rsidRPr="00A84F8C">
        <w:rPr>
          <w:b/>
          <w:sz w:val="24"/>
          <w:szCs w:val="24"/>
        </w:rPr>
        <w:t xml:space="preserve"> </w:t>
      </w:r>
      <w:r w:rsidR="009A2A18" w:rsidRPr="00A84F8C">
        <w:rPr>
          <w:b/>
          <w:sz w:val="24"/>
          <w:szCs w:val="24"/>
        </w:rPr>
        <w:t xml:space="preserve">now </w:t>
      </w:r>
      <w:r w:rsidR="005C7874">
        <w:rPr>
          <w:b/>
          <w:sz w:val="24"/>
          <w:szCs w:val="24"/>
        </w:rPr>
        <w:t>undergoing</w:t>
      </w:r>
      <w:r w:rsidR="00F11AC5" w:rsidRPr="00A84F8C">
        <w:rPr>
          <w:b/>
          <w:sz w:val="24"/>
          <w:szCs w:val="24"/>
        </w:rPr>
        <w:t xml:space="preserve"> reform</w:t>
      </w:r>
      <w:r w:rsidRPr="00A84F8C">
        <w:rPr>
          <w:b/>
          <w:sz w:val="24"/>
          <w:szCs w:val="24"/>
        </w:rPr>
        <w:t>: China</w:t>
      </w:r>
    </w:p>
    <w:p w14:paraId="76A63B9E" w14:textId="77777777" w:rsidR="0072232B" w:rsidRDefault="0072232B" w:rsidP="00A92D70">
      <w:pPr>
        <w:spacing w:after="120"/>
      </w:pPr>
      <w:r>
        <w:t>Many LMICs have introduced charges for public sector health services. China provides a</w:t>
      </w:r>
      <w:r w:rsidR="00172C16">
        <w:t xml:space="preserve"> major </w:t>
      </w:r>
      <w:r>
        <w:t>illustration</w:t>
      </w:r>
      <w:r w:rsidR="00172C16">
        <w:t xml:space="preserve">, with useful lessons for less extreme cases, </w:t>
      </w:r>
      <w:r>
        <w:t>of the</w:t>
      </w:r>
      <w:r w:rsidR="005C7874">
        <w:t xml:space="preserve"> emergence of </w:t>
      </w:r>
      <w:r>
        <w:t>public sector commercialisation</w:t>
      </w:r>
      <w:r w:rsidR="005C7874">
        <w:t xml:space="preserve"> from ad hoc reform</w:t>
      </w:r>
      <w:r>
        <w:t xml:space="preserve">, </w:t>
      </w:r>
      <w:r w:rsidR="005C7874">
        <w:t xml:space="preserve">of its impact, </w:t>
      </w:r>
      <w:r>
        <w:t xml:space="preserve">and of the scope for </w:t>
      </w:r>
      <w:r w:rsidR="005C7874">
        <w:t>tackling the perverse market effects through</w:t>
      </w:r>
      <w:r w:rsidR="00246C72">
        <w:t xml:space="preserve"> subsequent</w:t>
      </w:r>
      <w:r w:rsidR="005C7874">
        <w:t xml:space="preserve"> holistic health system reform</w:t>
      </w:r>
      <w:r>
        <w:t xml:space="preserve">. </w:t>
      </w:r>
    </w:p>
    <w:p w14:paraId="624A0871" w14:textId="0087AF28" w:rsidR="00F865A7" w:rsidRDefault="00F865A7" w:rsidP="00FB10D4">
      <w:pPr>
        <w:spacing w:after="120"/>
      </w:pPr>
      <w:r w:rsidRPr="00A84F8C">
        <w:t xml:space="preserve">China, in its </w:t>
      </w:r>
      <w:r w:rsidR="00170470" w:rsidRPr="00A84F8C">
        <w:t xml:space="preserve">two </w:t>
      </w:r>
      <w:r w:rsidRPr="00A84F8C">
        <w:t>wave</w:t>
      </w:r>
      <w:r w:rsidR="00170470" w:rsidRPr="00A84F8C">
        <w:t>s</w:t>
      </w:r>
      <w:r w:rsidRPr="00A84F8C">
        <w:t xml:space="preserve"> of </w:t>
      </w:r>
      <w:r w:rsidRPr="00882BEA">
        <w:t xml:space="preserve">health reform </w:t>
      </w:r>
      <w:r w:rsidR="00170470" w:rsidRPr="00882BEA">
        <w:t xml:space="preserve">in the </w:t>
      </w:r>
      <w:r w:rsidRPr="00882BEA">
        <w:t>1980s and 1990s, developed a globally extreme level of commercialisation of its public sector health care, an unintended side effect of the market-oriented economic reform</w:t>
      </w:r>
      <w:r w:rsidR="00170470" w:rsidRPr="00882BEA">
        <w:t>s</w:t>
      </w:r>
      <w:r w:rsidR="00246C72" w:rsidRPr="00882BEA">
        <w:t xml:space="preserve"> (see Table 1 Column 7 data for 2001)</w:t>
      </w:r>
      <w:r w:rsidRPr="00882BEA">
        <w:t xml:space="preserve">.  By 2001 government funding had fallen </w:t>
      </w:r>
      <w:r w:rsidR="00170470" w:rsidRPr="00882BEA">
        <w:t>to</w:t>
      </w:r>
      <w:r w:rsidRPr="00882BEA">
        <w:t xml:space="preserve"> only </w:t>
      </w:r>
      <w:r w:rsidR="00170470" w:rsidRPr="00882BEA">
        <w:t>8.6% of urban hospital income</w:t>
      </w:r>
      <w:r w:rsidRPr="00882BEA">
        <w:t xml:space="preserve"> and 12.8% of rural township health centre income</w:t>
      </w:r>
      <w:hyperlink w:anchor="_ENREF_27" w:tooltip="China Ministry of Health, 2009 #13" w:history="1">
        <w:r w:rsidR="00FB10D4" w:rsidRPr="00882BEA">
          <w:fldChar w:fldCharType="begin"/>
        </w:r>
        <w:r w:rsidR="00FB10D4" w:rsidRPr="00882BEA">
          <w:instrText xml:space="preserve"> ADDIN EN.CITE &lt;EndNote&gt;&lt;Cite&gt;&lt;Author&gt;China Ministry of Health&lt;/Author&gt;&lt;Year&gt;2009&lt;/Year&gt;&lt;RecNum&gt;13&lt;/RecNum&gt;&lt;DisplayText&gt;&lt;style face="superscript"&gt;27&lt;/style&gt;&lt;/DisplayText&gt;&lt;record&gt;&lt;rec-number&gt;13&lt;/rec-number&gt;&lt;foreign-keys&gt;&lt;key app="EN" db-id="2sp5tdttfertdledza9xaavpe5wrwzestvef"&gt;13&lt;/key&gt;&lt;/foreign-keys&gt;&lt;ref-type name="Report"&gt;27&lt;/ref-type&gt;&lt;contributors&gt;&lt;authors&gt;&lt;author&gt;China Ministry of Health,&lt;/author&gt;&lt;/authors&gt;&lt;/contributors&gt;&lt;titles&gt;&lt;title&gt;China National Health Yearbook&lt;/title&gt;&lt;/titles&gt;&lt;dates&gt;&lt;year&gt;2009&lt;/year&gt;&lt;/dates&gt;&lt;pub-location&gt;Beijing&lt;/pub-location&gt;&lt;urls&gt;&lt;/urls&gt;&lt;/record&gt;&lt;/Cite&gt;&lt;/EndNote&gt;</w:instrText>
        </w:r>
        <w:r w:rsidR="00FB10D4" w:rsidRPr="00882BEA">
          <w:fldChar w:fldCharType="separate"/>
        </w:r>
        <w:r w:rsidR="00FB10D4" w:rsidRPr="00882BEA">
          <w:rPr>
            <w:noProof/>
            <w:vertAlign w:val="superscript"/>
          </w:rPr>
          <w:t>27</w:t>
        </w:r>
        <w:r w:rsidR="00FB10D4" w:rsidRPr="00882BEA">
          <w:fldChar w:fldCharType="end"/>
        </w:r>
      </w:hyperlink>
      <w:r w:rsidRPr="00882BEA">
        <w:t xml:space="preserve">.  The public facilities </w:t>
      </w:r>
      <w:r w:rsidR="00170470" w:rsidRPr="00882BEA">
        <w:t>gained</w:t>
      </w:r>
      <w:r w:rsidRPr="00882BEA">
        <w:t xml:space="preserve"> various</w:t>
      </w:r>
      <w:r w:rsidRPr="00A84F8C">
        <w:t xml:space="preserve"> degree</w:t>
      </w:r>
      <w:r w:rsidR="00170470" w:rsidRPr="00A84F8C">
        <w:t>s</w:t>
      </w:r>
      <w:r w:rsidRPr="00A84F8C">
        <w:t xml:space="preserve"> of autonomy and “self-governed” status</w:t>
      </w:r>
      <w:r w:rsidR="00170470" w:rsidRPr="00A84F8C">
        <w:t xml:space="preserve">: </w:t>
      </w:r>
      <w:r w:rsidR="00A92D70">
        <w:t>they we</w:t>
      </w:r>
      <w:r w:rsidRPr="00A84F8C">
        <w:t>re not privatized in the sense that the assets are still owned by the state, so the facilities had a public identity, yet their daily operations took on a business nature, f</w:t>
      </w:r>
      <w:r w:rsidR="00296328">
        <w:t>ocusing</w:t>
      </w:r>
      <w:r w:rsidRPr="00A84F8C">
        <w:t xml:space="preserve"> on revenue generation </w:t>
      </w:r>
      <w:r w:rsidR="00296328">
        <w:t xml:space="preserve">from charging users, </w:t>
      </w:r>
      <w:r w:rsidRPr="00A84F8C">
        <w:t xml:space="preserve">translated into private gains through hospitals’ internal bonus allocation system. This </w:t>
      </w:r>
      <w:r w:rsidR="00170470" w:rsidRPr="00A84F8C">
        <w:t xml:space="preserve">was </w:t>
      </w:r>
      <w:r w:rsidRPr="00A84F8C">
        <w:t xml:space="preserve">the market incentive installed </w:t>
      </w:r>
      <w:r w:rsidR="00170470" w:rsidRPr="00A84F8C">
        <w:t>by</w:t>
      </w:r>
      <w:r w:rsidRPr="00A84F8C">
        <w:t xml:space="preserve"> the initial health sector reform.  The privately </w:t>
      </w:r>
      <w:r w:rsidRPr="00A84F8C">
        <w:rPr>
          <w:i/>
        </w:rPr>
        <w:t>owned</w:t>
      </w:r>
      <w:r w:rsidRPr="00A84F8C">
        <w:t xml:space="preserve"> sector rem</w:t>
      </w:r>
      <w:r w:rsidR="00170470" w:rsidRPr="00A84F8C">
        <w:t>ained small,</w:t>
      </w:r>
      <w:r w:rsidRPr="00A84F8C">
        <w:t xml:space="preserve"> just 20 percent of urban hospitals in 2008</w:t>
      </w:r>
      <w:r w:rsidR="001C163B">
        <w:t xml:space="preserve"> (Table 5)</w:t>
      </w:r>
      <w:r w:rsidRPr="00A84F8C">
        <w:t>, an</w:t>
      </w:r>
      <w:r w:rsidR="00170470" w:rsidRPr="00A84F8C">
        <w:t>d private health insurance lacked</w:t>
      </w:r>
      <w:r w:rsidRPr="00A84F8C">
        <w:t xml:space="preserve"> significant impact</w:t>
      </w:r>
      <w:hyperlink w:anchor="_ENREF_52" w:tooltip="Sussmuth-Dyckerhoff, 2010 #14" w:history="1">
        <w:r w:rsidR="00FB10D4" w:rsidRPr="00A84F8C">
          <w:fldChar w:fldCharType="begin"/>
        </w:r>
        <w:r w:rsidR="00FB10D4">
          <w:instrText xml:space="preserve"> ADDIN EN.CITE &lt;EndNote&gt;&lt;Cite&gt;&lt;Author&gt;Sussmuth-Dyckerhoff&lt;/Author&gt;&lt;Year&gt;2010&lt;/Year&gt;&lt;RecNum&gt;14&lt;/RecNum&gt;&lt;DisplayText&gt;&lt;style face="superscript"&gt;52&lt;/style&gt;&lt;/DisplayText&gt;&lt;record&gt;&lt;rec-number&gt;14&lt;/rec-number&gt;&lt;foreign-keys&gt;&lt;key app="EN" db-id="2sp5tdttfertdledza9xaavpe5wrwzestvef"&gt;14&lt;/key&gt;&lt;/foreign-keys&gt;&lt;ref-type name="Report"&gt;27&lt;/ref-type&gt;&lt;contributors&gt;&lt;authors&gt;&lt;author&gt;Sussmuth-Dyckerhoff, C.&lt;/author&gt;&lt;author&gt;Wang, J.&lt;/author&gt;&lt;/authors&gt;&lt;/contributors&gt;&lt;titles&gt;&lt;title&gt;Identify private-sector opportunities in Chinese health care: recent health care reforms open door to insurers, hospitals, and IT vendors&lt;/title&gt;&lt;/titles&gt;&lt;dates&gt;&lt;year&gt;2010&lt;/year&gt;&lt;/dates&gt;&lt;publisher&gt;Mckinsey &amp;amp; Company&lt;/publisher&gt;&lt;urls&gt;&lt;/urls&gt;&lt;/record&gt;&lt;/Cite&gt;&lt;/EndNote&gt;</w:instrText>
        </w:r>
        <w:r w:rsidR="00FB10D4" w:rsidRPr="00A84F8C">
          <w:fldChar w:fldCharType="separate"/>
        </w:r>
        <w:r w:rsidR="00FB10D4" w:rsidRPr="00FB10D4">
          <w:rPr>
            <w:noProof/>
            <w:vertAlign w:val="superscript"/>
          </w:rPr>
          <w:t>52</w:t>
        </w:r>
        <w:r w:rsidR="00FB10D4" w:rsidRPr="00A84F8C">
          <w:fldChar w:fldCharType="end"/>
        </w:r>
      </w:hyperlink>
      <w:r w:rsidRPr="00A84F8C">
        <w:t xml:space="preserve">. In rural areas, health insurance coverage effectively collapsed, </w:t>
      </w:r>
      <w:r w:rsidR="00170470" w:rsidRPr="00A84F8C">
        <w:t>though social insurance provided</w:t>
      </w:r>
      <w:r w:rsidRPr="00A84F8C">
        <w:t xml:space="preserve"> some urban coverage for the employed.  </w:t>
      </w:r>
    </w:p>
    <w:p w14:paraId="4D32D48E" w14:textId="77777777" w:rsidR="001C163B" w:rsidRDefault="001C163B" w:rsidP="001C163B">
      <w:pPr>
        <w:rPr>
          <w:rFonts w:eastAsia="SimSun" w:cstheme="minorHAnsi"/>
          <w:b/>
          <w:lang w:eastAsia="zh-CN"/>
        </w:rPr>
      </w:pPr>
      <w:r w:rsidRPr="00FF24CC">
        <w:rPr>
          <w:rFonts w:eastAsia="SimSun" w:cstheme="minorHAnsi"/>
          <w:b/>
          <w:lang w:val="en-US" w:eastAsia="zh-CN"/>
        </w:rPr>
        <w:t>Table</w:t>
      </w:r>
      <w:r>
        <w:rPr>
          <w:rFonts w:eastAsia="SimSun" w:cstheme="minorHAnsi"/>
          <w:b/>
          <w:lang w:val="en-US" w:eastAsia="zh-CN"/>
        </w:rPr>
        <w:t xml:space="preserve"> 5 China: </w:t>
      </w:r>
      <w:r w:rsidRPr="00FF24CC">
        <w:rPr>
          <w:rFonts w:eastAsia="SimSun" w:cstheme="minorHAnsi"/>
          <w:b/>
          <w:lang w:val="en-US" w:eastAsia="zh-CN"/>
        </w:rPr>
        <w:t xml:space="preserve"> </w:t>
      </w:r>
      <w:r w:rsidRPr="00A84F8C">
        <w:rPr>
          <w:rFonts w:eastAsia="SimSun" w:cstheme="minorHAnsi"/>
          <w:b/>
          <w:lang w:eastAsia="zh-CN"/>
        </w:rPr>
        <w:t>Hospitals by Ownership Type</w:t>
      </w:r>
      <w:r>
        <w:rPr>
          <w:rFonts w:eastAsia="SimSun" w:cstheme="minorHAnsi"/>
          <w:b/>
          <w:lang w:eastAsia="zh-CN"/>
        </w:rPr>
        <w:t xml:space="preserve"> </w:t>
      </w:r>
      <w:r w:rsidRPr="00A84F8C">
        <w:rPr>
          <w:rFonts w:eastAsia="SimSun" w:cstheme="minorHAnsi"/>
          <w:b/>
          <w:lang w:eastAsia="zh-CN"/>
        </w:rPr>
        <w:t>(1980 -2008)</w:t>
      </w:r>
      <w:r w:rsidDel="005902AA">
        <w:rPr>
          <w:rFonts w:eastAsia="SimSun" w:cstheme="minorHAnsi"/>
          <w:b/>
          <w:lang w:eastAsia="zh-CN"/>
        </w:rPr>
        <w:t xml:space="preserve"> </w:t>
      </w:r>
    </w:p>
    <w:tbl>
      <w:tblPr>
        <w:tblStyle w:val="TableSimple11"/>
        <w:tblW w:w="0" w:type="auto"/>
        <w:tblBorders>
          <w:top w:val="none" w:sz="0" w:space="0" w:color="auto"/>
          <w:bottom w:val="none" w:sz="0" w:space="0" w:color="auto"/>
        </w:tblBorders>
        <w:tblLook w:val="01E0" w:firstRow="1" w:lastRow="1" w:firstColumn="1" w:lastColumn="1" w:noHBand="0" w:noVBand="0"/>
      </w:tblPr>
      <w:tblGrid>
        <w:gridCol w:w="1107"/>
        <w:gridCol w:w="1107"/>
        <w:gridCol w:w="1416"/>
        <w:gridCol w:w="2418"/>
        <w:gridCol w:w="1203"/>
      </w:tblGrid>
      <w:tr w:rsidR="001C163B" w:rsidRPr="00097D8A" w14:paraId="5688D808" w14:textId="77777777" w:rsidTr="00B15F69">
        <w:trPr>
          <w:cnfStyle w:val="100000000000" w:firstRow="1" w:lastRow="0" w:firstColumn="0" w:lastColumn="0" w:oddVBand="0" w:evenVBand="0" w:oddHBand="0" w:evenHBand="0" w:firstRowFirstColumn="0" w:firstRowLastColumn="0" w:lastRowFirstColumn="0" w:lastRowLastColumn="0"/>
        </w:trPr>
        <w:tc>
          <w:tcPr>
            <w:tcW w:w="1107" w:type="dxa"/>
            <w:tcBorders>
              <w:top w:val="single" w:sz="4" w:space="0" w:color="auto"/>
              <w:left w:val="nil"/>
              <w:bottom w:val="single" w:sz="4" w:space="0" w:color="auto"/>
              <w:right w:val="nil"/>
            </w:tcBorders>
            <w:hideMark/>
          </w:tcPr>
          <w:p w14:paraId="32112EF1" w14:textId="77777777" w:rsidR="001C163B" w:rsidRPr="00097D8A" w:rsidRDefault="001C163B" w:rsidP="00B15F69">
            <w:pPr>
              <w:rPr>
                <w:rFonts w:ascii="Calibri" w:eastAsia="Calibri" w:hAnsi="Calibri" w:cs="Calibri"/>
                <w:b/>
                <w:sz w:val="22"/>
              </w:rPr>
            </w:pPr>
            <w:r w:rsidRPr="00097D8A">
              <w:rPr>
                <w:rFonts w:ascii="Calibri" w:eastAsia="Calibri" w:hAnsi="Calibri" w:cs="Calibri"/>
                <w:b/>
                <w:sz w:val="22"/>
              </w:rPr>
              <w:t>Year</w:t>
            </w:r>
          </w:p>
        </w:tc>
        <w:tc>
          <w:tcPr>
            <w:tcW w:w="1107" w:type="dxa"/>
            <w:tcBorders>
              <w:top w:val="single" w:sz="4" w:space="0" w:color="auto"/>
              <w:left w:val="nil"/>
              <w:bottom w:val="single" w:sz="4" w:space="0" w:color="auto"/>
              <w:right w:val="nil"/>
            </w:tcBorders>
            <w:hideMark/>
          </w:tcPr>
          <w:p w14:paraId="5842A7D8" w14:textId="77777777" w:rsidR="001C163B" w:rsidRPr="00097D8A" w:rsidRDefault="001C163B" w:rsidP="00B15F69">
            <w:pPr>
              <w:rPr>
                <w:rFonts w:ascii="Calibri" w:eastAsia="Calibri" w:hAnsi="Calibri" w:cs="Calibri"/>
                <w:b/>
                <w:sz w:val="22"/>
              </w:rPr>
            </w:pPr>
            <w:r w:rsidRPr="00097D8A">
              <w:rPr>
                <w:rFonts w:ascii="Calibri" w:eastAsia="Calibri" w:hAnsi="Calibri" w:cs="Calibri"/>
                <w:b/>
                <w:sz w:val="22"/>
              </w:rPr>
              <w:t>Total</w:t>
            </w:r>
          </w:p>
        </w:tc>
        <w:tc>
          <w:tcPr>
            <w:tcW w:w="1416" w:type="dxa"/>
            <w:tcBorders>
              <w:top w:val="single" w:sz="4" w:space="0" w:color="auto"/>
              <w:left w:val="nil"/>
              <w:bottom w:val="single" w:sz="4" w:space="0" w:color="auto"/>
              <w:right w:val="nil"/>
            </w:tcBorders>
            <w:hideMark/>
          </w:tcPr>
          <w:p w14:paraId="102DF093" w14:textId="77777777" w:rsidR="001C163B" w:rsidRPr="00097D8A" w:rsidRDefault="001C163B" w:rsidP="00B15F69">
            <w:pPr>
              <w:rPr>
                <w:rFonts w:ascii="Calibri" w:eastAsia="Calibri" w:hAnsi="Calibri" w:cs="Calibri"/>
                <w:b/>
                <w:sz w:val="22"/>
              </w:rPr>
            </w:pPr>
            <w:r w:rsidRPr="00097D8A">
              <w:rPr>
                <w:rFonts w:ascii="Calibri" w:eastAsia="Calibri" w:hAnsi="Calibri" w:cs="Calibri"/>
                <w:b/>
                <w:sz w:val="22"/>
              </w:rPr>
              <w:t xml:space="preserve">Government </w:t>
            </w:r>
          </w:p>
        </w:tc>
        <w:tc>
          <w:tcPr>
            <w:tcW w:w="2418" w:type="dxa"/>
            <w:tcBorders>
              <w:top w:val="single" w:sz="4" w:space="0" w:color="auto"/>
              <w:left w:val="nil"/>
              <w:bottom w:val="single" w:sz="4" w:space="0" w:color="auto"/>
              <w:right w:val="nil"/>
            </w:tcBorders>
            <w:hideMark/>
          </w:tcPr>
          <w:p w14:paraId="4D72E87B" w14:textId="77777777" w:rsidR="001C163B" w:rsidRPr="00097D8A" w:rsidRDefault="001C163B" w:rsidP="00B15F69">
            <w:pPr>
              <w:rPr>
                <w:rFonts w:ascii="Calibri" w:eastAsia="Calibri" w:hAnsi="Calibri" w:cs="Calibri"/>
                <w:b/>
                <w:sz w:val="22"/>
              </w:rPr>
            </w:pPr>
            <w:r>
              <w:rPr>
                <w:rFonts w:ascii="Calibri" w:eastAsia="Calibri" w:hAnsi="Calibri" w:cs="Calibri"/>
                <w:b/>
                <w:sz w:val="22"/>
              </w:rPr>
              <w:t xml:space="preserve">     P</w:t>
            </w:r>
            <w:r w:rsidRPr="00097D8A">
              <w:rPr>
                <w:rFonts w:ascii="Calibri" w:eastAsia="Calibri" w:hAnsi="Calibri" w:cs="Calibri"/>
                <w:b/>
                <w:sz w:val="22"/>
              </w:rPr>
              <w:t xml:space="preserve">ublic </w:t>
            </w:r>
            <w:r>
              <w:rPr>
                <w:rFonts w:ascii="Calibri" w:eastAsia="Calibri" w:hAnsi="Calibri" w:cs="Calibri"/>
                <w:b/>
                <w:sz w:val="22"/>
              </w:rPr>
              <w:t>enterprises</w:t>
            </w:r>
          </w:p>
        </w:tc>
        <w:tc>
          <w:tcPr>
            <w:tcW w:w="1203" w:type="dxa"/>
            <w:tcBorders>
              <w:top w:val="single" w:sz="4" w:space="0" w:color="auto"/>
              <w:left w:val="nil"/>
              <w:bottom w:val="single" w:sz="4" w:space="0" w:color="auto"/>
              <w:right w:val="nil"/>
            </w:tcBorders>
            <w:hideMark/>
          </w:tcPr>
          <w:p w14:paraId="4C4D8F8C" w14:textId="77777777" w:rsidR="001C163B" w:rsidRPr="00097D8A" w:rsidRDefault="001C163B" w:rsidP="00B15F69">
            <w:pPr>
              <w:rPr>
                <w:rFonts w:ascii="Calibri" w:eastAsia="Calibri" w:hAnsi="Calibri" w:cs="Calibri"/>
                <w:b/>
                <w:sz w:val="22"/>
              </w:rPr>
            </w:pPr>
            <w:r w:rsidRPr="00097D8A">
              <w:rPr>
                <w:rFonts w:ascii="Calibri" w:eastAsia="Calibri" w:hAnsi="Calibri" w:cs="Calibri"/>
                <w:b/>
                <w:sz w:val="22"/>
              </w:rPr>
              <w:t>Individual</w:t>
            </w:r>
          </w:p>
        </w:tc>
      </w:tr>
      <w:tr w:rsidR="001C163B" w:rsidRPr="00097D8A" w14:paraId="0B2FC347" w14:textId="77777777" w:rsidTr="00B15F69">
        <w:tc>
          <w:tcPr>
            <w:tcW w:w="1107" w:type="dxa"/>
            <w:tcBorders>
              <w:top w:val="single" w:sz="4" w:space="0" w:color="auto"/>
              <w:left w:val="nil"/>
              <w:bottom w:val="single" w:sz="4" w:space="0" w:color="auto"/>
              <w:right w:val="nil"/>
            </w:tcBorders>
            <w:hideMark/>
          </w:tcPr>
          <w:p w14:paraId="5AD49381" w14:textId="77777777" w:rsidR="001C163B" w:rsidRPr="00097D8A" w:rsidRDefault="001C163B" w:rsidP="00B15F69">
            <w:pPr>
              <w:rPr>
                <w:rFonts w:ascii="Calibri" w:eastAsia="Calibri" w:hAnsi="Calibri" w:cs="Calibri"/>
                <w:sz w:val="22"/>
              </w:rPr>
            </w:pPr>
            <w:r w:rsidRPr="00097D8A">
              <w:rPr>
                <w:rFonts w:ascii="Calibri" w:eastAsia="Calibri" w:hAnsi="Calibri" w:cs="Calibri"/>
                <w:sz w:val="22"/>
              </w:rPr>
              <w:t>1980</w:t>
            </w:r>
          </w:p>
        </w:tc>
        <w:tc>
          <w:tcPr>
            <w:tcW w:w="1107" w:type="dxa"/>
            <w:tcBorders>
              <w:top w:val="single" w:sz="4" w:space="0" w:color="auto"/>
              <w:left w:val="nil"/>
              <w:bottom w:val="single" w:sz="4" w:space="0" w:color="auto"/>
              <w:right w:val="nil"/>
            </w:tcBorders>
            <w:hideMark/>
          </w:tcPr>
          <w:p w14:paraId="282BAB95" w14:textId="77777777" w:rsidR="001C163B" w:rsidRPr="00097D8A" w:rsidRDefault="001C163B" w:rsidP="00B15F69">
            <w:pPr>
              <w:rPr>
                <w:rFonts w:ascii="Calibri" w:eastAsia="Calibri" w:hAnsi="Calibri" w:cs="Calibri"/>
                <w:sz w:val="22"/>
              </w:rPr>
            </w:pPr>
            <w:r w:rsidRPr="00097D8A">
              <w:rPr>
                <w:rFonts w:ascii="Calibri" w:eastAsia="Calibri" w:hAnsi="Calibri" w:cs="Calibri"/>
                <w:sz w:val="22"/>
              </w:rPr>
              <w:t>9902</w:t>
            </w:r>
          </w:p>
        </w:tc>
        <w:tc>
          <w:tcPr>
            <w:tcW w:w="5037" w:type="dxa"/>
            <w:gridSpan w:val="3"/>
            <w:tcBorders>
              <w:top w:val="single" w:sz="4" w:space="0" w:color="auto"/>
              <w:left w:val="nil"/>
              <w:bottom w:val="single" w:sz="4" w:space="0" w:color="auto"/>
              <w:right w:val="nil"/>
            </w:tcBorders>
            <w:hideMark/>
          </w:tcPr>
          <w:p w14:paraId="2E62464D" w14:textId="77777777" w:rsidR="001C163B" w:rsidRPr="00097D8A" w:rsidRDefault="001C163B" w:rsidP="00B15F69">
            <w:pPr>
              <w:rPr>
                <w:rFonts w:ascii="Calibri" w:eastAsia="Calibri" w:hAnsi="Calibri" w:cs="Calibri"/>
                <w:sz w:val="22"/>
              </w:rPr>
            </w:pPr>
            <w:r w:rsidRPr="00097D8A">
              <w:rPr>
                <w:rFonts w:ascii="Calibri" w:eastAsia="Calibri" w:hAnsi="Calibri" w:cs="Calibri"/>
                <w:sz w:val="22"/>
              </w:rPr>
              <w:t>Public dominant</w:t>
            </w:r>
          </w:p>
        </w:tc>
      </w:tr>
      <w:tr w:rsidR="001C163B" w:rsidRPr="00097D8A" w14:paraId="1BE61414" w14:textId="77777777" w:rsidTr="00B15F69">
        <w:tc>
          <w:tcPr>
            <w:tcW w:w="1107" w:type="dxa"/>
            <w:tcBorders>
              <w:top w:val="single" w:sz="4" w:space="0" w:color="auto"/>
              <w:left w:val="nil"/>
              <w:bottom w:val="single" w:sz="4" w:space="0" w:color="auto"/>
              <w:right w:val="nil"/>
            </w:tcBorders>
            <w:hideMark/>
          </w:tcPr>
          <w:p w14:paraId="42634353" w14:textId="77777777" w:rsidR="001C163B" w:rsidRPr="00097D8A" w:rsidRDefault="001C163B" w:rsidP="00B15F69">
            <w:pPr>
              <w:rPr>
                <w:rFonts w:ascii="Calibri" w:eastAsia="Calibri" w:hAnsi="Calibri" w:cs="Calibri"/>
                <w:sz w:val="22"/>
              </w:rPr>
            </w:pPr>
            <w:r w:rsidRPr="00097D8A">
              <w:rPr>
                <w:rFonts w:ascii="Calibri" w:eastAsia="Calibri" w:hAnsi="Calibri" w:cs="Calibri"/>
                <w:sz w:val="22"/>
              </w:rPr>
              <w:t>2000</w:t>
            </w:r>
          </w:p>
        </w:tc>
        <w:tc>
          <w:tcPr>
            <w:tcW w:w="1107" w:type="dxa"/>
            <w:tcBorders>
              <w:top w:val="single" w:sz="4" w:space="0" w:color="auto"/>
              <w:left w:val="nil"/>
              <w:bottom w:val="single" w:sz="4" w:space="0" w:color="auto"/>
              <w:right w:val="nil"/>
            </w:tcBorders>
            <w:hideMark/>
          </w:tcPr>
          <w:p w14:paraId="751A9A65" w14:textId="77777777" w:rsidR="001C163B" w:rsidRPr="00097D8A" w:rsidRDefault="001C163B" w:rsidP="00B15F69">
            <w:pPr>
              <w:rPr>
                <w:rFonts w:ascii="Calibri" w:eastAsia="Calibri" w:hAnsi="Calibri" w:cs="Calibri"/>
                <w:sz w:val="22"/>
              </w:rPr>
            </w:pPr>
            <w:r w:rsidRPr="00097D8A">
              <w:rPr>
                <w:rFonts w:ascii="Calibri" w:eastAsia="Calibri" w:hAnsi="Calibri" w:cs="Calibri"/>
                <w:sz w:val="22"/>
              </w:rPr>
              <w:t>16318</w:t>
            </w:r>
          </w:p>
        </w:tc>
        <w:tc>
          <w:tcPr>
            <w:tcW w:w="5037" w:type="dxa"/>
            <w:gridSpan w:val="3"/>
            <w:tcBorders>
              <w:top w:val="single" w:sz="4" w:space="0" w:color="auto"/>
              <w:left w:val="nil"/>
              <w:bottom w:val="single" w:sz="4" w:space="0" w:color="auto"/>
              <w:right w:val="nil"/>
            </w:tcBorders>
            <w:hideMark/>
          </w:tcPr>
          <w:p w14:paraId="18A20D54" w14:textId="77777777" w:rsidR="001C163B" w:rsidRPr="00097D8A" w:rsidRDefault="001C163B" w:rsidP="00B15F69">
            <w:pPr>
              <w:rPr>
                <w:rFonts w:ascii="Calibri" w:eastAsia="Calibri" w:hAnsi="Calibri" w:cs="Calibri"/>
                <w:sz w:val="22"/>
              </w:rPr>
            </w:pPr>
            <w:r w:rsidRPr="00097D8A">
              <w:rPr>
                <w:rFonts w:ascii="Calibri" w:eastAsia="Calibri" w:hAnsi="Calibri" w:cs="Calibri"/>
                <w:sz w:val="22"/>
              </w:rPr>
              <w:t>Public dominant but with strong for-profit incentive</w:t>
            </w:r>
          </w:p>
        </w:tc>
      </w:tr>
      <w:tr w:rsidR="001C163B" w:rsidRPr="00097D8A" w14:paraId="5C28D644" w14:textId="77777777" w:rsidTr="00B15F69">
        <w:trPr>
          <w:cnfStyle w:val="010000000000" w:firstRow="0" w:lastRow="1" w:firstColumn="0" w:lastColumn="0" w:oddVBand="0" w:evenVBand="0" w:oddHBand="0" w:evenHBand="0" w:firstRowFirstColumn="0" w:firstRowLastColumn="0" w:lastRowFirstColumn="0" w:lastRowLastColumn="0"/>
        </w:trPr>
        <w:tc>
          <w:tcPr>
            <w:tcW w:w="1107" w:type="dxa"/>
            <w:tcBorders>
              <w:top w:val="single" w:sz="4" w:space="0" w:color="auto"/>
              <w:left w:val="nil"/>
              <w:bottom w:val="single" w:sz="4" w:space="0" w:color="auto"/>
              <w:right w:val="nil"/>
            </w:tcBorders>
            <w:hideMark/>
          </w:tcPr>
          <w:p w14:paraId="649CFE75" w14:textId="77777777" w:rsidR="001C163B" w:rsidRPr="00097D8A" w:rsidRDefault="001C163B" w:rsidP="00B15F69">
            <w:pPr>
              <w:rPr>
                <w:rFonts w:ascii="Calibri" w:eastAsia="Calibri" w:hAnsi="Calibri" w:cs="Calibri"/>
                <w:sz w:val="22"/>
              </w:rPr>
            </w:pPr>
            <w:r w:rsidRPr="00097D8A">
              <w:rPr>
                <w:rFonts w:ascii="Calibri" w:eastAsia="Calibri" w:hAnsi="Calibri" w:cs="Calibri"/>
                <w:sz w:val="22"/>
              </w:rPr>
              <w:t>2008</w:t>
            </w:r>
          </w:p>
        </w:tc>
        <w:tc>
          <w:tcPr>
            <w:tcW w:w="1107" w:type="dxa"/>
            <w:tcBorders>
              <w:top w:val="single" w:sz="4" w:space="0" w:color="auto"/>
              <w:left w:val="nil"/>
              <w:bottom w:val="single" w:sz="4" w:space="0" w:color="auto"/>
              <w:right w:val="nil"/>
            </w:tcBorders>
            <w:hideMark/>
          </w:tcPr>
          <w:p w14:paraId="75DABB5F" w14:textId="77777777" w:rsidR="001C163B" w:rsidRPr="00097D8A" w:rsidRDefault="001C163B" w:rsidP="00B15F69">
            <w:pPr>
              <w:rPr>
                <w:rFonts w:ascii="Calibri" w:eastAsia="Calibri" w:hAnsi="Calibri" w:cs="Calibri"/>
                <w:sz w:val="22"/>
              </w:rPr>
            </w:pPr>
            <w:r w:rsidRPr="00097D8A">
              <w:rPr>
                <w:rFonts w:ascii="Calibri" w:eastAsia="Calibri" w:hAnsi="Calibri" w:cs="Calibri"/>
                <w:sz w:val="22"/>
              </w:rPr>
              <w:t>19712</w:t>
            </w:r>
          </w:p>
        </w:tc>
        <w:tc>
          <w:tcPr>
            <w:tcW w:w="1416" w:type="dxa"/>
            <w:tcBorders>
              <w:top w:val="single" w:sz="4" w:space="0" w:color="auto"/>
              <w:left w:val="nil"/>
              <w:bottom w:val="single" w:sz="4" w:space="0" w:color="auto"/>
              <w:right w:val="nil"/>
            </w:tcBorders>
            <w:vAlign w:val="center"/>
            <w:hideMark/>
          </w:tcPr>
          <w:p w14:paraId="635328CA" w14:textId="77777777" w:rsidR="001C163B" w:rsidRPr="00097D8A" w:rsidRDefault="001C163B" w:rsidP="00B15F69">
            <w:pPr>
              <w:jc w:val="center"/>
              <w:rPr>
                <w:rFonts w:ascii="Calibri" w:eastAsia="Calibri" w:hAnsi="Calibri" w:cs="Calibri"/>
                <w:sz w:val="22"/>
              </w:rPr>
            </w:pPr>
            <w:r w:rsidRPr="00097D8A">
              <w:rPr>
                <w:rFonts w:ascii="Calibri" w:eastAsia="Calibri" w:hAnsi="Calibri" w:cs="Calibri"/>
                <w:sz w:val="22"/>
              </w:rPr>
              <w:t>9777</w:t>
            </w:r>
          </w:p>
        </w:tc>
        <w:tc>
          <w:tcPr>
            <w:tcW w:w="2418" w:type="dxa"/>
            <w:tcBorders>
              <w:top w:val="single" w:sz="4" w:space="0" w:color="auto"/>
              <w:left w:val="nil"/>
              <w:bottom w:val="single" w:sz="4" w:space="0" w:color="auto"/>
              <w:right w:val="nil"/>
            </w:tcBorders>
            <w:vAlign w:val="center"/>
            <w:hideMark/>
          </w:tcPr>
          <w:p w14:paraId="0850C233" w14:textId="77777777" w:rsidR="001C163B" w:rsidRPr="00097D8A" w:rsidRDefault="001C163B" w:rsidP="00B15F69">
            <w:pPr>
              <w:jc w:val="center"/>
              <w:rPr>
                <w:rFonts w:ascii="Calibri" w:eastAsia="Calibri" w:hAnsi="Calibri" w:cs="Calibri"/>
                <w:sz w:val="22"/>
              </w:rPr>
            </w:pPr>
            <w:r w:rsidRPr="00097D8A">
              <w:rPr>
                <w:rFonts w:ascii="Calibri" w:eastAsia="Calibri" w:hAnsi="Calibri" w:cs="Calibri"/>
                <w:sz w:val="22"/>
              </w:rPr>
              <w:t>6048</w:t>
            </w:r>
          </w:p>
        </w:tc>
        <w:tc>
          <w:tcPr>
            <w:tcW w:w="1203" w:type="dxa"/>
            <w:tcBorders>
              <w:top w:val="single" w:sz="4" w:space="0" w:color="auto"/>
              <w:left w:val="nil"/>
              <w:bottom w:val="single" w:sz="4" w:space="0" w:color="auto"/>
              <w:right w:val="nil"/>
            </w:tcBorders>
            <w:vAlign w:val="center"/>
            <w:hideMark/>
          </w:tcPr>
          <w:p w14:paraId="1D36D8D3" w14:textId="77777777" w:rsidR="001C163B" w:rsidRPr="00097D8A" w:rsidRDefault="001C163B" w:rsidP="00B15F69">
            <w:pPr>
              <w:jc w:val="center"/>
              <w:rPr>
                <w:rFonts w:ascii="Calibri" w:eastAsia="Calibri" w:hAnsi="Calibri" w:cs="Calibri"/>
                <w:sz w:val="22"/>
              </w:rPr>
            </w:pPr>
            <w:r w:rsidRPr="00097D8A">
              <w:rPr>
                <w:rFonts w:ascii="Calibri" w:eastAsia="Calibri" w:hAnsi="Calibri" w:cs="Calibri"/>
                <w:sz w:val="22"/>
              </w:rPr>
              <w:t>3887</w:t>
            </w:r>
          </w:p>
        </w:tc>
      </w:tr>
    </w:tbl>
    <w:p w14:paraId="25B0D0B6" w14:textId="04FD8CBD" w:rsidR="001C163B" w:rsidRPr="00A84F8C" w:rsidRDefault="001C163B" w:rsidP="00FB10D4">
      <w:pPr>
        <w:spacing w:after="120"/>
      </w:pPr>
      <w:r w:rsidRPr="00097D8A">
        <w:rPr>
          <w:rFonts w:eastAsia="Times New Roman" w:cstheme="minorHAnsi"/>
          <w:sz w:val="20"/>
        </w:rPr>
        <w:t>Data source: Ministry of Health, China National Health Yearbook 2009</w:t>
      </w:r>
      <w:hyperlink w:anchor="_ENREF_53" w:tooltip="Ministry of Health of the People's Republic of China, 2009 #43" w:history="1">
        <w:r w:rsidR="00FB10D4" w:rsidRPr="00097D8A">
          <w:rPr>
            <w:rFonts w:eastAsia="Times New Roman" w:cstheme="minorHAnsi"/>
            <w:sz w:val="20"/>
          </w:rPr>
          <w:fldChar w:fldCharType="begin"/>
        </w:r>
        <w:r w:rsidR="00FB10D4">
          <w:rPr>
            <w:rFonts w:eastAsia="Times New Roman" w:cstheme="minorHAnsi"/>
            <w:sz w:val="20"/>
          </w:rPr>
          <w:instrText xml:space="preserve"> ADDIN EN.CITE &lt;EndNote&gt;&lt;Cite&gt;&lt;Author&gt;Ministry of Health of the People&amp;apos;s Republic of China&lt;/Author&gt;&lt;Year&gt;2009&lt;/Year&gt;&lt;RecNum&gt;43&lt;/RecNum&gt;&lt;DisplayText&gt;&lt;style face="superscript"&gt;53&lt;/style&gt;&lt;/DisplayText&gt;&lt;record&gt;&lt;rec-number&gt;43&lt;/rec-number&gt;&lt;foreign-keys&gt;&lt;key app="EN" db-id="2sp5tdttfertdledza9xaavpe5wrwzestvef"&gt;43&lt;/key&gt;&lt;/foreign-keys&gt;&lt;ref-type name="Report"&gt;27&lt;/ref-type&gt;&lt;contributors&gt;&lt;authors&gt;&lt;author&gt;Ministry of Health of the People&amp;apos;s Republic of China,&lt;/author&gt;&lt;/authors&gt;&lt;tertiary-authors&gt;&lt;author&gt;Peking Union Medical College Publishing House,&lt;/author&gt;&lt;/tertiary-authors&gt;&lt;/contributors&gt;&lt;titles&gt;&lt;title&gt;China Health Statistical Yearbook&lt;/title&gt;&lt;/titles&gt;&lt;dates&gt;&lt;year&gt;2009&lt;/year&gt;&lt;/dates&gt;&lt;urls&gt;&lt;/urls&gt;&lt;/record&gt;&lt;/Cite&gt;&lt;/EndNote&gt;</w:instrText>
        </w:r>
        <w:r w:rsidR="00FB10D4" w:rsidRPr="00097D8A">
          <w:rPr>
            <w:rFonts w:eastAsia="Times New Roman" w:cstheme="minorHAnsi"/>
            <w:sz w:val="20"/>
          </w:rPr>
          <w:fldChar w:fldCharType="separate"/>
        </w:r>
        <w:r w:rsidR="00FB10D4" w:rsidRPr="00FB10D4">
          <w:rPr>
            <w:rFonts w:eastAsia="Times New Roman" w:cstheme="minorHAnsi"/>
            <w:noProof/>
            <w:sz w:val="20"/>
            <w:vertAlign w:val="superscript"/>
          </w:rPr>
          <w:t>53</w:t>
        </w:r>
        <w:r w:rsidR="00FB10D4" w:rsidRPr="00097D8A">
          <w:rPr>
            <w:rFonts w:eastAsia="Times New Roman" w:cstheme="minorHAnsi"/>
            <w:sz w:val="20"/>
          </w:rPr>
          <w:fldChar w:fldCharType="end"/>
        </w:r>
      </w:hyperlink>
    </w:p>
    <w:p w14:paraId="0B43A013" w14:textId="76DCC6E8" w:rsidR="00F865A7" w:rsidRDefault="00F865A7" w:rsidP="00FB10D4">
      <w:pPr>
        <w:pBdr>
          <w:bottom w:val="single" w:sz="12" w:space="1" w:color="auto"/>
        </w:pBdr>
        <w:spacing w:after="120"/>
      </w:pPr>
      <w:r w:rsidRPr="00A84F8C">
        <w:t>China thus developed publicly owned commercial health care. Key consequences included a focus by hospitals on generating income through high mark-ups on privately procured drugs, resulting in inappropriate and unnecessary prescribing</w:t>
      </w:r>
      <w:r w:rsidR="0007630F" w:rsidRPr="00A84F8C">
        <w:fldChar w:fldCharType="begin"/>
      </w:r>
      <w:r w:rsidR="00FB10D4">
        <w:instrText xml:space="preserve"> ADDIN EN.CITE &lt;EndNote&gt;&lt;Cite&gt;&lt;Author&gt;Dai&lt;/Author&gt;&lt;Year&gt;1993&lt;/Year&gt;&lt;RecNum&gt;15&lt;/RecNum&gt;&lt;DisplayText&gt;&lt;style face="superscript"&gt;54,55&lt;/style&gt;&lt;/DisplayText&gt;&lt;record&gt;&lt;rec-number&gt;15&lt;/rec-number&gt;&lt;foreign-keys&gt;&lt;key app="EN" db-id="2sp5tdttfertdledza9xaavpe5wrwzestvef"&gt;15&lt;/key&gt;&lt;/foreign-keys&gt;&lt;ref-type name="Journal Article"&gt;17&lt;/ref-type&gt;&lt;contributors&gt;&lt;authors&gt;&lt;author&gt;Dai, D.&lt;/author&gt;&lt;/authors&gt;&lt;/contributors&gt;&lt;titles&gt;&lt;title&gt;A Review of the Healthcare Reform&lt;/title&gt;&lt;secondary-title&gt;Chinese Health Economics&lt;/secondary-title&gt;&lt;/titles&gt;&lt;periodical&gt;&lt;full-title&gt;Chinese Health Economics&lt;/full-title&gt;&lt;/periodical&gt;&lt;pages&gt;26-8&lt;/pages&gt;&lt;volume&gt;2&lt;/volume&gt;&lt;dates&gt;&lt;year&gt;1993&lt;/year&gt;&lt;/dates&gt;&lt;urls&gt;&lt;/urls&gt;&lt;/record&gt;&lt;/Cite&gt;&lt;Cite&gt;&lt;Author&gt;Xinhua News Agency&lt;/Author&gt;&lt;Year&gt;1996&lt;/Year&gt;&lt;RecNum&gt;16&lt;/RecNum&gt;&lt;record&gt;&lt;rec-number&gt;16&lt;/rec-number&gt;&lt;foreign-keys&gt;&lt;key app="EN" db-id="2sp5tdttfertdledza9xaavpe5wrwzestvef"&gt;16&lt;/key&gt;&lt;/foreign-keys&gt;&lt;ref-type name="Newspaper Article"&gt;23&lt;/ref-type&gt;&lt;contributors&gt;&lt;authors&gt;&lt;author&gt;Xinhua News Agency,&lt;/author&gt;&lt;/authors&gt;&lt;/contributors&gt;&lt;titles&gt;&lt;title&gt;The Waste of Health Resources is Serious&lt;/title&gt;&lt;secondary-title&gt;People&amp;apos;s Daily&lt;/secondary-title&gt;&lt;/titles&gt;&lt;dates&gt;&lt;year&gt;1996&lt;/year&gt;&lt;pub-dates&gt;&lt;date&gt;7 March&lt;/date&gt;&lt;/pub-dates&gt;&lt;/dates&gt;&lt;pub-location&gt;Beijing&lt;/pub-location&gt;&lt;urls&gt;&lt;/urls&gt;&lt;/record&gt;&lt;/Cite&gt;&lt;/EndNote&gt;</w:instrText>
      </w:r>
      <w:r w:rsidR="0007630F" w:rsidRPr="00A84F8C">
        <w:fldChar w:fldCharType="separate"/>
      </w:r>
      <w:hyperlink w:anchor="_ENREF_54" w:tooltip="Dai, 1993 #15" w:history="1">
        <w:r w:rsidR="00FB10D4" w:rsidRPr="00FB10D4">
          <w:rPr>
            <w:noProof/>
            <w:vertAlign w:val="superscript"/>
          </w:rPr>
          <w:t>54</w:t>
        </w:r>
      </w:hyperlink>
      <w:r w:rsidR="00FB10D4" w:rsidRPr="00FB10D4">
        <w:rPr>
          <w:noProof/>
          <w:vertAlign w:val="superscript"/>
        </w:rPr>
        <w:t>,</w:t>
      </w:r>
      <w:hyperlink w:anchor="_ENREF_55" w:tooltip="Xinhua News Agency, 1996 #16" w:history="1">
        <w:r w:rsidR="00FB10D4" w:rsidRPr="00FB10D4">
          <w:rPr>
            <w:noProof/>
            <w:vertAlign w:val="superscript"/>
          </w:rPr>
          <w:t>55</w:t>
        </w:r>
      </w:hyperlink>
      <w:r w:rsidR="0007630F" w:rsidRPr="00A84F8C">
        <w:fldChar w:fldCharType="end"/>
      </w:r>
      <w:r w:rsidRPr="00A84F8C">
        <w:t>, and frequent use of high technology-based medical procedure</w:t>
      </w:r>
      <w:r w:rsidR="005E01C6">
        <w:t>s and advanced medical surgery</w:t>
      </w:r>
      <w:r w:rsidRPr="00A84F8C">
        <w:t xml:space="preserve">. The fee-for-service payment method drove up </w:t>
      </w:r>
      <w:r w:rsidR="00170470" w:rsidRPr="00A84F8C">
        <w:t xml:space="preserve">OOP </w:t>
      </w:r>
      <w:r w:rsidRPr="00A84F8C">
        <w:t>spending and incentivised over-prescription and over-charging, while detailed itemisation of services i</w:t>
      </w:r>
      <w:r w:rsidR="005E01C6">
        <w:t xml:space="preserve">ncreased revenues and encouraged high cost high volume </w:t>
      </w:r>
      <w:r w:rsidRPr="00A84F8C">
        <w:t>service competition. A large proportion of these revenues were given to the doctors</w:t>
      </w:r>
      <w:hyperlink w:anchor="_ENREF_56" w:tooltip="Zhao, 2008 #17" w:history="1">
        <w:r w:rsidR="00FB10D4" w:rsidRPr="00A84F8C">
          <w:fldChar w:fldCharType="begin"/>
        </w:r>
        <w:r w:rsidR="00FB10D4">
          <w:instrText xml:space="preserve"> ADDIN EN.CITE &lt;EndNote&gt;&lt;Cite&gt;&lt;Author&gt;Zhao&lt;/Author&gt;&lt;Year&gt;2008&lt;/Year&gt;&lt;RecNum&gt;17&lt;/RecNum&gt;&lt;DisplayText&gt;&lt;style face="superscript"&gt;56&lt;/style&gt;&lt;/DisplayText&gt;&lt;record&gt;&lt;rec-number&gt;17&lt;/rec-number&gt;&lt;foreign-keys&gt;&lt;key app="EN" db-id="2sp5tdttfertdledza9xaavpe5wrwzestvef"&gt;17&lt;/key&gt;&lt;/foreign-keys&gt;&lt;ref-type name="Book"&gt;6&lt;/ref-type&gt;&lt;contributors&gt;&lt;authors&gt;&lt;author&gt;Zhao, H&lt;/author&gt;&lt;/authors&gt;&lt;/contributors&gt;&lt;titles&gt;&lt;title&gt;Governing healthcare market in China: regulatory challenges and options for transitional China&lt;/title&gt;&lt;/titles&gt;&lt;dates&gt;&lt;year&gt;2008&lt;/year&gt;&lt;/dates&gt;&lt;publisher&gt;Saarbrücken VDM Verlag&lt;/publisher&gt;&lt;urls&gt;&lt;/urls&gt;&lt;/record&gt;&lt;/Cite&gt;&lt;/EndNote&gt;</w:instrText>
        </w:r>
        <w:r w:rsidR="00FB10D4" w:rsidRPr="00A84F8C">
          <w:fldChar w:fldCharType="separate"/>
        </w:r>
        <w:r w:rsidR="00FB10D4" w:rsidRPr="00FB10D4">
          <w:rPr>
            <w:noProof/>
            <w:vertAlign w:val="superscript"/>
          </w:rPr>
          <w:t>56</w:t>
        </w:r>
        <w:r w:rsidR="00FB10D4" w:rsidRPr="00A84F8C">
          <w:fldChar w:fldCharType="end"/>
        </w:r>
      </w:hyperlink>
      <w:r w:rsidRPr="00A84F8C">
        <w:t>. Rates of exclusion from care rose</w:t>
      </w:r>
      <w:r w:rsidR="005E01C6">
        <w:t>, especially in rural areas. H</w:t>
      </w:r>
      <w:r w:rsidRPr="00A84F8C">
        <w:t>ospitalization became too expensive for many farmers</w:t>
      </w:r>
      <w:r w:rsidR="005E01C6">
        <w:t xml:space="preserve">; </w:t>
      </w:r>
      <w:r w:rsidRPr="00A84F8C">
        <w:t xml:space="preserve"> 64% </w:t>
      </w:r>
      <w:r w:rsidR="005E01C6">
        <w:t xml:space="preserve">of those who should have been </w:t>
      </w:r>
      <w:r w:rsidRPr="00A84F8C">
        <w:t xml:space="preserve">hospitalized </w:t>
      </w:r>
      <w:r w:rsidR="009C5E72">
        <w:t>could not</w:t>
      </w:r>
      <w:r w:rsidRPr="00A84F8C">
        <w:t xml:space="preserve"> </w:t>
      </w:r>
      <w:r w:rsidR="005E01C6">
        <w:t xml:space="preserve">be </w:t>
      </w:r>
      <w:r w:rsidRPr="00A84F8C">
        <w:t>admit</w:t>
      </w:r>
      <w:r w:rsidR="005E01C6">
        <w:t xml:space="preserve">ted in 1998, increasing </w:t>
      </w:r>
      <w:r w:rsidRPr="00A84F8C">
        <w:t>to 75% in 2003</w:t>
      </w:r>
      <w:r w:rsidR="005E01C6">
        <w:t xml:space="preserve">; for the same time period, </w:t>
      </w:r>
      <w:r w:rsidRPr="00A84F8C">
        <w:t xml:space="preserve">health impoverishment, defined as poverty caused by </w:t>
      </w:r>
      <w:r w:rsidR="005E01C6">
        <w:t>OOP</w:t>
      </w:r>
      <w:r w:rsidRPr="00A84F8C">
        <w:t xml:space="preserve"> payment, increased from 22% in 1998 to 33% in 2003</w:t>
      </w:r>
      <w:r w:rsidR="00742571">
        <w:t xml:space="preserve"> </w:t>
      </w:r>
      <w:hyperlink w:anchor="_ENREF_57" w:tooltip="China Ministry of Health, 2003 #18" w:history="1">
        <w:r w:rsidR="00FB10D4" w:rsidRPr="00A84F8C">
          <w:fldChar w:fldCharType="begin"/>
        </w:r>
        <w:r w:rsidR="00FB10D4">
          <w:instrText xml:space="preserve"> ADDIN EN.CITE &lt;EndNote&gt;&lt;Cite&gt;&lt;Author&gt;China Ministry of Health&lt;/Author&gt;&lt;Year&gt;2003&lt;/Year&gt;&lt;RecNum&gt;18&lt;/RecNum&gt;&lt;DisplayText&gt;&lt;style face="superscript"&gt;57&lt;/style&gt;&lt;/DisplayText&gt;&lt;record&gt;&lt;rec-number&gt;18&lt;/rec-number&gt;&lt;foreign-keys&gt;&lt;key app="EN" db-id="2sp5tdttfertdledza9xaavpe5wrwzestvef"&gt;18&lt;/key&gt;&lt;/foreign-keys&gt;&lt;ref-type name="Report"&gt;27&lt;/ref-type&gt;&lt;contributors&gt;&lt;authors&gt;&lt;author&gt;China Ministry of Health,&lt;/author&gt;&lt;/authors&gt;&lt;/contributors&gt;&lt;titles&gt;&lt;title&gt;The 3rd National Health Services Survey &lt;/title&gt;&lt;/titles&gt;&lt;dates&gt;&lt;year&gt;2003&lt;/year&gt;&lt;/dates&gt;&lt;pub-location&gt;Beijing&lt;/pub-location&gt;&lt;urls&gt;&lt;/urls&gt;&lt;/record&gt;&lt;/Cite&gt;&lt;/EndNote&gt;</w:instrText>
        </w:r>
        <w:r w:rsidR="00FB10D4" w:rsidRPr="00A84F8C">
          <w:fldChar w:fldCharType="separate"/>
        </w:r>
        <w:r w:rsidR="00FB10D4" w:rsidRPr="00FB10D4">
          <w:rPr>
            <w:noProof/>
            <w:vertAlign w:val="superscript"/>
          </w:rPr>
          <w:t>57</w:t>
        </w:r>
        <w:r w:rsidR="00FB10D4" w:rsidRPr="00A84F8C">
          <w:fldChar w:fldCharType="end"/>
        </w:r>
      </w:hyperlink>
      <w:r w:rsidRPr="00A84F8C">
        <w:t>.</w:t>
      </w:r>
    </w:p>
    <w:p w14:paraId="3C60B718" w14:textId="77777777" w:rsidR="005E01C6" w:rsidRDefault="005E01C6" w:rsidP="005E01C6">
      <w:pPr>
        <w:spacing w:after="120"/>
        <w:rPr>
          <w:b/>
          <w:i/>
          <w:sz w:val="24"/>
          <w:szCs w:val="24"/>
        </w:rPr>
      </w:pPr>
      <w:r>
        <w:rPr>
          <w:b/>
          <w:i/>
          <w:sz w:val="24"/>
          <w:szCs w:val="24"/>
        </w:rPr>
        <w:t xml:space="preserve">Panel </w:t>
      </w:r>
      <w:r w:rsidR="008E2DDE">
        <w:rPr>
          <w:b/>
          <w:i/>
          <w:sz w:val="24"/>
          <w:szCs w:val="24"/>
        </w:rPr>
        <w:t>2: R</w:t>
      </w:r>
      <w:r>
        <w:rPr>
          <w:b/>
          <w:i/>
          <w:sz w:val="24"/>
          <w:szCs w:val="24"/>
        </w:rPr>
        <w:t>eversing ‘public identity/private behaviour’ health care :  China’s 3</w:t>
      </w:r>
      <w:r w:rsidRPr="00A81D76">
        <w:rPr>
          <w:b/>
          <w:i/>
          <w:sz w:val="24"/>
          <w:szCs w:val="24"/>
          <w:vertAlign w:val="superscript"/>
        </w:rPr>
        <w:t>rd</w:t>
      </w:r>
      <w:r>
        <w:rPr>
          <w:b/>
          <w:i/>
          <w:sz w:val="24"/>
          <w:szCs w:val="24"/>
        </w:rPr>
        <w:t xml:space="preserve"> reform </w:t>
      </w:r>
    </w:p>
    <w:p w14:paraId="655CE46A" w14:textId="77777777" w:rsidR="005E01C6" w:rsidRDefault="005E01C6" w:rsidP="00FF24CC">
      <w:pPr>
        <w:spacing w:after="120"/>
        <w:rPr>
          <w:rFonts w:eastAsia="SimSun" w:cstheme="minorHAnsi"/>
          <w:lang w:val="en-US" w:eastAsia="zh-CN"/>
        </w:rPr>
      </w:pPr>
      <w:r w:rsidRPr="00A84F8C">
        <w:t xml:space="preserve">China’s third wave of health reform, initiated in 2009, </w:t>
      </w:r>
      <w:r>
        <w:t xml:space="preserve">aimed </w:t>
      </w:r>
      <w:r w:rsidR="009C5E72">
        <w:t xml:space="preserve">to reverse the </w:t>
      </w:r>
      <w:r w:rsidRPr="00A84F8C">
        <w:t xml:space="preserve">laissez-faire healthcare market through government investment of about </w:t>
      </w:r>
      <w:r>
        <w:t xml:space="preserve">USD </w:t>
      </w:r>
      <w:r w:rsidRPr="00A84F8C">
        <w:t xml:space="preserve">124 billion during 2009-2011. Since 2012, China has introduced a range of regulatory instruments: forming </w:t>
      </w:r>
      <w:r w:rsidRPr="00A84F8C">
        <w:rPr>
          <w:rFonts w:eastAsia="SimSun" w:cstheme="minorHAnsi"/>
          <w:lang w:eastAsia="zh-CN"/>
        </w:rPr>
        <w:t>a wider financial pool to leverage influence over provider behaviour; expanding the clinical pathways (clinical diagnostic and treatment protocols/guidelines) programme to more hospitals: piloting service payment methods such as capitation, by case, by episode, by block contract, and by rudimentary types of DRG.</w:t>
      </w:r>
    </w:p>
    <w:p w14:paraId="37B3A866" w14:textId="77777777" w:rsidR="00FF24CC" w:rsidRPr="00A84F8C" w:rsidRDefault="00FF24CC" w:rsidP="00FF24CC">
      <w:pPr>
        <w:spacing w:after="120"/>
        <w:rPr>
          <w:rFonts w:eastAsia="SimSun" w:cstheme="minorHAnsi"/>
          <w:lang w:eastAsia="zh-CN"/>
        </w:rPr>
      </w:pPr>
      <w:r w:rsidRPr="00A84F8C">
        <w:rPr>
          <w:rFonts w:eastAsia="SimSun" w:cstheme="minorHAnsi"/>
          <w:lang w:eastAsia="zh-CN"/>
        </w:rPr>
        <w:t>To remedy the “public identity, private behavio</w:t>
      </w:r>
      <w:r>
        <w:rPr>
          <w:rFonts w:eastAsia="SimSun" w:cstheme="minorHAnsi"/>
          <w:lang w:eastAsia="zh-CN"/>
        </w:rPr>
        <w:t>u</w:t>
      </w:r>
      <w:r w:rsidRPr="00A84F8C">
        <w:rPr>
          <w:rFonts w:eastAsia="SimSun" w:cstheme="minorHAnsi"/>
          <w:lang w:eastAsia="zh-CN"/>
        </w:rPr>
        <w:t xml:space="preserve">r” hospital sector, the regulatory measures taken by China include the conversion of 20% of total hospital beds into “true” private hospital beds, </w:t>
      </w:r>
      <w:r w:rsidR="00350830">
        <w:rPr>
          <w:rFonts w:eastAsia="SimSun" w:cstheme="minorHAnsi"/>
          <w:lang w:eastAsia="zh-CN"/>
        </w:rPr>
        <w:t xml:space="preserve">and </w:t>
      </w:r>
      <w:r w:rsidRPr="00A84F8C">
        <w:rPr>
          <w:rFonts w:eastAsia="SimSun" w:cstheme="minorHAnsi"/>
          <w:lang w:eastAsia="zh-CN"/>
        </w:rPr>
        <w:t xml:space="preserve">expanding private investment with standard corporate governance practices.  A zero drug </w:t>
      </w:r>
      <w:r w:rsidR="0029410F">
        <w:rPr>
          <w:rFonts w:eastAsia="SimSun" w:cstheme="minorHAnsi"/>
          <w:lang w:eastAsia="zh-CN"/>
        </w:rPr>
        <w:t xml:space="preserve">price </w:t>
      </w:r>
      <w:r w:rsidRPr="00A84F8C">
        <w:rPr>
          <w:rFonts w:eastAsia="SimSun" w:cstheme="minorHAnsi"/>
          <w:lang w:eastAsia="zh-CN"/>
        </w:rPr>
        <w:t xml:space="preserve">mark-up is to be strictly </w:t>
      </w:r>
      <w:r w:rsidR="0029410F">
        <w:rPr>
          <w:rFonts w:eastAsia="SimSun" w:cstheme="minorHAnsi"/>
          <w:lang w:eastAsia="zh-CN"/>
        </w:rPr>
        <w:t>implemented, replacing the mark-</w:t>
      </w:r>
      <w:r w:rsidRPr="00A84F8C">
        <w:rPr>
          <w:rFonts w:eastAsia="SimSun" w:cstheme="minorHAnsi"/>
          <w:lang w:eastAsia="zh-CN"/>
        </w:rPr>
        <w:t>up with physician prescription charges to delink the (corrupt) connection between drug sellers and care providers. Public hospital governance structures are to change to specify hospital accountability to the health department and also the general public</w:t>
      </w:r>
      <w:r w:rsidR="0029410F">
        <w:rPr>
          <w:rFonts w:eastAsia="SimSun" w:cstheme="minorHAnsi"/>
          <w:lang w:eastAsia="zh-CN"/>
        </w:rPr>
        <w:t>.</w:t>
      </w:r>
      <w:r w:rsidRPr="00A84F8C">
        <w:rPr>
          <w:rFonts w:eastAsia="SimSun" w:cstheme="minorHAnsi"/>
          <w:lang w:eastAsia="zh-CN"/>
        </w:rPr>
        <w:t xml:space="preserve"> A hospital administration agency will oversee public hospital performance and regulate the non-state hospitals. Finally, government investment in the rural health insurance scheme will total around 360 R</w:t>
      </w:r>
      <w:r w:rsidR="0029410F">
        <w:rPr>
          <w:rFonts w:eastAsia="SimSun" w:cstheme="minorHAnsi"/>
          <w:lang w:eastAsia="zh-CN"/>
        </w:rPr>
        <w:t>mb</w:t>
      </w:r>
      <w:r w:rsidRPr="00A84F8C">
        <w:rPr>
          <w:rFonts w:eastAsia="SimSun" w:cstheme="minorHAnsi"/>
          <w:lang w:eastAsia="zh-CN"/>
        </w:rPr>
        <w:t xml:space="preserve"> per farmer, aiming to integrate all public schemes into a single pre-paid pool which can influence provider behavio</w:t>
      </w:r>
      <w:r>
        <w:rPr>
          <w:rFonts w:eastAsia="SimSun" w:cstheme="minorHAnsi"/>
          <w:lang w:eastAsia="zh-CN"/>
        </w:rPr>
        <w:t>u</w:t>
      </w:r>
      <w:r w:rsidRPr="00A84F8C">
        <w:rPr>
          <w:rFonts w:eastAsia="SimSun" w:cstheme="minorHAnsi"/>
          <w:lang w:eastAsia="zh-CN"/>
        </w:rPr>
        <w:t xml:space="preserve">r. </w:t>
      </w:r>
    </w:p>
    <w:p w14:paraId="02502E7F" w14:textId="77777777" w:rsidR="005E01C6" w:rsidRPr="007B4FFC" w:rsidRDefault="00D130D9" w:rsidP="007B4FFC">
      <w:pPr>
        <w:rPr>
          <w:rFonts w:eastAsia="Times New Roman" w:cs="Arial"/>
          <w:b/>
          <w:szCs w:val="20"/>
        </w:rPr>
      </w:pPr>
      <w:r w:rsidRPr="007B4FFC">
        <w:rPr>
          <w:rFonts w:eastAsia="Times New Roman" w:cs="Arial"/>
          <w:b/>
          <w:szCs w:val="20"/>
        </w:rPr>
        <w:t>Table 6</w:t>
      </w:r>
      <w:r w:rsidR="005E01C6" w:rsidRPr="007B4FFC">
        <w:rPr>
          <w:rFonts w:eastAsia="Times New Roman" w:cs="Arial"/>
          <w:b/>
          <w:szCs w:val="20"/>
        </w:rPr>
        <w:t xml:space="preserve"> China: Health Insurance Coverage (1978 - 2011)</w:t>
      </w:r>
    </w:p>
    <w:tbl>
      <w:tblPr>
        <w:tblStyle w:val="TableElegant"/>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55"/>
        <w:gridCol w:w="1133"/>
        <w:gridCol w:w="1133"/>
        <w:gridCol w:w="1133"/>
        <w:gridCol w:w="1133"/>
        <w:gridCol w:w="1133"/>
        <w:gridCol w:w="1134"/>
        <w:gridCol w:w="1072"/>
      </w:tblGrid>
      <w:tr w:rsidR="00682E2D" w14:paraId="7317B186" w14:textId="77777777" w:rsidTr="00682E2D">
        <w:trPr>
          <w:cnfStyle w:val="100000000000" w:firstRow="1" w:lastRow="0" w:firstColumn="0" w:lastColumn="0" w:oddVBand="0" w:evenVBand="0" w:oddHBand="0" w:evenHBand="0" w:firstRowFirstColumn="0" w:firstRowLastColumn="0" w:lastRowFirstColumn="0" w:lastRowLastColumn="0"/>
        </w:trPr>
        <w:tc>
          <w:tcPr>
            <w:tcW w:w="1178" w:type="dxa"/>
            <w:tcBorders>
              <w:top w:val="single" w:sz="4" w:space="0" w:color="auto"/>
              <w:left w:val="nil"/>
              <w:bottom w:val="single" w:sz="4" w:space="0" w:color="auto"/>
              <w:right w:val="nil"/>
            </w:tcBorders>
            <w:hideMark/>
          </w:tcPr>
          <w:p w14:paraId="59145EA8" w14:textId="77777777" w:rsidR="00682E2D" w:rsidRDefault="00682E2D">
            <w:pPr>
              <w:rPr>
                <w:rFonts w:asciiTheme="minorHAnsi" w:hAnsiTheme="minorHAnsi" w:cs="Arial"/>
                <w:b/>
                <w:sz w:val="22"/>
                <w:szCs w:val="22"/>
              </w:rPr>
            </w:pPr>
            <w:r>
              <w:rPr>
                <w:rFonts w:asciiTheme="minorHAnsi" w:hAnsiTheme="minorHAnsi" w:cs="Arial"/>
                <w:b/>
              </w:rPr>
              <w:t>year</w:t>
            </w:r>
          </w:p>
        </w:tc>
        <w:tc>
          <w:tcPr>
            <w:tcW w:w="1161" w:type="dxa"/>
            <w:tcBorders>
              <w:top w:val="single" w:sz="4" w:space="0" w:color="auto"/>
              <w:left w:val="nil"/>
              <w:bottom w:val="single" w:sz="4" w:space="0" w:color="auto"/>
              <w:right w:val="nil"/>
            </w:tcBorders>
            <w:vAlign w:val="center"/>
            <w:hideMark/>
          </w:tcPr>
          <w:p w14:paraId="7D80266D" w14:textId="77777777" w:rsidR="00682E2D" w:rsidRDefault="00682E2D" w:rsidP="00682E2D">
            <w:pPr>
              <w:jc w:val="center"/>
              <w:rPr>
                <w:rFonts w:asciiTheme="minorHAnsi" w:hAnsiTheme="minorHAnsi" w:cs="Arial"/>
                <w:b/>
                <w:sz w:val="22"/>
                <w:szCs w:val="22"/>
              </w:rPr>
            </w:pPr>
            <w:r>
              <w:rPr>
                <w:rFonts w:asciiTheme="minorHAnsi" w:hAnsiTheme="minorHAnsi" w:cs="Arial"/>
                <w:b/>
              </w:rPr>
              <w:t>1978</w:t>
            </w:r>
          </w:p>
        </w:tc>
        <w:tc>
          <w:tcPr>
            <w:tcW w:w="1161" w:type="dxa"/>
            <w:tcBorders>
              <w:top w:val="single" w:sz="4" w:space="0" w:color="auto"/>
              <w:left w:val="nil"/>
              <w:bottom w:val="single" w:sz="4" w:space="0" w:color="auto"/>
              <w:right w:val="nil"/>
            </w:tcBorders>
            <w:vAlign w:val="center"/>
            <w:hideMark/>
          </w:tcPr>
          <w:p w14:paraId="384F1ACF" w14:textId="77777777" w:rsidR="00682E2D" w:rsidRDefault="00682E2D" w:rsidP="00682E2D">
            <w:pPr>
              <w:jc w:val="center"/>
              <w:rPr>
                <w:rFonts w:asciiTheme="minorHAnsi" w:hAnsiTheme="minorHAnsi" w:cs="Arial"/>
                <w:b/>
                <w:sz w:val="22"/>
                <w:szCs w:val="22"/>
              </w:rPr>
            </w:pPr>
            <w:r>
              <w:rPr>
                <w:rFonts w:asciiTheme="minorHAnsi" w:hAnsiTheme="minorHAnsi" w:cs="Arial"/>
                <w:b/>
              </w:rPr>
              <w:t>1985</w:t>
            </w:r>
          </w:p>
        </w:tc>
        <w:tc>
          <w:tcPr>
            <w:tcW w:w="1161" w:type="dxa"/>
            <w:tcBorders>
              <w:top w:val="single" w:sz="4" w:space="0" w:color="auto"/>
              <w:left w:val="nil"/>
              <w:bottom w:val="single" w:sz="4" w:space="0" w:color="auto"/>
              <w:right w:val="nil"/>
            </w:tcBorders>
            <w:vAlign w:val="center"/>
            <w:hideMark/>
          </w:tcPr>
          <w:p w14:paraId="4DC450BD" w14:textId="77777777" w:rsidR="00682E2D" w:rsidRDefault="00682E2D" w:rsidP="00682E2D">
            <w:pPr>
              <w:jc w:val="center"/>
              <w:rPr>
                <w:rFonts w:asciiTheme="minorHAnsi" w:hAnsiTheme="minorHAnsi" w:cs="Arial"/>
                <w:b/>
                <w:sz w:val="22"/>
                <w:szCs w:val="22"/>
              </w:rPr>
            </w:pPr>
            <w:r>
              <w:rPr>
                <w:rFonts w:asciiTheme="minorHAnsi" w:hAnsiTheme="minorHAnsi" w:cs="Arial"/>
                <w:b/>
              </w:rPr>
              <w:t>1993</w:t>
            </w:r>
          </w:p>
        </w:tc>
        <w:tc>
          <w:tcPr>
            <w:tcW w:w="1161" w:type="dxa"/>
            <w:tcBorders>
              <w:top w:val="single" w:sz="4" w:space="0" w:color="auto"/>
              <w:left w:val="nil"/>
              <w:bottom w:val="single" w:sz="4" w:space="0" w:color="auto"/>
              <w:right w:val="nil"/>
            </w:tcBorders>
            <w:vAlign w:val="center"/>
            <w:hideMark/>
          </w:tcPr>
          <w:p w14:paraId="7F5A3ED2" w14:textId="77777777" w:rsidR="00682E2D" w:rsidRDefault="00682E2D" w:rsidP="00682E2D">
            <w:pPr>
              <w:jc w:val="center"/>
              <w:rPr>
                <w:rFonts w:asciiTheme="minorHAnsi" w:hAnsiTheme="minorHAnsi" w:cs="Arial"/>
                <w:b/>
                <w:sz w:val="22"/>
                <w:szCs w:val="22"/>
              </w:rPr>
            </w:pPr>
            <w:r>
              <w:rPr>
                <w:rFonts w:asciiTheme="minorHAnsi" w:hAnsiTheme="minorHAnsi" w:cs="Arial"/>
                <w:b/>
              </w:rPr>
              <w:t>1998</w:t>
            </w:r>
          </w:p>
        </w:tc>
        <w:tc>
          <w:tcPr>
            <w:tcW w:w="1161" w:type="dxa"/>
            <w:tcBorders>
              <w:top w:val="single" w:sz="4" w:space="0" w:color="auto"/>
              <w:left w:val="nil"/>
              <w:bottom w:val="single" w:sz="4" w:space="0" w:color="auto"/>
              <w:right w:val="nil"/>
            </w:tcBorders>
            <w:vAlign w:val="center"/>
            <w:hideMark/>
          </w:tcPr>
          <w:p w14:paraId="4428E82A" w14:textId="77777777" w:rsidR="00682E2D" w:rsidRDefault="00682E2D" w:rsidP="00682E2D">
            <w:pPr>
              <w:jc w:val="center"/>
              <w:rPr>
                <w:rFonts w:asciiTheme="minorHAnsi" w:hAnsiTheme="minorHAnsi" w:cs="Arial"/>
                <w:b/>
                <w:sz w:val="22"/>
                <w:szCs w:val="22"/>
              </w:rPr>
            </w:pPr>
            <w:r>
              <w:rPr>
                <w:rFonts w:asciiTheme="minorHAnsi" w:hAnsiTheme="minorHAnsi" w:cs="Arial"/>
                <w:b/>
              </w:rPr>
              <w:t>2003</w:t>
            </w:r>
          </w:p>
        </w:tc>
        <w:tc>
          <w:tcPr>
            <w:tcW w:w="1162" w:type="dxa"/>
            <w:tcBorders>
              <w:top w:val="single" w:sz="4" w:space="0" w:color="auto"/>
              <w:left w:val="nil"/>
              <w:bottom w:val="single" w:sz="4" w:space="0" w:color="auto"/>
              <w:right w:val="nil"/>
            </w:tcBorders>
            <w:vAlign w:val="center"/>
            <w:hideMark/>
          </w:tcPr>
          <w:p w14:paraId="705F600F" w14:textId="77777777" w:rsidR="00682E2D" w:rsidRDefault="00682E2D" w:rsidP="00682E2D">
            <w:pPr>
              <w:jc w:val="center"/>
              <w:rPr>
                <w:rFonts w:asciiTheme="minorHAnsi" w:hAnsiTheme="minorHAnsi" w:cs="Arial"/>
                <w:b/>
                <w:sz w:val="22"/>
                <w:szCs w:val="22"/>
              </w:rPr>
            </w:pPr>
            <w:r>
              <w:rPr>
                <w:rFonts w:asciiTheme="minorHAnsi" w:hAnsiTheme="minorHAnsi" w:cs="Arial"/>
                <w:b/>
              </w:rPr>
              <w:t>2008</w:t>
            </w:r>
          </w:p>
        </w:tc>
        <w:tc>
          <w:tcPr>
            <w:tcW w:w="1097" w:type="dxa"/>
            <w:tcBorders>
              <w:top w:val="single" w:sz="4" w:space="0" w:color="auto"/>
              <w:left w:val="nil"/>
              <w:bottom w:val="single" w:sz="4" w:space="0" w:color="auto"/>
              <w:right w:val="nil"/>
            </w:tcBorders>
            <w:vAlign w:val="center"/>
          </w:tcPr>
          <w:p w14:paraId="15F50042" w14:textId="77777777" w:rsidR="00682E2D" w:rsidRPr="00682E2D" w:rsidRDefault="00682E2D" w:rsidP="00682E2D">
            <w:pPr>
              <w:jc w:val="center"/>
              <w:rPr>
                <w:rFonts w:asciiTheme="minorHAnsi" w:hAnsiTheme="minorHAnsi" w:cs="Arial"/>
                <w:b/>
              </w:rPr>
            </w:pPr>
            <w:r w:rsidRPr="00682E2D">
              <w:rPr>
                <w:rFonts w:asciiTheme="minorHAnsi" w:hAnsiTheme="minorHAnsi" w:cs="Arial"/>
                <w:b/>
              </w:rPr>
              <w:t>2011</w:t>
            </w:r>
          </w:p>
        </w:tc>
      </w:tr>
      <w:tr w:rsidR="00682E2D" w14:paraId="26490043" w14:textId="77777777" w:rsidTr="00682E2D">
        <w:tc>
          <w:tcPr>
            <w:tcW w:w="1178" w:type="dxa"/>
            <w:tcBorders>
              <w:top w:val="single" w:sz="4" w:space="0" w:color="auto"/>
              <w:left w:val="nil"/>
              <w:bottom w:val="nil"/>
              <w:right w:val="nil"/>
            </w:tcBorders>
            <w:hideMark/>
          </w:tcPr>
          <w:p w14:paraId="6F0261CE" w14:textId="77777777" w:rsidR="00682E2D" w:rsidRDefault="00682E2D">
            <w:pPr>
              <w:rPr>
                <w:rFonts w:asciiTheme="minorHAnsi" w:hAnsiTheme="minorHAnsi" w:cs="Arial"/>
                <w:sz w:val="22"/>
                <w:szCs w:val="22"/>
              </w:rPr>
            </w:pPr>
            <w:r>
              <w:rPr>
                <w:rFonts w:asciiTheme="minorHAnsi" w:hAnsiTheme="minorHAnsi" w:cs="Arial"/>
              </w:rPr>
              <w:t>Urban</w:t>
            </w:r>
          </w:p>
        </w:tc>
        <w:tc>
          <w:tcPr>
            <w:tcW w:w="1161" w:type="dxa"/>
            <w:tcBorders>
              <w:top w:val="single" w:sz="4" w:space="0" w:color="auto"/>
              <w:left w:val="nil"/>
              <w:bottom w:val="nil"/>
              <w:right w:val="nil"/>
            </w:tcBorders>
            <w:vAlign w:val="center"/>
            <w:hideMark/>
          </w:tcPr>
          <w:p w14:paraId="496F0D0D" w14:textId="77777777" w:rsidR="00682E2D" w:rsidRDefault="00682E2D" w:rsidP="00682E2D">
            <w:pPr>
              <w:jc w:val="center"/>
              <w:rPr>
                <w:rFonts w:asciiTheme="minorHAnsi" w:hAnsiTheme="minorHAnsi" w:cs="Arial"/>
                <w:sz w:val="22"/>
                <w:szCs w:val="22"/>
              </w:rPr>
            </w:pPr>
            <w:r>
              <w:rPr>
                <w:rFonts w:asciiTheme="minorHAnsi" w:hAnsiTheme="minorHAnsi" w:cs="Arial"/>
              </w:rPr>
              <w:t>90+</w:t>
            </w:r>
          </w:p>
        </w:tc>
        <w:tc>
          <w:tcPr>
            <w:tcW w:w="1161" w:type="dxa"/>
            <w:tcBorders>
              <w:top w:val="single" w:sz="4" w:space="0" w:color="auto"/>
              <w:left w:val="nil"/>
              <w:bottom w:val="nil"/>
              <w:right w:val="nil"/>
            </w:tcBorders>
            <w:vAlign w:val="center"/>
            <w:hideMark/>
          </w:tcPr>
          <w:p w14:paraId="4454973F" w14:textId="77777777" w:rsidR="00682E2D" w:rsidRDefault="00A46CEA" w:rsidP="00682E2D">
            <w:pPr>
              <w:jc w:val="center"/>
              <w:rPr>
                <w:rFonts w:asciiTheme="minorHAnsi" w:hAnsiTheme="minorHAnsi" w:cs="Arial"/>
                <w:sz w:val="22"/>
                <w:szCs w:val="22"/>
              </w:rPr>
            </w:pPr>
            <w:r>
              <w:rPr>
                <w:rFonts w:asciiTheme="minorHAnsi" w:hAnsiTheme="minorHAnsi" w:cs="Arial"/>
              </w:rPr>
              <w:t>N</w:t>
            </w:r>
            <w:r w:rsidR="00682E2D">
              <w:rPr>
                <w:rFonts w:asciiTheme="minorHAnsi" w:hAnsiTheme="minorHAnsi" w:cs="Arial"/>
              </w:rPr>
              <w:t>a</w:t>
            </w:r>
          </w:p>
        </w:tc>
        <w:tc>
          <w:tcPr>
            <w:tcW w:w="1161" w:type="dxa"/>
            <w:tcBorders>
              <w:top w:val="single" w:sz="4" w:space="0" w:color="auto"/>
              <w:left w:val="nil"/>
              <w:bottom w:val="nil"/>
              <w:right w:val="nil"/>
            </w:tcBorders>
            <w:vAlign w:val="center"/>
            <w:hideMark/>
          </w:tcPr>
          <w:p w14:paraId="7C3B1876" w14:textId="77777777" w:rsidR="00682E2D" w:rsidRDefault="00682E2D" w:rsidP="00682E2D">
            <w:pPr>
              <w:jc w:val="center"/>
              <w:rPr>
                <w:rFonts w:asciiTheme="minorHAnsi" w:hAnsiTheme="minorHAnsi" w:cs="Arial"/>
                <w:sz w:val="22"/>
                <w:szCs w:val="22"/>
              </w:rPr>
            </w:pPr>
            <w:r>
              <w:rPr>
                <w:rFonts w:asciiTheme="minorHAnsi" w:hAnsiTheme="minorHAnsi" w:cs="Arial"/>
              </w:rPr>
              <w:t>72.2</w:t>
            </w:r>
          </w:p>
        </w:tc>
        <w:tc>
          <w:tcPr>
            <w:tcW w:w="1161" w:type="dxa"/>
            <w:tcBorders>
              <w:top w:val="single" w:sz="4" w:space="0" w:color="auto"/>
              <w:left w:val="nil"/>
              <w:bottom w:val="nil"/>
              <w:right w:val="nil"/>
            </w:tcBorders>
            <w:vAlign w:val="center"/>
            <w:hideMark/>
          </w:tcPr>
          <w:p w14:paraId="02265923" w14:textId="77777777" w:rsidR="00682E2D" w:rsidRDefault="00682E2D" w:rsidP="00682E2D">
            <w:pPr>
              <w:jc w:val="center"/>
              <w:rPr>
                <w:rFonts w:asciiTheme="minorHAnsi" w:hAnsiTheme="minorHAnsi" w:cs="Arial"/>
                <w:sz w:val="22"/>
                <w:szCs w:val="22"/>
              </w:rPr>
            </w:pPr>
            <w:r>
              <w:rPr>
                <w:rFonts w:asciiTheme="minorHAnsi" w:hAnsiTheme="minorHAnsi" w:cs="Arial"/>
              </w:rPr>
              <w:t>55.9</w:t>
            </w:r>
          </w:p>
        </w:tc>
        <w:tc>
          <w:tcPr>
            <w:tcW w:w="1161" w:type="dxa"/>
            <w:tcBorders>
              <w:top w:val="single" w:sz="4" w:space="0" w:color="auto"/>
              <w:left w:val="nil"/>
              <w:bottom w:val="nil"/>
              <w:right w:val="nil"/>
            </w:tcBorders>
            <w:vAlign w:val="center"/>
            <w:hideMark/>
          </w:tcPr>
          <w:p w14:paraId="14364758" w14:textId="77777777" w:rsidR="00682E2D" w:rsidRDefault="00682E2D" w:rsidP="00682E2D">
            <w:pPr>
              <w:jc w:val="center"/>
              <w:rPr>
                <w:rFonts w:asciiTheme="minorHAnsi" w:hAnsiTheme="minorHAnsi" w:cs="Arial"/>
                <w:sz w:val="22"/>
                <w:szCs w:val="22"/>
              </w:rPr>
            </w:pPr>
            <w:r>
              <w:rPr>
                <w:rFonts w:asciiTheme="minorHAnsi" w:hAnsiTheme="minorHAnsi" w:cs="Arial"/>
              </w:rPr>
              <w:t>55.2</w:t>
            </w:r>
          </w:p>
        </w:tc>
        <w:tc>
          <w:tcPr>
            <w:tcW w:w="1162" w:type="dxa"/>
            <w:tcBorders>
              <w:top w:val="single" w:sz="4" w:space="0" w:color="auto"/>
              <w:left w:val="nil"/>
              <w:bottom w:val="nil"/>
              <w:right w:val="nil"/>
            </w:tcBorders>
            <w:vAlign w:val="center"/>
            <w:hideMark/>
          </w:tcPr>
          <w:p w14:paraId="015BB438" w14:textId="77777777" w:rsidR="00682E2D" w:rsidRDefault="00682E2D" w:rsidP="00682E2D">
            <w:pPr>
              <w:jc w:val="center"/>
              <w:rPr>
                <w:rFonts w:asciiTheme="minorHAnsi" w:hAnsiTheme="minorHAnsi" w:cs="Arial"/>
                <w:sz w:val="22"/>
                <w:szCs w:val="22"/>
              </w:rPr>
            </w:pPr>
            <w:r>
              <w:rPr>
                <w:rFonts w:asciiTheme="minorHAnsi" w:hAnsiTheme="minorHAnsi" w:cs="Arial"/>
              </w:rPr>
              <w:t>71.9</w:t>
            </w:r>
          </w:p>
        </w:tc>
        <w:tc>
          <w:tcPr>
            <w:tcW w:w="1097" w:type="dxa"/>
            <w:tcBorders>
              <w:top w:val="single" w:sz="4" w:space="0" w:color="auto"/>
              <w:left w:val="nil"/>
              <w:bottom w:val="nil"/>
              <w:right w:val="nil"/>
            </w:tcBorders>
            <w:vAlign w:val="center"/>
          </w:tcPr>
          <w:p w14:paraId="361D8A22" w14:textId="77777777" w:rsidR="00682E2D" w:rsidRPr="00682E2D" w:rsidRDefault="00682E2D" w:rsidP="00682E2D">
            <w:pPr>
              <w:jc w:val="center"/>
              <w:rPr>
                <w:rFonts w:asciiTheme="minorHAnsi" w:hAnsiTheme="minorHAnsi" w:cs="Arial"/>
              </w:rPr>
            </w:pPr>
            <w:r w:rsidRPr="00682E2D">
              <w:rPr>
                <w:rFonts w:asciiTheme="minorHAnsi" w:hAnsiTheme="minorHAnsi" w:cs="Arial"/>
              </w:rPr>
              <w:t>90.9</w:t>
            </w:r>
          </w:p>
        </w:tc>
      </w:tr>
      <w:tr w:rsidR="00682E2D" w14:paraId="7CC82935" w14:textId="77777777" w:rsidTr="00682E2D">
        <w:tc>
          <w:tcPr>
            <w:tcW w:w="1178" w:type="dxa"/>
            <w:tcBorders>
              <w:top w:val="nil"/>
              <w:left w:val="nil"/>
              <w:bottom w:val="single" w:sz="4" w:space="0" w:color="auto"/>
              <w:right w:val="nil"/>
            </w:tcBorders>
            <w:hideMark/>
          </w:tcPr>
          <w:p w14:paraId="599BDB56" w14:textId="77777777" w:rsidR="00682E2D" w:rsidRDefault="00682E2D">
            <w:pPr>
              <w:rPr>
                <w:rFonts w:asciiTheme="minorHAnsi" w:hAnsiTheme="minorHAnsi" w:cs="Arial"/>
                <w:sz w:val="22"/>
                <w:szCs w:val="22"/>
              </w:rPr>
            </w:pPr>
            <w:r>
              <w:rPr>
                <w:rFonts w:asciiTheme="minorHAnsi" w:hAnsiTheme="minorHAnsi" w:cs="Arial"/>
              </w:rPr>
              <w:t>Rural</w:t>
            </w:r>
          </w:p>
        </w:tc>
        <w:tc>
          <w:tcPr>
            <w:tcW w:w="1161" w:type="dxa"/>
            <w:tcBorders>
              <w:top w:val="nil"/>
              <w:left w:val="nil"/>
              <w:bottom w:val="single" w:sz="4" w:space="0" w:color="auto"/>
              <w:right w:val="nil"/>
            </w:tcBorders>
            <w:vAlign w:val="center"/>
            <w:hideMark/>
          </w:tcPr>
          <w:p w14:paraId="4B3A59A5" w14:textId="77777777" w:rsidR="00682E2D" w:rsidRDefault="00682E2D" w:rsidP="00682E2D">
            <w:pPr>
              <w:jc w:val="center"/>
              <w:rPr>
                <w:rFonts w:asciiTheme="minorHAnsi" w:hAnsiTheme="minorHAnsi" w:cs="Arial"/>
                <w:sz w:val="22"/>
                <w:szCs w:val="22"/>
              </w:rPr>
            </w:pPr>
            <w:r>
              <w:rPr>
                <w:rFonts w:asciiTheme="minorHAnsi" w:hAnsiTheme="minorHAnsi" w:cs="Arial"/>
              </w:rPr>
              <w:t>90+</w:t>
            </w:r>
          </w:p>
        </w:tc>
        <w:tc>
          <w:tcPr>
            <w:tcW w:w="1161" w:type="dxa"/>
            <w:tcBorders>
              <w:top w:val="nil"/>
              <w:left w:val="nil"/>
              <w:bottom w:val="single" w:sz="4" w:space="0" w:color="auto"/>
              <w:right w:val="nil"/>
            </w:tcBorders>
            <w:vAlign w:val="center"/>
            <w:hideMark/>
          </w:tcPr>
          <w:p w14:paraId="188DDBE5" w14:textId="77777777" w:rsidR="00682E2D" w:rsidRDefault="00682E2D" w:rsidP="00682E2D">
            <w:pPr>
              <w:jc w:val="center"/>
              <w:rPr>
                <w:rFonts w:asciiTheme="minorHAnsi" w:hAnsiTheme="minorHAnsi" w:cs="Arial"/>
                <w:sz w:val="22"/>
                <w:szCs w:val="22"/>
              </w:rPr>
            </w:pPr>
            <w:r>
              <w:rPr>
                <w:rFonts w:asciiTheme="minorHAnsi" w:hAnsiTheme="minorHAnsi" w:cs="Arial"/>
              </w:rPr>
              <w:t>7.0</w:t>
            </w:r>
          </w:p>
        </w:tc>
        <w:tc>
          <w:tcPr>
            <w:tcW w:w="1161" w:type="dxa"/>
            <w:tcBorders>
              <w:top w:val="nil"/>
              <w:left w:val="nil"/>
              <w:bottom w:val="single" w:sz="4" w:space="0" w:color="auto"/>
              <w:right w:val="nil"/>
            </w:tcBorders>
            <w:vAlign w:val="center"/>
            <w:hideMark/>
          </w:tcPr>
          <w:p w14:paraId="1539A893" w14:textId="77777777" w:rsidR="00682E2D" w:rsidRDefault="00682E2D" w:rsidP="00682E2D">
            <w:pPr>
              <w:jc w:val="center"/>
              <w:rPr>
                <w:rFonts w:asciiTheme="minorHAnsi" w:hAnsiTheme="minorHAnsi" w:cs="Arial"/>
                <w:sz w:val="22"/>
                <w:szCs w:val="22"/>
              </w:rPr>
            </w:pPr>
            <w:r>
              <w:rPr>
                <w:rFonts w:asciiTheme="minorHAnsi" w:hAnsiTheme="minorHAnsi" w:cs="Arial"/>
              </w:rPr>
              <w:t>15.9</w:t>
            </w:r>
          </w:p>
        </w:tc>
        <w:tc>
          <w:tcPr>
            <w:tcW w:w="1161" w:type="dxa"/>
            <w:tcBorders>
              <w:top w:val="nil"/>
              <w:left w:val="nil"/>
              <w:bottom w:val="single" w:sz="4" w:space="0" w:color="auto"/>
              <w:right w:val="nil"/>
            </w:tcBorders>
            <w:vAlign w:val="center"/>
            <w:hideMark/>
          </w:tcPr>
          <w:p w14:paraId="6004D4B6" w14:textId="77777777" w:rsidR="00682E2D" w:rsidRDefault="00682E2D" w:rsidP="00682E2D">
            <w:pPr>
              <w:jc w:val="center"/>
              <w:rPr>
                <w:rFonts w:asciiTheme="minorHAnsi" w:hAnsiTheme="minorHAnsi" w:cs="Arial"/>
                <w:sz w:val="22"/>
                <w:szCs w:val="22"/>
              </w:rPr>
            </w:pPr>
            <w:r>
              <w:rPr>
                <w:rFonts w:asciiTheme="minorHAnsi" w:hAnsiTheme="minorHAnsi" w:cs="Arial"/>
              </w:rPr>
              <w:t>12.7</w:t>
            </w:r>
          </w:p>
        </w:tc>
        <w:tc>
          <w:tcPr>
            <w:tcW w:w="1161" w:type="dxa"/>
            <w:tcBorders>
              <w:top w:val="nil"/>
              <w:left w:val="nil"/>
              <w:bottom w:val="single" w:sz="4" w:space="0" w:color="auto"/>
              <w:right w:val="nil"/>
            </w:tcBorders>
            <w:vAlign w:val="center"/>
            <w:hideMark/>
          </w:tcPr>
          <w:p w14:paraId="346124A2" w14:textId="77777777" w:rsidR="00682E2D" w:rsidRDefault="00682E2D" w:rsidP="00682E2D">
            <w:pPr>
              <w:jc w:val="center"/>
              <w:rPr>
                <w:rFonts w:asciiTheme="minorHAnsi" w:hAnsiTheme="minorHAnsi" w:cs="Arial"/>
                <w:sz w:val="22"/>
                <w:szCs w:val="22"/>
              </w:rPr>
            </w:pPr>
            <w:r>
              <w:rPr>
                <w:rFonts w:asciiTheme="minorHAnsi" w:hAnsiTheme="minorHAnsi" w:cs="Arial"/>
              </w:rPr>
              <w:t>21.0</w:t>
            </w:r>
          </w:p>
        </w:tc>
        <w:tc>
          <w:tcPr>
            <w:tcW w:w="1162" w:type="dxa"/>
            <w:tcBorders>
              <w:top w:val="nil"/>
              <w:left w:val="nil"/>
              <w:bottom w:val="single" w:sz="4" w:space="0" w:color="auto"/>
              <w:right w:val="nil"/>
            </w:tcBorders>
            <w:vAlign w:val="center"/>
            <w:hideMark/>
          </w:tcPr>
          <w:p w14:paraId="0DC71E84" w14:textId="77777777" w:rsidR="00682E2D" w:rsidRDefault="00682E2D" w:rsidP="00682E2D">
            <w:pPr>
              <w:jc w:val="center"/>
              <w:rPr>
                <w:rFonts w:asciiTheme="minorHAnsi" w:hAnsiTheme="minorHAnsi" w:cs="Arial"/>
                <w:sz w:val="22"/>
                <w:szCs w:val="22"/>
              </w:rPr>
            </w:pPr>
            <w:r>
              <w:rPr>
                <w:rFonts w:asciiTheme="minorHAnsi" w:hAnsiTheme="minorHAnsi" w:cs="Arial"/>
              </w:rPr>
              <w:t>92.5</w:t>
            </w:r>
          </w:p>
        </w:tc>
        <w:tc>
          <w:tcPr>
            <w:tcW w:w="1097" w:type="dxa"/>
            <w:tcBorders>
              <w:top w:val="nil"/>
              <w:left w:val="nil"/>
              <w:bottom w:val="single" w:sz="4" w:space="0" w:color="auto"/>
              <w:right w:val="nil"/>
            </w:tcBorders>
            <w:vAlign w:val="center"/>
          </w:tcPr>
          <w:p w14:paraId="2AEA6241" w14:textId="77777777" w:rsidR="00682E2D" w:rsidRPr="00682E2D" w:rsidRDefault="00682E2D" w:rsidP="00682E2D">
            <w:pPr>
              <w:jc w:val="center"/>
              <w:rPr>
                <w:rFonts w:asciiTheme="minorHAnsi" w:hAnsiTheme="minorHAnsi" w:cs="Arial"/>
              </w:rPr>
            </w:pPr>
            <w:r w:rsidRPr="00682E2D">
              <w:rPr>
                <w:rFonts w:asciiTheme="minorHAnsi" w:hAnsiTheme="minorHAnsi" w:cs="Arial"/>
              </w:rPr>
              <w:t>97.4</w:t>
            </w:r>
          </w:p>
        </w:tc>
      </w:tr>
    </w:tbl>
    <w:p w14:paraId="25E1CF0A" w14:textId="1A2FC588" w:rsidR="005E01C6" w:rsidRDefault="005E01C6" w:rsidP="00FB10D4">
      <w:pPr>
        <w:pBdr>
          <w:bottom w:val="single" w:sz="12" w:space="1" w:color="auto"/>
        </w:pBdr>
        <w:rPr>
          <w:rFonts w:eastAsia="Times New Roman" w:cs="Arial"/>
          <w:sz w:val="20"/>
          <w:szCs w:val="20"/>
        </w:rPr>
      </w:pPr>
      <w:r>
        <w:rPr>
          <w:rFonts w:eastAsia="Times New Roman" w:cstheme="minorHAnsi"/>
          <w:sz w:val="20"/>
          <w:szCs w:val="20"/>
        </w:rPr>
        <w:t xml:space="preserve">Data sources: Data for 1993, 1998, 2003 and 2008 are from China Ministry of Health: National Health Survey in 1993, 1998, 2003, and 2008. Data for 1978 and 1985 are from S, Wang. ‘Learning mechanism and adaptation </w:t>
      </w:r>
      <w:r w:rsidRPr="00D130D9">
        <w:rPr>
          <w:rFonts w:eastAsia="Times New Roman" w:cstheme="minorHAnsi"/>
          <w:sz w:val="20"/>
          <w:szCs w:val="20"/>
        </w:rPr>
        <w:t>ability: Change of China rural CMS and its enlightenment’ (in Chinese).</w:t>
      </w:r>
      <w:r w:rsidR="00D130D9" w:rsidRPr="00D130D9">
        <w:rPr>
          <w:rFonts w:eastAsia="Times New Roman" w:cstheme="minorHAnsi"/>
          <w:sz w:val="20"/>
          <w:szCs w:val="20"/>
        </w:rPr>
        <w:t xml:space="preserve"> </w:t>
      </w:r>
      <w:hyperlink r:id="rId11" w:history="1">
        <w:r w:rsidR="00D130D9" w:rsidRPr="00D130D9">
          <w:rPr>
            <w:rStyle w:val="Hyperlink"/>
            <w:rFonts w:eastAsia="Times New Roman" w:cstheme="minorHAnsi"/>
            <w:sz w:val="20"/>
            <w:szCs w:val="20"/>
          </w:rPr>
          <w:t>http://wen.org.cn/modeles/articles/view.articles.php/a1529 (accessed</w:t>
        </w:r>
      </w:hyperlink>
      <w:r w:rsidR="00D130D9" w:rsidRPr="00D130D9">
        <w:rPr>
          <w:rFonts w:eastAsia="Times New Roman" w:cstheme="minorHAnsi"/>
          <w:sz w:val="20"/>
          <w:szCs w:val="20"/>
        </w:rPr>
        <w:t xml:space="preserve"> Sep. 28, 2009</w:t>
      </w:r>
      <w:r w:rsidR="00D130D9" w:rsidRPr="00D130D9">
        <w:rPr>
          <w:rFonts w:eastAsia="Times New Roman" w:cs="Arial"/>
          <w:sz w:val="20"/>
          <w:szCs w:val="20"/>
        </w:rPr>
        <w:t xml:space="preserve">).  Data for 2011 are </w:t>
      </w:r>
      <w:r w:rsidRPr="00D130D9">
        <w:rPr>
          <w:rFonts w:eastAsia="Times New Roman" w:cs="Arial"/>
          <w:sz w:val="20"/>
          <w:szCs w:val="20"/>
        </w:rPr>
        <w:t>from Meng, Q. Xu, L. Zhang,Y. et al.</w:t>
      </w:r>
      <w:hyperlink w:anchor="_ENREF_58" w:tooltip="Meng, 2012 #67" w:history="1">
        <w:r w:rsidR="00FB10D4">
          <w:rPr>
            <w:rFonts w:eastAsia="Times New Roman" w:cs="Arial"/>
            <w:sz w:val="20"/>
            <w:szCs w:val="20"/>
          </w:rPr>
          <w:fldChar w:fldCharType="begin"/>
        </w:r>
        <w:r w:rsidR="00FB10D4">
          <w:rPr>
            <w:rFonts w:eastAsia="Times New Roman" w:cs="Arial"/>
            <w:sz w:val="20"/>
            <w:szCs w:val="20"/>
          </w:rPr>
          <w:instrText xml:space="preserve"> ADDIN EN.CITE &lt;EndNote&gt;&lt;Cite&gt;&lt;Author&gt;Meng&lt;/Author&gt;&lt;Year&gt;2012&lt;/Year&gt;&lt;RecNum&gt;67&lt;/RecNum&gt;&lt;DisplayText&gt;&lt;style face="superscript"&gt;58&lt;/style&gt;&lt;/DisplayText&gt;&lt;record&gt;&lt;rec-number&gt;67&lt;/rec-number&gt;&lt;foreign-keys&gt;&lt;key app="EN" db-id="2sp5tdttfertdledza9xaavpe5wrwzestvef"&gt;67&lt;/key&gt;&lt;/foreign-keys&gt;&lt;ref-type name="Journal Article"&gt;17&lt;/ref-type&gt;&lt;contributors&gt;&lt;authors&gt;&lt;author&gt;Meng, Qun&lt;/author&gt;&lt;author&gt;Xu, Ling&lt;/author&gt;&lt;author&gt;Zhang, Yaoguang&lt;/author&gt;&lt;author&gt;Qian, Juncheng&lt;/author&gt;&lt;author&gt;Cai, Min&lt;/author&gt;&lt;author&gt;Xin, Ying&lt;/author&gt;&lt;author&gt;Gao, Jun&lt;/author&gt;&lt;author&gt;Xu, Ke&lt;/author&gt;&lt;author&gt;Boerma, J. Ties&lt;/author&gt;&lt;author&gt;Barber, Sarah L.&lt;/author&gt;&lt;/authors&gt;&lt;/contributors&gt;&lt;titles&gt;&lt;title&gt;Trends in access to health services and financial protection in China between 2003 and 2011: a cross-sectional study&lt;/title&gt;&lt;secondary-title&gt;The Lancet&lt;/secondary-title&gt;&lt;/titles&gt;&lt;periodical&gt;&lt;full-title&gt;The Lancet&lt;/full-title&gt;&lt;/periodical&gt;&lt;pages&gt;805-814&lt;/pages&gt;&lt;volume&gt;379&lt;/volume&gt;&lt;number&gt;9818&lt;/number&gt;&lt;dates&gt;&lt;year&gt;2012&lt;/year&gt;&lt;/dates&gt;&lt;isbn&gt;0140-6736&lt;/isbn&gt;&lt;urls&gt;&lt;related-urls&gt;&lt;url&gt;http://linkinghub.elsevier.com/retrieve/pii/S0140673612602785&lt;/url&gt;&lt;/related-urls&gt;&lt;/urls&gt;&lt;/record&gt;&lt;/Cite&gt;&lt;/EndNote&gt;</w:instrText>
        </w:r>
        <w:r w:rsidR="00FB10D4">
          <w:rPr>
            <w:rFonts w:eastAsia="Times New Roman" w:cs="Arial"/>
            <w:sz w:val="20"/>
            <w:szCs w:val="20"/>
          </w:rPr>
          <w:fldChar w:fldCharType="separate"/>
        </w:r>
        <w:r w:rsidR="00FB10D4" w:rsidRPr="00FB10D4">
          <w:rPr>
            <w:rFonts w:eastAsia="Times New Roman" w:cs="Arial"/>
            <w:noProof/>
            <w:sz w:val="20"/>
            <w:szCs w:val="20"/>
            <w:vertAlign w:val="superscript"/>
          </w:rPr>
          <w:t>58</w:t>
        </w:r>
        <w:r w:rsidR="00FB10D4">
          <w:rPr>
            <w:rFonts w:eastAsia="Times New Roman" w:cs="Arial"/>
            <w:sz w:val="20"/>
            <w:szCs w:val="20"/>
          </w:rPr>
          <w:fldChar w:fldCharType="end"/>
        </w:r>
      </w:hyperlink>
    </w:p>
    <w:p w14:paraId="62D084FA" w14:textId="77777777" w:rsidR="00710C83" w:rsidRPr="00D130D9" w:rsidRDefault="00710C83" w:rsidP="005E01C6">
      <w:pPr>
        <w:pBdr>
          <w:bottom w:val="single" w:sz="12" w:space="1" w:color="auto"/>
        </w:pBdr>
        <w:rPr>
          <w:rFonts w:eastAsia="Times New Roman" w:cs="Arial"/>
          <w:sz w:val="20"/>
          <w:szCs w:val="20"/>
        </w:rPr>
      </w:pPr>
      <w:r w:rsidRPr="00A84F8C">
        <w:rPr>
          <w:rFonts w:eastAsia="SimSun" w:cstheme="minorHAnsi"/>
          <w:lang w:eastAsia="zh-CN"/>
        </w:rPr>
        <w:t>Overall, the</w:t>
      </w:r>
      <w:r>
        <w:rPr>
          <w:rFonts w:eastAsia="SimSun" w:cstheme="minorHAnsi"/>
          <w:lang w:eastAsia="zh-CN"/>
        </w:rPr>
        <w:t xml:space="preserve"> scale of this</w:t>
      </w:r>
      <w:r w:rsidRPr="00A84F8C">
        <w:rPr>
          <w:rFonts w:eastAsia="SimSun" w:cstheme="minorHAnsi"/>
          <w:lang w:eastAsia="zh-CN"/>
        </w:rPr>
        <w:t xml:space="preserve"> reform of public governance</w:t>
      </w:r>
      <w:r>
        <w:rPr>
          <w:rFonts w:eastAsia="SimSun" w:cstheme="minorHAnsi"/>
          <w:lang w:eastAsia="zh-CN"/>
        </w:rPr>
        <w:t xml:space="preserve"> reflects</w:t>
      </w:r>
      <w:r w:rsidRPr="00A84F8C">
        <w:rPr>
          <w:rFonts w:eastAsia="SimSun" w:cstheme="minorHAnsi"/>
          <w:lang w:eastAsia="zh-CN"/>
        </w:rPr>
        <w:t xml:space="preserve"> the challenge in returning a commercialized public system to its public purpose. It includes governance reform</w:t>
      </w:r>
      <w:r>
        <w:rPr>
          <w:rFonts w:eastAsia="SimSun" w:cstheme="minorHAnsi"/>
          <w:lang w:eastAsia="zh-CN"/>
        </w:rPr>
        <w:t>;</w:t>
      </w:r>
      <w:r w:rsidRPr="00A84F8C">
        <w:rPr>
          <w:rFonts w:eastAsia="SimSun" w:cstheme="minorHAnsi"/>
          <w:lang w:eastAsia="zh-CN"/>
        </w:rPr>
        <w:t xml:space="preserve"> the development of budgeting and financial accounting system for hospitals under “self-governed” status; independent accreditation</w:t>
      </w:r>
      <w:r>
        <w:rPr>
          <w:rFonts w:eastAsia="SimSun" w:cstheme="minorHAnsi"/>
          <w:lang w:eastAsia="zh-CN"/>
        </w:rPr>
        <w:t xml:space="preserve"> involving detailed surveillance; </w:t>
      </w:r>
      <w:r w:rsidRPr="00A84F8C">
        <w:rPr>
          <w:rFonts w:eastAsia="SimSun" w:cstheme="minorHAnsi"/>
          <w:lang w:eastAsia="zh-CN"/>
        </w:rPr>
        <w:t>, and medical disputes settlement procedures.</w:t>
      </w:r>
      <w:r>
        <w:rPr>
          <w:rFonts w:eastAsia="SimSun" w:cstheme="minorHAnsi"/>
          <w:lang w:eastAsia="zh-CN"/>
        </w:rPr>
        <w:t xml:space="preserve">  </w:t>
      </w:r>
      <w:r>
        <w:rPr>
          <w:rFonts w:eastAsia="SimSun" w:cstheme="minorHAnsi"/>
          <w:lang w:val="en-US" w:eastAsia="zh-CN"/>
        </w:rPr>
        <w:t>The policy directive in 2013 for independent accreditation of hospitals in 2013, halted for nearly two decades, represents progress.</w:t>
      </w:r>
    </w:p>
    <w:p w14:paraId="748A5C8F" w14:textId="77777777" w:rsidR="00D130D9" w:rsidRDefault="00D130D9" w:rsidP="00F4199D">
      <w:pPr>
        <w:spacing w:after="0"/>
      </w:pPr>
    </w:p>
    <w:p w14:paraId="7B0DCFCF" w14:textId="77777777" w:rsidR="00CA3491" w:rsidRPr="00882BEA" w:rsidRDefault="00E34872" w:rsidP="00CA3491">
      <w:pPr>
        <w:pStyle w:val="ListParagraph"/>
        <w:numPr>
          <w:ilvl w:val="0"/>
          <w:numId w:val="4"/>
        </w:numPr>
        <w:spacing w:after="120"/>
        <w:rPr>
          <w:b/>
          <w:sz w:val="24"/>
          <w:szCs w:val="24"/>
        </w:rPr>
      </w:pPr>
      <w:r w:rsidRPr="00882BEA">
        <w:rPr>
          <w:b/>
          <w:sz w:val="24"/>
          <w:szCs w:val="24"/>
        </w:rPr>
        <w:t xml:space="preserve">Stratified </w:t>
      </w:r>
      <w:r w:rsidR="00AD5D26" w:rsidRPr="00882BEA">
        <w:rPr>
          <w:b/>
          <w:sz w:val="24"/>
          <w:szCs w:val="24"/>
        </w:rPr>
        <w:t>private sectors shaped by</w:t>
      </w:r>
      <w:r w:rsidR="00403B4C" w:rsidRPr="00882BEA">
        <w:rPr>
          <w:b/>
          <w:sz w:val="24"/>
          <w:szCs w:val="24"/>
        </w:rPr>
        <w:t xml:space="preserve"> </w:t>
      </w:r>
      <w:r w:rsidR="00350830" w:rsidRPr="00882BEA">
        <w:rPr>
          <w:b/>
          <w:sz w:val="24"/>
          <w:szCs w:val="24"/>
        </w:rPr>
        <w:t xml:space="preserve">low incomes and </w:t>
      </w:r>
      <w:r w:rsidR="00CA3491" w:rsidRPr="00882BEA">
        <w:rPr>
          <w:b/>
          <w:sz w:val="24"/>
          <w:szCs w:val="24"/>
        </w:rPr>
        <w:t>public</w:t>
      </w:r>
      <w:r w:rsidR="00AD5D26" w:rsidRPr="00882BEA">
        <w:rPr>
          <w:b/>
          <w:sz w:val="24"/>
          <w:szCs w:val="24"/>
        </w:rPr>
        <w:t xml:space="preserve"> sector </w:t>
      </w:r>
      <w:r w:rsidR="00511A6A" w:rsidRPr="00882BEA">
        <w:rPr>
          <w:b/>
          <w:sz w:val="24"/>
          <w:szCs w:val="24"/>
        </w:rPr>
        <w:t>characteristics</w:t>
      </w:r>
      <w:r w:rsidR="00CA3491" w:rsidRPr="00882BEA">
        <w:rPr>
          <w:b/>
          <w:sz w:val="24"/>
          <w:szCs w:val="24"/>
        </w:rPr>
        <w:t xml:space="preserve">: </w:t>
      </w:r>
      <w:r w:rsidR="00350830" w:rsidRPr="00882BEA">
        <w:rPr>
          <w:b/>
          <w:sz w:val="24"/>
          <w:szCs w:val="24"/>
        </w:rPr>
        <w:t>Tanzania, Malawi, Ghana and Nepal</w:t>
      </w:r>
      <w:r w:rsidR="00CA3491" w:rsidRPr="00882BEA">
        <w:rPr>
          <w:b/>
          <w:sz w:val="24"/>
          <w:szCs w:val="24"/>
        </w:rPr>
        <w:t xml:space="preserve"> </w:t>
      </w:r>
    </w:p>
    <w:p w14:paraId="5BEA2DC3" w14:textId="77777777" w:rsidR="004010B5" w:rsidRPr="00882BEA" w:rsidRDefault="00051993" w:rsidP="004010B5">
      <w:pPr>
        <w:spacing w:after="120"/>
      </w:pPr>
      <w:r w:rsidRPr="00882BEA">
        <w:t xml:space="preserve">A diverse </w:t>
      </w:r>
      <w:r w:rsidR="004010B5" w:rsidRPr="00882BEA">
        <w:t xml:space="preserve">private health sector in many lower income countries has been shaped by </w:t>
      </w:r>
      <w:r w:rsidR="00DB3162" w:rsidRPr="00882BEA">
        <w:t xml:space="preserve">the </w:t>
      </w:r>
      <w:r w:rsidR="004010B5" w:rsidRPr="00882BEA">
        <w:t xml:space="preserve">changing </w:t>
      </w:r>
      <w:r w:rsidR="00B31897" w:rsidRPr="00882BEA">
        <w:t xml:space="preserve">characteristics of the </w:t>
      </w:r>
      <w:r w:rsidR="004010B5" w:rsidRPr="00882BEA">
        <w:t>public sector</w:t>
      </w:r>
      <w:r w:rsidR="00DB3162" w:rsidRPr="00882BEA">
        <w:t>, driven by</w:t>
      </w:r>
      <w:r w:rsidR="004010B5" w:rsidRPr="00882BEA">
        <w:t xml:space="preserve"> </w:t>
      </w:r>
      <w:r w:rsidR="00B31897" w:rsidRPr="00882BEA">
        <w:t>de</w:t>
      </w:r>
      <w:r w:rsidR="004010B5" w:rsidRPr="00882BEA">
        <w:t>regulation</w:t>
      </w:r>
      <w:r w:rsidR="00DB3162" w:rsidRPr="00882BEA">
        <w:t xml:space="preserve">. In many settings the private sector </w:t>
      </w:r>
      <w:r w:rsidR="00F27215" w:rsidRPr="00882BEA">
        <w:t xml:space="preserve">has </w:t>
      </w:r>
      <w:r w:rsidR="004010B5" w:rsidRPr="00882BEA">
        <w:t>challeng</w:t>
      </w:r>
      <w:r w:rsidR="00F27215" w:rsidRPr="00882BEA">
        <w:t>ed</w:t>
      </w:r>
      <w:r w:rsidRPr="00882BEA">
        <w:t xml:space="preserve"> or supersed</w:t>
      </w:r>
      <w:r w:rsidR="00F27215" w:rsidRPr="00882BEA">
        <w:t>ed</w:t>
      </w:r>
      <w:r w:rsidR="00B31897" w:rsidRPr="00882BEA">
        <w:t xml:space="preserve"> </w:t>
      </w:r>
      <w:r w:rsidR="004010B5" w:rsidRPr="00882BEA">
        <w:t xml:space="preserve">public sector dominance.  </w:t>
      </w:r>
      <w:r w:rsidR="00F27215" w:rsidRPr="00882BEA">
        <w:t>C</w:t>
      </w:r>
      <w:r w:rsidRPr="00882BEA">
        <w:t>ommon</w:t>
      </w:r>
      <w:r w:rsidR="002838C3" w:rsidRPr="00882BEA">
        <w:t xml:space="preserve"> </w:t>
      </w:r>
      <w:r w:rsidR="004010B5" w:rsidRPr="00882BEA">
        <w:t xml:space="preserve">trends </w:t>
      </w:r>
      <w:r w:rsidR="00B31897" w:rsidRPr="00882BEA">
        <w:t>are</w:t>
      </w:r>
      <w:r w:rsidR="004010B5" w:rsidRPr="00882BEA">
        <w:t xml:space="preserve"> the rise of private shops and pharmacies as a location </w:t>
      </w:r>
      <w:r w:rsidRPr="00882BEA">
        <w:t>for</w:t>
      </w:r>
      <w:r w:rsidR="00B31897" w:rsidRPr="00882BEA">
        <w:t xml:space="preserve"> </w:t>
      </w:r>
      <w:r w:rsidR="004010B5" w:rsidRPr="00882BEA">
        <w:t xml:space="preserve">treatment, </w:t>
      </w:r>
      <w:r w:rsidR="00A92665" w:rsidRPr="00882BEA">
        <w:t xml:space="preserve">often of poor quality, </w:t>
      </w:r>
      <w:r w:rsidR="004010B5" w:rsidRPr="00882BEA">
        <w:t>alongside increasing inequalities in the use of private secondary facilities for care.</w:t>
      </w:r>
    </w:p>
    <w:p w14:paraId="41EA6B87" w14:textId="71FFD494" w:rsidR="00811435" w:rsidRDefault="004010B5" w:rsidP="00FB10D4">
      <w:pPr>
        <w:spacing w:after="120"/>
      </w:pPr>
      <w:r w:rsidRPr="00882BEA">
        <w:t xml:space="preserve">This section </w:t>
      </w:r>
      <w:r w:rsidR="002838C3" w:rsidRPr="00882BEA">
        <w:t xml:space="preserve">employs </w:t>
      </w:r>
      <w:r w:rsidR="00F27215" w:rsidRPr="00882BEA">
        <w:t xml:space="preserve">illustrative </w:t>
      </w:r>
      <w:r w:rsidRPr="00882BEA">
        <w:t>qualitative and quantitative evidence for Ghana, Malawi, Tanzania and Nepal</w:t>
      </w:r>
      <w:r w:rsidR="00A92665" w:rsidRPr="00882BEA">
        <w:t xml:space="preserve">, selected as examples of lower income countries with a </w:t>
      </w:r>
      <w:r w:rsidRPr="00882BEA">
        <w:t xml:space="preserve">socially </w:t>
      </w:r>
      <w:r w:rsidR="002838C3" w:rsidRPr="00882BEA">
        <w:t xml:space="preserve">stratified </w:t>
      </w:r>
      <w:r w:rsidRPr="00882BEA">
        <w:t xml:space="preserve">private </w:t>
      </w:r>
      <w:r w:rsidR="00A92665" w:rsidRPr="00882BEA">
        <w:t xml:space="preserve">health </w:t>
      </w:r>
      <w:r w:rsidRPr="00882BEA">
        <w:t>sector</w:t>
      </w:r>
      <w:r w:rsidR="00A92665" w:rsidRPr="00882BEA">
        <w:t xml:space="preserve">. They include </w:t>
      </w:r>
      <w:r w:rsidRPr="00882BEA">
        <w:t>a sub-sector of secondary level private clinics and hospitals attended in growing numbers by the better off</w:t>
      </w:r>
      <w:r w:rsidR="00D97DEE" w:rsidRPr="00882BEA">
        <w:fldChar w:fldCharType="begin"/>
      </w:r>
      <w:r w:rsidR="00FB10D4" w:rsidRPr="00882BEA">
        <w:instrText xml:space="preserve"> ADDIN EN.CITE &lt;EndNote&gt;&lt;Cite&gt;&lt;Author&gt;Basu&lt;/Author&gt;&lt;Year&gt;2012&lt;/Year&gt;&lt;RecNum&gt;76&lt;/RecNum&gt;&lt;DisplayText&gt;&lt;style face="superscript"&gt;59,60&lt;/style&gt;&lt;/DisplayText&gt;&lt;record&gt;&lt;rec-number&gt;76&lt;/rec-number&gt;&lt;foreign-keys&gt;&lt;key app="EN" db-id="2sp5tdttfertdledza9xaavpe5wrwzestvef"&gt;76&lt;/key&gt;&lt;/foreign-keys&gt;&lt;ref-type name="Journal Article"&gt;17&lt;/ref-type&gt;&lt;contributors&gt;&lt;authors&gt;&lt;author&gt;Basu, Sanjay&lt;/author&gt;&lt;author&gt;Andrews, Jason&lt;/author&gt;&lt;author&gt;Kishore, Sandeep&lt;/author&gt;&lt;author&gt;Panjabi, Rajesh&lt;/author&gt;&lt;author&gt;Stuckler, David&lt;/author&gt;&lt;/authors&gt;&lt;/contributors&gt;&lt;titles&gt;&lt;title&gt;Comparative performance of private and public healthcare systems in low-and middle-income countries: a systematic review&lt;/title&gt;&lt;secondary-title&gt;PLoS medicine&lt;/secondary-title&gt;&lt;/titles&gt;&lt;periodical&gt;&lt;full-title&gt;PLoS medicine&lt;/full-title&gt;&lt;/periodical&gt;&lt;pages&gt;e1001244&lt;/pages&gt;&lt;volume&gt;9&lt;/volume&gt;&lt;number&gt;6&lt;/number&gt;&lt;dates&gt;&lt;year&gt;2012&lt;/year&gt;&lt;/dates&gt;&lt;isbn&gt;1549-1676&lt;/isbn&gt;&lt;urls&gt;&lt;/urls&gt;&lt;/record&gt;&lt;/Cite&gt;&lt;Cite&gt;&lt;Author&gt;Filmer&lt;/Author&gt;&lt;Year&gt;2005&lt;/Year&gt;&lt;RecNum&gt;75&lt;/RecNum&gt;&lt;record&gt;&lt;rec-number&gt;75&lt;/rec-number&gt;&lt;foreign-keys&gt;&lt;key app="EN" db-id="2sp5tdttfertdledza9xaavpe5wrwzestvef"&gt;75&lt;/key&gt;&lt;/foreign-keys&gt;&lt;ref-type name="Journal Article"&gt;17&lt;/ref-type&gt;&lt;contributors&gt;&lt;authors&gt;&lt;author&gt;Filmer, Deon&lt;/author&gt;&lt;/authors&gt;&lt;/contributors&gt;&lt;titles&gt;&lt;title&gt;Fever and its treatment among the more and less poor in sub-Saharan Africa&lt;/title&gt;&lt;secondary-title&gt;Health Policy and Planning&lt;/secondary-title&gt;&lt;/titles&gt;&lt;periodical&gt;&lt;full-title&gt;Health Policy and Planning&lt;/full-title&gt;&lt;/periodical&gt;&lt;pages&gt;337-346&lt;/pages&gt;&lt;volume&gt;20&lt;/volume&gt;&lt;number&gt;6&lt;/number&gt;&lt;dates&gt;&lt;year&gt;2005&lt;/year&gt;&lt;pub-dates&gt;&lt;date&gt;November 1, 2005&lt;/date&gt;&lt;/pub-dates&gt;&lt;/dates&gt;&lt;urls&gt;&lt;related-urls&gt;&lt;url&gt;http://heapol.oxfordjournals.org/content/20/6/337.abstract&lt;/url&gt;&lt;/related-urls&gt;&lt;/urls&gt;&lt;electronic-resource-num&gt;10.1093/heapol/czi043&lt;/electronic-resource-num&gt;&lt;/record&gt;&lt;/Cite&gt;&lt;/EndNote&gt;</w:instrText>
      </w:r>
      <w:r w:rsidR="00D97DEE" w:rsidRPr="00882BEA">
        <w:fldChar w:fldCharType="separate"/>
      </w:r>
      <w:hyperlink w:anchor="_ENREF_59" w:tooltip="Basu, 2012 #76" w:history="1">
        <w:r w:rsidR="00FB10D4" w:rsidRPr="00882BEA">
          <w:rPr>
            <w:noProof/>
            <w:vertAlign w:val="superscript"/>
          </w:rPr>
          <w:t>59</w:t>
        </w:r>
      </w:hyperlink>
      <w:r w:rsidR="00FB10D4" w:rsidRPr="00882BEA">
        <w:rPr>
          <w:noProof/>
          <w:vertAlign w:val="superscript"/>
        </w:rPr>
        <w:t>,</w:t>
      </w:r>
      <w:hyperlink w:anchor="_ENREF_60" w:tooltip="Filmer, 2005 #75" w:history="1">
        <w:r w:rsidR="00FB10D4" w:rsidRPr="00882BEA">
          <w:rPr>
            <w:noProof/>
            <w:vertAlign w:val="superscript"/>
          </w:rPr>
          <w:t>60</w:t>
        </w:r>
      </w:hyperlink>
      <w:r w:rsidR="00D97DEE" w:rsidRPr="00882BEA">
        <w:fldChar w:fldCharType="end"/>
      </w:r>
      <w:hyperlink w:anchor="_ENREF_54" w:tooltip="Filmer, 2005 #75" w:history="1"/>
      <w:r w:rsidRPr="00882BEA">
        <w:t xml:space="preserve">. These higher end facilities are perceived to offer superior </w:t>
      </w:r>
      <w:r w:rsidR="002D61BA" w:rsidRPr="00882BEA">
        <w:t>care and facilities in contrast</w:t>
      </w:r>
      <w:r w:rsidRPr="00882BEA">
        <w:t xml:space="preserve"> to the</w:t>
      </w:r>
      <w:r>
        <w:t xml:space="preserve"> perceived and actual failings of the public health sectors</w:t>
      </w:r>
      <w:hyperlink w:anchor="_ENREF_59" w:tooltip="Basu, 2012 #76" w:history="1">
        <w:r w:rsidR="00FB10D4">
          <w:fldChar w:fldCharType="begin"/>
        </w:r>
        <w:r w:rsidR="00FB10D4">
          <w:instrText xml:space="preserve"> ADDIN EN.CITE &lt;EndNote&gt;&lt;Cite&gt;&lt;Author&gt;Basu&lt;/Author&gt;&lt;Year&gt;2012&lt;/Year&gt;&lt;RecNum&gt;76&lt;/RecNum&gt;&lt;DisplayText&gt;&lt;style face="superscript"&gt;59&lt;/style&gt;&lt;/DisplayText&gt;&lt;record&gt;&lt;rec-number&gt;76&lt;/rec-number&gt;&lt;foreign-keys&gt;&lt;key app="EN" db-id="2sp5tdttfertdledza9xaavpe5wrwzestvef"&gt;76&lt;/key&gt;&lt;/foreign-keys&gt;&lt;ref-type name="Journal Article"&gt;17&lt;/ref-type&gt;&lt;contributors&gt;&lt;authors&gt;&lt;author&gt;Basu, Sanjay&lt;/author&gt;&lt;author&gt;Andrews, Jason&lt;/author&gt;&lt;author&gt;Kishore, Sandeep&lt;/author&gt;&lt;author&gt;Panjabi, Rajesh&lt;/author&gt;&lt;author&gt;Stuckler, David&lt;/author&gt;&lt;/authors&gt;&lt;/contributors&gt;&lt;titles&gt;&lt;title&gt;Comparative performance of private and public healthcare systems in low-and middle-income countries: a systematic review&lt;/title&gt;&lt;secondary-title&gt;PLoS medicine&lt;/secondary-title&gt;&lt;/titles&gt;&lt;periodical&gt;&lt;full-title&gt;PLoS medicine&lt;/full-title&gt;&lt;/periodical&gt;&lt;pages&gt;e1001244&lt;/pages&gt;&lt;volume&gt;9&lt;/volume&gt;&lt;number&gt;6&lt;/number&gt;&lt;dates&gt;&lt;year&gt;2012&lt;/year&gt;&lt;/dates&gt;&lt;isbn&gt;1549-1676&lt;/isbn&gt;&lt;urls&gt;&lt;/urls&gt;&lt;/record&gt;&lt;/Cite&gt;&lt;/EndNote&gt;</w:instrText>
        </w:r>
        <w:r w:rsidR="00FB10D4">
          <w:fldChar w:fldCharType="separate"/>
        </w:r>
        <w:r w:rsidR="00FB10D4" w:rsidRPr="00FB10D4">
          <w:rPr>
            <w:noProof/>
            <w:vertAlign w:val="superscript"/>
          </w:rPr>
          <w:t>59</w:t>
        </w:r>
        <w:r w:rsidR="00FB10D4">
          <w:fldChar w:fldCharType="end"/>
        </w:r>
      </w:hyperlink>
      <w:r>
        <w:t>.</w:t>
      </w:r>
      <w:r w:rsidR="00F27215">
        <w:t xml:space="preserve">  </w:t>
      </w:r>
      <w:r w:rsidR="002D61BA">
        <w:t xml:space="preserve">Within the private sector, however, there is generally </w:t>
      </w:r>
      <w:r>
        <w:t>a preponderance of visits to small private dispensaries, shops and pharmacies</w:t>
      </w:r>
      <w:hyperlink w:anchor="_ENREF_61" w:tooltip="Bloom, 2011 #46" w:history="1">
        <w:r w:rsidR="00FB10D4" w:rsidRPr="00AC1403">
          <w:fldChar w:fldCharType="begin"/>
        </w:r>
        <w:r w:rsidR="00FB10D4">
          <w:instrText xml:space="preserve"> ADDIN EN.CITE &lt;EndNote&gt;&lt;Cite&gt;&lt;Author&gt;Bloom&lt;/Author&gt;&lt;Year&gt;2011&lt;/Year&gt;&lt;RecNum&gt;46&lt;/RecNum&gt;&lt;DisplayText&gt;&lt;style face="superscript"&gt;61&lt;/style&gt;&lt;/DisplayText&gt;&lt;record&gt;&lt;rec-number&gt;46&lt;/rec-number&gt;&lt;foreign-keys&gt;&lt;key app="EN" db-id="2sp5tdttfertdledza9xaavpe5wrwzestvef"&gt;46&lt;/key&gt;&lt;/foreign-keys&gt;&lt;ref-type name="Journal Article"&gt;17&lt;/ref-type&gt;&lt;contributors&gt;&lt;authors&gt;&lt;author&gt;Bloom, Gerald&lt;/author&gt;&lt;author&gt;Standing, Hilary&lt;/author&gt;&lt;author&gt;Lucas, Henry&lt;/author&gt;&lt;author&gt;Bhuiya, Abbas&lt;/author&gt;&lt;author&gt;Oladepo, Oladimeji&lt;/author&gt;&lt;author&gt;Peters, David H&lt;/author&gt;&lt;/authors&gt;&lt;/contributors&gt;&lt;titles&gt;&lt;title&gt;Making health markets work better for poor people: the case of informal providers&lt;/title&gt;&lt;secondary-title&gt;Health Policy and Planning&lt;/secondary-title&gt;&lt;/titles&gt;&lt;periodical&gt;&lt;full-title&gt;Health Policy and Planning&lt;/full-title&gt;&lt;/periodical&gt;&lt;pages&gt;i45-i52&lt;/pages&gt;&lt;volume&gt;26&lt;/volume&gt;&lt;number&gt;suppl 1&lt;/number&gt;&lt;dates&gt;&lt;year&gt;2011&lt;/year&gt;&lt;pub-dates&gt;&lt;date&gt;July 1, 2011&lt;/date&gt;&lt;/pub-dates&gt;&lt;/dates&gt;&lt;urls&gt;&lt;related-urls&gt;&lt;url&gt;http://heapol.oxfordjournals.org/content/26/suppl_1/i45.abstract&lt;/url&gt;&lt;/related-urls&gt;&lt;/urls&gt;&lt;electronic-resource-num&gt;10.1093/heapol/czr025&lt;/electronic-resource-num&gt;&lt;/record&gt;&lt;/Cite&gt;&lt;/EndNote&gt;</w:instrText>
        </w:r>
        <w:r w:rsidR="00FB10D4" w:rsidRPr="00AC1403">
          <w:fldChar w:fldCharType="separate"/>
        </w:r>
        <w:r w:rsidR="00FB10D4" w:rsidRPr="00FB10D4">
          <w:rPr>
            <w:noProof/>
            <w:vertAlign w:val="superscript"/>
          </w:rPr>
          <w:t>61</w:t>
        </w:r>
        <w:r w:rsidR="00FB10D4" w:rsidRPr="00AC1403">
          <w:fldChar w:fldCharType="end"/>
        </w:r>
      </w:hyperlink>
      <w:r>
        <w:t xml:space="preserve">. Deregulation has allowed smaller scale and poorer quality providers to </w:t>
      </w:r>
      <w:r w:rsidR="002D61BA">
        <w:t>multiply</w:t>
      </w:r>
      <w:r>
        <w:t>, with shops and pharmacies effectively offering widespread first line treatment, selling poorly regulated medicine supplies directly to users</w:t>
      </w:r>
      <w:r>
        <w:fldChar w:fldCharType="begin"/>
      </w:r>
      <w:r w:rsidR="00FB10D4">
        <w:instrText xml:space="preserve"> ADDIN EN.CITE &lt;EndNote&gt;&lt;Cite&gt;&lt;Author&gt;McCombie&lt;/Author&gt;&lt;Year&gt;1996&lt;/Year&gt;&lt;RecNum&gt;48&lt;/RecNum&gt;&lt;DisplayText&gt;&lt;style face="superscript"&gt;62,63&lt;/style&gt;&lt;/DisplayText&gt;&lt;record&gt;&lt;rec-number&gt;48&lt;/rec-number&gt;&lt;foreign-keys&gt;&lt;key app="EN" db-id="2sp5tdttfertdledza9xaavpe5wrwzestvef"&gt;48&lt;/key&gt;&lt;/foreign-keys&gt;&lt;ref-type name="Journal Article"&gt;17&lt;/ref-type&gt;&lt;contributors&gt;&lt;authors&gt;&lt;author&gt;McCombie, S. C.&lt;/author&gt;&lt;/authors&gt;&lt;/contributors&gt;&lt;titles&gt;&lt;title&gt;Treatment seeking for malaria: A review of recent research&lt;/title&gt;&lt;secondary-title&gt;Social Science &amp;amp; Medicine&lt;/secondary-title&gt;&lt;/titles&gt;&lt;periodical&gt;&lt;full-title&gt;Social Science &amp;amp; Medicine&lt;/full-title&gt;&lt;/periodical&gt;&lt;pages&gt;933-945&lt;/pages&gt;&lt;volume&gt;43&lt;/volume&gt;&lt;number&gt;6&lt;/number&gt;&lt;keywords&gt;&lt;keyword&gt;malaria&lt;/keyword&gt;&lt;keyword&gt;fever&lt;/keyword&gt;&lt;keyword&gt;treatment&lt;/keyword&gt;&lt;keyword&gt;health care utilization&lt;/keyword&gt;&lt;/keywords&gt;&lt;dates&gt;&lt;year&gt;1996&lt;/year&gt;&lt;pub-dates&gt;&lt;date&gt;9//&lt;/date&gt;&lt;/pub-dates&gt;&lt;/dates&gt;&lt;isbn&gt;0277-9536&lt;/isbn&gt;&lt;urls&gt;&lt;related-urls&gt;&lt;url&gt;http://www.sciencedirect.com/science/article/pii/0277953695004467&lt;/url&gt;&lt;/related-urls&gt;&lt;/urls&gt;&lt;electronic-resource-num&gt;http://dx.doi.org/10.1016/0277-9536(95)00446-7&lt;/electronic-resource-num&gt;&lt;/record&gt;&lt;/Cite&gt;&lt;Cite&gt;&lt;Author&gt;Montagu&lt;/Author&gt;&lt;Year&gt;2013&lt;/Year&gt;&lt;RecNum&gt;47&lt;/RecNum&gt;&lt;record&gt;&lt;rec-number&gt;47&lt;/rec-number&gt;&lt;foreign-keys&gt;&lt;key app="EN" db-id="2sp5tdttfertdledza9xaavpe5wrwzestvef"&gt;47&lt;/key&gt;&lt;/foreign-keys&gt;&lt;ref-type name="Web Page"&gt;12&lt;/ref-type&gt;&lt;contributors&gt;&lt;authors&gt;&lt;author&gt;Montagu, D&lt;/author&gt;&lt;/authors&gt;&lt;/contributors&gt;&lt;titles&gt;&lt;title&gt;Private Healthcare in Developing Countries&lt;/title&gt;&lt;/titles&gt;&lt;volume&gt;2013&lt;/volume&gt;&lt;number&gt;1st December&lt;/number&gt;&lt;dates&gt;&lt;year&gt;2013&lt;/year&gt;&lt;/dates&gt;&lt;urls&gt;&lt;related-urls&gt;&lt;url&gt;http://www.ps4h.org/&lt;/url&gt;&lt;/related-urls&gt;&lt;/urls&gt;&lt;/record&gt;&lt;/Cite&gt;&lt;/EndNote&gt;</w:instrText>
      </w:r>
      <w:r>
        <w:fldChar w:fldCharType="separate"/>
      </w:r>
      <w:hyperlink w:anchor="_ENREF_62" w:tooltip="McCombie, 1996 #48" w:history="1">
        <w:r w:rsidR="00FB10D4" w:rsidRPr="00FB10D4">
          <w:rPr>
            <w:noProof/>
            <w:vertAlign w:val="superscript"/>
          </w:rPr>
          <w:t>62</w:t>
        </w:r>
      </w:hyperlink>
      <w:r w:rsidR="00FB10D4" w:rsidRPr="00FB10D4">
        <w:rPr>
          <w:noProof/>
          <w:vertAlign w:val="superscript"/>
        </w:rPr>
        <w:t>,</w:t>
      </w:r>
      <w:hyperlink w:anchor="_ENREF_63" w:tooltip="Montagu, 2013 #47" w:history="1">
        <w:r w:rsidR="00FB10D4" w:rsidRPr="00FB10D4">
          <w:rPr>
            <w:noProof/>
            <w:vertAlign w:val="superscript"/>
          </w:rPr>
          <w:t>63</w:t>
        </w:r>
      </w:hyperlink>
      <w:r>
        <w:fldChar w:fldCharType="end"/>
      </w:r>
      <w:r>
        <w:t>. Where the public sector</w:t>
      </w:r>
      <w:r w:rsidR="002D61BA">
        <w:t xml:space="preserve"> charges for care and treatment</w:t>
      </w:r>
      <w:r>
        <w:t>, legally or illegally, people have often shifted to low quality low cost treatment from untrained shop assistants, although the efficacy of the treatment received is highly questionable</w:t>
      </w:r>
      <w:r w:rsidR="0017712F">
        <w:fldChar w:fldCharType="begin"/>
      </w:r>
      <w:r w:rsidR="00FB10D4">
        <w:instrText xml:space="preserve"> ADDIN EN.CITE &lt;EndNote&gt;&lt;Cite&gt;&lt;Author&gt;Mackintosh&lt;/Author&gt;&lt;Year&gt;2010&lt;/Year&gt;&lt;RecNum&gt;78&lt;/RecNum&gt;&lt;DisplayText&gt;&lt;style face="superscript"&gt;11,64&lt;/style&gt;&lt;/DisplayText&gt;&lt;record&gt;&lt;rec-number&gt;78&lt;/rec-number&gt;&lt;foreign-keys&gt;&lt;key app="EN" db-id="2sp5tdttfertdledza9xaavpe5wrwzestvef"&gt;78&lt;/key&gt;&lt;/foreign-keys&gt;&lt;ref-type name="Journal Article"&gt;17&lt;/ref-type&gt;&lt;contributors&gt;&lt;authors&gt;&lt;author&gt;Mackintosh, Maureen&lt;/author&gt;&lt;author&gt;Mujinja, Phares GM&lt;/author&gt;&lt;/authors&gt;&lt;/contributors&gt;&lt;titles&gt;&lt;title&gt;Markets and policy challenges in access to essential medicines for endemic disease&lt;/title&gt;&lt;secondary-title&gt;Journal of African Economies&lt;/secondary-title&gt;&lt;/titles&gt;&lt;periodical&gt;&lt;full-title&gt;Journal of African Economies&lt;/full-title&gt;&lt;/periodical&gt;&lt;pages&gt;iii166-iii200&lt;/pages&gt;&lt;volume&gt;19&lt;/volume&gt;&lt;number&gt;suppl 3&lt;/number&gt;&lt;dates&gt;&lt;year&gt;2010&lt;/year&gt;&lt;/dates&gt;&lt;isbn&gt;0963-8024&lt;/isbn&gt;&lt;urls&gt;&lt;/urls&gt;&lt;/record&gt;&lt;/Cite&gt;&lt;Cite&gt;&lt;Author&gt;Mackintosh&lt;/Author&gt;&lt;Year&gt;2005&lt;/Year&gt;&lt;RecNum&gt;5&lt;/RecNum&gt;&lt;record&gt;&lt;rec-number&gt;5&lt;/rec-number&gt;&lt;foreign-keys&gt;&lt;key app="EN" db-id="2sp5tdttfertdledza9xaavpe5wrwzestvef"&gt;5&lt;/key&gt;&lt;/foreign-keys&gt;&lt;ref-type name="Book Section"&gt;5&lt;/ref-type&gt;&lt;contributors&gt;&lt;authors&gt;&lt;author&gt;Mackintosh, M&lt;/author&gt;&lt;author&gt;Koivusalo, M.&lt;/author&gt;&lt;/authors&gt;&lt;secondary-authors&gt;&lt;author&gt;Mackintosh, M&lt;/author&gt;&lt;author&gt;Koivusalo, M.&lt;/author&gt;&lt;/secondary-authors&gt;&lt;/contributors&gt;&lt;titles&gt;&lt;title&gt;Health systems and commercialization: in search of good sense&lt;/title&gt;&lt;secondary-title&gt;Commercialization of Health Care: Global and Local Dynamics and Policy Responses&lt;/secondary-title&gt;&lt;/titles&gt;&lt;dates&gt;&lt;year&gt;2005&lt;/year&gt;&lt;/dates&gt;&lt;pub-location&gt;Basingstoke&lt;/pub-location&gt;&lt;publisher&gt;Palgrave Macmillan&lt;/publisher&gt;&lt;urls&gt;&lt;/urls&gt;&lt;/record&gt;&lt;/Cite&gt;&lt;/EndNote&gt;</w:instrText>
      </w:r>
      <w:r w:rsidR="0017712F">
        <w:fldChar w:fldCharType="separate"/>
      </w:r>
      <w:hyperlink w:anchor="_ENREF_11" w:tooltip="Mackintosh, 2005 #5" w:history="1">
        <w:r w:rsidR="00FB10D4" w:rsidRPr="00FB10D4">
          <w:rPr>
            <w:noProof/>
            <w:vertAlign w:val="superscript"/>
          </w:rPr>
          <w:t>11</w:t>
        </w:r>
      </w:hyperlink>
      <w:r w:rsidR="00FB10D4" w:rsidRPr="00FB10D4">
        <w:rPr>
          <w:noProof/>
          <w:vertAlign w:val="superscript"/>
        </w:rPr>
        <w:t>,</w:t>
      </w:r>
      <w:hyperlink w:anchor="_ENREF_64" w:tooltip="Mackintosh, 2010 #78" w:history="1">
        <w:r w:rsidR="00FB10D4" w:rsidRPr="00FB10D4">
          <w:rPr>
            <w:noProof/>
            <w:vertAlign w:val="superscript"/>
          </w:rPr>
          <w:t>64</w:t>
        </w:r>
      </w:hyperlink>
      <w:r w:rsidR="0017712F">
        <w:fldChar w:fldCharType="end"/>
      </w:r>
      <w:r>
        <w:t>.</w:t>
      </w:r>
    </w:p>
    <w:p w14:paraId="592C0424" w14:textId="77777777" w:rsidR="004010B5" w:rsidRDefault="00811435" w:rsidP="00811435">
      <w:pPr>
        <w:spacing w:after="12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w:t>
      </w:r>
    </w:p>
    <w:p w14:paraId="08A7BAB7" w14:textId="77777777" w:rsidR="004010B5" w:rsidRDefault="004010B5" w:rsidP="004010B5">
      <w:pPr>
        <w:rPr>
          <w:b/>
          <w:i/>
          <w:sz w:val="24"/>
          <w:szCs w:val="24"/>
        </w:rPr>
      </w:pPr>
      <w:r>
        <w:rPr>
          <w:b/>
          <w:i/>
          <w:sz w:val="24"/>
          <w:szCs w:val="24"/>
        </w:rPr>
        <w:t>Panel</w:t>
      </w:r>
      <w:r w:rsidR="00CE2056">
        <w:rPr>
          <w:b/>
          <w:i/>
          <w:sz w:val="24"/>
          <w:szCs w:val="24"/>
        </w:rPr>
        <w:t xml:space="preserve"> 3: P</w:t>
      </w:r>
      <w:r>
        <w:rPr>
          <w:b/>
          <w:i/>
          <w:sz w:val="24"/>
          <w:szCs w:val="24"/>
        </w:rPr>
        <w:t xml:space="preserve">rivate sector </w:t>
      </w:r>
      <w:r w:rsidR="002D61BA">
        <w:rPr>
          <w:b/>
          <w:i/>
          <w:sz w:val="24"/>
          <w:szCs w:val="24"/>
        </w:rPr>
        <w:t xml:space="preserve">stratification </w:t>
      </w:r>
      <w:r>
        <w:rPr>
          <w:b/>
          <w:i/>
          <w:sz w:val="24"/>
          <w:szCs w:val="24"/>
        </w:rPr>
        <w:t xml:space="preserve">and </w:t>
      </w:r>
      <w:r w:rsidR="002D61BA">
        <w:rPr>
          <w:b/>
          <w:i/>
          <w:sz w:val="24"/>
          <w:szCs w:val="24"/>
        </w:rPr>
        <w:t>public sector interaction</w:t>
      </w:r>
      <w:r>
        <w:rPr>
          <w:b/>
          <w:i/>
          <w:sz w:val="24"/>
          <w:szCs w:val="24"/>
        </w:rPr>
        <w:t xml:space="preserve">: evidence from the DHS  </w:t>
      </w:r>
    </w:p>
    <w:p w14:paraId="25B2A598" w14:textId="57317A8D" w:rsidR="008545E9" w:rsidRPr="00882BEA" w:rsidRDefault="004010B5" w:rsidP="00FB10D4">
      <w:pPr>
        <w:spacing w:after="120"/>
      </w:pPr>
      <w:r>
        <w:t>Demographic and Health Surveys</w:t>
      </w:r>
      <w:hyperlink w:anchor="_ENREF_7" w:tooltip="ICF International, 2013 #20" w:history="1">
        <w:r w:rsidR="00FB10D4" w:rsidRPr="00AC1403">
          <w:fldChar w:fldCharType="begin"/>
        </w:r>
        <w:r w:rsidR="00FB10D4">
          <w:instrText xml:space="preserve"> ADDIN EN.CITE &lt;EndNote&gt;&lt;Cite&gt;&lt;Author&gt;ICF International&lt;/Author&gt;&lt;Year&gt;2013&lt;/Year&gt;&lt;RecNum&gt;20&lt;/RecNum&gt;&lt;DisplayText&gt;&lt;style face="superscript"&gt;7&lt;/style&gt;&lt;/DisplayText&gt;&lt;record&gt;&lt;rec-number&gt;20&lt;/rec-number&gt;&lt;foreign-keys&gt;&lt;key app="EN" db-id="2sp5tdttfertdledza9xaavpe5wrwzestvef"&gt;20&lt;/key&gt;&lt;/foreign-keys&gt;&lt;ref-type name="Web Page"&gt;12&lt;/ref-type&gt;&lt;contributors&gt;&lt;authors&gt;&lt;author&gt;ICF International,&lt;/author&gt;&lt;/authors&gt;&lt;/contributors&gt;&lt;titles&gt;&lt;title&gt;Measure DHS&lt;/title&gt;&lt;/titles&gt;&lt;volume&gt;2013&lt;/volume&gt;&lt;number&gt;28/10/2013&lt;/number&gt;&lt;dates&gt;&lt;year&gt;2013&lt;/year&gt;&lt;/dates&gt;&lt;urls&gt;&lt;related-urls&gt;&lt;url&gt;http://www.measuredhs.com/&lt;/url&gt;&lt;/related-urls&gt;&lt;/urls&gt;&lt;/record&gt;&lt;/Cite&gt;&lt;/EndNote&gt;</w:instrText>
        </w:r>
        <w:r w:rsidR="00FB10D4" w:rsidRPr="00AC1403">
          <w:fldChar w:fldCharType="separate"/>
        </w:r>
        <w:r w:rsidR="00FB10D4" w:rsidRPr="00103EEE">
          <w:rPr>
            <w:noProof/>
            <w:vertAlign w:val="superscript"/>
          </w:rPr>
          <w:t>7</w:t>
        </w:r>
        <w:r w:rsidR="00FB10D4" w:rsidRPr="00AC1403">
          <w:fldChar w:fldCharType="end"/>
        </w:r>
      </w:hyperlink>
      <w:r>
        <w:t xml:space="preserve"> allow us to examine trends in private sector shares in activity, but they collect data only for treatment of two childhood illnesses (diarrhoea and fever) and for place of delivery at birth. For four low income countries: Ghana, Malawi, Tanzania and Nepal, the locations to </w:t>
      </w:r>
      <w:r w:rsidRPr="00882BEA">
        <w:t>which children under 5 were taken for treatment for episodes of diarrhoea in the two weeks prior to each survey were calculated f</w:t>
      </w:r>
      <w:r w:rsidR="00CE2056" w:rsidRPr="00882BEA">
        <w:t>or successive surveys (Figures 3 and 4</w:t>
      </w:r>
      <w:r w:rsidRPr="00882BEA">
        <w:t xml:space="preserve">). </w:t>
      </w:r>
      <w:r w:rsidR="00A92665" w:rsidRPr="00882BEA">
        <w:t xml:space="preserve">Detailed categories of places for treatment </w:t>
      </w:r>
      <w:r w:rsidR="008545E9" w:rsidRPr="00882BEA">
        <w:t xml:space="preserve">were </w:t>
      </w:r>
      <w:r w:rsidR="00A92665" w:rsidRPr="00882BEA">
        <w:t xml:space="preserve">grouped into public, private, religious facilities at both primary and secondary levels, plus shops/pharmacies and traditional healers. </w:t>
      </w:r>
    </w:p>
    <w:p w14:paraId="51878B04" w14:textId="70C86858" w:rsidR="004010B5" w:rsidRDefault="00CE2056" w:rsidP="00FB10D4">
      <w:pPr>
        <w:spacing w:after="120"/>
      </w:pPr>
      <w:r w:rsidRPr="00882BEA">
        <w:t>Figure 3</w:t>
      </w:r>
      <w:r w:rsidR="00A92665" w:rsidRPr="00882BEA">
        <w:t xml:space="preserve"> shows the percentage of infants taken to a private secondary facility, defined in the survey as a private hospital or clinic, split by quintile of asset wealth (see</w:t>
      </w:r>
      <w:r w:rsidR="00A92665" w:rsidRPr="00882BEA">
        <w:fldChar w:fldCharType="begin"/>
      </w:r>
      <w:r w:rsidR="00FB10D4" w:rsidRPr="00882BEA">
        <w:instrText xml:space="preserve"> ADDIN EN.CITE &lt;EndNote&gt;&lt;Cite&gt;&lt;Author&gt;Filmer&lt;/Author&gt;&lt;Year&gt;1998&lt;/Year&gt;&lt;RecNum&gt;304&lt;/RecNum&gt;&lt;DisplayText&gt;&lt;style face="superscript"&gt;65,66&lt;/style&gt;&lt;/DisplayText&gt;&lt;record&gt;&lt;rec-number&gt;304&lt;/rec-number&gt;&lt;foreign-keys&gt;&lt;key app="EN" db-id="dzsx90z9o2szwqeeftl50f9td2vxptdd9srf" timestamp="0"&gt;304&lt;/key&gt;&lt;/foreign-keys&gt;&lt;ref-type name="Report"&gt;27&lt;/ref-type&gt;&lt;contributors&gt;&lt;authors&gt;&lt;author&gt;Filmer, D&lt;/author&gt;&lt;author&gt;Pritchett, L&lt;/author&gt;&lt;/authors&gt;&lt;/contributors&gt;&lt;titles&gt;&lt;title&gt;Estimating wealth effects without expenditure data - or tears: With an application to educational enrollment in states of India&lt;/title&gt;&lt;secondary-title&gt;World Bank Working Paper&lt;/secondary-title&gt;&lt;/titles&gt;&lt;dates&gt;&lt;year&gt;1998&lt;/year&gt;&lt;/dates&gt;&lt;pub-location&gt;Washington D.C.&lt;/pub-location&gt;&lt;publisher&gt;World Bank&lt;/publisher&gt;&lt;urls&gt;&lt;related-urls&gt;&lt;url&gt;http://www-wds.worldbank.org/servlet/WDSContentServer/WDSP/IB/1998/11/17/000178830_98111703524522/Rendered/PDF/multi_page.pdf&lt;/url&gt;&lt;/related-urls&gt;&lt;/urls&gt;&lt;custom1&gt;Online&lt;/custom1&gt;&lt;/record&gt;&lt;/Cite&gt;&lt;Cite&gt;&lt;Author&gt;Rutstein&lt;/Author&gt;&lt;Year&gt;2004&lt;/Year&gt;&lt;RecNum&gt;350&lt;/RecNum&gt;&lt;record&gt;&lt;rec-number&gt;350&lt;/rec-number&gt;&lt;foreign-keys&gt;&lt;key app="EN" db-id="dzsx90z9o2szwqeeftl50f9td2vxptdd9srf" timestamp="0"&gt;350&lt;/key&gt;&lt;/foreign-keys&gt;&lt;ref-type name="Report"&gt;27&lt;/ref-type&gt;&lt;contributors&gt;&lt;authors&gt;&lt;author&gt;Rutstein, S. O.&lt;/author&gt;&lt;author&gt;Johnson, Kiersten&lt;/author&gt;&lt;/authors&gt;&lt;/contributors&gt;&lt;titles&gt;&lt;title&gt;The DHS Wealth index&lt;/title&gt;&lt;secondary-title&gt;DHS Comparative Reports No.6&lt;/secondary-title&gt;&lt;/titles&gt;&lt;dates&gt;&lt;year&gt;2004&lt;/year&gt;&lt;/dates&gt;&lt;pub-location&gt;Calverton, Maryland&lt;/pub-location&gt;&lt;publisher&gt;ORC Macro&lt;/publisher&gt;&lt;urls&gt;&lt;/urls&gt;&lt;/record&gt;&lt;/Cite&gt;&lt;/EndNote&gt;</w:instrText>
      </w:r>
      <w:r w:rsidR="00A92665" w:rsidRPr="00882BEA">
        <w:fldChar w:fldCharType="separate"/>
      </w:r>
      <w:hyperlink w:anchor="_ENREF_65" w:tooltip="Filmer, 1998 #304" w:history="1">
        <w:r w:rsidR="00FB10D4" w:rsidRPr="00882BEA">
          <w:rPr>
            <w:noProof/>
            <w:vertAlign w:val="superscript"/>
          </w:rPr>
          <w:t>65</w:t>
        </w:r>
      </w:hyperlink>
      <w:r w:rsidR="00FB10D4" w:rsidRPr="00882BEA">
        <w:rPr>
          <w:noProof/>
          <w:vertAlign w:val="superscript"/>
        </w:rPr>
        <w:t>,</w:t>
      </w:r>
      <w:hyperlink w:anchor="_ENREF_66" w:tooltip="Rutstein, 2004 #350" w:history="1">
        <w:r w:rsidR="00FB10D4" w:rsidRPr="00882BEA">
          <w:rPr>
            <w:noProof/>
            <w:vertAlign w:val="superscript"/>
          </w:rPr>
          <w:t>66</w:t>
        </w:r>
      </w:hyperlink>
      <w:r w:rsidR="00A92665" w:rsidRPr="00882BEA">
        <w:fldChar w:fldCharType="end"/>
      </w:r>
      <w:r w:rsidR="00A92665" w:rsidRPr="00882BEA">
        <w:t xml:space="preserve"> for information on wealth quintiles). There is a clear difference between income groups in most countries for all years; Tanzania</w:t>
      </w:r>
      <w:r w:rsidR="00A92665">
        <w:t xml:space="preserve"> is a partial exception.</w:t>
      </w:r>
      <w:r w:rsidR="00807E5E">
        <w:t xml:space="preserve"> </w:t>
      </w:r>
    </w:p>
    <w:p w14:paraId="57ECE747" w14:textId="77777777" w:rsidR="004010B5" w:rsidRDefault="00CE2056" w:rsidP="004010B5">
      <w:r>
        <w:rPr>
          <w:b/>
        </w:rPr>
        <w:t>Figure 3</w:t>
      </w:r>
      <w:r w:rsidR="004010B5">
        <w:rPr>
          <w:b/>
        </w:rPr>
        <w:t xml:space="preserve">: Percentage of Infants treated for </w:t>
      </w:r>
      <w:r w:rsidR="008545E9">
        <w:rPr>
          <w:b/>
        </w:rPr>
        <w:t>diarrhoea that were taken to a private secondary facility by wealth, year and c</w:t>
      </w:r>
      <w:r w:rsidR="004010B5">
        <w:rPr>
          <w:b/>
        </w:rPr>
        <w:t>ountry</w:t>
      </w:r>
      <w:r w:rsidR="008545E9">
        <w:rPr>
          <w:noProof/>
          <w:lang w:eastAsia="en-GB"/>
        </w:rPr>
        <w:drawing>
          <wp:inline distT="0" distB="0" distL="0" distR="0" wp14:anchorId="4C67B3A1" wp14:editId="41630DD7">
            <wp:extent cx="5460521" cy="3519577"/>
            <wp:effectExtent l="0" t="0" r="26035" b="241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6716BEE" w14:textId="77777777" w:rsidR="002A5699" w:rsidRDefault="00CE2056" w:rsidP="00807E5E">
      <w:r>
        <w:t>Figure 4</w:t>
      </w:r>
      <w:r w:rsidR="00807E5E">
        <w:t xml:space="preserve"> shows the percentage of visits for diarrhoea treatment to private providers, broken down by visits to shops/pharmacies and to private primary and secondary health facilities.</w:t>
      </w:r>
      <w:r w:rsidR="00811435">
        <w:t xml:space="preserve"> </w:t>
      </w:r>
      <w:r w:rsidR="00807E5E">
        <w:t xml:space="preserve"> Also shown is the percentage taken to public facilities, which in Malawi and Tanzania </w:t>
      </w:r>
      <w:r w:rsidR="00811435">
        <w:t xml:space="preserve">are </w:t>
      </w:r>
      <w:r w:rsidR="00807E5E">
        <w:t>the most common place of treatment. Visits to shops and pharmacies form the majority of private sector visits in all countries</w:t>
      </w:r>
      <w:r w:rsidR="002A5699">
        <w:t>, except for the first and last year in Malawi</w:t>
      </w:r>
      <w:r w:rsidR="00807E5E">
        <w:t xml:space="preserve">. </w:t>
      </w:r>
    </w:p>
    <w:p w14:paraId="38465AD5" w14:textId="6F58464C" w:rsidR="00403B4C" w:rsidRDefault="002A5699" w:rsidP="00FB10D4">
      <w:r>
        <w:t>The data suggest that public sector characteristics influence use of the private sector.</w:t>
      </w:r>
      <w:r w:rsidR="0029410F">
        <w:t xml:space="preserve"> In</w:t>
      </w:r>
      <w:r>
        <w:t xml:space="preserve"> Malawi, where the public sector has historically been little commercialised (formally or informally</w:t>
      </w:r>
      <w:r w:rsidR="006861F3">
        <w:t>)</w:t>
      </w:r>
      <w:r w:rsidR="008545E9">
        <w:t xml:space="preserve"> (Table 1) </w:t>
      </w:r>
      <w:r w:rsidR="0075726F">
        <w:t xml:space="preserve"> but gaps </w:t>
      </w:r>
      <w:r w:rsidR="0075726F" w:rsidRPr="00882BEA">
        <w:t>in provision</w:t>
      </w:r>
      <w:r w:rsidR="00EC5996" w:rsidRPr="00882BEA">
        <w:t xml:space="preserve"> </w:t>
      </w:r>
      <w:r w:rsidR="00811435" w:rsidRPr="00882BEA">
        <w:t xml:space="preserve">have </w:t>
      </w:r>
      <w:r w:rsidR="00EC5996" w:rsidRPr="00882BEA">
        <w:t>encouraged recourse to shops</w:t>
      </w:r>
      <w:hyperlink w:anchor="_ENREF_67" w:tooltip="Witter, 2010 #72" w:history="1">
        <w:r w:rsidR="00FB10D4" w:rsidRPr="00882BEA">
          <w:fldChar w:fldCharType="begin">
            <w:fldData xml:space="preserve">PEVuZE5vdGU+PENpdGU+PEF1dGhvcj5XaXR0ZXI8L0F1dGhvcj48WWVhcj4yMDEwPC9ZZWFyPjxS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</w:fldData>
          </w:fldChar>
        </w:r>
        <w:r w:rsidR="00FB10D4" w:rsidRPr="00882BEA">
          <w:instrText xml:space="preserve"> ADDIN EN.CITE </w:instrText>
        </w:r>
        <w:r w:rsidR="00FB10D4" w:rsidRPr="00882BEA">
          <w:fldChar w:fldCharType="begin">
            <w:fldData xml:space="preserve">PEVuZE5vdGU+PENpdGU+PEF1dGhvcj5XaXR0ZXI8L0F1dGhvcj48WWVhcj4yMDEwPC9ZZWFyPjxS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</w:fldData>
          </w:fldChar>
        </w:r>
        <w:r w:rsidR="00FB10D4" w:rsidRPr="00882BEA">
          <w:instrText xml:space="preserve"> ADDIN EN.CITE.DATA </w:instrText>
        </w:r>
        <w:r w:rsidR="00FB10D4" w:rsidRPr="00882BEA">
          <w:fldChar w:fldCharType="end"/>
        </w:r>
        <w:r w:rsidR="00FB10D4" w:rsidRPr="00882BEA">
          <w:fldChar w:fldCharType="separate"/>
        </w:r>
        <w:r w:rsidR="00FB10D4" w:rsidRPr="00882BEA">
          <w:rPr>
            <w:noProof/>
            <w:vertAlign w:val="superscript"/>
          </w:rPr>
          <w:t>67-69</w:t>
        </w:r>
        <w:r w:rsidR="00FB10D4" w:rsidRPr="00882BEA">
          <w:fldChar w:fldCharType="end"/>
        </w:r>
      </w:hyperlink>
      <w:r w:rsidR="0075726F" w:rsidRPr="00882BEA">
        <w:t xml:space="preserve">, the </w:t>
      </w:r>
      <w:r w:rsidR="00EC5996" w:rsidRPr="00882BEA">
        <w:t>2004 E</w:t>
      </w:r>
      <w:r w:rsidR="00811435" w:rsidRPr="00882BEA">
        <w:t xml:space="preserve">ssential </w:t>
      </w:r>
      <w:r w:rsidR="00EC5996" w:rsidRPr="00882BEA">
        <w:t>H</w:t>
      </w:r>
      <w:r w:rsidR="00811435" w:rsidRPr="00882BEA">
        <w:t xml:space="preserve">ealth </w:t>
      </w:r>
      <w:r w:rsidR="00EC5996" w:rsidRPr="00882BEA">
        <w:t>P</w:t>
      </w:r>
      <w:r w:rsidR="00811435" w:rsidRPr="00882BEA">
        <w:t>ackage</w:t>
      </w:r>
      <w:r w:rsidR="00EC5996" w:rsidRPr="00882BEA">
        <w:t xml:space="preserve">, free in </w:t>
      </w:r>
      <w:r w:rsidR="00811435" w:rsidRPr="00882BEA">
        <w:t xml:space="preserve">public and some </w:t>
      </w:r>
      <w:r w:rsidR="00EC5996" w:rsidRPr="00882BEA">
        <w:t xml:space="preserve">faith-based facilities, was associated with reduction in shop use.  In Ghana, where public sector charging is widespread, expansion of National Insurance </w:t>
      </w:r>
      <w:r w:rsidR="008545E9" w:rsidRPr="00882BEA">
        <w:t xml:space="preserve">was </w:t>
      </w:r>
      <w:r w:rsidR="00EC5996" w:rsidRPr="00882BEA">
        <w:t>associated with falling shop use</w:t>
      </w:r>
      <w:r w:rsidR="008545E9" w:rsidRPr="00882BEA">
        <w:t>, though that fall has stagnated since 2008</w:t>
      </w:r>
      <w:r w:rsidR="00EC5996" w:rsidRPr="00882BEA">
        <w:t xml:space="preserve">. </w:t>
      </w:r>
      <w:r w:rsidR="00403B4C" w:rsidRPr="00882BEA">
        <w:t xml:space="preserve">In Nepal </w:t>
      </w:r>
      <w:r w:rsidR="00811435" w:rsidRPr="00882BEA">
        <w:t xml:space="preserve">too, </w:t>
      </w:r>
      <w:r w:rsidR="00403B4C" w:rsidRPr="00882BEA">
        <w:t>fewer children were cared for in shops/pharmacies after the 2009 reforms, which allowed free access to primary care for treatment and drugs</w:t>
      </w:r>
      <w:hyperlink w:anchor="_ENREF_70" w:tooltip="McPake, 2013 #74" w:history="1">
        <w:r w:rsidR="00FB10D4" w:rsidRPr="00882BEA">
          <w:fldChar w:fldCharType="begin"/>
        </w:r>
        <w:r w:rsidR="00FB10D4" w:rsidRPr="00882BEA">
          <w:instrText xml:space="preserve"> ADDIN EN.CITE &lt;EndNote&gt;&lt;Cite&gt;&lt;Author&gt;McPake&lt;/Author&gt;&lt;Year&gt;2013&lt;/Year&gt;&lt;RecNum&gt;74&lt;/RecNum&gt;&lt;DisplayText&gt;&lt;style face="superscript"&gt;70&lt;/style&gt;&lt;/DisplayText&gt;&lt;record&gt;&lt;rec-number&gt;74&lt;/rec-number&gt;&lt;foreign-keys&gt;&lt;key app="EN" db-id="2sp5tdttfertdledza9xaavpe5wrwzestvef"&gt;74&lt;/key&gt;&lt;/foreign-keys&gt;&lt;ref-type name="Journal Article"&gt;17&lt;/ref-type&gt;&lt;contributors&gt;&lt;authors&gt;&lt;author&gt;McPake, Barbara&lt;/author&gt;&lt;author&gt;Witter, Sophie&lt;/author&gt;&lt;author&gt;Ensor, Tim&lt;/author&gt;&lt;author&gt;Fustukian, Suzanne&lt;/author&gt;&lt;author&gt;Newlands, David&lt;/author&gt;&lt;author&gt;Martineau, Tim&lt;/author&gt;&lt;author&gt;Chirwa, Yotamu&lt;/author&gt;&lt;/authors&gt;&lt;/contributors&gt;&lt;titles&gt;&lt;title&gt;Removing financial barriers to access reproductive, maternal and newborn health services: the challenges and policy implications for human resources for health&lt;/title&gt;&lt;secondary-title&gt;Human Resources for Health&lt;/secondary-title&gt;&lt;/titles&gt;&lt;periodical&gt;&lt;full-title&gt;Human Resources for Health&lt;/full-title&gt;&lt;/periodical&gt;&lt;pages&gt;46&lt;/pages&gt;&lt;volume&gt;11&lt;/volume&gt;&lt;number&gt;1&lt;/number&gt;&lt;dates&gt;&lt;year&gt;2013&lt;/year&gt;&lt;/dates&gt;&lt;isbn&gt;1478-4491&lt;/isbn&gt;&lt;accession-num&gt;doi:10.1186/1478-4491-11-46&lt;/accession-num&gt;&lt;urls&gt;&lt;related-urls&gt;&lt;url&gt;http://www.human-resources-health.com/content/11/1/46&lt;/url&gt;&lt;/related-urls&gt;&lt;/urls&gt;&lt;/record&gt;&lt;/Cite&gt;&lt;/EndNote&gt;</w:instrText>
        </w:r>
        <w:r w:rsidR="00FB10D4" w:rsidRPr="00882BEA">
          <w:fldChar w:fldCharType="separate"/>
        </w:r>
        <w:r w:rsidR="00FB10D4" w:rsidRPr="00882BEA">
          <w:rPr>
            <w:noProof/>
            <w:vertAlign w:val="superscript"/>
          </w:rPr>
          <w:t>70</w:t>
        </w:r>
        <w:r w:rsidR="00FB10D4" w:rsidRPr="00882BEA">
          <w:fldChar w:fldCharType="end"/>
        </w:r>
      </w:hyperlink>
      <w:r w:rsidR="00403B4C" w:rsidRPr="00882BEA">
        <w:t>. Meanwhile in Tanzania, where charging continues, shop usage remains high and stable.</w:t>
      </w:r>
      <w:r w:rsidR="00403B4C">
        <w:t xml:space="preserve"> </w:t>
      </w:r>
    </w:p>
    <w:p w14:paraId="7E178141" w14:textId="77777777" w:rsidR="004010B5" w:rsidRDefault="004010B5" w:rsidP="004010B5">
      <w:pPr>
        <w:rPr>
          <w:b/>
          <w:noProof/>
          <w:lang w:eastAsia="en-GB"/>
        </w:rPr>
      </w:pPr>
      <w:r>
        <w:rPr>
          <w:b/>
        </w:rPr>
        <w:t xml:space="preserve">Figure </w:t>
      </w:r>
      <w:r w:rsidR="00CE2056">
        <w:rPr>
          <w:b/>
        </w:rPr>
        <w:t>4</w:t>
      </w:r>
      <w:r>
        <w:rPr>
          <w:b/>
        </w:rPr>
        <w:t>: Percentage of infants who were treated for diarrhoea taken to shops/pharmacies, other private facilities an</w:t>
      </w:r>
      <w:r w:rsidR="008545E9">
        <w:rPr>
          <w:b/>
        </w:rPr>
        <w:t>d public sector facilities, by country and y</w:t>
      </w:r>
      <w:r>
        <w:rPr>
          <w:b/>
        </w:rPr>
        <w:t xml:space="preserve">ear, with key health reforms </w:t>
      </w:r>
      <w:r>
        <w:rPr>
          <w:b/>
          <w:noProof/>
          <w:lang w:eastAsia="en-GB"/>
        </w:rPr>
        <w:t xml:space="preserve"> </w:t>
      </w:r>
    </w:p>
    <w:p w14:paraId="66C69FAF" w14:textId="77777777" w:rsidR="008545E9" w:rsidRDefault="008545E9" w:rsidP="004010B5">
      <w:pPr>
        <w:rPr>
          <w:b/>
        </w:rPr>
      </w:pPr>
      <w:r>
        <w:rPr>
          <w:noProof/>
          <w:lang w:eastAsia="en-GB"/>
        </w:rPr>
        <w:drawing>
          <wp:inline distT="0" distB="0" distL="0" distR="0" wp14:anchorId="1016CF98" wp14:editId="5626AF91">
            <wp:extent cx="5534108" cy="4039262"/>
            <wp:effectExtent l="0" t="0" r="9525" b="1841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CE8ED30" w14:textId="77777777" w:rsidR="004010B5" w:rsidRDefault="004010B5" w:rsidP="004010B5">
      <w:pPr>
        <w:spacing w:after="0"/>
      </w:pPr>
    </w:p>
    <w:p w14:paraId="3EE04ADD" w14:textId="77777777" w:rsidR="004010B5" w:rsidRDefault="004010B5" w:rsidP="004010B5">
      <w:pPr>
        <w:pBdr>
          <w:bottom w:val="single" w:sz="12" w:space="1" w:color="auto"/>
        </w:pBdr>
        <w:spacing w:after="0"/>
      </w:pPr>
      <w:r>
        <w:t>* Percentages may total more than 100% due to visits to multiple locations for care</w:t>
      </w:r>
    </w:p>
    <w:p w14:paraId="3DA4E703" w14:textId="77777777" w:rsidR="00CE2056" w:rsidRDefault="00CE2056" w:rsidP="002B48A0">
      <w:pPr>
        <w:spacing w:after="120"/>
        <w:rPr>
          <w:b/>
          <w:sz w:val="28"/>
          <w:szCs w:val="28"/>
        </w:rPr>
      </w:pPr>
    </w:p>
    <w:p w14:paraId="7A3F390D" w14:textId="77777777" w:rsidR="00EB74F1" w:rsidRPr="00A84F8C" w:rsidRDefault="00EB74F1" w:rsidP="002B48A0">
      <w:pPr>
        <w:spacing w:after="120"/>
        <w:rPr>
          <w:b/>
          <w:sz w:val="28"/>
          <w:szCs w:val="28"/>
        </w:rPr>
      </w:pPr>
      <w:r w:rsidRPr="00A84F8C">
        <w:rPr>
          <w:b/>
          <w:sz w:val="28"/>
          <w:szCs w:val="28"/>
        </w:rPr>
        <w:t>Conclusion</w:t>
      </w:r>
      <w:r w:rsidR="001E5161" w:rsidRPr="00A84F8C">
        <w:rPr>
          <w:b/>
          <w:sz w:val="28"/>
          <w:szCs w:val="28"/>
        </w:rPr>
        <w:t xml:space="preserve"> </w:t>
      </w:r>
    </w:p>
    <w:p w14:paraId="667C9531" w14:textId="77777777" w:rsidR="004E620C" w:rsidRPr="00882BEA" w:rsidRDefault="00EB74F1" w:rsidP="00EB74F1">
      <w:pPr>
        <w:spacing w:after="0"/>
      </w:pPr>
      <w:r w:rsidRPr="00A84F8C">
        <w:t xml:space="preserve">We have shown that it is possible, for </w:t>
      </w:r>
      <w:r w:rsidR="00710C83">
        <w:t xml:space="preserve">a number of illustrative </w:t>
      </w:r>
      <w:r w:rsidRPr="00A84F8C">
        <w:t>countries, to compile</w:t>
      </w:r>
      <w:r w:rsidR="00CF7D01">
        <w:t xml:space="preserve"> from existing data</w:t>
      </w:r>
      <w:r w:rsidRPr="00A84F8C">
        <w:t xml:space="preserve"> a comparative, though not w</w:t>
      </w:r>
      <w:r w:rsidR="00937E87">
        <w:t>holly comparable, understanding of</w:t>
      </w:r>
      <w:r w:rsidRPr="00A84F8C">
        <w:t xml:space="preserve"> </w:t>
      </w:r>
      <w:r w:rsidR="00937E87">
        <w:t xml:space="preserve">different </w:t>
      </w:r>
      <w:r w:rsidRPr="00A84F8C">
        <w:t>private health sector</w:t>
      </w:r>
      <w:r w:rsidR="00937E87">
        <w:t>s</w:t>
      </w:r>
      <w:r w:rsidR="00FF3AA6">
        <w:t>, including the segment(s)</w:t>
      </w:r>
      <w:r w:rsidRPr="00A84F8C">
        <w:t xml:space="preserve"> of the population served.  The </w:t>
      </w:r>
      <w:r w:rsidR="00C97741">
        <w:t xml:space="preserve">patterns </w:t>
      </w:r>
      <w:r w:rsidR="00517CD9">
        <w:t>implied</w:t>
      </w:r>
      <w:r w:rsidR="00C97741">
        <w:t xml:space="preserve"> by the </w:t>
      </w:r>
      <w:r w:rsidRPr="00A84F8C">
        <w:t xml:space="preserve">three </w:t>
      </w:r>
      <w:r w:rsidR="002326E1" w:rsidRPr="00A84F8C">
        <w:t>metric</w:t>
      </w:r>
      <w:r w:rsidR="00C97741">
        <w:t>s</w:t>
      </w:r>
      <w:r w:rsidR="00923851">
        <w:t xml:space="preserve"> </w:t>
      </w:r>
      <w:r w:rsidR="002326E1" w:rsidRPr="00A84F8C">
        <w:t xml:space="preserve">proposed </w:t>
      </w:r>
      <w:r w:rsidR="00C97741">
        <w:t xml:space="preserve">here </w:t>
      </w:r>
      <w:r w:rsidR="00517CD9">
        <w:t xml:space="preserve">(Table 1) </w:t>
      </w:r>
      <w:r w:rsidRPr="00A84F8C">
        <w:t xml:space="preserve">can be </w:t>
      </w:r>
      <w:r w:rsidR="00D43780">
        <w:t xml:space="preserve">used </w:t>
      </w:r>
      <w:r w:rsidR="00517CD9">
        <w:t xml:space="preserve">in conjunction with </w:t>
      </w:r>
      <w:r w:rsidR="002326E1" w:rsidRPr="00A84F8C">
        <w:t xml:space="preserve">qualitative evidence </w:t>
      </w:r>
      <w:r w:rsidRPr="00A84F8C">
        <w:t xml:space="preserve">to </w:t>
      </w:r>
      <w:r w:rsidR="002326E1" w:rsidRPr="00A84F8C">
        <w:t xml:space="preserve">generate an </w:t>
      </w:r>
      <w:r w:rsidRPr="00A84F8C">
        <w:t xml:space="preserve">emerging </w:t>
      </w:r>
      <w:r w:rsidR="0029410F">
        <w:t xml:space="preserve">typology </w:t>
      </w:r>
      <w:r w:rsidRPr="00A84F8C">
        <w:t xml:space="preserve">of the roles of private sector health care within </w:t>
      </w:r>
      <w:r w:rsidR="002326E1" w:rsidRPr="00A84F8C">
        <w:t xml:space="preserve">mixed LMIC </w:t>
      </w:r>
      <w:r w:rsidRPr="00A84F8C">
        <w:t>health systems</w:t>
      </w:r>
      <w:r w:rsidR="00937E87">
        <w:t xml:space="preserve">, and </w:t>
      </w:r>
      <w:r w:rsidR="00937E87" w:rsidRPr="00882BEA">
        <w:t>their</w:t>
      </w:r>
      <w:r w:rsidR="00D43780" w:rsidRPr="00882BEA">
        <w:t xml:space="preserve"> consequences for access to care</w:t>
      </w:r>
      <w:r w:rsidRPr="00882BEA">
        <w:t>.  Countries can be grouped by key characteristics,</w:t>
      </w:r>
      <w:r w:rsidR="0029410F" w:rsidRPr="00882BEA">
        <w:t xml:space="preserve"> </w:t>
      </w:r>
      <w:r w:rsidR="000B518A" w:rsidRPr="00882BEA">
        <w:t xml:space="preserve">including </w:t>
      </w:r>
      <w:r w:rsidR="00B2570E" w:rsidRPr="00882BEA">
        <w:t>the pattern of stra</w:t>
      </w:r>
      <w:r w:rsidR="000B518A" w:rsidRPr="00882BEA">
        <w:t>ti</w:t>
      </w:r>
      <w:r w:rsidR="00D43780" w:rsidRPr="00882BEA">
        <w:t xml:space="preserve">fication of private sector use, the scale and accessibility of public provision, </w:t>
      </w:r>
      <w:r w:rsidR="000B518A" w:rsidRPr="00882BEA">
        <w:t xml:space="preserve">and the extent of reliance of the poor on out-of-pocket payment.  </w:t>
      </w:r>
    </w:p>
    <w:p w14:paraId="5474612D" w14:textId="77777777" w:rsidR="004E620C" w:rsidRPr="00882BEA" w:rsidRDefault="004E620C" w:rsidP="00EB74F1">
      <w:pPr>
        <w:spacing w:after="0"/>
      </w:pPr>
    </w:p>
    <w:p w14:paraId="0FC0D62A" w14:textId="77777777" w:rsidR="00EB74F1" w:rsidRPr="00882BEA" w:rsidRDefault="000B518A" w:rsidP="00EB74F1">
      <w:pPr>
        <w:spacing w:after="0"/>
      </w:pPr>
      <w:r w:rsidRPr="00882BEA">
        <w:t>W</w:t>
      </w:r>
      <w:r w:rsidR="00EB74F1" w:rsidRPr="00882BEA">
        <w:t xml:space="preserve">e have </w:t>
      </w:r>
      <w:r w:rsidR="004E620C" w:rsidRPr="00882BEA">
        <w:t xml:space="preserve">also </w:t>
      </w:r>
      <w:r w:rsidR="00EB74F1" w:rsidRPr="00882BEA">
        <w:t>shown</w:t>
      </w:r>
      <w:r w:rsidR="00153693" w:rsidRPr="00882BEA">
        <w:t>, through the analysis of data on four low income countries (Section 5), and by the contrast between Sri Lanka and India (Sections 1 and 2)</w:t>
      </w:r>
      <w:r w:rsidR="00EB74F1" w:rsidRPr="00882BEA">
        <w:t xml:space="preserve"> that the public sector</w:t>
      </w:r>
      <w:r w:rsidRPr="00882BEA">
        <w:t>’s</w:t>
      </w:r>
      <w:r w:rsidR="00EB74F1" w:rsidRPr="00882BEA">
        <w:t xml:space="preserve"> size and behaviour </w:t>
      </w:r>
      <w:r w:rsidR="004E620C" w:rsidRPr="00882BEA">
        <w:t xml:space="preserve">can </w:t>
      </w:r>
      <w:r w:rsidR="0029410F" w:rsidRPr="00882BEA">
        <w:t xml:space="preserve">influence </w:t>
      </w:r>
      <w:r w:rsidR="00EB74F1" w:rsidRPr="00882BEA">
        <w:t>the patterning of private sector roles and behaviour</w:t>
      </w:r>
      <w:r w:rsidR="00153693" w:rsidRPr="00882BEA">
        <w:t xml:space="preserve">. The cases of South Africa and Argentina (Section 3) illustrate the interaction between their particular configuration of the private sector and social stratification, </w:t>
      </w:r>
      <w:r w:rsidR="00CE2056" w:rsidRPr="00882BEA">
        <w:t xml:space="preserve">with </w:t>
      </w:r>
      <w:r w:rsidR="004E620C" w:rsidRPr="00882BEA">
        <w:t>consequences for inequality</w:t>
      </w:r>
      <w:r w:rsidR="00EB74F1" w:rsidRPr="00882BEA">
        <w:t xml:space="preserve">. </w:t>
      </w:r>
      <w:r w:rsidR="00153693" w:rsidRPr="00882BEA">
        <w:t xml:space="preserve">The case of reform in China </w:t>
      </w:r>
      <w:r w:rsidR="00CE2056" w:rsidRPr="00882BEA">
        <w:t xml:space="preserve">(Section 4) </w:t>
      </w:r>
      <w:r w:rsidR="00153693" w:rsidRPr="00882BEA">
        <w:t xml:space="preserve">illustrates the impact of public sector organisational change on the position of the private sector. </w:t>
      </w:r>
      <w:r w:rsidR="00EB74F1" w:rsidRPr="00882BEA">
        <w:t xml:space="preserve"> </w:t>
      </w:r>
      <w:r w:rsidR="0029410F" w:rsidRPr="00882BEA">
        <w:t>A reinvigorated and accessible public sector</w:t>
      </w:r>
      <w:r w:rsidR="00153693" w:rsidRPr="00882BEA">
        <w:t xml:space="preserve">, sometimes alongside major expansion of social insurance, </w:t>
      </w:r>
      <w:r w:rsidR="0029410F" w:rsidRPr="00882BEA">
        <w:t>can reshape private sector roles and behaviour with</w:t>
      </w:r>
      <w:r w:rsidR="00CF7D01" w:rsidRPr="00882BEA">
        <w:t>in mixed LMIC</w:t>
      </w:r>
      <w:r w:rsidR="0029410F" w:rsidRPr="00882BEA">
        <w:t xml:space="preserve"> health care systems</w:t>
      </w:r>
      <w:r w:rsidR="00AF5896" w:rsidRPr="00882BEA">
        <w:t xml:space="preserve"> to support moves towards universal health coverage</w:t>
      </w:r>
      <w:r w:rsidR="0029410F" w:rsidRPr="00882BEA">
        <w:t xml:space="preserve">. </w:t>
      </w:r>
    </w:p>
    <w:p w14:paraId="73E4C26D" w14:textId="77777777" w:rsidR="00CF7D01" w:rsidRPr="00882BEA" w:rsidRDefault="00CF7D01" w:rsidP="00EB74F1">
      <w:pPr>
        <w:rPr>
          <w:b/>
          <w:sz w:val="24"/>
          <w:szCs w:val="24"/>
        </w:rPr>
      </w:pPr>
    </w:p>
    <w:p w14:paraId="2A03C024" w14:textId="77777777" w:rsidR="006D2F04" w:rsidRPr="00A84F8C" w:rsidRDefault="006D2F04" w:rsidP="00EB74F1">
      <w:pPr>
        <w:rPr>
          <w:b/>
          <w:sz w:val="24"/>
          <w:szCs w:val="24"/>
        </w:rPr>
      </w:pPr>
      <w:r w:rsidRPr="00882BEA">
        <w:rPr>
          <w:b/>
          <w:sz w:val="24"/>
          <w:szCs w:val="24"/>
        </w:rPr>
        <w:t>Authors’ contributions</w:t>
      </w:r>
    </w:p>
    <w:p w14:paraId="6CEEF852" w14:textId="77777777" w:rsidR="006D2F04" w:rsidRPr="00A84F8C" w:rsidRDefault="00CE2056" w:rsidP="00EB74F1">
      <w:r w:rsidRPr="00A84F8C">
        <w:t xml:space="preserve">All authors contributed to design </w:t>
      </w:r>
      <w:r w:rsidRPr="00CE2056">
        <w:t>of consecutive</w:t>
      </w:r>
      <w:r>
        <w:t xml:space="preserve"> drafts,</w:t>
      </w:r>
      <w:r w:rsidRPr="00A84F8C">
        <w:t xml:space="preserve"> read and commented on </w:t>
      </w:r>
      <w:r>
        <w:t xml:space="preserve">all </w:t>
      </w:r>
      <w:r w:rsidRPr="00A84F8C">
        <w:t>drafts</w:t>
      </w:r>
      <w:r>
        <w:t>,</w:t>
      </w:r>
      <w:r w:rsidRPr="00A84F8C">
        <w:t xml:space="preserve"> and provided data and ideas for the </w:t>
      </w:r>
      <w:r>
        <w:t xml:space="preserve">article as a whole.  </w:t>
      </w:r>
      <w:r w:rsidRPr="00A84F8C">
        <w:t xml:space="preserve">MM coordinated the paper, with AC; </w:t>
      </w:r>
      <w:r>
        <w:t xml:space="preserve">MM </w:t>
      </w:r>
      <w:r w:rsidRPr="00A84F8C">
        <w:t>dr</w:t>
      </w:r>
      <w:r>
        <w:t>afted the introductory and overview sections</w:t>
      </w:r>
      <w:r w:rsidRPr="00A84F8C">
        <w:t xml:space="preserve"> and undertook overall editing. AK and SS drafted the section on India. HZ drafted the section on China. EC drafted the material on Sri Lanka and Argentina. AC</w:t>
      </w:r>
      <w:r>
        <w:t xml:space="preserve"> drafted the section on </w:t>
      </w:r>
      <w:r w:rsidRPr="00CE2056">
        <w:t>Tanzania, Nepal, Ghana and Malawi.</w:t>
      </w:r>
      <w:r>
        <w:t xml:space="preserve"> All authors</w:t>
      </w:r>
      <w:r w:rsidRPr="00A84F8C">
        <w:t xml:space="preserve"> approve</w:t>
      </w:r>
      <w:r>
        <w:t>d</w:t>
      </w:r>
      <w:r w:rsidRPr="00A84F8C">
        <w:t xml:space="preserve"> the final draft.</w:t>
      </w:r>
    </w:p>
    <w:p w14:paraId="26B95A6D" w14:textId="77777777" w:rsidR="00CE2056" w:rsidRDefault="00CE2056" w:rsidP="00CE2056">
      <w:pPr>
        <w:rPr>
          <w:b/>
          <w:sz w:val="24"/>
          <w:szCs w:val="24"/>
        </w:rPr>
      </w:pPr>
      <w:r>
        <w:rPr>
          <w:b/>
          <w:sz w:val="24"/>
          <w:szCs w:val="24"/>
        </w:rPr>
        <w:t>Conflicts of interest</w:t>
      </w:r>
    </w:p>
    <w:p w14:paraId="2FCECC29" w14:textId="77777777" w:rsidR="00CE2056" w:rsidRPr="00D73CD8" w:rsidRDefault="00CE2056" w:rsidP="00CE2056">
      <w:r w:rsidRPr="00D73CD8">
        <w:t>None stated.</w:t>
      </w:r>
    </w:p>
    <w:p w14:paraId="2B7AFC17" w14:textId="77777777" w:rsidR="00D4483A" w:rsidRPr="00937E87" w:rsidRDefault="00C41626" w:rsidP="00C41626">
      <w:pPr>
        <w:rPr>
          <w:b/>
          <w:sz w:val="28"/>
          <w:szCs w:val="28"/>
        </w:rPr>
      </w:pPr>
      <w:r w:rsidRPr="00937E87">
        <w:rPr>
          <w:b/>
          <w:sz w:val="28"/>
          <w:szCs w:val="28"/>
        </w:rPr>
        <w:t xml:space="preserve">References </w:t>
      </w:r>
    </w:p>
    <w:p w14:paraId="0F30A053" w14:textId="77777777" w:rsidR="00FB10D4" w:rsidRPr="00FB10D4" w:rsidRDefault="0007630F" w:rsidP="00FB10D4">
      <w:pPr>
        <w:pStyle w:val="EndNoteBibliography"/>
        <w:spacing w:after="0"/>
      </w:pPr>
      <w:r w:rsidRPr="00A84F8C">
        <w:rPr>
          <w:b/>
        </w:rPr>
        <w:fldChar w:fldCharType="begin"/>
      </w:r>
      <w:r w:rsidR="00D4483A" w:rsidRPr="00A84F8C">
        <w:rPr>
          <w:b/>
        </w:rPr>
        <w:instrText xml:space="preserve"> ADDIN EN.REFLIST </w:instrText>
      </w:r>
      <w:r w:rsidRPr="00A84F8C">
        <w:rPr>
          <w:b/>
        </w:rPr>
        <w:fldChar w:fldCharType="separate"/>
      </w:r>
      <w:bookmarkStart w:id="1" w:name="_ENREF_1"/>
      <w:r w:rsidR="00FB10D4" w:rsidRPr="00FB10D4">
        <w:t>1.</w:t>
      </w:r>
      <w:r w:rsidR="00FB10D4" w:rsidRPr="00FB10D4">
        <w:tab/>
        <w:t xml:space="preserve">Marten R, McIntyre D, Travassos C, et al. An assessment of progress towards universal health coverage in Brazil, Russia, India, China, and South Africa (BRICS). </w:t>
      </w:r>
      <w:r w:rsidR="00FB10D4" w:rsidRPr="00FB10D4">
        <w:rPr>
          <w:i/>
        </w:rPr>
        <w:t>The Lancet</w:t>
      </w:r>
      <w:r w:rsidR="00FB10D4" w:rsidRPr="00FB10D4">
        <w:t xml:space="preserve"> 2014.</w:t>
      </w:r>
      <w:bookmarkEnd w:id="1"/>
    </w:p>
    <w:p w14:paraId="166DF66F" w14:textId="77777777" w:rsidR="00FB10D4" w:rsidRPr="00FB10D4" w:rsidRDefault="00FB10D4" w:rsidP="00FB10D4">
      <w:pPr>
        <w:pStyle w:val="EndNoteBibliography"/>
        <w:spacing w:after="0"/>
      </w:pPr>
      <w:bookmarkStart w:id="2" w:name="_ENREF_2"/>
      <w:r w:rsidRPr="00FB10D4">
        <w:t>2.</w:t>
      </w:r>
      <w:r w:rsidRPr="00FB10D4">
        <w:tab/>
        <w:t xml:space="preserve">Stallworthy G, Boahene K, Ohiri K, Pamba A, Knezovich J. Roundtable discussion: what is the future role of the private sector in health? </w:t>
      </w:r>
      <w:r w:rsidRPr="00FB10D4">
        <w:rPr>
          <w:i/>
        </w:rPr>
        <w:t>Globalization and Health</w:t>
      </w:r>
      <w:r w:rsidRPr="00FB10D4">
        <w:t xml:space="preserve"> 2014; </w:t>
      </w:r>
      <w:r w:rsidRPr="00FB10D4">
        <w:rPr>
          <w:b/>
        </w:rPr>
        <w:t>10</w:t>
      </w:r>
      <w:r w:rsidRPr="00FB10D4">
        <w:t>(1): 55.</w:t>
      </w:r>
      <w:bookmarkEnd w:id="2"/>
    </w:p>
    <w:p w14:paraId="3B766C81" w14:textId="77777777" w:rsidR="00FB10D4" w:rsidRPr="00FB10D4" w:rsidRDefault="00FB10D4" w:rsidP="00FB10D4">
      <w:pPr>
        <w:pStyle w:val="EndNoteBibliography"/>
        <w:spacing w:after="0"/>
      </w:pPr>
      <w:bookmarkStart w:id="3" w:name="_ENREF_3"/>
      <w:r w:rsidRPr="00FB10D4">
        <w:t>3.</w:t>
      </w:r>
      <w:r w:rsidRPr="00FB10D4">
        <w:tab/>
        <w:t xml:space="preserve">Tung E, Bennett S. Private sector, for-profit health providers in low and middle income countries: can they reach the poor at scale? </w:t>
      </w:r>
      <w:r w:rsidRPr="00FB10D4">
        <w:rPr>
          <w:i/>
        </w:rPr>
        <w:t>Globalization and Health</w:t>
      </w:r>
      <w:r w:rsidRPr="00FB10D4">
        <w:t xml:space="preserve"> 2014; </w:t>
      </w:r>
      <w:r w:rsidRPr="00FB10D4">
        <w:rPr>
          <w:b/>
        </w:rPr>
        <w:t>10</w:t>
      </w:r>
      <w:r w:rsidRPr="00FB10D4">
        <w:t>(1): 52.</w:t>
      </w:r>
      <w:bookmarkEnd w:id="3"/>
    </w:p>
    <w:p w14:paraId="6ADF958A" w14:textId="77777777" w:rsidR="00FB10D4" w:rsidRPr="00FB10D4" w:rsidRDefault="00FB10D4" w:rsidP="00FB10D4">
      <w:pPr>
        <w:pStyle w:val="EndNoteBibliography"/>
        <w:spacing w:after="0"/>
      </w:pPr>
      <w:bookmarkStart w:id="4" w:name="_ENREF_4"/>
      <w:r w:rsidRPr="00FB10D4">
        <w:t>4.</w:t>
      </w:r>
      <w:r w:rsidRPr="00FB10D4">
        <w:tab/>
        <w:t>World health Organisation. World Health Statistics Geneva, 2012.</w:t>
      </w:r>
      <w:bookmarkEnd w:id="4"/>
    </w:p>
    <w:p w14:paraId="197AE1A7" w14:textId="77777777" w:rsidR="00FB10D4" w:rsidRPr="00FB10D4" w:rsidRDefault="00FB10D4" w:rsidP="00FB10D4">
      <w:pPr>
        <w:pStyle w:val="EndNoteBibliography"/>
        <w:spacing w:after="0"/>
      </w:pPr>
      <w:bookmarkStart w:id="5" w:name="_ENREF_5"/>
      <w:r w:rsidRPr="00FB10D4">
        <w:t>5.</w:t>
      </w:r>
      <w:r w:rsidRPr="00FB10D4">
        <w:tab/>
        <w:t>World Bank. The World Bank Data Catalog. 2013.</w:t>
      </w:r>
      <w:bookmarkEnd w:id="5"/>
    </w:p>
    <w:p w14:paraId="1B19C37B" w14:textId="43EAA29A" w:rsidR="00FB10D4" w:rsidRPr="00FB10D4" w:rsidRDefault="00FB10D4" w:rsidP="00FB10D4">
      <w:pPr>
        <w:pStyle w:val="EndNoteBibliography"/>
        <w:spacing w:after="0"/>
      </w:pPr>
      <w:bookmarkStart w:id="6" w:name="_ENREF_6"/>
      <w:r w:rsidRPr="00FB10D4">
        <w:t>6.</w:t>
      </w:r>
      <w:r w:rsidRPr="00FB10D4">
        <w:tab/>
        <w:t xml:space="preserve">Ministry of Statistics and Programme Implementation. National Sample Survey Reports. 2015. </w:t>
      </w:r>
      <w:hyperlink r:id="rId14" w:history="1">
        <w:r w:rsidRPr="00FB10D4">
          <w:rPr>
            <w:rStyle w:val="Hyperlink"/>
          </w:rPr>
          <w:t>http://mospi.nic.in/Mospi_New/site/inner.aspx?status=3&amp;menu_id=31</w:t>
        </w:r>
      </w:hyperlink>
      <w:r w:rsidRPr="00FB10D4">
        <w:t xml:space="preserve"> (accessed 12/09/2015.</w:t>
      </w:r>
      <w:bookmarkEnd w:id="6"/>
    </w:p>
    <w:p w14:paraId="60A1C8E8" w14:textId="05F5F820" w:rsidR="00FB10D4" w:rsidRPr="00FB10D4" w:rsidRDefault="00FB10D4" w:rsidP="00FB10D4">
      <w:pPr>
        <w:pStyle w:val="EndNoteBibliography"/>
        <w:spacing w:after="0"/>
      </w:pPr>
      <w:bookmarkStart w:id="7" w:name="_ENREF_7"/>
      <w:r w:rsidRPr="00FB10D4">
        <w:t>7.</w:t>
      </w:r>
      <w:r w:rsidRPr="00FB10D4">
        <w:tab/>
        <w:t xml:space="preserve">ICF International. Measure DHS. 2013. </w:t>
      </w:r>
      <w:hyperlink r:id="rId15" w:history="1">
        <w:r w:rsidRPr="00FB10D4">
          <w:rPr>
            <w:rStyle w:val="Hyperlink"/>
          </w:rPr>
          <w:t>http://www.measuredhs.com/</w:t>
        </w:r>
      </w:hyperlink>
      <w:r w:rsidRPr="00FB10D4">
        <w:t xml:space="preserve"> (accessed 28/10/2013 2013).</w:t>
      </w:r>
      <w:bookmarkEnd w:id="7"/>
    </w:p>
    <w:p w14:paraId="15A517BF" w14:textId="77777777" w:rsidR="00FB10D4" w:rsidRPr="00FB10D4" w:rsidRDefault="00FB10D4" w:rsidP="00FB10D4">
      <w:pPr>
        <w:pStyle w:val="EndNoteBibliography"/>
        <w:spacing w:after="0"/>
      </w:pPr>
      <w:bookmarkStart w:id="8" w:name="_ENREF_8"/>
      <w:r w:rsidRPr="00FB10D4">
        <w:t>8.</w:t>
      </w:r>
      <w:r w:rsidRPr="00FB10D4">
        <w:tab/>
        <w:t>World Health Organisation. Global Health Expenditure Database. Geneva; 2013.</w:t>
      </w:r>
      <w:bookmarkEnd w:id="8"/>
    </w:p>
    <w:p w14:paraId="0EEED6CC" w14:textId="77777777" w:rsidR="00FB10D4" w:rsidRPr="00FB10D4" w:rsidRDefault="00FB10D4" w:rsidP="00FB10D4">
      <w:pPr>
        <w:pStyle w:val="EndNoteBibliography"/>
        <w:spacing w:after="0"/>
      </w:pPr>
      <w:bookmarkStart w:id="9" w:name="_ENREF_9"/>
      <w:r w:rsidRPr="00FB10D4">
        <w:t>9.</w:t>
      </w:r>
      <w:r w:rsidRPr="00FB10D4">
        <w:tab/>
        <w:t>Rannan-Eliya RP, Lorenzoni L. Guidelines for Improving the Comparability and Availability of Private Health Expenditures Under the System of Health Accounts Framework: OECD Publishing; 2010.</w:t>
      </w:r>
      <w:bookmarkEnd w:id="9"/>
    </w:p>
    <w:p w14:paraId="0A7A0597" w14:textId="77777777" w:rsidR="00FB10D4" w:rsidRPr="00FB10D4" w:rsidRDefault="00FB10D4" w:rsidP="00FB10D4">
      <w:pPr>
        <w:pStyle w:val="EndNoteBibliography"/>
        <w:spacing w:after="0"/>
      </w:pPr>
      <w:bookmarkStart w:id="10" w:name="_ENREF_10"/>
      <w:r w:rsidRPr="00FB10D4">
        <w:t>10.</w:t>
      </w:r>
      <w:r w:rsidRPr="00FB10D4">
        <w:tab/>
        <w:t xml:space="preserve">Hanson K, Berman P. Private Health Care Provision in Developing Countries: A Preliminary Analysis of Levels and Composition. </w:t>
      </w:r>
      <w:r w:rsidRPr="00FB10D4">
        <w:rPr>
          <w:i/>
        </w:rPr>
        <w:t>Health Policy and Planning</w:t>
      </w:r>
      <w:r w:rsidRPr="00FB10D4">
        <w:t xml:space="preserve"> 1998; </w:t>
      </w:r>
      <w:r w:rsidRPr="00FB10D4">
        <w:rPr>
          <w:b/>
        </w:rPr>
        <w:t>13</w:t>
      </w:r>
      <w:r w:rsidRPr="00FB10D4">
        <w:t>(3): 195-211.</w:t>
      </w:r>
      <w:bookmarkEnd w:id="10"/>
    </w:p>
    <w:p w14:paraId="464FC1B0" w14:textId="77777777" w:rsidR="00FB10D4" w:rsidRPr="00FB10D4" w:rsidRDefault="00FB10D4" w:rsidP="00FB10D4">
      <w:pPr>
        <w:pStyle w:val="EndNoteBibliography"/>
        <w:spacing w:after="0"/>
      </w:pPr>
      <w:bookmarkStart w:id="11" w:name="_ENREF_11"/>
      <w:r w:rsidRPr="00FB10D4">
        <w:t>11.</w:t>
      </w:r>
      <w:r w:rsidRPr="00FB10D4">
        <w:tab/>
        <w:t>Mackintosh M, Koivusalo M. Health systems and commercialization: in search of good sense. In: Mackintosh M, Koivusalo M, eds. Commercialization of Health Care: Global and Local Dynamics and Policy Responses. Basingstoke: Palgrave Macmillan; 2005.</w:t>
      </w:r>
      <w:bookmarkEnd w:id="11"/>
    </w:p>
    <w:p w14:paraId="62ED0014" w14:textId="77777777" w:rsidR="00FB10D4" w:rsidRPr="00FB10D4" w:rsidRDefault="00FB10D4" w:rsidP="00FB10D4">
      <w:pPr>
        <w:pStyle w:val="EndNoteBibliography"/>
        <w:spacing w:after="0"/>
      </w:pPr>
      <w:bookmarkStart w:id="12" w:name="_ENREF_12"/>
      <w:r w:rsidRPr="00FB10D4">
        <w:t>12.</w:t>
      </w:r>
      <w:r w:rsidRPr="00FB10D4">
        <w:tab/>
        <w:t>World Health Organisation. World Health Statistics 2015. Geneva: WHO, 2015.</w:t>
      </w:r>
      <w:bookmarkEnd w:id="12"/>
    </w:p>
    <w:p w14:paraId="7827A2D6" w14:textId="77777777" w:rsidR="00FB10D4" w:rsidRPr="00FB10D4" w:rsidRDefault="00FB10D4" w:rsidP="00FB10D4">
      <w:pPr>
        <w:pStyle w:val="EndNoteBibliography"/>
        <w:spacing w:after="0"/>
      </w:pPr>
      <w:bookmarkStart w:id="13" w:name="_ENREF_13"/>
      <w:r w:rsidRPr="00FB10D4">
        <w:t>13.</w:t>
      </w:r>
      <w:r w:rsidRPr="00FB10D4">
        <w:tab/>
        <w:t>Government of India. National Health Accounts– India (2004–05) – with provisional estimates from 2005-06 to 2008-09. In: National Health Accounts Cell, Ministry of Health and Family Welfare, editors. New Delhi; 2009.</w:t>
      </w:r>
      <w:bookmarkEnd w:id="13"/>
    </w:p>
    <w:p w14:paraId="4DD0F858" w14:textId="77777777" w:rsidR="00FB10D4" w:rsidRPr="00FB10D4" w:rsidRDefault="00FB10D4" w:rsidP="00FB10D4">
      <w:pPr>
        <w:pStyle w:val="EndNoteBibliography"/>
        <w:spacing w:after="0"/>
      </w:pPr>
      <w:bookmarkStart w:id="14" w:name="_ENREF_14"/>
      <w:r w:rsidRPr="00FB10D4">
        <w:t>14.</w:t>
      </w:r>
      <w:r w:rsidRPr="00FB10D4">
        <w:tab/>
        <w:t xml:space="preserve">Onwujekwe O, Onoka C, Uzochukwu B, Hanson K. Constraints to universal coverage: inequities in health service use and expenditures for different health conditions and providers. </w:t>
      </w:r>
      <w:r w:rsidRPr="00FB10D4">
        <w:rPr>
          <w:i/>
        </w:rPr>
        <w:t>International Journal for Equity in Health</w:t>
      </w:r>
      <w:r w:rsidRPr="00FB10D4">
        <w:t xml:space="preserve"> 2011; </w:t>
      </w:r>
      <w:r w:rsidRPr="00FB10D4">
        <w:rPr>
          <w:b/>
        </w:rPr>
        <w:t>10</w:t>
      </w:r>
      <w:r w:rsidRPr="00FB10D4">
        <w:t>(1): 50.</w:t>
      </w:r>
      <w:bookmarkEnd w:id="14"/>
    </w:p>
    <w:p w14:paraId="0317F959" w14:textId="77777777" w:rsidR="00FB10D4" w:rsidRPr="00FB10D4" w:rsidRDefault="00FB10D4" w:rsidP="00FB10D4">
      <w:pPr>
        <w:pStyle w:val="EndNoteBibliography"/>
        <w:spacing w:after="0"/>
      </w:pPr>
      <w:bookmarkStart w:id="15" w:name="_ENREF_15"/>
      <w:r w:rsidRPr="00FB10D4">
        <w:t>15.</w:t>
      </w:r>
      <w:r w:rsidRPr="00FB10D4">
        <w:tab/>
        <w:t>Soyibo A, Olaniyan O, Lawanson A. National Health Accounts of Nigeria, 2003 – 2005, Incorporating Sub-National Health Accounts of States Volume 1: Main Report. Health Policy Training and Research Programme, Department of Economics, University of Ibadan, Nigeria,: Submitted to Federal Ministry of Health, Abuja, 2009.</w:t>
      </w:r>
      <w:bookmarkEnd w:id="15"/>
    </w:p>
    <w:p w14:paraId="0D05680A" w14:textId="77777777" w:rsidR="00FB10D4" w:rsidRPr="00FB10D4" w:rsidRDefault="00FB10D4" w:rsidP="00FB10D4">
      <w:pPr>
        <w:pStyle w:val="EndNoteBibliography"/>
        <w:spacing w:after="0"/>
      </w:pPr>
      <w:bookmarkStart w:id="16" w:name="_ENREF_16"/>
      <w:r w:rsidRPr="00FB10D4">
        <w:t>16.</w:t>
      </w:r>
      <w:r w:rsidRPr="00FB10D4">
        <w:tab/>
        <w:t>Govindaraj R, Cavagnero E, Navaratne K, Gopalan S. Sri Lanka: Private Health Sector Review Washington DC: World Bank, 2013.</w:t>
      </w:r>
      <w:bookmarkEnd w:id="16"/>
    </w:p>
    <w:p w14:paraId="5C58F5BE" w14:textId="77777777" w:rsidR="00FB10D4" w:rsidRPr="00FB10D4" w:rsidRDefault="00FB10D4" w:rsidP="00FB10D4">
      <w:pPr>
        <w:pStyle w:val="EndNoteBibliography"/>
        <w:spacing w:after="0"/>
      </w:pPr>
      <w:bookmarkStart w:id="17" w:name="_ENREF_17"/>
      <w:r w:rsidRPr="00FB10D4">
        <w:t>17.</w:t>
      </w:r>
      <w:r w:rsidRPr="00FB10D4">
        <w:tab/>
        <w:t>Fernando T, Rannan-Eliya RP, Jayasundara JMH. Sri Lanka Health Accounts: National Health Expenditures 1990–2006. Colombo: Institute for Health Policy, 2009.</w:t>
      </w:r>
      <w:bookmarkEnd w:id="17"/>
    </w:p>
    <w:p w14:paraId="08BADE96" w14:textId="77777777" w:rsidR="00FB10D4" w:rsidRPr="00FB10D4" w:rsidRDefault="00FB10D4" w:rsidP="00FB10D4">
      <w:pPr>
        <w:pStyle w:val="EndNoteBibliography"/>
        <w:spacing w:after="0"/>
      </w:pPr>
      <w:bookmarkStart w:id="18" w:name="_ENREF_18"/>
      <w:r w:rsidRPr="00FB10D4">
        <w:t>18.</w:t>
      </w:r>
      <w:r w:rsidRPr="00FB10D4">
        <w:tab/>
        <w:t>Yazbeck A, Peters D. Health Policy Research in South Asia: Building Capacity for Reform World Bank; 2003.</w:t>
      </w:r>
      <w:bookmarkEnd w:id="18"/>
    </w:p>
    <w:p w14:paraId="210F30BC" w14:textId="77777777" w:rsidR="00FB10D4" w:rsidRPr="00FB10D4" w:rsidRDefault="00FB10D4" w:rsidP="00FB10D4">
      <w:pPr>
        <w:pStyle w:val="EndNoteBibliography"/>
        <w:spacing w:after="0"/>
      </w:pPr>
      <w:bookmarkStart w:id="19" w:name="_ENREF_19"/>
      <w:r w:rsidRPr="00FB10D4">
        <w:t>19.</w:t>
      </w:r>
      <w:r w:rsidRPr="00FB10D4">
        <w:tab/>
        <w:t>Thailand National Statistical Office. The 2011 Survey on Health and Welfare, 2011.</w:t>
      </w:r>
      <w:bookmarkEnd w:id="19"/>
    </w:p>
    <w:p w14:paraId="52B84850" w14:textId="77777777" w:rsidR="00FB10D4" w:rsidRPr="00FB10D4" w:rsidRDefault="00FB10D4" w:rsidP="00FB10D4">
      <w:pPr>
        <w:pStyle w:val="EndNoteBibliography"/>
        <w:spacing w:after="0"/>
      </w:pPr>
      <w:bookmarkStart w:id="20" w:name="_ENREF_20"/>
      <w:r w:rsidRPr="00FB10D4">
        <w:t>20.</w:t>
      </w:r>
      <w:r w:rsidRPr="00FB10D4">
        <w:tab/>
        <w:t>Ministry of Public Health. Thai National Health Accounts: sustainable updates of 2006 and 2007 and diversification Thailand; 2009.</w:t>
      </w:r>
      <w:bookmarkEnd w:id="20"/>
    </w:p>
    <w:p w14:paraId="5E892AC8" w14:textId="77777777" w:rsidR="00FB10D4" w:rsidRPr="00FB10D4" w:rsidRDefault="00FB10D4" w:rsidP="00FB10D4">
      <w:pPr>
        <w:pStyle w:val="EndNoteBibliography"/>
        <w:spacing w:after="0"/>
        <w:rPr>
          <w:lang w:val="es-ES"/>
        </w:rPr>
      </w:pPr>
      <w:bookmarkStart w:id="21" w:name="_ENREF_21"/>
      <w:r w:rsidRPr="00FB10D4">
        <w:rPr>
          <w:lang w:val="es-ES"/>
        </w:rPr>
        <w:t>21.</w:t>
      </w:r>
      <w:r w:rsidRPr="00FB10D4">
        <w:rPr>
          <w:lang w:val="es-ES"/>
        </w:rPr>
        <w:tab/>
        <w:t>Ministry of Health. Encuesta de Utilizacion y Gasto en Servicios de Salud Argentina – Year 2010. Argentina, 2012.</w:t>
      </w:r>
      <w:bookmarkEnd w:id="21"/>
    </w:p>
    <w:p w14:paraId="255649B9" w14:textId="77777777" w:rsidR="00FB10D4" w:rsidRPr="00FB10D4" w:rsidRDefault="00FB10D4" w:rsidP="00FB10D4">
      <w:pPr>
        <w:pStyle w:val="EndNoteBibliography"/>
        <w:spacing w:after="0"/>
        <w:rPr>
          <w:lang w:val="es-ES"/>
        </w:rPr>
      </w:pPr>
      <w:bookmarkStart w:id="22" w:name="_ENREF_22"/>
      <w:r w:rsidRPr="00FB10D4">
        <w:rPr>
          <w:lang w:val="es-ES"/>
        </w:rPr>
        <w:t>22.</w:t>
      </w:r>
      <w:r w:rsidRPr="00FB10D4">
        <w:rPr>
          <w:lang w:val="es-ES"/>
        </w:rPr>
        <w:tab/>
        <w:t>INDEC. Encuesta de Condiciones de Vida 2001: Instituto Nacional de Estadísticas y Censos, INDEC and Sistema de Evaluación y Monitoreo de Programas Sociales, SIEMPRO, 2001.</w:t>
      </w:r>
      <w:bookmarkEnd w:id="22"/>
    </w:p>
    <w:p w14:paraId="798D3E2D" w14:textId="77777777" w:rsidR="00FB10D4" w:rsidRPr="00FB10D4" w:rsidRDefault="00FB10D4" w:rsidP="00FB10D4">
      <w:pPr>
        <w:pStyle w:val="EndNoteBibliography"/>
        <w:spacing w:after="0"/>
      </w:pPr>
      <w:bookmarkStart w:id="23" w:name="_ENREF_23"/>
      <w:r w:rsidRPr="00FB10D4">
        <w:t>23.</w:t>
      </w:r>
      <w:r w:rsidRPr="00FB10D4">
        <w:tab/>
        <w:t>Class D, Rajkumar AS, Cavagnero E. Argentina - Health Financing Profile. Argentina; Washington DC: World Bank Group, 2014.</w:t>
      </w:r>
      <w:bookmarkEnd w:id="23"/>
    </w:p>
    <w:p w14:paraId="00500E03" w14:textId="77777777" w:rsidR="00FB10D4" w:rsidRPr="00FB10D4" w:rsidRDefault="00FB10D4" w:rsidP="00FB10D4">
      <w:pPr>
        <w:pStyle w:val="EndNoteBibliography"/>
        <w:spacing w:after="0"/>
      </w:pPr>
      <w:bookmarkStart w:id="24" w:name="_ENREF_24"/>
      <w:r w:rsidRPr="00FB10D4">
        <w:t>24.</w:t>
      </w:r>
      <w:r w:rsidRPr="00FB10D4">
        <w:tab/>
        <w:t xml:space="preserve">Alaba OA, McIntyre D. What do we know about health service utilisation in South Africa? </w:t>
      </w:r>
      <w:r w:rsidRPr="00FB10D4">
        <w:rPr>
          <w:i/>
        </w:rPr>
        <w:t>Development Southern Africa</w:t>
      </w:r>
      <w:r w:rsidRPr="00FB10D4">
        <w:t xml:space="preserve"> 2012; </w:t>
      </w:r>
      <w:r w:rsidRPr="00FB10D4">
        <w:rPr>
          <w:b/>
        </w:rPr>
        <w:t>29</w:t>
      </w:r>
      <w:r w:rsidRPr="00FB10D4">
        <w:t>(5): 704-24.</w:t>
      </w:r>
      <w:bookmarkEnd w:id="24"/>
    </w:p>
    <w:p w14:paraId="0BAC74E2" w14:textId="77777777" w:rsidR="00FB10D4" w:rsidRPr="00FB10D4" w:rsidRDefault="00FB10D4" w:rsidP="00FB10D4">
      <w:pPr>
        <w:pStyle w:val="EndNoteBibliography"/>
        <w:spacing w:after="0"/>
      </w:pPr>
      <w:bookmarkStart w:id="25" w:name="_ENREF_25"/>
      <w:r w:rsidRPr="00FB10D4">
        <w:t>25.</w:t>
      </w:r>
      <w:r w:rsidRPr="00FB10D4">
        <w:tab/>
        <w:t>McIntyre D, Thiede M, Nkosi M, et al. A Critical Analysis of the Current South African Health System. In: McIntyre D, Thiede M, eds. Health care financing and expenditure. Cape Town: Health Economics Unit, University of Cape Town and Centre for Health Policy,  University of the Witwatersrand; 2007.</w:t>
      </w:r>
      <w:bookmarkEnd w:id="25"/>
    </w:p>
    <w:p w14:paraId="4313E498" w14:textId="77777777" w:rsidR="00FB10D4" w:rsidRPr="00FB10D4" w:rsidRDefault="00FB10D4" w:rsidP="00FB10D4">
      <w:pPr>
        <w:pStyle w:val="EndNoteBibliography"/>
        <w:spacing w:after="0"/>
      </w:pPr>
      <w:bookmarkStart w:id="26" w:name="_ENREF_26"/>
      <w:r w:rsidRPr="00FB10D4">
        <w:t>26.</w:t>
      </w:r>
      <w:r w:rsidRPr="00FB10D4">
        <w:tab/>
        <w:t>Saksena P, Xu K, Elovainio R, Perrot J. Health services utilization and out-of-pocket expenditure at public and private facilities in low-income countries: World Health Organisation, 2010.</w:t>
      </w:r>
      <w:bookmarkEnd w:id="26"/>
    </w:p>
    <w:p w14:paraId="39429651" w14:textId="77777777" w:rsidR="00FB10D4" w:rsidRPr="00FB10D4" w:rsidRDefault="00FB10D4" w:rsidP="00FB10D4">
      <w:pPr>
        <w:pStyle w:val="EndNoteBibliography"/>
        <w:spacing w:after="0"/>
      </w:pPr>
      <w:bookmarkStart w:id="27" w:name="_ENREF_27"/>
      <w:r w:rsidRPr="00FB10D4">
        <w:t>27.</w:t>
      </w:r>
      <w:r w:rsidRPr="00FB10D4">
        <w:tab/>
        <w:t>China Ministry of Health. China National Health Yearbook. Beijing, 2009.</w:t>
      </w:r>
      <w:bookmarkEnd w:id="27"/>
    </w:p>
    <w:p w14:paraId="5BCD332B" w14:textId="77777777" w:rsidR="00FB10D4" w:rsidRPr="00FB10D4" w:rsidRDefault="00FB10D4" w:rsidP="00FB10D4">
      <w:pPr>
        <w:pStyle w:val="EndNoteBibliography"/>
        <w:spacing w:after="0"/>
      </w:pPr>
      <w:bookmarkStart w:id="28" w:name="_ENREF_28"/>
      <w:r w:rsidRPr="00FB10D4">
        <w:t>28.</w:t>
      </w:r>
      <w:r w:rsidRPr="00FB10D4">
        <w:tab/>
        <w:t>The Global Fund. Malawi National Health Accounts, With Sub-accounts for HIV and AIDS, Tuberculosis and Malaria, 2008.</w:t>
      </w:r>
      <w:bookmarkEnd w:id="28"/>
    </w:p>
    <w:p w14:paraId="6F00DF49" w14:textId="77777777" w:rsidR="00FB10D4" w:rsidRPr="00FB10D4" w:rsidRDefault="00FB10D4" w:rsidP="00FB10D4">
      <w:pPr>
        <w:pStyle w:val="EndNoteBibliography"/>
        <w:spacing w:after="0"/>
      </w:pPr>
      <w:bookmarkStart w:id="29" w:name="_ENREF_29"/>
      <w:r w:rsidRPr="00FB10D4">
        <w:t>29.</w:t>
      </w:r>
      <w:r w:rsidRPr="00FB10D4">
        <w:tab/>
        <w:t>National Bureau of Statistics. Household Budget Survey 2007 Tanzania Mainland Final report Dar es Salaam, 2009.</w:t>
      </w:r>
      <w:bookmarkEnd w:id="29"/>
    </w:p>
    <w:p w14:paraId="5146CC23" w14:textId="77777777" w:rsidR="00FB10D4" w:rsidRPr="00FB10D4" w:rsidRDefault="00FB10D4" w:rsidP="00FB10D4">
      <w:pPr>
        <w:pStyle w:val="EndNoteBibliography"/>
        <w:spacing w:after="0"/>
      </w:pPr>
      <w:bookmarkStart w:id="30" w:name="_ENREF_30"/>
      <w:r w:rsidRPr="00FB10D4">
        <w:t>30.</w:t>
      </w:r>
      <w:r w:rsidRPr="00FB10D4">
        <w:tab/>
        <w:t>Ministry of Health and Social Welfare. National Health Accounts Year 2010 with sub accounts for Malaria, HIV/AIDs and TB Dar es Salaam, 2012.</w:t>
      </w:r>
      <w:bookmarkEnd w:id="30"/>
    </w:p>
    <w:p w14:paraId="44379F65" w14:textId="77777777" w:rsidR="00FB10D4" w:rsidRPr="00FB10D4" w:rsidRDefault="00FB10D4" w:rsidP="00FB10D4">
      <w:pPr>
        <w:pStyle w:val="EndNoteBibliography"/>
        <w:spacing w:after="0"/>
      </w:pPr>
      <w:bookmarkStart w:id="31" w:name="_ENREF_31"/>
      <w:r w:rsidRPr="00FB10D4">
        <w:t>31.</w:t>
      </w:r>
      <w:r w:rsidRPr="00FB10D4">
        <w:tab/>
        <w:t>Shrestha B, Gauchan Y, Gautam G, Baral P. Nepal National Health Accounts, 2006/7-2008/9: Health Economics and Financing Unit, Ministry of Health and Population, Government of Nepal, Kathmandu, 2012.</w:t>
      </w:r>
      <w:bookmarkEnd w:id="31"/>
    </w:p>
    <w:p w14:paraId="5E2FA5A7" w14:textId="77777777" w:rsidR="00FB10D4" w:rsidRPr="00FB10D4" w:rsidRDefault="00FB10D4" w:rsidP="00FB10D4">
      <w:pPr>
        <w:pStyle w:val="EndNoteBibliography"/>
        <w:spacing w:after="0"/>
      </w:pPr>
      <w:bookmarkStart w:id="32" w:name="_ENREF_32"/>
      <w:r w:rsidRPr="00FB10D4">
        <w:t>32.</w:t>
      </w:r>
      <w:r w:rsidRPr="00FB10D4">
        <w:tab/>
        <w:t>Schieber G, Cashin C, Saleh K, Lavado R. Health Financing in Ghana Washington: World Bank,, 2012.</w:t>
      </w:r>
      <w:bookmarkEnd w:id="32"/>
    </w:p>
    <w:p w14:paraId="75D53C97" w14:textId="77777777" w:rsidR="00FB10D4" w:rsidRPr="00FB10D4" w:rsidRDefault="00FB10D4" w:rsidP="00FB10D4">
      <w:pPr>
        <w:pStyle w:val="EndNoteBibliography"/>
        <w:spacing w:after="0"/>
      </w:pPr>
      <w:bookmarkStart w:id="33" w:name="_ENREF_33"/>
      <w:r w:rsidRPr="00FB10D4">
        <w:t>33.</w:t>
      </w:r>
      <w:r w:rsidRPr="00FB10D4">
        <w:tab/>
        <w:t>Planning Commission. Report to the Steering Committee on Health for the 12th Five Year Plan. New Delhi: Health Division, Planning Commission, Government of India, 2012.</w:t>
      </w:r>
      <w:bookmarkEnd w:id="33"/>
    </w:p>
    <w:p w14:paraId="73519037" w14:textId="5E87F449" w:rsidR="00FB10D4" w:rsidRPr="00FB10D4" w:rsidRDefault="00FB10D4" w:rsidP="00FB10D4">
      <w:pPr>
        <w:pStyle w:val="EndNoteBibliography"/>
        <w:spacing w:after="0"/>
      </w:pPr>
      <w:bookmarkStart w:id="34" w:name="_ENREF_34"/>
      <w:r w:rsidRPr="00FB10D4">
        <w:t>34.</w:t>
      </w:r>
      <w:r w:rsidRPr="00FB10D4">
        <w:tab/>
        <w:t xml:space="preserve">Ministry of Statistics and Programme Implementation. National Sample Survey Reports. 2013. </w:t>
      </w:r>
      <w:hyperlink r:id="rId16" w:history="1">
        <w:r w:rsidRPr="00FB10D4">
          <w:rPr>
            <w:rStyle w:val="Hyperlink"/>
          </w:rPr>
          <w:t>http://mospi.nic.in/Mospi_New/site/inner.aspx?status=3&amp;menu_id=31</w:t>
        </w:r>
      </w:hyperlink>
      <w:r w:rsidRPr="00FB10D4">
        <w:t xml:space="preserve"> (accessed 30th December 2013).</w:t>
      </w:r>
      <w:bookmarkEnd w:id="34"/>
    </w:p>
    <w:p w14:paraId="0CA55AAA" w14:textId="77777777" w:rsidR="00FB10D4" w:rsidRPr="00FB10D4" w:rsidRDefault="00FB10D4" w:rsidP="00FB10D4">
      <w:pPr>
        <w:pStyle w:val="EndNoteBibliography"/>
        <w:spacing w:after="0"/>
      </w:pPr>
      <w:bookmarkStart w:id="35" w:name="_ENREF_35"/>
      <w:r w:rsidRPr="00FB10D4">
        <w:t>35.</w:t>
      </w:r>
      <w:r w:rsidRPr="00FB10D4">
        <w:tab/>
        <w:t>Public Health Foundation of India. A critical assessment of the existing health insurance models in India. A Research Study submitted by the Public Health Foundation of India to the Planning Commission, Government of India, 2011.</w:t>
      </w:r>
      <w:bookmarkEnd w:id="35"/>
    </w:p>
    <w:p w14:paraId="29DEE966" w14:textId="77777777" w:rsidR="00FB10D4" w:rsidRPr="00FB10D4" w:rsidRDefault="00FB10D4" w:rsidP="00FB10D4">
      <w:pPr>
        <w:pStyle w:val="EndNoteBibliography"/>
        <w:spacing w:after="0"/>
      </w:pPr>
      <w:bookmarkStart w:id="36" w:name="_ENREF_36"/>
      <w:r w:rsidRPr="00FB10D4">
        <w:t>36.</w:t>
      </w:r>
      <w:r w:rsidRPr="00FB10D4">
        <w:tab/>
        <w:t>Baru R. Private Health Care in India: Social Characteristics and Trends. New Delhi: Sage Publications; 1998.</w:t>
      </w:r>
      <w:bookmarkEnd w:id="36"/>
    </w:p>
    <w:p w14:paraId="6A638F06" w14:textId="77777777" w:rsidR="00FB10D4" w:rsidRPr="00FB10D4" w:rsidRDefault="00FB10D4" w:rsidP="00FB10D4">
      <w:pPr>
        <w:pStyle w:val="EndNoteBibliography"/>
        <w:spacing w:after="0"/>
      </w:pPr>
      <w:bookmarkStart w:id="37" w:name="_ENREF_37"/>
      <w:r w:rsidRPr="00FB10D4">
        <w:t>37.</w:t>
      </w:r>
      <w:r w:rsidRPr="00FB10D4">
        <w:tab/>
        <w:t xml:space="preserve">Bhat R. Characteristics of Private Medical Practice in India: A Provider Perspective. </w:t>
      </w:r>
      <w:r w:rsidRPr="00FB10D4">
        <w:rPr>
          <w:i/>
        </w:rPr>
        <w:t>Health Policy and Planning</w:t>
      </w:r>
      <w:r w:rsidRPr="00FB10D4">
        <w:t xml:space="preserve"> 1999; </w:t>
      </w:r>
      <w:r w:rsidRPr="00FB10D4">
        <w:rPr>
          <w:b/>
        </w:rPr>
        <w:t>14</w:t>
      </w:r>
      <w:r w:rsidRPr="00FB10D4">
        <w:t>(1): 26-37.</w:t>
      </w:r>
      <w:bookmarkEnd w:id="37"/>
    </w:p>
    <w:p w14:paraId="74491155" w14:textId="77777777" w:rsidR="00FB10D4" w:rsidRPr="00FB10D4" w:rsidRDefault="00FB10D4" w:rsidP="00FB10D4">
      <w:pPr>
        <w:pStyle w:val="EndNoteBibliography"/>
        <w:spacing w:after="0"/>
      </w:pPr>
      <w:bookmarkStart w:id="38" w:name="_ENREF_38"/>
      <w:r w:rsidRPr="00FB10D4">
        <w:t>38.</w:t>
      </w:r>
      <w:r w:rsidRPr="00FB10D4">
        <w:tab/>
        <w:t>Muraleedharan V. Characteristics and structure of private hospital sector in urban India: a study of Madras city. Abt Associates, Bethesda MD; 1999.</w:t>
      </w:r>
      <w:bookmarkEnd w:id="38"/>
    </w:p>
    <w:p w14:paraId="28C209C1" w14:textId="77777777" w:rsidR="00FB10D4" w:rsidRPr="00FB10D4" w:rsidRDefault="00FB10D4" w:rsidP="00FB10D4">
      <w:pPr>
        <w:pStyle w:val="EndNoteBibliography"/>
        <w:spacing w:after="0"/>
      </w:pPr>
      <w:bookmarkStart w:id="39" w:name="_ENREF_39"/>
      <w:r w:rsidRPr="00FB10D4">
        <w:t>39.</w:t>
      </w:r>
      <w:r w:rsidRPr="00FB10D4">
        <w:tab/>
        <w:t xml:space="preserve">Nandraj S. Private Health Sector: Concerns, Challenges and Options. </w:t>
      </w:r>
      <w:r w:rsidRPr="00FB10D4">
        <w:rPr>
          <w:lang w:val="pt-PT"/>
        </w:rPr>
        <w:t xml:space="preserve">In: Nandraj S, Muraleedharan V, Baru R, Qadeer I, Priya R, eds. </w:t>
      </w:r>
      <w:r w:rsidRPr="00FB10D4">
        <w:t>Private Health Sector in India: Review and annotated Bibliography. Mumbai: CEHAT; 2001.</w:t>
      </w:r>
      <w:bookmarkEnd w:id="39"/>
    </w:p>
    <w:p w14:paraId="2455076B" w14:textId="77777777" w:rsidR="00FB10D4" w:rsidRPr="00FB10D4" w:rsidRDefault="00FB10D4" w:rsidP="00FB10D4">
      <w:pPr>
        <w:pStyle w:val="EndNoteBibliography"/>
        <w:spacing w:after="0"/>
      </w:pPr>
      <w:bookmarkStart w:id="40" w:name="_ENREF_40"/>
      <w:r w:rsidRPr="00FB10D4">
        <w:t>40.</w:t>
      </w:r>
      <w:r w:rsidRPr="00FB10D4">
        <w:tab/>
        <w:t xml:space="preserve">Selvaraj S, Karan AK. Deepening Health Insecurity in India: Evidence from National Sample Surveys since 1980s. </w:t>
      </w:r>
      <w:r w:rsidRPr="00FB10D4">
        <w:rPr>
          <w:i/>
        </w:rPr>
        <w:t>Economic and Political Weekly</w:t>
      </w:r>
      <w:r w:rsidRPr="00FB10D4">
        <w:t xml:space="preserve"> 2009; </w:t>
      </w:r>
      <w:r w:rsidRPr="00FB10D4">
        <w:rPr>
          <w:b/>
        </w:rPr>
        <w:t>44</w:t>
      </w:r>
      <w:r w:rsidRPr="00FB10D4">
        <w:t>(40): 55-60.</w:t>
      </w:r>
      <w:bookmarkEnd w:id="40"/>
    </w:p>
    <w:p w14:paraId="6DBE3B0B" w14:textId="77777777" w:rsidR="00FB10D4" w:rsidRPr="00FB10D4" w:rsidRDefault="00FB10D4" w:rsidP="00FB10D4">
      <w:pPr>
        <w:pStyle w:val="EndNoteBibliography"/>
        <w:spacing w:after="0"/>
      </w:pPr>
      <w:bookmarkStart w:id="41" w:name="_ENREF_41"/>
      <w:r w:rsidRPr="00FB10D4">
        <w:t>41.</w:t>
      </w:r>
      <w:r w:rsidRPr="00FB10D4">
        <w:tab/>
        <w:t>Balabanova D, McKee M, Mills A. Good Health at Low Cost’ 20 Years On: What makes a successful health system? . London: London School of Hygiene and Tropical Medicine; 2011.</w:t>
      </w:r>
      <w:bookmarkEnd w:id="41"/>
    </w:p>
    <w:p w14:paraId="77A0E901" w14:textId="77777777" w:rsidR="00FB10D4" w:rsidRPr="00FB10D4" w:rsidRDefault="00FB10D4" w:rsidP="00FB10D4">
      <w:pPr>
        <w:pStyle w:val="EndNoteBibliography"/>
        <w:spacing w:after="0"/>
      </w:pPr>
      <w:bookmarkStart w:id="42" w:name="_ENREF_42"/>
      <w:r w:rsidRPr="00FB10D4">
        <w:t>42.</w:t>
      </w:r>
      <w:r w:rsidRPr="00FB10D4">
        <w:tab/>
        <w:t>Department of Census and Statistics. Household Income and Expenditure Survey – 2009/10. Sri Lanka: Ministry of Finance and Planning, 2011.</w:t>
      </w:r>
      <w:bookmarkEnd w:id="42"/>
    </w:p>
    <w:p w14:paraId="73A702E2" w14:textId="77777777" w:rsidR="00FB10D4" w:rsidRPr="00FB10D4" w:rsidRDefault="00FB10D4" w:rsidP="00FB10D4">
      <w:pPr>
        <w:pStyle w:val="EndNoteBibliography"/>
        <w:spacing w:after="0"/>
      </w:pPr>
      <w:bookmarkStart w:id="43" w:name="_ENREF_43"/>
      <w:r w:rsidRPr="00FB10D4">
        <w:t>43.</w:t>
      </w:r>
      <w:r w:rsidRPr="00FB10D4">
        <w:tab/>
        <w:t>Ministry of Health. Annual Health Bulletin. 2008.</w:t>
      </w:r>
      <w:bookmarkEnd w:id="43"/>
    </w:p>
    <w:p w14:paraId="092674A8" w14:textId="77777777" w:rsidR="00FB10D4" w:rsidRPr="00FB10D4" w:rsidRDefault="00FB10D4" w:rsidP="00FB10D4">
      <w:pPr>
        <w:pStyle w:val="EndNoteBibliography"/>
        <w:spacing w:after="0"/>
      </w:pPr>
      <w:bookmarkStart w:id="44" w:name="_ENREF_44"/>
      <w:r w:rsidRPr="00FB10D4">
        <w:t>44.</w:t>
      </w:r>
      <w:r w:rsidRPr="00FB10D4">
        <w:tab/>
        <w:t>van Doorslaer E, O'Donnell O, Rannan-Eliya RP, et al. Paying Out-of-Pocket for Health Care in Asia: Catastrophic and Poverty Impact. 2005.</w:t>
      </w:r>
      <w:bookmarkEnd w:id="44"/>
    </w:p>
    <w:p w14:paraId="1A8DAE15" w14:textId="77777777" w:rsidR="00FB10D4" w:rsidRPr="00FB10D4" w:rsidRDefault="00FB10D4" w:rsidP="00FB10D4">
      <w:pPr>
        <w:pStyle w:val="EndNoteBibliography"/>
        <w:spacing w:after="0"/>
      </w:pPr>
      <w:bookmarkStart w:id="45" w:name="_ENREF_45"/>
      <w:r w:rsidRPr="00FB10D4">
        <w:t>45.</w:t>
      </w:r>
      <w:r w:rsidRPr="00FB10D4">
        <w:tab/>
        <w:t xml:space="preserve">van Doorslaer E, O'Donnell O, Rannan-Eliya RP, et al. Catastrophic payments for health care in Asia. </w:t>
      </w:r>
      <w:r w:rsidRPr="00FB10D4">
        <w:rPr>
          <w:i/>
        </w:rPr>
        <w:t>Health Economics</w:t>
      </w:r>
      <w:r w:rsidRPr="00FB10D4">
        <w:t xml:space="preserve"> 2007; </w:t>
      </w:r>
      <w:r w:rsidRPr="00FB10D4">
        <w:rPr>
          <w:b/>
        </w:rPr>
        <w:t>16</w:t>
      </w:r>
      <w:r w:rsidRPr="00FB10D4">
        <w:t>(11): 1159-84.</w:t>
      </w:r>
      <w:bookmarkEnd w:id="45"/>
    </w:p>
    <w:p w14:paraId="53C1DCBA" w14:textId="77777777" w:rsidR="00FB10D4" w:rsidRPr="00FB10D4" w:rsidRDefault="00FB10D4" w:rsidP="00FB10D4">
      <w:pPr>
        <w:pStyle w:val="EndNoteBibliography"/>
        <w:spacing w:after="0"/>
      </w:pPr>
      <w:bookmarkStart w:id="46" w:name="_ENREF_46"/>
      <w:r w:rsidRPr="00FB10D4">
        <w:t>46.</w:t>
      </w:r>
      <w:r w:rsidRPr="00FB10D4">
        <w:tab/>
        <w:t xml:space="preserve">Cavagnero E. Health sector reforms in Argentina and the performance of the health financing system. </w:t>
      </w:r>
      <w:r w:rsidRPr="00FB10D4">
        <w:rPr>
          <w:i/>
        </w:rPr>
        <w:t>Health Policy</w:t>
      </w:r>
      <w:r w:rsidRPr="00FB10D4">
        <w:t xml:space="preserve"> 2008; </w:t>
      </w:r>
      <w:r w:rsidRPr="00FB10D4">
        <w:rPr>
          <w:b/>
        </w:rPr>
        <w:t>88</w:t>
      </w:r>
      <w:r w:rsidRPr="00FB10D4">
        <w:t>(1): 88-99.</w:t>
      </w:r>
      <w:bookmarkEnd w:id="46"/>
    </w:p>
    <w:p w14:paraId="0EAB7488" w14:textId="77777777" w:rsidR="00FB10D4" w:rsidRPr="00FB10D4" w:rsidRDefault="00FB10D4" w:rsidP="00FB10D4">
      <w:pPr>
        <w:pStyle w:val="EndNoteBibliography"/>
        <w:spacing w:after="0"/>
      </w:pPr>
      <w:bookmarkStart w:id="47" w:name="_ENREF_47"/>
      <w:r w:rsidRPr="00FB10D4">
        <w:t>47.</w:t>
      </w:r>
      <w:r w:rsidRPr="00FB10D4">
        <w:tab/>
        <w:t xml:space="preserve">Atun R, de Andrade LOM, Almeida G, et al. Health-system reform and universal health coverage in Latin America. </w:t>
      </w:r>
      <w:r w:rsidRPr="00FB10D4">
        <w:rPr>
          <w:i/>
        </w:rPr>
        <w:t>The Lancet</w:t>
      </w:r>
      <w:r w:rsidRPr="00FB10D4">
        <w:t xml:space="preserve"> 2015; </w:t>
      </w:r>
      <w:r w:rsidRPr="00FB10D4">
        <w:rPr>
          <w:b/>
        </w:rPr>
        <w:t>385</w:t>
      </w:r>
      <w:r w:rsidRPr="00FB10D4">
        <w:t>: 1230-47.</w:t>
      </w:r>
      <w:bookmarkEnd w:id="47"/>
    </w:p>
    <w:p w14:paraId="5048B215" w14:textId="77777777" w:rsidR="00FB10D4" w:rsidRPr="00FB10D4" w:rsidRDefault="00FB10D4" w:rsidP="00FB10D4">
      <w:pPr>
        <w:pStyle w:val="EndNoteBibliography"/>
        <w:spacing w:after="0"/>
        <w:rPr>
          <w:lang w:val="es-ES"/>
        </w:rPr>
      </w:pPr>
      <w:bookmarkStart w:id="48" w:name="_ENREF_48"/>
      <w:r w:rsidRPr="00FB10D4">
        <w:t>48.</w:t>
      </w:r>
      <w:r w:rsidRPr="00FB10D4">
        <w:tab/>
        <w:t xml:space="preserve">van den Heever A. The role of insurance in the achievement of universal coverage within a developing country context: South Africa as a case study. </w:t>
      </w:r>
      <w:r w:rsidRPr="00FB10D4">
        <w:rPr>
          <w:i/>
          <w:lang w:val="es-ES"/>
        </w:rPr>
        <w:t>BMC Public Health</w:t>
      </w:r>
      <w:r w:rsidRPr="00FB10D4">
        <w:rPr>
          <w:lang w:val="es-ES"/>
        </w:rPr>
        <w:t xml:space="preserve"> 2012; </w:t>
      </w:r>
      <w:r w:rsidRPr="00FB10D4">
        <w:rPr>
          <w:b/>
          <w:lang w:val="es-ES"/>
        </w:rPr>
        <w:t>12</w:t>
      </w:r>
      <w:r w:rsidRPr="00FB10D4">
        <w:rPr>
          <w:lang w:val="es-ES"/>
        </w:rPr>
        <w:t>(Suppl 1): S5.</w:t>
      </w:r>
      <w:bookmarkEnd w:id="48"/>
    </w:p>
    <w:p w14:paraId="469007E0" w14:textId="77777777" w:rsidR="00FB10D4" w:rsidRPr="00FB10D4" w:rsidRDefault="00FB10D4" w:rsidP="00FB10D4">
      <w:pPr>
        <w:pStyle w:val="EndNoteBibliography"/>
        <w:spacing w:after="0"/>
        <w:rPr>
          <w:lang w:val="es-ES"/>
        </w:rPr>
      </w:pPr>
      <w:bookmarkStart w:id="49" w:name="_ENREF_49"/>
      <w:r w:rsidRPr="00FB10D4">
        <w:rPr>
          <w:lang w:val="es-ES"/>
        </w:rPr>
        <w:t>49.</w:t>
      </w:r>
      <w:r w:rsidRPr="00FB10D4">
        <w:rPr>
          <w:lang w:val="es-ES"/>
        </w:rPr>
        <w:tab/>
        <w:t>Acuña C, Chudnovsky M. El sistema de salud en Argentina. Buenos Aires: Universidad de San Andrés and Fundación Gobierno y Sociedad, Centro de Estudios para el Desarrollo Institucional, 2002.</w:t>
      </w:r>
      <w:bookmarkEnd w:id="49"/>
    </w:p>
    <w:p w14:paraId="5273A067" w14:textId="77777777" w:rsidR="00FB10D4" w:rsidRPr="00FB10D4" w:rsidRDefault="00FB10D4" w:rsidP="00FB10D4">
      <w:pPr>
        <w:pStyle w:val="EndNoteBibliography"/>
        <w:spacing w:after="0"/>
      </w:pPr>
      <w:bookmarkStart w:id="50" w:name="_ENREF_50"/>
      <w:r w:rsidRPr="00FB10D4">
        <w:t>50.</w:t>
      </w:r>
      <w:r w:rsidRPr="00FB10D4">
        <w:tab/>
        <w:t xml:space="preserve">Lloyd-Sherlock P. Health sector reform in Argentina: a cautionary tale. </w:t>
      </w:r>
      <w:r w:rsidRPr="00FB10D4">
        <w:rPr>
          <w:i/>
        </w:rPr>
        <w:t>Social Science &amp; Medicine</w:t>
      </w:r>
      <w:r w:rsidRPr="00FB10D4">
        <w:t xml:space="preserve"> 2005; </w:t>
      </w:r>
      <w:r w:rsidRPr="00FB10D4">
        <w:rPr>
          <w:b/>
        </w:rPr>
        <w:t>60</w:t>
      </w:r>
      <w:r w:rsidRPr="00FB10D4">
        <w:t>(8): 1893-903.</w:t>
      </w:r>
      <w:bookmarkEnd w:id="50"/>
    </w:p>
    <w:p w14:paraId="421D7619" w14:textId="66CD82AA" w:rsidR="00FB10D4" w:rsidRPr="00FB10D4" w:rsidRDefault="00FB10D4" w:rsidP="00FB10D4">
      <w:pPr>
        <w:pStyle w:val="EndNoteBibliography"/>
        <w:spacing w:after="0"/>
      </w:pPr>
      <w:bookmarkStart w:id="51" w:name="_ENREF_51"/>
      <w:r w:rsidRPr="00FB10D4">
        <w:t>51.</w:t>
      </w:r>
      <w:r w:rsidRPr="00FB10D4">
        <w:tab/>
        <w:t xml:space="preserve">Hurtado J. Argentina: Medicina Prepaga. 2007. </w:t>
      </w:r>
      <w:hyperlink r:id="rId17" w:history="1">
        <w:r w:rsidRPr="00FB10D4">
          <w:rPr>
            <w:rStyle w:val="Hyperlink"/>
          </w:rPr>
          <w:t>http://coopsalud.blogspot.co.uk/2007/04/argentina-medicina-prepaga.html</w:t>
        </w:r>
      </w:hyperlink>
      <w:r w:rsidRPr="00FB10D4">
        <w:t xml:space="preserve"> (accessed 30th December 2013).</w:t>
      </w:r>
      <w:bookmarkEnd w:id="51"/>
    </w:p>
    <w:p w14:paraId="1743ED39" w14:textId="77777777" w:rsidR="00FB10D4" w:rsidRPr="00FB10D4" w:rsidRDefault="00FB10D4" w:rsidP="00FB10D4">
      <w:pPr>
        <w:pStyle w:val="EndNoteBibliography"/>
        <w:spacing w:after="0"/>
      </w:pPr>
      <w:bookmarkStart w:id="52" w:name="_ENREF_52"/>
      <w:r w:rsidRPr="00FB10D4">
        <w:t>52.</w:t>
      </w:r>
      <w:r w:rsidRPr="00FB10D4">
        <w:tab/>
        <w:t>Sussmuth-Dyckerhoff C, Wang J. Identify private-sector opportunities in Chinese health care: recent health care reforms open door to insurers, hospitals, and IT vendors: Mckinsey &amp; Company, 2010.</w:t>
      </w:r>
      <w:bookmarkEnd w:id="52"/>
    </w:p>
    <w:p w14:paraId="47476499" w14:textId="77777777" w:rsidR="00FB10D4" w:rsidRPr="00FB10D4" w:rsidRDefault="00FB10D4" w:rsidP="00FB10D4">
      <w:pPr>
        <w:pStyle w:val="EndNoteBibliography"/>
        <w:spacing w:after="0"/>
      </w:pPr>
      <w:bookmarkStart w:id="53" w:name="_ENREF_53"/>
      <w:r w:rsidRPr="00FB10D4">
        <w:t>53.</w:t>
      </w:r>
      <w:r w:rsidRPr="00FB10D4">
        <w:tab/>
        <w:t>Ministry of Health of the People's Republic of China. China Health Statistical Yearbook, 2009.</w:t>
      </w:r>
      <w:bookmarkEnd w:id="53"/>
    </w:p>
    <w:p w14:paraId="0D31BF4D" w14:textId="77777777" w:rsidR="00FB10D4" w:rsidRPr="00FB10D4" w:rsidRDefault="00FB10D4" w:rsidP="00FB10D4">
      <w:pPr>
        <w:pStyle w:val="EndNoteBibliography"/>
        <w:spacing w:after="0"/>
      </w:pPr>
      <w:bookmarkStart w:id="54" w:name="_ENREF_54"/>
      <w:r w:rsidRPr="00FB10D4">
        <w:t>54.</w:t>
      </w:r>
      <w:r w:rsidRPr="00FB10D4">
        <w:tab/>
        <w:t xml:space="preserve">Dai D. A Review of the Healthcare Reform. </w:t>
      </w:r>
      <w:r w:rsidRPr="00FB10D4">
        <w:rPr>
          <w:i/>
        </w:rPr>
        <w:t>Chinese Health Economics</w:t>
      </w:r>
      <w:r w:rsidRPr="00FB10D4">
        <w:t xml:space="preserve"> 1993; </w:t>
      </w:r>
      <w:r w:rsidRPr="00FB10D4">
        <w:rPr>
          <w:b/>
        </w:rPr>
        <w:t>2</w:t>
      </w:r>
      <w:r w:rsidRPr="00FB10D4">
        <w:t>: 26-8.</w:t>
      </w:r>
      <w:bookmarkEnd w:id="54"/>
    </w:p>
    <w:p w14:paraId="3F0A08F6" w14:textId="77777777" w:rsidR="00FB10D4" w:rsidRPr="00FB10D4" w:rsidRDefault="00FB10D4" w:rsidP="00FB10D4">
      <w:pPr>
        <w:pStyle w:val="EndNoteBibliography"/>
        <w:spacing w:after="0"/>
      </w:pPr>
      <w:bookmarkStart w:id="55" w:name="_ENREF_55"/>
      <w:r w:rsidRPr="00FB10D4">
        <w:t>55.</w:t>
      </w:r>
      <w:r w:rsidRPr="00FB10D4">
        <w:tab/>
        <w:t>Xinhua News Agency. The Waste of Health Resources is Serious. People's Daily. 1996 7 March.</w:t>
      </w:r>
      <w:bookmarkEnd w:id="55"/>
    </w:p>
    <w:p w14:paraId="3987236A" w14:textId="77777777" w:rsidR="00FB10D4" w:rsidRPr="00FB10D4" w:rsidRDefault="00FB10D4" w:rsidP="00FB10D4">
      <w:pPr>
        <w:pStyle w:val="EndNoteBibliography"/>
        <w:spacing w:after="0"/>
      </w:pPr>
      <w:bookmarkStart w:id="56" w:name="_ENREF_56"/>
      <w:r w:rsidRPr="00FB10D4">
        <w:t>56.</w:t>
      </w:r>
      <w:r w:rsidRPr="00FB10D4">
        <w:tab/>
        <w:t>Zhao H. Governing healthcare market in China: regulatory challenges and options for transitional China: Saarbrücken VDM Verlag; 2008.</w:t>
      </w:r>
      <w:bookmarkEnd w:id="56"/>
    </w:p>
    <w:p w14:paraId="426D1125" w14:textId="77777777" w:rsidR="00FB10D4" w:rsidRPr="00FB10D4" w:rsidRDefault="00FB10D4" w:rsidP="00FB10D4">
      <w:pPr>
        <w:pStyle w:val="EndNoteBibliography"/>
        <w:spacing w:after="0"/>
      </w:pPr>
      <w:bookmarkStart w:id="57" w:name="_ENREF_57"/>
      <w:r w:rsidRPr="00FB10D4">
        <w:t>57.</w:t>
      </w:r>
      <w:r w:rsidRPr="00FB10D4">
        <w:tab/>
        <w:t>China Ministry of Health. The 3rd National Health Services Survey Beijing, 2003.</w:t>
      </w:r>
      <w:bookmarkEnd w:id="57"/>
    </w:p>
    <w:p w14:paraId="56232FF1" w14:textId="77777777" w:rsidR="00FB10D4" w:rsidRPr="00FB10D4" w:rsidRDefault="00FB10D4" w:rsidP="00FB10D4">
      <w:pPr>
        <w:pStyle w:val="EndNoteBibliography"/>
        <w:spacing w:after="0"/>
      </w:pPr>
      <w:bookmarkStart w:id="58" w:name="_ENREF_58"/>
      <w:r w:rsidRPr="00FB10D4">
        <w:rPr>
          <w:lang w:val="fr-FR"/>
        </w:rPr>
        <w:t>58.</w:t>
      </w:r>
      <w:r w:rsidRPr="00FB10D4">
        <w:rPr>
          <w:lang w:val="fr-FR"/>
        </w:rPr>
        <w:tab/>
        <w:t xml:space="preserve">Meng Q, Xu L, Zhang Y, et al. </w:t>
      </w:r>
      <w:r w:rsidRPr="00FB10D4">
        <w:t xml:space="preserve">Trends in access to health services and financial protection in China between 2003 and 2011: a cross-sectional study. </w:t>
      </w:r>
      <w:r w:rsidRPr="00FB10D4">
        <w:rPr>
          <w:i/>
        </w:rPr>
        <w:t>The Lancet</w:t>
      </w:r>
      <w:r w:rsidRPr="00FB10D4">
        <w:t xml:space="preserve"> 2012; </w:t>
      </w:r>
      <w:r w:rsidRPr="00FB10D4">
        <w:rPr>
          <w:b/>
        </w:rPr>
        <w:t>379</w:t>
      </w:r>
      <w:r w:rsidRPr="00FB10D4">
        <w:t>(9818): 805-14.</w:t>
      </w:r>
      <w:bookmarkEnd w:id="58"/>
    </w:p>
    <w:p w14:paraId="5545C702" w14:textId="77777777" w:rsidR="00FB10D4" w:rsidRPr="00FB10D4" w:rsidRDefault="00FB10D4" w:rsidP="00FB10D4">
      <w:pPr>
        <w:pStyle w:val="EndNoteBibliography"/>
        <w:spacing w:after="0"/>
      </w:pPr>
      <w:bookmarkStart w:id="59" w:name="_ENREF_59"/>
      <w:r w:rsidRPr="00FB10D4">
        <w:t>59.</w:t>
      </w:r>
      <w:r w:rsidRPr="00FB10D4">
        <w:tab/>
        <w:t xml:space="preserve">Basu S, Andrews J, Kishore S, Panjabi R, Stuckler D. Comparative performance of private and public healthcare systems in low-and middle-income countries: a systematic review. </w:t>
      </w:r>
      <w:r w:rsidRPr="00FB10D4">
        <w:rPr>
          <w:i/>
        </w:rPr>
        <w:t>PLoS medicine</w:t>
      </w:r>
      <w:r w:rsidRPr="00FB10D4">
        <w:t xml:space="preserve"> 2012; </w:t>
      </w:r>
      <w:r w:rsidRPr="00FB10D4">
        <w:rPr>
          <w:b/>
        </w:rPr>
        <w:t>9</w:t>
      </w:r>
      <w:r w:rsidRPr="00FB10D4">
        <w:t>(6): e1001244.</w:t>
      </w:r>
      <w:bookmarkEnd w:id="59"/>
    </w:p>
    <w:p w14:paraId="050A4BDF" w14:textId="77777777" w:rsidR="00FB10D4" w:rsidRPr="00FB10D4" w:rsidRDefault="00FB10D4" w:rsidP="00FB10D4">
      <w:pPr>
        <w:pStyle w:val="EndNoteBibliography"/>
        <w:spacing w:after="0"/>
      </w:pPr>
      <w:bookmarkStart w:id="60" w:name="_ENREF_60"/>
      <w:r w:rsidRPr="00FB10D4">
        <w:t>60.</w:t>
      </w:r>
      <w:r w:rsidRPr="00FB10D4">
        <w:tab/>
        <w:t xml:space="preserve">Filmer D. Fever and its treatment among the more and less poor in sub-Saharan Africa. </w:t>
      </w:r>
      <w:r w:rsidRPr="00FB10D4">
        <w:rPr>
          <w:i/>
        </w:rPr>
        <w:t>Health Policy and Planning</w:t>
      </w:r>
      <w:r w:rsidRPr="00FB10D4">
        <w:t xml:space="preserve"> 2005; </w:t>
      </w:r>
      <w:r w:rsidRPr="00FB10D4">
        <w:rPr>
          <w:b/>
        </w:rPr>
        <w:t>20</w:t>
      </w:r>
      <w:r w:rsidRPr="00FB10D4">
        <w:t>(6): 337-46.</w:t>
      </w:r>
      <w:bookmarkEnd w:id="60"/>
    </w:p>
    <w:p w14:paraId="5949593E" w14:textId="77777777" w:rsidR="00FB10D4" w:rsidRPr="00FB10D4" w:rsidRDefault="00FB10D4" w:rsidP="00FB10D4">
      <w:pPr>
        <w:pStyle w:val="EndNoteBibliography"/>
        <w:spacing w:after="0"/>
      </w:pPr>
      <w:bookmarkStart w:id="61" w:name="_ENREF_61"/>
      <w:r w:rsidRPr="00FB10D4">
        <w:t>61.</w:t>
      </w:r>
      <w:r w:rsidRPr="00FB10D4">
        <w:tab/>
        <w:t xml:space="preserve">Bloom G, Standing H, Lucas H, Bhuiya A, Oladepo O, Peters DH. Making health markets work better for poor people: the case of informal providers. </w:t>
      </w:r>
      <w:r w:rsidRPr="00FB10D4">
        <w:rPr>
          <w:i/>
        </w:rPr>
        <w:t>Health Policy and Planning</w:t>
      </w:r>
      <w:r w:rsidRPr="00FB10D4">
        <w:t xml:space="preserve"> 2011; </w:t>
      </w:r>
      <w:r w:rsidRPr="00FB10D4">
        <w:rPr>
          <w:b/>
        </w:rPr>
        <w:t>26</w:t>
      </w:r>
      <w:r w:rsidRPr="00FB10D4">
        <w:t>(suppl 1): i45-i52.</w:t>
      </w:r>
      <w:bookmarkEnd w:id="61"/>
    </w:p>
    <w:p w14:paraId="0D5CF1EE" w14:textId="77777777" w:rsidR="00FB10D4" w:rsidRPr="00FB10D4" w:rsidRDefault="00FB10D4" w:rsidP="00FB10D4">
      <w:pPr>
        <w:pStyle w:val="EndNoteBibliography"/>
        <w:spacing w:after="0"/>
      </w:pPr>
      <w:bookmarkStart w:id="62" w:name="_ENREF_62"/>
      <w:r w:rsidRPr="00FB10D4">
        <w:t>62.</w:t>
      </w:r>
      <w:r w:rsidRPr="00FB10D4">
        <w:tab/>
        <w:t xml:space="preserve">McCombie SC. Treatment seeking for malaria: A review of recent research. </w:t>
      </w:r>
      <w:r w:rsidRPr="00FB10D4">
        <w:rPr>
          <w:i/>
        </w:rPr>
        <w:t>Social Science &amp; Medicine</w:t>
      </w:r>
      <w:r w:rsidRPr="00FB10D4">
        <w:t xml:space="preserve"> 1996; </w:t>
      </w:r>
      <w:r w:rsidRPr="00FB10D4">
        <w:rPr>
          <w:b/>
        </w:rPr>
        <w:t>43</w:t>
      </w:r>
      <w:r w:rsidRPr="00FB10D4">
        <w:t>(6): 933-45.</w:t>
      </w:r>
      <w:bookmarkEnd w:id="62"/>
    </w:p>
    <w:p w14:paraId="13BBF345" w14:textId="7D2EDCC6" w:rsidR="00FB10D4" w:rsidRPr="00FB10D4" w:rsidRDefault="00FB10D4" w:rsidP="00FB10D4">
      <w:pPr>
        <w:pStyle w:val="EndNoteBibliography"/>
        <w:spacing w:after="0"/>
      </w:pPr>
      <w:bookmarkStart w:id="63" w:name="_ENREF_63"/>
      <w:r w:rsidRPr="00FB10D4">
        <w:t>63.</w:t>
      </w:r>
      <w:r w:rsidRPr="00FB10D4">
        <w:tab/>
        <w:t xml:space="preserve">Montagu D. Private Healthcare in Developing Countries. 2013. </w:t>
      </w:r>
      <w:hyperlink r:id="rId18" w:history="1">
        <w:r w:rsidRPr="00FB10D4">
          <w:rPr>
            <w:rStyle w:val="Hyperlink"/>
          </w:rPr>
          <w:t>http://www.ps4h.org/</w:t>
        </w:r>
      </w:hyperlink>
      <w:r w:rsidRPr="00FB10D4">
        <w:t xml:space="preserve"> (accessed 1st December 2013).</w:t>
      </w:r>
      <w:bookmarkEnd w:id="63"/>
    </w:p>
    <w:p w14:paraId="3DCCFDA7" w14:textId="77777777" w:rsidR="00FB10D4" w:rsidRPr="00FB10D4" w:rsidRDefault="00FB10D4" w:rsidP="00FB10D4">
      <w:pPr>
        <w:pStyle w:val="EndNoteBibliography"/>
        <w:spacing w:after="0"/>
      </w:pPr>
      <w:bookmarkStart w:id="64" w:name="_ENREF_64"/>
      <w:r w:rsidRPr="00FB10D4">
        <w:t>64.</w:t>
      </w:r>
      <w:r w:rsidRPr="00FB10D4">
        <w:tab/>
        <w:t xml:space="preserve">Mackintosh M, Mujinja PG. Markets and policy challenges in access to essential medicines for endemic disease. </w:t>
      </w:r>
      <w:r w:rsidRPr="00FB10D4">
        <w:rPr>
          <w:i/>
        </w:rPr>
        <w:t>Journal of African Economies</w:t>
      </w:r>
      <w:r w:rsidRPr="00FB10D4">
        <w:t xml:space="preserve"> 2010; </w:t>
      </w:r>
      <w:r w:rsidRPr="00FB10D4">
        <w:rPr>
          <w:b/>
        </w:rPr>
        <w:t>19</w:t>
      </w:r>
      <w:r w:rsidRPr="00FB10D4">
        <w:t>(suppl 3): iii166-iii200.</w:t>
      </w:r>
      <w:bookmarkEnd w:id="64"/>
    </w:p>
    <w:p w14:paraId="53426F06" w14:textId="77777777" w:rsidR="00FB10D4" w:rsidRPr="00FB10D4" w:rsidRDefault="00FB10D4" w:rsidP="00FB10D4">
      <w:pPr>
        <w:pStyle w:val="EndNoteBibliography"/>
        <w:spacing w:after="0"/>
      </w:pPr>
      <w:bookmarkStart w:id="65" w:name="_ENREF_65"/>
      <w:r w:rsidRPr="00FB10D4">
        <w:t>65.</w:t>
      </w:r>
      <w:r w:rsidRPr="00FB10D4">
        <w:tab/>
        <w:t>Filmer D, Pritchett L. Estimating wealth effects without expenditure data - or tears: With an application to educational enrollment in states of India. Washington D.C.: World Bank, 1998.</w:t>
      </w:r>
      <w:bookmarkEnd w:id="65"/>
    </w:p>
    <w:p w14:paraId="34B4237B" w14:textId="77777777" w:rsidR="00FB10D4" w:rsidRPr="00FB10D4" w:rsidRDefault="00FB10D4" w:rsidP="00FB10D4">
      <w:pPr>
        <w:pStyle w:val="EndNoteBibliography"/>
        <w:spacing w:after="0"/>
      </w:pPr>
      <w:bookmarkStart w:id="66" w:name="_ENREF_66"/>
      <w:r w:rsidRPr="00FB10D4">
        <w:t>66.</w:t>
      </w:r>
      <w:r w:rsidRPr="00FB10D4">
        <w:tab/>
        <w:t>Rutstein SO, Johnson K. The DHS Wealth index. Calverton, Maryland: ORC Macro, 2004.</w:t>
      </w:r>
      <w:bookmarkEnd w:id="66"/>
    </w:p>
    <w:p w14:paraId="568D567D" w14:textId="77777777" w:rsidR="00FB10D4" w:rsidRPr="00FB10D4" w:rsidRDefault="00FB10D4" w:rsidP="00FB10D4">
      <w:pPr>
        <w:pStyle w:val="EndNoteBibliography"/>
        <w:spacing w:after="0"/>
      </w:pPr>
      <w:bookmarkStart w:id="67" w:name="_ENREF_67"/>
      <w:r w:rsidRPr="00FB10D4">
        <w:t>67.</w:t>
      </w:r>
      <w:r w:rsidRPr="00FB10D4">
        <w:tab/>
        <w:t>Witter S. Mapping user fees for health care in high-mortality countries: evidence from a recent survey: HLSP Institute, 2010.</w:t>
      </w:r>
      <w:bookmarkEnd w:id="67"/>
    </w:p>
    <w:p w14:paraId="1FDE907F" w14:textId="77777777" w:rsidR="00FB10D4" w:rsidRPr="00FB10D4" w:rsidRDefault="00FB10D4" w:rsidP="00FB10D4">
      <w:pPr>
        <w:pStyle w:val="EndNoteBibliography"/>
        <w:spacing w:after="0"/>
      </w:pPr>
      <w:bookmarkStart w:id="68" w:name="_ENREF_68"/>
      <w:r w:rsidRPr="00FB10D4">
        <w:t>68.</w:t>
      </w:r>
      <w:r w:rsidRPr="00FB10D4">
        <w:tab/>
        <w:t xml:space="preserve">Abiiro G, Mbera G, De Allegri M. Gaps in universal health coverage in Malawi: A qualitative study in rural communities. </w:t>
      </w:r>
      <w:r w:rsidRPr="00FB10D4">
        <w:rPr>
          <w:i/>
        </w:rPr>
        <w:t>BMC Health Services Research</w:t>
      </w:r>
      <w:r w:rsidRPr="00FB10D4">
        <w:t xml:space="preserve"> 2014; </w:t>
      </w:r>
      <w:r w:rsidRPr="00FB10D4">
        <w:rPr>
          <w:b/>
        </w:rPr>
        <w:t>14</w:t>
      </w:r>
      <w:r w:rsidRPr="00FB10D4">
        <w:t>(1): 234.</w:t>
      </w:r>
      <w:bookmarkEnd w:id="68"/>
    </w:p>
    <w:p w14:paraId="6CD6F49D" w14:textId="77777777" w:rsidR="00FB10D4" w:rsidRPr="00FB10D4" w:rsidRDefault="00FB10D4" w:rsidP="00FB10D4">
      <w:pPr>
        <w:pStyle w:val="EndNoteBibliography"/>
        <w:spacing w:after="0"/>
        <w:rPr>
          <w:lang w:val="fr-FR"/>
        </w:rPr>
      </w:pPr>
      <w:bookmarkStart w:id="69" w:name="_ENREF_69"/>
      <w:r w:rsidRPr="00FB10D4">
        <w:t>69.</w:t>
      </w:r>
      <w:r w:rsidRPr="00FB10D4">
        <w:tab/>
        <w:t xml:space="preserve">Kazembe L, Appleton C, Kleinschmidt I. Choice of treatment for fever at household level in Malawi: examining spatial patterns. </w:t>
      </w:r>
      <w:r w:rsidRPr="00FB10D4">
        <w:rPr>
          <w:i/>
          <w:lang w:val="fr-FR"/>
        </w:rPr>
        <w:t>Malaria Journal</w:t>
      </w:r>
      <w:r w:rsidRPr="00FB10D4">
        <w:rPr>
          <w:lang w:val="fr-FR"/>
        </w:rPr>
        <w:t xml:space="preserve"> 2007; </w:t>
      </w:r>
      <w:r w:rsidRPr="00FB10D4">
        <w:rPr>
          <w:b/>
          <w:lang w:val="fr-FR"/>
        </w:rPr>
        <w:t>6</w:t>
      </w:r>
      <w:r w:rsidRPr="00FB10D4">
        <w:rPr>
          <w:lang w:val="fr-FR"/>
        </w:rPr>
        <w:t>(1): 40.</w:t>
      </w:r>
      <w:bookmarkEnd w:id="69"/>
    </w:p>
    <w:p w14:paraId="647A199F" w14:textId="77777777" w:rsidR="00FB10D4" w:rsidRPr="00FB10D4" w:rsidRDefault="00FB10D4" w:rsidP="00FB10D4">
      <w:pPr>
        <w:pStyle w:val="EndNoteBibliography"/>
      </w:pPr>
      <w:bookmarkStart w:id="70" w:name="_ENREF_70"/>
      <w:r w:rsidRPr="00FB10D4">
        <w:rPr>
          <w:lang w:val="fr-FR"/>
        </w:rPr>
        <w:t>70.</w:t>
      </w:r>
      <w:r w:rsidRPr="00FB10D4">
        <w:rPr>
          <w:lang w:val="fr-FR"/>
        </w:rPr>
        <w:tab/>
        <w:t xml:space="preserve">McPake B, Witter S, Ensor T, et al. </w:t>
      </w:r>
      <w:r w:rsidRPr="00FB10D4">
        <w:t xml:space="preserve">Removing financial barriers to access reproductive, maternal and newborn health services: the challenges and policy implications for human resources for health. </w:t>
      </w:r>
      <w:r w:rsidRPr="00FB10D4">
        <w:rPr>
          <w:i/>
        </w:rPr>
        <w:t>Human Resources for Health</w:t>
      </w:r>
      <w:r w:rsidRPr="00FB10D4">
        <w:t xml:space="preserve"> 2013; </w:t>
      </w:r>
      <w:r w:rsidRPr="00FB10D4">
        <w:rPr>
          <w:b/>
        </w:rPr>
        <w:t>11</w:t>
      </w:r>
      <w:r w:rsidRPr="00FB10D4">
        <w:t>(1): 46.</w:t>
      </w:r>
      <w:bookmarkEnd w:id="70"/>
    </w:p>
    <w:p w14:paraId="354AD315" w14:textId="4B886D3C" w:rsidR="00C41626" w:rsidRPr="00CE164E" w:rsidRDefault="0007630F" w:rsidP="00FB10D4">
      <w:pPr>
        <w:spacing w:line="240" w:lineRule="auto"/>
      </w:pPr>
      <w:r w:rsidRPr="00A84F8C">
        <w:rPr>
          <w:b/>
        </w:rPr>
        <w:fldChar w:fldCharType="end"/>
      </w:r>
    </w:p>
    <w:sectPr w:rsidR="00C41626" w:rsidRPr="00CE164E" w:rsidSect="007B3D35">
      <w:pgSz w:w="11906" w:h="16838"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57300" w14:textId="77777777" w:rsidR="00F7624C" w:rsidRDefault="00F7624C" w:rsidP="003C01D8">
      <w:pPr>
        <w:spacing w:after="0" w:line="240" w:lineRule="auto"/>
      </w:pPr>
      <w:r>
        <w:separator/>
      </w:r>
    </w:p>
  </w:endnote>
  <w:endnote w:type="continuationSeparator" w:id="0">
    <w:p w14:paraId="7130AE9E" w14:textId="77777777" w:rsidR="00F7624C" w:rsidRDefault="00F7624C" w:rsidP="003C0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918882"/>
      <w:docPartObj>
        <w:docPartGallery w:val="Page Numbers (Bottom of Page)"/>
        <w:docPartUnique/>
      </w:docPartObj>
    </w:sdtPr>
    <w:sdtEndPr>
      <w:rPr>
        <w:noProof/>
      </w:rPr>
    </w:sdtEndPr>
    <w:sdtContent>
      <w:p w14:paraId="13421716" w14:textId="77777777" w:rsidR="005A6843" w:rsidRDefault="005A6843">
        <w:pPr>
          <w:pStyle w:val="Footer"/>
          <w:jc w:val="right"/>
        </w:pPr>
      </w:p>
      <w:p w14:paraId="697C6CD3" w14:textId="77777777" w:rsidR="005A6843" w:rsidRDefault="005A6843">
        <w:pPr>
          <w:pStyle w:val="Footer"/>
          <w:jc w:val="right"/>
        </w:pPr>
        <w:r>
          <w:fldChar w:fldCharType="begin"/>
        </w:r>
        <w:r>
          <w:instrText xml:space="preserve"> PAGE   \* MERGEFORMAT </w:instrText>
        </w:r>
        <w:r>
          <w:fldChar w:fldCharType="separate"/>
        </w:r>
        <w:r w:rsidR="00897B63">
          <w:rPr>
            <w:noProof/>
          </w:rPr>
          <w:t>1</w:t>
        </w:r>
        <w:r>
          <w:rPr>
            <w:noProof/>
          </w:rPr>
          <w:fldChar w:fldCharType="end"/>
        </w:r>
      </w:p>
    </w:sdtContent>
  </w:sdt>
  <w:p w14:paraId="6567BF94" w14:textId="77777777" w:rsidR="005A6843" w:rsidRDefault="005A6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0FA34" w14:textId="77777777" w:rsidR="00F7624C" w:rsidRDefault="00F7624C" w:rsidP="003C01D8">
      <w:pPr>
        <w:spacing w:after="0" w:line="240" w:lineRule="auto"/>
      </w:pPr>
      <w:r>
        <w:separator/>
      </w:r>
    </w:p>
  </w:footnote>
  <w:footnote w:type="continuationSeparator" w:id="0">
    <w:p w14:paraId="4FB4013E" w14:textId="77777777" w:rsidR="00F7624C" w:rsidRDefault="00F7624C" w:rsidP="003C01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666D"/>
    <w:multiLevelType w:val="hybridMultilevel"/>
    <w:tmpl w:val="5B26551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7D3934"/>
    <w:multiLevelType w:val="hybridMultilevel"/>
    <w:tmpl w:val="614CFC7C"/>
    <w:lvl w:ilvl="0" w:tplc="46D6F4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657F"/>
    <w:multiLevelType w:val="hybridMultilevel"/>
    <w:tmpl w:val="EC68DB68"/>
    <w:lvl w:ilvl="0" w:tplc="D8D27FB2">
      <w:start w:val="1"/>
      <w:numFmt w:val="bullet"/>
      <w:lvlText w:val="•"/>
      <w:lvlJc w:val="left"/>
      <w:pPr>
        <w:tabs>
          <w:tab w:val="num" w:pos="720"/>
        </w:tabs>
        <w:ind w:left="720" w:hanging="360"/>
      </w:pPr>
      <w:rPr>
        <w:rFonts w:ascii="Arial" w:hAnsi="Arial" w:hint="default"/>
      </w:rPr>
    </w:lvl>
    <w:lvl w:ilvl="1" w:tplc="570E31B0" w:tentative="1">
      <w:start w:val="1"/>
      <w:numFmt w:val="bullet"/>
      <w:lvlText w:val="•"/>
      <w:lvlJc w:val="left"/>
      <w:pPr>
        <w:tabs>
          <w:tab w:val="num" w:pos="1440"/>
        </w:tabs>
        <w:ind w:left="1440" w:hanging="360"/>
      </w:pPr>
      <w:rPr>
        <w:rFonts w:ascii="Arial" w:hAnsi="Arial" w:hint="default"/>
      </w:rPr>
    </w:lvl>
    <w:lvl w:ilvl="2" w:tplc="8B2A756E" w:tentative="1">
      <w:start w:val="1"/>
      <w:numFmt w:val="bullet"/>
      <w:lvlText w:val="•"/>
      <w:lvlJc w:val="left"/>
      <w:pPr>
        <w:tabs>
          <w:tab w:val="num" w:pos="2160"/>
        </w:tabs>
        <w:ind w:left="2160" w:hanging="360"/>
      </w:pPr>
      <w:rPr>
        <w:rFonts w:ascii="Arial" w:hAnsi="Arial" w:hint="default"/>
      </w:rPr>
    </w:lvl>
    <w:lvl w:ilvl="3" w:tplc="5AC0D870" w:tentative="1">
      <w:start w:val="1"/>
      <w:numFmt w:val="bullet"/>
      <w:lvlText w:val="•"/>
      <w:lvlJc w:val="left"/>
      <w:pPr>
        <w:tabs>
          <w:tab w:val="num" w:pos="2880"/>
        </w:tabs>
        <w:ind w:left="2880" w:hanging="360"/>
      </w:pPr>
      <w:rPr>
        <w:rFonts w:ascii="Arial" w:hAnsi="Arial" w:hint="default"/>
      </w:rPr>
    </w:lvl>
    <w:lvl w:ilvl="4" w:tplc="F16C4516" w:tentative="1">
      <w:start w:val="1"/>
      <w:numFmt w:val="bullet"/>
      <w:lvlText w:val="•"/>
      <w:lvlJc w:val="left"/>
      <w:pPr>
        <w:tabs>
          <w:tab w:val="num" w:pos="3600"/>
        </w:tabs>
        <w:ind w:left="3600" w:hanging="360"/>
      </w:pPr>
      <w:rPr>
        <w:rFonts w:ascii="Arial" w:hAnsi="Arial" w:hint="default"/>
      </w:rPr>
    </w:lvl>
    <w:lvl w:ilvl="5" w:tplc="BD864D40" w:tentative="1">
      <w:start w:val="1"/>
      <w:numFmt w:val="bullet"/>
      <w:lvlText w:val="•"/>
      <w:lvlJc w:val="left"/>
      <w:pPr>
        <w:tabs>
          <w:tab w:val="num" w:pos="4320"/>
        </w:tabs>
        <w:ind w:left="4320" w:hanging="360"/>
      </w:pPr>
      <w:rPr>
        <w:rFonts w:ascii="Arial" w:hAnsi="Arial" w:hint="default"/>
      </w:rPr>
    </w:lvl>
    <w:lvl w:ilvl="6" w:tplc="EA60EDC0" w:tentative="1">
      <w:start w:val="1"/>
      <w:numFmt w:val="bullet"/>
      <w:lvlText w:val="•"/>
      <w:lvlJc w:val="left"/>
      <w:pPr>
        <w:tabs>
          <w:tab w:val="num" w:pos="5040"/>
        </w:tabs>
        <w:ind w:left="5040" w:hanging="360"/>
      </w:pPr>
      <w:rPr>
        <w:rFonts w:ascii="Arial" w:hAnsi="Arial" w:hint="default"/>
      </w:rPr>
    </w:lvl>
    <w:lvl w:ilvl="7" w:tplc="96385E16" w:tentative="1">
      <w:start w:val="1"/>
      <w:numFmt w:val="bullet"/>
      <w:lvlText w:val="•"/>
      <w:lvlJc w:val="left"/>
      <w:pPr>
        <w:tabs>
          <w:tab w:val="num" w:pos="5760"/>
        </w:tabs>
        <w:ind w:left="5760" w:hanging="360"/>
      </w:pPr>
      <w:rPr>
        <w:rFonts w:ascii="Arial" w:hAnsi="Arial" w:hint="default"/>
      </w:rPr>
    </w:lvl>
    <w:lvl w:ilvl="8" w:tplc="0B10B6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9B28E9"/>
    <w:multiLevelType w:val="hybridMultilevel"/>
    <w:tmpl w:val="EE0A9C4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1267F05"/>
    <w:multiLevelType w:val="hybridMultilevel"/>
    <w:tmpl w:val="66F0757C"/>
    <w:lvl w:ilvl="0" w:tplc="9BC097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C15CF7"/>
    <w:multiLevelType w:val="hybridMultilevel"/>
    <w:tmpl w:val="5D0ACA7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15:restartNumberingAfterBreak="0">
    <w:nsid w:val="6DCA317A"/>
    <w:multiLevelType w:val="hybridMultilevel"/>
    <w:tmpl w:val="7DA82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5"/>
  </w:num>
  <w:num w:numId="6">
    <w:abstractNumId w:val="6"/>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AR" w:vendorID="64" w:dllVersion="131078" w:nlCheck="1" w:checkStyle="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fpvwzxdm5awd1e5ps2prsfs5sa55we9efax&quot;&gt;Middle East EMRO Copy&lt;record-ids&gt;&lt;item&gt;138&lt;/item&gt;&lt;/record-ids&gt;&lt;/item&gt;&lt;/Libraries&gt;"/>
  </w:docVars>
  <w:rsids>
    <w:rsidRoot w:val="003C01D8"/>
    <w:rsid w:val="0000055A"/>
    <w:rsid w:val="000141AD"/>
    <w:rsid w:val="00014D54"/>
    <w:rsid w:val="00014DFE"/>
    <w:rsid w:val="00016FDA"/>
    <w:rsid w:val="00023830"/>
    <w:rsid w:val="00026401"/>
    <w:rsid w:val="000347C9"/>
    <w:rsid w:val="000360A4"/>
    <w:rsid w:val="000403DE"/>
    <w:rsid w:val="000408E0"/>
    <w:rsid w:val="00042748"/>
    <w:rsid w:val="000471C8"/>
    <w:rsid w:val="00050367"/>
    <w:rsid w:val="000516A3"/>
    <w:rsid w:val="00051993"/>
    <w:rsid w:val="00052A35"/>
    <w:rsid w:val="00060218"/>
    <w:rsid w:val="00062354"/>
    <w:rsid w:val="00062848"/>
    <w:rsid w:val="00066BC8"/>
    <w:rsid w:val="00071DA4"/>
    <w:rsid w:val="0007630F"/>
    <w:rsid w:val="00085DE5"/>
    <w:rsid w:val="00091A28"/>
    <w:rsid w:val="00091DA9"/>
    <w:rsid w:val="00095E45"/>
    <w:rsid w:val="000974B7"/>
    <w:rsid w:val="00097D8A"/>
    <w:rsid w:val="000A03E7"/>
    <w:rsid w:val="000A6449"/>
    <w:rsid w:val="000A6DDA"/>
    <w:rsid w:val="000B1286"/>
    <w:rsid w:val="000B18A0"/>
    <w:rsid w:val="000B22BF"/>
    <w:rsid w:val="000B25E1"/>
    <w:rsid w:val="000B31E1"/>
    <w:rsid w:val="000B3EC5"/>
    <w:rsid w:val="000B4B34"/>
    <w:rsid w:val="000B518A"/>
    <w:rsid w:val="000B6727"/>
    <w:rsid w:val="000D1089"/>
    <w:rsid w:val="000D35D5"/>
    <w:rsid w:val="000E0980"/>
    <w:rsid w:val="000E3958"/>
    <w:rsid w:val="000F0797"/>
    <w:rsid w:val="000F2130"/>
    <w:rsid w:val="001012BB"/>
    <w:rsid w:val="00103B0E"/>
    <w:rsid w:val="00103EEE"/>
    <w:rsid w:val="00111FDD"/>
    <w:rsid w:val="001127B3"/>
    <w:rsid w:val="00114C45"/>
    <w:rsid w:val="0011501A"/>
    <w:rsid w:val="00120DC5"/>
    <w:rsid w:val="0012148F"/>
    <w:rsid w:val="00125A90"/>
    <w:rsid w:val="00125DCB"/>
    <w:rsid w:val="001261CF"/>
    <w:rsid w:val="001265CD"/>
    <w:rsid w:val="001307A1"/>
    <w:rsid w:val="001309CC"/>
    <w:rsid w:val="00131B5F"/>
    <w:rsid w:val="001336D8"/>
    <w:rsid w:val="00133B16"/>
    <w:rsid w:val="0014245E"/>
    <w:rsid w:val="001478B7"/>
    <w:rsid w:val="00147E3A"/>
    <w:rsid w:val="00153693"/>
    <w:rsid w:val="0015645D"/>
    <w:rsid w:val="001610B9"/>
    <w:rsid w:val="00162C05"/>
    <w:rsid w:val="0016648A"/>
    <w:rsid w:val="00166AF4"/>
    <w:rsid w:val="00170470"/>
    <w:rsid w:val="0017093F"/>
    <w:rsid w:val="00172C16"/>
    <w:rsid w:val="00175649"/>
    <w:rsid w:val="0017712F"/>
    <w:rsid w:val="00181CF6"/>
    <w:rsid w:val="00184FA5"/>
    <w:rsid w:val="00187CAB"/>
    <w:rsid w:val="00191049"/>
    <w:rsid w:val="00192EBD"/>
    <w:rsid w:val="00194F5D"/>
    <w:rsid w:val="001956E3"/>
    <w:rsid w:val="00197FFA"/>
    <w:rsid w:val="001B7228"/>
    <w:rsid w:val="001C163B"/>
    <w:rsid w:val="001C2A87"/>
    <w:rsid w:val="001C3F29"/>
    <w:rsid w:val="001C51A7"/>
    <w:rsid w:val="001C65C4"/>
    <w:rsid w:val="001C756E"/>
    <w:rsid w:val="001D0C58"/>
    <w:rsid w:val="001D2210"/>
    <w:rsid w:val="001D283D"/>
    <w:rsid w:val="001D35D5"/>
    <w:rsid w:val="001D4945"/>
    <w:rsid w:val="001D4DDD"/>
    <w:rsid w:val="001E48C9"/>
    <w:rsid w:val="001E5161"/>
    <w:rsid w:val="001E7F45"/>
    <w:rsid w:val="001F14F9"/>
    <w:rsid w:val="001F26F3"/>
    <w:rsid w:val="00204D63"/>
    <w:rsid w:val="002066F4"/>
    <w:rsid w:val="00215B60"/>
    <w:rsid w:val="00224803"/>
    <w:rsid w:val="00227A80"/>
    <w:rsid w:val="002310DC"/>
    <w:rsid w:val="00231909"/>
    <w:rsid w:val="002326E1"/>
    <w:rsid w:val="002357B8"/>
    <w:rsid w:val="002366CF"/>
    <w:rsid w:val="00236B05"/>
    <w:rsid w:val="00240DC5"/>
    <w:rsid w:val="002437B7"/>
    <w:rsid w:val="00246C72"/>
    <w:rsid w:val="002506CB"/>
    <w:rsid w:val="00250C12"/>
    <w:rsid w:val="00252B0A"/>
    <w:rsid w:val="00253D43"/>
    <w:rsid w:val="00254C34"/>
    <w:rsid w:val="002568D0"/>
    <w:rsid w:val="00260E25"/>
    <w:rsid w:val="00262506"/>
    <w:rsid w:val="00263EBD"/>
    <w:rsid w:val="002713D8"/>
    <w:rsid w:val="00273707"/>
    <w:rsid w:val="00274D50"/>
    <w:rsid w:val="00275613"/>
    <w:rsid w:val="00277754"/>
    <w:rsid w:val="00280AFE"/>
    <w:rsid w:val="0028155D"/>
    <w:rsid w:val="002838C3"/>
    <w:rsid w:val="002843EE"/>
    <w:rsid w:val="00291063"/>
    <w:rsid w:val="0029410F"/>
    <w:rsid w:val="00296328"/>
    <w:rsid w:val="00296787"/>
    <w:rsid w:val="00296C42"/>
    <w:rsid w:val="002A5699"/>
    <w:rsid w:val="002B28B6"/>
    <w:rsid w:val="002B48A0"/>
    <w:rsid w:val="002B563C"/>
    <w:rsid w:val="002C5AA7"/>
    <w:rsid w:val="002C5AE8"/>
    <w:rsid w:val="002D0C81"/>
    <w:rsid w:val="002D556E"/>
    <w:rsid w:val="002D5770"/>
    <w:rsid w:val="002D61BA"/>
    <w:rsid w:val="002D659E"/>
    <w:rsid w:val="002E124A"/>
    <w:rsid w:val="002E15E4"/>
    <w:rsid w:val="002E708D"/>
    <w:rsid w:val="002F00A5"/>
    <w:rsid w:val="002F0D8F"/>
    <w:rsid w:val="002F1C7A"/>
    <w:rsid w:val="002F2B29"/>
    <w:rsid w:val="002F4609"/>
    <w:rsid w:val="002F65EE"/>
    <w:rsid w:val="002F76AF"/>
    <w:rsid w:val="003021B3"/>
    <w:rsid w:val="003063A6"/>
    <w:rsid w:val="00306455"/>
    <w:rsid w:val="00310118"/>
    <w:rsid w:val="00320969"/>
    <w:rsid w:val="00321CB6"/>
    <w:rsid w:val="00321D8E"/>
    <w:rsid w:val="00321EC6"/>
    <w:rsid w:val="003256D2"/>
    <w:rsid w:val="0034195E"/>
    <w:rsid w:val="00341E1F"/>
    <w:rsid w:val="0034503C"/>
    <w:rsid w:val="0034699D"/>
    <w:rsid w:val="00346EB3"/>
    <w:rsid w:val="0035012E"/>
    <w:rsid w:val="00350830"/>
    <w:rsid w:val="00350857"/>
    <w:rsid w:val="003548EF"/>
    <w:rsid w:val="00357024"/>
    <w:rsid w:val="00363938"/>
    <w:rsid w:val="00365B1B"/>
    <w:rsid w:val="003725DC"/>
    <w:rsid w:val="00373CB4"/>
    <w:rsid w:val="00373F9F"/>
    <w:rsid w:val="00377BA6"/>
    <w:rsid w:val="003851DE"/>
    <w:rsid w:val="00385322"/>
    <w:rsid w:val="00397091"/>
    <w:rsid w:val="003A34CA"/>
    <w:rsid w:val="003A3DD3"/>
    <w:rsid w:val="003A4378"/>
    <w:rsid w:val="003A4D67"/>
    <w:rsid w:val="003A4EA7"/>
    <w:rsid w:val="003A5304"/>
    <w:rsid w:val="003B70B6"/>
    <w:rsid w:val="003C01D8"/>
    <w:rsid w:val="003C08FA"/>
    <w:rsid w:val="003C7679"/>
    <w:rsid w:val="003D3955"/>
    <w:rsid w:val="003D5C68"/>
    <w:rsid w:val="003D6B7E"/>
    <w:rsid w:val="003E6BC7"/>
    <w:rsid w:val="003E78A4"/>
    <w:rsid w:val="003F4BC0"/>
    <w:rsid w:val="003F4F55"/>
    <w:rsid w:val="004010B5"/>
    <w:rsid w:val="00401B3D"/>
    <w:rsid w:val="004020B9"/>
    <w:rsid w:val="00402AF4"/>
    <w:rsid w:val="00403B4C"/>
    <w:rsid w:val="004042C2"/>
    <w:rsid w:val="00405FB8"/>
    <w:rsid w:val="00411F55"/>
    <w:rsid w:val="004136F8"/>
    <w:rsid w:val="00413885"/>
    <w:rsid w:val="00417757"/>
    <w:rsid w:val="00420C77"/>
    <w:rsid w:val="00420FA9"/>
    <w:rsid w:val="00422441"/>
    <w:rsid w:val="004243C2"/>
    <w:rsid w:val="004310CC"/>
    <w:rsid w:val="004344CE"/>
    <w:rsid w:val="00436053"/>
    <w:rsid w:val="00436AFA"/>
    <w:rsid w:val="00440030"/>
    <w:rsid w:val="00441BC8"/>
    <w:rsid w:val="0044338E"/>
    <w:rsid w:val="00447C92"/>
    <w:rsid w:val="00457BB4"/>
    <w:rsid w:val="00462FD3"/>
    <w:rsid w:val="00463689"/>
    <w:rsid w:val="0047596B"/>
    <w:rsid w:val="00480332"/>
    <w:rsid w:val="00484260"/>
    <w:rsid w:val="0049519F"/>
    <w:rsid w:val="00495BBB"/>
    <w:rsid w:val="004B30BE"/>
    <w:rsid w:val="004B3B78"/>
    <w:rsid w:val="004B55AF"/>
    <w:rsid w:val="004C32A4"/>
    <w:rsid w:val="004C6506"/>
    <w:rsid w:val="004E096F"/>
    <w:rsid w:val="004E2BF3"/>
    <w:rsid w:val="004E620C"/>
    <w:rsid w:val="004F5790"/>
    <w:rsid w:val="00511A6A"/>
    <w:rsid w:val="0051352C"/>
    <w:rsid w:val="0051362C"/>
    <w:rsid w:val="00513B6E"/>
    <w:rsid w:val="00515029"/>
    <w:rsid w:val="00516DA7"/>
    <w:rsid w:val="00517CD9"/>
    <w:rsid w:val="005208AA"/>
    <w:rsid w:val="00520DF6"/>
    <w:rsid w:val="005225A3"/>
    <w:rsid w:val="0052474C"/>
    <w:rsid w:val="005353C7"/>
    <w:rsid w:val="00537BC9"/>
    <w:rsid w:val="00545109"/>
    <w:rsid w:val="00546A9E"/>
    <w:rsid w:val="00546D1D"/>
    <w:rsid w:val="0055254F"/>
    <w:rsid w:val="00553FCE"/>
    <w:rsid w:val="00554074"/>
    <w:rsid w:val="005611BA"/>
    <w:rsid w:val="00563B5B"/>
    <w:rsid w:val="00565F90"/>
    <w:rsid w:val="005707E0"/>
    <w:rsid w:val="00571BA5"/>
    <w:rsid w:val="00575D36"/>
    <w:rsid w:val="00576222"/>
    <w:rsid w:val="00581D72"/>
    <w:rsid w:val="00585EE0"/>
    <w:rsid w:val="005902AA"/>
    <w:rsid w:val="0059080F"/>
    <w:rsid w:val="00592F2F"/>
    <w:rsid w:val="00597E7A"/>
    <w:rsid w:val="005A1720"/>
    <w:rsid w:val="005A46C5"/>
    <w:rsid w:val="005A6843"/>
    <w:rsid w:val="005C3B1C"/>
    <w:rsid w:val="005C5BBE"/>
    <w:rsid w:val="005C5E72"/>
    <w:rsid w:val="005C6315"/>
    <w:rsid w:val="005C7874"/>
    <w:rsid w:val="005D4824"/>
    <w:rsid w:val="005D532F"/>
    <w:rsid w:val="005E01C6"/>
    <w:rsid w:val="005E098F"/>
    <w:rsid w:val="005E331D"/>
    <w:rsid w:val="005E4B6E"/>
    <w:rsid w:val="005E509A"/>
    <w:rsid w:val="005F19D8"/>
    <w:rsid w:val="005F7C1D"/>
    <w:rsid w:val="00600C00"/>
    <w:rsid w:val="00602CED"/>
    <w:rsid w:val="006140E2"/>
    <w:rsid w:val="0061488D"/>
    <w:rsid w:val="00624003"/>
    <w:rsid w:val="00631668"/>
    <w:rsid w:val="00634B2C"/>
    <w:rsid w:val="00635515"/>
    <w:rsid w:val="0064060B"/>
    <w:rsid w:val="006456F3"/>
    <w:rsid w:val="00650B76"/>
    <w:rsid w:val="00651337"/>
    <w:rsid w:val="00656EE7"/>
    <w:rsid w:val="00656FA7"/>
    <w:rsid w:val="00657517"/>
    <w:rsid w:val="00660994"/>
    <w:rsid w:val="006630DD"/>
    <w:rsid w:val="00675A85"/>
    <w:rsid w:val="006809BD"/>
    <w:rsid w:val="00682E2D"/>
    <w:rsid w:val="00685910"/>
    <w:rsid w:val="006861F3"/>
    <w:rsid w:val="006875D4"/>
    <w:rsid w:val="00687D04"/>
    <w:rsid w:val="006939DC"/>
    <w:rsid w:val="00697617"/>
    <w:rsid w:val="006A2F84"/>
    <w:rsid w:val="006A2F89"/>
    <w:rsid w:val="006A3D45"/>
    <w:rsid w:val="006A4558"/>
    <w:rsid w:val="006A493F"/>
    <w:rsid w:val="006A76AD"/>
    <w:rsid w:val="006B221C"/>
    <w:rsid w:val="006B459C"/>
    <w:rsid w:val="006C5DBE"/>
    <w:rsid w:val="006D1278"/>
    <w:rsid w:val="006D2F04"/>
    <w:rsid w:val="006D3619"/>
    <w:rsid w:val="006D3624"/>
    <w:rsid w:val="006D766C"/>
    <w:rsid w:val="006D7C1F"/>
    <w:rsid w:val="006E0DF9"/>
    <w:rsid w:val="006E4E5D"/>
    <w:rsid w:val="007011DC"/>
    <w:rsid w:val="0070131B"/>
    <w:rsid w:val="00704208"/>
    <w:rsid w:val="00707768"/>
    <w:rsid w:val="00710C83"/>
    <w:rsid w:val="00713BCD"/>
    <w:rsid w:val="00716204"/>
    <w:rsid w:val="00716BEA"/>
    <w:rsid w:val="00716FFF"/>
    <w:rsid w:val="007204F5"/>
    <w:rsid w:val="0072232B"/>
    <w:rsid w:val="00734740"/>
    <w:rsid w:val="00735437"/>
    <w:rsid w:val="00737242"/>
    <w:rsid w:val="007400A6"/>
    <w:rsid w:val="0074143A"/>
    <w:rsid w:val="00742571"/>
    <w:rsid w:val="007450BE"/>
    <w:rsid w:val="00745BE8"/>
    <w:rsid w:val="007509A7"/>
    <w:rsid w:val="00751929"/>
    <w:rsid w:val="0075418C"/>
    <w:rsid w:val="0075726F"/>
    <w:rsid w:val="00757480"/>
    <w:rsid w:val="00761C22"/>
    <w:rsid w:val="0077339F"/>
    <w:rsid w:val="00776278"/>
    <w:rsid w:val="00785D30"/>
    <w:rsid w:val="0078723F"/>
    <w:rsid w:val="00790673"/>
    <w:rsid w:val="00794931"/>
    <w:rsid w:val="007A0128"/>
    <w:rsid w:val="007A6AEA"/>
    <w:rsid w:val="007B0E0C"/>
    <w:rsid w:val="007B1527"/>
    <w:rsid w:val="007B2C12"/>
    <w:rsid w:val="007B2F87"/>
    <w:rsid w:val="007B3D35"/>
    <w:rsid w:val="007B3E98"/>
    <w:rsid w:val="007B49FA"/>
    <w:rsid w:val="007B4FFC"/>
    <w:rsid w:val="007B6702"/>
    <w:rsid w:val="007B6F57"/>
    <w:rsid w:val="007C0583"/>
    <w:rsid w:val="007C1A69"/>
    <w:rsid w:val="007C7095"/>
    <w:rsid w:val="007D126D"/>
    <w:rsid w:val="007D157A"/>
    <w:rsid w:val="007D233C"/>
    <w:rsid w:val="007D2ADF"/>
    <w:rsid w:val="007D47E1"/>
    <w:rsid w:val="007D5406"/>
    <w:rsid w:val="007E36D5"/>
    <w:rsid w:val="007E6FD2"/>
    <w:rsid w:val="007E7A0D"/>
    <w:rsid w:val="007F3BF2"/>
    <w:rsid w:val="007F4EF9"/>
    <w:rsid w:val="008008A2"/>
    <w:rsid w:val="0080091F"/>
    <w:rsid w:val="00800A3D"/>
    <w:rsid w:val="008068F8"/>
    <w:rsid w:val="00807E5E"/>
    <w:rsid w:val="00811435"/>
    <w:rsid w:val="008144B2"/>
    <w:rsid w:val="00814CEF"/>
    <w:rsid w:val="0081689F"/>
    <w:rsid w:val="0082719D"/>
    <w:rsid w:val="008377D6"/>
    <w:rsid w:val="00843A9B"/>
    <w:rsid w:val="00843B35"/>
    <w:rsid w:val="00844329"/>
    <w:rsid w:val="00844759"/>
    <w:rsid w:val="00847422"/>
    <w:rsid w:val="00851EB4"/>
    <w:rsid w:val="008545E9"/>
    <w:rsid w:val="00855615"/>
    <w:rsid w:val="00857EFA"/>
    <w:rsid w:val="008626ED"/>
    <w:rsid w:val="00866C87"/>
    <w:rsid w:val="008751CA"/>
    <w:rsid w:val="00882BEA"/>
    <w:rsid w:val="00892882"/>
    <w:rsid w:val="00894282"/>
    <w:rsid w:val="00896F47"/>
    <w:rsid w:val="00897B63"/>
    <w:rsid w:val="008A733A"/>
    <w:rsid w:val="008B0351"/>
    <w:rsid w:val="008B08E9"/>
    <w:rsid w:val="008B6C4F"/>
    <w:rsid w:val="008C2630"/>
    <w:rsid w:val="008C2A9C"/>
    <w:rsid w:val="008C2FCD"/>
    <w:rsid w:val="008C4550"/>
    <w:rsid w:val="008D0DC0"/>
    <w:rsid w:val="008D191C"/>
    <w:rsid w:val="008D195B"/>
    <w:rsid w:val="008D1AC6"/>
    <w:rsid w:val="008D285F"/>
    <w:rsid w:val="008D4E09"/>
    <w:rsid w:val="008E2DDE"/>
    <w:rsid w:val="008E3CF5"/>
    <w:rsid w:val="008F064B"/>
    <w:rsid w:val="008F1986"/>
    <w:rsid w:val="008F59C0"/>
    <w:rsid w:val="008F7618"/>
    <w:rsid w:val="009014CB"/>
    <w:rsid w:val="00901CE2"/>
    <w:rsid w:val="00903F81"/>
    <w:rsid w:val="00915BD5"/>
    <w:rsid w:val="00923851"/>
    <w:rsid w:val="009258D7"/>
    <w:rsid w:val="00926B21"/>
    <w:rsid w:val="00930A32"/>
    <w:rsid w:val="00932B58"/>
    <w:rsid w:val="00937E87"/>
    <w:rsid w:val="009414BC"/>
    <w:rsid w:val="009427BF"/>
    <w:rsid w:val="0094751E"/>
    <w:rsid w:val="009479C6"/>
    <w:rsid w:val="009505EE"/>
    <w:rsid w:val="00951341"/>
    <w:rsid w:val="00956BDE"/>
    <w:rsid w:val="00967F2B"/>
    <w:rsid w:val="00974E09"/>
    <w:rsid w:val="00975C83"/>
    <w:rsid w:val="009828AD"/>
    <w:rsid w:val="0098413F"/>
    <w:rsid w:val="0098488E"/>
    <w:rsid w:val="00986FF6"/>
    <w:rsid w:val="00991AA7"/>
    <w:rsid w:val="00994590"/>
    <w:rsid w:val="00995668"/>
    <w:rsid w:val="00996C35"/>
    <w:rsid w:val="009A2A18"/>
    <w:rsid w:val="009A6DDF"/>
    <w:rsid w:val="009B0FE1"/>
    <w:rsid w:val="009B20C3"/>
    <w:rsid w:val="009B3B19"/>
    <w:rsid w:val="009B4799"/>
    <w:rsid w:val="009B6124"/>
    <w:rsid w:val="009C0EDF"/>
    <w:rsid w:val="009C1512"/>
    <w:rsid w:val="009C2CB6"/>
    <w:rsid w:val="009C3CFD"/>
    <w:rsid w:val="009C5884"/>
    <w:rsid w:val="009C5E72"/>
    <w:rsid w:val="009C7DE1"/>
    <w:rsid w:val="009D1C39"/>
    <w:rsid w:val="009D220B"/>
    <w:rsid w:val="009E46C9"/>
    <w:rsid w:val="009F0AB4"/>
    <w:rsid w:val="009F29F1"/>
    <w:rsid w:val="009F503E"/>
    <w:rsid w:val="009F79A2"/>
    <w:rsid w:val="00A022BA"/>
    <w:rsid w:val="00A045ED"/>
    <w:rsid w:val="00A0604E"/>
    <w:rsid w:val="00A061B5"/>
    <w:rsid w:val="00A101F9"/>
    <w:rsid w:val="00A11C9E"/>
    <w:rsid w:val="00A17264"/>
    <w:rsid w:val="00A25E82"/>
    <w:rsid w:val="00A306C3"/>
    <w:rsid w:val="00A342C8"/>
    <w:rsid w:val="00A353BF"/>
    <w:rsid w:val="00A46CEA"/>
    <w:rsid w:val="00A5057F"/>
    <w:rsid w:val="00A57D9E"/>
    <w:rsid w:val="00A60890"/>
    <w:rsid w:val="00A62A1F"/>
    <w:rsid w:val="00A63592"/>
    <w:rsid w:val="00A64F96"/>
    <w:rsid w:val="00A83E23"/>
    <w:rsid w:val="00A84F8C"/>
    <w:rsid w:val="00A85978"/>
    <w:rsid w:val="00A87831"/>
    <w:rsid w:val="00A91CDE"/>
    <w:rsid w:val="00A92665"/>
    <w:rsid w:val="00A92D70"/>
    <w:rsid w:val="00A93531"/>
    <w:rsid w:val="00AA49AA"/>
    <w:rsid w:val="00AA79B8"/>
    <w:rsid w:val="00AB2EB7"/>
    <w:rsid w:val="00AB4310"/>
    <w:rsid w:val="00AB69AB"/>
    <w:rsid w:val="00AC1403"/>
    <w:rsid w:val="00AC1E91"/>
    <w:rsid w:val="00AC7C85"/>
    <w:rsid w:val="00AC7FD4"/>
    <w:rsid w:val="00AD060A"/>
    <w:rsid w:val="00AD5AC6"/>
    <w:rsid w:val="00AD5D26"/>
    <w:rsid w:val="00AE1895"/>
    <w:rsid w:val="00AE1AB2"/>
    <w:rsid w:val="00AE35E8"/>
    <w:rsid w:val="00AE50A6"/>
    <w:rsid w:val="00AE55E4"/>
    <w:rsid w:val="00AE575C"/>
    <w:rsid w:val="00AE63B4"/>
    <w:rsid w:val="00AE70DF"/>
    <w:rsid w:val="00AF09F0"/>
    <w:rsid w:val="00AF5896"/>
    <w:rsid w:val="00AF7A10"/>
    <w:rsid w:val="00B02381"/>
    <w:rsid w:val="00B0353C"/>
    <w:rsid w:val="00B0366F"/>
    <w:rsid w:val="00B0486D"/>
    <w:rsid w:val="00B0511C"/>
    <w:rsid w:val="00B0768A"/>
    <w:rsid w:val="00B11F3E"/>
    <w:rsid w:val="00B1277A"/>
    <w:rsid w:val="00B15F69"/>
    <w:rsid w:val="00B20DDF"/>
    <w:rsid w:val="00B22E23"/>
    <w:rsid w:val="00B2570E"/>
    <w:rsid w:val="00B2593E"/>
    <w:rsid w:val="00B25C10"/>
    <w:rsid w:val="00B27BFD"/>
    <w:rsid w:val="00B30774"/>
    <w:rsid w:val="00B31897"/>
    <w:rsid w:val="00B32EB6"/>
    <w:rsid w:val="00B331D8"/>
    <w:rsid w:val="00B349E2"/>
    <w:rsid w:val="00B40A0B"/>
    <w:rsid w:val="00B479DE"/>
    <w:rsid w:val="00B52163"/>
    <w:rsid w:val="00B61A00"/>
    <w:rsid w:val="00B62C5A"/>
    <w:rsid w:val="00B72E3C"/>
    <w:rsid w:val="00B7577A"/>
    <w:rsid w:val="00B75F4E"/>
    <w:rsid w:val="00B77694"/>
    <w:rsid w:val="00B80037"/>
    <w:rsid w:val="00B800F2"/>
    <w:rsid w:val="00B81F53"/>
    <w:rsid w:val="00B84242"/>
    <w:rsid w:val="00B87D9B"/>
    <w:rsid w:val="00B9194A"/>
    <w:rsid w:val="00B91F97"/>
    <w:rsid w:val="00BB7037"/>
    <w:rsid w:val="00BC32C8"/>
    <w:rsid w:val="00BC5558"/>
    <w:rsid w:val="00BC7CC3"/>
    <w:rsid w:val="00BD00B4"/>
    <w:rsid w:val="00BD4341"/>
    <w:rsid w:val="00BE207C"/>
    <w:rsid w:val="00BE2884"/>
    <w:rsid w:val="00BF031E"/>
    <w:rsid w:val="00BF4766"/>
    <w:rsid w:val="00C003D7"/>
    <w:rsid w:val="00C02A2A"/>
    <w:rsid w:val="00C02C06"/>
    <w:rsid w:val="00C07FE7"/>
    <w:rsid w:val="00C13C17"/>
    <w:rsid w:val="00C154C8"/>
    <w:rsid w:val="00C16476"/>
    <w:rsid w:val="00C16AB6"/>
    <w:rsid w:val="00C17712"/>
    <w:rsid w:val="00C215B6"/>
    <w:rsid w:val="00C22E13"/>
    <w:rsid w:val="00C24EF2"/>
    <w:rsid w:val="00C2578D"/>
    <w:rsid w:val="00C25D6C"/>
    <w:rsid w:val="00C26765"/>
    <w:rsid w:val="00C30943"/>
    <w:rsid w:val="00C31B36"/>
    <w:rsid w:val="00C36C9F"/>
    <w:rsid w:val="00C41626"/>
    <w:rsid w:val="00C42C24"/>
    <w:rsid w:val="00C42ED9"/>
    <w:rsid w:val="00C446C8"/>
    <w:rsid w:val="00C60EAD"/>
    <w:rsid w:val="00C7758B"/>
    <w:rsid w:val="00C812F9"/>
    <w:rsid w:val="00C82D3A"/>
    <w:rsid w:val="00C87C7C"/>
    <w:rsid w:val="00C906C4"/>
    <w:rsid w:val="00C91918"/>
    <w:rsid w:val="00C94E37"/>
    <w:rsid w:val="00C97741"/>
    <w:rsid w:val="00C97DF3"/>
    <w:rsid w:val="00CA0D6C"/>
    <w:rsid w:val="00CA1598"/>
    <w:rsid w:val="00CA3491"/>
    <w:rsid w:val="00CB04C4"/>
    <w:rsid w:val="00CB19D7"/>
    <w:rsid w:val="00CB344B"/>
    <w:rsid w:val="00CB5B18"/>
    <w:rsid w:val="00CC0099"/>
    <w:rsid w:val="00CC1441"/>
    <w:rsid w:val="00CC212C"/>
    <w:rsid w:val="00CC2D35"/>
    <w:rsid w:val="00CC42A9"/>
    <w:rsid w:val="00CC76BB"/>
    <w:rsid w:val="00CD0066"/>
    <w:rsid w:val="00CD2739"/>
    <w:rsid w:val="00CD6CA1"/>
    <w:rsid w:val="00CE164E"/>
    <w:rsid w:val="00CE2056"/>
    <w:rsid w:val="00CF452C"/>
    <w:rsid w:val="00CF5C56"/>
    <w:rsid w:val="00CF6CD0"/>
    <w:rsid w:val="00CF7090"/>
    <w:rsid w:val="00CF7D01"/>
    <w:rsid w:val="00D01713"/>
    <w:rsid w:val="00D03303"/>
    <w:rsid w:val="00D03E98"/>
    <w:rsid w:val="00D06501"/>
    <w:rsid w:val="00D11460"/>
    <w:rsid w:val="00D130D9"/>
    <w:rsid w:val="00D13E5F"/>
    <w:rsid w:val="00D207FD"/>
    <w:rsid w:val="00D2419C"/>
    <w:rsid w:val="00D244AB"/>
    <w:rsid w:val="00D30452"/>
    <w:rsid w:val="00D33120"/>
    <w:rsid w:val="00D3453E"/>
    <w:rsid w:val="00D40A5E"/>
    <w:rsid w:val="00D42587"/>
    <w:rsid w:val="00D43780"/>
    <w:rsid w:val="00D44555"/>
    <w:rsid w:val="00D4483A"/>
    <w:rsid w:val="00D45BF8"/>
    <w:rsid w:val="00D53261"/>
    <w:rsid w:val="00D53DEF"/>
    <w:rsid w:val="00D609CB"/>
    <w:rsid w:val="00D60AF4"/>
    <w:rsid w:val="00D65F6F"/>
    <w:rsid w:val="00D67C10"/>
    <w:rsid w:val="00D70388"/>
    <w:rsid w:val="00D80B9C"/>
    <w:rsid w:val="00D82A70"/>
    <w:rsid w:val="00D97049"/>
    <w:rsid w:val="00D97DEE"/>
    <w:rsid w:val="00DA78C2"/>
    <w:rsid w:val="00DA7B7F"/>
    <w:rsid w:val="00DB3162"/>
    <w:rsid w:val="00DB6E0B"/>
    <w:rsid w:val="00DC189D"/>
    <w:rsid w:val="00DC2A32"/>
    <w:rsid w:val="00DC4B22"/>
    <w:rsid w:val="00DC5C72"/>
    <w:rsid w:val="00DE2680"/>
    <w:rsid w:val="00DE3C60"/>
    <w:rsid w:val="00DE3C8A"/>
    <w:rsid w:val="00DE692F"/>
    <w:rsid w:val="00DE7CE7"/>
    <w:rsid w:val="00DF1AF8"/>
    <w:rsid w:val="00E1442C"/>
    <w:rsid w:val="00E147B5"/>
    <w:rsid w:val="00E23B54"/>
    <w:rsid w:val="00E243F6"/>
    <w:rsid w:val="00E24A6C"/>
    <w:rsid w:val="00E26269"/>
    <w:rsid w:val="00E26BB3"/>
    <w:rsid w:val="00E334FF"/>
    <w:rsid w:val="00E33F01"/>
    <w:rsid w:val="00E34872"/>
    <w:rsid w:val="00E36AD1"/>
    <w:rsid w:val="00E36F28"/>
    <w:rsid w:val="00E37500"/>
    <w:rsid w:val="00E40E77"/>
    <w:rsid w:val="00E42B86"/>
    <w:rsid w:val="00E430DE"/>
    <w:rsid w:val="00E44F27"/>
    <w:rsid w:val="00E46AF2"/>
    <w:rsid w:val="00E5257D"/>
    <w:rsid w:val="00E52F90"/>
    <w:rsid w:val="00E60C66"/>
    <w:rsid w:val="00E61C09"/>
    <w:rsid w:val="00E64B39"/>
    <w:rsid w:val="00E64B7B"/>
    <w:rsid w:val="00E64E59"/>
    <w:rsid w:val="00E655B6"/>
    <w:rsid w:val="00E736CB"/>
    <w:rsid w:val="00E75174"/>
    <w:rsid w:val="00E75975"/>
    <w:rsid w:val="00E87549"/>
    <w:rsid w:val="00E9160A"/>
    <w:rsid w:val="00E94F3B"/>
    <w:rsid w:val="00E97428"/>
    <w:rsid w:val="00E97CA4"/>
    <w:rsid w:val="00EA4300"/>
    <w:rsid w:val="00EB031F"/>
    <w:rsid w:val="00EB07D0"/>
    <w:rsid w:val="00EB0E87"/>
    <w:rsid w:val="00EB1D1C"/>
    <w:rsid w:val="00EB3B58"/>
    <w:rsid w:val="00EB4C1F"/>
    <w:rsid w:val="00EB74F1"/>
    <w:rsid w:val="00EB7D60"/>
    <w:rsid w:val="00EC5996"/>
    <w:rsid w:val="00ED046F"/>
    <w:rsid w:val="00ED1A07"/>
    <w:rsid w:val="00ED2AF5"/>
    <w:rsid w:val="00ED3267"/>
    <w:rsid w:val="00ED45C9"/>
    <w:rsid w:val="00EE29A0"/>
    <w:rsid w:val="00EE39E2"/>
    <w:rsid w:val="00EE3F66"/>
    <w:rsid w:val="00EE4EA3"/>
    <w:rsid w:val="00EE53E8"/>
    <w:rsid w:val="00EE5481"/>
    <w:rsid w:val="00EE750A"/>
    <w:rsid w:val="00EF2676"/>
    <w:rsid w:val="00EF6AFA"/>
    <w:rsid w:val="00EF7AEB"/>
    <w:rsid w:val="00F04176"/>
    <w:rsid w:val="00F07E7F"/>
    <w:rsid w:val="00F11AC5"/>
    <w:rsid w:val="00F16FA4"/>
    <w:rsid w:val="00F2398C"/>
    <w:rsid w:val="00F24AC9"/>
    <w:rsid w:val="00F27215"/>
    <w:rsid w:val="00F32B0C"/>
    <w:rsid w:val="00F34E2F"/>
    <w:rsid w:val="00F4199D"/>
    <w:rsid w:val="00F434FC"/>
    <w:rsid w:val="00F440BB"/>
    <w:rsid w:val="00F44AF3"/>
    <w:rsid w:val="00F451F1"/>
    <w:rsid w:val="00F46E45"/>
    <w:rsid w:val="00F513F4"/>
    <w:rsid w:val="00F5210F"/>
    <w:rsid w:val="00F64411"/>
    <w:rsid w:val="00F648F3"/>
    <w:rsid w:val="00F66ACD"/>
    <w:rsid w:val="00F70D45"/>
    <w:rsid w:val="00F72F0E"/>
    <w:rsid w:val="00F7624C"/>
    <w:rsid w:val="00F8071D"/>
    <w:rsid w:val="00F85224"/>
    <w:rsid w:val="00F85BAA"/>
    <w:rsid w:val="00F865A7"/>
    <w:rsid w:val="00F92C4C"/>
    <w:rsid w:val="00F93038"/>
    <w:rsid w:val="00FA0929"/>
    <w:rsid w:val="00FA569C"/>
    <w:rsid w:val="00FA6E9B"/>
    <w:rsid w:val="00FB10D4"/>
    <w:rsid w:val="00FB3FB4"/>
    <w:rsid w:val="00FB43CB"/>
    <w:rsid w:val="00FC2E2B"/>
    <w:rsid w:val="00FC37D7"/>
    <w:rsid w:val="00FC45F1"/>
    <w:rsid w:val="00FD1F5C"/>
    <w:rsid w:val="00FD295F"/>
    <w:rsid w:val="00FD6EF4"/>
    <w:rsid w:val="00FE22E9"/>
    <w:rsid w:val="00FF0C9A"/>
    <w:rsid w:val="00FF1EEF"/>
    <w:rsid w:val="00FF21FD"/>
    <w:rsid w:val="00FF24CC"/>
    <w:rsid w:val="00FF3AA6"/>
    <w:rsid w:val="00FF52A3"/>
    <w:rsid w:val="00FF75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0D7F3"/>
  <w15:docId w15:val="{93F17F08-87B9-4D5D-945A-4EB9D86F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1D8"/>
    <w:pPr>
      <w:ind w:left="720"/>
      <w:contextualSpacing/>
    </w:pPr>
  </w:style>
  <w:style w:type="paragraph" w:styleId="EndnoteText">
    <w:name w:val="endnote text"/>
    <w:basedOn w:val="Normal"/>
    <w:link w:val="EndnoteTextChar"/>
    <w:uiPriority w:val="99"/>
    <w:semiHidden/>
    <w:unhideWhenUsed/>
    <w:rsid w:val="003C01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01D8"/>
    <w:rPr>
      <w:sz w:val="20"/>
      <w:szCs w:val="20"/>
    </w:rPr>
  </w:style>
  <w:style w:type="character" w:styleId="EndnoteReference">
    <w:name w:val="endnote reference"/>
    <w:basedOn w:val="DefaultParagraphFont"/>
    <w:semiHidden/>
    <w:unhideWhenUsed/>
    <w:rsid w:val="003C01D8"/>
    <w:rPr>
      <w:vertAlign w:val="superscript"/>
    </w:rPr>
  </w:style>
  <w:style w:type="paragraph" w:styleId="BalloonText">
    <w:name w:val="Balloon Text"/>
    <w:basedOn w:val="Normal"/>
    <w:link w:val="BalloonTextChar"/>
    <w:uiPriority w:val="99"/>
    <w:semiHidden/>
    <w:unhideWhenUsed/>
    <w:rsid w:val="003C0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1D8"/>
    <w:rPr>
      <w:rFonts w:ascii="Tahoma" w:hAnsi="Tahoma" w:cs="Tahoma"/>
      <w:sz w:val="16"/>
      <w:szCs w:val="16"/>
    </w:rPr>
  </w:style>
  <w:style w:type="paragraph" w:styleId="Header">
    <w:name w:val="header"/>
    <w:basedOn w:val="Normal"/>
    <w:link w:val="HeaderChar"/>
    <w:uiPriority w:val="99"/>
    <w:unhideWhenUsed/>
    <w:rsid w:val="00050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367"/>
  </w:style>
  <w:style w:type="paragraph" w:styleId="Footer">
    <w:name w:val="footer"/>
    <w:basedOn w:val="Normal"/>
    <w:link w:val="FooterChar"/>
    <w:uiPriority w:val="99"/>
    <w:unhideWhenUsed/>
    <w:rsid w:val="00050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367"/>
  </w:style>
  <w:style w:type="table" w:styleId="TableGrid">
    <w:name w:val="Table Grid"/>
    <w:basedOn w:val="TableNormal"/>
    <w:rsid w:val="00614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semiHidden/>
    <w:unhideWhenUsed/>
    <w:rsid w:val="00EB74F1"/>
    <w:pPr>
      <w:spacing w:after="0" w:line="240" w:lineRule="auto"/>
    </w:pPr>
    <w:rPr>
      <w:rFonts w:ascii="Times New Roman" w:eastAsia="SimSun" w:hAnsi="Times New Roman" w:cs="Times New Roman"/>
      <w:sz w:val="20"/>
      <w:szCs w:val="20"/>
      <w:lang w:val="en-US" w:eastAsia="zh-C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Elegant">
    <w:name w:val="Table Elegant"/>
    <w:basedOn w:val="TableNormal"/>
    <w:semiHidden/>
    <w:unhideWhenUsed/>
    <w:rsid w:val="00EB74F1"/>
    <w:pPr>
      <w:spacing w:after="0" w:line="240" w:lineRule="auto"/>
    </w:pPr>
    <w:rPr>
      <w:rFonts w:ascii="Times New Roman" w:eastAsia="SimSun" w:hAnsi="Times New Roman" w:cs="Times New Roman"/>
      <w:sz w:val="20"/>
      <w:szCs w:val="20"/>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EB74F1"/>
    <w:rPr>
      <w:color w:val="0000FF"/>
      <w:u w:val="single"/>
    </w:rPr>
  </w:style>
  <w:style w:type="character" w:styleId="CommentReference">
    <w:name w:val="annotation reference"/>
    <w:basedOn w:val="DefaultParagraphFont"/>
    <w:uiPriority w:val="99"/>
    <w:semiHidden/>
    <w:unhideWhenUsed/>
    <w:rsid w:val="00CF6CD0"/>
    <w:rPr>
      <w:sz w:val="16"/>
      <w:szCs w:val="16"/>
    </w:rPr>
  </w:style>
  <w:style w:type="paragraph" w:styleId="CommentText">
    <w:name w:val="annotation text"/>
    <w:basedOn w:val="Normal"/>
    <w:link w:val="CommentTextChar"/>
    <w:uiPriority w:val="99"/>
    <w:semiHidden/>
    <w:unhideWhenUsed/>
    <w:rsid w:val="00CF6CD0"/>
    <w:pPr>
      <w:spacing w:line="240" w:lineRule="auto"/>
    </w:pPr>
    <w:rPr>
      <w:sz w:val="20"/>
      <w:szCs w:val="20"/>
    </w:rPr>
  </w:style>
  <w:style w:type="character" w:customStyle="1" w:styleId="CommentTextChar">
    <w:name w:val="Comment Text Char"/>
    <w:basedOn w:val="DefaultParagraphFont"/>
    <w:link w:val="CommentText"/>
    <w:uiPriority w:val="99"/>
    <w:semiHidden/>
    <w:rsid w:val="00CF6CD0"/>
    <w:rPr>
      <w:sz w:val="20"/>
      <w:szCs w:val="20"/>
    </w:rPr>
  </w:style>
  <w:style w:type="paragraph" w:styleId="CommentSubject">
    <w:name w:val="annotation subject"/>
    <w:basedOn w:val="CommentText"/>
    <w:next w:val="CommentText"/>
    <w:link w:val="CommentSubjectChar"/>
    <w:uiPriority w:val="99"/>
    <w:semiHidden/>
    <w:unhideWhenUsed/>
    <w:rsid w:val="00CF6CD0"/>
    <w:rPr>
      <w:b/>
      <w:bCs/>
    </w:rPr>
  </w:style>
  <w:style w:type="character" w:customStyle="1" w:styleId="CommentSubjectChar">
    <w:name w:val="Comment Subject Char"/>
    <w:basedOn w:val="CommentTextChar"/>
    <w:link w:val="CommentSubject"/>
    <w:uiPriority w:val="99"/>
    <w:semiHidden/>
    <w:rsid w:val="00CF6CD0"/>
    <w:rPr>
      <w:b/>
      <w:bCs/>
      <w:sz w:val="20"/>
      <w:szCs w:val="20"/>
    </w:rPr>
  </w:style>
  <w:style w:type="character" w:styleId="FollowedHyperlink">
    <w:name w:val="FollowedHyperlink"/>
    <w:basedOn w:val="DefaultParagraphFont"/>
    <w:uiPriority w:val="99"/>
    <w:semiHidden/>
    <w:unhideWhenUsed/>
    <w:rsid w:val="00162C05"/>
    <w:rPr>
      <w:color w:val="800080" w:themeColor="followedHyperlink"/>
      <w:u w:val="single"/>
    </w:rPr>
  </w:style>
  <w:style w:type="paragraph" w:styleId="Revision">
    <w:name w:val="Revision"/>
    <w:hidden/>
    <w:uiPriority w:val="99"/>
    <w:semiHidden/>
    <w:rsid w:val="00C91918"/>
    <w:pPr>
      <w:spacing w:after="0" w:line="240" w:lineRule="auto"/>
    </w:pPr>
  </w:style>
  <w:style w:type="table" w:customStyle="1" w:styleId="TableSimple11">
    <w:name w:val="Table Simple 11"/>
    <w:basedOn w:val="TableNormal"/>
    <w:next w:val="TableSimple1"/>
    <w:semiHidden/>
    <w:unhideWhenUsed/>
    <w:rsid w:val="00E60C66"/>
    <w:pPr>
      <w:spacing w:after="0" w:line="240" w:lineRule="auto"/>
    </w:pPr>
    <w:rPr>
      <w:rFonts w:ascii="Times New Roman" w:eastAsia="SimSun" w:hAnsi="Times New Roman" w:cs="Times New Roman"/>
      <w:sz w:val="20"/>
      <w:szCs w:val="20"/>
      <w:lang w:val="en-US" w:eastAsia="zh-C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EndNoteBibliographyTitle">
    <w:name w:val="EndNote Bibliography Title"/>
    <w:basedOn w:val="Normal"/>
    <w:link w:val="EndNoteBibliographyTitleChar"/>
    <w:rsid w:val="002568D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568D0"/>
    <w:rPr>
      <w:rFonts w:ascii="Calibri" w:hAnsi="Calibri"/>
      <w:noProof/>
      <w:lang w:val="en-US"/>
    </w:rPr>
  </w:style>
  <w:style w:type="paragraph" w:customStyle="1" w:styleId="EndNoteBibliography">
    <w:name w:val="EndNote Bibliography"/>
    <w:basedOn w:val="Normal"/>
    <w:link w:val="EndNoteBibliographyChar"/>
    <w:rsid w:val="002568D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568D0"/>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2404">
      <w:bodyDiv w:val="1"/>
      <w:marLeft w:val="0"/>
      <w:marRight w:val="0"/>
      <w:marTop w:val="0"/>
      <w:marBottom w:val="0"/>
      <w:divBdr>
        <w:top w:val="none" w:sz="0" w:space="0" w:color="auto"/>
        <w:left w:val="none" w:sz="0" w:space="0" w:color="auto"/>
        <w:bottom w:val="none" w:sz="0" w:space="0" w:color="auto"/>
        <w:right w:val="none" w:sz="0" w:space="0" w:color="auto"/>
      </w:divBdr>
    </w:div>
    <w:div w:id="169610838">
      <w:bodyDiv w:val="1"/>
      <w:marLeft w:val="0"/>
      <w:marRight w:val="0"/>
      <w:marTop w:val="0"/>
      <w:marBottom w:val="0"/>
      <w:divBdr>
        <w:top w:val="none" w:sz="0" w:space="0" w:color="auto"/>
        <w:left w:val="none" w:sz="0" w:space="0" w:color="auto"/>
        <w:bottom w:val="none" w:sz="0" w:space="0" w:color="auto"/>
        <w:right w:val="none" w:sz="0" w:space="0" w:color="auto"/>
      </w:divBdr>
    </w:div>
    <w:div w:id="248393813">
      <w:bodyDiv w:val="1"/>
      <w:marLeft w:val="0"/>
      <w:marRight w:val="0"/>
      <w:marTop w:val="0"/>
      <w:marBottom w:val="0"/>
      <w:divBdr>
        <w:top w:val="none" w:sz="0" w:space="0" w:color="auto"/>
        <w:left w:val="none" w:sz="0" w:space="0" w:color="auto"/>
        <w:bottom w:val="none" w:sz="0" w:space="0" w:color="auto"/>
        <w:right w:val="none" w:sz="0" w:space="0" w:color="auto"/>
      </w:divBdr>
    </w:div>
    <w:div w:id="346176871">
      <w:bodyDiv w:val="1"/>
      <w:marLeft w:val="0"/>
      <w:marRight w:val="0"/>
      <w:marTop w:val="0"/>
      <w:marBottom w:val="0"/>
      <w:divBdr>
        <w:top w:val="none" w:sz="0" w:space="0" w:color="auto"/>
        <w:left w:val="none" w:sz="0" w:space="0" w:color="auto"/>
        <w:bottom w:val="none" w:sz="0" w:space="0" w:color="auto"/>
        <w:right w:val="none" w:sz="0" w:space="0" w:color="auto"/>
      </w:divBdr>
    </w:div>
    <w:div w:id="367218538">
      <w:bodyDiv w:val="1"/>
      <w:marLeft w:val="0"/>
      <w:marRight w:val="0"/>
      <w:marTop w:val="0"/>
      <w:marBottom w:val="0"/>
      <w:divBdr>
        <w:top w:val="none" w:sz="0" w:space="0" w:color="auto"/>
        <w:left w:val="none" w:sz="0" w:space="0" w:color="auto"/>
        <w:bottom w:val="none" w:sz="0" w:space="0" w:color="auto"/>
        <w:right w:val="none" w:sz="0" w:space="0" w:color="auto"/>
      </w:divBdr>
      <w:divsChild>
        <w:div w:id="1481262732">
          <w:marLeft w:val="0"/>
          <w:marRight w:val="0"/>
          <w:marTop w:val="0"/>
          <w:marBottom w:val="0"/>
          <w:divBdr>
            <w:top w:val="none" w:sz="0" w:space="0" w:color="auto"/>
            <w:left w:val="none" w:sz="0" w:space="0" w:color="auto"/>
            <w:bottom w:val="none" w:sz="0" w:space="0" w:color="auto"/>
            <w:right w:val="none" w:sz="0" w:space="0" w:color="auto"/>
          </w:divBdr>
        </w:div>
      </w:divsChild>
    </w:div>
    <w:div w:id="390278458">
      <w:bodyDiv w:val="1"/>
      <w:marLeft w:val="0"/>
      <w:marRight w:val="0"/>
      <w:marTop w:val="0"/>
      <w:marBottom w:val="0"/>
      <w:divBdr>
        <w:top w:val="none" w:sz="0" w:space="0" w:color="auto"/>
        <w:left w:val="none" w:sz="0" w:space="0" w:color="auto"/>
        <w:bottom w:val="none" w:sz="0" w:space="0" w:color="auto"/>
        <w:right w:val="none" w:sz="0" w:space="0" w:color="auto"/>
      </w:divBdr>
    </w:div>
    <w:div w:id="498929795">
      <w:bodyDiv w:val="1"/>
      <w:marLeft w:val="0"/>
      <w:marRight w:val="0"/>
      <w:marTop w:val="0"/>
      <w:marBottom w:val="0"/>
      <w:divBdr>
        <w:top w:val="none" w:sz="0" w:space="0" w:color="auto"/>
        <w:left w:val="none" w:sz="0" w:space="0" w:color="auto"/>
        <w:bottom w:val="none" w:sz="0" w:space="0" w:color="auto"/>
        <w:right w:val="none" w:sz="0" w:space="0" w:color="auto"/>
      </w:divBdr>
    </w:div>
    <w:div w:id="739988191">
      <w:bodyDiv w:val="1"/>
      <w:marLeft w:val="0"/>
      <w:marRight w:val="0"/>
      <w:marTop w:val="0"/>
      <w:marBottom w:val="0"/>
      <w:divBdr>
        <w:top w:val="none" w:sz="0" w:space="0" w:color="auto"/>
        <w:left w:val="none" w:sz="0" w:space="0" w:color="auto"/>
        <w:bottom w:val="none" w:sz="0" w:space="0" w:color="auto"/>
        <w:right w:val="none" w:sz="0" w:space="0" w:color="auto"/>
      </w:divBdr>
    </w:div>
    <w:div w:id="764307751">
      <w:bodyDiv w:val="1"/>
      <w:marLeft w:val="0"/>
      <w:marRight w:val="0"/>
      <w:marTop w:val="0"/>
      <w:marBottom w:val="0"/>
      <w:divBdr>
        <w:top w:val="none" w:sz="0" w:space="0" w:color="auto"/>
        <w:left w:val="none" w:sz="0" w:space="0" w:color="auto"/>
        <w:bottom w:val="none" w:sz="0" w:space="0" w:color="auto"/>
        <w:right w:val="none" w:sz="0" w:space="0" w:color="auto"/>
      </w:divBdr>
    </w:div>
    <w:div w:id="1006861107">
      <w:bodyDiv w:val="1"/>
      <w:marLeft w:val="0"/>
      <w:marRight w:val="0"/>
      <w:marTop w:val="0"/>
      <w:marBottom w:val="0"/>
      <w:divBdr>
        <w:top w:val="none" w:sz="0" w:space="0" w:color="auto"/>
        <w:left w:val="none" w:sz="0" w:space="0" w:color="auto"/>
        <w:bottom w:val="none" w:sz="0" w:space="0" w:color="auto"/>
        <w:right w:val="none" w:sz="0" w:space="0" w:color="auto"/>
      </w:divBdr>
    </w:div>
    <w:div w:id="1137574287">
      <w:bodyDiv w:val="1"/>
      <w:marLeft w:val="0"/>
      <w:marRight w:val="0"/>
      <w:marTop w:val="0"/>
      <w:marBottom w:val="0"/>
      <w:divBdr>
        <w:top w:val="none" w:sz="0" w:space="0" w:color="auto"/>
        <w:left w:val="none" w:sz="0" w:space="0" w:color="auto"/>
        <w:bottom w:val="none" w:sz="0" w:space="0" w:color="auto"/>
        <w:right w:val="none" w:sz="0" w:space="0" w:color="auto"/>
      </w:divBdr>
      <w:divsChild>
        <w:div w:id="1541673213">
          <w:marLeft w:val="0"/>
          <w:marRight w:val="0"/>
          <w:marTop w:val="0"/>
          <w:marBottom w:val="0"/>
          <w:divBdr>
            <w:top w:val="none" w:sz="0" w:space="0" w:color="auto"/>
            <w:left w:val="none" w:sz="0" w:space="0" w:color="auto"/>
            <w:bottom w:val="none" w:sz="0" w:space="0" w:color="auto"/>
            <w:right w:val="none" w:sz="0" w:space="0" w:color="auto"/>
          </w:divBdr>
        </w:div>
      </w:divsChild>
    </w:div>
    <w:div w:id="1212617023">
      <w:bodyDiv w:val="1"/>
      <w:marLeft w:val="0"/>
      <w:marRight w:val="0"/>
      <w:marTop w:val="0"/>
      <w:marBottom w:val="0"/>
      <w:divBdr>
        <w:top w:val="none" w:sz="0" w:space="0" w:color="auto"/>
        <w:left w:val="none" w:sz="0" w:space="0" w:color="auto"/>
        <w:bottom w:val="none" w:sz="0" w:space="0" w:color="auto"/>
        <w:right w:val="none" w:sz="0" w:space="0" w:color="auto"/>
      </w:divBdr>
    </w:div>
    <w:div w:id="1409420980">
      <w:bodyDiv w:val="1"/>
      <w:marLeft w:val="0"/>
      <w:marRight w:val="0"/>
      <w:marTop w:val="0"/>
      <w:marBottom w:val="0"/>
      <w:divBdr>
        <w:top w:val="none" w:sz="0" w:space="0" w:color="auto"/>
        <w:left w:val="none" w:sz="0" w:space="0" w:color="auto"/>
        <w:bottom w:val="none" w:sz="0" w:space="0" w:color="auto"/>
        <w:right w:val="none" w:sz="0" w:space="0" w:color="auto"/>
      </w:divBdr>
    </w:div>
    <w:div w:id="1604610692">
      <w:bodyDiv w:val="1"/>
      <w:marLeft w:val="0"/>
      <w:marRight w:val="0"/>
      <w:marTop w:val="0"/>
      <w:marBottom w:val="0"/>
      <w:divBdr>
        <w:top w:val="none" w:sz="0" w:space="0" w:color="auto"/>
        <w:left w:val="none" w:sz="0" w:space="0" w:color="auto"/>
        <w:bottom w:val="none" w:sz="0" w:space="0" w:color="auto"/>
        <w:right w:val="none" w:sz="0" w:space="0" w:color="auto"/>
      </w:divBdr>
    </w:div>
    <w:div w:id="1622416165">
      <w:bodyDiv w:val="1"/>
      <w:marLeft w:val="0"/>
      <w:marRight w:val="0"/>
      <w:marTop w:val="0"/>
      <w:marBottom w:val="0"/>
      <w:divBdr>
        <w:top w:val="none" w:sz="0" w:space="0" w:color="auto"/>
        <w:left w:val="none" w:sz="0" w:space="0" w:color="auto"/>
        <w:bottom w:val="none" w:sz="0" w:space="0" w:color="auto"/>
        <w:right w:val="none" w:sz="0" w:space="0" w:color="auto"/>
      </w:divBdr>
    </w:div>
    <w:div w:id="2014259469">
      <w:bodyDiv w:val="1"/>
      <w:marLeft w:val="0"/>
      <w:marRight w:val="0"/>
      <w:marTop w:val="0"/>
      <w:marBottom w:val="0"/>
      <w:divBdr>
        <w:top w:val="none" w:sz="0" w:space="0" w:color="auto"/>
        <w:left w:val="none" w:sz="0" w:space="0" w:color="auto"/>
        <w:bottom w:val="none" w:sz="0" w:space="0" w:color="auto"/>
        <w:right w:val="none" w:sz="0" w:space="0" w:color="auto"/>
      </w:divBdr>
    </w:div>
    <w:div w:id="213740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reen.mackintosh@open.ac.uk" TargetMode="External"/><Relationship Id="rId13" Type="http://schemas.openxmlformats.org/officeDocument/2006/relationships/chart" Target="charts/chart3.xml"/><Relationship Id="rId18" Type="http://schemas.openxmlformats.org/officeDocument/2006/relationships/hyperlink" Target="http://www.ps4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coopsalud.blogspot.co.uk/2007/04/argentina-medicina-prepaga.html" TargetMode="External"/><Relationship Id="rId2" Type="http://schemas.openxmlformats.org/officeDocument/2006/relationships/numbering" Target="numbering.xml"/><Relationship Id="rId16" Type="http://schemas.openxmlformats.org/officeDocument/2006/relationships/hyperlink" Target="http://mospi.nic.in/Mospi_New/site/inner.aspx?status=3&amp;menu_id=3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n.org.cn/modeles/articles/view.articles.php/a1529%20(accessed" TargetMode="External"/><Relationship Id="rId5" Type="http://schemas.openxmlformats.org/officeDocument/2006/relationships/webSettings" Target="webSettings.xml"/><Relationship Id="rId15" Type="http://schemas.openxmlformats.org/officeDocument/2006/relationships/hyperlink" Target="http://www.measuredhs.com/" TargetMode="Externa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ospi.nic.in/Mospi_New/site/inner.aspx?status=3&amp;menu_id=31"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F:\Commercialisation\Lancet%20article\Analysis\Lancet%20New%202013\graphs%20220914.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Commercialisation\Lancet%20article\Analysis\Lancet%20New%202013\Results%202401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strRef>
              <c:f>'OOP 2010'!$B$4</c:f>
              <c:strCache>
                <c:ptCount val="1"/>
                <c:pt idx="0">
                  <c:v>prvpract</c:v>
                </c:pt>
              </c:strCache>
            </c:strRef>
          </c:tx>
          <c:invertIfNegative val="0"/>
          <c:cat>
            <c:numRef>
              <c:f>'OOP 2010'!$A$5:$A$9</c:f>
              <c:numCache>
                <c:formatCode>General</c:formatCode>
                <c:ptCount val="5"/>
                <c:pt idx="0">
                  <c:v>1</c:v>
                </c:pt>
                <c:pt idx="1">
                  <c:v>2</c:v>
                </c:pt>
                <c:pt idx="2">
                  <c:v>3</c:v>
                </c:pt>
                <c:pt idx="3">
                  <c:v>4</c:v>
                </c:pt>
                <c:pt idx="4">
                  <c:v>5</c:v>
                </c:pt>
              </c:numCache>
            </c:numRef>
          </c:cat>
          <c:val>
            <c:numRef>
              <c:f>'OOP 2010'!$B$5:$B$9</c:f>
              <c:numCache>
                <c:formatCode>General</c:formatCode>
                <c:ptCount val="5"/>
                <c:pt idx="0">
                  <c:v>182.7833</c:v>
                </c:pt>
                <c:pt idx="1">
                  <c:v>278.33599999999922</c:v>
                </c:pt>
                <c:pt idx="2">
                  <c:v>385.89159999999879</c:v>
                </c:pt>
                <c:pt idx="3">
                  <c:v>493.76400000000001</c:v>
                </c:pt>
                <c:pt idx="4">
                  <c:v>797.76189999999997</c:v>
                </c:pt>
              </c:numCache>
            </c:numRef>
          </c:val>
        </c:ser>
        <c:ser>
          <c:idx val="1"/>
          <c:order val="1"/>
          <c:tx>
            <c:strRef>
              <c:f>'OOP 2010'!$C$4</c:f>
              <c:strCache>
                <c:ptCount val="1"/>
                <c:pt idx="0">
                  <c:v>specialist</c:v>
                </c:pt>
              </c:strCache>
            </c:strRef>
          </c:tx>
          <c:invertIfNegative val="0"/>
          <c:cat>
            <c:numRef>
              <c:f>'OOP 2010'!$A$5:$A$9</c:f>
              <c:numCache>
                <c:formatCode>General</c:formatCode>
                <c:ptCount val="5"/>
                <c:pt idx="0">
                  <c:v>1</c:v>
                </c:pt>
                <c:pt idx="1">
                  <c:v>2</c:v>
                </c:pt>
                <c:pt idx="2">
                  <c:v>3</c:v>
                </c:pt>
                <c:pt idx="3">
                  <c:v>4</c:v>
                </c:pt>
                <c:pt idx="4">
                  <c:v>5</c:v>
                </c:pt>
              </c:numCache>
            </c:numRef>
          </c:cat>
          <c:val>
            <c:numRef>
              <c:f>'OOP 2010'!$C$5:$C$9</c:f>
              <c:numCache>
                <c:formatCode>General</c:formatCode>
                <c:ptCount val="5"/>
                <c:pt idx="0">
                  <c:v>4.5543169999999851</c:v>
                </c:pt>
                <c:pt idx="1">
                  <c:v>16.69652</c:v>
                </c:pt>
                <c:pt idx="2">
                  <c:v>28.896970000000035</c:v>
                </c:pt>
                <c:pt idx="3">
                  <c:v>45.694980000000001</c:v>
                </c:pt>
                <c:pt idx="4">
                  <c:v>135.43620000000001</c:v>
                </c:pt>
              </c:numCache>
            </c:numRef>
          </c:val>
        </c:ser>
        <c:ser>
          <c:idx val="2"/>
          <c:order val="2"/>
          <c:tx>
            <c:strRef>
              <c:f>'OOP 2010'!$D$4</c:f>
              <c:strCache>
                <c:ptCount val="1"/>
                <c:pt idx="0">
                  <c:v>Test </c:v>
                </c:pt>
              </c:strCache>
            </c:strRef>
          </c:tx>
          <c:invertIfNegative val="0"/>
          <c:cat>
            <c:numRef>
              <c:f>'OOP 2010'!$A$5:$A$9</c:f>
              <c:numCache>
                <c:formatCode>General</c:formatCode>
                <c:ptCount val="5"/>
                <c:pt idx="0">
                  <c:v>1</c:v>
                </c:pt>
                <c:pt idx="1">
                  <c:v>2</c:v>
                </c:pt>
                <c:pt idx="2">
                  <c:v>3</c:v>
                </c:pt>
                <c:pt idx="3">
                  <c:v>4</c:v>
                </c:pt>
                <c:pt idx="4">
                  <c:v>5</c:v>
                </c:pt>
              </c:numCache>
            </c:numRef>
          </c:cat>
          <c:val>
            <c:numRef>
              <c:f>'OOP 2010'!$D$5:$D$9</c:f>
              <c:numCache>
                <c:formatCode>General</c:formatCode>
                <c:ptCount val="5"/>
                <c:pt idx="0">
                  <c:v>5.324098999999987</c:v>
                </c:pt>
                <c:pt idx="1">
                  <c:v>14.9772</c:v>
                </c:pt>
                <c:pt idx="2">
                  <c:v>44.299850000000013</c:v>
                </c:pt>
                <c:pt idx="3">
                  <c:v>60.429370000000013</c:v>
                </c:pt>
                <c:pt idx="4">
                  <c:v>204.27149999999997</c:v>
                </c:pt>
              </c:numCache>
            </c:numRef>
          </c:val>
        </c:ser>
        <c:ser>
          <c:idx val="3"/>
          <c:order val="3"/>
          <c:tx>
            <c:strRef>
              <c:f>'OOP 2010'!$E$4</c:f>
              <c:strCache>
                <c:ptCount val="1"/>
                <c:pt idx="0">
                  <c:v>Prv Hospital</c:v>
                </c:pt>
              </c:strCache>
            </c:strRef>
          </c:tx>
          <c:invertIfNegative val="0"/>
          <c:cat>
            <c:numRef>
              <c:f>'OOP 2010'!$A$5:$A$9</c:f>
              <c:numCache>
                <c:formatCode>General</c:formatCode>
                <c:ptCount val="5"/>
                <c:pt idx="0">
                  <c:v>1</c:v>
                </c:pt>
                <c:pt idx="1">
                  <c:v>2</c:v>
                </c:pt>
                <c:pt idx="2">
                  <c:v>3</c:v>
                </c:pt>
                <c:pt idx="3">
                  <c:v>4</c:v>
                </c:pt>
                <c:pt idx="4">
                  <c:v>5</c:v>
                </c:pt>
              </c:numCache>
            </c:numRef>
          </c:cat>
          <c:val>
            <c:numRef>
              <c:f>'OOP 2010'!$E$5:$E$9</c:f>
              <c:numCache>
                <c:formatCode>General</c:formatCode>
                <c:ptCount val="5"/>
                <c:pt idx="0">
                  <c:v>1.8012859999999999</c:v>
                </c:pt>
                <c:pt idx="1">
                  <c:v>2.5209630000000001</c:v>
                </c:pt>
                <c:pt idx="2">
                  <c:v>4.6169949999999851</c:v>
                </c:pt>
                <c:pt idx="3">
                  <c:v>11.09539</c:v>
                </c:pt>
                <c:pt idx="4">
                  <c:v>791.79219999999998</c:v>
                </c:pt>
              </c:numCache>
            </c:numRef>
          </c:val>
        </c:ser>
        <c:ser>
          <c:idx val="4"/>
          <c:order val="4"/>
          <c:tx>
            <c:strRef>
              <c:f>'OOP 2010'!$F$4</c:f>
              <c:strCache>
                <c:ptCount val="1"/>
                <c:pt idx="0">
                  <c:v>Pharma </c:v>
                </c:pt>
              </c:strCache>
            </c:strRef>
          </c:tx>
          <c:invertIfNegative val="0"/>
          <c:cat>
            <c:numRef>
              <c:f>'OOP 2010'!$A$5:$A$9</c:f>
              <c:numCache>
                <c:formatCode>General</c:formatCode>
                <c:ptCount val="5"/>
                <c:pt idx="0">
                  <c:v>1</c:v>
                </c:pt>
                <c:pt idx="1">
                  <c:v>2</c:v>
                </c:pt>
                <c:pt idx="2">
                  <c:v>3</c:v>
                </c:pt>
                <c:pt idx="3">
                  <c:v>4</c:v>
                </c:pt>
                <c:pt idx="4">
                  <c:v>5</c:v>
                </c:pt>
              </c:numCache>
            </c:numRef>
          </c:cat>
          <c:val>
            <c:numRef>
              <c:f>'OOP 2010'!$F$5:$F$9</c:f>
              <c:numCache>
                <c:formatCode>General</c:formatCode>
                <c:ptCount val="5"/>
                <c:pt idx="0">
                  <c:v>54.351120000000002</c:v>
                </c:pt>
                <c:pt idx="1">
                  <c:v>99.279749999999979</c:v>
                </c:pt>
                <c:pt idx="2">
                  <c:v>139.1267</c:v>
                </c:pt>
                <c:pt idx="3">
                  <c:v>194.3853000000004</c:v>
                </c:pt>
                <c:pt idx="4">
                  <c:v>400.04790000000008</c:v>
                </c:pt>
              </c:numCache>
            </c:numRef>
          </c:val>
        </c:ser>
        <c:ser>
          <c:idx val="5"/>
          <c:order val="5"/>
          <c:tx>
            <c:strRef>
              <c:f>'OOP 2010'!$G$4</c:f>
              <c:strCache>
                <c:ptCount val="1"/>
                <c:pt idx="0">
                  <c:v>Other</c:v>
                </c:pt>
              </c:strCache>
            </c:strRef>
          </c:tx>
          <c:invertIfNegative val="0"/>
          <c:cat>
            <c:numRef>
              <c:f>'OOP 2010'!$A$5:$A$9</c:f>
              <c:numCache>
                <c:formatCode>General</c:formatCode>
                <c:ptCount val="5"/>
                <c:pt idx="0">
                  <c:v>1</c:v>
                </c:pt>
                <c:pt idx="1">
                  <c:v>2</c:v>
                </c:pt>
                <c:pt idx="2">
                  <c:v>3</c:v>
                </c:pt>
                <c:pt idx="3">
                  <c:v>4</c:v>
                </c:pt>
                <c:pt idx="4">
                  <c:v>5</c:v>
                </c:pt>
              </c:numCache>
            </c:numRef>
          </c:cat>
          <c:val>
            <c:numRef>
              <c:f>'OOP 2010'!$G$5:$G$9</c:f>
              <c:numCache>
                <c:formatCode>General</c:formatCode>
                <c:ptCount val="5"/>
                <c:pt idx="0">
                  <c:v>7.3579779999999868</c:v>
                </c:pt>
                <c:pt idx="1">
                  <c:v>8.3601670000000023</c:v>
                </c:pt>
                <c:pt idx="2">
                  <c:v>21.53558500000003</c:v>
                </c:pt>
                <c:pt idx="3">
                  <c:v>38.946860000000044</c:v>
                </c:pt>
                <c:pt idx="4">
                  <c:v>106.4923</c:v>
                </c:pt>
              </c:numCache>
            </c:numRef>
          </c:val>
        </c:ser>
        <c:dLbls>
          <c:showLegendKey val="0"/>
          <c:showVal val="0"/>
          <c:showCatName val="0"/>
          <c:showSerName val="0"/>
          <c:showPercent val="0"/>
          <c:showBubbleSize val="0"/>
        </c:dLbls>
        <c:gapWidth val="150"/>
        <c:overlap val="100"/>
        <c:axId val="511686000"/>
        <c:axId val="511686392"/>
      </c:barChart>
      <c:catAx>
        <c:axId val="511686000"/>
        <c:scaling>
          <c:orientation val="minMax"/>
        </c:scaling>
        <c:delete val="0"/>
        <c:axPos val="b"/>
        <c:numFmt formatCode="General" sourceLinked="1"/>
        <c:majorTickMark val="out"/>
        <c:minorTickMark val="none"/>
        <c:tickLblPos val="nextTo"/>
        <c:crossAx val="511686392"/>
        <c:crosses val="autoZero"/>
        <c:auto val="1"/>
        <c:lblAlgn val="ctr"/>
        <c:lblOffset val="100"/>
        <c:noMultiLvlLbl val="0"/>
      </c:catAx>
      <c:valAx>
        <c:axId val="511686392"/>
        <c:scaling>
          <c:orientation val="minMax"/>
        </c:scaling>
        <c:delete val="0"/>
        <c:axPos val="l"/>
        <c:majorGridlines/>
        <c:numFmt formatCode="0%" sourceLinked="1"/>
        <c:majorTickMark val="out"/>
        <c:minorTickMark val="none"/>
        <c:tickLblPos val="nextTo"/>
        <c:txPr>
          <a:bodyPr/>
          <a:lstStyle/>
          <a:p>
            <a:pPr>
              <a:defRPr sz="800" baseline="0"/>
            </a:pPr>
            <a:endParaRPr lang="en-US"/>
          </a:p>
        </c:txPr>
        <c:crossAx val="511686000"/>
        <c:crosses val="autoZero"/>
        <c:crossBetween val="between"/>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tockChart>
        <c:ser>
          <c:idx val="0"/>
          <c:order val="0"/>
          <c:tx>
            <c:strRef>
              <c:f>Sheet2!$J$2</c:f>
              <c:strCache>
                <c:ptCount val="1"/>
                <c:pt idx="0">
                  <c:v>Poor</c:v>
                </c:pt>
              </c:strCache>
            </c:strRef>
          </c:tx>
          <c:spPr>
            <a:ln w="28575">
              <a:noFill/>
            </a:ln>
          </c:spPr>
          <c:marker>
            <c:symbol val="square"/>
            <c:size val="5"/>
            <c:spPr>
              <a:solidFill>
                <a:schemeClr val="tx1"/>
              </a:solidFill>
              <a:ln>
                <a:solidFill>
                  <a:schemeClr val="tx1"/>
                </a:solidFill>
              </a:ln>
            </c:spPr>
          </c:marker>
          <c:cat>
            <c:multiLvlStrRef>
              <c:f>Sheet2!$H$3:$I$18</c:f>
              <c:multiLvlStrCache>
                <c:ptCount val="16"/>
                <c:lvl>
                  <c:pt idx="0">
                    <c:v>1993</c:v>
                  </c:pt>
                  <c:pt idx="1">
                    <c:v>1998</c:v>
                  </c:pt>
                  <c:pt idx="2">
                    <c:v>2003</c:v>
                  </c:pt>
                  <c:pt idx="3">
                    <c:v>2008</c:v>
                  </c:pt>
                  <c:pt idx="4">
                    <c:v>2014</c:v>
                  </c:pt>
                  <c:pt idx="5">
                    <c:v>1993</c:v>
                  </c:pt>
                  <c:pt idx="6">
                    <c:v>2000</c:v>
                  </c:pt>
                  <c:pt idx="7">
                    <c:v>2004</c:v>
                  </c:pt>
                  <c:pt idx="8">
                    <c:v>2010</c:v>
                  </c:pt>
                  <c:pt idx="9">
                    <c:v>1996</c:v>
                  </c:pt>
                  <c:pt idx="10">
                    <c:v>2004</c:v>
                  </c:pt>
                  <c:pt idx="11">
                    <c:v>2010</c:v>
                  </c:pt>
                  <c:pt idx="12">
                    <c:v>1996</c:v>
                  </c:pt>
                  <c:pt idx="13">
                    <c:v>2001</c:v>
                  </c:pt>
                  <c:pt idx="14">
                    <c:v>2006</c:v>
                  </c:pt>
                  <c:pt idx="15">
                    <c:v>2011</c:v>
                  </c:pt>
                </c:lvl>
                <c:lvl>
                  <c:pt idx="0">
                    <c:v>Ghana</c:v>
                  </c:pt>
                  <c:pt idx="5">
                    <c:v>Malawi</c:v>
                  </c:pt>
                  <c:pt idx="9">
                    <c:v>Tanzania</c:v>
                  </c:pt>
                  <c:pt idx="12">
                    <c:v>Nepal</c:v>
                  </c:pt>
                </c:lvl>
              </c:multiLvlStrCache>
            </c:multiLvlStrRef>
          </c:cat>
          <c:val>
            <c:numRef>
              <c:f>Sheet2!$J$3:$J$18</c:f>
              <c:numCache>
                <c:formatCode>0.0</c:formatCode>
                <c:ptCount val="16"/>
                <c:pt idx="0">
                  <c:v>2.6</c:v>
                </c:pt>
                <c:pt idx="1">
                  <c:v>6.4</c:v>
                </c:pt>
                <c:pt idx="2">
                  <c:v>2</c:v>
                </c:pt>
                <c:pt idx="3">
                  <c:v>1.5</c:v>
                </c:pt>
                <c:pt idx="4" formatCode="General">
                  <c:v>2.3919999999999999</c:v>
                </c:pt>
                <c:pt idx="5">
                  <c:v>3.2</c:v>
                </c:pt>
                <c:pt idx="6">
                  <c:v>3.1</c:v>
                </c:pt>
                <c:pt idx="7">
                  <c:v>0.8</c:v>
                </c:pt>
                <c:pt idx="8">
                  <c:v>3.6</c:v>
                </c:pt>
                <c:pt idx="9">
                  <c:v>3.3</c:v>
                </c:pt>
                <c:pt idx="10">
                  <c:v>0.5</c:v>
                </c:pt>
                <c:pt idx="11">
                  <c:v>0</c:v>
                </c:pt>
                <c:pt idx="12">
                  <c:v>5.0999999999999996</c:v>
                </c:pt>
                <c:pt idx="13">
                  <c:v>3.7</c:v>
                </c:pt>
                <c:pt idx="14">
                  <c:v>0.7</c:v>
                </c:pt>
                <c:pt idx="15">
                  <c:v>15.3</c:v>
                </c:pt>
              </c:numCache>
            </c:numRef>
          </c:val>
          <c:smooth val="0"/>
        </c:ser>
        <c:ser>
          <c:idx val="1"/>
          <c:order val="1"/>
          <c:tx>
            <c:strRef>
              <c:f>Sheet2!$K$2</c:f>
              <c:strCache>
                <c:ptCount val="1"/>
                <c:pt idx="0">
                  <c:v>Overall</c:v>
                </c:pt>
              </c:strCache>
            </c:strRef>
          </c:tx>
          <c:spPr>
            <a:ln w="28575">
              <a:noFill/>
            </a:ln>
          </c:spPr>
          <c:marker>
            <c:symbol val="x"/>
            <c:size val="5"/>
            <c:spPr>
              <a:noFill/>
              <a:ln>
                <a:solidFill>
                  <a:schemeClr val="tx1"/>
                </a:solidFill>
              </a:ln>
            </c:spPr>
          </c:marker>
          <c:cat>
            <c:multiLvlStrRef>
              <c:f>Sheet2!$H$3:$I$18</c:f>
              <c:multiLvlStrCache>
                <c:ptCount val="16"/>
                <c:lvl>
                  <c:pt idx="0">
                    <c:v>1993</c:v>
                  </c:pt>
                  <c:pt idx="1">
                    <c:v>1998</c:v>
                  </c:pt>
                  <c:pt idx="2">
                    <c:v>2003</c:v>
                  </c:pt>
                  <c:pt idx="3">
                    <c:v>2008</c:v>
                  </c:pt>
                  <c:pt idx="4">
                    <c:v>2014</c:v>
                  </c:pt>
                  <c:pt idx="5">
                    <c:v>1993</c:v>
                  </c:pt>
                  <c:pt idx="6">
                    <c:v>2000</c:v>
                  </c:pt>
                  <c:pt idx="7">
                    <c:v>2004</c:v>
                  </c:pt>
                  <c:pt idx="8">
                    <c:v>2010</c:v>
                  </c:pt>
                  <c:pt idx="9">
                    <c:v>1996</c:v>
                  </c:pt>
                  <c:pt idx="10">
                    <c:v>2004</c:v>
                  </c:pt>
                  <c:pt idx="11">
                    <c:v>2010</c:v>
                  </c:pt>
                  <c:pt idx="12">
                    <c:v>1996</c:v>
                  </c:pt>
                  <c:pt idx="13">
                    <c:v>2001</c:v>
                  </c:pt>
                  <c:pt idx="14">
                    <c:v>2006</c:v>
                  </c:pt>
                  <c:pt idx="15">
                    <c:v>2011</c:v>
                  </c:pt>
                </c:lvl>
                <c:lvl>
                  <c:pt idx="0">
                    <c:v>Ghana</c:v>
                  </c:pt>
                  <c:pt idx="5">
                    <c:v>Malawi</c:v>
                  </c:pt>
                  <c:pt idx="9">
                    <c:v>Tanzania</c:v>
                  </c:pt>
                  <c:pt idx="12">
                    <c:v>Nepal</c:v>
                  </c:pt>
                </c:lvl>
              </c:multiLvlStrCache>
            </c:multiLvlStrRef>
          </c:cat>
          <c:val>
            <c:numRef>
              <c:f>Sheet2!$K$3:$K$18</c:f>
              <c:numCache>
                <c:formatCode>0.0</c:formatCode>
                <c:ptCount val="16"/>
                <c:pt idx="0">
                  <c:v>6.1</c:v>
                </c:pt>
                <c:pt idx="1">
                  <c:v>6.4</c:v>
                </c:pt>
                <c:pt idx="2">
                  <c:v>6.4</c:v>
                </c:pt>
                <c:pt idx="3">
                  <c:v>9</c:v>
                </c:pt>
                <c:pt idx="4">
                  <c:v>8.577</c:v>
                </c:pt>
                <c:pt idx="5">
                  <c:v>8.5</c:v>
                </c:pt>
                <c:pt idx="6">
                  <c:v>4.9000000000000004</c:v>
                </c:pt>
                <c:pt idx="7">
                  <c:v>3.9</c:v>
                </c:pt>
                <c:pt idx="8">
                  <c:v>5.3</c:v>
                </c:pt>
                <c:pt idx="9">
                  <c:v>3.8</c:v>
                </c:pt>
                <c:pt idx="10">
                  <c:v>0.4</c:v>
                </c:pt>
                <c:pt idx="11">
                  <c:v>0.6</c:v>
                </c:pt>
                <c:pt idx="12">
                  <c:v>6.7</c:v>
                </c:pt>
                <c:pt idx="13">
                  <c:v>6.3</c:v>
                </c:pt>
                <c:pt idx="14">
                  <c:v>9.6</c:v>
                </c:pt>
                <c:pt idx="15">
                  <c:v>23.8</c:v>
                </c:pt>
              </c:numCache>
            </c:numRef>
          </c:val>
          <c:smooth val="0"/>
        </c:ser>
        <c:ser>
          <c:idx val="2"/>
          <c:order val="2"/>
          <c:tx>
            <c:strRef>
              <c:f>Sheet2!$L$2</c:f>
              <c:strCache>
                <c:ptCount val="1"/>
                <c:pt idx="0">
                  <c:v>Rich</c:v>
                </c:pt>
              </c:strCache>
            </c:strRef>
          </c:tx>
          <c:spPr>
            <a:ln w="28575">
              <a:noFill/>
            </a:ln>
          </c:spPr>
          <c:marker>
            <c:symbol val="triangle"/>
            <c:size val="5"/>
            <c:spPr>
              <a:solidFill>
                <a:schemeClr val="tx1"/>
              </a:solidFill>
              <a:ln>
                <a:solidFill>
                  <a:schemeClr val="tx1"/>
                </a:solidFill>
              </a:ln>
            </c:spPr>
          </c:marker>
          <c:cat>
            <c:multiLvlStrRef>
              <c:f>Sheet2!$H$3:$I$18</c:f>
              <c:multiLvlStrCache>
                <c:ptCount val="16"/>
                <c:lvl>
                  <c:pt idx="0">
                    <c:v>1993</c:v>
                  </c:pt>
                  <c:pt idx="1">
                    <c:v>1998</c:v>
                  </c:pt>
                  <c:pt idx="2">
                    <c:v>2003</c:v>
                  </c:pt>
                  <c:pt idx="3">
                    <c:v>2008</c:v>
                  </c:pt>
                  <c:pt idx="4">
                    <c:v>2014</c:v>
                  </c:pt>
                  <c:pt idx="5">
                    <c:v>1993</c:v>
                  </c:pt>
                  <c:pt idx="6">
                    <c:v>2000</c:v>
                  </c:pt>
                  <c:pt idx="7">
                    <c:v>2004</c:v>
                  </c:pt>
                  <c:pt idx="8">
                    <c:v>2010</c:v>
                  </c:pt>
                  <c:pt idx="9">
                    <c:v>1996</c:v>
                  </c:pt>
                  <c:pt idx="10">
                    <c:v>2004</c:v>
                  </c:pt>
                  <c:pt idx="11">
                    <c:v>2010</c:v>
                  </c:pt>
                  <c:pt idx="12">
                    <c:v>1996</c:v>
                  </c:pt>
                  <c:pt idx="13">
                    <c:v>2001</c:v>
                  </c:pt>
                  <c:pt idx="14">
                    <c:v>2006</c:v>
                  </c:pt>
                  <c:pt idx="15">
                    <c:v>2011</c:v>
                  </c:pt>
                </c:lvl>
                <c:lvl>
                  <c:pt idx="0">
                    <c:v>Ghana</c:v>
                  </c:pt>
                  <c:pt idx="5">
                    <c:v>Malawi</c:v>
                  </c:pt>
                  <c:pt idx="9">
                    <c:v>Tanzania</c:v>
                  </c:pt>
                  <c:pt idx="12">
                    <c:v>Nepal</c:v>
                  </c:pt>
                </c:lvl>
              </c:multiLvlStrCache>
            </c:multiLvlStrRef>
          </c:cat>
          <c:val>
            <c:numRef>
              <c:f>Sheet2!$L$3:$L$18</c:f>
              <c:numCache>
                <c:formatCode>0.0</c:formatCode>
                <c:ptCount val="16"/>
                <c:pt idx="0">
                  <c:v>6.9</c:v>
                </c:pt>
                <c:pt idx="1">
                  <c:v>14.8</c:v>
                </c:pt>
                <c:pt idx="2">
                  <c:v>24</c:v>
                </c:pt>
                <c:pt idx="3">
                  <c:v>15.6</c:v>
                </c:pt>
                <c:pt idx="4" formatCode="General">
                  <c:v>19.84</c:v>
                </c:pt>
                <c:pt idx="5">
                  <c:v>8.8000000000000007</c:v>
                </c:pt>
                <c:pt idx="6">
                  <c:v>18.399999999999999</c:v>
                </c:pt>
                <c:pt idx="7">
                  <c:v>7.8</c:v>
                </c:pt>
                <c:pt idx="8">
                  <c:v>8.9</c:v>
                </c:pt>
                <c:pt idx="9">
                  <c:v>11.8</c:v>
                </c:pt>
                <c:pt idx="10">
                  <c:v>0.3</c:v>
                </c:pt>
                <c:pt idx="11">
                  <c:v>2.7</c:v>
                </c:pt>
                <c:pt idx="12">
                  <c:v>10.1</c:v>
                </c:pt>
                <c:pt idx="13">
                  <c:v>16.8</c:v>
                </c:pt>
                <c:pt idx="14">
                  <c:v>20.100000000000001</c:v>
                </c:pt>
                <c:pt idx="15">
                  <c:v>41</c:v>
                </c:pt>
              </c:numCache>
            </c:numRef>
          </c:val>
          <c:smooth val="0"/>
        </c:ser>
        <c:dLbls>
          <c:showLegendKey val="0"/>
          <c:showVal val="0"/>
          <c:showCatName val="0"/>
          <c:showSerName val="0"/>
          <c:showPercent val="0"/>
          <c:showBubbleSize val="0"/>
        </c:dLbls>
        <c:hiLowLines/>
        <c:axId val="511687176"/>
        <c:axId val="511687960"/>
      </c:stockChart>
      <c:catAx>
        <c:axId val="511687176"/>
        <c:scaling>
          <c:orientation val="minMax"/>
        </c:scaling>
        <c:delete val="0"/>
        <c:axPos val="b"/>
        <c:numFmt formatCode="General" sourceLinked="0"/>
        <c:majorTickMark val="out"/>
        <c:minorTickMark val="none"/>
        <c:tickLblPos val="nextTo"/>
        <c:txPr>
          <a:bodyPr rot="-5400000" vert="horz"/>
          <a:lstStyle/>
          <a:p>
            <a:pPr>
              <a:defRPr/>
            </a:pPr>
            <a:endParaRPr lang="en-US"/>
          </a:p>
        </c:txPr>
        <c:crossAx val="511687960"/>
        <c:crosses val="autoZero"/>
        <c:auto val="1"/>
        <c:lblAlgn val="ctr"/>
        <c:lblOffset val="100"/>
        <c:noMultiLvlLbl val="0"/>
      </c:catAx>
      <c:valAx>
        <c:axId val="511687960"/>
        <c:scaling>
          <c:orientation val="minMax"/>
        </c:scaling>
        <c:delete val="0"/>
        <c:axPos val="l"/>
        <c:majorGridlines>
          <c:spPr>
            <a:ln>
              <a:solidFill>
                <a:schemeClr val="bg1">
                  <a:lumMod val="85000"/>
                </a:schemeClr>
              </a:solidFill>
              <a:prstDash val="dash"/>
            </a:ln>
          </c:spPr>
        </c:majorGridlines>
        <c:title>
          <c:tx>
            <c:rich>
              <a:bodyPr rot="-5400000" vert="horz"/>
              <a:lstStyle/>
              <a:p>
                <a:pPr>
                  <a:defRPr/>
                </a:pPr>
                <a:r>
                  <a:rPr lang="en-US"/>
                  <a:t>Percentage of children taken to a Private Secondary Facility</a:t>
                </a:r>
              </a:p>
            </c:rich>
          </c:tx>
          <c:overlay val="0"/>
        </c:title>
        <c:numFmt formatCode="0" sourceLinked="0"/>
        <c:majorTickMark val="out"/>
        <c:minorTickMark val="none"/>
        <c:tickLblPos val="nextTo"/>
        <c:crossAx val="51168717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Sheet1!$C$22</c:f>
              <c:strCache>
                <c:ptCount val="1"/>
                <c:pt idx="0">
                  <c:v>% Shop/Pharmacy</c:v>
                </c:pt>
              </c:strCache>
            </c:strRef>
          </c:tx>
          <c:spPr>
            <a:solidFill>
              <a:schemeClr val="tx1">
                <a:lumMod val="85000"/>
                <a:lumOff val="15000"/>
              </a:schemeClr>
            </a:solidFill>
            <a:ln>
              <a:solidFill>
                <a:schemeClr val="tx1"/>
              </a:solidFill>
            </a:ln>
          </c:spPr>
          <c:invertIfNegative val="0"/>
          <c:cat>
            <c:multiLvlStrRef>
              <c:f>Sheet1!$A$23:$B$38</c:f>
              <c:multiLvlStrCache>
                <c:ptCount val="16"/>
                <c:lvl>
                  <c:pt idx="0">
                    <c:v>1993</c:v>
                  </c:pt>
                  <c:pt idx="1">
                    <c:v>1998</c:v>
                  </c:pt>
                  <c:pt idx="2">
                    <c:v>2003</c:v>
                  </c:pt>
                  <c:pt idx="3">
                    <c:v>2008</c:v>
                  </c:pt>
                  <c:pt idx="4">
                    <c:v>2014</c:v>
                  </c:pt>
                  <c:pt idx="5">
                    <c:v>1992</c:v>
                  </c:pt>
                  <c:pt idx="6">
                    <c:v>2000</c:v>
                  </c:pt>
                  <c:pt idx="7">
                    <c:v>2004</c:v>
                  </c:pt>
                  <c:pt idx="8">
                    <c:v>2010</c:v>
                  </c:pt>
                  <c:pt idx="9">
                    <c:v>1996</c:v>
                  </c:pt>
                  <c:pt idx="10">
                    <c:v>2004</c:v>
                  </c:pt>
                  <c:pt idx="11">
                    <c:v>2010</c:v>
                  </c:pt>
                  <c:pt idx="12">
                    <c:v>1996</c:v>
                  </c:pt>
                  <c:pt idx="13">
                    <c:v>2001</c:v>
                  </c:pt>
                  <c:pt idx="14">
                    <c:v>2006</c:v>
                  </c:pt>
                  <c:pt idx="15">
                    <c:v>2011</c:v>
                  </c:pt>
                </c:lvl>
                <c:lvl>
                  <c:pt idx="0">
                    <c:v>Ghana</c:v>
                  </c:pt>
                  <c:pt idx="5">
                    <c:v>Malawi</c:v>
                  </c:pt>
                  <c:pt idx="9">
                    <c:v>Tanzania</c:v>
                  </c:pt>
                  <c:pt idx="12">
                    <c:v>Nepal</c:v>
                  </c:pt>
                </c:lvl>
              </c:multiLvlStrCache>
            </c:multiLvlStrRef>
          </c:cat>
          <c:val>
            <c:numRef>
              <c:f>Sheet1!$C$23:$C$38</c:f>
              <c:numCache>
                <c:formatCode>0.0</c:formatCode>
                <c:ptCount val="16"/>
                <c:pt idx="0">
                  <c:v>27.571931999999997</c:v>
                </c:pt>
                <c:pt idx="1">
                  <c:v>49.394880000000001</c:v>
                </c:pt>
                <c:pt idx="2">
                  <c:v>46.411785000000002</c:v>
                </c:pt>
                <c:pt idx="3">
                  <c:v>34.053046999999999</c:v>
                </c:pt>
                <c:pt idx="4">
                  <c:v>34.1</c:v>
                </c:pt>
                <c:pt idx="5">
                  <c:v>3.9037999999999999</c:v>
                </c:pt>
                <c:pt idx="6">
                  <c:v>27.241610999999999</c:v>
                </c:pt>
                <c:pt idx="7">
                  <c:v>29.078075000000002</c:v>
                </c:pt>
                <c:pt idx="8">
                  <c:v>9.4717450000000003</c:v>
                </c:pt>
                <c:pt idx="9">
                  <c:v>9.68</c:v>
                </c:pt>
                <c:pt idx="10">
                  <c:v>22.896191999999999</c:v>
                </c:pt>
                <c:pt idx="11">
                  <c:v>22.240767999999999</c:v>
                </c:pt>
                <c:pt idx="12">
                  <c:v>5.302620000000001</c:v>
                </c:pt>
                <c:pt idx="13">
                  <c:v>3.9431159999999994</c:v>
                </c:pt>
                <c:pt idx="14">
                  <c:v>4.479616</c:v>
                </c:pt>
                <c:pt idx="15">
                  <c:v>4.3174799999999998</c:v>
                </c:pt>
              </c:numCache>
            </c:numRef>
          </c:val>
        </c:ser>
        <c:ser>
          <c:idx val="1"/>
          <c:order val="1"/>
          <c:tx>
            <c:strRef>
              <c:f>Sheet1!$D$22</c:f>
              <c:strCache>
                <c:ptCount val="1"/>
                <c:pt idx="0">
                  <c:v>% Other Private</c:v>
                </c:pt>
              </c:strCache>
            </c:strRef>
          </c:tx>
          <c:spPr>
            <a:solidFill>
              <a:schemeClr val="bg1">
                <a:lumMod val="50000"/>
              </a:schemeClr>
            </a:solidFill>
            <a:ln>
              <a:solidFill>
                <a:schemeClr val="tx1"/>
              </a:solidFill>
            </a:ln>
          </c:spPr>
          <c:invertIfNegative val="0"/>
          <c:cat>
            <c:multiLvlStrRef>
              <c:f>Sheet1!$A$23:$B$38</c:f>
              <c:multiLvlStrCache>
                <c:ptCount val="16"/>
                <c:lvl>
                  <c:pt idx="0">
                    <c:v>1993</c:v>
                  </c:pt>
                  <c:pt idx="1">
                    <c:v>1998</c:v>
                  </c:pt>
                  <c:pt idx="2">
                    <c:v>2003</c:v>
                  </c:pt>
                  <c:pt idx="3">
                    <c:v>2008</c:v>
                  </c:pt>
                  <c:pt idx="4">
                    <c:v>2014</c:v>
                  </c:pt>
                  <c:pt idx="5">
                    <c:v>1992</c:v>
                  </c:pt>
                  <c:pt idx="6">
                    <c:v>2000</c:v>
                  </c:pt>
                  <c:pt idx="7">
                    <c:v>2004</c:v>
                  </c:pt>
                  <c:pt idx="8">
                    <c:v>2010</c:v>
                  </c:pt>
                  <c:pt idx="9">
                    <c:v>1996</c:v>
                  </c:pt>
                  <c:pt idx="10">
                    <c:v>2004</c:v>
                  </c:pt>
                  <c:pt idx="11">
                    <c:v>2010</c:v>
                  </c:pt>
                  <c:pt idx="12">
                    <c:v>1996</c:v>
                  </c:pt>
                  <c:pt idx="13">
                    <c:v>2001</c:v>
                  </c:pt>
                  <c:pt idx="14">
                    <c:v>2006</c:v>
                  </c:pt>
                  <c:pt idx="15">
                    <c:v>2011</c:v>
                  </c:pt>
                </c:lvl>
                <c:lvl>
                  <c:pt idx="0">
                    <c:v>Ghana</c:v>
                  </c:pt>
                  <c:pt idx="5">
                    <c:v>Malawi</c:v>
                  </c:pt>
                  <c:pt idx="9">
                    <c:v>Tanzania</c:v>
                  </c:pt>
                  <c:pt idx="12">
                    <c:v>Nepal</c:v>
                  </c:pt>
                </c:lvl>
              </c:multiLvlStrCache>
            </c:multiLvlStrRef>
          </c:cat>
          <c:val>
            <c:numRef>
              <c:f>Sheet1!$D$23:$D$38</c:f>
              <c:numCache>
                <c:formatCode>0.0</c:formatCode>
                <c:ptCount val="16"/>
                <c:pt idx="0">
                  <c:v>11.218068000000002</c:v>
                </c:pt>
                <c:pt idx="1">
                  <c:v>7.7751200000000011</c:v>
                </c:pt>
                <c:pt idx="2">
                  <c:v>7.1382149999999953</c:v>
                </c:pt>
                <c:pt idx="3">
                  <c:v>9.2769529999999989</c:v>
                </c:pt>
                <c:pt idx="4">
                  <c:v>9.6999999999999993</c:v>
                </c:pt>
                <c:pt idx="5">
                  <c:v>25.8962</c:v>
                </c:pt>
                <c:pt idx="6">
                  <c:v>16.268388999999999</c:v>
                </c:pt>
                <c:pt idx="7">
                  <c:v>12.911925</c:v>
                </c:pt>
                <c:pt idx="8">
                  <c:v>16.978254999999997</c:v>
                </c:pt>
                <c:pt idx="9">
                  <c:v>9.68</c:v>
                </c:pt>
                <c:pt idx="10">
                  <c:v>12.263807999999997</c:v>
                </c:pt>
                <c:pt idx="11">
                  <c:v>6.4792319999999997</c:v>
                </c:pt>
                <c:pt idx="12">
                  <c:v>6.9960520000000024</c:v>
                </c:pt>
                <c:pt idx="13">
                  <c:v>7.0080279999999968</c:v>
                </c:pt>
                <c:pt idx="14">
                  <c:v>12.609720000000003</c:v>
                </c:pt>
                <c:pt idx="15">
                  <c:v>24.004507000000004</c:v>
                </c:pt>
              </c:numCache>
            </c:numRef>
          </c:val>
        </c:ser>
        <c:ser>
          <c:idx val="2"/>
          <c:order val="2"/>
          <c:tx>
            <c:strRef>
              <c:f>Sheet1!$E$22</c:f>
              <c:strCache>
                <c:ptCount val="1"/>
                <c:pt idx="0">
                  <c:v>% Public</c:v>
                </c:pt>
              </c:strCache>
            </c:strRef>
          </c:tx>
          <c:spPr>
            <a:pattFill prst="ltDnDiag">
              <a:fgClr>
                <a:schemeClr val="tx1">
                  <a:lumMod val="75000"/>
                  <a:lumOff val="25000"/>
                </a:schemeClr>
              </a:fgClr>
              <a:bgClr>
                <a:schemeClr val="bg1"/>
              </a:bgClr>
            </a:pattFill>
            <a:ln>
              <a:solidFill>
                <a:schemeClr val="tx1"/>
              </a:solidFill>
            </a:ln>
          </c:spPr>
          <c:invertIfNegative val="0"/>
          <c:cat>
            <c:multiLvlStrRef>
              <c:f>Sheet1!$A$23:$B$38</c:f>
              <c:multiLvlStrCache>
                <c:ptCount val="16"/>
                <c:lvl>
                  <c:pt idx="0">
                    <c:v>1993</c:v>
                  </c:pt>
                  <c:pt idx="1">
                    <c:v>1998</c:v>
                  </c:pt>
                  <c:pt idx="2">
                    <c:v>2003</c:v>
                  </c:pt>
                  <c:pt idx="3">
                    <c:v>2008</c:v>
                  </c:pt>
                  <c:pt idx="4">
                    <c:v>2014</c:v>
                  </c:pt>
                  <c:pt idx="5">
                    <c:v>1992</c:v>
                  </c:pt>
                  <c:pt idx="6">
                    <c:v>2000</c:v>
                  </c:pt>
                  <c:pt idx="7">
                    <c:v>2004</c:v>
                  </c:pt>
                  <c:pt idx="8">
                    <c:v>2010</c:v>
                  </c:pt>
                  <c:pt idx="9">
                    <c:v>1996</c:v>
                  </c:pt>
                  <c:pt idx="10">
                    <c:v>2004</c:v>
                  </c:pt>
                  <c:pt idx="11">
                    <c:v>2010</c:v>
                  </c:pt>
                  <c:pt idx="12">
                    <c:v>1996</c:v>
                  </c:pt>
                  <c:pt idx="13">
                    <c:v>2001</c:v>
                  </c:pt>
                  <c:pt idx="14">
                    <c:v>2006</c:v>
                  </c:pt>
                  <c:pt idx="15">
                    <c:v>2011</c:v>
                  </c:pt>
                </c:lvl>
                <c:lvl>
                  <c:pt idx="0">
                    <c:v>Ghana</c:v>
                  </c:pt>
                  <c:pt idx="5">
                    <c:v>Malawi</c:v>
                  </c:pt>
                  <c:pt idx="9">
                    <c:v>Tanzania</c:v>
                  </c:pt>
                  <c:pt idx="12">
                    <c:v>Nepal</c:v>
                  </c:pt>
                </c:lvl>
              </c:multiLvlStrCache>
            </c:multiLvlStrRef>
          </c:cat>
          <c:val>
            <c:numRef>
              <c:f>Sheet1!$E$23:$E$38</c:f>
              <c:numCache>
                <c:formatCode>General</c:formatCode>
                <c:ptCount val="16"/>
                <c:pt idx="0">
                  <c:v>34.6</c:v>
                </c:pt>
                <c:pt idx="1">
                  <c:v>41.3</c:v>
                </c:pt>
                <c:pt idx="2">
                  <c:v>43.8</c:v>
                </c:pt>
                <c:pt idx="3">
                  <c:v>56.3</c:v>
                </c:pt>
                <c:pt idx="4">
                  <c:v>53.5</c:v>
                </c:pt>
                <c:pt idx="5">
                  <c:v>63.6</c:v>
                </c:pt>
                <c:pt idx="6">
                  <c:v>47.8</c:v>
                </c:pt>
                <c:pt idx="7">
                  <c:v>50.2</c:v>
                </c:pt>
                <c:pt idx="8">
                  <c:v>72.3</c:v>
                </c:pt>
                <c:pt idx="9">
                  <c:v>86.1</c:v>
                </c:pt>
                <c:pt idx="10">
                  <c:v>63.6</c:v>
                </c:pt>
                <c:pt idx="11">
                  <c:v>65.8</c:v>
                </c:pt>
                <c:pt idx="12">
                  <c:v>38.1</c:v>
                </c:pt>
                <c:pt idx="13">
                  <c:v>38.799999999999997</c:v>
                </c:pt>
                <c:pt idx="14">
                  <c:v>41.6</c:v>
                </c:pt>
                <c:pt idx="15">
                  <c:v>38.700000000000003</c:v>
                </c:pt>
              </c:numCache>
            </c:numRef>
          </c:val>
        </c:ser>
        <c:dLbls>
          <c:showLegendKey val="0"/>
          <c:showVal val="0"/>
          <c:showCatName val="0"/>
          <c:showSerName val="0"/>
          <c:showPercent val="0"/>
          <c:showBubbleSize val="0"/>
        </c:dLbls>
        <c:gapWidth val="150"/>
        <c:overlap val="100"/>
        <c:axId val="100378456"/>
        <c:axId val="100378848"/>
      </c:barChart>
      <c:catAx>
        <c:axId val="100378456"/>
        <c:scaling>
          <c:orientation val="minMax"/>
        </c:scaling>
        <c:delete val="0"/>
        <c:axPos val="b"/>
        <c:numFmt formatCode="General" sourceLinked="0"/>
        <c:majorTickMark val="out"/>
        <c:minorTickMark val="none"/>
        <c:tickLblPos val="nextTo"/>
        <c:crossAx val="100378848"/>
        <c:crosses val="autoZero"/>
        <c:auto val="1"/>
        <c:lblAlgn val="ctr"/>
        <c:lblOffset val="100"/>
        <c:noMultiLvlLbl val="0"/>
      </c:catAx>
      <c:valAx>
        <c:axId val="100378848"/>
        <c:scaling>
          <c:orientation val="minMax"/>
          <c:max val="110"/>
          <c:min val="0"/>
        </c:scaling>
        <c:delete val="0"/>
        <c:axPos val="l"/>
        <c:majorGridlines>
          <c:spPr>
            <a:ln>
              <a:solidFill>
                <a:schemeClr val="bg1">
                  <a:lumMod val="75000"/>
                </a:schemeClr>
              </a:solidFill>
            </a:ln>
          </c:spPr>
        </c:majorGridlines>
        <c:title>
          <c:tx>
            <c:rich>
              <a:bodyPr rot="-5400000" vert="horz"/>
              <a:lstStyle/>
              <a:p>
                <a:pPr>
                  <a:defRPr/>
                </a:pPr>
                <a:r>
                  <a:rPr lang="en-US"/>
                  <a:t>Percentage of Visits for Treatment*</a:t>
                </a:r>
              </a:p>
            </c:rich>
          </c:tx>
          <c:overlay val="0"/>
        </c:title>
        <c:numFmt formatCode="0" sourceLinked="0"/>
        <c:majorTickMark val="out"/>
        <c:minorTickMark val="none"/>
        <c:tickLblPos val="nextTo"/>
        <c:crossAx val="100378456"/>
        <c:crosses val="autoZero"/>
        <c:crossBetween val="between"/>
        <c:majorUnit val="20"/>
      </c:valAx>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0.22</cdr:x>
      <cdr:y>0.09254</cdr:y>
    </cdr:from>
    <cdr:to>
      <cdr:x>0.24659</cdr:x>
      <cdr:y>0.86469</cdr:y>
    </cdr:to>
    <cdr:sp macro="" textlink="">
      <cdr:nvSpPr>
        <cdr:cNvPr id="3" name="Text Box 2"/>
        <cdr:cNvSpPr txBox="1"/>
      </cdr:nvSpPr>
      <cdr:spPr>
        <a:xfrm xmlns:a="http://schemas.openxmlformats.org/drawingml/2006/main">
          <a:off x="1264031" y="427897"/>
          <a:ext cx="152772" cy="3570475"/>
        </a:xfrm>
        <a:prstGeom xmlns:a="http://schemas.openxmlformats.org/drawingml/2006/main" prst="rect">
          <a:avLst/>
        </a:prstGeom>
      </cdr:spPr>
      <cdr:txBody>
        <a:bodyPr xmlns:a="http://schemas.openxmlformats.org/drawingml/2006/main" vertOverflow="clip" vert="vert270" wrap="square" lIns="36000" rIns="36000" rtlCol="0"/>
        <a:lstStyle xmlns:a="http://schemas.openxmlformats.org/drawingml/2006/main"/>
        <a:p xmlns:a="http://schemas.openxmlformats.org/drawingml/2006/main">
          <a:pPr marL="0" marR="0" indent="0" algn="l" defTabSz="914400" eaLnBrk="1" fontAlgn="auto" latinLnBrk="0" hangingPunct="1">
            <a:lnSpc>
              <a:spcPct val="100000"/>
            </a:lnSpc>
            <a:spcBef>
              <a:spcPts val="0"/>
            </a:spcBef>
            <a:spcAft>
              <a:spcPts val="0"/>
            </a:spcAft>
            <a:buClrTx/>
            <a:buSzTx/>
            <a:buFontTx/>
            <a:buNone/>
            <a:tabLst/>
            <a:defRPr/>
          </a:pPr>
          <a:r>
            <a:rPr lang="en-GB" sz="800"/>
            <a:t>National Health Insurance Scheme implemented although charges remain(2003)</a:t>
          </a:r>
        </a:p>
        <a:p xmlns:a="http://schemas.openxmlformats.org/drawingml/2006/main">
          <a:pPr algn="l"/>
          <a:endParaRPr lang="en-GB" sz="800"/>
        </a:p>
      </cdr:txBody>
    </cdr:sp>
  </cdr:relSizeAnchor>
  <cdr:relSizeAnchor xmlns:cdr="http://schemas.openxmlformats.org/drawingml/2006/chartDrawing">
    <cdr:from>
      <cdr:x>0.42225</cdr:x>
      <cdr:y>0.0839</cdr:y>
    </cdr:from>
    <cdr:to>
      <cdr:x>0.44884</cdr:x>
      <cdr:y>0.85605</cdr:y>
    </cdr:to>
    <cdr:sp macro="" textlink="">
      <cdr:nvSpPr>
        <cdr:cNvPr id="4" name="Text Box 1"/>
        <cdr:cNvSpPr txBox="1"/>
      </cdr:nvSpPr>
      <cdr:spPr>
        <a:xfrm xmlns:a="http://schemas.openxmlformats.org/drawingml/2006/main">
          <a:off x="2426021" y="387954"/>
          <a:ext cx="152772" cy="3570476"/>
        </a:xfrm>
        <a:prstGeom xmlns:a="http://schemas.openxmlformats.org/drawingml/2006/main" prst="rect">
          <a:avLst/>
        </a:prstGeom>
      </cdr:spPr>
      <cdr:txBody>
        <a:bodyPr xmlns:a="http://schemas.openxmlformats.org/drawingml/2006/main" vert="vert270" wrap="square" lIns="36000" rIns="36000" rtlCol="0"/>
        <a:lstStyle xmlns:a="http://schemas.openxmlformats.org/drawingml/2006/main"/>
        <a:p xmlns:a="http://schemas.openxmlformats.org/drawingml/2006/main">
          <a:r>
            <a:rPr lang="en-GB" sz="800"/>
            <a:t>Essential</a:t>
          </a:r>
          <a:r>
            <a:rPr lang="en-GB" sz="800" baseline="0"/>
            <a:t> Health Package, free at the point of deliverty, implemented (2004)</a:t>
          </a:r>
          <a:endParaRPr lang="en-GB" sz="800"/>
        </a:p>
      </cdr:txBody>
    </cdr:sp>
  </cdr:relSizeAnchor>
  <cdr:relSizeAnchor xmlns:cdr="http://schemas.openxmlformats.org/drawingml/2006/chartDrawing">
    <cdr:from>
      <cdr:x>0.50708</cdr:x>
      <cdr:y>0.1238</cdr:y>
    </cdr:from>
    <cdr:to>
      <cdr:x>0.52869</cdr:x>
      <cdr:y>0.86075</cdr:y>
    </cdr:to>
    <cdr:sp macro="" textlink="">
      <cdr:nvSpPr>
        <cdr:cNvPr id="5" name="Text Box 4"/>
        <cdr:cNvSpPr txBox="1"/>
      </cdr:nvSpPr>
      <cdr:spPr>
        <a:xfrm xmlns:a="http://schemas.openxmlformats.org/drawingml/2006/main">
          <a:off x="2913434" y="572465"/>
          <a:ext cx="124159" cy="3407708"/>
        </a:xfrm>
        <a:prstGeom xmlns:a="http://schemas.openxmlformats.org/drawingml/2006/main" prst="rect">
          <a:avLst/>
        </a:prstGeom>
      </cdr:spPr>
      <cdr:txBody>
        <a:bodyPr xmlns:a="http://schemas.openxmlformats.org/drawingml/2006/main" vertOverflow="clip" vert="vert270" wrap="square" lIns="0" rtlCol="0"/>
        <a:lstStyle xmlns:a="http://schemas.openxmlformats.org/drawingml/2006/main"/>
        <a:p xmlns:a="http://schemas.openxmlformats.org/drawingml/2006/main">
          <a:r>
            <a:rPr lang="en-GB" sz="800"/>
            <a:t>National Health Insurance</a:t>
          </a:r>
          <a:r>
            <a:rPr lang="en-GB" sz="800" baseline="0"/>
            <a:t> Scheme set up (2001)</a:t>
          </a:r>
          <a:endParaRPr lang="en-GB" sz="800"/>
        </a:p>
      </cdr:txBody>
    </cdr:sp>
  </cdr:relSizeAnchor>
  <cdr:relSizeAnchor xmlns:cdr="http://schemas.openxmlformats.org/drawingml/2006/chartDrawing">
    <cdr:from>
      <cdr:x>0.70795</cdr:x>
      <cdr:y>0.18631</cdr:y>
    </cdr:from>
    <cdr:to>
      <cdr:x>0.73122</cdr:x>
      <cdr:y>0.85702</cdr:y>
    </cdr:to>
    <cdr:sp macro="" textlink="">
      <cdr:nvSpPr>
        <cdr:cNvPr id="6" name="Text Box 5"/>
        <cdr:cNvSpPr txBox="1"/>
      </cdr:nvSpPr>
      <cdr:spPr>
        <a:xfrm xmlns:a="http://schemas.openxmlformats.org/drawingml/2006/main">
          <a:off x="4057650" y="857250"/>
          <a:ext cx="133350" cy="3086100"/>
        </a:xfrm>
        <a:prstGeom xmlns:a="http://schemas.openxmlformats.org/drawingml/2006/main" prst="rect">
          <a:avLst/>
        </a:prstGeom>
      </cdr:spPr>
      <cdr:txBody>
        <a:bodyPr xmlns:a="http://schemas.openxmlformats.org/drawingml/2006/main" vertOverflow="clip" vert="vert270" wrap="square" lIns="0" rtlCol="0"/>
        <a:lstStyle xmlns:a="http://schemas.openxmlformats.org/drawingml/2006/main"/>
        <a:p xmlns:a="http://schemas.openxmlformats.org/drawingml/2006/main">
          <a:r>
            <a:rPr lang="en-GB" sz="900"/>
            <a:t>User</a:t>
          </a:r>
          <a:r>
            <a:rPr lang="en-GB" sz="900" baseline="0"/>
            <a:t> charges abolished in rural areas (2006 and peri-urban areas (2007)</a:t>
          </a:r>
          <a:endParaRPr lang="en-GB" sz="9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259C432-4150-4ED1-8118-5798F1F3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18413</Words>
  <Characters>104959</Characters>
  <Application>Microsoft Office Word</Application>
  <DocSecurity>4</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123126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Mackintosh</dc:creator>
  <cp:lastModifiedBy>Lapage K.P.</cp:lastModifiedBy>
  <cp:revision>2</cp:revision>
  <cp:lastPrinted>2016-01-22T15:11:00Z</cp:lastPrinted>
  <dcterms:created xsi:type="dcterms:W3CDTF">2017-06-13T13:24:00Z</dcterms:created>
  <dcterms:modified xsi:type="dcterms:W3CDTF">2017-06-13T13:24:00Z</dcterms:modified>
</cp:coreProperties>
</file>