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C2" w:rsidRPr="009F61C2" w:rsidRDefault="009F61C2" w:rsidP="009F61C2">
      <w:pPr>
        <w:spacing w:after="0"/>
        <w:rPr>
          <w:b/>
        </w:rPr>
      </w:pPr>
      <w:r w:rsidRPr="009F61C2">
        <w:rPr>
          <w:b/>
        </w:rPr>
        <w:t>Sustainable Deltas: Livelihoods, Ecosystem Services and Policy Implications</w:t>
      </w:r>
    </w:p>
    <w:p w:rsidR="009F61C2" w:rsidRDefault="009F61C2" w:rsidP="009F61C2">
      <w:pPr>
        <w:spacing w:after="0"/>
      </w:pPr>
    </w:p>
    <w:p w:rsidR="00B12411" w:rsidRPr="00B12411" w:rsidRDefault="00B12411" w:rsidP="009F61C2">
      <w:pPr>
        <w:spacing w:after="0"/>
        <w:jc w:val="both"/>
        <w:rPr>
          <w:vertAlign w:val="superscript"/>
        </w:rPr>
      </w:pPr>
      <w:r>
        <w:t>Fabrice G. Renaud</w:t>
      </w:r>
      <w:r>
        <w:rPr>
          <w:vertAlign w:val="superscript"/>
        </w:rPr>
        <w:t>1</w:t>
      </w:r>
      <w:r>
        <w:t>, Sylvia Szabo</w:t>
      </w:r>
      <w:r>
        <w:rPr>
          <w:vertAlign w:val="superscript"/>
        </w:rPr>
        <w:t>2</w:t>
      </w:r>
      <w:r>
        <w:t>, and Zoe Matthews</w:t>
      </w:r>
      <w:r>
        <w:rPr>
          <w:vertAlign w:val="superscript"/>
        </w:rPr>
        <w:t>2</w:t>
      </w:r>
    </w:p>
    <w:p w:rsidR="00B12411" w:rsidRDefault="00B12411" w:rsidP="009F61C2">
      <w:pPr>
        <w:spacing w:after="0"/>
        <w:jc w:val="both"/>
      </w:pPr>
    </w:p>
    <w:p w:rsidR="00B12411" w:rsidRDefault="00B12411" w:rsidP="009F61C2">
      <w:pPr>
        <w:spacing w:after="0"/>
        <w:jc w:val="both"/>
      </w:pPr>
      <w:r>
        <w:rPr>
          <w:vertAlign w:val="superscript"/>
        </w:rPr>
        <w:t>1</w:t>
      </w:r>
      <w:r>
        <w:t>United Nations University Institute for Environment and Human Security, Bonn, Germany</w:t>
      </w:r>
    </w:p>
    <w:p w:rsidR="00B12411" w:rsidRDefault="00B12411" w:rsidP="00B12411">
      <w:pPr>
        <w:pStyle w:val="CommentText"/>
      </w:pPr>
      <w:r>
        <w:rPr>
          <w:vertAlign w:val="superscript"/>
        </w:rPr>
        <w:t>2</w:t>
      </w:r>
      <w:r w:rsidRPr="00B12411">
        <w:t xml:space="preserve"> </w:t>
      </w:r>
      <w:proofErr w:type="gramStart"/>
      <w:r>
        <w:t>Division</w:t>
      </w:r>
      <w:proofErr w:type="gramEnd"/>
      <w:r>
        <w:t xml:space="preserve"> of Social Statistics and Demography, University of Southampton, Southampton, United Kingdom</w:t>
      </w:r>
    </w:p>
    <w:p w:rsidR="00B12411" w:rsidRPr="00B12411" w:rsidRDefault="00B12411" w:rsidP="009F61C2">
      <w:pPr>
        <w:spacing w:after="0"/>
        <w:jc w:val="both"/>
      </w:pPr>
    </w:p>
    <w:p w:rsidR="00B12411" w:rsidRDefault="00B12411" w:rsidP="009F61C2">
      <w:pPr>
        <w:spacing w:after="0"/>
        <w:jc w:val="both"/>
      </w:pPr>
    </w:p>
    <w:p w:rsidR="003C3BA3" w:rsidRDefault="00B12411" w:rsidP="009F61C2">
      <w:pPr>
        <w:spacing w:after="0"/>
        <w:jc w:val="both"/>
      </w:pPr>
      <w:r>
        <w:t>Coastal river deltas are dynamic and highly fertile landforms at the intersection of terrestrial and marine environments. They are often densely populated due to the opportunities for livelihood generation they offer, in particular through agriculture and aquaculture production, economic development, and trade (Kuenzer and Renaud, 2012).</w:t>
      </w:r>
      <w:r w:rsidR="009F61C2">
        <w:t xml:space="preserve"> At the same time, and largely because they offer so many opportunities for development, many river deltas globally are threatened </w:t>
      </w:r>
      <w:r w:rsidR="00E16A25">
        <w:t xml:space="preserve">both </w:t>
      </w:r>
      <w:r w:rsidR="009F61C2">
        <w:t xml:space="preserve">by </w:t>
      </w:r>
      <w:r>
        <w:t>environmental</w:t>
      </w:r>
      <w:r w:rsidR="009F61C2">
        <w:t xml:space="preserve"> and </w:t>
      </w:r>
      <w:r>
        <w:t>anthropogenic</w:t>
      </w:r>
      <w:r w:rsidR="009F61C2">
        <w:t xml:space="preserve"> processes</w:t>
      </w:r>
      <w:r w:rsidR="003C3BA3">
        <w:t xml:space="preserve"> (Syvitski et al., 2009; Tessler et al., 2015</w:t>
      </w:r>
      <w:r w:rsidR="00CE6722">
        <w:t>; Szabo et al. 2015</w:t>
      </w:r>
      <w:r w:rsidR="006933E1">
        <w:t>a</w:t>
      </w:r>
      <w:r w:rsidR="003C3BA3">
        <w:t>)</w:t>
      </w:r>
      <w:r w:rsidR="009F61C2">
        <w:t xml:space="preserve">. </w:t>
      </w:r>
      <w:r w:rsidR="00D04094">
        <w:t xml:space="preserve">Deltas and their river basins are naturally dynamic systems </w:t>
      </w:r>
      <w:r w:rsidR="00563461">
        <w:t>but</w:t>
      </w:r>
      <w:r w:rsidR="00D04094">
        <w:t xml:space="preserve"> human interventions </w:t>
      </w:r>
      <w:r w:rsidR="00563461" w:rsidRPr="00563461">
        <w:rPr>
          <w:i/>
        </w:rPr>
        <w:t>in situ</w:t>
      </w:r>
      <w:r w:rsidR="00563461">
        <w:t xml:space="preserve"> </w:t>
      </w:r>
      <w:r w:rsidR="00D04094">
        <w:t xml:space="preserve">such as </w:t>
      </w:r>
      <w:r w:rsidR="00D04094" w:rsidRPr="00D04094">
        <w:t xml:space="preserve">urbanization, </w:t>
      </w:r>
      <w:r w:rsidR="00D04094">
        <w:t>groundwater and hydro</w:t>
      </w:r>
      <w:r w:rsidR="00D04094" w:rsidRPr="00D04094">
        <w:t xml:space="preserve">carbon extraction, </w:t>
      </w:r>
      <w:r w:rsidR="00471BBA">
        <w:t>a</w:t>
      </w:r>
      <w:r w:rsidR="00D04094" w:rsidRPr="00D04094">
        <w:t>gricultural intensification,</w:t>
      </w:r>
      <w:r w:rsidR="00563461">
        <w:t xml:space="preserve"> and</w:t>
      </w:r>
      <w:r w:rsidR="00D04094" w:rsidRPr="00D04094">
        <w:t xml:space="preserve"> </w:t>
      </w:r>
      <w:r w:rsidR="00D04094" w:rsidRPr="00563461">
        <w:t>channel regulation</w:t>
      </w:r>
      <w:r w:rsidR="00D04094" w:rsidRPr="00D04094">
        <w:t xml:space="preserve">, </w:t>
      </w:r>
      <w:r w:rsidR="00563461">
        <w:t xml:space="preserve">and </w:t>
      </w:r>
      <w:r w:rsidR="00563461">
        <w:rPr>
          <w:i/>
        </w:rPr>
        <w:t xml:space="preserve">ex situ </w:t>
      </w:r>
      <w:r w:rsidR="00563461">
        <w:t xml:space="preserve">such </w:t>
      </w:r>
      <w:r w:rsidR="00FB5C0C">
        <w:t xml:space="preserve">as </w:t>
      </w:r>
      <w:r w:rsidR="00D04094">
        <w:t xml:space="preserve">increased </w:t>
      </w:r>
      <w:r w:rsidR="00D04094" w:rsidRPr="00D04094">
        <w:t xml:space="preserve">upstream water </w:t>
      </w:r>
      <w:r w:rsidR="00563461">
        <w:t>withdrawals</w:t>
      </w:r>
      <w:r w:rsidR="00D04094" w:rsidRPr="00D04094">
        <w:t>, d</w:t>
      </w:r>
      <w:r w:rsidR="00563461">
        <w:t>iversion and sediment trapping</w:t>
      </w:r>
      <w:r w:rsidR="00FB5C0C">
        <w:t>,</w:t>
      </w:r>
      <w:r w:rsidR="00563461">
        <w:t xml:space="preserve"> increasingly combine with coastal hazards such as sea level rise</w:t>
      </w:r>
      <w:r w:rsidR="00D61A2D">
        <w:t>, salinity intrusion</w:t>
      </w:r>
      <w:r w:rsidR="00563461">
        <w:t xml:space="preserve"> and hurricanes to threaten delta social-ecological systems (Renaud et al., 2013).</w:t>
      </w:r>
      <w:r w:rsidR="003C3BA3">
        <w:t xml:space="preserve"> </w:t>
      </w:r>
      <w:r w:rsidR="00E16A25">
        <w:t>In combination, s</w:t>
      </w:r>
      <w:r w:rsidR="003C3BA3">
        <w:t>uch processes exacerbate livelihood losses</w:t>
      </w:r>
      <w:r w:rsidR="000553F6">
        <w:t xml:space="preserve"> and existing inequalities</w:t>
      </w:r>
      <w:r w:rsidR="00696356">
        <w:t>, precipitate migration streams</w:t>
      </w:r>
      <w:r w:rsidR="003C3BA3">
        <w:t xml:space="preserve"> </w:t>
      </w:r>
      <w:r w:rsidR="00E16A25">
        <w:t>and often</w:t>
      </w:r>
      <w:r w:rsidR="003C3BA3">
        <w:t xml:space="preserve"> creat</w:t>
      </w:r>
      <w:r w:rsidR="00E16A25">
        <w:t>e</w:t>
      </w:r>
      <w:r w:rsidR="003C3BA3">
        <w:t xml:space="preserve"> new pockets of poverty, especially in urban centres within delta regions</w:t>
      </w:r>
      <w:r w:rsidR="005E5433">
        <w:t xml:space="preserve"> (Martin et al., 2013)</w:t>
      </w:r>
      <w:r w:rsidR="003C3BA3">
        <w:t xml:space="preserve">. </w:t>
      </w:r>
    </w:p>
    <w:p w:rsidR="003C3BA3" w:rsidRDefault="003C3BA3" w:rsidP="009F61C2">
      <w:pPr>
        <w:spacing w:after="0"/>
        <w:jc w:val="both"/>
      </w:pPr>
    </w:p>
    <w:p w:rsidR="009F61C2" w:rsidRDefault="0005756D" w:rsidP="00621260">
      <w:pPr>
        <w:spacing w:after="0"/>
        <w:jc w:val="both"/>
      </w:pPr>
      <w:r>
        <w:t xml:space="preserve">The </w:t>
      </w:r>
      <w:r w:rsidR="00051A19">
        <w:t xml:space="preserve">increasing </w:t>
      </w:r>
      <w:proofErr w:type="gramStart"/>
      <w:r w:rsidR="00051A19">
        <w:t>threats</w:t>
      </w:r>
      <w:r>
        <w:t xml:space="preserve"> </w:t>
      </w:r>
      <w:r w:rsidR="00051A19">
        <w:t>to</w:t>
      </w:r>
      <w:r>
        <w:t xml:space="preserve"> populated river deltas is</w:t>
      </w:r>
      <w:proofErr w:type="gramEnd"/>
      <w:r>
        <w:t xml:space="preserve"> well recognized </w:t>
      </w:r>
      <w:r w:rsidR="00AA73B5">
        <w:t>and various networks are addressing delta-specific issues such as the Delta Alliance</w:t>
      </w:r>
      <w:r w:rsidR="00AA73B5">
        <w:rPr>
          <w:rStyle w:val="FootnoteReference"/>
        </w:rPr>
        <w:footnoteReference w:id="1"/>
      </w:r>
      <w:r w:rsidR="00E24052">
        <w:t xml:space="preserve"> </w:t>
      </w:r>
      <w:r w:rsidR="00310E5F">
        <w:t xml:space="preserve">and the recently launched </w:t>
      </w:r>
      <w:r w:rsidR="00310E5F" w:rsidRPr="00310E5F">
        <w:t>International Delta Coalition</w:t>
      </w:r>
      <w:r w:rsidR="00E24052">
        <w:rPr>
          <w:rStyle w:val="FootnoteReference"/>
        </w:rPr>
        <w:footnoteReference w:id="2"/>
      </w:r>
      <w:r w:rsidR="00310E5F">
        <w:t xml:space="preserve">, to name </w:t>
      </w:r>
      <w:r w:rsidR="00051A19">
        <w:t>just two</w:t>
      </w:r>
      <w:r w:rsidR="00310E5F">
        <w:t xml:space="preserve">. </w:t>
      </w:r>
      <w:r w:rsidR="00051A19">
        <w:t>In 2011, Foufoula-</w:t>
      </w:r>
      <w:r w:rsidR="00051A19" w:rsidRPr="00502598">
        <w:t xml:space="preserve">Georgiou et al. called for an “International Year of </w:t>
      </w:r>
      <w:r w:rsidR="00051A19">
        <w:t xml:space="preserve">Deltas” aiming to address a number of interlinked </w:t>
      </w:r>
      <w:r w:rsidR="00051A19" w:rsidRPr="00502598">
        <w:t xml:space="preserve">research questions </w:t>
      </w:r>
      <w:r w:rsidR="00051A19">
        <w:t xml:space="preserve">in order to </w:t>
      </w:r>
      <w:r w:rsidR="00051A19" w:rsidRPr="00502598">
        <w:t xml:space="preserve">improve our </w:t>
      </w:r>
      <w:r w:rsidR="00051A19">
        <w:t xml:space="preserve">scientific </w:t>
      </w:r>
      <w:r w:rsidR="00051A19" w:rsidRPr="00502598">
        <w:t>understanding of delta</w:t>
      </w:r>
      <w:r w:rsidR="00051A19">
        <w:t>s as</w:t>
      </w:r>
      <w:r w:rsidR="00051A19" w:rsidRPr="00502598">
        <w:t xml:space="preserve"> social-ecologic systems (SES</w:t>
      </w:r>
      <w:r w:rsidR="00051A19">
        <w:t>) and thus contribute to long-term sustainable development of these regions.</w:t>
      </w:r>
      <w:r w:rsidR="007651FE">
        <w:t xml:space="preserve"> I</w:t>
      </w:r>
      <w:r w:rsidR="00DC1898">
        <w:t>n 2015</w:t>
      </w:r>
      <w:r w:rsidR="008C0C74">
        <w:t>,</w:t>
      </w:r>
      <w:r w:rsidR="00DC1898">
        <w:t xml:space="preserve"> the idea</w:t>
      </w:r>
      <w:r w:rsidR="007651FE">
        <w:t xml:space="preserve"> of having an international </w:t>
      </w:r>
      <w:r w:rsidR="00051A19">
        <w:t>initiative</w:t>
      </w:r>
      <w:r w:rsidR="008C0C74">
        <w:t>, Sustainable Deltas 2015,</w:t>
      </w:r>
      <w:r w:rsidR="007651FE">
        <w:t xml:space="preserve"> dedicated to deltas</w:t>
      </w:r>
      <w:r w:rsidR="00DC1898">
        <w:t xml:space="preserve"> was endorsed by the International Council for Science</w:t>
      </w:r>
      <w:r w:rsidR="00DC1898">
        <w:rPr>
          <w:rStyle w:val="FootnoteReference"/>
        </w:rPr>
        <w:footnoteReference w:id="3"/>
      </w:r>
      <w:r w:rsidR="00DC1898">
        <w:t>.</w:t>
      </w:r>
      <w:r w:rsidR="00E40FBF">
        <w:t xml:space="preserve"> </w:t>
      </w:r>
      <w:r w:rsidR="007F4159">
        <w:t>The need for further research and increase</w:t>
      </w:r>
      <w:r w:rsidR="00BB7A11">
        <w:t>d</w:t>
      </w:r>
      <w:r w:rsidR="007F4159">
        <w:t xml:space="preserve"> standardization of research methodologies for delta environments was further acknowledged by </w:t>
      </w:r>
      <w:proofErr w:type="spellStart"/>
      <w:r w:rsidR="007F4159">
        <w:t>Giosan</w:t>
      </w:r>
      <w:proofErr w:type="spellEnd"/>
      <w:r w:rsidR="007F4159">
        <w:t xml:space="preserve"> et al. (2014) who called for a “science-based global strategy for protecting deltas”. </w:t>
      </w:r>
      <w:r w:rsidR="00621260">
        <w:t>Furthermore, Hossain et al. (2015) highlighted the need for in depth studies of complex ecosystem services in the context of socio-economic development at a regional level.</w:t>
      </w:r>
      <w:r w:rsidR="00283B9E">
        <w:t xml:space="preserve"> Given the above and the various political milestones that were reached in 2015, including chronologically the Sendai Framework for Disaster Risk Reduction</w:t>
      </w:r>
      <w:r w:rsidR="003C7B49">
        <w:t xml:space="preserve"> (UN, 2015a)</w:t>
      </w:r>
      <w:r w:rsidR="00283B9E">
        <w:t>, the Sustainable Development Goals (SDGs)</w:t>
      </w:r>
      <w:r w:rsidR="003C7B49">
        <w:t xml:space="preserve"> (UN, 2015b)</w:t>
      </w:r>
      <w:r w:rsidR="00283B9E">
        <w:t xml:space="preserve"> and the Paris Agreement on climate change</w:t>
      </w:r>
      <w:r w:rsidR="003C7B49">
        <w:t xml:space="preserve"> (UNFCCC, 2015)</w:t>
      </w:r>
      <w:r w:rsidR="00283B9E">
        <w:t>, there is an urgent need for addressing delta sustainability concerns and science has an important role to play in this</w:t>
      </w:r>
      <w:r w:rsidR="00BB7A11">
        <w:t xml:space="preserve"> effort</w:t>
      </w:r>
      <w:r w:rsidR="00283B9E">
        <w:t xml:space="preserve">. </w:t>
      </w:r>
    </w:p>
    <w:p w:rsidR="000553F6" w:rsidRDefault="000553F6" w:rsidP="009F61C2">
      <w:pPr>
        <w:spacing w:after="0"/>
        <w:jc w:val="both"/>
      </w:pPr>
    </w:p>
    <w:p w:rsidR="001938F5" w:rsidRDefault="000553F6" w:rsidP="005E5433">
      <w:pPr>
        <w:spacing w:after="0"/>
        <w:jc w:val="both"/>
      </w:pPr>
      <w:r>
        <w:t>The recently endorsed SDGs create new opportunities for</w:t>
      </w:r>
      <w:r w:rsidR="00696356">
        <w:t xml:space="preserve"> the understanding of development and sustainability in</w:t>
      </w:r>
      <w:r>
        <w:t xml:space="preserve"> delta regions (Szabo et al. 2015</w:t>
      </w:r>
      <w:r w:rsidR="007173A2">
        <w:t>b</w:t>
      </w:r>
      <w:r>
        <w:t>).</w:t>
      </w:r>
      <w:r w:rsidR="00E63528">
        <w:t xml:space="preserve">   </w:t>
      </w:r>
      <w:r w:rsidR="00696356">
        <w:t>T</w:t>
      </w:r>
      <w:r w:rsidR="00E63528">
        <w:t>he SDGs</w:t>
      </w:r>
      <w:r w:rsidR="00696356">
        <w:t xml:space="preserve"> focus much more sharply </w:t>
      </w:r>
      <w:proofErr w:type="spellStart"/>
      <w:r w:rsidR="00696356">
        <w:t>thanthe</w:t>
      </w:r>
      <w:proofErr w:type="spellEnd"/>
      <w:r w:rsidR="00E63528">
        <w:t xml:space="preserve"> </w:t>
      </w:r>
      <w:r w:rsidR="00D61A2D">
        <w:t xml:space="preserve">previous </w:t>
      </w:r>
      <w:r w:rsidR="00E63528">
        <w:t>M</w:t>
      </w:r>
      <w:r w:rsidR="00D61A2D">
        <w:t>illen</w:t>
      </w:r>
      <w:r w:rsidR="00471BBA">
        <w:t>n</w:t>
      </w:r>
      <w:r w:rsidR="00D61A2D">
        <w:t xml:space="preserve">ium </w:t>
      </w:r>
      <w:r w:rsidR="00E63528">
        <w:t>D</w:t>
      </w:r>
      <w:r w:rsidR="00D61A2D">
        <w:t xml:space="preserve">evelopment </w:t>
      </w:r>
      <w:r w:rsidR="00E63528">
        <w:t>G</w:t>
      </w:r>
      <w:r w:rsidR="00D61A2D">
        <w:t>oal</w:t>
      </w:r>
      <w:r w:rsidR="00E63528">
        <w:t>s on environmental sustainability, the impacts of climate change, the importance of ecosystems and ecosystem services</w:t>
      </w:r>
      <w:r w:rsidR="00D61A2D">
        <w:t>,</w:t>
      </w:r>
      <w:r w:rsidR="00E63528">
        <w:t xml:space="preserve"> the stress on sub-national differences and the need for disaggregated data</w:t>
      </w:r>
      <w:r w:rsidR="00D0634E">
        <w:t>, the latter perhaps opening a window of opportunity to collect delta-specific information</w:t>
      </w:r>
      <w:r w:rsidR="00E63528">
        <w:t xml:space="preserve">. </w:t>
      </w:r>
      <w:r w:rsidR="00B22FD3">
        <w:t xml:space="preserve">In addition, </w:t>
      </w:r>
      <w:r w:rsidR="00585C64">
        <w:t>water and soil salinization, which has negative impacts on food security and</w:t>
      </w:r>
      <w:r w:rsidR="005E5433">
        <w:t>, more broadly,</w:t>
      </w:r>
      <w:r w:rsidR="00585C64">
        <w:t xml:space="preserve"> households’ livelihoods (Szabo et al. 2015</w:t>
      </w:r>
      <w:r w:rsidR="00667F44">
        <w:t>b</w:t>
      </w:r>
      <w:r w:rsidR="00585C64">
        <w:t>), have been at least partially accounted for through target 6a in the context of water harvesting, desalination and water efficiency (UN, 2016</w:t>
      </w:r>
      <w:r w:rsidR="007173A2">
        <w:t>; Szabo et al. 2015</w:t>
      </w:r>
      <w:r w:rsidR="00667F44">
        <w:t>a</w:t>
      </w:r>
      <w:r w:rsidR="00585C64">
        <w:t>)</w:t>
      </w:r>
      <w:r w:rsidR="00D0634E">
        <w:t>.</w:t>
      </w:r>
      <w:r w:rsidR="00585C64">
        <w:t xml:space="preserve">  </w:t>
      </w:r>
      <w:r w:rsidR="006933E1">
        <w:t>Nonetheless, the environmental vulnerability of these regions, combined with</w:t>
      </w:r>
      <w:r w:rsidR="00471BBA">
        <w:t xml:space="preserve"> rapidly changing</w:t>
      </w:r>
      <w:r w:rsidR="006933E1">
        <w:t xml:space="preserve"> demographic dynamics in many river deltas,</w:t>
      </w:r>
      <w:r w:rsidR="00471BBA">
        <w:t xml:space="preserve"> </w:t>
      </w:r>
      <w:r w:rsidR="006933E1">
        <w:t>including often high rates of out-migration (Szabo et al. 2015</w:t>
      </w:r>
      <w:r w:rsidR="00667F44">
        <w:t>c</w:t>
      </w:r>
      <w:r w:rsidR="006933E1">
        <w:t>), impl</w:t>
      </w:r>
      <w:r w:rsidR="00696356">
        <w:t>y</w:t>
      </w:r>
      <w:r w:rsidR="006933E1">
        <w:t xml:space="preserve"> that an intensified effort will be required to ensure sustainable socio-economic development for delta populations. Therefore, d</w:t>
      </w:r>
      <w:r w:rsidR="006933E1" w:rsidRPr="006933E1">
        <w:t xml:space="preserve">espite </w:t>
      </w:r>
      <w:r w:rsidR="006D49B7">
        <w:t>increased</w:t>
      </w:r>
      <w:r w:rsidR="006933E1" w:rsidRPr="006933E1">
        <w:t xml:space="preserve"> global political and policy progress</w:t>
      </w:r>
      <w:r w:rsidR="00D0634E">
        <w:t>,</w:t>
      </w:r>
      <w:r w:rsidR="006933E1">
        <w:t xml:space="preserve"> </w:t>
      </w:r>
      <w:r w:rsidR="006933E1" w:rsidRPr="006933E1">
        <w:t>multi</w:t>
      </w:r>
      <w:r w:rsidR="00D0634E">
        <w:t>- and inter-</w:t>
      </w:r>
      <w:r w:rsidR="006933E1" w:rsidRPr="006933E1">
        <w:t>disciplinary research and multi</w:t>
      </w:r>
      <w:r w:rsidR="00471BBA">
        <w:t>-</w:t>
      </w:r>
      <w:r w:rsidR="006933E1" w:rsidRPr="006933E1">
        <w:t xml:space="preserve">stakeholder engagement are </w:t>
      </w:r>
      <w:r w:rsidR="006933E1">
        <w:t xml:space="preserve">and will continuously be </w:t>
      </w:r>
      <w:r w:rsidR="006933E1" w:rsidRPr="006933E1">
        <w:t>critical in order to generate robust evidence for effective policy design</w:t>
      </w:r>
      <w:r w:rsidR="005E5433">
        <w:t xml:space="preserve"> (Brondizio et al., 2016)</w:t>
      </w:r>
      <w:r w:rsidR="006933E1" w:rsidRPr="006933E1">
        <w:t>.</w:t>
      </w:r>
    </w:p>
    <w:p w:rsidR="000553F6" w:rsidRDefault="000553F6" w:rsidP="009F61C2">
      <w:pPr>
        <w:spacing w:after="0"/>
        <w:jc w:val="both"/>
      </w:pPr>
    </w:p>
    <w:p w:rsidR="005B5D9D" w:rsidRDefault="009D3F75" w:rsidP="009F61C2">
      <w:pPr>
        <w:spacing w:after="0"/>
        <w:jc w:val="both"/>
      </w:pPr>
      <w:r>
        <w:t xml:space="preserve">In 2008, </w:t>
      </w:r>
      <w:r>
        <w:rPr>
          <w:i/>
        </w:rPr>
        <w:t>Sustainability Science</w:t>
      </w:r>
      <w:r>
        <w:t xml:space="preserve"> published a series of paper</w:t>
      </w:r>
      <w:r w:rsidR="00BB7A11">
        <w:t>s</w:t>
      </w:r>
      <w:r>
        <w:t xml:space="preserve"> under a Special Feature entitled “</w:t>
      </w:r>
      <w:r w:rsidRPr="009D3F75">
        <w:t>Global sea-level rise and coastal vulnerability</w:t>
      </w:r>
      <w:r>
        <w:t>”</w:t>
      </w:r>
      <w:r w:rsidR="00F86D39">
        <w:t xml:space="preserve"> (Harvey and Nicholls, 2008). </w:t>
      </w:r>
      <w:r w:rsidR="00A82AC9">
        <w:t xml:space="preserve">One of the </w:t>
      </w:r>
      <w:r w:rsidR="005E5433">
        <w:t xml:space="preserve">featured </w:t>
      </w:r>
      <w:r w:rsidR="00A82AC9">
        <w:t xml:space="preserve">papers identified </w:t>
      </w:r>
      <w:r w:rsidR="005B5D9D">
        <w:t xml:space="preserve">large-scale engineering structures such as dams, over-abstraction of underground resources, and water diversion schemes as often being more threatening to deltas social-ecological </w:t>
      </w:r>
      <w:r w:rsidR="00C47417">
        <w:t xml:space="preserve">systems </w:t>
      </w:r>
      <w:r w:rsidR="005B5D9D">
        <w:t xml:space="preserve">than </w:t>
      </w:r>
      <w:proofErr w:type="spellStart"/>
      <w:r w:rsidR="005B5D9D">
        <w:t>eustatic</w:t>
      </w:r>
      <w:proofErr w:type="spellEnd"/>
      <w:r w:rsidR="005B5D9D">
        <w:t xml:space="preserve"> sea-level rise (</w:t>
      </w:r>
      <w:proofErr w:type="spellStart"/>
      <w:r w:rsidR="005B5D9D">
        <w:t>Syvitski</w:t>
      </w:r>
      <w:proofErr w:type="spellEnd"/>
      <w:r w:rsidR="005B5D9D">
        <w:t xml:space="preserve">, 2008). </w:t>
      </w:r>
      <w:r w:rsidR="007F4159">
        <w:t xml:space="preserve">This special issue of </w:t>
      </w:r>
      <w:r w:rsidR="007F4159">
        <w:rPr>
          <w:i/>
        </w:rPr>
        <w:t>Sustainability Science</w:t>
      </w:r>
      <w:r w:rsidR="007F4159">
        <w:t xml:space="preserve"> </w:t>
      </w:r>
      <w:r w:rsidR="005B5D9D">
        <w:t xml:space="preserve">builds on this </w:t>
      </w:r>
      <w:r w:rsidR="00D0634E">
        <w:t xml:space="preserve">and other </w:t>
      </w:r>
      <w:proofErr w:type="gramStart"/>
      <w:r w:rsidR="00D0634E">
        <w:t xml:space="preserve">papers published since </w:t>
      </w:r>
      <w:r w:rsidR="00C47417">
        <w:t xml:space="preserve">then </w:t>
      </w:r>
      <w:r w:rsidR="00D0634E">
        <w:t xml:space="preserve">on delta-related issues, </w:t>
      </w:r>
      <w:r w:rsidR="005B5D9D">
        <w:t xml:space="preserve">and </w:t>
      </w:r>
      <w:r w:rsidR="007F4159">
        <w:t>addresses</w:t>
      </w:r>
      <w:proofErr w:type="gramEnd"/>
      <w:r w:rsidR="007F4159">
        <w:t xml:space="preserve"> the sustainability of deltas through various disciplinary angles</w:t>
      </w:r>
      <w:r w:rsidR="00FA2562">
        <w:t>.</w:t>
      </w:r>
      <w:r w:rsidR="007F4159">
        <w:t xml:space="preserve"> </w:t>
      </w:r>
      <w:r w:rsidR="00FA2562">
        <w:t>Crucially</w:t>
      </w:r>
      <w:r w:rsidR="007F4159">
        <w:t>, several of the papers include report</w:t>
      </w:r>
      <w:r w:rsidR="00FA2562">
        <w:t>s of studies</w:t>
      </w:r>
      <w:r w:rsidR="007F4159">
        <w:t xml:space="preserve"> carried out </w:t>
      </w:r>
      <w:r w:rsidR="00C47417">
        <w:t>in recent years by</w:t>
      </w:r>
      <w:r w:rsidR="007F4159">
        <w:t xml:space="preserve"> multi-disciplinary teams of researchers who </w:t>
      </w:r>
      <w:r w:rsidR="00FA2562">
        <w:t xml:space="preserve">have together </w:t>
      </w:r>
      <w:r w:rsidR="007F4159">
        <w:t>addressed various aspects of delt</w:t>
      </w:r>
      <w:r w:rsidR="00C47417">
        <w:t>a sustainability</w:t>
      </w:r>
      <w:r w:rsidR="007F4159">
        <w:t xml:space="preserve">. </w:t>
      </w:r>
    </w:p>
    <w:p w:rsidR="003C3BA3" w:rsidRDefault="003C3BA3" w:rsidP="009F61C2">
      <w:pPr>
        <w:spacing w:after="0"/>
        <w:jc w:val="both"/>
      </w:pPr>
    </w:p>
    <w:p w:rsidR="002706A5" w:rsidRDefault="007A1D41" w:rsidP="009F61C2">
      <w:pPr>
        <w:spacing w:after="0"/>
        <w:jc w:val="both"/>
      </w:pPr>
      <w:r>
        <w:t xml:space="preserve">This special issue </w:t>
      </w:r>
      <w:r w:rsidR="00B35D25">
        <w:t>was developed as</w:t>
      </w:r>
      <w:r>
        <w:t xml:space="preserve"> a contribution to the </w:t>
      </w:r>
      <w:r w:rsidR="008C0C74">
        <w:t xml:space="preserve">Sustainable Deltas 2015 </w:t>
      </w:r>
      <w:r w:rsidR="00B35D25">
        <w:t xml:space="preserve">and draws from the work carried out within the </w:t>
      </w:r>
      <w:r w:rsidR="006E4067">
        <w:t>BF-</w:t>
      </w:r>
      <w:r>
        <w:t>DELTAS project</w:t>
      </w:r>
      <w:r>
        <w:rPr>
          <w:rStyle w:val="FootnoteReference"/>
        </w:rPr>
        <w:footnoteRef/>
      </w:r>
      <w:r>
        <w:t xml:space="preserve"> “</w:t>
      </w:r>
      <w:r w:rsidRPr="007F4159">
        <w:t>Catalyzing action towards sustainability of deltaic systems with an integrated modeling framework for risk assessment</w:t>
      </w:r>
      <w:r>
        <w:t>” which was granted by the Belmont Forum (BF) in 2013</w:t>
      </w:r>
      <w:r w:rsidR="007F4159">
        <w:t xml:space="preserve"> </w:t>
      </w:r>
      <w:r w:rsidR="00B35D25">
        <w:t xml:space="preserve">(Foufoula-Georgiou et al., 2013) </w:t>
      </w:r>
      <w:r w:rsidR="007F4159">
        <w:t xml:space="preserve">and is executed by a </w:t>
      </w:r>
      <w:r>
        <w:t>consortium</w:t>
      </w:r>
      <w:r w:rsidR="007F4159">
        <w:t xml:space="preserve"> of </w:t>
      </w:r>
      <w:r w:rsidR="007C6629">
        <w:t xml:space="preserve">22 </w:t>
      </w:r>
      <w:r w:rsidR="007F4159">
        <w:t>research partners globally</w:t>
      </w:r>
      <w:r w:rsidR="00201126">
        <w:t xml:space="preserve"> (see also Brondizio et al. 2016)</w:t>
      </w:r>
      <w:r w:rsidR="007F4159">
        <w:t xml:space="preserve">. </w:t>
      </w:r>
      <w:r w:rsidR="005E5433">
        <w:t xml:space="preserve">The project allowed </w:t>
      </w:r>
      <w:r w:rsidR="007C6629">
        <w:t xml:space="preserve">for a broad range of research teams covering different disciplines to work together and engage with stakeholders in various deltas. </w:t>
      </w:r>
      <w:r w:rsidR="00071666">
        <w:t xml:space="preserve">The </w:t>
      </w:r>
      <w:r w:rsidR="006E4067">
        <w:t>BF-</w:t>
      </w:r>
      <w:r w:rsidR="00071666">
        <w:t xml:space="preserve">DELTAS project </w:t>
      </w:r>
      <w:r w:rsidR="00A7201B">
        <w:t>had</w:t>
      </w:r>
      <w:r w:rsidR="00071666">
        <w:t xml:space="preserve"> five main objectives: (i) developing a theoretical framework for assessing delta vulnerability (Delta-SRES); (ii) co-developing </w:t>
      </w:r>
      <w:r w:rsidR="00071666" w:rsidRPr="00071666">
        <w:t>an open-access, science-based, integrative modeling framework called the Delta Risk Assessment and Decision Support</w:t>
      </w:r>
      <w:r w:rsidR="00071666">
        <w:t xml:space="preserve"> (Delta-RADS); (iii) </w:t>
      </w:r>
      <w:r w:rsidR="00071666" w:rsidRPr="00071666">
        <w:t xml:space="preserve">consolidating and making readily available relevant data on bio-physical, social, and economic parameters (Delta-DAT); </w:t>
      </w:r>
      <w:r w:rsidR="00071666">
        <w:t xml:space="preserve">(iv) </w:t>
      </w:r>
      <w:r w:rsidR="00071666" w:rsidRPr="00071666">
        <w:t>developing Global Delta Vulnerability Indices that capture the current and projected physical-social-economic status of deltas around the world</w:t>
      </w:r>
      <w:r w:rsidR="006E4067">
        <w:t xml:space="preserve"> (Delta-GDVI)</w:t>
      </w:r>
      <w:r w:rsidR="00071666">
        <w:t xml:space="preserve">; and (v) </w:t>
      </w:r>
      <w:r w:rsidR="00071666" w:rsidRPr="00071666">
        <w:t>demonstrating the above-mentioned products in selected deltas</w:t>
      </w:r>
      <w:r w:rsidR="006E4067">
        <w:t xml:space="preserve"> (Delta-ACT)</w:t>
      </w:r>
      <w:r w:rsidR="00071666" w:rsidRPr="00071666">
        <w:t>.</w:t>
      </w:r>
      <w:r w:rsidR="00071666">
        <w:t xml:space="preserve"> </w:t>
      </w:r>
      <w:r w:rsidR="00A7201B">
        <w:t xml:space="preserve">Although the project aimed at addressing sustainability issues of deltas globally, field-based research focused on three deltas: the Amazon </w:t>
      </w:r>
      <w:r w:rsidR="00677BA2">
        <w:t>River D</w:t>
      </w:r>
      <w:r w:rsidR="00A7201B">
        <w:t>elta</w:t>
      </w:r>
      <w:r w:rsidR="00677BA2">
        <w:t xml:space="preserve"> (AR</w:t>
      </w:r>
      <w:r w:rsidR="002706A5">
        <w:t>D)</w:t>
      </w:r>
      <w:r w:rsidR="00A7201B">
        <w:t>, the Ganges-Brahmaputra-Meghna delta</w:t>
      </w:r>
      <w:r w:rsidR="002706A5">
        <w:t xml:space="preserve"> (GBM)</w:t>
      </w:r>
      <w:r w:rsidR="00A7201B">
        <w:t xml:space="preserve">, and the Mekong </w:t>
      </w:r>
      <w:r w:rsidR="00677BA2">
        <w:t>River D</w:t>
      </w:r>
      <w:r w:rsidR="00A7201B">
        <w:t>elta</w:t>
      </w:r>
      <w:r w:rsidR="00677BA2">
        <w:t xml:space="preserve"> (MR</w:t>
      </w:r>
      <w:r w:rsidR="002706A5">
        <w:t>D)</w:t>
      </w:r>
      <w:r w:rsidR="00A7201B">
        <w:t>.</w:t>
      </w:r>
    </w:p>
    <w:p w:rsidR="006429AE" w:rsidRDefault="006429AE" w:rsidP="009F61C2">
      <w:pPr>
        <w:spacing w:after="0"/>
        <w:jc w:val="both"/>
      </w:pPr>
    </w:p>
    <w:p w:rsidR="007F4159" w:rsidRDefault="002706A5" w:rsidP="009F61C2">
      <w:pPr>
        <w:spacing w:after="0"/>
        <w:jc w:val="both"/>
      </w:pPr>
      <w:r>
        <w:t xml:space="preserve">Of the twelve papers in this special issue, seven are </w:t>
      </w:r>
      <w:r w:rsidR="007C6629">
        <w:t xml:space="preserve">fully or partially stemming </w:t>
      </w:r>
      <w:r>
        <w:t xml:space="preserve">from the </w:t>
      </w:r>
      <w:r w:rsidR="007A2A1B">
        <w:t>BF-</w:t>
      </w:r>
      <w:r>
        <w:t>DELTAS project</w:t>
      </w:r>
      <w:r w:rsidR="007C6629">
        <w:t xml:space="preserve"> (with a few having multiple sources of funding)</w:t>
      </w:r>
      <w:r>
        <w:t xml:space="preserve">, the others being contributions obtained through various announcements made notably during the 2014 American Geophysical Union Fall Meeting and are from researchers not involved in the project. One paper covers deltas </w:t>
      </w:r>
      <w:proofErr w:type="gramStart"/>
      <w:r>
        <w:t>globally,</w:t>
      </w:r>
      <w:proofErr w:type="gramEnd"/>
      <w:r>
        <w:t xml:space="preserve"> three cover the three deltas studied in more details in the </w:t>
      </w:r>
      <w:r w:rsidR="007A2A1B">
        <w:t>BF-</w:t>
      </w:r>
      <w:r>
        <w:t>DELTAS project, three</w:t>
      </w:r>
      <w:r w:rsidR="00677BA2">
        <w:t xml:space="preserve"> focus on the AR</w:t>
      </w:r>
      <w:r>
        <w:t>D, two on the M</w:t>
      </w:r>
      <w:r w:rsidR="00677BA2">
        <w:t>R</w:t>
      </w:r>
      <w:r>
        <w:t xml:space="preserve">D, one on the GBM, one on the </w:t>
      </w:r>
      <w:proofErr w:type="spellStart"/>
      <w:r w:rsidRPr="002706A5">
        <w:t>Huanghe</w:t>
      </w:r>
      <w:proofErr w:type="spellEnd"/>
      <w:r w:rsidRPr="002706A5">
        <w:t xml:space="preserve"> River delta</w:t>
      </w:r>
      <w:r w:rsidR="00C95F6C">
        <w:t>, and one on the Mississippi River delta.</w:t>
      </w:r>
    </w:p>
    <w:p w:rsidR="00FA2562" w:rsidRDefault="00FA2562" w:rsidP="009F61C2">
      <w:pPr>
        <w:spacing w:after="0"/>
        <w:jc w:val="both"/>
      </w:pPr>
    </w:p>
    <w:p w:rsidR="00E160E5" w:rsidRDefault="00901F66" w:rsidP="00DC7B2E">
      <w:pPr>
        <w:spacing w:after="0"/>
        <w:jc w:val="both"/>
      </w:pPr>
      <w:r w:rsidRPr="00901F66">
        <w:t>Recognizing that delta sustainability is precluded by anthropogenic activities locally,</w:t>
      </w:r>
      <w:r>
        <w:t xml:space="preserve"> at the river basin scale, and globally, </w:t>
      </w:r>
      <w:r w:rsidRPr="00901F66">
        <w:t xml:space="preserve">Tessler et al. </w:t>
      </w:r>
      <w:r>
        <w:t>p</w:t>
      </w:r>
      <w:r w:rsidRPr="00901F66">
        <w:t xml:space="preserve">ropose </w:t>
      </w:r>
      <w:r w:rsidR="00241080">
        <w:t xml:space="preserve">in this special issue </w:t>
      </w:r>
      <w:r w:rsidRPr="00901F66">
        <w:t xml:space="preserve">a methodology </w:t>
      </w:r>
      <w:r w:rsidR="003C7257">
        <w:t>for developing an empirical ty</w:t>
      </w:r>
      <w:r>
        <w:t xml:space="preserve">pology of anthropogenic change for </w:t>
      </w:r>
      <w:proofErr w:type="spellStart"/>
      <w:r>
        <w:t>deltas</w:t>
      </w:r>
      <w:proofErr w:type="spellEnd"/>
      <w:r>
        <w:t xml:space="preserve"> worldwide. Through a cluster analysis of 48 deltas, they identified groups of deltas facing similar sources and degrees of anthropogenic stress</w:t>
      </w:r>
      <w:r w:rsidR="00E648A9">
        <w:t xml:space="preserve"> that influence relative sea-level rise and contribute to the loss of coastal wetlands</w:t>
      </w:r>
      <w:r>
        <w:t>.</w:t>
      </w:r>
      <w:r w:rsidR="001B7357">
        <w:t xml:space="preserve"> Six globally quantified indicators were used to characterize anthropogenic stress: population density, reservoir volume sediment trapping, wetland </w:t>
      </w:r>
      <w:proofErr w:type="spellStart"/>
      <w:r w:rsidR="001B7357">
        <w:t>disconnectivity</w:t>
      </w:r>
      <w:proofErr w:type="spellEnd"/>
      <w:r w:rsidR="001B7357">
        <w:t>, impervious surface area, groundwater depletion and oil and gas extraction.</w:t>
      </w:r>
      <w:r>
        <w:t xml:space="preserve"> This</w:t>
      </w:r>
      <w:r w:rsidR="008D2361">
        <w:t xml:space="preserve"> approach and resulting groupings</w:t>
      </w:r>
      <w:r>
        <w:t xml:space="preserve"> could eventually lead to policies and delta management practices addressing the specific needs of </w:t>
      </w:r>
      <w:r w:rsidR="008D2361">
        <w:t>deltas</w:t>
      </w:r>
      <w:r>
        <w:t>.</w:t>
      </w:r>
    </w:p>
    <w:p w:rsidR="00FA2562" w:rsidRDefault="00FA2562" w:rsidP="00DC7B2E">
      <w:pPr>
        <w:spacing w:after="0"/>
        <w:jc w:val="both"/>
      </w:pPr>
    </w:p>
    <w:p w:rsidR="00DC7B2E" w:rsidRDefault="00DC7B2E" w:rsidP="00DC7B2E">
      <w:pPr>
        <w:spacing w:after="0"/>
        <w:jc w:val="both"/>
      </w:pPr>
      <w:r>
        <w:t xml:space="preserve">In order to unravel the complex socio-ecological factors affecting the sustainability of delta regions and design effective policy measures, it is critical to understand the demographic trends and prospects in these regions. This encompasses not only the trends in population growth (or decline), but also the analysis of the specific components of population change, i.e. fertility, mortality and migration. This analysis is undertaken in the paper by Szabo et al. Using case studies of the </w:t>
      </w:r>
      <w:r w:rsidR="00677BA2">
        <w:t>ARD, GBM, and MR</w:t>
      </w:r>
      <w:r>
        <w:t xml:space="preserve">D and a novel conceptual framework, the paper discusses the complex interrelationships between population and environment with a specific focus on deltaic systems. Policy recommendations include designing specific policy and regulatory measures in the context of aging populations and disproportionately high out migration in some regions. </w:t>
      </w:r>
    </w:p>
    <w:p w:rsidR="00D92686" w:rsidRDefault="00C82A50" w:rsidP="009F61C2">
      <w:pPr>
        <w:spacing w:after="0"/>
        <w:jc w:val="both"/>
      </w:pPr>
      <w:r w:rsidRPr="007C6629">
        <w:t>de Araujo Barbosa et al.</w:t>
      </w:r>
      <w:r w:rsidR="004E0C0B">
        <w:t xml:space="preserve"> </w:t>
      </w:r>
      <w:r w:rsidR="00D94695" w:rsidRPr="00D94695">
        <w:t xml:space="preserve">investigate social-ecological </w:t>
      </w:r>
      <w:r w:rsidR="00D94695">
        <w:t xml:space="preserve">systems </w:t>
      </w:r>
      <w:r w:rsidR="00D92686" w:rsidRPr="00D92686">
        <w:t>of the</w:t>
      </w:r>
      <w:r w:rsidR="00677BA2">
        <w:t xml:space="preserve"> AR</w:t>
      </w:r>
      <w:r w:rsidR="00D92686" w:rsidRPr="00D92686">
        <w:t>D, GBM,</w:t>
      </w:r>
      <w:r w:rsidR="00677BA2">
        <w:t xml:space="preserve"> and MR</w:t>
      </w:r>
      <w:r w:rsidR="00D92686" w:rsidRPr="00D92686">
        <w:t>D</w:t>
      </w:r>
      <w:r w:rsidR="00781632">
        <w:t xml:space="preserve"> </w:t>
      </w:r>
      <w:r w:rsidR="00D94695">
        <w:t xml:space="preserve">through the analysis of time series of demographic, economic, health, climatic, food, and water data. </w:t>
      </w:r>
      <w:r w:rsidR="00DC7B2E">
        <w:t xml:space="preserve">Although trends in most variables </w:t>
      </w:r>
      <w:r w:rsidR="003D5F99">
        <w:t>analyzed</w:t>
      </w:r>
      <w:r w:rsidR="00DC7B2E">
        <w:t xml:space="preserve">, i.e. physical drivers, regulating and provisioning </w:t>
      </w:r>
      <w:proofErr w:type="gramStart"/>
      <w:r w:rsidR="00DC7B2E">
        <w:t>services,</w:t>
      </w:r>
      <w:proofErr w:type="gramEnd"/>
      <w:r w:rsidR="00DC7B2E">
        <w:t xml:space="preserve"> and human well-being </w:t>
      </w:r>
      <w:r w:rsidR="003D5F99">
        <w:t xml:space="preserve">are similar in the three deltas, some differences </w:t>
      </w:r>
      <w:r w:rsidR="00D0634E">
        <w:t xml:space="preserve">are observed in </w:t>
      </w:r>
      <w:r w:rsidR="003D5F99">
        <w:t>the A</w:t>
      </w:r>
      <w:r w:rsidR="004E0C0B">
        <w:t>R</w:t>
      </w:r>
      <w:r w:rsidR="003D5F99">
        <w:t>D.</w:t>
      </w:r>
      <w:r w:rsidR="00D94695">
        <w:t xml:space="preserve"> </w:t>
      </w:r>
      <w:r w:rsidR="003D5F99">
        <w:t>None of the variables showed quasi-stationary patterns, indicating that the three deltas’ social-ecological systems are in transient states. The authors</w:t>
      </w:r>
      <w:r w:rsidR="00D94695">
        <w:t xml:space="preserve"> highlight the fact that the sustainable development of the deltas </w:t>
      </w:r>
      <w:r w:rsidR="003E6D10">
        <w:t>will only be possible once local economic growth is decoupled from local resource use as the latter strains ecosystems which could reach, eventually, irreversible tipping points.</w:t>
      </w:r>
    </w:p>
    <w:p w:rsidR="00EA4768" w:rsidRDefault="00EA4768" w:rsidP="001B57D0">
      <w:pPr>
        <w:spacing w:after="0"/>
        <w:jc w:val="both"/>
      </w:pPr>
      <w:r>
        <w:t>In order to</w:t>
      </w:r>
      <w:r w:rsidR="00FA2562">
        <w:t xml:space="preserve"> provide critical quantitative information on </w:t>
      </w:r>
      <w:r>
        <w:t xml:space="preserve">the vulnerability of deltas facing </w:t>
      </w:r>
      <w:r w:rsidR="00241080">
        <w:t>multiple</w:t>
      </w:r>
      <w:r>
        <w:t xml:space="preserve"> environmental hazards, Sebesvari et al. carried out a systematic review of indicators typically used in past vulnerability assessments in the </w:t>
      </w:r>
      <w:r w:rsidRPr="00D92686">
        <w:t>A</w:t>
      </w:r>
      <w:r w:rsidR="004E0C0B">
        <w:t>R</w:t>
      </w:r>
      <w:r w:rsidRPr="00D92686">
        <w:t>D, GBM, and M</w:t>
      </w:r>
      <w:r w:rsidR="004E0C0B">
        <w:t>R</w:t>
      </w:r>
      <w:r w:rsidRPr="00D92686">
        <w:t>D</w:t>
      </w:r>
      <w:r>
        <w:t xml:space="preserve">. They present a </w:t>
      </w:r>
      <w:r w:rsidR="006A79F4">
        <w:t xml:space="preserve">vulnerability and </w:t>
      </w:r>
      <w:r>
        <w:t xml:space="preserve">risk assessment framework for delta </w:t>
      </w:r>
      <w:r w:rsidR="00343008">
        <w:t>SES</w:t>
      </w:r>
      <w:r>
        <w:t xml:space="preserve"> </w:t>
      </w:r>
      <w:r w:rsidR="00241080">
        <w:t>along with the list of indicators used in past assessments categorized following the logic and elements of the framework</w:t>
      </w:r>
      <w:r>
        <w:t xml:space="preserve">. Through the review, they note that most vulnerability assessments </w:t>
      </w:r>
      <w:r w:rsidR="00241080">
        <w:t xml:space="preserve">in these deltas </w:t>
      </w:r>
      <w:r>
        <w:t xml:space="preserve">are typically carried out for single hazards and for only </w:t>
      </w:r>
      <w:r w:rsidR="00241080">
        <w:t>few</w:t>
      </w:r>
      <w:r>
        <w:t xml:space="preserve"> components of social-ecological systems. </w:t>
      </w:r>
      <w:r w:rsidR="00DF333A">
        <w:t xml:space="preserve">In addition, there was a disparity in the types of indicators typically developed and used in past studies, with a majority </w:t>
      </w:r>
      <w:r w:rsidR="002C5202">
        <w:t xml:space="preserve">of the 236 indicators compiled in the review </w:t>
      </w:r>
      <w:r w:rsidR="00DF333A">
        <w:t xml:space="preserve">addressing the social dimension of SES and much fewer characterizing the ecological component. </w:t>
      </w:r>
      <w:r w:rsidR="006A79F4">
        <w:t>The resulting indicator list provided through the review could serve as a “library” of indicators to be used more systematically in future studies.</w:t>
      </w:r>
    </w:p>
    <w:p w:rsidR="001B57D0" w:rsidRDefault="001B57D0" w:rsidP="001B57D0">
      <w:pPr>
        <w:spacing w:after="0"/>
        <w:jc w:val="both"/>
      </w:pPr>
    </w:p>
    <w:p w:rsidR="00ED283F" w:rsidRPr="001B57D0" w:rsidRDefault="001B57D0" w:rsidP="00ED283F">
      <w:pPr>
        <w:pStyle w:val="PlainText"/>
        <w:spacing w:line="276" w:lineRule="auto"/>
        <w:jc w:val="both"/>
        <w:rPr>
          <w:rFonts w:asciiTheme="minorHAnsi" w:hAnsiTheme="minorHAnsi"/>
          <w:sz w:val="22"/>
          <w:szCs w:val="22"/>
        </w:rPr>
      </w:pPr>
      <w:r w:rsidRPr="00ED283F">
        <w:rPr>
          <w:rFonts w:asciiTheme="minorHAnsi" w:hAnsiTheme="minorHAnsi"/>
          <w:sz w:val="22"/>
          <w:szCs w:val="22"/>
        </w:rPr>
        <w:t xml:space="preserve">This special issue features three distinct studies on the </w:t>
      </w:r>
      <w:r w:rsidR="00ED283F" w:rsidRPr="00ED283F">
        <w:rPr>
          <w:rFonts w:asciiTheme="minorHAnsi" w:hAnsiTheme="minorHAnsi"/>
          <w:sz w:val="22"/>
          <w:szCs w:val="22"/>
        </w:rPr>
        <w:t>ARD</w:t>
      </w:r>
      <w:r w:rsidRPr="00ED283F">
        <w:rPr>
          <w:rFonts w:asciiTheme="minorHAnsi" w:hAnsiTheme="minorHAnsi"/>
          <w:sz w:val="22"/>
          <w:szCs w:val="22"/>
        </w:rPr>
        <w:t xml:space="preserve"> region focusing on different aspects of vulnerability and adaptive capacit</w:t>
      </w:r>
      <w:r w:rsidR="00FA2562" w:rsidRPr="00ED283F">
        <w:rPr>
          <w:rFonts w:asciiTheme="minorHAnsi" w:hAnsiTheme="minorHAnsi"/>
          <w:sz w:val="22"/>
          <w:szCs w:val="22"/>
        </w:rPr>
        <w:t>i</w:t>
      </w:r>
      <w:r w:rsidRPr="00ED283F">
        <w:rPr>
          <w:rFonts w:asciiTheme="minorHAnsi" w:hAnsiTheme="minorHAnsi"/>
          <w:sz w:val="22"/>
          <w:szCs w:val="22"/>
        </w:rPr>
        <w:t xml:space="preserve">es. First, </w:t>
      </w:r>
      <w:r w:rsidR="00ED283F">
        <w:rPr>
          <w:rFonts w:asciiTheme="minorHAnsi" w:hAnsiTheme="minorHAnsi"/>
          <w:sz w:val="22"/>
          <w:szCs w:val="22"/>
        </w:rPr>
        <w:t>B</w:t>
      </w:r>
      <w:r w:rsidR="00ED283F" w:rsidRPr="001B57D0">
        <w:rPr>
          <w:rFonts w:asciiTheme="minorHAnsi" w:hAnsiTheme="minorHAnsi"/>
          <w:sz w:val="22"/>
          <w:szCs w:val="22"/>
        </w:rPr>
        <w:t>rondizio et al</w:t>
      </w:r>
      <w:r w:rsidR="00ED283F">
        <w:rPr>
          <w:rFonts w:asciiTheme="minorHAnsi" w:hAnsiTheme="minorHAnsi"/>
          <w:sz w:val="22"/>
          <w:szCs w:val="22"/>
        </w:rPr>
        <w:t>. introduce</w:t>
      </w:r>
      <w:r w:rsidR="00ED283F" w:rsidRPr="001B57D0">
        <w:rPr>
          <w:rFonts w:asciiTheme="minorHAnsi" w:hAnsiTheme="minorHAnsi"/>
          <w:sz w:val="22"/>
          <w:szCs w:val="22"/>
        </w:rPr>
        <w:t xml:space="preserve"> a </w:t>
      </w:r>
      <w:r w:rsidR="00ED283F">
        <w:rPr>
          <w:rFonts w:asciiTheme="minorHAnsi" w:hAnsiTheme="minorHAnsi"/>
          <w:sz w:val="22"/>
          <w:szCs w:val="22"/>
        </w:rPr>
        <w:t xml:space="preserve">comprehensive </w:t>
      </w:r>
      <w:r w:rsidR="00ED283F" w:rsidRPr="001B57D0">
        <w:rPr>
          <w:rFonts w:asciiTheme="minorHAnsi" w:hAnsiTheme="minorHAnsi"/>
          <w:sz w:val="22"/>
          <w:szCs w:val="22"/>
        </w:rPr>
        <w:t xml:space="preserve">tool for the practical analysis of deltas as coupled </w:t>
      </w:r>
      <w:r w:rsidR="00ED283F">
        <w:rPr>
          <w:rFonts w:asciiTheme="minorHAnsi" w:hAnsiTheme="minorHAnsi"/>
          <w:sz w:val="22"/>
          <w:szCs w:val="22"/>
        </w:rPr>
        <w:t>SES</w:t>
      </w:r>
      <w:r w:rsidR="00ED283F" w:rsidRPr="001B57D0">
        <w:rPr>
          <w:rFonts w:asciiTheme="minorHAnsi" w:hAnsiTheme="minorHAnsi"/>
          <w:sz w:val="22"/>
          <w:szCs w:val="22"/>
        </w:rPr>
        <w:t xml:space="preserve">. The first part of the framework </w:t>
      </w:r>
      <w:r w:rsidR="00ED283F">
        <w:rPr>
          <w:rFonts w:asciiTheme="minorHAnsi" w:hAnsiTheme="minorHAnsi"/>
          <w:sz w:val="22"/>
          <w:szCs w:val="22"/>
        </w:rPr>
        <w:t>can be</w:t>
      </w:r>
      <w:r w:rsidR="00ED283F" w:rsidRPr="001B57D0">
        <w:rPr>
          <w:rFonts w:asciiTheme="minorHAnsi" w:hAnsiTheme="minorHAnsi"/>
          <w:sz w:val="22"/>
          <w:szCs w:val="22"/>
        </w:rPr>
        <w:t xml:space="preserve"> used to define a delta SES and the second part is a generalized strategy for the analysis of collective action problems in the chosen delta region. This framework is intended to support both comparative analysis as well as case studies as illustrated by their exemplar delta action problem based in the </w:t>
      </w:r>
      <w:r w:rsidR="00ED283F">
        <w:rPr>
          <w:rFonts w:asciiTheme="minorHAnsi" w:hAnsiTheme="minorHAnsi"/>
          <w:sz w:val="22"/>
          <w:szCs w:val="22"/>
        </w:rPr>
        <w:t>ARD</w:t>
      </w:r>
      <w:r w:rsidR="00ED283F" w:rsidRPr="001B57D0">
        <w:rPr>
          <w:rFonts w:asciiTheme="minorHAnsi" w:hAnsiTheme="minorHAnsi"/>
          <w:sz w:val="22"/>
          <w:szCs w:val="22"/>
        </w:rPr>
        <w:t>.</w:t>
      </w:r>
    </w:p>
    <w:p w:rsidR="00ED283F" w:rsidRDefault="00B94E76" w:rsidP="001B57D0">
      <w:pPr>
        <w:pStyle w:val="PlainText"/>
        <w:spacing w:line="276" w:lineRule="auto"/>
        <w:jc w:val="both"/>
        <w:rPr>
          <w:rFonts w:asciiTheme="minorHAnsi" w:hAnsiTheme="minorHAnsi"/>
          <w:sz w:val="22"/>
          <w:szCs w:val="22"/>
        </w:rPr>
      </w:pPr>
      <w:r>
        <w:rPr>
          <w:rFonts w:asciiTheme="minorHAnsi" w:hAnsiTheme="minorHAnsi"/>
          <w:sz w:val="22"/>
          <w:szCs w:val="22"/>
        </w:rPr>
        <w:t xml:space="preserve">Second, </w:t>
      </w:r>
      <w:r w:rsidR="001B57D0" w:rsidRPr="00ED283F">
        <w:rPr>
          <w:rFonts w:asciiTheme="minorHAnsi" w:hAnsiTheme="minorHAnsi"/>
          <w:sz w:val="22"/>
          <w:szCs w:val="22"/>
        </w:rPr>
        <w:t xml:space="preserve">Vogt and colleagues offer new insights into the role and functions of local ecological knowledge (ILK) in mitigation and adaptation processes to changing flood patterns in the AMD. The paper examines how farmer-fishers use ILK to cope with challenges resulting from environmental and climate change, such as sea level rise and flooding. The results show that expert farmer-fishers use ILK to adapt to the impacts of extreme flood events at the landscape, community and household levels and to manage agrobiodiversity, including forest resources, fisheries and agriculture. </w:t>
      </w:r>
    </w:p>
    <w:p w:rsidR="00343008" w:rsidRDefault="00B94E76" w:rsidP="001B57D0">
      <w:pPr>
        <w:pStyle w:val="PlainText"/>
        <w:spacing w:line="276" w:lineRule="auto"/>
        <w:jc w:val="both"/>
        <w:rPr>
          <w:rFonts w:asciiTheme="minorHAnsi" w:hAnsiTheme="minorHAnsi"/>
          <w:sz w:val="22"/>
          <w:szCs w:val="22"/>
        </w:rPr>
      </w:pPr>
      <w:r>
        <w:rPr>
          <w:rFonts w:asciiTheme="minorHAnsi" w:hAnsiTheme="minorHAnsi"/>
          <w:sz w:val="22"/>
          <w:szCs w:val="22"/>
        </w:rPr>
        <w:t>Finally</w:t>
      </w:r>
      <w:r w:rsidR="001B57D0" w:rsidRPr="00343008">
        <w:rPr>
          <w:rFonts w:asciiTheme="minorHAnsi" w:hAnsiTheme="minorHAnsi"/>
          <w:sz w:val="22"/>
          <w:szCs w:val="22"/>
        </w:rPr>
        <w:t>, the paper by Mansur et al. assesses urban vulnerability in the Amazon delta and estuary by applying a multi-criterion index, which considers the three main dimensions of urban vulnerability in the regions, i.e. flood exposure, socio-economic sensitivity and infrastructure. The results suggest that 60</w:t>
      </w:r>
      <w:r w:rsidR="00343008" w:rsidRPr="00343008">
        <w:rPr>
          <w:rFonts w:asciiTheme="minorHAnsi" w:hAnsiTheme="minorHAnsi"/>
          <w:sz w:val="22"/>
          <w:szCs w:val="22"/>
        </w:rPr>
        <w:t>%</w:t>
      </w:r>
      <w:r w:rsidR="001B57D0" w:rsidRPr="00343008">
        <w:rPr>
          <w:rFonts w:asciiTheme="minorHAnsi" w:hAnsiTheme="minorHAnsi"/>
          <w:sz w:val="22"/>
          <w:szCs w:val="22"/>
        </w:rPr>
        <w:t xml:space="preserve"> to 90% of urban populations </w:t>
      </w:r>
      <w:r w:rsidR="00335745" w:rsidRPr="00343008">
        <w:rPr>
          <w:rFonts w:asciiTheme="minorHAnsi" w:hAnsiTheme="minorHAnsi"/>
          <w:sz w:val="22"/>
          <w:szCs w:val="22"/>
        </w:rPr>
        <w:t>experience</w:t>
      </w:r>
      <w:r w:rsidR="001B57D0" w:rsidRPr="00343008">
        <w:rPr>
          <w:rFonts w:asciiTheme="minorHAnsi" w:hAnsiTheme="minorHAnsi"/>
          <w:sz w:val="22"/>
          <w:szCs w:val="22"/>
        </w:rPr>
        <w:t xml:space="preserve"> moderate or high vulnerability and that vulnerability increase</w:t>
      </w:r>
      <w:r w:rsidR="00335745" w:rsidRPr="00343008">
        <w:rPr>
          <w:rFonts w:asciiTheme="minorHAnsi" w:hAnsiTheme="minorHAnsi"/>
          <w:sz w:val="22"/>
          <w:szCs w:val="22"/>
        </w:rPr>
        <w:t>s</w:t>
      </w:r>
      <w:r w:rsidR="001B57D0" w:rsidRPr="00343008">
        <w:rPr>
          <w:rFonts w:asciiTheme="minorHAnsi" w:hAnsiTheme="minorHAnsi"/>
          <w:sz w:val="22"/>
          <w:szCs w:val="22"/>
        </w:rPr>
        <w:t xml:space="preserve"> from city centres to </w:t>
      </w:r>
      <w:proofErr w:type="spellStart"/>
      <w:r w:rsidR="001B57D0" w:rsidRPr="00343008">
        <w:rPr>
          <w:rFonts w:asciiTheme="minorHAnsi" w:hAnsiTheme="minorHAnsi"/>
          <w:sz w:val="22"/>
          <w:szCs w:val="22"/>
        </w:rPr>
        <w:t>peri</w:t>
      </w:r>
      <w:proofErr w:type="spellEnd"/>
      <w:r w:rsidR="001B57D0" w:rsidRPr="00343008">
        <w:rPr>
          <w:rFonts w:asciiTheme="minorHAnsi" w:hAnsiTheme="minorHAnsi"/>
          <w:sz w:val="22"/>
          <w:szCs w:val="22"/>
        </w:rPr>
        <w:t xml:space="preserve">-urban areas. The results yield critical policy implications for sustainability and urban planning in the AMD </w:t>
      </w:r>
      <w:r w:rsidR="00343008">
        <w:rPr>
          <w:rFonts w:asciiTheme="minorHAnsi" w:hAnsiTheme="minorHAnsi"/>
          <w:sz w:val="22"/>
          <w:szCs w:val="22"/>
        </w:rPr>
        <w:t xml:space="preserve">region. </w:t>
      </w:r>
    </w:p>
    <w:p w:rsidR="001B57D0" w:rsidRDefault="001B57D0" w:rsidP="009F61C2">
      <w:pPr>
        <w:spacing w:after="0"/>
        <w:jc w:val="both"/>
      </w:pPr>
    </w:p>
    <w:p w:rsidR="001A4747" w:rsidRDefault="00835EB3" w:rsidP="004B4125">
      <w:pPr>
        <w:autoSpaceDE w:val="0"/>
        <w:autoSpaceDN w:val="0"/>
        <w:adjustRightInd w:val="0"/>
        <w:spacing w:after="0"/>
        <w:jc w:val="both"/>
      </w:pPr>
      <w:r>
        <w:t>Two paper</w:t>
      </w:r>
      <w:r w:rsidR="00FA2562">
        <w:t>s</w:t>
      </w:r>
      <w:r>
        <w:t xml:space="preserve"> address the sustainability of the Mekong delta. First, </w:t>
      </w:r>
      <w:r w:rsidR="00BF2A57" w:rsidRPr="00BF2A57">
        <w:t xml:space="preserve">Thang </w:t>
      </w:r>
      <w:proofErr w:type="spellStart"/>
      <w:r w:rsidR="00BF2A57" w:rsidRPr="00BF2A57">
        <w:t>Thi</w:t>
      </w:r>
      <w:proofErr w:type="spellEnd"/>
      <w:r w:rsidR="00BF2A57" w:rsidRPr="00BF2A57">
        <w:t xml:space="preserve"> Xuan Nguyen</w:t>
      </w:r>
      <w:r w:rsidR="00BF2A57">
        <w:t xml:space="preserve"> </w:t>
      </w:r>
      <w:r w:rsidR="000F0139" w:rsidRPr="000F0139">
        <w:t xml:space="preserve">and Woodroffe investigate relative vulnerability to sea level rise (SLR) in the </w:t>
      </w:r>
      <w:proofErr w:type="spellStart"/>
      <w:r w:rsidR="000F0139" w:rsidRPr="000F0139">
        <w:t>Kien</w:t>
      </w:r>
      <w:proofErr w:type="spellEnd"/>
      <w:r w:rsidR="000F0139" w:rsidRPr="000F0139">
        <w:t xml:space="preserve"> </w:t>
      </w:r>
      <w:proofErr w:type="spellStart"/>
      <w:r w:rsidR="000F0139" w:rsidRPr="000F0139">
        <w:t>Giang</w:t>
      </w:r>
      <w:proofErr w:type="spellEnd"/>
      <w:r w:rsidR="000F0139" w:rsidRPr="000F0139">
        <w:t xml:space="preserve"> coast, in the western part of the delta. Due to its geographical location, this re</w:t>
      </w:r>
      <w:r w:rsidR="00621260">
        <w:t>gion i</w:t>
      </w:r>
      <w:r w:rsidR="000F0139" w:rsidRPr="000F0139">
        <w:t xml:space="preserve">s likely to receive little sediment and be particularly vulnerable to SLR. </w:t>
      </w:r>
      <w:r w:rsidR="00C35415">
        <w:t xml:space="preserve">They derived </w:t>
      </w:r>
      <w:r w:rsidR="00C35415" w:rsidRPr="00C35415">
        <w:t xml:space="preserve">a composite vulnerability index for the region </w:t>
      </w:r>
      <w:r w:rsidR="00C35415">
        <w:t xml:space="preserve">using the </w:t>
      </w:r>
      <w:r w:rsidR="00C35415" w:rsidRPr="00C35415">
        <w:t>analytical hierarchical</w:t>
      </w:r>
      <w:r w:rsidR="00C35415">
        <w:t xml:space="preserve"> </w:t>
      </w:r>
      <w:r w:rsidR="00C35415" w:rsidRPr="00C35415">
        <w:t>process method of multi-criteria decision making</w:t>
      </w:r>
      <w:r w:rsidR="00C35415">
        <w:t xml:space="preserve"> which was integrated in a geographic information system.</w:t>
      </w:r>
      <w:r w:rsidR="00C35415" w:rsidRPr="00C35415">
        <w:t xml:space="preserve"> </w:t>
      </w:r>
      <w:r w:rsidR="000F0139" w:rsidRPr="000F0139">
        <w:t xml:space="preserve">The results </w:t>
      </w:r>
      <w:r w:rsidR="00C35415">
        <w:t>showed</w:t>
      </w:r>
      <w:r w:rsidR="000F0139" w:rsidRPr="000F0139">
        <w:t xml:space="preserve"> that the coastal fringe is exposed to salinity, flood</w:t>
      </w:r>
      <w:r w:rsidR="004E0C0B">
        <w:t>s</w:t>
      </w:r>
      <w:r w:rsidR="000F0139" w:rsidRPr="000F0139">
        <w:t xml:space="preserve"> and moderate loss of mangrove</w:t>
      </w:r>
      <w:r w:rsidR="007B15E7">
        <w:t xml:space="preserve">. </w:t>
      </w:r>
      <w:r w:rsidR="00C35415">
        <w:t xml:space="preserve">Districts in coastal areas had moderate to high vulnerabilities to SLR. The paper </w:t>
      </w:r>
      <w:r w:rsidR="00F713EC">
        <w:t xml:space="preserve">also </w:t>
      </w:r>
      <w:r w:rsidR="00C35415">
        <w:t xml:space="preserve">clearly identifies </w:t>
      </w:r>
      <w:r w:rsidR="00F713EC">
        <w:t xml:space="preserve">social and economic determinants of susceptibility and adaptive capacity in the region. </w:t>
      </w:r>
      <w:r w:rsidR="00C35415">
        <w:t xml:space="preserve"> </w:t>
      </w:r>
      <w:r w:rsidR="000F0139" w:rsidRPr="000F0139">
        <w:t>The findings of this study are critical in terms of informing targeted policy design, reducing inequalities, and thus contributing to sustainable development of the region.</w:t>
      </w:r>
    </w:p>
    <w:p w:rsidR="00835EB3" w:rsidRDefault="000B7385" w:rsidP="004B4125">
      <w:pPr>
        <w:spacing w:after="0"/>
        <w:jc w:val="both"/>
      </w:pPr>
      <w:r>
        <w:t xml:space="preserve">Globally, the area of mangroves lost has been considerable during the past decades (see Duarte et al. 2013), in many cases through conversion to aquaculture, leading to the loss of many ecosystem services (van Wesenbeeck et al. 2015).  </w:t>
      </w:r>
      <w:r w:rsidR="00835EB3">
        <w:t xml:space="preserve">Warner et al. </w:t>
      </w:r>
      <w:r>
        <w:t>focus on one of these ecosystem services, namely carbon sequestration (in this context blue carbon) in the MRD</w:t>
      </w:r>
      <w:r w:rsidR="00A66D95">
        <w:t>, offering multi- and inter</w:t>
      </w:r>
      <w:r w:rsidR="0045250B">
        <w:t>-</w:t>
      </w:r>
      <w:r w:rsidR="00A66D95">
        <w:t>disciplinary perspectives of the issue. The focus is not solely on the amount of carbon that can be sequestered by mangroves in the MRD but also on (i) the linkages between mangrove ecosystems and livelihoods, including e.g. economic incentives and community ownership and engagement, (ii) legislation, and (iii) financial issues related to mangrove management.</w:t>
      </w:r>
      <w:r w:rsidR="007D6634">
        <w:t xml:space="preserve"> Below ground carbon sequestration needs to be quantified further. This can then serve as a basis to establish financing and legal mechanisms for mangrove conservation and restoration which can only be considered by taking into account the livelihoods of people in the MRD.</w:t>
      </w:r>
    </w:p>
    <w:p w:rsidR="00E5252E" w:rsidRDefault="00E5252E" w:rsidP="009F61C2">
      <w:pPr>
        <w:spacing w:after="0"/>
        <w:jc w:val="both"/>
      </w:pPr>
    </w:p>
    <w:p w:rsidR="00241080" w:rsidRDefault="00241080" w:rsidP="00241080">
      <w:pPr>
        <w:spacing w:after="0"/>
        <w:jc w:val="both"/>
      </w:pPr>
      <w:proofErr w:type="spellStart"/>
      <w:r w:rsidRPr="00241080">
        <w:t>Ayeb-Karlsson</w:t>
      </w:r>
      <w:proofErr w:type="spellEnd"/>
      <w:r w:rsidRPr="00241080">
        <w:t xml:space="preserve"> et al</w:t>
      </w:r>
      <w:r>
        <w:t>.</w:t>
      </w:r>
      <w:r w:rsidRPr="00241080">
        <w:t xml:space="preserve"> </w:t>
      </w:r>
      <w:r>
        <w:t>present</w:t>
      </w:r>
      <w:r w:rsidRPr="00241080">
        <w:t xml:space="preserve"> findings on livelihood resilience in seven study sites across the Ganges-Brahmaputra delta in Bangladesh from a qualitative investigation into how people build resilience against environmental stresses such as cyclones, floods, riverbank erosion and</w:t>
      </w:r>
      <w:r>
        <w:t xml:space="preserve"> drought. From the work developed by </w:t>
      </w:r>
      <w:proofErr w:type="spellStart"/>
      <w:r>
        <w:t>Ayeb-Karlsson</w:t>
      </w:r>
      <w:proofErr w:type="spellEnd"/>
      <w:r>
        <w:t xml:space="preserve"> et al</w:t>
      </w:r>
      <w:r w:rsidRPr="00241080">
        <w:t>, the voices of people from the delta are clearly heard, arising directly from their methodologically novel personal livelihood History interviews</w:t>
      </w:r>
      <w:bookmarkStart w:id="0" w:name="_GoBack"/>
      <w:bookmarkEnd w:id="0"/>
      <w:r w:rsidRPr="00241080">
        <w:t>. The findings show how environmental stress, shocks and disturbances affect people’s livelihood resilience and why adaptation measures can be unsuccessful. People manage to adapt to environmental stresses by modifying their agricultural practices, switching to alternative livelihoods, or by using migration as an adaptive strategy. They argue successfully that ‘people-centred’ research and findings are important to future policy and adaptation planning.</w:t>
      </w:r>
    </w:p>
    <w:p w:rsidR="00241080" w:rsidRDefault="00241080" w:rsidP="00241080">
      <w:pPr>
        <w:spacing w:after="0"/>
        <w:jc w:val="both"/>
      </w:pPr>
    </w:p>
    <w:p w:rsidR="00E5252E" w:rsidRDefault="001C1DB8" w:rsidP="009F61C2">
      <w:pPr>
        <w:spacing w:after="0"/>
        <w:jc w:val="both"/>
      </w:pPr>
      <w:r>
        <w:t xml:space="preserve">Two other deltas are addressed in the special issue. First </w:t>
      </w:r>
      <w:proofErr w:type="spellStart"/>
      <w:r>
        <w:t>Bao</w:t>
      </w:r>
      <w:proofErr w:type="spellEnd"/>
      <w:r>
        <w:t xml:space="preserve"> and Gao provide a detailed analysis of e</w:t>
      </w:r>
      <w:r w:rsidRPr="004D5DEF">
        <w:t xml:space="preserve">nvironmental characteristics and land use pattern changes of the Old </w:t>
      </w:r>
      <w:proofErr w:type="spellStart"/>
      <w:r w:rsidRPr="004D5DEF">
        <w:t>Huanghe</w:t>
      </w:r>
      <w:proofErr w:type="spellEnd"/>
      <w:r w:rsidRPr="004D5DEF">
        <w:t xml:space="preserve"> River delta, eastern China, </w:t>
      </w:r>
      <w:r>
        <w:t>during</w:t>
      </w:r>
      <w:r w:rsidRPr="004D5DEF">
        <w:t xml:space="preserve"> the 16-20</w:t>
      </w:r>
      <w:r w:rsidRPr="001C1DB8">
        <w:rPr>
          <w:vertAlign w:val="superscript"/>
        </w:rPr>
        <w:t>th</w:t>
      </w:r>
      <w:r>
        <w:t xml:space="preserve"> </w:t>
      </w:r>
      <w:r w:rsidRPr="004D5DEF">
        <w:t>centuries</w:t>
      </w:r>
      <w:r>
        <w:t>. The paper uses multidisciplinary methods to assess t</w:t>
      </w:r>
      <w:r w:rsidRPr="00B30BC5">
        <w:t>he relationship</w:t>
      </w:r>
      <w:r>
        <w:t xml:space="preserve"> </w:t>
      </w:r>
      <w:r w:rsidRPr="00B30BC5">
        <w:t>between ecosystem changes and human activities</w:t>
      </w:r>
      <w:r>
        <w:t xml:space="preserve"> and shows that </w:t>
      </w:r>
      <w:r w:rsidRPr="00F5318F">
        <w:t>in the</w:t>
      </w:r>
      <w:r>
        <w:t xml:space="preserve"> 16</w:t>
      </w:r>
      <w:r w:rsidRPr="001C1DB8">
        <w:rPr>
          <w:vertAlign w:val="superscript"/>
        </w:rPr>
        <w:t>th</w:t>
      </w:r>
      <w:r>
        <w:t xml:space="preserve"> </w:t>
      </w:r>
      <w:r w:rsidRPr="00F5318F">
        <w:t xml:space="preserve">to </w:t>
      </w:r>
      <w:r>
        <w:t>19</w:t>
      </w:r>
      <w:r w:rsidRPr="001C1DB8">
        <w:rPr>
          <w:vertAlign w:val="superscript"/>
        </w:rPr>
        <w:t>th</w:t>
      </w:r>
      <w:r>
        <w:t xml:space="preserve"> </w:t>
      </w:r>
      <w:r w:rsidRPr="00F5318F">
        <w:t>centurie</w:t>
      </w:r>
      <w:r>
        <w:t>s, the government held a significant proportion of ecological resources. However later this pattern became unsustainable and government-controlled activities were largely replaced by farming activities of local residents. The authors guard against monopolistic policies, which could harm the development of the delta region and prevent interactions between social and ecological systems.</w:t>
      </w:r>
    </w:p>
    <w:p w:rsidR="001C1DB8" w:rsidRDefault="001C1DB8" w:rsidP="009F61C2">
      <w:pPr>
        <w:spacing w:after="0"/>
        <w:jc w:val="both"/>
      </w:pPr>
      <w:r>
        <w:t>Last</w:t>
      </w:r>
      <w:r w:rsidR="00FA2562">
        <w:t>ly</w:t>
      </w:r>
      <w:r>
        <w:t xml:space="preserve">, </w:t>
      </w:r>
      <w:r w:rsidR="003F3B85">
        <w:t xml:space="preserve">Twilley et al. </w:t>
      </w:r>
      <w:r w:rsidR="00457A35">
        <w:t>investigate the SES of the Mississippi River Delta Plain</w:t>
      </w:r>
      <w:r w:rsidR="00387458">
        <w:t xml:space="preserve"> (MRDP)</w:t>
      </w:r>
      <w:r w:rsidR="00457A35">
        <w:t xml:space="preserve">, focusing on the impacts of reduced sediment supply through river flooding on landward migration, types of vegetation extension, and wave power. They </w:t>
      </w:r>
      <w:r w:rsidR="00387458">
        <w:t xml:space="preserve">compute </w:t>
      </w:r>
      <w:r w:rsidR="005C234B" w:rsidRPr="005C234B">
        <w:t>land</w:t>
      </w:r>
      <w:r w:rsidR="00FA2562">
        <w:t xml:space="preserve"> to </w:t>
      </w:r>
      <w:r w:rsidR="005C234B" w:rsidRPr="005C234B">
        <w:t>water ratio</w:t>
      </w:r>
      <w:r w:rsidR="00387458">
        <w:t xml:space="preserve">s </w:t>
      </w:r>
      <w:r w:rsidR="00F6394B">
        <w:t xml:space="preserve">historically </w:t>
      </w:r>
      <w:r w:rsidR="005C234B" w:rsidRPr="005C234B">
        <w:t xml:space="preserve">along the coast </w:t>
      </w:r>
      <w:r w:rsidR="005C234B">
        <w:t>of</w:t>
      </w:r>
      <w:r w:rsidR="00457A35" w:rsidRPr="00457A35">
        <w:t xml:space="preserve"> the Atchafalaya and Terrebonne Basins</w:t>
      </w:r>
      <w:r w:rsidR="00457A35">
        <w:t xml:space="preserve"> </w:t>
      </w:r>
      <w:r w:rsidR="005C234B">
        <w:t xml:space="preserve">to </w:t>
      </w:r>
      <w:r w:rsidR="005C234B" w:rsidRPr="005C234B">
        <w:t>estimate flood risk</w:t>
      </w:r>
      <w:r w:rsidR="005C234B">
        <w:t xml:space="preserve"> linked to changes in sediment supply</w:t>
      </w:r>
      <w:r w:rsidR="00387458">
        <w:t>, and discuss the social and economic consequences of decreasing land</w:t>
      </w:r>
      <w:r w:rsidR="00FA2562">
        <w:t xml:space="preserve"> to </w:t>
      </w:r>
      <w:r w:rsidR="00387458">
        <w:t>water ratios in the MRDP.</w:t>
      </w:r>
    </w:p>
    <w:p w:rsidR="008B28BB" w:rsidRPr="00D92686" w:rsidRDefault="008B28BB" w:rsidP="009F61C2">
      <w:pPr>
        <w:spacing w:after="0"/>
        <w:jc w:val="both"/>
      </w:pPr>
    </w:p>
    <w:p w:rsidR="006933E1" w:rsidRPr="007F4159" w:rsidRDefault="00415CCE" w:rsidP="001A4747">
      <w:pPr>
        <w:spacing w:after="0"/>
        <w:jc w:val="both"/>
      </w:pPr>
      <w:r>
        <w:t xml:space="preserve">The papers in this special issue address the multiple physical, ecological, social, political </w:t>
      </w:r>
      <w:r w:rsidR="00621260">
        <w:t xml:space="preserve">and policy </w:t>
      </w:r>
      <w:r>
        <w:t>dimensions of deltas’ sustainability, in several cases addressing two or more of these dimensions within one research context. Given the complexity of deltas’ social-ecological systems and multiple interactions and feedback loops between the components of these SES at multiple spatial scale, more multi- and inter</w:t>
      </w:r>
      <w:r w:rsidR="0045250B">
        <w:t>-</w:t>
      </w:r>
      <w:r>
        <w:t xml:space="preserve">disciplinary policy-relevant research programmes are </w:t>
      </w:r>
      <w:r w:rsidR="00621260">
        <w:t>needed</w:t>
      </w:r>
      <w:r>
        <w:t xml:space="preserve"> with international </w:t>
      </w:r>
      <w:r w:rsidR="00D947ED">
        <w:t>teams of scientists, practitioners, members of regional organizations</w:t>
      </w:r>
      <w:r w:rsidR="0045250B">
        <w:t>, representatives of</w:t>
      </w:r>
      <w:r w:rsidR="00D947ED">
        <w:t xml:space="preserve"> civil society, and</w:t>
      </w:r>
      <w:r>
        <w:t xml:space="preserve"> policy-makers working closely together </w:t>
      </w:r>
      <w:r w:rsidR="00D947ED">
        <w:t>with populations locally and at river basins scales</w:t>
      </w:r>
      <w:r>
        <w:t xml:space="preserve">. As highlighted by Brondizio et al. (2016), this will require innovative funding mechanisms. </w:t>
      </w:r>
      <w:r w:rsidR="008D6A82">
        <w:t>Such</w:t>
      </w:r>
      <w:r>
        <w:t xml:space="preserve"> mechanisms should aim to support international partnerships with equitable funding streams</w:t>
      </w:r>
      <w:r w:rsidR="00D947ED">
        <w:t xml:space="preserve"> for all involved</w:t>
      </w:r>
      <w:r>
        <w:t xml:space="preserve"> and for longer periods of time than traditional project cycles of 3-4 years. This might be the only realistic </w:t>
      </w:r>
      <w:r w:rsidR="007075CD">
        <w:t>way forward</w:t>
      </w:r>
      <w:r>
        <w:t xml:space="preserve"> </w:t>
      </w:r>
      <w:r w:rsidR="007075CD">
        <w:t xml:space="preserve">for </w:t>
      </w:r>
      <w:r>
        <w:t>develop</w:t>
      </w:r>
      <w:r w:rsidR="007075CD">
        <w:t>ing scien</w:t>
      </w:r>
      <w:r w:rsidR="008D6A82">
        <w:t>ce</w:t>
      </w:r>
      <w:r w:rsidR="007075CD">
        <w:t>-based policy-relevant recommendations to authorities governing deltas and to ensure that the SDG</w:t>
      </w:r>
      <w:r w:rsidR="0045250B">
        <w:t>s</w:t>
      </w:r>
      <w:r w:rsidR="007075CD">
        <w:t xml:space="preserve"> are achieved by 2030 in delta regions globally.</w:t>
      </w:r>
    </w:p>
    <w:p w:rsidR="009F61C2" w:rsidRDefault="009F61C2" w:rsidP="009F61C2">
      <w:pPr>
        <w:spacing w:after="0"/>
      </w:pPr>
    </w:p>
    <w:p w:rsidR="009F61C2" w:rsidRPr="009F61C2" w:rsidRDefault="009F61C2" w:rsidP="009F61C2">
      <w:pPr>
        <w:spacing w:after="0"/>
        <w:rPr>
          <w:b/>
        </w:rPr>
      </w:pPr>
      <w:r w:rsidRPr="009F61C2">
        <w:rPr>
          <w:b/>
        </w:rPr>
        <w:t>Acknowledgements</w:t>
      </w:r>
    </w:p>
    <w:p w:rsidR="009F61C2" w:rsidRDefault="00B12EAB" w:rsidP="00F6313A">
      <w:pPr>
        <w:autoSpaceDE w:val="0"/>
        <w:autoSpaceDN w:val="0"/>
        <w:adjustRightInd w:val="0"/>
        <w:spacing w:after="0" w:line="240" w:lineRule="auto"/>
        <w:jc w:val="both"/>
      </w:pPr>
      <w:r>
        <w:t xml:space="preserve">This special issue is a contribution to the </w:t>
      </w:r>
      <w:r w:rsidR="00F6313A">
        <w:t xml:space="preserve">BF-DELTAS </w:t>
      </w:r>
      <w:r w:rsidRPr="00B12EAB">
        <w:t>project ‘‘Catalyzing action towards sustainability of deltaic systems’’</w:t>
      </w:r>
      <w:r w:rsidR="00F6313A">
        <w:t xml:space="preserve"> supported by the </w:t>
      </w:r>
      <w:r w:rsidR="00F6313A" w:rsidRPr="00F6313A">
        <w:t>Belmont Forum funding program</w:t>
      </w:r>
      <w:r w:rsidR="00F6313A">
        <w:t xml:space="preserve">. FR is grateful to </w:t>
      </w:r>
      <w:r w:rsidR="00F6313A" w:rsidRPr="00F6313A">
        <w:t xml:space="preserve">German Research Foundation (DFG) </w:t>
      </w:r>
      <w:r w:rsidR="00F6313A">
        <w:t xml:space="preserve">for their support through </w:t>
      </w:r>
      <w:r w:rsidR="00F6313A" w:rsidRPr="00F6313A">
        <w:t xml:space="preserve">Grant no.RE 3554/1-1 and SS and ZM to NERC </w:t>
      </w:r>
      <w:r w:rsidR="00F6313A">
        <w:t xml:space="preserve">for their support </w:t>
      </w:r>
      <w:r w:rsidR="00F6313A" w:rsidRPr="00F6313A">
        <w:t>through Grant no. NE/L008726/1.</w:t>
      </w:r>
    </w:p>
    <w:p w:rsidR="00B12EAB" w:rsidRDefault="00B12EAB" w:rsidP="009F61C2">
      <w:pPr>
        <w:spacing w:after="0"/>
      </w:pPr>
    </w:p>
    <w:p w:rsidR="009F61C2" w:rsidRPr="00F872B2" w:rsidRDefault="009F61C2" w:rsidP="009F61C2">
      <w:pPr>
        <w:spacing w:after="0"/>
        <w:rPr>
          <w:b/>
        </w:rPr>
      </w:pPr>
      <w:r w:rsidRPr="00F872B2">
        <w:rPr>
          <w:b/>
        </w:rPr>
        <w:t>References</w:t>
      </w:r>
    </w:p>
    <w:p w:rsidR="0051378C" w:rsidRPr="00F872B2" w:rsidRDefault="0051378C" w:rsidP="0051378C">
      <w:pPr>
        <w:pStyle w:val="Default"/>
        <w:rPr>
          <w:sz w:val="22"/>
          <w:szCs w:val="22"/>
        </w:rPr>
      </w:pPr>
    </w:p>
    <w:p w:rsidR="003C72E6" w:rsidRDefault="00C0487E" w:rsidP="008D6A82">
      <w:pPr>
        <w:spacing w:after="0"/>
        <w:ind w:left="284" w:hanging="284"/>
        <w:jc w:val="both"/>
      </w:pPr>
      <w:r w:rsidRPr="00FF4A4A">
        <w:t xml:space="preserve">Brondizio ES, Foufoula-Georgiou E, Szabo S, Vogt N, Sebesvari Z, Renaud FG, Newton A, Anthony E, Mansur AV, Matthews Z, Hetrick S, Costa SM, Tessler Z, Tejedor A, Longjas A,  Dearing JA (2016). </w:t>
      </w:r>
      <w:proofErr w:type="gramStart"/>
      <w:r w:rsidRPr="00FF4A4A">
        <w:t>Catalyzing action towards the sustainability of deltas.</w:t>
      </w:r>
      <w:proofErr w:type="gramEnd"/>
      <w:r w:rsidRPr="00FF4A4A">
        <w:t xml:space="preserve"> Current Opinion in Environmental Sustainability 19:182–194</w:t>
      </w:r>
    </w:p>
    <w:p w:rsidR="0051378C" w:rsidRPr="00F872B2" w:rsidRDefault="0051378C" w:rsidP="008D6A82">
      <w:pPr>
        <w:spacing w:after="0"/>
        <w:ind w:left="284" w:hanging="284"/>
        <w:jc w:val="both"/>
      </w:pPr>
      <w:r w:rsidRPr="00F872B2">
        <w:t xml:space="preserve">Duarte CM, </w:t>
      </w:r>
      <w:proofErr w:type="spellStart"/>
      <w:r w:rsidRPr="00F872B2">
        <w:t>Losada</w:t>
      </w:r>
      <w:proofErr w:type="spellEnd"/>
      <w:r w:rsidRPr="00F872B2">
        <w:t xml:space="preserve"> IJ, Hendriks IE, </w:t>
      </w:r>
      <w:proofErr w:type="spellStart"/>
      <w:r w:rsidRPr="00F872B2">
        <w:t>Mazarrasa</w:t>
      </w:r>
      <w:proofErr w:type="spellEnd"/>
      <w:r w:rsidRPr="00F872B2">
        <w:t xml:space="preserve"> I, </w:t>
      </w:r>
      <w:proofErr w:type="spellStart"/>
      <w:r w:rsidRPr="00F872B2">
        <w:t>Marbà</w:t>
      </w:r>
      <w:proofErr w:type="spellEnd"/>
      <w:r w:rsidRPr="00F872B2">
        <w:t xml:space="preserve"> N (2013) The role of coastal plant communities for climate change mitigation and adaptation</w:t>
      </w:r>
      <w:r w:rsidRPr="00021623">
        <w:t xml:space="preserve">. Nature Climate Change </w:t>
      </w:r>
      <w:r w:rsidRPr="00F872B2">
        <w:t>3:961–968</w:t>
      </w:r>
    </w:p>
    <w:p w:rsidR="00AA1EDF" w:rsidRDefault="00AA1EDF" w:rsidP="008D6A82">
      <w:pPr>
        <w:spacing w:after="0"/>
        <w:ind w:left="284" w:hanging="284"/>
        <w:jc w:val="both"/>
      </w:pPr>
      <w:r w:rsidRPr="00F872B2">
        <w:t xml:space="preserve">Foufoula-Georgiou E, Syvitski J, Paola C, </w:t>
      </w:r>
      <w:proofErr w:type="spellStart"/>
      <w:r w:rsidRPr="00F872B2">
        <w:t>Hoanh</w:t>
      </w:r>
      <w:proofErr w:type="spellEnd"/>
      <w:r w:rsidRPr="00F872B2">
        <w:t xml:space="preserve"> CT, </w:t>
      </w:r>
      <w:proofErr w:type="spellStart"/>
      <w:r w:rsidRPr="00F872B2">
        <w:t>Tuong</w:t>
      </w:r>
      <w:proofErr w:type="spellEnd"/>
      <w:r w:rsidRPr="00F872B2">
        <w:t xml:space="preserve"> P, </w:t>
      </w:r>
      <w:proofErr w:type="spellStart"/>
      <w:r w:rsidRPr="00F872B2">
        <w:t>Vörösmarty</w:t>
      </w:r>
      <w:proofErr w:type="spellEnd"/>
      <w:r w:rsidRPr="00F872B2">
        <w:t xml:space="preserve"> C, Kremer H, Brondizio E, Saito Y, Twilley R (2011) International Year of Deltas 2013: A Proposal. Eos, Transactions American Geophysical Union 92:340–41. doi:10. 1029/2011EO400006</w:t>
      </w:r>
    </w:p>
    <w:p w:rsidR="008D6A82" w:rsidRPr="00A85AD1" w:rsidRDefault="008D6A82" w:rsidP="008D6A82">
      <w:pPr>
        <w:spacing w:after="0"/>
        <w:ind w:left="284" w:hanging="284"/>
        <w:jc w:val="both"/>
        <w:rPr>
          <w:rFonts w:eastAsia="Times New Roman" w:cs="Times New Roman"/>
        </w:rPr>
      </w:pPr>
      <w:r w:rsidRPr="00A85AD1">
        <w:rPr>
          <w:rFonts w:cs="Times New Roman"/>
        </w:rPr>
        <w:t>Foufoula-Georgiou E, Overeem I, Saito Y, Dech S, Kuenzer C, Goodbred S, Harrison I, Anthony E, Brondizio E, Hutton J et al.</w:t>
      </w:r>
      <w:r>
        <w:rPr>
          <w:rFonts w:cs="Times New Roman"/>
        </w:rPr>
        <w:t xml:space="preserve"> (2013)</w:t>
      </w:r>
      <w:r w:rsidRPr="00A85AD1">
        <w:rPr>
          <w:rFonts w:cs="Times New Roman"/>
        </w:rPr>
        <w:t>: A vision for a coordinated international effort on delta sustainability</w:t>
      </w:r>
      <w:r w:rsidRPr="00A85AD1">
        <w:rPr>
          <w:rFonts w:cs="Times New Roman"/>
          <w:b/>
        </w:rPr>
        <w:t>.</w:t>
      </w:r>
      <w:r w:rsidRPr="00A85AD1">
        <w:rPr>
          <w:rFonts w:cs="Times New Roman"/>
        </w:rPr>
        <w:t xml:space="preserve"> In </w:t>
      </w:r>
      <w:r w:rsidRPr="00A85AD1">
        <w:rPr>
          <w:rFonts w:cs="Times New Roman"/>
          <w:i/>
        </w:rPr>
        <w:t>Deltas: Landforms, Ecosystems and Human Activities</w:t>
      </w:r>
      <w:r w:rsidRPr="00A85AD1">
        <w:rPr>
          <w:rFonts w:cs="Times New Roman"/>
        </w:rPr>
        <w:t xml:space="preserve">. </w:t>
      </w:r>
      <w:proofErr w:type="gramStart"/>
      <w:r w:rsidRPr="00A85AD1">
        <w:rPr>
          <w:rFonts w:cs="Times New Roman"/>
        </w:rPr>
        <w:t xml:space="preserve">Edited by Young G, </w:t>
      </w:r>
      <w:proofErr w:type="spellStart"/>
      <w:r w:rsidRPr="00A85AD1">
        <w:rPr>
          <w:rFonts w:cs="Times New Roman"/>
        </w:rPr>
        <w:t>Perillo</w:t>
      </w:r>
      <w:proofErr w:type="spellEnd"/>
      <w:r w:rsidRPr="00A85AD1">
        <w:rPr>
          <w:rFonts w:cs="Times New Roman"/>
        </w:rPr>
        <w:t xml:space="preserve"> GME.</w:t>
      </w:r>
      <w:proofErr w:type="gramEnd"/>
      <w:r w:rsidRPr="00A85AD1">
        <w:rPr>
          <w:rFonts w:cs="Times New Roman"/>
        </w:rPr>
        <w:t xml:space="preserve"> IAHS </w:t>
      </w:r>
      <w:proofErr w:type="spellStart"/>
      <w:r w:rsidRPr="00A85AD1">
        <w:rPr>
          <w:rFonts w:cs="Times New Roman"/>
        </w:rPr>
        <w:t>Publ</w:t>
      </w:r>
      <w:proofErr w:type="spellEnd"/>
      <w:r w:rsidRPr="00A85AD1">
        <w:rPr>
          <w:rFonts w:cs="Times New Roman"/>
        </w:rPr>
        <w:t xml:space="preserve"> 2013:3-11</w:t>
      </w:r>
    </w:p>
    <w:p w:rsidR="003C218D" w:rsidRPr="00F872B2" w:rsidRDefault="003C218D" w:rsidP="0051378C">
      <w:pPr>
        <w:autoSpaceDE w:val="0"/>
        <w:autoSpaceDN w:val="0"/>
        <w:adjustRightInd w:val="0"/>
        <w:spacing w:after="0" w:line="240" w:lineRule="auto"/>
        <w:ind w:left="284" w:hanging="284"/>
        <w:jc w:val="both"/>
      </w:pPr>
      <w:proofErr w:type="spellStart"/>
      <w:r w:rsidRPr="00F872B2">
        <w:t>Giosan</w:t>
      </w:r>
      <w:proofErr w:type="spellEnd"/>
      <w:r w:rsidRPr="00F872B2">
        <w:t xml:space="preserve"> L, </w:t>
      </w:r>
      <w:proofErr w:type="spellStart"/>
      <w:r w:rsidRPr="00F872B2">
        <w:t>Syvitski</w:t>
      </w:r>
      <w:proofErr w:type="spellEnd"/>
      <w:r w:rsidRPr="00F872B2">
        <w:t xml:space="preserve"> J, Constantinescu</w:t>
      </w:r>
      <w:r w:rsidRPr="00021623">
        <w:t xml:space="preserve"> S</w:t>
      </w:r>
      <w:r w:rsidRPr="00F872B2">
        <w:t>, Day J (2014) Protect the World’s Deltas. Nature 516: 31–33. doi: 10.1038/516031a</w:t>
      </w:r>
    </w:p>
    <w:p w:rsidR="00F86D39" w:rsidRPr="00F872B2" w:rsidRDefault="00F86D39" w:rsidP="0051378C">
      <w:pPr>
        <w:autoSpaceDE w:val="0"/>
        <w:autoSpaceDN w:val="0"/>
        <w:adjustRightInd w:val="0"/>
        <w:spacing w:after="0" w:line="240" w:lineRule="auto"/>
        <w:ind w:left="284" w:hanging="284"/>
        <w:jc w:val="both"/>
      </w:pPr>
      <w:r w:rsidRPr="00F872B2">
        <w:t xml:space="preserve">Harvey N, Nicholls R (2008) Global sea-level rise and coastal vulnerability. </w:t>
      </w:r>
      <w:r w:rsidRPr="00F872B2">
        <w:rPr>
          <w:i/>
        </w:rPr>
        <w:t xml:space="preserve">Sustainability Science </w:t>
      </w:r>
      <w:r w:rsidRPr="00F872B2">
        <w:t>3:5–7. DOI 10.1007/s11625-008-0049-x</w:t>
      </w:r>
    </w:p>
    <w:p w:rsidR="00C71EF7" w:rsidRPr="00F872B2" w:rsidRDefault="00C71EF7" w:rsidP="0051378C">
      <w:pPr>
        <w:autoSpaceDE w:val="0"/>
        <w:autoSpaceDN w:val="0"/>
        <w:adjustRightInd w:val="0"/>
        <w:spacing w:after="0" w:line="240" w:lineRule="auto"/>
        <w:ind w:left="284" w:hanging="284"/>
        <w:jc w:val="both"/>
      </w:pPr>
      <w:r w:rsidRPr="00F872B2">
        <w:t>Hossain MD</w:t>
      </w:r>
      <w:r w:rsidR="004B4125">
        <w:t>,</w:t>
      </w:r>
      <w:r w:rsidRPr="00F872B2">
        <w:t xml:space="preserve"> Dearing JA, Rahman MM, </w:t>
      </w:r>
      <w:proofErr w:type="spellStart"/>
      <w:r w:rsidRPr="00F872B2">
        <w:t>Salehin</w:t>
      </w:r>
      <w:proofErr w:type="spellEnd"/>
      <w:r w:rsidRPr="00F872B2">
        <w:t xml:space="preserve"> M (2016) Recent trends of ecosystem services and human wellbeing in the Bangladesh delta. </w:t>
      </w:r>
      <w:r w:rsidR="00A07FA1" w:rsidRPr="004B4125">
        <w:rPr>
          <w:iCs/>
        </w:rPr>
        <w:t>Regional Environmental Change</w:t>
      </w:r>
      <w:r w:rsidRPr="00F872B2">
        <w:rPr>
          <w:i/>
          <w:iCs/>
        </w:rPr>
        <w:t xml:space="preserve"> </w:t>
      </w:r>
      <w:r w:rsidR="004B4125">
        <w:t>16</w:t>
      </w:r>
      <w:r w:rsidR="00A07FA1" w:rsidRPr="00F872B2">
        <w:t>:</w:t>
      </w:r>
      <w:r w:rsidRPr="00F872B2">
        <w:t>429-443.</w:t>
      </w:r>
      <w:r w:rsidR="007C0078" w:rsidRPr="00F872B2">
        <w:t xml:space="preserve"> Doi: 10.1007/s10113-014-0748-z</w:t>
      </w:r>
    </w:p>
    <w:p w:rsidR="00E40FBF" w:rsidRPr="00F872B2" w:rsidRDefault="00E40FBF" w:rsidP="006D6847">
      <w:pPr>
        <w:autoSpaceDE w:val="0"/>
        <w:autoSpaceDN w:val="0"/>
        <w:adjustRightInd w:val="0"/>
        <w:spacing w:after="0" w:line="240" w:lineRule="auto"/>
        <w:ind w:left="284" w:hanging="284"/>
        <w:jc w:val="both"/>
      </w:pPr>
      <w:r w:rsidRPr="00F872B2">
        <w:t>Kuenzer C, Renaud F (2012) Climate and environmental changes in river deltas globally: expected impacts, resilience, and adaptation. In: Renaud F, Kuenzer C (</w:t>
      </w:r>
      <w:proofErr w:type="spellStart"/>
      <w:r w:rsidRPr="00F872B2">
        <w:t>eds</w:t>
      </w:r>
      <w:proofErr w:type="spellEnd"/>
      <w:r w:rsidRPr="00F872B2">
        <w:t>) The Mekong delta system: Interdisciplinary analyses of a river delta. Springer Environmental Science and Engineering, Dordrecht, pp 7–47</w:t>
      </w:r>
    </w:p>
    <w:p w:rsidR="005E5433" w:rsidRPr="00F872B2" w:rsidRDefault="00943ED3" w:rsidP="004B4125">
      <w:pPr>
        <w:pStyle w:val="CommentText"/>
        <w:spacing w:after="0"/>
        <w:ind w:left="284" w:hanging="284"/>
        <w:jc w:val="both"/>
        <w:rPr>
          <w:sz w:val="22"/>
          <w:szCs w:val="22"/>
        </w:rPr>
      </w:pPr>
      <w:r w:rsidRPr="00943ED3">
        <w:rPr>
          <w:sz w:val="22"/>
          <w:szCs w:val="22"/>
        </w:rPr>
        <w:t xml:space="preserve">Martin M,  Kang Y,  </w:t>
      </w:r>
      <w:proofErr w:type="spellStart"/>
      <w:r w:rsidRPr="00943ED3">
        <w:rPr>
          <w:sz w:val="22"/>
          <w:szCs w:val="22"/>
        </w:rPr>
        <w:t>Billah</w:t>
      </w:r>
      <w:proofErr w:type="spellEnd"/>
      <w:r w:rsidRPr="00943ED3">
        <w:rPr>
          <w:sz w:val="22"/>
          <w:szCs w:val="22"/>
        </w:rPr>
        <w:t xml:space="preserve"> M, Siddiqui T,  Black R, </w:t>
      </w:r>
      <w:proofErr w:type="spellStart"/>
      <w:r w:rsidRPr="00943ED3">
        <w:rPr>
          <w:sz w:val="22"/>
          <w:szCs w:val="22"/>
        </w:rPr>
        <w:t>Kniveton</w:t>
      </w:r>
      <w:proofErr w:type="spellEnd"/>
      <w:r w:rsidRPr="00943ED3">
        <w:rPr>
          <w:sz w:val="22"/>
          <w:szCs w:val="22"/>
        </w:rPr>
        <w:t xml:space="preserve"> D (2013) Policy analysis: Climate change and migration Bangladesh. Working Paper 4</w:t>
      </w:r>
      <w:proofErr w:type="gramStart"/>
      <w:r w:rsidRPr="00943ED3">
        <w:rPr>
          <w:sz w:val="22"/>
          <w:szCs w:val="22"/>
        </w:rPr>
        <w:t>,  Refugee</w:t>
      </w:r>
      <w:proofErr w:type="gramEnd"/>
      <w:r w:rsidRPr="00943ED3">
        <w:rPr>
          <w:sz w:val="22"/>
          <w:szCs w:val="22"/>
        </w:rPr>
        <w:t xml:space="preserve"> and Migratory Movements Research Unit (RMMRU), University of Dhaka, and Sussex Centre for Migration Research (SCMR), University of Sussex. http://migratingoutofpoverty.dfid.gov.uk/files/file.php?name=wp4-ccrm-b-policy.pdf&amp;site=354</w:t>
      </w:r>
    </w:p>
    <w:p w:rsidR="00CE6722" w:rsidRPr="00F872B2" w:rsidRDefault="00E95AAC" w:rsidP="008D6A82">
      <w:pPr>
        <w:autoSpaceDE w:val="0"/>
        <w:autoSpaceDN w:val="0"/>
        <w:adjustRightInd w:val="0"/>
        <w:spacing w:after="0" w:line="240" w:lineRule="auto"/>
        <w:ind w:left="284" w:hanging="284"/>
        <w:jc w:val="both"/>
      </w:pPr>
      <w:r w:rsidRPr="00F872B2">
        <w:t xml:space="preserve">Renaud FG, Syvitski JPM, Sebesvari Z, Werners SE, Kremer H, Kuenzer C, Ramesh R, Jeuken A, Friedrich J (2013) Tipping from the Holocene to the Anthropocene: how threatened are major world deltas? </w:t>
      </w:r>
      <w:proofErr w:type="spellStart"/>
      <w:r w:rsidRPr="00F872B2">
        <w:t>Curr</w:t>
      </w:r>
      <w:proofErr w:type="spellEnd"/>
      <w:r w:rsidRPr="00F872B2">
        <w:t xml:space="preserve"> </w:t>
      </w:r>
      <w:proofErr w:type="spellStart"/>
      <w:r w:rsidRPr="00F872B2">
        <w:t>Opin</w:t>
      </w:r>
      <w:proofErr w:type="spellEnd"/>
      <w:r w:rsidRPr="00F872B2">
        <w:t xml:space="preserve"> Environ Sustain 5:644–654. doi:10.1016/j.cosust.2013.11.007</w:t>
      </w:r>
    </w:p>
    <w:p w:rsidR="00CE6722" w:rsidRPr="00F872B2" w:rsidRDefault="00CE6722" w:rsidP="008D6A82">
      <w:pPr>
        <w:autoSpaceDE w:val="0"/>
        <w:autoSpaceDN w:val="0"/>
        <w:adjustRightInd w:val="0"/>
        <w:spacing w:after="0" w:line="240" w:lineRule="auto"/>
        <w:ind w:left="284" w:hanging="284"/>
        <w:jc w:val="both"/>
      </w:pPr>
      <w:r w:rsidRPr="00021623">
        <w:t>Szabo S, Renaud F</w:t>
      </w:r>
      <w:r w:rsidRPr="00F872B2">
        <w:t>G, Hossain S</w:t>
      </w:r>
      <w:r w:rsidR="00D61A2D" w:rsidRPr="00F872B2">
        <w:t>, Sebesva</w:t>
      </w:r>
      <w:r w:rsidRPr="00F872B2">
        <w:t>ri Z, Matthews Z, Foufoula-Georgiou E</w:t>
      </w:r>
      <w:r w:rsidR="00D61A2D" w:rsidRPr="00F872B2">
        <w:t>,</w:t>
      </w:r>
      <w:r w:rsidRPr="00F872B2">
        <w:t xml:space="preserve"> Nicholls RJ (2015</w:t>
      </w:r>
      <w:r w:rsidR="006933E1" w:rsidRPr="00F872B2">
        <w:t>a</w:t>
      </w:r>
      <w:r w:rsidRPr="00F872B2">
        <w:t>) Sustainable Development Goals offer new opportunities for tropical delta regions. Environment: Science and Policy for Sustainable Development 57</w:t>
      </w:r>
      <w:r w:rsidR="00D61A2D" w:rsidRPr="00F872B2">
        <w:t>:16-23.</w:t>
      </w:r>
      <w:r w:rsidRPr="00F872B2">
        <w:t xml:space="preserve"> doi:10.1080/00139157.2015.1048142.</w:t>
      </w:r>
    </w:p>
    <w:p w:rsidR="00585C64" w:rsidRPr="00F872B2" w:rsidRDefault="00585C64" w:rsidP="00CE6722">
      <w:pPr>
        <w:autoSpaceDE w:val="0"/>
        <w:autoSpaceDN w:val="0"/>
        <w:adjustRightInd w:val="0"/>
        <w:spacing w:after="0" w:line="240" w:lineRule="auto"/>
        <w:ind w:left="284" w:hanging="284"/>
        <w:jc w:val="both"/>
      </w:pPr>
      <w:r w:rsidRPr="00F872B2">
        <w:t>Szabo S, Hossain S, Adger WN, Matthews Z, Ahmed S,</w:t>
      </w:r>
      <w:r w:rsidR="00667F44" w:rsidRPr="00F872B2">
        <w:t xml:space="preserve"> Lazar A, Ahmad S (2015b</w:t>
      </w:r>
      <w:r w:rsidRPr="00F872B2">
        <w:t>) Soil salinity, household wealth and food insecurity in tropical deltas: evidence from south-west coast of Bangladesh. Sustain Sci. doi:10.1007/s11625-015-0337-1</w:t>
      </w:r>
    </w:p>
    <w:p w:rsidR="00667F44" w:rsidRPr="00F872B2" w:rsidRDefault="00667F44" w:rsidP="00667F44">
      <w:pPr>
        <w:autoSpaceDE w:val="0"/>
        <w:autoSpaceDN w:val="0"/>
        <w:adjustRightInd w:val="0"/>
        <w:spacing w:after="0" w:line="240" w:lineRule="auto"/>
        <w:ind w:left="284" w:hanging="284"/>
        <w:jc w:val="both"/>
      </w:pPr>
      <w:r w:rsidRPr="00F872B2">
        <w:t>Szabo S, Begum D, Ahmad S, Matthews Z, Streatfield PK</w:t>
      </w:r>
      <w:r w:rsidR="003E5ECB" w:rsidRPr="00F872B2">
        <w:t xml:space="preserve"> (2015c)</w:t>
      </w:r>
      <w:r w:rsidRPr="00F872B2">
        <w:t xml:space="preserve"> Scenarios of Population Change in the Ganges Brahmaputra Delta (2011-2051)</w:t>
      </w:r>
      <w:r w:rsidR="003E5ECB" w:rsidRPr="00F872B2">
        <w:t>.</w:t>
      </w:r>
      <w:r w:rsidRPr="00F872B2">
        <w:t xml:space="preserve"> Asia-Pacific Population Journal, 3(2): 51-72</w:t>
      </w:r>
    </w:p>
    <w:p w:rsidR="009B11CE" w:rsidRPr="00F872B2" w:rsidRDefault="009B11CE" w:rsidP="006D6847">
      <w:pPr>
        <w:autoSpaceDE w:val="0"/>
        <w:autoSpaceDN w:val="0"/>
        <w:adjustRightInd w:val="0"/>
        <w:spacing w:after="0" w:line="240" w:lineRule="auto"/>
        <w:ind w:left="284" w:hanging="284"/>
        <w:jc w:val="both"/>
      </w:pPr>
      <w:proofErr w:type="gramStart"/>
      <w:r w:rsidRPr="00F872B2">
        <w:t>Syvitski JPM (2008) Deltas at risk.</w:t>
      </w:r>
      <w:proofErr w:type="gramEnd"/>
      <w:r w:rsidRPr="00F872B2">
        <w:t xml:space="preserve"> Sustainability Science 3:23–32. DOI 10.1007/s11625-008-0043-3</w:t>
      </w:r>
    </w:p>
    <w:p w:rsidR="006D6847" w:rsidRPr="00F872B2" w:rsidRDefault="006D6847" w:rsidP="006D6847">
      <w:pPr>
        <w:autoSpaceDE w:val="0"/>
        <w:autoSpaceDN w:val="0"/>
        <w:adjustRightInd w:val="0"/>
        <w:spacing w:after="0" w:line="240" w:lineRule="auto"/>
        <w:ind w:left="284" w:hanging="284"/>
        <w:jc w:val="both"/>
      </w:pPr>
      <w:proofErr w:type="spellStart"/>
      <w:r w:rsidRPr="00F872B2">
        <w:t>Syvitski</w:t>
      </w:r>
      <w:proofErr w:type="spellEnd"/>
      <w:r w:rsidRPr="00F872B2">
        <w:t xml:space="preserve"> JPM, </w:t>
      </w:r>
      <w:proofErr w:type="spellStart"/>
      <w:r w:rsidRPr="00F872B2">
        <w:t>Kettner</w:t>
      </w:r>
      <w:proofErr w:type="spellEnd"/>
      <w:r w:rsidRPr="00F872B2">
        <w:t xml:space="preserve"> AJ, Overeem I, Hutton EWH, Hannon MT, </w:t>
      </w:r>
      <w:proofErr w:type="spellStart"/>
      <w:r w:rsidR="00A01B22" w:rsidRPr="00F872B2">
        <w:t>Brakenridge</w:t>
      </w:r>
      <w:proofErr w:type="spellEnd"/>
      <w:r w:rsidR="00A01B22" w:rsidRPr="00F872B2">
        <w:t xml:space="preserve"> GR, Day J, </w:t>
      </w:r>
      <w:proofErr w:type="spellStart"/>
      <w:r w:rsidR="00A01B22" w:rsidRPr="00F872B2">
        <w:t>Vörö</w:t>
      </w:r>
      <w:r w:rsidRPr="00F872B2">
        <w:t>smarty</w:t>
      </w:r>
      <w:proofErr w:type="spellEnd"/>
      <w:r w:rsidRPr="00F872B2">
        <w:t xml:space="preserve"> C, Saito Y, </w:t>
      </w:r>
      <w:proofErr w:type="spellStart"/>
      <w:r w:rsidRPr="00F872B2">
        <w:t>Giosan</w:t>
      </w:r>
      <w:proofErr w:type="spellEnd"/>
      <w:r w:rsidRPr="00F872B2">
        <w:t xml:space="preserve"> L, Nicholls RJ (2009) Sinking deltas due to human activities. Nat </w:t>
      </w:r>
      <w:proofErr w:type="spellStart"/>
      <w:r w:rsidRPr="00F872B2">
        <w:t>Geosci</w:t>
      </w:r>
      <w:proofErr w:type="spellEnd"/>
      <w:r w:rsidRPr="00F872B2">
        <w:t xml:space="preserve"> 2:681–686. doi:10.1038/NGEO629</w:t>
      </w:r>
    </w:p>
    <w:p w:rsidR="004B4125" w:rsidRPr="00F872B2" w:rsidRDefault="004B4125" w:rsidP="004B4125">
      <w:pPr>
        <w:autoSpaceDE w:val="0"/>
        <w:autoSpaceDN w:val="0"/>
        <w:adjustRightInd w:val="0"/>
        <w:spacing w:after="0" w:line="240" w:lineRule="auto"/>
        <w:ind w:left="284" w:hanging="284"/>
        <w:jc w:val="both"/>
      </w:pPr>
      <w:r w:rsidRPr="00F872B2">
        <w:t xml:space="preserve">Tessler ZD, </w:t>
      </w:r>
      <w:proofErr w:type="spellStart"/>
      <w:r w:rsidRPr="00F872B2">
        <w:t>Vörösmarty</w:t>
      </w:r>
      <w:proofErr w:type="spellEnd"/>
      <w:r w:rsidRPr="00F872B2">
        <w:t xml:space="preserve"> CJ, </w:t>
      </w:r>
      <w:proofErr w:type="spellStart"/>
      <w:r w:rsidRPr="00F872B2">
        <w:t>Grossberg</w:t>
      </w:r>
      <w:proofErr w:type="spellEnd"/>
      <w:r w:rsidRPr="00F872B2">
        <w:t xml:space="preserve"> M, </w:t>
      </w:r>
      <w:proofErr w:type="spellStart"/>
      <w:r w:rsidRPr="00F872B2">
        <w:t>Gladkova</w:t>
      </w:r>
      <w:proofErr w:type="spellEnd"/>
      <w:r w:rsidRPr="00F872B2">
        <w:t xml:space="preserve"> I, </w:t>
      </w:r>
      <w:proofErr w:type="spellStart"/>
      <w:r w:rsidRPr="00F872B2">
        <w:t>Aizenman</w:t>
      </w:r>
      <w:proofErr w:type="spellEnd"/>
      <w:r w:rsidRPr="00F872B2">
        <w:t xml:space="preserve"> H, Syvitski JPM, Foufoula-Georgiou R (2015) profiling risk and sustainability in coastal deltas of the World. Science 349:638–643. doi:10.1126/science.aab3574</w:t>
      </w:r>
    </w:p>
    <w:p w:rsidR="00413826" w:rsidRPr="00F872B2" w:rsidRDefault="00413826" w:rsidP="00413826">
      <w:pPr>
        <w:pStyle w:val="Default"/>
        <w:ind w:left="284" w:hanging="284"/>
        <w:jc w:val="both"/>
        <w:rPr>
          <w:rFonts w:asciiTheme="minorHAnsi" w:hAnsiTheme="minorHAnsi" w:cstheme="minorBidi"/>
          <w:color w:val="auto"/>
          <w:sz w:val="22"/>
          <w:szCs w:val="22"/>
        </w:rPr>
      </w:pPr>
      <w:r w:rsidRPr="00F872B2">
        <w:rPr>
          <w:rFonts w:asciiTheme="minorHAnsi" w:hAnsiTheme="minorHAnsi" w:cstheme="minorBidi"/>
          <w:color w:val="auto"/>
          <w:sz w:val="22"/>
          <w:szCs w:val="22"/>
        </w:rPr>
        <w:t xml:space="preserve">United Nations - UN (2015a) Sendai Framework for Disaster Risk Reduction 2015-2030. United Nations Available at </w:t>
      </w:r>
      <w:hyperlink r:id="rId8" w:history="1">
        <w:r w:rsidRPr="00F872B2">
          <w:rPr>
            <w:rStyle w:val="Hyperlink"/>
            <w:rFonts w:asciiTheme="minorHAnsi" w:hAnsiTheme="minorHAnsi" w:cstheme="minorBidi"/>
            <w:sz w:val="22"/>
            <w:szCs w:val="22"/>
          </w:rPr>
          <w:t>http://www.preventionweb.net/files/43291_sendaiframeworkfordrren.pdf. Accessed Oct 2015</w:t>
        </w:r>
      </w:hyperlink>
    </w:p>
    <w:p w:rsidR="00413826" w:rsidRPr="00F872B2" w:rsidRDefault="00413826" w:rsidP="00DB0194">
      <w:pPr>
        <w:pStyle w:val="Default"/>
        <w:ind w:left="284" w:hanging="284"/>
        <w:jc w:val="both"/>
        <w:rPr>
          <w:rFonts w:asciiTheme="minorHAnsi" w:hAnsiTheme="minorHAnsi" w:cstheme="minorBidi"/>
          <w:color w:val="auto"/>
          <w:sz w:val="22"/>
          <w:szCs w:val="22"/>
        </w:rPr>
      </w:pPr>
      <w:r w:rsidRPr="00F872B2">
        <w:rPr>
          <w:rFonts w:asciiTheme="minorHAnsi" w:hAnsiTheme="minorHAnsi" w:cstheme="minorBidi"/>
          <w:color w:val="auto"/>
          <w:sz w:val="22"/>
          <w:szCs w:val="22"/>
        </w:rPr>
        <w:t xml:space="preserve">United Nations - UN (2015b) Sustainable Development Goals. </w:t>
      </w:r>
      <w:proofErr w:type="gramStart"/>
      <w:r w:rsidRPr="00F872B2">
        <w:rPr>
          <w:rFonts w:asciiTheme="minorHAnsi" w:hAnsiTheme="minorHAnsi" w:cstheme="minorBidi"/>
          <w:color w:val="auto"/>
          <w:sz w:val="22"/>
          <w:szCs w:val="22"/>
        </w:rPr>
        <w:t xml:space="preserve">Available at </w:t>
      </w:r>
      <w:hyperlink r:id="rId9" w:history="1">
        <w:r w:rsidRPr="00F872B2">
          <w:rPr>
            <w:rFonts w:asciiTheme="minorHAnsi" w:hAnsiTheme="minorHAnsi" w:cstheme="minorBidi"/>
            <w:color w:val="auto"/>
            <w:sz w:val="22"/>
            <w:szCs w:val="22"/>
          </w:rPr>
          <w:t>https://sustainabledevelopment.un.org/?menu=1300</w:t>
        </w:r>
      </w:hyperlink>
      <w:r w:rsidRPr="00F872B2">
        <w:rPr>
          <w:rFonts w:asciiTheme="minorHAnsi" w:hAnsiTheme="minorHAnsi" w:cstheme="minorBidi"/>
          <w:color w:val="auto"/>
          <w:sz w:val="22"/>
          <w:szCs w:val="22"/>
        </w:rPr>
        <w:t>.</w:t>
      </w:r>
      <w:proofErr w:type="gramEnd"/>
      <w:r w:rsidRPr="00F872B2">
        <w:rPr>
          <w:rFonts w:asciiTheme="minorHAnsi" w:hAnsiTheme="minorHAnsi" w:cstheme="minorBidi"/>
          <w:color w:val="auto"/>
          <w:sz w:val="22"/>
          <w:szCs w:val="22"/>
        </w:rPr>
        <w:t xml:space="preserve"> Accessed Oct 2015</w:t>
      </w:r>
    </w:p>
    <w:p w:rsidR="00585C64" w:rsidRPr="00F872B2" w:rsidRDefault="00585C64" w:rsidP="006D6847">
      <w:pPr>
        <w:autoSpaceDE w:val="0"/>
        <w:autoSpaceDN w:val="0"/>
        <w:adjustRightInd w:val="0"/>
        <w:spacing w:after="0" w:line="240" w:lineRule="auto"/>
        <w:ind w:left="284" w:hanging="284"/>
        <w:jc w:val="both"/>
      </w:pPr>
      <w:r w:rsidRPr="00F872B2">
        <w:t>United Nations</w:t>
      </w:r>
      <w:r w:rsidR="00B771EA" w:rsidRPr="00F872B2">
        <w:t xml:space="preserve"> – UN (2016)</w:t>
      </w:r>
      <w:r w:rsidRPr="00F872B2">
        <w:t xml:space="preserve"> Provisional </w:t>
      </w:r>
      <w:r w:rsidR="00B771EA" w:rsidRPr="00F872B2">
        <w:t>p</w:t>
      </w:r>
      <w:r w:rsidRPr="00F872B2">
        <w:t xml:space="preserve">roposed </w:t>
      </w:r>
      <w:r w:rsidR="00B771EA" w:rsidRPr="00F872B2">
        <w:t>t</w:t>
      </w:r>
      <w:r w:rsidRPr="00F872B2">
        <w:t xml:space="preserve">iers for </w:t>
      </w:r>
      <w:r w:rsidR="00B771EA" w:rsidRPr="00F872B2">
        <w:t>g</w:t>
      </w:r>
      <w:r w:rsidRPr="00F872B2">
        <w:t xml:space="preserve">lobal SDG </w:t>
      </w:r>
      <w:r w:rsidR="00B771EA" w:rsidRPr="00F872B2">
        <w:t>i</w:t>
      </w:r>
      <w:r w:rsidRPr="00F872B2">
        <w:t>ndicators</w:t>
      </w:r>
      <w:r w:rsidR="00B771EA" w:rsidRPr="00F872B2">
        <w:t xml:space="preserve">. </w:t>
      </w:r>
      <w:r w:rsidRPr="00F872B2">
        <w:t>59 pp.</w:t>
      </w:r>
      <w:r w:rsidR="00B771EA" w:rsidRPr="00F872B2">
        <w:t xml:space="preserve"> Available at http://unstats.un.org/sdgs/files/meetings/iaeg-sdgs-meeting-03/Provisional-Proposed-Tiers-for-SDG-Indicators-24-03-16.pdf</w:t>
      </w:r>
    </w:p>
    <w:p w:rsidR="00DB0194" w:rsidRPr="00F872B2" w:rsidRDefault="00DB0194" w:rsidP="00DB0194">
      <w:pPr>
        <w:pStyle w:val="Default"/>
        <w:ind w:left="284" w:hanging="284"/>
        <w:jc w:val="both"/>
        <w:rPr>
          <w:rFonts w:asciiTheme="minorHAnsi" w:hAnsiTheme="minorHAnsi" w:cstheme="minorBidi"/>
          <w:color w:val="auto"/>
          <w:sz w:val="22"/>
          <w:szCs w:val="22"/>
        </w:rPr>
      </w:pPr>
      <w:r w:rsidRPr="00F872B2">
        <w:rPr>
          <w:rFonts w:asciiTheme="minorHAnsi" w:hAnsiTheme="minorHAnsi" w:cstheme="minorBidi"/>
          <w:color w:val="auto"/>
          <w:sz w:val="22"/>
          <w:szCs w:val="22"/>
        </w:rPr>
        <w:t xml:space="preserve">United Nations Framework Convention on Climate Change - UNFCCC (2015) Adoption of the Paris Agreement. Draft Decision -/CP.21. FCCC/CP/2015/L.9/Rev.1.  </w:t>
      </w:r>
      <w:proofErr w:type="gramStart"/>
      <w:r w:rsidRPr="00F872B2">
        <w:rPr>
          <w:rFonts w:asciiTheme="minorHAnsi" w:hAnsiTheme="minorHAnsi" w:cstheme="minorBidi"/>
          <w:color w:val="auto"/>
          <w:sz w:val="22"/>
          <w:szCs w:val="22"/>
        </w:rPr>
        <w:t xml:space="preserve">Available at </w:t>
      </w:r>
      <w:hyperlink r:id="rId10" w:history="1">
        <w:r w:rsidRPr="00F872B2">
          <w:rPr>
            <w:rFonts w:asciiTheme="minorHAnsi" w:hAnsiTheme="minorHAnsi" w:cstheme="minorBidi"/>
            <w:color w:val="auto"/>
            <w:sz w:val="22"/>
            <w:szCs w:val="22"/>
          </w:rPr>
          <w:t>http://unfccc.int/resource/docs/2015/cop21/eng/l09r01.pdf</w:t>
        </w:r>
      </w:hyperlink>
      <w:r w:rsidRPr="00F872B2">
        <w:rPr>
          <w:rFonts w:asciiTheme="minorHAnsi" w:hAnsiTheme="minorHAnsi" w:cstheme="minorBidi"/>
          <w:color w:val="auto"/>
          <w:sz w:val="22"/>
          <w:szCs w:val="22"/>
        </w:rPr>
        <w:t>.</w:t>
      </w:r>
      <w:proofErr w:type="gramEnd"/>
      <w:r w:rsidRPr="00F872B2">
        <w:rPr>
          <w:rFonts w:asciiTheme="minorHAnsi" w:hAnsiTheme="minorHAnsi" w:cstheme="minorBidi"/>
          <w:color w:val="auto"/>
          <w:sz w:val="22"/>
          <w:szCs w:val="22"/>
        </w:rPr>
        <w:t xml:space="preserve"> Accessed Jan 2016</w:t>
      </w:r>
    </w:p>
    <w:p w:rsidR="00677BA2" w:rsidRPr="00F872B2" w:rsidRDefault="00677BA2" w:rsidP="00677BA2">
      <w:pPr>
        <w:autoSpaceDE w:val="0"/>
        <w:autoSpaceDN w:val="0"/>
        <w:adjustRightInd w:val="0"/>
        <w:spacing w:after="0" w:line="240" w:lineRule="auto"/>
        <w:ind w:left="284" w:hanging="284"/>
        <w:jc w:val="both"/>
      </w:pPr>
      <w:r w:rsidRPr="00F872B2">
        <w:t xml:space="preserve">van </w:t>
      </w:r>
      <w:proofErr w:type="spellStart"/>
      <w:r w:rsidRPr="00F872B2">
        <w:t>Wesenbeeck</w:t>
      </w:r>
      <w:proofErr w:type="spellEnd"/>
      <w:r w:rsidRPr="00F872B2">
        <w:t xml:space="preserve"> BK, </w:t>
      </w:r>
      <w:proofErr w:type="spellStart"/>
      <w:r w:rsidRPr="00F872B2">
        <w:t>Balke</w:t>
      </w:r>
      <w:proofErr w:type="spellEnd"/>
      <w:r w:rsidRPr="00F872B2">
        <w:t xml:space="preserve"> T, van </w:t>
      </w:r>
      <w:proofErr w:type="spellStart"/>
      <w:r w:rsidRPr="00F872B2">
        <w:t>Eijk</w:t>
      </w:r>
      <w:proofErr w:type="spellEnd"/>
      <w:r w:rsidRPr="00F872B2">
        <w:t xml:space="preserve"> P, Tonneijck F, </w:t>
      </w:r>
      <w:proofErr w:type="spellStart"/>
      <w:r w:rsidRPr="00F872B2">
        <w:t>Siry</w:t>
      </w:r>
      <w:proofErr w:type="spellEnd"/>
      <w:r w:rsidRPr="00F872B2">
        <w:t xml:space="preserve"> HY, </w:t>
      </w:r>
      <w:proofErr w:type="spellStart"/>
      <w:r w:rsidRPr="00F872B2">
        <w:t>Rudianto</w:t>
      </w:r>
      <w:proofErr w:type="spellEnd"/>
      <w:r w:rsidRPr="00F872B2">
        <w:t xml:space="preserve"> ME, </w:t>
      </w:r>
      <w:proofErr w:type="spellStart"/>
      <w:r w:rsidRPr="00F872B2">
        <w:t>Winterwerp</w:t>
      </w:r>
      <w:proofErr w:type="spellEnd"/>
      <w:r w:rsidRPr="00F872B2">
        <w:t xml:space="preserve"> JC (2015) Aquaculture induced erosion of tropical coastlines throws coastal communities back into poverty. Ocean and Coastal Management 116:466-469</w:t>
      </w:r>
    </w:p>
    <w:sectPr w:rsidR="00677BA2" w:rsidRPr="00F872B2" w:rsidSect="002D4735">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72BF46" w15:done="0"/>
  <w15:commentEx w15:paraId="7219443D" w15:paraIdParent="0072BF46" w15:done="0"/>
  <w15:commentEx w15:paraId="75039625" w15:done="0"/>
  <w15:commentEx w15:paraId="6F80B5EC" w15:done="0"/>
  <w15:commentEx w15:paraId="3BBD7227" w15:done="0"/>
  <w15:commentEx w15:paraId="62BB6872" w15:done="0"/>
  <w15:commentEx w15:paraId="4762EFC2" w15:done="0"/>
  <w15:commentEx w15:paraId="4D2089F1" w15:done="0"/>
  <w15:commentEx w15:paraId="455DE8C2" w15:done="0"/>
  <w15:commentEx w15:paraId="7458AE27" w15:done="0"/>
  <w15:commentEx w15:paraId="654C13EA" w15:done="0"/>
  <w15:commentEx w15:paraId="70378D6D" w15:done="0"/>
  <w15:commentEx w15:paraId="567E05F7" w15:done="0"/>
  <w15:commentEx w15:paraId="25C40400" w15:done="0"/>
  <w15:commentEx w15:paraId="1FEF5E4C" w15:done="0"/>
  <w15:commentEx w15:paraId="091DFE0A" w15:done="0"/>
  <w15:commentEx w15:paraId="45CC6CC3" w15:paraIdParent="091DFE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49" w:rsidRDefault="00E07249" w:rsidP="00AA73B5">
      <w:pPr>
        <w:spacing w:after="0" w:line="240" w:lineRule="auto"/>
      </w:pPr>
      <w:r>
        <w:separator/>
      </w:r>
    </w:p>
  </w:endnote>
  <w:endnote w:type="continuationSeparator" w:id="0">
    <w:p w:rsidR="00E07249" w:rsidRDefault="00E07249" w:rsidP="00AA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49" w:rsidRDefault="00E07249" w:rsidP="00AA73B5">
      <w:pPr>
        <w:spacing w:after="0" w:line="240" w:lineRule="auto"/>
      </w:pPr>
      <w:r>
        <w:separator/>
      </w:r>
    </w:p>
  </w:footnote>
  <w:footnote w:type="continuationSeparator" w:id="0">
    <w:p w:rsidR="00E07249" w:rsidRDefault="00E07249" w:rsidP="00AA73B5">
      <w:pPr>
        <w:spacing w:after="0" w:line="240" w:lineRule="auto"/>
      </w:pPr>
      <w:r>
        <w:continuationSeparator/>
      </w:r>
    </w:p>
  </w:footnote>
  <w:footnote w:id="1">
    <w:p w:rsidR="00AA73B5" w:rsidRPr="00AA73B5" w:rsidRDefault="00AA73B5">
      <w:pPr>
        <w:pStyle w:val="FootnoteText"/>
        <w:rPr>
          <w:lang w:val="de-DE"/>
        </w:rPr>
      </w:pPr>
      <w:r>
        <w:rPr>
          <w:rStyle w:val="FootnoteReference"/>
        </w:rPr>
        <w:footnoteRef/>
      </w:r>
      <w:r>
        <w:t xml:space="preserve"> </w:t>
      </w:r>
      <w:hyperlink r:id="rId1" w:history="1">
        <w:r w:rsidRPr="00FC1809">
          <w:rPr>
            <w:rStyle w:val="Hyperlink"/>
          </w:rPr>
          <w:t>http://www.delta-alliance.org/</w:t>
        </w:r>
      </w:hyperlink>
      <w:r>
        <w:t xml:space="preserve"> </w:t>
      </w:r>
    </w:p>
  </w:footnote>
  <w:footnote w:id="2">
    <w:p w:rsidR="00E24052" w:rsidRPr="00E24052" w:rsidRDefault="00E24052">
      <w:pPr>
        <w:pStyle w:val="FootnoteText"/>
        <w:rPr>
          <w:lang w:val="de-DE"/>
        </w:rPr>
      </w:pPr>
      <w:r>
        <w:rPr>
          <w:rStyle w:val="FootnoteReference"/>
        </w:rPr>
        <w:footnoteRef/>
      </w:r>
      <w:r w:rsidRPr="00E24052">
        <w:rPr>
          <w:lang w:val="de-DE"/>
        </w:rPr>
        <w:t xml:space="preserve"> </w:t>
      </w:r>
      <w:hyperlink r:id="rId2" w:history="1">
        <w:r w:rsidRPr="00E83082">
          <w:rPr>
            <w:rStyle w:val="Hyperlink"/>
            <w:lang w:val="de-DE"/>
          </w:rPr>
          <w:t>https://www.government.nl/latest/news/2016/05/10/minister-schultz-launches-international-delta-coalition</w:t>
        </w:r>
      </w:hyperlink>
      <w:r>
        <w:rPr>
          <w:lang w:val="de-DE"/>
        </w:rPr>
        <w:t xml:space="preserve"> </w:t>
      </w:r>
    </w:p>
  </w:footnote>
  <w:footnote w:id="3">
    <w:p w:rsidR="00DC1898" w:rsidRPr="00DC1898" w:rsidRDefault="00DC1898">
      <w:pPr>
        <w:pStyle w:val="FootnoteText"/>
        <w:rPr>
          <w:lang w:val="de-DE"/>
        </w:rPr>
      </w:pPr>
      <w:r>
        <w:rPr>
          <w:rStyle w:val="FootnoteReference"/>
        </w:rPr>
        <w:footnoteRef/>
      </w:r>
      <w:r w:rsidRPr="00DC1898">
        <w:rPr>
          <w:lang w:val="de-DE"/>
        </w:rPr>
        <w:t xml:space="preserve"> </w:t>
      </w:r>
      <w:hyperlink r:id="rId3" w:history="1">
        <w:r w:rsidRPr="00FC1809">
          <w:rPr>
            <w:rStyle w:val="Hyperlink"/>
            <w:lang w:val="de-DE"/>
          </w:rPr>
          <w:t>http://www.icsu.org/news-centre/news/top-news/icsu-endorsed-initiative-sustainable-deltas-2015-launches-in-rotterdam</w:t>
        </w:r>
      </w:hyperlink>
      <w:r>
        <w:rPr>
          <w:lang w:val="de-DE"/>
        </w:rPr>
        <w:t xml:space="preserve"> </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abo S.M.">
    <w15:presenceInfo w15:providerId="AD" w15:userId="S-1-5-21-2015846570-11164191-355810188-253770"/>
  </w15:person>
  <w15:person w15:author="zm2">
    <w15:presenceInfo w15:providerId="None" w15:userId="z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61C2"/>
    <w:rsid w:val="00021623"/>
    <w:rsid w:val="00051A19"/>
    <w:rsid w:val="000553F6"/>
    <w:rsid w:val="0005756D"/>
    <w:rsid w:val="000660EF"/>
    <w:rsid w:val="00071666"/>
    <w:rsid w:val="0007423A"/>
    <w:rsid w:val="00096827"/>
    <w:rsid w:val="000B7385"/>
    <w:rsid w:val="000D3DC3"/>
    <w:rsid w:val="000F0139"/>
    <w:rsid w:val="00183D2E"/>
    <w:rsid w:val="001938F5"/>
    <w:rsid w:val="001A4747"/>
    <w:rsid w:val="001B57D0"/>
    <w:rsid w:val="001B7357"/>
    <w:rsid w:val="001C1DB8"/>
    <w:rsid w:val="001D5894"/>
    <w:rsid w:val="00201126"/>
    <w:rsid w:val="00241080"/>
    <w:rsid w:val="002534AC"/>
    <w:rsid w:val="002706A5"/>
    <w:rsid w:val="00283B9E"/>
    <w:rsid w:val="00296FAA"/>
    <w:rsid w:val="002A6220"/>
    <w:rsid w:val="002C5202"/>
    <w:rsid w:val="002D4735"/>
    <w:rsid w:val="002E6259"/>
    <w:rsid w:val="00310E5F"/>
    <w:rsid w:val="0032259D"/>
    <w:rsid w:val="00335745"/>
    <w:rsid w:val="00343008"/>
    <w:rsid w:val="00346B96"/>
    <w:rsid w:val="00350ECE"/>
    <w:rsid w:val="00387458"/>
    <w:rsid w:val="003A31A5"/>
    <w:rsid w:val="003C218D"/>
    <w:rsid w:val="003C3BA3"/>
    <w:rsid w:val="003C7257"/>
    <w:rsid w:val="003C72E6"/>
    <w:rsid w:val="003C7B49"/>
    <w:rsid w:val="003D5F99"/>
    <w:rsid w:val="003E5BD8"/>
    <w:rsid w:val="003E5ECB"/>
    <w:rsid w:val="003E6D10"/>
    <w:rsid w:val="003F3B85"/>
    <w:rsid w:val="00406FD1"/>
    <w:rsid w:val="00411809"/>
    <w:rsid w:val="00413826"/>
    <w:rsid w:val="00415CCE"/>
    <w:rsid w:val="00427192"/>
    <w:rsid w:val="004351C9"/>
    <w:rsid w:val="0045250B"/>
    <w:rsid w:val="00457A35"/>
    <w:rsid w:val="00471BBA"/>
    <w:rsid w:val="004B4125"/>
    <w:rsid w:val="004E0C0B"/>
    <w:rsid w:val="00502598"/>
    <w:rsid w:val="0050302B"/>
    <w:rsid w:val="005045A6"/>
    <w:rsid w:val="0051378C"/>
    <w:rsid w:val="00515384"/>
    <w:rsid w:val="005215CF"/>
    <w:rsid w:val="00555851"/>
    <w:rsid w:val="00557CE4"/>
    <w:rsid w:val="00563461"/>
    <w:rsid w:val="00582BB2"/>
    <w:rsid w:val="00585C64"/>
    <w:rsid w:val="005B5D9D"/>
    <w:rsid w:val="005C234B"/>
    <w:rsid w:val="005C38A6"/>
    <w:rsid w:val="005E5433"/>
    <w:rsid w:val="005E6263"/>
    <w:rsid w:val="00604919"/>
    <w:rsid w:val="00621260"/>
    <w:rsid w:val="00622608"/>
    <w:rsid w:val="006429AE"/>
    <w:rsid w:val="00667F44"/>
    <w:rsid w:val="00677BA2"/>
    <w:rsid w:val="00691101"/>
    <w:rsid w:val="006933E1"/>
    <w:rsid w:val="00696356"/>
    <w:rsid w:val="006A79F4"/>
    <w:rsid w:val="006D49B7"/>
    <w:rsid w:val="006D6847"/>
    <w:rsid w:val="006E4067"/>
    <w:rsid w:val="007075CD"/>
    <w:rsid w:val="007173A2"/>
    <w:rsid w:val="007330B1"/>
    <w:rsid w:val="007651FE"/>
    <w:rsid w:val="00781632"/>
    <w:rsid w:val="007A1D41"/>
    <w:rsid w:val="007A2A1B"/>
    <w:rsid w:val="007B15E7"/>
    <w:rsid w:val="007C0078"/>
    <w:rsid w:val="007C6629"/>
    <w:rsid w:val="007D6634"/>
    <w:rsid w:val="007F4159"/>
    <w:rsid w:val="00827D4C"/>
    <w:rsid w:val="00830C5B"/>
    <w:rsid w:val="00835EB3"/>
    <w:rsid w:val="00871A29"/>
    <w:rsid w:val="008729D3"/>
    <w:rsid w:val="008772AB"/>
    <w:rsid w:val="00897850"/>
    <w:rsid w:val="008B28BB"/>
    <w:rsid w:val="008C0C74"/>
    <w:rsid w:val="008D2361"/>
    <w:rsid w:val="008D6A82"/>
    <w:rsid w:val="00901F66"/>
    <w:rsid w:val="00943ED3"/>
    <w:rsid w:val="00992EEC"/>
    <w:rsid w:val="009B11CE"/>
    <w:rsid w:val="009D3F75"/>
    <w:rsid w:val="009F61C2"/>
    <w:rsid w:val="00A01B22"/>
    <w:rsid w:val="00A07FA1"/>
    <w:rsid w:val="00A14953"/>
    <w:rsid w:val="00A151F3"/>
    <w:rsid w:val="00A45301"/>
    <w:rsid w:val="00A540D2"/>
    <w:rsid w:val="00A66D95"/>
    <w:rsid w:val="00A7201B"/>
    <w:rsid w:val="00A72D60"/>
    <w:rsid w:val="00A82AC9"/>
    <w:rsid w:val="00AA1EDF"/>
    <w:rsid w:val="00AA73B5"/>
    <w:rsid w:val="00B12411"/>
    <w:rsid w:val="00B12EAB"/>
    <w:rsid w:val="00B22FD3"/>
    <w:rsid w:val="00B33871"/>
    <w:rsid w:val="00B35D25"/>
    <w:rsid w:val="00B50359"/>
    <w:rsid w:val="00B771EA"/>
    <w:rsid w:val="00B94E76"/>
    <w:rsid w:val="00BB1DBD"/>
    <w:rsid w:val="00BB7A11"/>
    <w:rsid w:val="00BF2A57"/>
    <w:rsid w:val="00C0487E"/>
    <w:rsid w:val="00C0754A"/>
    <w:rsid w:val="00C35415"/>
    <w:rsid w:val="00C47417"/>
    <w:rsid w:val="00C71EF7"/>
    <w:rsid w:val="00C82A50"/>
    <w:rsid w:val="00C95F6C"/>
    <w:rsid w:val="00CA187E"/>
    <w:rsid w:val="00CA7B9D"/>
    <w:rsid w:val="00CE2CBF"/>
    <w:rsid w:val="00CE6722"/>
    <w:rsid w:val="00D04094"/>
    <w:rsid w:val="00D0634E"/>
    <w:rsid w:val="00D61A2D"/>
    <w:rsid w:val="00D761F8"/>
    <w:rsid w:val="00D92686"/>
    <w:rsid w:val="00D94695"/>
    <w:rsid w:val="00D947ED"/>
    <w:rsid w:val="00DB0194"/>
    <w:rsid w:val="00DC1898"/>
    <w:rsid w:val="00DC7B2E"/>
    <w:rsid w:val="00DE3DB2"/>
    <w:rsid w:val="00DF333A"/>
    <w:rsid w:val="00E07249"/>
    <w:rsid w:val="00E160E5"/>
    <w:rsid w:val="00E16A25"/>
    <w:rsid w:val="00E24052"/>
    <w:rsid w:val="00E40FBF"/>
    <w:rsid w:val="00E42F6B"/>
    <w:rsid w:val="00E5252E"/>
    <w:rsid w:val="00E63528"/>
    <w:rsid w:val="00E648A9"/>
    <w:rsid w:val="00E81E06"/>
    <w:rsid w:val="00E95AAC"/>
    <w:rsid w:val="00EA4768"/>
    <w:rsid w:val="00ED283F"/>
    <w:rsid w:val="00EE75C8"/>
    <w:rsid w:val="00EF39BF"/>
    <w:rsid w:val="00F20553"/>
    <w:rsid w:val="00F618B5"/>
    <w:rsid w:val="00F6313A"/>
    <w:rsid w:val="00F6394B"/>
    <w:rsid w:val="00F713EC"/>
    <w:rsid w:val="00F722DA"/>
    <w:rsid w:val="00F86D39"/>
    <w:rsid w:val="00F872B2"/>
    <w:rsid w:val="00FA2562"/>
    <w:rsid w:val="00FB5C0C"/>
    <w:rsid w:val="00FF4A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756D"/>
    <w:rPr>
      <w:sz w:val="16"/>
      <w:szCs w:val="16"/>
    </w:rPr>
  </w:style>
  <w:style w:type="paragraph" w:styleId="CommentText">
    <w:name w:val="annotation text"/>
    <w:basedOn w:val="Normal"/>
    <w:link w:val="CommentTextChar"/>
    <w:uiPriority w:val="99"/>
    <w:unhideWhenUsed/>
    <w:rsid w:val="0005756D"/>
    <w:pPr>
      <w:spacing w:line="240" w:lineRule="auto"/>
    </w:pPr>
    <w:rPr>
      <w:sz w:val="20"/>
      <w:szCs w:val="20"/>
    </w:rPr>
  </w:style>
  <w:style w:type="character" w:customStyle="1" w:styleId="CommentTextChar">
    <w:name w:val="Comment Text Char"/>
    <w:basedOn w:val="DefaultParagraphFont"/>
    <w:link w:val="CommentText"/>
    <w:uiPriority w:val="99"/>
    <w:rsid w:val="0005756D"/>
    <w:rPr>
      <w:sz w:val="20"/>
      <w:szCs w:val="20"/>
    </w:rPr>
  </w:style>
  <w:style w:type="paragraph" w:styleId="CommentSubject">
    <w:name w:val="annotation subject"/>
    <w:basedOn w:val="CommentText"/>
    <w:next w:val="CommentText"/>
    <w:link w:val="CommentSubjectChar"/>
    <w:uiPriority w:val="99"/>
    <w:semiHidden/>
    <w:unhideWhenUsed/>
    <w:rsid w:val="0005756D"/>
    <w:rPr>
      <w:b/>
      <w:bCs/>
    </w:rPr>
  </w:style>
  <w:style w:type="character" w:customStyle="1" w:styleId="CommentSubjectChar">
    <w:name w:val="Comment Subject Char"/>
    <w:basedOn w:val="CommentTextChar"/>
    <w:link w:val="CommentSubject"/>
    <w:uiPriority w:val="99"/>
    <w:semiHidden/>
    <w:rsid w:val="0005756D"/>
    <w:rPr>
      <w:b/>
      <w:bCs/>
      <w:sz w:val="20"/>
      <w:szCs w:val="20"/>
    </w:rPr>
  </w:style>
  <w:style w:type="paragraph" w:styleId="BalloonText">
    <w:name w:val="Balloon Text"/>
    <w:basedOn w:val="Normal"/>
    <w:link w:val="BalloonTextChar"/>
    <w:uiPriority w:val="99"/>
    <w:semiHidden/>
    <w:unhideWhenUsed/>
    <w:rsid w:val="000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6D"/>
    <w:rPr>
      <w:rFonts w:ascii="Tahoma" w:hAnsi="Tahoma" w:cs="Tahoma"/>
      <w:sz w:val="16"/>
      <w:szCs w:val="16"/>
    </w:rPr>
  </w:style>
  <w:style w:type="paragraph" w:styleId="FootnoteText">
    <w:name w:val="footnote text"/>
    <w:basedOn w:val="Normal"/>
    <w:link w:val="FootnoteTextChar"/>
    <w:uiPriority w:val="99"/>
    <w:semiHidden/>
    <w:unhideWhenUsed/>
    <w:rsid w:val="00AA7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3B5"/>
    <w:rPr>
      <w:sz w:val="20"/>
      <w:szCs w:val="20"/>
    </w:rPr>
  </w:style>
  <w:style w:type="character" w:styleId="FootnoteReference">
    <w:name w:val="footnote reference"/>
    <w:basedOn w:val="DefaultParagraphFont"/>
    <w:uiPriority w:val="99"/>
    <w:semiHidden/>
    <w:unhideWhenUsed/>
    <w:rsid w:val="00AA73B5"/>
    <w:rPr>
      <w:vertAlign w:val="superscript"/>
    </w:rPr>
  </w:style>
  <w:style w:type="character" w:styleId="Hyperlink">
    <w:name w:val="Hyperlink"/>
    <w:basedOn w:val="DefaultParagraphFont"/>
    <w:uiPriority w:val="99"/>
    <w:unhideWhenUsed/>
    <w:rsid w:val="00AA73B5"/>
    <w:rPr>
      <w:color w:val="0000FF" w:themeColor="hyperlink"/>
      <w:u w:val="single"/>
    </w:rPr>
  </w:style>
  <w:style w:type="character" w:styleId="Emphasis">
    <w:name w:val="Emphasis"/>
    <w:basedOn w:val="DefaultParagraphFont"/>
    <w:uiPriority w:val="20"/>
    <w:qFormat/>
    <w:rsid w:val="00071666"/>
    <w:rPr>
      <w:i/>
      <w:iCs/>
    </w:rPr>
  </w:style>
  <w:style w:type="paragraph" w:styleId="PlainText">
    <w:name w:val="Plain Text"/>
    <w:basedOn w:val="Normal"/>
    <w:link w:val="PlainTextChar"/>
    <w:uiPriority w:val="99"/>
    <w:semiHidden/>
    <w:unhideWhenUsed/>
    <w:rsid w:val="001B57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B57D0"/>
    <w:rPr>
      <w:rFonts w:ascii="Consolas" w:hAnsi="Consolas"/>
      <w:sz w:val="21"/>
      <w:szCs w:val="21"/>
    </w:rPr>
  </w:style>
  <w:style w:type="paragraph" w:customStyle="1" w:styleId="Default">
    <w:name w:val="Default"/>
    <w:rsid w:val="0051378C"/>
    <w:pPr>
      <w:autoSpaceDE w:val="0"/>
      <w:autoSpaceDN w:val="0"/>
      <w:adjustRightInd w:val="0"/>
      <w:spacing w:after="0" w:line="240" w:lineRule="auto"/>
    </w:pPr>
    <w:rPr>
      <w:rFonts w:ascii="Whitney Semibold" w:hAnsi="Whitney Semibold" w:cs="Whitney Semibold"/>
      <w:color w:val="000000"/>
      <w:sz w:val="24"/>
      <w:szCs w:val="24"/>
    </w:rPr>
  </w:style>
  <w:style w:type="character" w:customStyle="1" w:styleId="A9">
    <w:name w:val="A9"/>
    <w:uiPriority w:val="99"/>
    <w:rsid w:val="0051378C"/>
    <w:rPr>
      <w:rFonts w:cs="Whitney Semibold"/>
      <w:color w:val="221E1F"/>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27974">
      <w:bodyDiv w:val="1"/>
      <w:marLeft w:val="0"/>
      <w:marRight w:val="0"/>
      <w:marTop w:val="0"/>
      <w:marBottom w:val="0"/>
      <w:divBdr>
        <w:top w:val="none" w:sz="0" w:space="0" w:color="auto"/>
        <w:left w:val="none" w:sz="0" w:space="0" w:color="auto"/>
        <w:bottom w:val="none" w:sz="0" w:space="0" w:color="auto"/>
        <w:right w:val="none" w:sz="0" w:space="0" w:color="auto"/>
      </w:divBdr>
    </w:div>
    <w:div w:id="1669138061">
      <w:bodyDiv w:val="1"/>
      <w:marLeft w:val="0"/>
      <w:marRight w:val="0"/>
      <w:marTop w:val="0"/>
      <w:marBottom w:val="0"/>
      <w:divBdr>
        <w:top w:val="none" w:sz="0" w:space="0" w:color="auto"/>
        <w:left w:val="none" w:sz="0" w:space="0" w:color="auto"/>
        <w:bottom w:val="none" w:sz="0" w:space="0" w:color="auto"/>
        <w:right w:val="none" w:sz="0" w:space="0" w:color="auto"/>
      </w:divBdr>
    </w:div>
    <w:div w:id="17893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ventionweb.net/files/43291_sendaiframeworkfordrren.pdf.%20Accessed%20Oct%202015"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nfccc.int/resource/docs/2015/cop21/eng/l09r01.pdf" TargetMode="External"/><Relationship Id="rId4" Type="http://schemas.openxmlformats.org/officeDocument/2006/relationships/settings" Target="settings.xml"/><Relationship Id="rId9" Type="http://schemas.openxmlformats.org/officeDocument/2006/relationships/hyperlink" Target="https://sustainabledevelopment.un.org/?menu=1300"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icsu.org/news-centre/news/top-news/icsu-endorsed-initiative-sustainable-deltas-2015-launches-in-rotterdam" TargetMode="External"/><Relationship Id="rId2" Type="http://schemas.openxmlformats.org/officeDocument/2006/relationships/hyperlink" Target="https://www.government.nl/latest/news/2016/05/10/minister-schultz-launches-international-delta-coalition" TargetMode="External"/><Relationship Id="rId1" Type="http://schemas.openxmlformats.org/officeDocument/2006/relationships/hyperlink" Target="http://www.delta-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69EA9-10C2-4A2E-9A71-05F5CE06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3522</Words>
  <Characters>20080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UNU-ViE</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dc:creator>
  <cp:lastModifiedBy>Matthews Zoe</cp:lastModifiedBy>
  <cp:revision>2</cp:revision>
  <cp:lastPrinted>2016-05-30T13:07:00Z</cp:lastPrinted>
  <dcterms:created xsi:type="dcterms:W3CDTF">2017-07-31T14:22:00Z</dcterms:created>
  <dcterms:modified xsi:type="dcterms:W3CDTF">2017-07-31T14:22:00Z</dcterms:modified>
</cp:coreProperties>
</file>